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交银施罗德中债0-3年政策性金融债指数证券投资基金（C类份额）</w:t>
      </w:r>
    </w:p>
    <w:p w14:paraId="6C718C0B"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1A4EA403"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01548C">
        <w:rPr>
          <w:rFonts w:ascii="仿宋_GB2312" w:eastAsia="仿宋_GB2312" w:hAnsi="宋体" w:cs="宋体" w:hint="eastAsia"/>
          <w:kern w:val="0"/>
          <w:szCs w:val="21"/>
        </w:rPr>
        <w:t>2024-</w:t>
      </w:r>
      <w:r w:rsidR="0001548C">
        <w:rPr>
          <w:rFonts w:ascii="仿宋_GB2312" w:eastAsia="仿宋_GB2312" w:hAnsi="宋体" w:cs="宋体"/>
          <w:kern w:val="0"/>
          <w:szCs w:val="21"/>
        </w:rPr>
        <w:t>12</w:t>
      </w:r>
      <w:r w:rsidR="0001548C">
        <w:rPr>
          <w:rFonts w:ascii="仿宋_GB2312" w:eastAsia="仿宋_GB2312" w:hAnsi="宋体" w:cs="宋体" w:hint="eastAsia"/>
          <w:kern w:val="0"/>
          <w:szCs w:val="21"/>
        </w:rPr>
        <w:t>-</w:t>
      </w:r>
      <w:r w:rsidR="0001548C">
        <w:rPr>
          <w:rFonts w:ascii="仿宋_GB2312" w:eastAsia="仿宋_GB2312" w:hAnsi="宋体" w:cs="宋体"/>
          <w:kern w:val="0"/>
          <w:szCs w:val="21"/>
        </w:rPr>
        <w:t>19</w:t>
      </w:r>
      <w:bookmarkStart w:id="0" w:name="_GoBack"/>
      <w:bookmarkEnd w:id="0"/>
    </w:p>
    <w:p w14:paraId="7D15B036" w14:textId="708CEB83" w:rsidR="00264C81" w:rsidRDefault="00946EB0"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1548C">
        <w:rPr>
          <w:rFonts w:ascii="Times New Roman" w:hAnsi="Times New Roman" w:cs="Times New Roman"/>
        </w:rPr>
        <w:t>2024-12</w:t>
      </w:r>
      <w:r w:rsidRPr="00DA7C34">
        <w:rPr>
          <w:rFonts w:ascii="Times New Roman" w:hAnsi="Times New Roman" w:cs="Times New Roman"/>
        </w:rPr>
        <w:t>-2</w:t>
      </w:r>
      <w:r w:rsidR="0001548C">
        <w:rPr>
          <w:rFonts w:ascii="Times New Roman" w:hAnsi="Times New Roman" w:cs="Times New Roman"/>
        </w:rPr>
        <w:t>4</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04"/>
        <w:gridCol w:w="1555"/>
        <w:gridCol w:w="3475"/>
        <w:gridCol w:w="1938"/>
      </w:tblGrid>
      <w:tr w:rsidR="00AF7A1E" w:rsidRPr="00335FE8" w14:paraId="09F84DD9" w14:textId="77777777" w:rsidTr="009B049A">
        <w:trPr>
          <w:jc w:val="center"/>
        </w:trPr>
        <w:tc>
          <w:tcPr>
            <w:tcW w:w="2200"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539"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交银中债0-3年政金债指数C</w:t>
            </w:r>
          </w:p>
        </w:tc>
        <w:tc>
          <w:tcPr>
            <w:tcW w:w="3416"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917"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020887</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2024-03-22</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9B049A" w:rsidRPr="00335FE8" w14:paraId="5B2ABDA5" w14:textId="77777777" w:rsidTr="00902522">
        <w:trPr>
          <w:jc w:val="center"/>
        </w:trPr>
        <w:tc>
          <w:tcPr>
            <w:tcW w:w="1843" w:type="dxa"/>
            <w:vMerge w:val="restart"/>
          </w:tcPr>
          <w:p w14:paraId="72C79773" w14:textId="77777777" w:rsidR="009B049A" w:rsidRPr="00335FE8" w:rsidRDefault="009B049A" w:rsidP="006240F9">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9B049A" w:rsidRPr="00335FE8" w:rsidRDefault="009B049A" w:rsidP="006A53E7">
            <w:pPr>
              <w:jc w:val="left"/>
              <w:rPr>
                <w:rFonts w:ascii="仿宋_GB2312" w:eastAsia="仿宋_GB2312"/>
                <w:szCs w:val="21"/>
              </w:rPr>
            </w:pPr>
            <w:r w:rsidRPr="00335FE8">
              <w:rPr>
                <w:rFonts w:ascii="仿宋_GB2312" w:eastAsia="仿宋_GB2312" w:hint="eastAsia"/>
                <w:szCs w:val="21"/>
              </w:rPr>
              <w:t>季参平</w:t>
            </w:r>
          </w:p>
        </w:tc>
        <w:tc>
          <w:tcPr>
            <w:tcW w:w="3000" w:type="dxa"/>
          </w:tcPr>
          <w:p w14:paraId="14DE2466" w14:textId="77777777" w:rsidR="009B049A" w:rsidRPr="00335FE8" w:rsidRDefault="009B049A"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9B049A" w:rsidRPr="00335FE8" w:rsidRDefault="009B049A" w:rsidP="006A53E7">
            <w:pPr>
              <w:jc w:val="left"/>
              <w:rPr>
                <w:rFonts w:ascii="仿宋_GB2312" w:eastAsia="仿宋_GB2312"/>
                <w:szCs w:val="21"/>
              </w:rPr>
            </w:pPr>
            <w:r w:rsidRPr="00335FE8">
              <w:rPr>
                <w:rFonts w:ascii="仿宋_GB2312" w:eastAsia="仿宋_GB2312" w:hint="eastAsia"/>
                <w:szCs w:val="21"/>
              </w:rPr>
              <w:t>2024-03-22</w:t>
            </w:r>
          </w:p>
        </w:tc>
      </w:tr>
      <w:tr w:rsidR="009B049A" w:rsidRPr="00335FE8" w14:paraId="1621AC04" w14:textId="77777777" w:rsidTr="009B049A">
        <w:trPr>
          <w:jc w:val="center"/>
        </w:trPr>
        <w:tc>
          <w:tcPr>
            <w:tcW w:w="2339" w:type="dxa"/>
            <w:vMerge/>
          </w:tcPr>
          <w:p w14:paraId="11BA4F11" w14:textId="77777777" w:rsidR="009B049A" w:rsidRPr="00335FE8" w:rsidRDefault="009B049A" w:rsidP="006A53E7">
            <w:pPr>
              <w:jc w:val="left"/>
              <w:rPr>
                <w:rFonts w:ascii="仿宋_GB2312" w:eastAsia="仿宋_GB2312"/>
                <w:szCs w:val="21"/>
              </w:rPr>
            </w:pPr>
          </w:p>
        </w:tc>
        <w:tc>
          <w:tcPr>
            <w:tcW w:w="1516" w:type="dxa"/>
            <w:vMerge/>
          </w:tcPr>
          <w:p w14:paraId="3377F6C6" w14:textId="77777777" w:rsidR="009B049A" w:rsidRPr="00335FE8" w:rsidRDefault="009B049A" w:rsidP="006A53E7">
            <w:pPr>
              <w:jc w:val="left"/>
              <w:rPr>
                <w:rFonts w:ascii="仿宋_GB2312" w:eastAsia="仿宋_GB2312"/>
                <w:szCs w:val="21"/>
              </w:rPr>
            </w:pPr>
          </w:p>
        </w:tc>
        <w:tc>
          <w:tcPr>
            <w:tcW w:w="3331" w:type="dxa"/>
          </w:tcPr>
          <w:p w14:paraId="1C42DB3B" w14:textId="77777777" w:rsidR="009B049A" w:rsidRPr="00335FE8" w:rsidRDefault="009B049A"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886" w:type="dxa"/>
          </w:tcPr>
          <w:p w14:paraId="4BE11CFB" w14:textId="77777777" w:rsidR="009B049A" w:rsidRPr="00335FE8" w:rsidRDefault="009B049A" w:rsidP="006A53E7">
            <w:pPr>
              <w:jc w:val="left"/>
              <w:rPr>
                <w:rFonts w:ascii="仿宋_GB2312" w:eastAsia="仿宋_GB2312"/>
                <w:szCs w:val="21"/>
              </w:rPr>
            </w:pPr>
            <w:r w:rsidRPr="00335FE8">
              <w:rPr>
                <w:rFonts w:ascii="仿宋_GB2312" w:eastAsia="仿宋_GB2312" w:hint="eastAsia"/>
                <w:szCs w:val="21"/>
              </w:rPr>
              <w:t>2012-03-19</w:t>
            </w:r>
          </w:p>
        </w:tc>
      </w:tr>
      <w:tr w:rsidR="009B049A" w:rsidRPr="00335FE8" w14:paraId="6D98DD8E" w14:textId="77777777" w:rsidTr="009B049A">
        <w:trPr>
          <w:jc w:val="center"/>
        </w:trPr>
        <w:tc>
          <w:tcPr>
            <w:tcW w:w="2339" w:type="dxa"/>
            <w:vMerge/>
          </w:tcPr>
          <w:p w14:paraId="13F1F469" w14:textId="77777777" w:rsidR="009B049A" w:rsidRPr="00335FE8" w:rsidRDefault="009B049A" w:rsidP="006A53E7">
            <w:pPr>
              <w:jc w:val="left"/>
              <w:rPr>
                <w:rFonts w:ascii="仿宋_GB2312" w:eastAsia="仿宋_GB2312"/>
                <w:szCs w:val="21"/>
              </w:rPr>
            </w:pPr>
          </w:p>
        </w:tc>
        <w:tc>
          <w:tcPr>
            <w:tcW w:w="1516" w:type="dxa"/>
            <w:vMerge w:val="restart"/>
          </w:tcPr>
          <w:p w14:paraId="443A1981" w14:textId="43536276" w:rsidR="009B049A" w:rsidRPr="00191349" w:rsidRDefault="009B049A" w:rsidP="006A53E7">
            <w:pPr>
              <w:jc w:val="left"/>
              <w:rPr>
                <w:rFonts w:ascii="仿宋_GB2312" w:eastAsia="仿宋_GB2312"/>
                <w:szCs w:val="21"/>
              </w:rPr>
            </w:pPr>
            <w:r w:rsidRPr="00191349">
              <w:rPr>
                <w:rFonts w:ascii="仿宋_GB2312" w:eastAsia="仿宋_GB2312" w:hint="eastAsia"/>
                <w:szCs w:val="21"/>
              </w:rPr>
              <w:t>张顺晨</w:t>
            </w:r>
          </w:p>
        </w:tc>
        <w:tc>
          <w:tcPr>
            <w:tcW w:w="3331" w:type="dxa"/>
          </w:tcPr>
          <w:p w14:paraId="03F13249" w14:textId="08639E5E" w:rsidR="009B049A" w:rsidRPr="00191349" w:rsidRDefault="009B049A" w:rsidP="006A53E7">
            <w:pPr>
              <w:jc w:val="left"/>
              <w:rPr>
                <w:rFonts w:ascii="仿宋_GB2312" w:eastAsia="仿宋_GB2312" w:hAnsi="宋体" w:cs="宋体"/>
                <w:kern w:val="0"/>
                <w:szCs w:val="21"/>
              </w:rPr>
            </w:pPr>
            <w:r w:rsidRPr="00191349">
              <w:rPr>
                <w:rFonts w:ascii="仿宋_GB2312" w:eastAsia="仿宋_GB2312" w:hAnsi="宋体" w:cs="宋体" w:hint="eastAsia"/>
                <w:kern w:val="0"/>
                <w:szCs w:val="21"/>
              </w:rPr>
              <w:t>开始担任本基金基金经理的日期</w:t>
            </w:r>
          </w:p>
        </w:tc>
        <w:tc>
          <w:tcPr>
            <w:tcW w:w="1886" w:type="dxa"/>
          </w:tcPr>
          <w:p w14:paraId="5722D02B" w14:textId="6FD7A2D5" w:rsidR="009B049A" w:rsidRPr="00191349" w:rsidRDefault="009B049A" w:rsidP="006A53E7">
            <w:pPr>
              <w:jc w:val="left"/>
              <w:rPr>
                <w:rFonts w:ascii="仿宋_GB2312" w:eastAsia="仿宋_GB2312"/>
                <w:szCs w:val="21"/>
              </w:rPr>
            </w:pPr>
            <w:r w:rsidRPr="00191349">
              <w:rPr>
                <w:rFonts w:ascii="仿宋_GB2312" w:eastAsia="仿宋_GB2312" w:hint="eastAsia"/>
                <w:szCs w:val="21"/>
              </w:rPr>
              <w:t>2</w:t>
            </w:r>
            <w:r w:rsidRPr="00191349">
              <w:rPr>
                <w:rFonts w:ascii="仿宋_GB2312" w:eastAsia="仿宋_GB2312"/>
                <w:szCs w:val="21"/>
              </w:rPr>
              <w:t>024</w:t>
            </w:r>
            <w:r w:rsidRPr="00191349">
              <w:rPr>
                <w:rFonts w:ascii="仿宋_GB2312" w:eastAsia="仿宋_GB2312" w:hint="eastAsia"/>
                <w:szCs w:val="21"/>
              </w:rPr>
              <w:t>-</w:t>
            </w:r>
            <w:r w:rsidRPr="00191349">
              <w:rPr>
                <w:rFonts w:ascii="仿宋_GB2312" w:eastAsia="仿宋_GB2312"/>
                <w:szCs w:val="21"/>
              </w:rPr>
              <w:t>12</w:t>
            </w:r>
            <w:r w:rsidRPr="00191349">
              <w:rPr>
                <w:rFonts w:ascii="仿宋_GB2312" w:eastAsia="仿宋_GB2312" w:hint="eastAsia"/>
                <w:szCs w:val="21"/>
              </w:rPr>
              <w:t>-</w:t>
            </w:r>
            <w:r w:rsidRPr="00191349">
              <w:rPr>
                <w:rFonts w:ascii="仿宋_GB2312" w:eastAsia="仿宋_GB2312"/>
                <w:szCs w:val="21"/>
              </w:rPr>
              <w:t>19</w:t>
            </w:r>
          </w:p>
        </w:tc>
      </w:tr>
      <w:tr w:rsidR="009B049A" w:rsidRPr="00335FE8" w14:paraId="0C278A95" w14:textId="77777777" w:rsidTr="009B049A">
        <w:trPr>
          <w:jc w:val="center"/>
        </w:trPr>
        <w:tc>
          <w:tcPr>
            <w:tcW w:w="2200" w:type="dxa"/>
            <w:vMerge/>
          </w:tcPr>
          <w:p w14:paraId="3D4B9296" w14:textId="77777777" w:rsidR="009B049A" w:rsidRPr="00335FE8" w:rsidRDefault="009B049A" w:rsidP="006A53E7">
            <w:pPr>
              <w:jc w:val="left"/>
              <w:rPr>
                <w:rFonts w:ascii="仿宋_GB2312" w:eastAsia="仿宋_GB2312"/>
                <w:szCs w:val="21"/>
              </w:rPr>
            </w:pPr>
          </w:p>
        </w:tc>
        <w:tc>
          <w:tcPr>
            <w:tcW w:w="1539" w:type="dxa"/>
            <w:vMerge/>
          </w:tcPr>
          <w:p w14:paraId="1743466F" w14:textId="77777777" w:rsidR="009B049A" w:rsidRPr="00191349" w:rsidRDefault="009B049A" w:rsidP="006A53E7">
            <w:pPr>
              <w:jc w:val="left"/>
              <w:rPr>
                <w:rFonts w:ascii="仿宋_GB2312" w:eastAsia="仿宋_GB2312"/>
                <w:szCs w:val="21"/>
              </w:rPr>
            </w:pPr>
          </w:p>
        </w:tc>
        <w:tc>
          <w:tcPr>
            <w:tcW w:w="3416" w:type="dxa"/>
          </w:tcPr>
          <w:p w14:paraId="0AF1BDCF" w14:textId="2E47D9C7" w:rsidR="009B049A" w:rsidRPr="00191349" w:rsidRDefault="009B049A" w:rsidP="006A53E7">
            <w:pPr>
              <w:jc w:val="left"/>
              <w:rPr>
                <w:rFonts w:ascii="仿宋_GB2312" w:eastAsia="仿宋_GB2312" w:hAnsi="宋体" w:cs="宋体"/>
                <w:kern w:val="0"/>
                <w:szCs w:val="21"/>
              </w:rPr>
            </w:pPr>
            <w:r w:rsidRPr="00191349">
              <w:rPr>
                <w:rFonts w:ascii="仿宋_GB2312" w:eastAsia="仿宋_GB2312" w:hAnsi="宋体" w:cs="宋体" w:hint="eastAsia"/>
                <w:kern w:val="0"/>
                <w:szCs w:val="21"/>
              </w:rPr>
              <w:t>证券从业日期</w:t>
            </w:r>
          </w:p>
        </w:tc>
        <w:tc>
          <w:tcPr>
            <w:tcW w:w="1917" w:type="dxa"/>
          </w:tcPr>
          <w:p w14:paraId="770B6B7D" w14:textId="091D7594" w:rsidR="009B049A" w:rsidRPr="00191349" w:rsidRDefault="009B049A" w:rsidP="006A53E7">
            <w:pPr>
              <w:jc w:val="left"/>
              <w:rPr>
                <w:rFonts w:ascii="仿宋_GB2312" w:eastAsia="仿宋_GB2312"/>
                <w:szCs w:val="21"/>
              </w:rPr>
            </w:pPr>
            <w:r w:rsidRPr="00191349">
              <w:rPr>
                <w:rFonts w:ascii="仿宋_GB2312" w:eastAsia="仿宋_GB2312" w:hint="eastAsia"/>
                <w:szCs w:val="21"/>
              </w:rPr>
              <w:t>2</w:t>
            </w:r>
            <w:r w:rsidRPr="00191349">
              <w:rPr>
                <w:rFonts w:ascii="仿宋_GB2312" w:eastAsia="仿宋_GB2312"/>
                <w:szCs w:val="21"/>
              </w:rPr>
              <w:t>016</w:t>
            </w:r>
            <w:r w:rsidRPr="00191349">
              <w:rPr>
                <w:rFonts w:ascii="仿宋_GB2312" w:eastAsia="仿宋_GB2312" w:hint="eastAsia"/>
                <w:szCs w:val="21"/>
              </w:rPr>
              <w:t>-</w:t>
            </w:r>
            <w:r w:rsidRPr="00191349">
              <w:rPr>
                <w:rFonts w:ascii="仿宋_GB2312" w:eastAsia="仿宋_GB2312"/>
                <w:szCs w:val="21"/>
              </w:rPr>
              <w:t>07</w:t>
            </w:r>
            <w:r w:rsidRPr="00191349">
              <w:rPr>
                <w:rFonts w:ascii="仿宋_GB2312" w:eastAsia="仿宋_GB2312" w:hint="eastAsia"/>
                <w:szCs w:val="21"/>
              </w:rPr>
              <w:t>-</w:t>
            </w:r>
            <w:r w:rsidRPr="00191349">
              <w:rPr>
                <w:rFonts w:ascii="仿宋_GB2312" w:eastAsia="仿宋_GB2312"/>
                <w:szCs w:val="21"/>
              </w:rPr>
              <w:t>01</w:t>
            </w:r>
          </w:p>
        </w:tc>
      </w:tr>
      <w:tr w:rsidR="006A53E7" w:rsidRPr="00335FE8" w14:paraId="523BA655" w14:textId="77777777" w:rsidTr="009B049A">
        <w:trPr>
          <w:jc w:val="center"/>
        </w:trPr>
        <w:tc>
          <w:tcPr>
            <w:tcW w:w="2200"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872" w:type="dxa"/>
            <w:gridSpan w:val="3"/>
          </w:tcPr>
          <w:p w14:paraId="4986C4E0" w14:textId="42C36A06" w:rsidR="002E7E5E" w:rsidRPr="00335FE8" w:rsidRDefault="00946EB0" w:rsidP="006A53E7">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5B167EF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主要投资于标的指数成份券及备选成份券。为了更好地实现投资目标，本基金还可以投资于具有良好流动性的金融工具，包括国内依法发行上市的国债、政策性金融债、债券回购、银行存款（包括定期存款、协议存款、通知存款等）、货币市场工具以及法律、法规或中国证监会允许基金投资的其他金融工具（但须符合中国证监会相关规定）。本基金不投资股票等权益类资产。</w:t>
            </w:r>
          </w:p>
          <w:p w14:paraId="091215C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15D9A49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组合比例为：本基金投资于债券资产的比例不低于基金资产的80%，其中投资于待偿期在0至3年（包含3年）的标的指数成份券和备选成份券的比例不低于本基金非现金基金资产的80%；本基金持有的现金或者到期日在一年以内的政府债券的比例合计不低于基金资产净值的5%，</w:t>
            </w:r>
            <w:r w:rsidRPr="00335FE8">
              <w:rPr>
                <w:rFonts w:ascii="仿宋_GB2312" w:eastAsia="仿宋_GB2312" w:hint="eastAsia"/>
                <w:szCs w:val="21"/>
              </w:rPr>
              <w:lastRenderedPageBreak/>
              <w:t>其中现金不包括结算备付金、存出保证金、应收申购款等。</w:t>
            </w:r>
          </w:p>
          <w:p w14:paraId="598D25E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如果法律法规或中国证监会变更投资品种的投资比例限制，基金管理人在履行适当程序后，可以调整上述投资品种的投资比例。</w:t>
            </w:r>
          </w:p>
          <w:p w14:paraId="16F2F27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本基金标的指数为中债-0-3年政策性金融债指数。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014CB53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76D1E89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具体包括：</w:t>
            </w:r>
          </w:p>
          <w:p w14:paraId="6DD48CE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1、债券指数化投资策略；2、其他投资策略。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0E2E20C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中债-0-3年政策性金融债指数收益率*95%+银行活期存款利率（税后）*5%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1AAD632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理论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详见《交银施罗德中债0-3年政策性金融债指数证券投资基金招募说明书》第九部分“基金的投资”。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4ABB93A" w14:textId="10658C16"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无。</w: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注：本基金合同于2024年3月22日生效，截至上季度末，无相关季报数据。</w:t>
      </w:r>
    </w:p>
    <w:p w14:paraId="08C2246B"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1AFBCE67" w14:textId="77777777"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无。</w:t>
      </w:r>
    </w:p>
    <w:p w14:paraId="4929FB5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注：本基金合同于2024年3月22日生效，截至上年度末，无相关年报数据。</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37"/>
        <w:gridCol w:w="2826"/>
        <w:gridCol w:w="1750"/>
        <w:gridCol w:w="1995"/>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6A9D1698" w14:textId="77777777" w:rsidR="009C0C41" w:rsidRPr="00335FE8" w:rsidRDefault="009C0C41" w:rsidP="00D373CC">
            <w:pPr>
              <w:rPr>
                <w:rFonts w:ascii="仿宋_GB2312" w:eastAsia="仿宋_GB2312"/>
                <w:szCs w:val="21"/>
              </w:rPr>
            </w:pPr>
          </w:p>
        </w:tc>
      </w:tr>
      <w:tr w:rsidR="009C0C41" w:rsidRPr="00335FE8" w14:paraId="4E2001A6" w14:textId="77777777" w:rsidTr="009C0C41">
        <w:trPr>
          <w:jc w:val="center"/>
        </w:trPr>
        <w:tc>
          <w:tcPr>
            <w:tcW w:w="293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2778B011" w14:textId="77777777" w:rsidR="009C0C41" w:rsidRPr="00335FE8" w:rsidRDefault="009C0C41" w:rsidP="00D373CC">
            <w:pPr>
              <w:rPr>
                <w:rFonts w:ascii="仿宋_GB2312" w:eastAsia="仿宋_GB2312"/>
                <w:szCs w:val="21"/>
              </w:rPr>
            </w:pPr>
          </w:p>
        </w:tc>
      </w:tr>
    </w:tbl>
    <w:p w14:paraId="5C0756C3"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209867D5"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c>
          <w:tcPr>
            <w:tcW w:w="3078" w:type="dxa"/>
          </w:tcPr>
          <w:p w14:paraId="11D42CED"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13CC2BB5"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0.10%</w:t>
            </w:r>
          </w:p>
        </w:tc>
        <w:tc>
          <w:tcPr>
            <w:tcW w:w="3078" w:type="dxa"/>
          </w:tcPr>
          <w:p w14:paraId="1AB58DA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564036EB" w14:textId="77777777" w:rsidTr="009F4EAE">
        <w:trPr>
          <w:jc w:val="center"/>
        </w:trPr>
        <w:tc>
          <w:tcPr>
            <w:tcW w:w="2547" w:type="dxa"/>
          </w:tcPr>
          <w:p w14:paraId="420823C6"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4D51302E"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80000.00</w:t>
            </w:r>
          </w:p>
        </w:tc>
        <w:tc>
          <w:tcPr>
            <w:tcW w:w="3078" w:type="dxa"/>
          </w:tcPr>
          <w:p w14:paraId="3EB238F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02DFCD69" w14:textId="77777777" w:rsidTr="009F4EAE">
        <w:trPr>
          <w:jc w:val="center"/>
        </w:trPr>
        <w:tc>
          <w:tcPr>
            <w:tcW w:w="2547" w:type="dxa"/>
          </w:tcPr>
          <w:p w14:paraId="7887B161"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08ACD88B"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100000.00</w:t>
            </w:r>
          </w:p>
        </w:tc>
        <w:tc>
          <w:tcPr>
            <w:tcW w:w="3078" w:type="dxa"/>
          </w:tcPr>
          <w:p w14:paraId="69FBFB2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29C288D0" w14:textId="77777777" w:rsidTr="009F4EAE">
        <w:trPr>
          <w:jc w:val="center"/>
        </w:trPr>
        <w:tc>
          <w:tcPr>
            <w:tcW w:w="2547" w:type="dxa"/>
          </w:tcPr>
          <w:p w14:paraId="5ED7E360"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1B3AB67E"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3677B75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5548471C" w14:textId="77777777" w:rsidTr="009F4EAE">
        <w:trPr>
          <w:jc w:val="center"/>
        </w:trPr>
        <w:tc>
          <w:tcPr>
            <w:tcW w:w="3078" w:type="dxa"/>
          </w:tcPr>
          <w:p w14:paraId="27074A1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5DB2F70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w:t>
            </w:r>
            <w:r w:rsidRPr="00335FE8">
              <w:rPr>
                <w:rFonts w:ascii="仿宋_GB2312" w:eastAsia="仿宋_GB2312" w:hint="eastAsia"/>
                <w:szCs w:val="21"/>
              </w:rPr>
              <w:lastRenderedPageBreak/>
              <w:t>部分</w:t>
            </w:r>
          </w:p>
        </w:tc>
        <w:tc>
          <w:tcPr>
            <w:tcW w:w="3078" w:type="dxa"/>
          </w:tcPr>
          <w:p w14:paraId="35BAAB3E"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lastRenderedPageBreak/>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50DCD1FD"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4270C86D"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6CE9AF7F" w14:textId="77777777" w:rsidTr="009F4EAE">
        <w:trPr>
          <w:jc w:val="center"/>
        </w:trPr>
        <w:tc>
          <w:tcPr>
            <w:tcW w:w="3078" w:type="dxa"/>
          </w:tcPr>
          <w:p w14:paraId="7BC5DE8D" w14:textId="77777777" w:rsidR="00F811C4" w:rsidRPr="009F4EAE" w:rsidRDefault="00F811C4" w:rsidP="00D373CC">
            <w:pPr>
              <w:rPr>
                <w:rFonts w:ascii="仿宋_GB2312" w:eastAsia="仿宋_GB2312"/>
                <w:b/>
                <w:szCs w:val="21"/>
              </w:rPr>
            </w:pPr>
          </w:p>
        </w:tc>
        <w:tc>
          <w:tcPr>
            <w:tcW w:w="5342" w:type="dxa"/>
          </w:tcPr>
          <w:p w14:paraId="70F7C912"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6B6315C4" w14:textId="77777777" w:rsidTr="009F4EAE">
        <w:trPr>
          <w:jc w:val="center"/>
        </w:trPr>
        <w:tc>
          <w:tcPr>
            <w:tcW w:w="3078" w:type="dxa"/>
          </w:tcPr>
          <w:p w14:paraId="5BFE93FF" w14:textId="77777777" w:rsidR="00D373CC" w:rsidRPr="00335FE8" w:rsidRDefault="00D373CC" w:rsidP="00D373CC">
            <w:pPr>
              <w:rPr>
                <w:rFonts w:ascii="仿宋_GB2312" w:eastAsia="仿宋_GB2312"/>
                <w:b/>
                <w:szCs w:val="21"/>
              </w:rPr>
            </w:pPr>
          </w:p>
        </w:tc>
        <w:tc>
          <w:tcPr>
            <w:tcW w:w="3080" w:type="dxa"/>
            <w:vAlign w:val="center"/>
          </w:tcPr>
          <w:p w14:paraId="5080770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r>
    </w:tbl>
    <w:p w14:paraId="5346F251"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本基金尚未披露基金年报，暂不披露该内容。</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63CAFFD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7DC5C2F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26D5016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54A3A28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（1）政策风险、（2）经济周期风险、（3）利率风险、（4）信用风险、（5）购买力风险、（6）债券收益率曲线变动风险、（7）再投资风险、（8）债券回购风险</w:t>
      </w:r>
    </w:p>
    <w:p w14:paraId="249E4A1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678E222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52C160C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5FA9882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5、本基金的特有风险</w:t>
      </w:r>
    </w:p>
    <w:p w14:paraId="05D846C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（1）标的指数的风险</w:t>
      </w:r>
    </w:p>
    <w:p w14:paraId="55205CF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1）标的指数下跌的风险、2）标的指数计算出错的风险、3）标的指数变更的风险</w:t>
      </w:r>
    </w:p>
    <w:p w14:paraId="559B68A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（2）基金跟踪偏离风险</w:t>
      </w:r>
    </w:p>
    <w:p w14:paraId="460B220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基金在跟踪标的指数时由于各种原因导致基金的业绩表现与标的指数表现之间可能产生差异。</w:t>
      </w:r>
    </w:p>
    <w:p w14:paraId="3425C32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（3）标的指数回报与债券市场平均回报偏离的风险</w:t>
      </w:r>
    </w:p>
    <w:p w14:paraId="27BBBF9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标的指数并不能完全代表整个债券市场。标的指数成份券的平均回报率与整个债券市场的平均回报率可能存在偏离。</w:t>
      </w:r>
    </w:p>
    <w:p w14:paraId="68B23F0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（4）跟踪误差控制未达约定目标的风险</w:t>
      </w:r>
    </w:p>
    <w:p w14:paraId="1928BF5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（5）指数编制机构停止服务的风险</w:t>
      </w:r>
    </w:p>
    <w:p w14:paraId="4B41579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（6）成份券停牌或违约的风险</w:t>
      </w:r>
    </w:p>
    <w:p w14:paraId="24CA977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（7）本基金主要投资于政策性金融债，可能面临以下风险：</w:t>
      </w:r>
    </w:p>
    <w:p w14:paraId="0B21BF5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1）政策性银行改制后的信用风险，若未来政策性银行进行改制，政策性金融债的性质有可能发生较大变化，债券信用等级也可能相应调整，基金投资可能面临一定信用风险；</w:t>
      </w:r>
    </w:p>
    <w:p w14:paraId="28B66A4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2）政策性金融债流动性风险，政策性金融债市场投资者行为具有一定趋同性，在极端市场环境下可能集中买入或卖出，存在流动性风险；</w:t>
      </w:r>
    </w:p>
    <w:p w14:paraId="7917574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3）投资者集中度风险，政策性金融债发行人较为单一，若单一主体发生重大事项变化，可能对基金净值表现产生较大影响。</w:t>
      </w:r>
    </w:p>
    <w:p w14:paraId="0F7BBE1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（8）基金合同提前终止风险。连续50个工作日出现基金份额持有人数量不满200人或者基金资产净值低于5000万元情形的，基金合同终止，不需召开基金份额持有人大会。</w:t>
      </w:r>
    </w:p>
    <w:p w14:paraId="19396CD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6、本基金法律文件风险收益特征表述与销售机构基金风险评价可能不一致的风险</w:t>
      </w:r>
    </w:p>
    <w:p w14:paraId="4B10B20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5A8A3BB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421A36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1986DB5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59A986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76D4F5BD" w14:textId="77777777" w:rsidR="00F811C4" w:rsidRPr="004B512C" w:rsidRDefault="00F811C4" w:rsidP="00F811C4">
      <w:pPr>
        <w:ind w:firstLine="420"/>
        <w:jc w:val="left"/>
        <w:rPr>
          <w:rFonts w:ascii="仿宋_GB2312" w:eastAsia="仿宋_GB2312"/>
          <w:b/>
          <w:szCs w:val="21"/>
        </w:rPr>
      </w:pPr>
      <w:r w:rsidRPr="00335FE8">
        <w:rPr>
          <w:rFonts w:ascii="仿宋_GB2312" w:eastAsia="仿宋_GB2312" w:hint="eastAsia"/>
          <w:szCs w:val="21"/>
        </w:rPr>
        <w:t>▲▲</w:t>
      </w:r>
      <w:r w:rsidRPr="004B512C">
        <w:rPr>
          <w:rFonts w:ascii="仿宋_GB2312" w:eastAsia="仿宋_GB2312" w:hint="eastAsia"/>
          <w:b/>
          <w:szCs w:val="21"/>
        </w:rPr>
        <w:t>因基金合同而产生的或与基金合同有关的一切争议，如经友好协商未能解决的，任何一方均有权将争议提交上海国际经济贸易仲裁委员会，按其届时有效的仲裁规则进行仲裁。仲裁地点为上海市。</w:t>
      </w:r>
    </w:p>
    <w:p w14:paraId="62E443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69FC934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19AAF85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●《交银施罗德中债0-3年政策性金融债指数证券投资基金基金合同》、</w:t>
      </w:r>
    </w:p>
    <w:p w14:paraId="4F05EA8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《交银施罗德中债0-3年政策性金融债指数证券投资基金托管协议》、</w:t>
      </w:r>
    </w:p>
    <w:p w14:paraId="3102735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《交银施罗德中债0-3年政策性金融债指数证券投资基金招募说明书》</w:t>
      </w:r>
    </w:p>
    <w:p w14:paraId="460EA81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B53670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09A3536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59C264B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119D937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652F532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AC2A6" w14:textId="77777777" w:rsidR="002455BF" w:rsidRDefault="002455BF" w:rsidP="00880454">
      <w:r>
        <w:separator/>
      </w:r>
    </w:p>
  </w:endnote>
  <w:endnote w:type="continuationSeparator" w:id="0">
    <w:p w14:paraId="75CDACC4" w14:textId="77777777" w:rsidR="002455BF" w:rsidRDefault="002455BF"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A7D14" w14:textId="77777777" w:rsidR="002455BF" w:rsidRDefault="002455BF" w:rsidP="00880454">
      <w:r>
        <w:separator/>
      </w:r>
    </w:p>
  </w:footnote>
  <w:footnote w:type="continuationSeparator" w:id="0">
    <w:p w14:paraId="786655FB" w14:textId="77777777" w:rsidR="002455BF" w:rsidRDefault="002455BF"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1548C"/>
    <w:rsid w:val="00094816"/>
    <w:rsid w:val="00131F08"/>
    <w:rsid w:val="00191349"/>
    <w:rsid w:val="0019752C"/>
    <w:rsid w:val="001E402A"/>
    <w:rsid w:val="002455BF"/>
    <w:rsid w:val="00287210"/>
    <w:rsid w:val="002F5DBC"/>
    <w:rsid w:val="00335FE8"/>
    <w:rsid w:val="003E751E"/>
    <w:rsid w:val="00401C56"/>
    <w:rsid w:val="00447692"/>
    <w:rsid w:val="004A275D"/>
    <w:rsid w:val="004B512C"/>
    <w:rsid w:val="006240B9"/>
    <w:rsid w:val="006240F9"/>
    <w:rsid w:val="006A53E7"/>
    <w:rsid w:val="007A64C5"/>
    <w:rsid w:val="007C12BE"/>
    <w:rsid w:val="00846EFA"/>
    <w:rsid w:val="00880454"/>
    <w:rsid w:val="008A6FA6"/>
    <w:rsid w:val="00902522"/>
    <w:rsid w:val="0090269C"/>
    <w:rsid w:val="00946EB0"/>
    <w:rsid w:val="009728DC"/>
    <w:rsid w:val="009B049A"/>
    <w:rsid w:val="009C0C41"/>
    <w:rsid w:val="009F4EAE"/>
    <w:rsid w:val="00AB59CB"/>
    <w:rsid w:val="00AF7A1E"/>
    <w:rsid w:val="00C0525C"/>
    <w:rsid w:val="00CD7637"/>
    <w:rsid w:val="00D04A15"/>
    <w:rsid w:val="00D373CC"/>
    <w:rsid w:val="00DB319C"/>
    <w:rsid w:val="00E51B6D"/>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王子晴</cp:lastModifiedBy>
  <cp:revision>6</cp:revision>
  <dcterms:created xsi:type="dcterms:W3CDTF">2024-12-23T09:53:00Z</dcterms:created>
  <dcterms:modified xsi:type="dcterms:W3CDTF">2024-12-23T10:03:00Z</dcterms:modified>
</cp:coreProperties>
</file>