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50FC5" w14:textId="77777777" w:rsidR="00222BF8" w:rsidRPr="00EB07BC" w:rsidRDefault="00222BF8">
      <w:pPr>
        <w:rPr>
          <w:sz w:val="32"/>
        </w:rPr>
      </w:pPr>
    </w:p>
    <w:p w14:paraId="34FADD92" w14:textId="77777777" w:rsidR="00222BF8" w:rsidRPr="00EB07BC" w:rsidRDefault="00222BF8">
      <w:pPr>
        <w:rPr>
          <w:sz w:val="32"/>
        </w:rPr>
      </w:pPr>
    </w:p>
    <w:p w14:paraId="1712FE30" w14:textId="77777777" w:rsidR="00222BF8" w:rsidRPr="00EB07BC" w:rsidRDefault="00222BF8">
      <w:pPr>
        <w:rPr>
          <w:sz w:val="32"/>
        </w:rPr>
      </w:pPr>
    </w:p>
    <w:p w14:paraId="4EAE2A3D" w14:textId="5CA62EB2" w:rsidR="00222BF8" w:rsidRPr="00EB07BC" w:rsidRDefault="00ED3778">
      <w:pPr>
        <w:jc w:val="center"/>
        <w:rPr>
          <w:sz w:val="32"/>
        </w:rPr>
      </w:pPr>
      <w:r>
        <w:rPr>
          <w:noProof/>
        </w:rPr>
        <w:drawing>
          <wp:inline distT="0" distB="0" distL="0" distR="0" wp14:anchorId="2C63CC0C" wp14:editId="6553D884">
            <wp:extent cx="4343400" cy="571500"/>
            <wp:effectExtent l="0" t="0" r="0" b="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A9745D9" w14:textId="77777777" w:rsidR="00EF0B55" w:rsidRDefault="00EF0B5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85F4795" w14:textId="77777777" w:rsidR="00EF0B55" w:rsidRDefault="00EF0B5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A4A1059" w14:textId="77777777" w:rsidR="00EF0B55" w:rsidRDefault="0022048D">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交银施罗德丰晟收益债券型证券投资基金</w:t>
      </w:r>
    </w:p>
    <w:p w14:paraId="7661EB6A" w14:textId="05B09DC8" w:rsidR="00EF0B55" w:rsidRDefault="0022048D">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r w:rsidR="00B85A1A">
        <w:rPr>
          <w:rFonts w:ascii="宋体" w:hAnsi="宋体"/>
          <w:b/>
          <w:spacing w:val="2"/>
          <w:w w:val="99"/>
          <w:kern w:val="0"/>
          <w:sz w:val="44"/>
          <w:szCs w:val="44"/>
        </w:rPr>
        <w:t>(更新)</w:t>
      </w:r>
    </w:p>
    <w:p w14:paraId="4D8A97C8" w14:textId="77777777" w:rsidR="00EF0B55" w:rsidRDefault="00EF0B55" w:rsidP="001E3809">
      <w:pPr>
        <w:autoSpaceDE w:val="0"/>
        <w:autoSpaceDN w:val="0"/>
        <w:adjustRightInd w:val="0"/>
        <w:snapToGrid w:val="0"/>
        <w:spacing w:line="360" w:lineRule="auto"/>
        <w:ind w:rightChars="6" w:right="13"/>
        <w:rPr>
          <w:rFonts w:ascii="宋体" w:hAnsi="宋体"/>
          <w:spacing w:val="2"/>
          <w:w w:val="99"/>
          <w:kern w:val="0"/>
          <w:sz w:val="32"/>
          <w:szCs w:val="32"/>
        </w:rPr>
      </w:pPr>
    </w:p>
    <w:p w14:paraId="58EDB42A" w14:textId="77777777" w:rsidR="00EF0B55" w:rsidRDefault="00EF0B5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225874D" w14:textId="77777777" w:rsidR="00EF0B55" w:rsidRDefault="00EF0B5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4C458DB" w14:textId="77777777" w:rsidR="00EF0B55" w:rsidRDefault="00EF0B5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B91B920" w14:textId="77777777" w:rsidR="00EF0B55" w:rsidRDefault="00EF0B5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077EC3A" w14:textId="77777777" w:rsidR="00EF0B55" w:rsidRDefault="00EF0B5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3AE1A41" w14:textId="77777777" w:rsidR="00EF0B55" w:rsidRDefault="0022048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1931F766" w14:textId="77777777" w:rsidR="00EF0B55" w:rsidRDefault="0022048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基金托管人：招商银行股份有限公司</w:t>
      </w:r>
    </w:p>
    <w:p w14:paraId="2CECC37C" w14:textId="77777777" w:rsidR="00EF0B55" w:rsidRDefault="00EF0B5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2142974" w14:textId="77777777" w:rsidR="00EF0B55" w:rsidRDefault="00EF0B5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A870838" w14:textId="61201B37" w:rsidR="00EF0B55" w:rsidRDefault="00B85A1A">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二〇二四年</w:t>
      </w:r>
      <w:r w:rsidR="00A74560">
        <w:rPr>
          <w:rFonts w:ascii="Times New Roman" w:hAnsi="Times New Roman" w:hint="eastAsia"/>
          <w:b/>
          <w:spacing w:val="2"/>
          <w:w w:val="99"/>
          <w:kern w:val="0"/>
          <w:sz w:val="28"/>
          <w:szCs w:val="32"/>
        </w:rPr>
        <w:t>十二</w:t>
      </w:r>
      <w:r>
        <w:rPr>
          <w:rFonts w:ascii="Times New Roman" w:hAnsi="Times New Roman"/>
          <w:b/>
          <w:spacing w:val="2"/>
          <w:w w:val="99"/>
          <w:kern w:val="0"/>
          <w:sz w:val="28"/>
          <w:szCs w:val="32"/>
        </w:rPr>
        <w:t>月</w:t>
      </w:r>
    </w:p>
    <w:p w14:paraId="1953099A" w14:textId="77777777" w:rsidR="00EF0B55" w:rsidRDefault="00EF0B55">
      <w:pPr>
        <w:autoSpaceDE w:val="0"/>
        <w:autoSpaceDN w:val="0"/>
        <w:adjustRightInd w:val="0"/>
        <w:snapToGrid w:val="0"/>
        <w:spacing w:line="360" w:lineRule="auto"/>
        <w:ind w:left="1347" w:rightChars="6" w:right="13"/>
        <w:rPr>
          <w:rFonts w:ascii="宋体" w:hAnsi="宋体"/>
          <w:kern w:val="0"/>
          <w:sz w:val="32"/>
          <w:szCs w:val="32"/>
        </w:rPr>
        <w:sectPr w:rsidR="00EF0B55">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21A40C16" w14:textId="77777777" w:rsidR="00EF0B55" w:rsidRDefault="0022048D">
      <w:pPr>
        <w:pStyle w:val="1"/>
        <w:snapToGrid w:val="0"/>
        <w:spacing w:beforeLines="0" w:before="240" w:after="240"/>
        <w:rPr>
          <w:rFonts w:ascii="宋体" w:hAnsi="宋体"/>
          <w:kern w:val="0"/>
        </w:rPr>
      </w:pPr>
      <w:bookmarkStart w:id="0" w:name="_Toc324920538"/>
      <w:bookmarkStart w:id="1" w:name="_Toc496884613"/>
      <w:bookmarkStart w:id="2" w:name="_Toc166054606"/>
      <w:r>
        <w:rPr>
          <w:rFonts w:ascii="Times New Roman" w:hAnsi="Times New Roman"/>
          <w:kern w:val="0"/>
        </w:rPr>
        <w:lastRenderedPageBreak/>
        <w:t>重要提示</w:t>
      </w:r>
      <w:bookmarkEnd w:id="0"/>
      <w:bookmarkEnd w:id="1"/>
      <w:bookmarkEnd w:id="2"/>
    </w:p>
    <w:p w14:paraId="2D706D7D" w14:textId="77777777" w:rsidR="00EF0B55" w:rsidRDefault="0022048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交银施罗德丰晟收益债券型证券投资基金（以下简称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2017</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2017</w:t>
      </w:r>
      <w:r>
        <w:rPr>
          <w:rFonts w:ascii="Times New Roman" w:hAnsi="Times New Roman"/>
          <w:kern w:val="0"/>
          <w:sz w:val="24"/>
        </w:rPr>
        <w:t>】</w:t>
      </w:r>
      <w:r>
        <w:rPr>
          <w:rFonts w:ascii="Times New Roman" w:hAnsi="Times New Roman"/>
          <w:kern w:val="0"/>
          <w:sz w:val="24"/>
        </w:rPr>
        <w:t>2396</w:t>
      </w:r>
      <w:r>
        <w:rPr>
          <w:rFonts w:ascii="Times New Roman" w:hAnsi="Times New Roman"/>
          <w:kern w:val="0"/>
          <w:sz w:val="24"/>
        </w:rPr>
        <w:t>号文准予募集注册。本基金基金合同于</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日正式生效。</w:t>
      </w:r>
    </w:p>
    <w:p w14:paraId="4D252D2A" w14:textId="77777777" w:rsidR="00EF0B55" w:rsidRDefault="0022048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264270CD" w14:textId="77777777" w:rsidR="00EF0B55" w:rsidRDefault="0022048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DEE1DAC" w14:textId="77777777" w:rsidR="00EF0B55" w:rsidRDefault="0022048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本基金在基金合同生效之日起两年（含两年）的期间内采取封闭式运作。封闭期内，基金投资者不能申购、赎回本基金基金份额。本基金转为开放式运作后基金投资者方可申购、赎回本基金基金份额。</w:t>
      </w:r>
    </w:p>
    <w:p w14:paraId="12F527FA" w14:textId="77777777" w:rsidR="00EF0B55" w:rsidRDefault="0022048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中小企业私募债的特有风险；投资资产支持证券的特有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万元情形时基金管理人可依基金合同约定提前终止基金合同的风险；投资本基金特有的其他风险等等。</w:t>
      </w:r>
    </w:p>
    <w:p w14:paraId="620B6926" w14:textId="77777777" w:rsidR="00EF0B55" w:rsidRDefault="0022048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w:t>
      </w:r>
      <w:r>
        <w:rPr>
          <w:rFonts w:ascii="Times New Roman" w:hAnsi="Times New Roman"/>
          <w:kern w:val="0"/>
          <w:sz w:val="24"/>
        </w:rPr>
        <w:lastRenderedPageBreak/>
        <w:t>负面影响和损失。</w:t>
      </w:r>
    </w:p>
    <w:p w14:paraId="6ACDD402" w14:textId="77777777" w:rsidR="00EF0B55" w:rsidRDefault="0022048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w:t>
      </w:r>
    </w:p>
    <w:p w14:paraId="754B3E92" w14:textId="77777777" w:rsidR="00EF0B55" w:rsidRDefault="0022048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62AC4BF7" w14:textId="77777777" w:rsidR="00EF0B55" w:rsidRDefault="0022048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06EB3659" w14:textId="197FBA69" w:rsidR="00EF0B55" w:rsidRDefault="005A44AB">
      <w:pPr>
        <w:autoSpaceDE w:val="0"/>
        <w:autoSpaceDN w:val="0"/>
        <w:adjustRightInd w:val="0"/>
        <w:snapToGrid w:val="0"/>
        <w:spacing w:line="360" w:lineRule="auto"/>
        <w:ind w:leftChars="50" w:left="105" w:firstLineChars="200" w:firstLine="480"/>
        <w:rPr>
          <w:rFonts w:ascii="宋体" w:hAnsi="宋体"/>
          <w:kern w:val="0"/>
          <w:sz w:val="24"/>
        </w:rPr>
      </w:pPr>
      <w:r w:rsidRPr="00156651">
        <w:rPr>
          <w:rFonts w:ascii="Times New Roman" w:hAnsi="Times New Roman" w:hint="eastAsia"/>
          <w:kern w:val="0"/>
          <w:sz w:val="24"/>
        </w:rPr>
        <w:t>本次更新招募说明书主要对本基金增设</w:t>
      </w:r>
      <w:r>
        <w:rPr>
          <w:rFonts w:ascii="Times New Roman" w:hAnsi="Times New Roman"/>
          <w:kern w:val="0"/>
          <w:sz w:val="24"/>
        </w:rPr>
        <w:t>E</w:t>
      </w:r>
      <w:r w:rsidRPr="00156651">
        <w:rPr>
          <w:rFonts w:ascii="Times New Roman" w:hAnsi="Times New Roman" w:hint="eastAsia"/>
          <w:kern w:val="0"/>
          <w:sz w:val="24"/>
        </w:rPr>
        <w:t>类基金份额</w:t>
      </w:r>
      <w:r>
        <w:rPr>
          <w:rFonts w:ascii="Times New Roman" w:hAnsi="Times New Roman" w:hint="eastAsia"/>
          <w:kern w:val="0"/>
          <w:sz w:val="24"/>
        </w:rPr>
        <w:t>的</w:t>
      </w:r>
      <w:r w:rsidRPr="00156651">
        <w:rPr>
          <w:rFonts w:ascii="Times New Roman" w:hAnsi="Times New Roman" w:hint="eastAsia"/>
          <w:kern w:val="0"/>
          <w:sz w:val="24"/>
        </w:rPr>
        <w:t>相关信息进行更新，</w:t>
      </w:r>
      <w:r w:rsidR="00684D2B">
        <w:rPr>
          <w:rFonts w:ascii="Times New Roman" w:hAnsi="Times New Roman" w:hint="eastAsia"/>
          <w:kern w:val="0"/>
          <w:sz w:val="24"/>
        </w:rPr>
        <w:t>并更新基金管理人</w:t>
      </w:r>
      <w:r w:rsidR="00735F31">
        <w:rPr>
          <w:rFonts w:ascii="Times New Roman" w:hAnsi="Times New Roman" w:hint="eastAsia"/>
          <w:kern w:val="0"/>
          <w:sz w:val="24"/>
        </w:rPr>
        <w:t>及</w:t>
      </w:r>
      <w:r w:rsidR="00735F31" w:rsidRPr="00735F31">
        <w:rPr>
          <w:rFonts w:ascii="Times New Roman" w:hAnsi="Times New Roman" w:hint="eastAsia"/>
          <w:kern w:val="0"/>
          <w:sz w:val="24"/>
        </w:rPr>
        <w:t>会计师事务所</w:t>
      </w:r>
      <w:r w:rsidR="00684D2B">
        <w:rPr>
          <w:rFonts w:ascii="Times New Roman" w:hAnsi="Times New Roman" w:hint="eastAsia"/>
          <w:kern w:val="0"/>
          <w:sz w:val="24"/>
        </w:rPr>
        <w:t>信息，</w:t>
      </w:r>
      <w:r w:rsidRPr="00156651">
        <w:rPr>
          <w:rFonts w:ascii="Times New Roman" w:hAnsi="Times New Roman" w:hint="eastAsia"/>
          <w:kern w:val="0"/>
          <w:sz w:val="24"/>
        </w:rPr>
        <w:t>前述内容更新截止日为</w:t>
      </w:r>
      <w:r>
        <w:rPr>
          <w:rFonts w:ascii="Times New Roman" w:hAnsi="Times New Roman" w:hint="eastAsia"/>
          <w:kern w:val="0"/>
          <w:sz w:val="24"/>
        </w:rPr>
        <w:t>20</w:t>
      </w:r>
      <w:r>
        <w:rPr>
          <w:rFonts w:ascii="Times New Roman" w:hAnsi="Times New Roman"/>
          <w:kern w:val="0"/>
          <w:sz w:val="24"/>
        </w:rPr>
        <w:t>24</w:t>
      </w:r>
      <w:r w:rsidRPr="00156651">
        <w:rPr>
          <w:rFonts w:ascii="Times New Roman" w:hAnsi="Times New Roman" w:hint="eastAsia"/>
          <w:kern w:val="0"/>
          <w:sz w:val="24"/>
        </w:rPr>
        <w:t>年</w:t>
      </w:r>
      <w:r>
        <w:rPr>
          <w:rFonts w:ascii="Times New Roman" w:hAnsi="Times New Roman"/>
          <w:kern w:val="0"/>
          <w:sz w:val="24"/>
        </w:rPr>
        <w:t>12</w:t>
      </w:r>
      <w:r w:rsidRPr="00156651">
        <w:rPr>
          <w:rFonts w:ascii="Times New Roman" w:hAnsi="Times New Roman" w:hint="eastAsia"/>
          <w:kern w:val="0"/>
          <w:sz w:val="24"/>
        </w:rPr>
        <w:t>月</w:t>
      </w:r>
      <w:r w:rsidR="005B53FE">
        <w:rPr>
          <w:rFonts w:ascii="Times New Roman" w:hAnsi="Times New Roman"/>
          <w:kern w:val="0"/>
          <w:sz w:val="24"/>
        </w:rPr>
        <w:t>18</w:t>
      </w:r>
      <w:r w:rsidRPr="00156651">
        <w:rPr>
          <w:rFonts w:ascii="Times New Roman" w:hAnsi="Times New Roman" w:hint="eastAsia"/>
          <w:kern w:val="0"/>
          <w:sz w:val="24"/>
        </w:rPr>
        <w:t>日</w:t>
      </w:r>
      <w:r>
        <w:rPr>
          <w:rFonts w:ascii="Times New Roman" w:hAnsi="Times New Roman" w:hint="eastAsia"/>
          <w:kern w:val="0"/>
          <w:sz w:val="24"/>
        </w:rPr>
        <w:t>，</w:t>
      </w:r>
      <w:r w:rsidRPr="00156651">
        <w:rPr>
          <w:rFonts w:ascii="Times New Roman" w:hAnsi="Times New Roman" w:hint="eastAsia"/>
          <w:kern w:val="0"/>
          <w:sz w:val="24"/>
        </w:rPr>
        <w:t>除非另有说明，</w:t>
      </w:r>
      <w:r w:rsidR="0022048D">
        <w:rPr>
          <w:rFonts w:ascii="Times New Roman" w:hAnsi="Times New Roman"/>
          <w:kern w:val="0"/>
          <w:sz w:val="24"/>
        </w:rPr>
        <w:t>本招募说明书</w:t>
      </w:r>
      <w:r w:rsidR="006B2479">
        <w:rPr>
          <w:rFonts w:ascii="Times New Roman" w:hAnsi="Times New Roman" w:hint="eastAsia"/>
          <w:kern w:val="0"/>
          <w:sz w:val="24"/>
        </w:rPr>
        <w:t>其他</w:t>
      </w:r>
      <w:r w:rsidR="0022048D">
        <w:rPr>
          <w:rFonts w:ascii="Times New Roman" w:hAnsi="Times New Roman"/>
          <w:kern w:val="0"/>
          <w:sz w:val="24"/>
        </w:rPr>
        <w:t>所载内容截止日为</w:t>
      </w:r>
      <w:r w:rsidR="0022048D">
        <w:rPr>
          <w:rFonts w:ascii="Times New Roman" w:hAnsi="Times New Roman"/>
          <w:kern w:val="0"/>
          <w:sz w:val="24"/>
        </w:rPr>
        <w:t>2024</w:t>
      </w:r>
      <w:r w:rsidR="0022048D">
        <w:rPr>
          <w:rFonts w:ascii="Times New Roman" w:hAnsi="Times New Roman"/>
          <w:kern w:val="0"/>
          <w:sz w:val="24"/>
        </w:rPr>
        <w:t>年</w:t>
      </w:r>
      <w:r w:rsidR="0022048D">
        <w:rPr>
          <w:rFonts w:ascii="Times New Roman" w:hAnsi="Times New Roman"/>
          <w:kern w:val="0"/>
          <w:sz w:val="24"/>
        </w:rPr>
        <w:t>04</w:t>
      </w:r>
      <w:r w:rsidR="0022048D">
        <w:rPr>
          <w:rFonts w:ascii="Times New Roman" w:hAnsi="Times New Roman"/>
          <w:kern w:val="0"/>
          <w:sz w:val="24"/>
        </w:rPr>
        <w:t>月</w:t>
      </w:r>
      <w:r w:rsidR="0022048D">
        <w:rPr>
          <w:rFonts w:ascii="Times New Roman" w:hAnsi="Times New Roman"/>
          <w:kern w:val="0"/>
          <w:sz w:val="24"/>
        </w:rPr>
        <w:t>28</w:t>
      </w:r>
      <w:r w:rsidR="0022048D">
        <w:rPr>
          <w:rFonts w:ascii="Times New Roman" w:hAnsi="Times New Roman"/>
          <w:kern w:val="0"/>
          <w:sz w:val="24"/>
        </w:rPr>
        <w:t>日，有关财务数据和净值表现截止日为</w:t>
      </w:r>
      <w:r w:rsidR="0022048D">
        <w:rPr>
          <w:rFonts w:ascii="Times New Roman" w:hAnsi="Times New Roman"/>
          <w:kern w:val="0"/>
          <w:sz w:val="24"/>
        </w:rPr>
        <w:t>2024</w:t>
      </w:r>
      <w:r w:rsidR="0022048D">
        <w:rPr>
          <w:rFonts w:ascii="Times New Roman" w:hAnsi="Times New Roman"/>
          <w:kern w:val="0"/>
          <w:sz w:val="24"/>
        </w:rPr>
        <w:t>年</w:t>
      </w:r>
      <w:r w:rsidR="0022048D">
        <w:rPr>
          <w:rFonts w:ascii="Times New Roman" w:hAnsi="Times New Roman"/>
          <w:kern w:val="0"/>
          <w:sz w:val="24"/>
        </w:rPr>
        <w:t>03</w:t>
      </w:r>
      <w:r w:rsidR="0022048D">
        <w:rPr>
          <w:rFonts w:ascii="Times New Roman" w:hAnsi="Times New Roman"/>
          <w:kern w:val="0"/>
          <w:sz w:val="24"/>
        </w:rPr>
        <w:t>月</w:t>
      </w:r>
      <w:r w:rsidR="0022048D">
        <w:rPr>
          <w:rFonts w:ascii="Times New Roman" w:hAnsi="Times New Roman"/>
          <w:kern w:val="0"/>
          <w:sz w:val="24"/>
        </w:rPr>
        <w:t>31</w:t>
      </w:r>
      <w:r w:rsidR="0022048D">
        <w:rPr>
          <w:rFonts w:ascii="Times New Roman" w:hAnsi="Times New Roman"/>
          <w:kern w:val="0"/>
          <w:sz w:val="24"/>
        </w:rPr>
        <w:t>日。本招募说明书所载的财务数据未经审计。</w:t>
      </w:r>
    </w:p>
    <w:p w14:paraId="0890B23A" w14:textId="77777777" w:rsidR="00EF0B55" w:rsidRDefault="00EF0B55">
      <w:pPr>
        <w:autoSpaceDE w:val="0"/>
        <w:autoSpaceDN w:val="0"/>
        <w:adjustRightInd w:val="0"/>
        <w:snapToGrid w:val="0"/>
        <w:spacing w:before="51" w:line="360" w:lineRule="auto"/>
        <w:ind w:left="120" w:rightChars="6" w:right="13" w:firstLine="480"/>
        <w:rPr>
          <w:rFonts w:ascii="宋体" w:hAnsi="宋体"/>
          <w:kern w:val="0"/>
          <w:szCs w:val="24"/>
        </w:rPr>
        <w:sectPr w:rsidR="00EF0B55">
          <w:headerReference w:type="default" r:id="rId12"/>
          <w:pgSz w:w="11920" w:h="16840"/>
          <w:pgMar w:top="1440" w:right="1680" w:bottom="280" w:left="1680" w:header="0" w:footer="1073" w:gutter="0"/>
          <w:pgNumType w:start="1"/>
          <w:cols w:space="720"/>
        </w:sectPr>
      </w:pPr>
      <w:bookmarkStart w:id="3" w:name="_GoBack"/>
      <w:bookmarkEnd w:id="3"/>
    </w:p>
    <w:p w14:paraId="32120FE5" w14:textId="77777777" w:rsidR="00957CDC" w:rsidRPr="00957CDC" w:rsidRDefault="0022048D" w:rsidP="00957CDC">
      <w:pPr>
        <w:pStyle w:val="af3"/>
        <w:snapToGrid w:val="0"/>
        <w:spacing w:after="240" w:line="360" w:lineRule="auto"/>
        <w:jc w:val="center"/>
        <w:rPr>
          <w:rFonts w:ascii="宋体" w:hAnsi="宋体"/>
          <w:noProof/>
          <w:sz w:val="24"/>
        </w:rPr>
      </w:pPr>
      <w:r w:rsidRPr="00957CDC">
        <w:rPr>
          <w:rFonts w:ascii="宋体" w:hAnsi="宋体"/>
          <w:color w:val="000000"/>
          <w:position w:val="-4"/>
          <w:sz w:val="24"/>
          <w:szCs w:val="30"/>
        </w:rPr>
        <w:lastRenderedPageBreak/>
        <w:t>目</w:t>
      </w:r>
      <w:r w:rsidRPr="00957CDC">
        <w:rPr>
          <w:rFonts w:ascii="宋体" w:hAnsi="宋体"/>
          <w:color w:val="000000"/>
          <w:position w:val="-4"/>
          <w:sz w:val="24"/>
          <w:szCs w:val="30"/>
        </w:rPr>
        <w:tab/>
        <w:t>录</w:t>
      </w:r>
      <w:r w:rsidR="00957CDC" w:rsidRPr="00957CDC">
        <w:rPr>
          <w:rFonts w:ascii="宋体" w:hAnsi="宋体"/>
          <w:color w:val="000000"/>
          <w:position w:val="-4"/>
          <w:sz w:val="24"/>
          <w:szCs w:val="30"/>
        </w:rPr>
        <w:fldChar w:fldCharType="begin"/>
      </w:r>
      <w:r w:rsidR="00957CDC" w:rsidRPr="00957CDC">
        <w:rPr>
          <w:rFonts w:ascii="宋体" w:hAnsi="宋体"/>
          <w:color w:val="000000"/>
          <w:position w:val="-4"/>
          <w:sz w:val="24"/>
          <w:szCs w:val="30"/>
        </w:rPr>
        <w:instrText xml:space="preserve"> TOC \o "1-3" \f - \h \t "-1" </w:instrText>
      </w:r>
      <w:r w:rsidR="00957CDC" w:rsidRPr="00957CDC">
        <w:rPr>
          <w:rFonts w:ascii="宋体" w:hAnsi="宋体"/>
          <w:color w:val="000000"/>
          <w:position w:val="-4"/>
          <w:sz w:val="24"/>
          <w:szCs w:val="30"/>
        </w:rPr>
        <w:fldChar w:fldCharType="separate"/>
      </w:r>
    </w:p>
    <w:p w14:paraId="79F8A033" w14:textId="326568CC" w:rsidR="00957CDC" w:rsidRPr="00093421" w:rsidRDefault="00F4039F" w:rsidP="00957CDC">
      <w:pPr>
        <w:pStyle w:val="11"/>
        <w:tabs>
          <w:tab w:val="right" w:leader="dot" w:pos="8550"/>
        </w:tabs>
        <w:spacing w:line="360" w:lineRule="auto"/>
        <w:rPr>
          <w:rFonts w:ascii="宋体" w:hAnsi="宋体"/>
          <w:noProof/>
          <w:sz w:val="24"/>
        </w:rPr>
      </w:pPr>
      <w:hyperlink w:anchor="_Toc166054606" w:history="1">
        <w:r w:rsidR="00957CDC" w:rsidRPr="00957CDC">
          <w:rPr>
            <w:rStyle w:val="af0"/>
            <w:rFonts w:ascii="宋体" w:hAnsi="宋体" w:hint="eastAsia"/>
            <w:noProof/>
            <w:kern w:val="0"/>
            <w:sz w:val="24"/>
          </w:rPr>
          <w:t>重要提示</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_Toc166054606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w:t>
        </w:r>
        <w:r w:rsidR="00957CDC" w:rsidRPr="00957CDC">
          <w:rPr>
            <w:rFonts w:ascii="宋体" w:hAnsi="宋体"/>
            <w:noProof/>
            <w:sz w:val="24"/>
          </w:rPr>
          <w:fldChar w:fldCharType="end"/>
        </w:r>
      </w:hyperlink>
    </w:p>
    <w:p w14:paraId="5226C6D4" w14:textId="00950140" w:rsidR="00957CDC" w:rsidRPr="00093421" w:rsidRDefault="00F4039F" w:rsidP="00957CDC">
      <w:pPr>
        <w:pStyle w:val="11"/>
        <w:tabs>
          <w:tab w:val="right" w:leader="dot" w:pos="8550"/>
        </w:tabs>
        <w:spacing w:line="360" w:lineRule="auto"/>
        <w:rPr>
          <w:rFonts w:ascii="宋体" w:hAnsi="宋体"/>
          <w:noProof/>
          <w:sz w:val="24"/>
        </w:rPr>
      </w:pPr>
      <w:hyperlink w:anchor="_Toc166054607" w:history="1">
        <w:r w:rsidR="00957CDC" w:rsidRPr="00957CDC">
          <w:rPr>
            <w:rStyle w:val="af0"/>
            <w:rFonts w:ascii="宋体" w:hAnsi="宋体" w:hint="eastAsia"/>
            <w:noProof/>
            <w:sz w:val="24"/>
          </w:rPr>
          <w:t>一、绪言</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_Toc166054607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4</w:t>
        </w:r>
        <w:r w:rsidR="00957CDC" w:rsidRPr="00957CDC">
          <w:rPr>
            <w:rFonts w:ascii="宋体" w:hAnsi="宋体"/>
            <w:noProof/>
            <w:sz w:val="24"/>
          </w:rPr>
          <w:fldChar w:fldCharType="end"/>
        </w:r>
      </w:hyperlink>
    </w:p>
    <w:p w14:paraId="34A6880F" w14:textId="60125A44" w:rsidR="00957CDC" w:rsidRPr="00093421" w:rsidRDefault="00F4039F" w:rsidP="00957CDC">
      <w:pPr>
        <w:pStyle w:val="11"/>
        <w:tabs>
          <w:tab w:val="right" w:leader="dot" w:pos="8550"/>
        </w:tabs>
        <w:spacing w:line="360" w:lineRule="auto"/>
        <w:rPr>
          <w:rFonts w:ascii="宋体" w:hAnsi="宋体"/>
          <w:noProof/>
          <w:sz w:val="24"/>
        </w:rPr>
      </w:pPr>
      <w:hyperlink w:anchor="_Toc166054608" w:history="1">
        <w:r w:rsidR="00957CDC" w:rsidRPr="00957CDC">
          <w:rPr>
            <w:rStyle w:val="af0"/>
            <w:rFonts w:ascii="宋体" w:hAnsi="宋体" w:hint="eastAsia"/>
            <w:noProof/>
            <w:sz w:val="24"/>
          </w:rPr>
          <w:t>二、释义</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_Toc166054608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5</w:t>
        </w:r>
        <w:r w:rsidR="00957CDC" w:rsidRPr="00957CDC">
          <w:rPr>
            <w:rFonts w:ascii="宋体" w:hAnsi="宋体"/>
            <w:noProof/>
            <w:sz w:val="24"/>
          </w:rPr>
          <w:fldChar w:fldCharType="end"/>
        </w:r>
      </w:hyperlink>
    </w:p>
    <w:p w14:paraId="73BE8781" w14:textId="24657176" w:rsidR="00957CDC" w:rsidRPr="00093421" w:rsidRDefault="00F4039F" w:rsidP="00957CDC">
      <w:pPr>
        <w:pStyle w:val="11"/>
        <w:tabs>
          <w:tab w:val="right" w:leader="dot" w:pos="8550"/>
        </w:tabs>
        <w:spacing w:line="360" w:lineRule="auto"/>
        <w:rPr>
          <w:rFonts w:ascii="宋体" w:hAnsi="宋体"/>
          <w:noProof/>
          <w:sz w:val="24"/>
        </w:rPr>
      </w:pPr>
      <w:hyperlink w:anchor="_Toc166054609" w:history="1">
        <w:r w:rsidR="00957CDC" w:rsidRPr="00957CDC">
          <w:rPr>
            <w:rStyle w:val="af0"/>
            <w:rFonts w:ascii="宋体" w:hAnsi="宋体" w:hint="eastAsia"/>
            <w:noProof/>
            <w:sz w:val="24"/>
          </w:rPr>
          <w:t>三、基金管理人</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_Toc166054609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10</w:t>
        </w:r>
        <w:r w:rsidR="00957CDC" w:rsidRPr="00957CDC">
          <w:rPr>
            <w:rFonts w:ascii="宋体" w:hAnsi="宋体"/>
            <w:noProof/>
            <w:sz w:val="24"/>
          </w:rPr>
          <w:fldChar w:fldCharType="end"/>
        </w:r>
      </w:hyperlink>
    </w:p>
    <w:p w14:paraId="6F615AD1" w14:textId="27EFEA69" w:rsidR="00957CDC" w:rsidRPr="00093421" w:rsidRDefault="00F4039F" w:rsidP="00957CDC">
      <w:pPr>
        <w:pStyle w:val="11"/>
        <w:tabs>
          <w:tab w:val="right" w:leader="dot" w:pos="8550"/>
        </w:tabs>
        <w:spacing w:line="360" w:lineRule="auto"/>
        <w:rPr>
          <w:rFonts w:ascii="宋体" w:hAnsi="宋体"/>
          <w:noProof/>
          <w:sz w:val="24"/>
        </w:rPr>
      </w:pPr>
      <w:hyperlink w:anchor="_Toc166054610" w:history="1">
        <w:r w:rsidR="00957CDC" w:rsidRPr="00957CDC">
          <w:rPr>
            <w:rStyle w:val="af0"/>
            <w:rFonts w:ascii="宋体" w:hAnsi="宋体" w:hint="eastAsia"/>
            <w:noProof/>
            <w:sz w:val="24"/>
          </w:rPr>
          <w:t>四、基金托管人</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_Toc166054610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19</w:t>
        </w:r>
        <w:r w:rsidR="00957CDC" w:rsidRPr="00957CDC">
          <w:rPr>
            <w:rFonts w:ascii="宋体" w:hAnsi="宋体"/>
            <w:noProof/>
            <w:sz w:val="24"/>
          </w:rPr>
          <w:fldChar w:fldCharType="end"/>
        </w:r>
      </w:hyperlink>
    </w:p>
    <w:p w14:paraId="04E606FB" w14:textId="027B1B2E" w:rsidR="00957CDC" w:rsidRPr="00093421" w:rsidRDefault="00F4039F" w:rsidP="00957CDC">
      <w:pPr>
        <w:pStyle w:val="11"/>
        <w:tabs>
          <w:tab w:val="right" w:leader="dot" w:pos="8550"/>
        </w:tabs>
        <w:spacing w:line="360" w:lineRule="auto"/>
        <w:rPr>
          <w:rFonts w:ascii="宋体" w:hAnsi="宋体"/>
          <w:noProof/>
          <w:sz w:val="24"/>
        </w:rPr>
      </w:pPr>
      <w:hyperlink w:anchor="_Toc166054611" w:history="1">
        <w:r w:rsidR="00957CDC" w:rsidRPr="00957CDC">
          <w:rPr>
            <w:rStyle w:val="af0"/>
            <w:rFonts w:ascii="宋体" w:hAnsi="宋体" w:hint="eastAsia"/>
            <w:noProof/>
            <w:sz w:val="24"/>
          </w:rPr>
          <w:t>五、相关服务机构</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_Toc166054611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26</w:t>
        </w:r>
        <w:r w:rsidR="00957CDC" w:rsidRPr="00957CDC">
          <w:rPr>
            <w:rFonts w:ascii="宋体" w:hAnsi="宋体"/>
            <w:noProof/>
            <w:sz w:val="24"/>
          </w:rPr>
          <w:fldChar w:fldCharType="end"/>
        </w:r>
      </w:hyperlink>
    </w:p>
    <w:p w14:paraId="07A672D3" w14:textId="4C8A36CA" w:rsidR="00957CDC" w:rsidRPr="00093421" w:rsidRDefault="00F4039F" w:rsidP="00957CDC">
      <w:pPr>
        <w:pStyle w:val="11"/>
        <w:tabs>
          <w:tab w:val="right" w:leader="dot" w:pos="8550"/>
        </w:tabs>
        <w:spacing w:line="360" w:lineRule="auto"/>
        <w:rPr>
          <w:rFonts w:ascii="宋体" w:hAnsi="宋体"/>
          <w:noProof/>
          <w:sz w:val="24"/>
        </w:rPr>
      </w:pPr>
      <w:hyperlink w:anchor="_Toc166054612" w:history="1">
        <w:r w:rsidR="00957CDC" w:rsidRPr="00957CDC">
          <w:rPr>
            <w:rStyle w:val="af0"/>
            <w:rFonts w:ascii="宋体" w:hAnsi="宋体" w:hint="eastAsia"/>
            <w:noProof/>
            <w:sz w:val="24"/>
          </w:rPr>
          <w:t>六、基金的募集</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_Toc166054612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52</w:t>
        </w:r>
        <w:r w:rsidR="00957CDC" w:rsidRPr="00957CDC">
          <w:rPr>
            <w:rFonts w:ascii="宋体" w:hAnsi="宋体"/>
            <w:noProof/>
            <w:sz w:val="24"/>
          </w:rPr>
          <w:fldChar w:fldCharType="end"/>
        </w:r>
      </w:hyperlink>
    </w:p>
    <w:p w14:paraId="178FBF81" w14:textId="54B1D8E7" w:rsidR="00957CDC" w:rsidRPr="00093421" w:rsidRDefault="00F4039F" w:rsidP="00957CDC">
      <w:pPr>
        <w:pStyle w:val="11"/>
        <w:tabs>
          <w:tab w:val="right" w:leader="dot" w:pos="8550"/>
        </w:tabs>
        <w:spacing w:line="360" w:lineRule="auto"/>
        <w:rPr>
          <w:rFonts w:ascii="宋体" w:hAnsi="宋体"/>
          <w:noProof/>
          <w:sz w:val="24"/>
        </w:rPr>
      </w:pPr>
      <w:hyperlink w:anchor="_Toc166054613" w:history="1">
        <w:r w:rsidR="00957CDC" w:rsidRPr="00957CDC">
          <w:rPr>
            <w:rStyle w:val="af0"/>
            <w:rFonts w:ascii="宋体" w:hAnsi="宋体" w:hint="eastAsia"/>
            <w:noProof/>
            <w:sz w:val="24"/>
          </w:rPr>
          <w:t>七、基金合同的生效</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_Toc166054613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53</w:t>
        </w:r>
        <w:r w:rsidR="00957CDC" w:rsidRPr="00957CDC">
          <w:rPr>
            <w:rFonts w:ascii="宋体" w:hAnsi="宋体"/>
            <w:noProof/>
            <w:sz w:val="24"/>
          </w:rPr>
          <w:fldChar w:fldCharType="end"/>
        </w:r>
      </w:hyperlink>
    </w:p>
    <w:p w14:paraId="00B269D8" w14:textId="0535B38F" w:rsidR="00957CDC" w:rsidRPr="00093421" w:rsidRDefault="00F4039F" w:rsidP="00957CDC">
      <w:pPr>
        <w:pStyle w:val="11"/>
        <w:tabs>
          <w:tab w:val="right" w:leader="dot" w:pos="8550"/>
        </w:tabs>
        <w:spacing w:line="360" w:lineRule="auto"/>
        <w:rPr>
          <w:rFonts w:ascii="宋体" w:hAnsi="宋体"/>
          <w:noProof/>
          <w:sz w:val="24"/>
        </w:rPr>
      </w:pPr>
      <w:hyperlink w:anchor="_Toc166054614" w:history="1">
        <w:r w:rsidR="00957CDC" w:rsidRPr="00957CDC">
          <w:rPr>
            <w:rStyle w:val="af0"/>
            <w:rFonts w:ascii="宋体" w:hAnsi="宋体" w:hint="eastAsia"/>
            <w:noProof/>
            <w:sz w:val="24"/>
          </w:rPr>
          <w:t>八、基金份额的申购与赎回</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_Toc166054614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54</w:t>
        </w:r>
        <w:r w:rsidR="00957CDC" w:rsidRPr="00957CDC">
          <w:rPr>
            <w:rFonts w:ascii="宋体" w:hAnsi="宋体"/>
            <w:noProof/>
            <w:sz w:val="24"/>
          </w:rPr>
          <w:fldChar w:fldCharType="end"/>
        </w:r>
      </w:hyperlink>
    </w:p>
    <w:p w14:paraId="57933CDD" w14:textId="6089095D" w:rsidR="00957CDC" w:rsidRPr="00093421" w:rsidRDefault="00F4039F" w:rsidP="00957CDC">
      <w:pPr>
        <w:pStyle w:val="11"/>
        <w:tabs>
          <w:tab w:val="right" w:leader="dot" w:pos="8550"/>
        </w:tabs>
        <w:spacing w:line="360" w:lineRule="auto"/>
        <w:rPr>
          <w:rFonts w:ascii="宋体" w:hAnsi="宋体"/>
          <w:noProof/>
          <w:sz w:val="24"/>
        </w:rPr>
      </w:pPr>
      <w:hyperlink w:anchor="_Toc166054615" w:history="1">
        <w:r w:rsidR="00957CDC" w:rsidRPr="00957CDC">
          <w:rPr>
            <w:rStyle w:val="af0"/>
            <w:rFonts w:ascii="宋体" w:hAnsi="宋体" w:hint="eastAsia"/>
            <w:noProof/>
            <w:sz w:val="24"/>
          </w:rPr>
          <w:t>九、基金的转换</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_Toc166054615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71</w:t>
        </w:r>
        <w:r w:rsidR="00957CDC" w:rsidRPr="00957CDC">
          <w:rPr>
            <w:rFonts w:ascii="宋体" w:hAnsi="宋体"/>
            <w:noProof/>
            <w:sz w:val="24"/>
          </w:rPr>
          <w:fldChar w:fldCharType="end"/>
        </w:r>
      </w:hyperlink>
    </w:p>
    <w:p w14:paraId="4692C95F" w14:textId="7ABCC7DD" w:rsidR="00957CDC" w:rsidRPr="00093421" w:rsidRDefault="00F4039F" w:rsidP="00957CDC">
      <w:pPr>
        <w:pStyle w:val="11"/>
        <w:tabs>
          <w:tab w:val="right" w:leader="dot" w:pos="8550"/>
        </w:tabs>
        <w:spacing w:line="360" w:lineRule="auto"/>
        <w:rPr>
          <w:rFonts w:ascii="宋体" w:hAnsi="宋体"/>
          <w:noProof/>
          <w:sz w:val="24"/>
        </w:rPr>
      </w:pPr>
      <w:hyperlink w:anchor="_Toc166054616" w:history="1">
        <w:r w:rsidR="00957CDC" w:rsidRPr="00957CDC">
          <w:rPr>
            <w:rStyle w:val="af0"/>
            <w:rFonts w:ascii="宋体" w:hAnsi="宋体" w:hint="eastAsia"/>
            <w:noProof/>
            <w:sz w:val="24"/>
          </w:rPr>
          <w:t>十、基金的投资</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_Toc166054616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78</w:t>
        </w:r>
        <w:r w:rsidR="00957CDC" w:rsidRPr="00957CDC">
          <w:rPr>
            <w:rFonts w:ascii="宋体" w:hAnsi="宋体"/>
            <w:noProof/>
            <w:sz w:val="24"/>
          </w:rPr>
          <w:fldChar w:fldCharType="end"/>
        </w:r>
      </w:hyperlink>
    </w:p>
    <w:p w14:paraId="084413B6" w14:textId="485EF8A2" w:rsidR="00957CDC" w:rsidRPr="00093421" w:rsidRDefault="00F4039F" w:rsidP="00957CDC">
      <w:pPr>
        <w:pStyle w:val="11"/>
        <w:tabs>
          <w:tab w:val="right" w:leader="dot" w:pos="8550"/>
        </w:tabs>
        <w:spacing w:line="360" w:lineRule="auto"/>
        <w:rPr>
          <w:rFonts w:ascii="宋体" w:hAnsi="宋体"/>
          <w:noProof/>
          <w:sz w:val="24"/>
        </w:rPr>
      </w:pPr>
      <w:hyperlink w:anchor="_Toc166054617" w:history="1">
        <w:r w:rsidR="00957CDC" w:rsidRPr="00957CDC">
          <w:rPr>
            <w:rStyle w:val="af0"/>
            <w:rFonts w:ascii="宋体" w:hAnsi="宋体" w:hint="eastAsia"/>
            <w:noProof/>
            <w:sz w:val="24"/>
          </w:rPr>
          <w:t>十一、基金的业绩</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_Toc166054617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90</w:t>
        </w:r>
        <w:r w:rsidR="00957CDC" w:rsidRPr="00957CDC">
          <w:rPr>
            <w:rFonts w:ascii="宋体" w:hAnsi="宋体"/>
            <w:noProof/>
            <w:sz w:val="24"/>
          </w:rPr>
          <w:fldChar w:fldCharType="end"/>
        </w:r>
      </w:hyperlink>
    </w:p>
    <w:p w14:paraId="36B4EA8F" w14:textId="69A29E91" w:rsidR="00957CDC" w:rsidRPr="00093421" w:rsidRDefault="00F4039F" w:rsidP="00957CDC">
      <w:pPr>
        <w:pStyle w:val="11"/>
        <w:tabs>
          <w:tab w:val="right" w:leader="dot" w:pos="8550"/>
        </w:tabs>
        <w:spacing w:line="360" w:lineRule="auto"/>
        <w:rPr>
          <w:rFonts w:ascii="宋体" w:hAnsi="宋体"/>
          <w:noProof/>
          <w:sz w:val="24"/>
        </w:rPr>
      </w:pPr>
      <w:hyperlink w:anchor="_Toc166054618" w:history="1">
        <w:r w:rsidR="00957CDC" w:rsidRPr="00957CDC">
          <w:rPr>
            <w:rStyle w:val="af0"/>
            <w:rFonts w:ascii="宋体" w:hAnsi="宋体" w:hint="eastAsia"/>
            <w:noProof/>
            <w:sz w:val="24"/>
          </w:rPr>
          <w:t>十二、基金的财产</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_Toc166054618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95</w:t>
        </w:r>
        <w:r w:rsidR="00957CDC" w:rsidRPr="00957CDC">
          <w:rPr>
            <w:rFonts w:ascii="宋体" w:hAnsi="宋体"/>
            <w:noProof/>
            <w:sz w:val="24"/>
          </w:rPr>
          <w:fldChar w:fldCharType="end"/>
        </w:r>
      </w:hyperlink>
    </w:p>
    <w:p w14:paraId="559747B0" w14:textId="02A467F8" w:rsidR="00957CDC" w:rsidRPr="00093421" w:rsidRDefault="00F4039F" w:rsidP="00957CDC">
      <w:pPr>
        <w:pStyle w:val="11"/>
        <w:tabs>
          <w:tab w:val="right" w:leader="dot" w:pos="8550"/>
        </w:tabs>
        <w:spacing w:line="360" w:lineRule="auto"/>
        <w:rPr>
          <w:rFonts w:ascii="宋体" w:hAnsi="宋体"/>
          <w:noProof/>
          <w:sz w:val="24"/>
        </w:rPr>
      </w:pPr>
      <w:hyperlink w:anchor="_Toc166054619" w:history="1">
        <w:r w:rsidR="00957CDC" w:rsidRPr="00957CDC">
          <w:rPr>
            <w:rStyle w:val="af0"/>
            <w:rFonts w:ascii="宋体" w:hAnsi="宋体" w:hint="eastAsia"/>
            <w:noProof/>
            <w:sz w:val="24"/>
          </w:rPr>
          <w:t>十三、基金资产的估值</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_Toc166054619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96</w:t>
        </w:r>
        <w:r w:rsidR="00957CDC" w:rsidRPr="00957CDC">
          <w:rPr>
            <w:rFonts w:ascii="宋体" w:hAnsi="宋体"/>
            <w:noProof/>
            <w:sz w:val="24"/>
          </w:rPr>
          <w:fldChar w:fldCharType="end"/>
        </w:r>
      </w:hyperlink>
    </w:p>
    <w:p w14:paraId="27A61FAD" w14:textId="2AEAE89D" w:rsidR="00957CDC" w:rsidRPr="00093421" w:rsidRDefault="00F4039F" w:rsidP="00957CDC">
      <w:pPr>
        <w:pStyle w:val="11"/>
        <w:tabs>
          <w:tab w:val="right" w:leader="dot" w:pos="8550"/>
        </w:tabs>
        <w:spacing w:line="360" w:lineRule="auto"/>
        <w:rPr>
          <w:rFonts w:ascii="宋体" w:hAnsi="宋体"/>
          <w:noProof/>
          <w:sz w:val="24"/>
        </w:rPr>
      </w:pPr>
      <w:hyperlink w:anchor="_Toc166054620" w:history="1">
        <w:r w:rsidR="00957CDC" w:rsidRPr="00957CDC">
          <w:rPr>
            <w:rStyle w:val="af0"/>
            <w:rFonts w:ascii="宋体" w:hAnsi="宋体" w:hint="eastAsia"/>
            <w:noProof/>
            <w:sz w:val="24"/>
          </w:rPr>
          <w:t>十四、基金收益与分配</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_Toc166054620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101</w:t>
        </w:r>
        <w:r w:rsidR="00957CDC" w:rsidRPr="00957CDC">
          <w:rPr>
            <w:rFonts w:ascii="宋体" w:hAnsi="宋体"/>
            <w:noProof/>
            <w:sz w:val="24"/>
          </w:rPr>
          <w:fldChar w:fldCharType="end"/>
        </w:r>
      </w:hyperlink>
    </w:p>
    <w:p w14:paraId="2B1A098A" w14:textId="09171AEA" w:rsidR="00957CDC" w:rsidRPr="00093421" w:rsidRDefault="00F4039F" w:rsidP="00957CDC">
      <w:pPr>
        <w:pStyle w:val="11"/>
        <w:tabs>
          <w:tab w:val="right" w:leader="dot" w:pos="8550"/>
        </w:tabs>
        <w:spacing w:line="360" w:lineRule="auto"/>
        <w:rPr>
          <w:rFonts w:ascii="宋体" w:hAnsi="宋体"/>
          <w:noProof/>
          <w:sz w:val="24"/>
        </w:rPr>
      </w:pPr>
      <w:hyperlink w:anchor="_Toc166054621" w:history="1">
        <w:r w:rsidR="00957CDC" w:rsidRPr="00957CDC">
          <w:rPr>
            <w:rStyle w:val="af0"/>
            <w:rFonts w:ascii="宋体" w:hAnsi="宋体" w:hint="eastAsia"/>
            <w:noProof/>
            <w:sz w:val="24"/>
          </w:rPr>
          <w:t>十五、基金的费用与税收</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_Toc166054621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103</w:t>
        </w:r>
        <w:r w:rsidR="00957CDC" w:rsidRPr="00957CDC">
          <w:rPr>
            <w:rFonts w:ascii="宋体" w:hAnsi="宋体"/>
            <w:noProof/>
            <w:sz w:val="24"/>
          </w:rPr>
          <w:fldChar w:fldCharType="end"/>
        </w:r>
      </w:hyperlink>
    </w:p>
    <w:p w14:paraId="20ECB6DF" w14:textId="02970A0F" w:rsidR="00957CDC" w:rsidRPr="00093421" w:rsidRDefault="00F4039F" w:rsidP="00957CDC">
      <w:pPr>
        <w:pStyle w:val="11"/>
        <w:tabs>
          <w:tab w:val="right" w:leader="dot" w:pos="8550"/>
        </w:tabs>
        <w:spacing w:line="360" w:lineRule="auto"/>
        <w:rPr>
          <w:rFonts w:ascii="宋体" w:hAnsi="宋体"/>
          <w:noProof/>
          <w:sz w:val="24"/>
        </w:rPr>
      </w:pPr>
      <w:hyperlink w:anchor="_Toc166054622" w:history="1">
        <w:r w:rsidR="00957CDC" w:rsidRPr="00957CDC">
          <w:rPr>
            <w:rStyle w:val="af0"/>
            <w:rFonts w:ascii="宋体" w:hAnsi="宋体" w:hint="eastAsia"/>
            <w:noProof/>
            <w:sz w:val="24"/>
          </w:rPr>
          <w:t>十六、基金的会计与审计</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_Toc166054622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106</w:t>
        </w:r>
        <w:r w:rsidR="00957CDC" w:rsidRPr="00957CDC">
          <w:rPr>
            <w:rFonts w:ascii="宋体" w:hAnsi="宋体"/>
            <w:noProof/>
            <w:sz w:val="24"/>
          </w:rPr>
          <w:fldChar w:fldCharType="end"/>
        </w:r>
      </w:hyperlink>
    </w:p>
    <w:p w14:paraId="34304448" w14:textId="5DC9AEFB" w:rsidR="00957CDC" w:rsidRPr="00093421" w:rsidRDefault="00F4039F" w:rsidP="00957CDC">
      <w:pPr>
        <w:pStyle w:val="11"/>
        <w:tabs>
          <w:tab w:val="right" w:leader="dot" w:pos="8550"/>
        </w:tabs>
        <w:spacing w:line="360" w:lineRule="auto"/>
        <w:rPr>
          <w:rFonts w:ascii="宋体" w:hAnsi="宋体"/>
          <w:noProof/>
          <w:sz w:val="24"/>
        </w:rPr>
      </w:pPr>
      <w:hyperlink w:anchor="_Toc166054623" w:history="1">
        <w:r w:rsidR="00957CDC" w:rsidRPr="00957CDC">
          <w:rPr>
            <w:rStyle w:val="af0"/>
            <w:rFonts w:ascii="宋体" w:hAnsi="宋体" w:hint="eastAsia"/>
            <w:noProof/>
            <w:sz w:val="24"/>
          </w:rPr>
          <w:t>十七、基金的信息披露</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_Toc166054623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107</w:t>
        </w:r>
        <w:r w:rsidR="00957CDC" w:rsidRPr="00957CDC">
          <w:rPr>
            <w:rFonts w:ascii="宋体" w:hAnsi="宋体"/>
            <w:noProof/>
            <w:sz w:val="24"/>
          </w:rPr>
          <w:fldChar w:fldCharType="end"/>
        </w:r>
      </w:hyperlink>
    </w:p>
    <w:p w14:paraId="3AB84BA2" w14:textId="265D96DC" w:rsidR="00957CDC" w:rsidRPr="00093421" w:rsidRDefault="00F4039F" w:rsidP="00957CDC">
      <w:pPr>
        <w:pStyle w:val="11"/>
        <w:tabs>
          <w:tab w:val="right" w:leader="dot" w:pos="8550"/>
        </w:tabs>
        <w:spacing w:line="360" w:lineRule="auto"/>
        <w:rPr>
          <w:rFonts w:ascii="宋体" w:hAnsi="宋体"/>
          <w:noProof/>
          <w:sz w:val="24"/>
        </w:rPr>
      </w:pPr>
      <w:hyperlink w:anchor="_Toc166054624" w:history="1">
        <w:r w:rsidR="00957CDC" w:rsidRPr="00957CDC">
          <w:rPr>
            <w:rStyle w:val="af0"/>
            <w:rFonts w:ascii="宋体" w:hAnsi="宋体" w:hint="eastAsia"/>
            <w:noProof/>
            <w:sz w:val="24"/>
          </w:rPr>
          <w:t>十八、侧袋机制</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_Toc166054624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114</w:t>
        </w:r>
        <w:r w:rsidR="00957CDC" w:rsidRPr="00957CDC">
          <w:rPr>
            <w:rFonts w:ascii="宋体" w:hAnsi="宋体"/>
            <w:noProof/>
            <w:sz w:val="24"/>
          </w:rPr>
          <w:fldChar w:fldCharType="end"/>
        </w:r>
      </w:hyperlink>
    </w:p>
    <w:p w14:paraId="4B3A58A6" w14:textId="51514242" w:rsidR="00957CDC" w:rsidRPr="00093421" w:rsidRDefault="00F4039F" w:rsidP="00957CDC">
      <w:pPr>
        <w:pStyle w:val="11"/>
        <w:tabs>
          <w:tab w:val="right" w:leader="dot" w:pos="8550"/>
        </w:tabs>
        <w:spacing w:line="360" w:lineRule="auto"/>
        <w:rPr>
          <w:rFonts w:ascii="宋体" w:hAnsi="宋体"/>
          <w:noProof/>
          <w:sz w:val="24"/>
        </w:rPr>
      </w:pPr>
      <w:hyperlink w:anchor="_Toc166054625" w:history="1">
        <w:r w:rsidR="00957CDC" w:rsidRPr="00957CDC">
          <w:rPr>
            <w:rStyle w:val="af0"/>
            <w:rFonts w:ascii="宋体" w:hAnsi="宋体" w:hint="eastAsia"/>
            <w:noProof/>
            <w:sz w:val="24"/>
          </w:rPr>
          <w:t>十九、风险揭示</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_Toc166054625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117</w:t>
        </w:r>
        <w:r w:rsidR="00957CDC" w:rsidRPr="00957CDC">
          <w:rPr>
            <w:rFonts w:ascii="宋体" w:hAnsi="宋体"/>
            <w:noProof/>
            <w:sz w:val="24"/>
          </w:rPr>
          <w:fldChar w:fldCharType="end"/>
        </w:r>
      </w:hyperlink>
    </w:p>
    <w:p w14:paraId="1867A722" w14:textId="63D36F53" w:rsidR="00957CDC" w:rsidRPr="00093421" w:rsidRDefault="00F4039F" w:rsidP="00957CDC">
      <w:pPr>
        <w:pStyle w:val="11"/>
        <w:tabs>
          <w:tab w:val="right" w:leader="dot" w:pos="8550"/>
        </w:tabs>
        <w:spacing w:line="360" w:lineRule="auto"/>
        <w:rPr>
          <w:rFonts w:ascii="宋体" w:hAnsi="宋体"/>
          <w:noProof/>
          <w:sz w:val="24"/>
        </w:rPr>
      </w:pPr>
      <w:hyperlink w:anchor="_Toc166054626" w:history="1">
        <w:r w:rsidR="00957CDC" w:rsidRPr="00957CDC">
          <w:rPr>
            <w:rStyle w:val="af0"/>
            <w:rFonts w:ascii="宋体" w:hAnsi="宋体" w:hint="eastAsia"/>
            <w:noProof/>
            <w:sz w:val="24"/>
          </w:rPr>
          <w:t>二十、基金合同的变更、终止与基金财产的清算</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_Toc166054626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124</w:t>
        </w:r>
        <w:r w:rsidR="00957CDC" w:rsidRPr="00957CDC">
          <w:rPr>
            <w:rFonts w:ascii="宋体" w:hAnsi="宋体"/>
            <w:noProof/>
            <w:sz w:val="24"/>
          </w:rPr>
          <w:fldChar w:fldCharType="end"/>
        </w:r>
      </w:hyperlink>
    </w:p>
    <w:p w14:paraId="5B837A1F" w14:textId="05491512" w:rsidR="00957CDC" w:rsidRPr="00093421" w:rsidRDefault="00F4039F" w:rsidP="00957CDC">
      <w:pPr>
        <w:pStyle w:val="11"/>
        <w:tabs>
          <w:tab w:val="right" w:leader="dot" w:pos="8550"/>
        </w:tabs>
        <w:spacing w:line="360" w:lineRule="auto"/>
        <w:rPr>
          <w:rFonts w:ascii="宋体" w:hAnsi="宋体"/>
          <w:noProof/>
          <w:sz w:val="24"/>
        </w:rPr>
      </w:pPr>
      <w:hyperlink w:anchor="_Toc166054627" w:history="1">
        <w:r w:rsidR="00957CDC" w:rsidRPr="00957CDC">
          <w:rPr>
            <w:rStyle w:val="af0"/>
            <w:rFonts w:ascii="宋体" w:hAnsi="宋体" w:hint="eastAsia"/>
            <w:noProof/>
            <w:sz w:val="24"/>
          </w:rPr>
          <w:t>二十一、基金合同内容摘要</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_Toc166054627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126</w:t>
        </w:r>
        <w:r w:rsidR="00957CDC" w:rsidRPr="00957CDC">
          <w:rPr>
            <w:rFonts w:ascii="宋体" w:hAnsi="宋体"/>
            <w:noProof/>
            <w:sz w:val="24"/>
          </w:rPr>
          <w:fldChar w:fldCharType="end"/>
        </w:r>
      </w:hyperlink>
    </w:p>
    <w:p w14:paraId="5DF0EEFF" w14:textId="00776400" w:rsidR="00957CDC" w:rsidRPr="00093421" w:rsidRDefault="00F4039F" w:rsidP="00957CDC">
      <w:pPr>
        <w:pStyle w:val="11"/>
        <w:tabs>
          <w:tab w:val="right" w:leader="dot" w:pos="8550"/>
        </w:tabs>
        <w:spacing w:line="360" w:lineRule="auto"/>
        <w:rPr>
          <w:rFonts w:ascii="宋体" w:hAnsi="宋体"/>
          <w:noProof/>
          <w:sz w:val="24"/>
        </w:rPr>
      </w:pPr>
      <w:hyperlink w:anchor="_Toc166054628" w:history="1">
        <w:r w:rsidR="00957CDC" w:rsidRPr="00957CDC">
          <w:rPr>
            <w:rStyle w:val="af0"/>
            <w:rFonts w:ascii="宋体" w:hAnsi="宋体" w:hint="eastAsia"/>
            <w:noProof/>
            <w:sz w:val="24"/>
          </w:rPr>
          <w:t>二十二、托管协议的内容摘要</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_Toc166054628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143</w:t>
        </w:r>
        <w:r w:rsidR="00957CDC" w:rsidRPr="00957CDC">
          <w:rPr>
            <w:rFonts w:ascii="宋体" w:hAnsi="宋体"/>
            <w:noProof/>
            <w:sz w:val="24"/>
          </w:rPr>
          <w:fldChar w:fldCharType="end"/>
        </w:r>
      </w:hyperlink>
    </w:p>
    <w:p w14:paraId="7F0D9083" w14:textId="153CB56C" w:rsidR="00957CDC" w:rsidRPr="00093421" w:rsidRDefault="00F4039F" w:rsidP="00957CDC">
      <w:pPr>
        <w:pStyle w:val="11"/>
        <w:tabs>
          <w:tab w:val="right" w:leader="dot" w:pos="8550"/>
        </w:tabs>
        <w:spacing w:line="360" w:lineRule="auto"/>
        <w:rPr>
          <w:rFonts w:ascii="宋体" w:hAnsi="宋体"/>
          <w:noProof/>
          <w:sz w:val="24"/>
        </w:rPr>
      </w:pPr>
      <w:hyperlink w:anchor="_Toc166054629" w:history="1">
        <w:r w:rsidR="00957CDC" w:rsidRPr="00957CDC">
          <w:rPr>
            <w:rStyle w:val="af0"/>
            <w:rFonts w:ascii="宋体" w:hAnsi="宋体" w:hint="eastAsia"/>
            <w:noProof/>
            <w:sz w:val="24"/>
          </w:rPr>
          <w:t>二十三、对基金份额持有人的服务</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_Toc166054629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159</w:t>
        </w:r>
        <w:r w:rsidR="00957CDC" w:rsidRPr="00957CDC">
          <w:rPr>
            <w:rFonts w:ascii="宋体" w:hAnsi="宋体"/>
            <w:noProof/>
            <w:sz w:val="24"/>
          </w:rPr>
          <w:fldChar w:fldCharType="end"/>
        </w:r>
      </w:hyperlink>
    </w:p>
    <w:p w14:paraId="466DF6AA" w14:textId="0D229C42" w:rsidR="00957CDC" w:rsidRPr="00093421" w:rsidRDefault="00F4039F" w:rsidP="00957CDC">
      <w:pPr>
        <w:pStyle w:val="11"/>
        <w:tabs>
          <w:tab w:val="right" w:leader="dot" w:pos="8550"/>
        </w:tabs>
        <w:spacing w:line="360" w:lineRule="auto"/>
        <w:rPr>
          <w:rFonts w:ascii="宋体" w:hAnsi="宋体"/>
          <w:noProof/>
          <w:sz w:val="24"/>
        </w:rPr>
      </w:pPr>
      <w:hyperlink w:anchor="_Toc166054630" w:history="1">
        <w:r w:rsidR="00957CDC" w:rsidRPr="00957CDC">
          <w:rPr>
            <w:rStyle w:val="af0"/>
            <w:rFonts w:ascii="宋体" w:hAnsi="宋体" w:hint="eastAsia"/>
            <w:noProof/>
            <w:sz w:val="24"/>
          </w:rPr>
          <w:t>二十四、其他应披露事项</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_Toc166054630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161</w:t>
        </w:r>
        <w:r w:rsidR="00957CDC" w:rsidRPr="00957CDC">
          <w:rPr>
            <w:rFonts w:ascii="宋体" w:hAnsi="宋体"/>
            <w:noProof/>
            <w:sz w:val="24"/>
          </w:rPr>
          <w:fldChar w:fldCharType="end"/>
        </w:r>
      </w:hyperlink>
    </w:p>
    <w:p w14:paraId="039CA204" w14:textId="5FB4773F" w:rsidR="00957CDC" w:rsidRPr="00093421" w:rsidRDefault="00F4039F" w:rsidP="00957CDC">
      <w:pPr>
        <w:pStyle w:val="11"/>
        <w:tabs>
          <w:tab w:val="right" w:leader="dot" w:pos="8550"/>
        </w:tabs>
        <w:spacing w:line="360" w:lineRule="auto"/>
        <w:rPr>
          <w:rFonts w:ascii="宋体" w:hAnsi="宋体"/>
          <w:noProof/>
          <w:sz w:val="24"/>
        </w:rPr>
      </w:pPr>
      <w:hyperlink w:anchor="_Toc166054631" w:history="1">
        <w:r w:rsidR="00957CDC" w:rsidRPr="00957CDC">
          <w:rPr>
            <w:rStyle w:val="af0"/>
            <w:rFonts w:ascii="宋体" w:hAnsi="宋体" w:hint="eastAsia"/>
            <w:noProof/>
            <w:sz w:val="24"/>
          </w:rPr>
          <w:t>二十五、招募说明书的存放及查阅方式</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_Toc166054631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165</w:t>
        </w:r>
        <w:r w:rsidR="00957CDC" w:rsidRPr="00957CDC">
          <w:rPr>
            <w:rFonts w:ascii="宋体" w:hAnsi="宋体"/>
            <w:noProof/>
            <w:sz w:val="24"/>
          </w:rPr>
          <w:fldChar w:fldCharType="end"/>
        </w:r>
      </w:hyperlink>
    </w:p>
    <w:p w14:paraId="2B002728" w14:textId="70151A5B" w:rsidR="00957CDC" w:rsidRPr="00093421" w:rsidRDefault="00F4039F" w:rsidP="00957CDC">
      <w:pPr>
        <w:pStyle w:val="11"/>
        <w:tabs>
          <w:tab w:val="right" w:leader="dot" w:pos="8550"/>
        </w:tabs>
        <w:spacing w:line="360" w:lineRule="auto"/>
        <w:rPr>
          <w:rFonts w:ascii="宋体" w:hAnsi="宋体"/>
          <w:noProof/>
          <w:sz w:val="24"/>
        </w:rPr>
      </w:pPr>
      <w:hyperlink w:anchor="_Toc166054632" w:history="1">
        <w:r w:rsidR="00957CDC" w:rsidRPr="00957CDC">
          <w:rPr>
            <w:rStyle w:val="af0"/>
            <w:rFonts w:ascii="宋体" w:hAnsi="宋体" w:hint="eastAsia"/>
            <w:noProof/>
            <w:sz w:val="24"/>
          </w:rPr>
          <w:t>二十六、备查文件</w:t>
        </w:r>
        <w:r w:rsidR="00957CDC" w:rsidRPr="00957CDC">
          <w:rPr>
            <w:rFonts w:ascii="宋体" w:hAnsi="宋体"/>
            <w:noProof/>
            <w:sz w:val="24"/>
          </w:rPr>
          <w:tab/>
        </w:r>
        <w:r w:rsidR="00957CDC" w:rsidRPr="00957CDC">
          <w:rPr>
            <w:rFonts w:ascii="宋体" w:hAnsi="宋体"/>
            <w:noProof/>
            <w:sz w:val="24"/>
          </w:rPr>
          <w:fldChar w:fldCharType="begin"/>
        </w:r>
        <w:r w:rsidR="00957CDC" w:rsidRPr="00957CDC">
          <w:rPr>
            <w:rFonts w:ascii="宋体" w:hAnsi="宋体"/>
            <w:noProof/>
            <w:sz w:val="24"/>
          </w:rPr>
          <w:instrText xml:space="preserve"> PAGEREF _Toc166054632 \h </w:instrText>
        </w:r>
        <w:r w:rsidR="00957CDC" w:rsidRPr="00957CDC">
          <w:rPr>
            <w:rFonts w:ascii="宋体" w:hAnsi="宋体"/>
            <w:noProof/>
            <w:sz w:val="24"/>
          </w:rPr>
        </w:r>
        <w:r w:rsidR="00957CDC" w:rsidRPr="00957CDC">
          <w:rPr>
            <w:rFonts w:ascii="宋体" w:hAnsi="宋体"/>
            <w:noProof/>
            <w:sz w:val="24"/>
          </w:rPr>
          <w:fldChar w:fldCharType="separate"/>
        </w:r>
        <w:r w:rsidR="00EB3C67">
          <w:rPr>
            <w:rFonts w:ascii="宋体" w:hAnsi="宋体"/>
            <w:noProof/>
            <w:sz w:val="24"/>
          </w:rPr>
          <w:t>166</w:t>
        </w:r>
        <w:r w:rsidR="00957CDC" w:rsidRPr="00957CDC">
          <w:rPr>
            <w:rFonts w:ascii="宋体" w:hAnsi="宋体"/>
            <w:noProof/>
            <w:sz w:val="24"/>
          </w:rPr>
          <w:fldChar w:fldCharType="end"/>
        </w:r>
      </w:hyperlink>
    </w:p>
    <w:p w14:paraId="3216116A" w14:textId="076BE5DC" w:rsidR="00EF0B55" w:rsidRDefault="00957CDC" w:rsidP="001E3809">
      <w:pPr>
        <w:pStyle w:val="af3"/>
        <w:snapToGrid w:val="0"/>
        <w:spacing w:after="240" w:line="360" w:lineRule="auto"/>
        <w:jc w:val="center"/>
        <w:sectPr w:rsidR="00EF0B55">
          <w:pgSz w:w="11920" w:h="16840"/>
          <w:pgMar w:top="1480" w:right="1680" w:bottom="280" w:left="1680" w:header="0" w:footer="1073" w:gutter="0"/>
          <w:cols w:space="720"/>
        </w:sectPr>
      </w:pPr>
      <w:r w:rsidRPr="00957CDC">
        <w:rPr>
          <w:rFonts w:ascii="宋体" w:hAnsi="宋体"/>
          <w:color w:val="000000"/>
          <w:position w:val="-4"/>
          <w:sz w:val="24"/>
          <w:szCs w:val="30"/>
        </w:rPr>
        <w:fldChar w:fldCharType="end"/>
      </w:r>
    </w:p>
    <w:p w14:paraId="13A6DEDC" w14:textId="77777777" w:rsidR="00EF0B55" w:rsidRDefault="0022048D">
      <w:pPr>
        <w:pStyle w:val="1"/>
        <w:snapToGrid w:val="0"/>
        <w:spacing w:beforeLines="0" w:before="240" w:after="240"/>
        <w:rPr>
          <w:rFonts w:ascii="宋体" w:hAnsi="宋体"/>
          <w:szCs w:val="30"/>
        </w:rPr>
      </w:pPr>
      <w:bookmarkStart w:id="4" w:name="_Toc166054607"/>
      <w:r>
        <w:rPr>
          <w:rFonts w:ascii="Times New Roman" w:hAnsi="Times New Roman"/>
          <w:sz w:val="30"/>
        </w:rPr>
        <w:lastRenderedPageBreak/>
        <w:t>一、绪言</w:t>
      </w:r>
      <w:bookmarkEnd w:id="4"/>
    </w:p>
    <w:p w14:paraId="03C05F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丰晟收益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丰晟收益债券型证券投资基金基金合同》（以下简称“基金合同”）编写。</w:t>
      </w:r>
    </w:p>
    <w:p w14:paraId="060D901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15C75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325D7B2"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DD0C17F" w14:textId="77777777" w:rsidR="00EF0B55" w:rsidRDefault="0022048D">
      <w:pPr>
        <w:pStyle w:val="1"/>
        <w:snapToGrid w:val="0"/>
        <w:spacing w:beforeLines="0" w:before="240" w:after="240"/>
        <w:rPr>
          <w:rFonts w:ascii="宋体" w:hAnsi="宋体"/>
          <w:szCs w:val="30"/>
        </w:rPr>
      </w:pPr>
      <w:bookmarkStart w:id="5" w:name="_Toc166054608"/>
      <w:bookmarkStart w:id="6" w:name="_Hlk184220017"/>
      <w:r>
        <w:rPr>
          <w:rFonts w:ascii="Times New Roman" w:hAnsi="Times New Roman"/>
          <w:sz w:val="30"/>
        </w:rPr>
        <w:lastRenderedPageBreak/>
        <w:t>二、释义</w:t>
      </w:r>
      <w:bookmarkEnd w:id="5"/>
    </w:p>
    <w:p w14:paraId="0C9C0C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599137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1、基金或本基金：指交银施罗德丰晟收益债券型证券投资基金</w:t>
      </w:r>
    </w:p>
    <w:p w14:paraId="3309F1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1F8A4A9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3、基金托管人或本基金托管人：指招商银行股份有限公司</w:t>
      </w:r>
    </w:p>
    <w:p w14:paraId="175BCE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4、基金合同或《基金合同》：指《交银施罗德丰晟收益债券型证券投资基金基金合同》及对基金合同的任何有效修订和补充</w:t>
      </w:r>
    </w:p>
    <w:p w14:paraId="380D1FC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5、托管协议：指基金管理人与基金托管人就本基金签订之《交银施罗德丰晟收益债券型证券投资基金托管协议》及对该托管协议的任何有效修订和补充</w:t>
      </w:r>
    </w:p>
    <w:p w14:paraId="6A89AA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6、招募说明书、本招募说明书或《招募说明书》：指《交银施罗德丰晟收益债券型证券投资基金招募说明书》及其更新</w:t>
      </w:r>
    </w:p>
    <w:p w14:paraId="3E517A3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7、基金份额发售公告：指《交银施罗德丰晟收益债券型证券投资基金基金份额发售公告》</w:t>
      </w:r>
    </w:p>
    <w:p w14:paraId="56CAD7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8、基金产品资料概要：指《交银施罗德丰晟收益债券型证券投资基金基金产品资料概要》及其更新</w:t>
      </w:r>
    </w:p>
    <w:p w14:paraId="3EC071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77CA10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1DE6A5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3479843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34D309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1F0D33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14、《流动性规定》：指《公开募集开放式证券投资基金流动性风险管理规定》及颁布机关对其不时做出的修订</w:t>
      </w:r>
    </w:p>
    <w:p w14:paraId="588F8B4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15、流动性受限资产：指由于法律法规、监管、合同或操作障碍等原因无法以合理价格予以变现的资产，包括但不限于到期日在 10 个交易日以上的逆回购与银</w:t>
      </w:r>
      <w:r>
        <w:rPr>
          <w:rFonts w:ascii="宋体" w:hAnsi="宋体"/>
          <w:sz w:val="24"/>
        </w:rPr>
        <w:lastRenderedPageBreak/>
        <w:t>行定期存款（含协议约定有条件提前支取的银行存款）、资产支持证券、因发行人债务违约无法进行转让或交易的债券等</w:t>
      </w:r>
    </w:p>
    <w:p w14:paraId="15E023D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52CC26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17、中国证监会：指中国证券监督管理委员会</w:t>
      </w:r>
    </w:p>
    <w:p w14:paraId="7D003B4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18、银行业监督管理机构：指中国人民银行和/或中国银行业监督管理委员会</w:t>
      </w:r>
    </w:p>
    <w:p w14:paraId="0CEF19A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19、基金合同当事人：指受基金合同约束，根据基金合同享有权利并承担义务的法律主体，包括基金管理人、基金托管人和基金份额持有人</w:t>
      </w:r>
    </w:p>
    <w:p w14:paraId="4BB866C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20、个人投资者：指依据有关法律法规规定可投资于证券投资基金的自然人</w:t>
      </w:r>
    </w:p>
    <w:p w14:paraId="7C4C8A5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21、机构投资者：指依法可以投资证券投资基金的、在中华人民共和国境内合法登记并存续或经有关政府部门批准设立并存续的企业法人、事业法人、社会团体或其他组织</w:t>
      </w:r>
    </w:p>
    <w:p w14:paraId="1F64B4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22、合格境外机构投资者：指符合《合格境外机构投资者境内证券投资管理办法》及相关法律法规规定，可以投资于在中国境内依法募集的证券投资基金的中国境外的机构投资者</w:t>
      </w:r>
    </w:p>
    <w:p w14:paraId="757249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23、人民币合格境外机构投资者：指按照《人民币合格境外机构投资者境内证券投资试点办法》及相关法律法规规定，运用来自境外的人民币资金进行中国境内证券投资的境外机构投资者</w:t>
      </w:r>
    </w:p>
    <w:p w14:paraId="3C85F1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24、投资人或投资者：指个人投资者、机构投资者、合格境外机构投资者和人民币合格境外机构投资者以及法律法规或中国证监会允许购买证券投资基金的其他投资人的合称</w:t>
      </w:r>
    </w:p>
    <w:p w14:paraId="79934A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25、基金份额持有人：指依基金合同和招募说明书合法取得基金份额的投资人</w:t>
      </w:r>
    </w:p>
    <w:p w14:paraId="22A8DB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26、基金销售业务：指基金管理人或销售机构宣传推介基金，发售基金份额，办理基金份额的申购、赎回、转换、转托管及定期定额投资等业务</w:t>
      </w:r>
    </w:p>
    <w:p w14:paraId="43009A5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27、销售机构：指交银施罗德基金管理有限公司以及符合《销售办法》和中国证监会规定的其他条件，取得基金销售业务资格并与基金管理人签订了基金销售服务协议，办理基金销售业务的机构</w:t>
      </w:r>
    </w:p>
    <w:p w14:paraId="092D1C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28、登记业务：指基金登记、存管、过户、清算和结算业务，具体内容包括投资人基金账户的建立和管理、基金份额登记、基金销售业务的确认、清算和结算、</w:t>
      </w:r>
      <w:r>
        <w:rPr>
          <w:rFonts w:ascii="宋体" w:hAnsi="宋体"/>
          <w:sz w:val="24"/>
        </w:rPr>
        <w:lastRenderedPageBreak/>
        <w:t>代理发放红利、建立并保管基金份额持有人名册和办理非交易过户等</w:t>
      </w:r>
    </w:p>
    <w:p w14:paraId="229DA7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29、登记机构：指办理登记业务的机构。基金的登记机构为交银施罗德基金管理有限公司或接受交银施罗德基金管理有限公司委托办理登记业务的机构</w:t>
      </w:r>
    </w:p>
    <w:p w14:paraId="153F61C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30、基金账户：指登记机构为投资人开立的、记录其持有的、基金管理人所管理的基金份额余额及其变动情况的账户</w:t>
      </w:r>
    </w:p>
    <w:p w14:paraId="3B96B1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31、基金交易账户：指销售机构为投资人开立的、记录投资人通过该销售机构办理认购、申购、赎回、转换、定期定额投资及转托管等业务而引起的基金份额变动及结余情况的账户</w:t>
      </w:r>
    </w:p>
    <w:p w14:paraId="1F1FEF3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32、基金合同生效日：指基金募集达到法律法规规定及基金合同规定的条件，基金管理人向中国证监会办理基金备案手续完毕，并获得中国证监会书面确认的日期</w:t>
      </w:r>
    </w:p>
    <w:p w14:paraId="2729F3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33、基金合同终止日：指基金合同规定的基金合同终止事由出现后，基金财产清算完毕，清算结果报中国证监会备案并予以公告的日期</w:t>
      </w:r>
    </w:p>
    <w:p w14:paraId="0F7F426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34、基金募集期：指自基金份额发售之日起至发售结束之日止的期间，最长不得超过3个月</w:t>
      </w:r>
    </w:p>
    <w:p w14:paraId="202366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35、存续期：指基金合同生效至终止之间的不定期期限</w:t>
      </w:r>
    </w:p>
    <w:p w14:paraId="09304F1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36、工作日：指上海证券交易所、深圳证券交易所的正常交易日</w:t>
      </w:r>
    </w:p>
    <w:p w14:paraId="1D56F9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37、T日：指销售机构在规定时间受理投资人申购、赎回或其他业务申请的开放日</w:t>
      </w:r>
    </w:p>
    <w:p w14:paraId="2CB43C6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38、T+n日：指自T日起第n个工作日(不包含T日)</w:t>
      </w:r>
    </w:p>
    <w:p w14:paraId="197E393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封闭期：指基金合同生效之日起两年(含两年)的期间内，本基金采取封闭式运作的存续期间。在基金合同中如无特别指明即为自基金合同生效之日起至两个公历年后对应日止，若两年后对应日为非工作日的，相应顺延。期间基金份额保持不变，基金份额持有人不得申请申购或赎回本基金</w:t>
      </w:r>
    </w:p>
    <w:p w14:paraId="1A6618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40、开放日：指本基金封闭期结束后转为开放式运作期间，为投资人办理基金份额申购、赎回或其他业务的工作日</w:t>
      </w:r>
    </w:p>
    <w:p w14:paraId="59C983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41、开放时间：指开放日基金接受申购、赎回或其他交易的时间段</w:t>
      </w:r>
    </w:p>
    <w:p w14:paraId="22BB973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w:t>
      </w:r>
      <w:r>
        <w:rPr>
          <w:rFonts w:ascii="宋体" w:hAnsi="宋体"/>
          <w:sz w:val="24"/>
        </w:rPr>
        <w:lastRenderedPageBreak/>
        <w:t>人共同遵守</w:t>
      </w:r>
    </w:p>
    <w:p w14:paraId="11A508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43、认购：指在基金募集期内，投资人根据基金合同和招募说明书的规定申请购买基金份额的行为</w:t>
      </w:r>
    </w:p>
    <w:p w14:paraId="034B8E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44、申购：指基金合同生效且封闭期结束后，投资人根据基金合同和招募说明书的规定申请购买基金份额的行为</w:t>
      </w:r>
    </w:p>
    <w:p w14:paraId="049B05D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45、赎回：指基金合同生效且封闭期结束后，基金份额持有人按基金合同和招募说明书规定的条件要求将基金份额兑换为现金的行为</w:t>
      </w:r>
    </w:p>
    <w:p w14:paraId="4A3B84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46、销售服务费：指从基金资产中计提的，用于本基金市场推广、销售以及基金份额持有人服务的费用</w:t>
      </w:r>
    </w:p>
    <w:p w14:paraId="6866C8E2" w14:textId="7214C989"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47、基金份额类别：指本基金根据认购/申购费用、</w:t>
      </w:r>
      <w:r w:rsidR="00140707" w:rsidRPr="00140707">
        <w:rPr>
          <w:rFonts w:ascii="宋体" w:hAnsi="宋体" w:hint="eastAsia"/>
          <w:sz w:val="24"/>
        </w:rPr>
        <w:t>赎回费、</w:t>
      </w:r>
      <w:r>
        <w:rPr>
          <w:rFonts w:ascii="宋体" w:hAnsi="宋体"/>
          <w:sz w:val="24"/>
        </w:rPr>
        <w:t>销售服务费收取标准和收取方式的不同，将基金份额分为不同的类别。在投资人认购/申购时收取认购/申购费用、赎回时收取赎回费的，称为A类基金份额；在投资人认购/申购时不收取认购/申购费用、赎回时收取赎回费的，同时从本类别基金资产中计提销售服务费的，称为C类基金份额；在投资人申购时收取申购费用、赎回时收取赎回费用的，称为D类基金份额</w:t>
      </w:r>
      <w:r w:rsidR="004B0C22">
        <w:rPr>
          <w:rFonts w:ascii="宋体" w:hAnsi="宋体" w:hint="eastAsia"/>
          <w:sz w:val="24"/>
        </w:rPr>
        <w:t>、E类基金份额</w:t>
      </w:r>
    </w:p>
    <w:p w14:paraId="4A3566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48、基金转换：指基金份额持有人按照基金合同和基金管理人届时有效公告规定的条件，申请将其持有基金管理人管理的、某一基金的基金份额转换为基金管理人管理的其他基金基金份额的行为</w:t>
      </w:r>
    </w:p>
    <w:p w14:paraId="7DA5A71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49、转托管：指基金份额持有人在本基金的不同销售机构之间实施的变更所持基金份额销售机构的操作</w:t>
      </w:r>
    </w:p>
    <w:p w14:paraId="570860B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77254D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782CD30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52、元：指人民币元</w:t>
      </w:r>
    </w:p>
    <w:p w14:paraId="6AA9A71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53、基金收益：指基金投资所得债券利息、买卖证券价差、银行存款利息、已实现的其他合法收入及因运用基金财产带来的成本和费用的节约</w:t>
      </w:r>
    </w:p>
    <w:p w14:paraId="097CD41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54、基金资产总值：指基金拥有的各类有价证券、银行存款本息、基金应收申</w:t>
      </w:r>
      <w:r>
        <w:rPr>
          <w:rFonts w:ascii="宋体" w:hAnsi="宋体"/>
          <w:sz w:val="24"/>
        </w:rPr>
        <w:lastRenderedPageBreak/>
        <w:t>购款及其他资产的价值总和</w:t>
      </w:r>
    </w:p>
    <w:p w14:paraId="14E10D9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55、基金资产净值：指基金资产总值减去基金负债后的价值</w:t>
      </w:r>
    </w:p>
    <w:p w14:paraId="18D2F2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56、基金份额净值：指计算日基金资产净值除以计算日基金份额总数</w:t>
      </w:r>
    </w:p>
    <w:p w14:paraId="6FB9B5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57、基金资产估值：指计算评估基金资产和负债的价值，以确定基金资产净值和基金份额净值的过程</w:t>
      </w:r>
    </w:p>
    <w:p w14:paraId="426E58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58、指定媒介：指中国证监会指定的用以进行信息披露的全国性报刊及指定互联网网站（包括基金管理人网站、基金托管人网站、中国证监会基金电子披露网站）等媒介</w:t>
      </w:r>
    </w:p>
    <w:p w14:paraId="1E3EFE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1B873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C2D9DB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61、不可抗力：指基金合同当事人不能预见、不能避免且不能克服的客观事件</w:t>
      </w:r>
    </w:p>
    <w:p w14:paraId="0D07FF26"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D418D8" w14:textId="77777777" w:rsidR="00EF0B55" w:rsidRDefault="0022048D">
      <w:pPr>
        <w:pStyle w:val="1"/>
        <w:snapToGrid w:val="0"/>
        <w:spacing w:beforeLines="0" w:before="240" w:after="240"/>
        <w:rPr>
          <w:rFonts w:ascii="宋体" w:hAnsi="宋体"/>
          <w:szCs w:val="30"/>
        </w:rPr>
      </w:pPr>
      <w:bookmarkStart w:id="7" w:name="_Toc166054609"/>
      <w:bookmarkEnd w:id="6"/>
      <w:r>
        <w:rPr>
          <w:rFonts w:ascii="Times New Roman" w:hAnsi="Times New Roman"/>
          <w:sz w:val="30"/>
        </w:rPr>
        <w:lastRenderedPageBreak/>
        <w:t>三、基金管理人</w:t>
      </w:r>
      <w:bookmarkEnd w:id="7"/>
    </w:p>
    <w:p w14:paraId="11C9C74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04ED9F3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B02E1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89DF6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EF441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0B94396A" w14:textId="728A292C"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E6638B">
        <w:rPr>
          <w:rFonts w:ascii="宋体" w:hAnsi="宋体" w:hint="eastAsia"/>
          <w:sz w:val="24"/>
        </w:rPr>
        <w:t>张宏良</w:t>
      </w:r>
    </w:p>
    <w:p w14:paraId="506B5B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19B1B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7668A4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78ADEBA" w14:textId="395A6FED"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00E6638B" w:rsidRPr="00110828">
        <w:rPr>
          <w:rFonts w:ascii="Times New Roman" w:hAnsi="Times New Roman" w:hint="eastAsia"/>
          <w:sz w:val="24"/>
        </w:rPr>
        <w:t>何佳妮</w:t>
      </w:r>
    </w:p>
    <w:p w14:paraId="158F51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362429A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245E904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EF0B55" w14:paraId="52D437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D2F9B8"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6AC2EB9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EF0B55" w14:paraId="128B04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558BD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6E2B6C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EF0B55" w14:paraId="5226DB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2FE7A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AD756B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EF0B55" w14:paraId="75792D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C6B8A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5DA747C5"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44D843E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37B169E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3C6C396C"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1EE3C3B2"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胡晓晖女士，董事，学士，现任交通银行总行监事会办公室副主任、资深专</w:t>
      </w:r>
      <w:r w:rsidRPr="0037277E">
        <w:rPr>
          <w:rFonts w:ascii="Times New Roman" w:hAnsi="Times New Roman" w:hint="eastAsia"/>
          <w:sz w:val="24"/>
        </w:rPr>
        <w:lastRenderedPageBreak/>
        <w:t>家，历任交通银行总行授信管理部副处长、处长，苏州分行副行长、高级信贷执行官，总行授信管理部副总经理。</w:t>
      </w:r>
    </w:p>
    <w:p w14:paraId="22D746E0" w14:textId="3327A3B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谢卫先生，董事，总经理，博士，高级经济师。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37C6D698"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杜伟麒（</w:t>
      </w:r>
      <w:r w:rsidRPr="0037277E">
        <w:rPr>
          <w:rFonts w:ascii="Times New Roman" w:hAnsi="Times New Roman" w:hint="eastAsia"/>
          <w:sz w:val="24"/>
        </w:rPr>
        <w:t>Chris Durack</w:t>
      </w:r>
      <w:r w:rsidRPr="0037277E">
        <w:rPr>
          <w:rFonts w:ascii="Times New Roman" w:hAnsi="Times New Roman" w:hint="eastAsia"/>
          <w:sz w:val="24"/>
        </w:rPr>
        <w:t>）先生，董事，硕士。现任施罗德投资亚太区行政总裁。历任施罗德投资澳大利亚董事兼产品及分销主管、香港行政总裁兼亚太区机构业务主管、澳大利亚行政总裁兼亚太区联席主管等职。</w:t>
      </w:r>
    </w:p>
    <w:p w14:paraId="6223492D"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章骏翔先生，副董事长，硕士，美国特许金融分析师</w:t>
      </w:r>
      <w:r w:rsidRPr="0037277E">
        <w:rPr>
          <w:rFonts w:ascii="Times New Roman" w:hAnsi="Times New Roman" w:hint="eastAsia"/>
          <w:sz w:val="24"/>
        </w:rPr>
        <w:t>(CFA)</w:t>
      </w:r>
      <w:r w:rsidRPr="0037277E">
        <w:rPr>
          <w:rFonts w:ascii="Times New Roman" w:hAnsi="Times New Roman" w:hint="eastAsia"/>
          <w:sz w:val="24"/>
        </w:rPr>
        <w:t>持证人。现任施罗德投资管理</w:t>
      </w:r>
      <w:r w:rsidRPr="0037277E">
        <w:rPr>
          <w:rFonts w:ascii="Times New Roman" w:hAnsi="Times New Roman" w:hint="eastAsia"/>
          <w:sz w:val="24"/>
        </w:rPr>
        <w:t>(</w:t>
      </w:r>
      <w:r w:rsidRPr="0037277E">
        <w:rPr>
          <w:rFonts w:ascii="Times New Roman" w:hAnsi="Times New Roman" w:hint="eastAsia"/>
          <w:sz w:val="24"/>
        </w:rPr>
        <w:t>香港</w:t>
      </w:r>
      <w:r w:rsidRPr="0037277E">
        <w:rPr>
          <w:rFonts w:ascii="Times New Roman" w:hAnsi="Times New Roman" w:hint="eastAsia"/>
          <w:sz w:val="24"/>
        </w:rPr>
        <w:t>)</w:t>
      </w:r>
      <w:r w:rsidRPr="0037277E">
        <w:rPr>
          <w:rFonts w:ascii="Times New Roman" w:hAnsi="Times New Roman" w:hint="eastAsia"/>
          <w:sz w:val="24"/>
        </w:rPr>
        <w:t>有限公司亚洲投资风险主管。历任渣打银行（香港）交易风险监控，华宝兴业基金管理有限公司风险管理部总经理，法国安盛投资管理（香港）有限公司亚洲风险经理等职。</w:t>
      </w:r>
    </w:p>
    <w:p w14:paraId="7EBB39E1"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郝爱群女士，独立董事，学士。历任人民银行稽核司副处长、处长，合作司调研员，非银司副巡视员、副司长，银监会非银部副主任，银行监管一部副主任、巡视员，汇金公司派出董事。</w:t>
      </w:r>
    </w:p>
    <w:p w14:paraId="6FA87A93"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D7353C3"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C612B25"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2</w:t>
      </w:r>
      <w:r w:rsidRPr="0037277E">
        <w:rPr>
          <w:rFonts w:ascii="Times New Roman" w:hAnsi="Times New Roman" w:hint="eastAsia"/>
          <w:sz w:val="24"/>
        </w:rPr>
        <w:t>、基金管理人监事会成员</w:t>
      </w:r>
    </w:p>
    <w:p w14:paraId="76C0F2F8"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林凯珊女士，监事，硕士。现任施罗德投资管理（香港）有限公司中国内地及中国香港法律部主管。历任香港证券及期货事务监察委员会发牌科经理、的近律师行律师。</w:t>
      </w:r>
    </w:p>
    <w:p w14:paraId="63360DB3"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lastRenderedPageBreak/>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2BB884BD"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60C91209"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3</w:t>
      </w:r>
      <w:r w:rsidRPr="0037277E">
        <w:rPr>
          <w:rFonts w:ascii="Times New Roman" w:hAnsi="Times New Roman" w:hint="eastAsia"/>
          <w:sz w:val="24"/>
        </w:rPr>
        <w:t>、基金管理人高级管理人员</w:t>
      </w:r>
    </w:p>
    <w:p w14:paraId="1CC5D922"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谢卫先生，总经理。简历同上。</w:t>
      </w:r>
    </w:p>
    <w:p w14:paraId="6D27BC79"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287666F8"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6158F90E" w14:textId="77777777" w:rsidR="008E3136" w:rsidRPr="0037277E"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马俊先生，副总经理，硕士。历任交通银行总行投资管理部高级投资分析、副高级经理，交银施罗德基金管理有限公司总裁办公室总经理、研究部副总经理、研究总监、综合管理部总经理。</w:t>
      </w:r>
    </w:p>
    <w:p w14:paraId="2D577A6F" w14:textId="77777777" w:rsidR="008E3136" w:rsidRDefault="008E3136" w:rsidP="008E3136">
      <w:pPr>
        <w:autoSpaceDE w:val="0"/>
        <w:autoSpaceDN w:val="0"/>
        <w:adjustRightInd w:val="0"/>
        <w:snapToGrid w:val="0"/>
        <w:spacing w:line="360" w:lineRule="auto"/>
        <w:ind w:firstLineChars="200" w:firstLine="480"/>
        <w:jc w:val="left"/>
        <w:rPr>
          <w:rFonts w:ascii="Times New Roman" w:hAnsi="Times New Roman"/>
          <w:sz w:val="24"/>
        </w:rPr>
      </w:pPr>
      <w:r w:rsidRPr="0037277E">
        <w:rPr>
          <w:rFonts w:ascii="Times New Roman" w:hAnsi="Times New Roman"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0C3534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703D8985" w14:textId="2605D464"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于海颖女士:基金经理。天津大学数量经济学硕士、经济学学士，1</w:t>
      </w:r>
      <w:r w:rsidR="007D50E9">
        <w:rPr>
          <w:rFonts w:ascii="宋体" w:hAnsi="宋体"/>
          <w:sz w:val="24"/>
        </w:rPr>
        <w:t>8</w:t>
      </w:r>
      <w:r>
        <w:rPr>
          <w:rFonts w:ascii="宋体" w:hAnsi="宋体"/>
          <w:sz w:val="24"/>
        </w:rPr>
        <w:t>年证券投资行业从业经验。2004年至2006年任北方国际信托投资股份有限公司固定收益研究员，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w:t>
      </w:r>
      <w:r>
        <w:rPr>
          <w:rFonts w:ascii="宋体" w:hAnsi="宋体"/>
          <w:sz w:val="24"/>
        </w:rPr>
        <w:lastRenderedPageBreak/>
        <w:t>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w:t>
      </w:r>
      <w:r w:rsidR="00D0125C">
        <w:rPr>
          <w:rFonts w:ascii="宋体" w:hAnsi="宋体" w:hint="eastAsia"/>
          <w:sz w:val="24"/>
        </w:rPr>
        <w:t>曾</w:t>
      </w:r>
      <w:r>
        <w:rPr>
          <w:rFonts w:ascii="宋体" w:hAnsi="宋体"/>
          <w:sz w:val="24"/>
        </w:rPr>
        <w:t>任固定收益（公募）投资总监</w:t>
      </w:r>
      <w:r w:rsidR="00D0125C" w:rsidRPr="00D0125C">
        <w:rPr>
          <w:rFonts w:ascii="宋体" w:hAnsi="宋体" w:hint="eastAsia"/>
          <w:sz w:val="24"/>
        </w:rPr>
        <w:t>，现任混合资产投资总监兼多元资产管理总监</w:t>
      </w:r>
      <w:r>
        <w:rPr>
          <w:rFonts w:ascii="宋体" w:hAnsi="宋体"/>
          <w:sz w:val="24"/>
        </w:rPr>
        <w:t>、基金经理。曾任交银施罗德丰盈收益债券型证券投资基金(2016年12月29日至2020年08月21日)、交银施罗德定期支付月月丰债券型证券投资基金(2017年06月10日至2019年03月14日)、交银施罗德强化回报债券型证券投资基金(2017年06月10日至2019年03月14日)、交银施罗德稳固收益债券型证券投资基金(2017年06月10日至2019年03月15日)、交银施罗德增利增强债券型证券投资基金(2017年06月10日至2019年03月15日)、交银施罗德增强收益债券型证券投资基金(2017年06月10日至2019年03月15日)、交银施罗德增利债券证券投资基金(2017年06月10日至2020年08月21日)、交银施罗德丰硕收益债券型证券投资基金(2017年06月10日至2018年07月19日)、交银施罗德荣鑫灵活配置混合型证券投资基金(2017年06月10日至2019年03月15日)、交银施罗德裕如纯债债券型证券投资基金(2018年05月25日至2021年01月15日)、交银施罗德裕泰两年定期开放债券型证券投资基金(2019年12月10日至2024年04月12日)</w:t>
      </w:r>
      <w:r w:rsidR="00E6192E" w:rsidRPr="00DC2895">
        <w:rPr>
          <w:rFonts w:ascii="宋体" w:hAnsi="宋体"/>
          <w:sz w:val="24"/>
        </w:rPr>
        <w:t>、交银施罗德裕如纯债债券型证券投资基金(2023年09月07日至</w:t>
      </w:r>
      <w:r w:rsidR="00E6192E" w:rsidRPr="00E6192E">
        <w:rPr>
          <w:rFonts w:ascii="宋体" w:hAnsi="宋体" w:hint="eastAsia"/>
          <w:sz w:val="24"/>
        </w:rPr>
        <w:t>2024年11月23日</w:t>
      </w:r>
      <w:r w:rsidR="00E6192E" w:rsidRPr="00DC2895">
        <w:rPr>
          <w:rFonts w:ascii="宋体" w:hAnsi="宋体"/>
          <w:sz w:val="24"/>
        </w:rPr>
        <w:t>)</w:t>
      </w:r>
      <w:r>
        <w:rPr>
          <w:rFonts w:ascii="宋体" w:hAnsi="宋体"/>
          <w:sz w:val="24"/>
        </w:rPr>
        <w:t>的基金经理。</w:t>
      </w:r>
      <w:r w:rsidRPr="00E6192E">
        <w:rPr>
          <w:rFonts w:ascii="宋体" w:hAnsi="宋体"/>
          <w:sz w:val="24"/>
        </w:rPr>
        <w:t>现任交银施罗德纯债债券型发起式证券投资基金(2017年06月10日至今)、交银施罗德丰晟收益债券型证券投资基金</w:t>
      </w:r>
      <w:r w:rsidRPr="00D73B8E">
        <w:rPr>
          <w:rFonts w:ascii="宋体" w:hAnsi="宋体"/>
          <w:sz w:val="24"/>
        </w:rPr>
        <w:t>(2018年05月23日至今)、交银施罗德裕坤纯债一年定期开放债券型发起式证券投资基金(2019年12月26日至今)、交银施罗德鸿光一年持有期混合型证券投资基金(2021年03月08日至今)、交银施罗德鸿福六个月持有期混合型证券投资基金(2021</w:t>
      </w:r>
      <w:r w:rsidRPr="00E6192E">
        <w:rPr>
          <w:rFonts w:ascii="宋体" w:hAnsi="宋体"/>
          <w:sz w:val="24"/>
        </w:rPr>
        <w:t>年03月30日至今)、交银施罗德鸿信一年持有期混合型证券投资基金(2021年08月06日至今)、交银施罗德鸿泰一年持有期混合型证券投资基金(2021年11月24日至今)、交银施罗德裕盈纯债债券型证券投资基金(2022年11月12日至今)、交银施罗德裕道纯债一年定期开放债券型发起式证券</w:t>
      </w:r>
      <w:r w:rsidRPr="00E6192E">
        <w:rPr>
          <w:rFonts w:ascii="宋体" w:hAnsi="宋体"/>
          <w:sz w:val="24"/>
        </w:rPr>
        <w:lastRenderedPageBreak/>
        <w:t>投资基金(2024年03月29日至今)</w:t>
      </w:r>
      <w:r w:rsidR="000E7C04" w:rsidRPr="000E7C04">
        <w:rPr>
          <w:rFonts w:hint="eastAsia"/>
        </w:rPr>
        <w:t xml:space="preserve"> </w:t>
      </w:r>
      <w:r w:rsidR="000E7C04" w:rsidRPr="000E7C04">
        <w:rPr>
          <w:rFonts w:ascii="宋体" w:hAnsi="宋体" w:hint="eastAsia"/>
          <w:sz w:val="24"/>
        </w:rPr>
        <w:t>、交银施罗德裕通纯债债券型证券投资基金（2024年12月17日至今）</w:t>
      </w:r>
      <w:r w:rsidRPr="00E6192E">
        <w:rPr>
          <w:rFonts w:ascii="宋体" w:hAnsi="宋体"/>
          <w:sz w:val="24"/>
        </w:rPr>
        <w:t>的基金经理</w:t>
      </w:r>
      <w:r>
        <w:rPr>
          <w:rFonts w:ascii="宋体" w:hAnsi="宋体"/>
          <w:sz w:val="24"/>
        </w:rPr>
        <w:t>。</w:t>
      </w:r>
    </w:p>
    <w:p w14:paraId="03D1B07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1E6AEC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魏玉敏女士(2018年08月29日至2020年10月16日)。</w:t>
      </w:r>
    </w:p>
    <w:p w14:paraId="06FD7B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4578A0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FB883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249BCAB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07BC5FB8" w14:textId="48B1BF6B"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w:t>
      </w:r>
      <w:r w:rsidR="00D1343A" w:rsidRPr="005D46FA">
        <w:rPr>
          <w:rFonts w:ascii="Times New Roman" w:hAnsi="Times New Roman" w:hint="eastAsia"/>
          <w:sz w:val="24"/>
        </w:rPr>
        <w:t>混合资产投资总监兼多元资产管理总监</w:t>
      </w:r>
      <w:r>
        <w:rPr>
          <w:rFonts w:ascii="宋体" w:hAnsi="宋体"/>
          <w:sz w:val="24"/>
        </w:rPr>
        <w:t>、基金经理）</w:t>
      </w:r>
    </w:p>
    <w:p w14:paraId="60B0C0C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77E06F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14:paraId="781700B8" w14:textId="0C6DECAC"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上述人员之间不存在近亲属关系，上述各项人员信息更新截止日为2024年</w:t>
      </w:r>
      <w:r w:rsidR="00D57497">
        <w:rPr>
          <w:rFonts w:ascii="宋体" w:hAnsi="宋体"/>
          <w:sz w:val="24"/>
        </w:rPr>
        <w:t>12</w:t>
      </w:r>
      <w:r>
        <w:rPr>
          <w:rFonts w:ascii="宋体" w:hAnsi="宋体"/>
          <w:sz w:val="24"/>
        </w:rPr>
        <w:t>月</w:t>
      </w:r>
      <w:r w:rsidR="00880C7D">
        <w:rPr>
          <w:rFonts w:ascii="宋体" w:hAnsi="宋体"/>
          <w:sz w:val="24"/>
        </w:rPr>
        <w:t>18</w:t>
      </w:r>
      <w:r>
        <w:rPr>
          <w:rFonts w:ascii="宋体" w:hAnsi="宋体"/>
          <w:sz w:val="24"/>
        </w:rPr>
        <w:t>日，期后变动（如有）敬请关注基金管理人发布的相关公告。</w:t>
      </w:r>
    </w:p>
    <w:p w14:paraId="258383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414BA08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D5A0C5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29879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3E8325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484156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0D99469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4C357D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3B29BE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4B87D2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34A515E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3C4739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138269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0D0B056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7AD9F5A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1、基金管理人承诺不从事违反《中华人民共和国证券法》的行为，并承诺建立健全内部控制制度，采取有效措施，防止违反《中华人民共和国证券法》行为的发生；</w:t>
      </w:r>
    </w:p>
    <w:p w14:paraId="16B240A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4F67A5B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564DC6F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00D67E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3FC176A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7BF1F4E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0C4D407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0AAF33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7E6520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089C43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6DDB91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1B5CE7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5616D6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453C1E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2E741A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37273C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77476B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09FECD9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14:paraId="0F2216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29C489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14:paraId="73D53A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公司设立独立的风险管理部，风险管理部保持高度的独立性和权威性，负责对公司各部门风险控制工作进行监督和检查。</w:t>
      </w:r>
    </w:p>
    <w:p w14:paraId="56416C2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14:paraId="26DF3C3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5D168D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14:paraId="453ABC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95685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0745B9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18EC9F4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48A667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32DFEF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53E798D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76DE735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4EFC0C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68A9F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7F09385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FC36E4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27693E7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0B8EB5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7CC748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w:t>
      </w:r>
      <w:r>
        <w:rPr>
          <w:rFonts w:ascii="宋体" w:hAnsi="宋体"/>
          <w:sz w:val="24"/>
        </w:rPr>
        <w:lastRenderedPageBreak/>
        <w:t>一个部门的风险管理系统的发展提供协助，汇总公司业务所有的风险信息，独立识别、评估各类风险，提出风险控制建议，使公司在一种风险管理和控制的环境中实现业务目标。</w:t>
      </w:r>
    </w:p>
    <w:p w14:paraId="042969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43B3BF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1CB61B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5271C98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24E3F6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3EE22A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0579EF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31D757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2D36187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0F54EBF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47ED23B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F7F29A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7C6D91C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127F77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3F0D11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735EC4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（5）建立有效的内部监控系统</w:t>
      </w:r>
    </w:p>
    <w:p w14:paraId="15B8195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52B018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48AB01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6365D7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54F907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70B33F35"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78CC21A" w14:textId="77777777" w:rsidR="00EF0B55" w:rsidRDefault="0022048D">
      <w:pPr>
        <w:pStyle w:val="1"/>
        <w:snapToGrid w:val="0"/>
        <w:spacing w:beforeLines="0" w:before="240" w:after="240"/>
        <w:rPr>
          <w:rFonts w:ascii="宋体" w:hAnsi="宋体"/>
          <w:szCs w:val="30"/>
        </w:rPr>
      </w:pPr>
      <w:bookmarkStart w:id="8" w:name="_Toc166054610"/>
      <w:r>
        <w:rPr>
          <w:rFonts w:ascii="Times New Roman" w:hAnsi="Times New Roman"/>
          <w:sz w:val="30"/>
        </w:rPr>
        <w:lastRenderedPageBreak/>
        <w:t>四、基金托管人</w:t>
      </w:r>
      <w:bookmarkEnd w:id="8"/>
    </w:p>
    <w:p w14:paraId="5DFF1E02"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1F2F264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6EDBDB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14:paraId="039358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46AC37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57EC77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25B6B8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14:paraId="6DC387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12DA4E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行长：王良</w:t>
      </w:r>
    </w:p>
    <w:p w14:paraId="4F1CE85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230A66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电话：4006195555</w:t>
      </w:r>
    </w:p>
    <w:p w14:paraId="6107CBC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0321278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资产托管部信息披露负责人：张姗</w:t>
      </w:r>
    </w:p>
    <w:p w14:paraId="29F6FDA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w:t>
      </w:r>
    </w:p>
    <w:p w14:paraId="036EAB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2023年12月31日，本集团总资产110,284.83亿元人民币，高级法下资本充足率17.88%，权重法下资本充足率14.96%。</w:t>
      </w:r>
    </w:p>
    <w:p w14:paraId="47AA63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214人。2002年11月，经中国人民银行和中国证监会批准获得证券投资基金托管业务资格，成为国内第一家获得该项业务资格上市银行；2003年4月，正式办理基金托管业务。招商银行作为托管业务资质最全的商业银行之一，拥有证券投资基金托管、受托投资管理托管、合格境外</w:t>
      </w:r>
      <w:r>
        <w:rPr>
          <w:rFonts w:ascii="宋体" w:hAnsi="宋体"/>
          <w:sz w:val="24"/>
        </w:rPr>
        <w:lastRenderedPageBreak/>
        <w:t>机构投资者托管（QFII）、合格境内机构投资者托管（QDII）、保险资金托管、基本养老保险基金托管、企业年金基金托管、存托凭证试点存托人、私募基金业务外包服务等业务资格。</w:t>
      </w:r>
    </w:p>
    <w:p w14:paraId="6EB314E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结合自身在托管行业深耕22年的专业能力和创新精神，推出“招商银行托管+”服务品牌，以“践行价值银行战略，致力于成为服务更佳、科技更强、协同更好的客户首选全球托管银行”品牌愿景为指引，以“值得信赖的专家、贴心服务的管家、让价值持续增加、客户的体验更佳”的“4+目标”，以创新的“服务产品化”为方法论，全方位助力资管机构实现可持续的高质量发展。招商银行资产托管围绕资管全场景，打造了“如风运营”“大观投研”“见微数据”三个服务子品牌，不断创新托管系统、服务和产品：在业内率先推出“网上托管银行系统”、托管业务综合系统和“6S”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67365A4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招商银行资产托管业务持续稳健发展，社会影响力不断提升,近年来获得业内各类奖项荣誉。2016年5月 “托管通”荣获《银行家》2016中国金融创新 “十佳金融产品创新奖”； 6月荣获《财资》“中国最佳托管银行奖”，成为国内唯一获得该奖项的托管银行；7月荣获中国资产管理“金贝奖”“最佳资产托管银行”、《21世纪经济报道》“2016最佳资产托管银行”。2017年5月荣获《亚洲银行家》“中国年度托管银行奖”；6月荣获《财资》“中国最佳托管银行奖”；“全功能网上托管银行2.0”荣获《银行家》2017中国金融创新“十佳金融产品创新奖”。2018年1月荣获中央国债登记结算有限责任公司“2017年度优秀资产托管机构”奖；同月，托管大数据平台风险管理系统荣获2016-2017年度银监会系统“金点子”方案一等奖，以及中央金融团工委、全国金融青联第五届“双提升”金点子方案二等奖；3月荣获《中国基金报》 “最佳基金托管银行”奖；5月荣获国际财经权威媒体《亚洲银行家》“中国年度托管银行奖”；12月荣获2018东方财富风云榜“2018年度最佳托管银行”、“20年最值得信赖托管银行”奖。2019年3月荣获</w:t>
      </w:r>
      <w:r>
        <w:rPr>
          <w:rFonts w:ascii="宋体" w:hAnsi="宋体"/>
          <w:sz w:val="24"/>
        </w:rPr>
        <w:lastRenderedPageBreak/>
        <w:t>《中国基金报》“2018年度最佳基金托管银行”奖；6月荣获《财资》“中国最佳托管机构”“中国最佳养老金托管机构”“中国最佳零售基金行政外包”三项大奖；12月荣获2019东方财富风云榜“2019年度最佳托管银行”奖。2020年1月，荣获中央国债登记结算有限责任公司“2019年度优秀资产托管机构”奖项；6月荣获《财资》“中国境内最佳托管机构”“最佳公募基金托管机构”“最佳公募基金行政外包机构”三项大奖；10月荣获《中国基金报》第二届中国公募基金英华奖“2019年度最佳基金托管银行”奖。2021年1月，荣获中央国债登记结算有限责任公司“2020年度优秀资产托管机构”奖项；同月荣获2020东方财富风云榜“2020年度最受欢迎托管银行”奖项；2021年10月，《证券时报》“2021年度杰出资产托管银行天玑奖”；2021年12月，荣获《中国基金报》第三届中国公募基金英华奖“2020年度最佳基金托管银行”；2022年1月荣获中央国债登记结算有限责任公司“2021年度优秀资产托管机构、估值业务杰出机构”奖项；9月荣获《财资》“中国最佳托管银行”“最佳公募基金托管银行”“最佳理财托管银行”三项大奖；12月荣获《证券时报》“2022年度杰出资产托管银行天玑奖”；2023年1月荣获中央国债登记结算有限责任公司“2022年度优秀资产托管机构”、银行间市场清算所股份有限公司“2022年度优秀托管机构”、全国银行间同业拆借中心“2022年度银行间本币市场托管业务市场创新奖”三项大奖；2023年4月，荣获《中国基金报》第二届中国基金业创新英华奖“托管创新奖”；2023年9月，荣获《中国基金报》中国基金业英华奖“公募基金25年基金托管示范银行（全国性股份行）”；2023年12月，荣获《东方财富风云榜》“2023年度托管银行风云奖”。</w:t>
      </w:r>
    </w:p>
    <w:p w14:paraId="2B334192"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14:paraId="686752B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5EDCCD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王良先生，本行党委书记、执行董事、行长。中国人民大学经济学硕士，高级</w:t>
      </w:r>
      <w:r>
        <w:rPr>
          <w:rFonts w:ascii="宋体" w:hAnsi="宋体"/>
          <w:sz w:val="24"/>
        </w:rPr>
        <w:lastRenderedPageBreak/>
        <w:t>经济师。1995年6月加入本行，历任本行北京分行行长助理、副行长、行长，2012年6月起历任本行行长助理、副行长、常务副行长，2022年4月18日起全面主持本行工作，2022年5月19日起任本行党委书记，2022年6月15日起任本行行长。兼任本行香港上市相关事宜之授权代表、招银国际金融控股有限公司董事长、招银国际金融有限公司董事长、招商永隆银行董事长、招联消费金融有限公司副董事长、招商局金融控股有限公司董事、中国支付清算协会副会长、中国银行业协会中间业务专业委员会第四届主任、中国金融会计学会第六届常务理事、广东省第十四届人大代表。</w:t>
      </w:r>
    </w:p>
    <w:p w14:paraId="57BE1F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彭家文先生，本行副行长兼财务负责人、董事会秘书。中南财经大学国民经济计划专业本科学历，高级经济师。2001年9月加入本行，历任总行计划财务部总经理助理、副总经理，总行零售综合管理部副总经理、总经理，总行零售金融总部副总经理、副总裁、副总裁兼总行零售信贷部总经理，郑州分行行长，总行资产负债管理部总经理，本行行长助理，2023年11月起任本行副行长。兼任本行财务负责人、董事会秘书。</w:t>
      </w:r>
    </w:p>
    <w:p w14:paraId="33BB1D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2C5487EE"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41EF83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截至2023年12月31日，招商银行股份有限公司累计托管1374只证券投资基金。</w:t>
      </w:r>
    </w:p>
    <w:p w14:paraId="1C9EA290" w14:textId="63A824BA"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w:t>
      </w:r>
      <w:r w:rsidR="00104F86">
        <w:rPr>
          <w:rFonts w:ascii="宋体" w:hAnsi="宋体" w:hint="eastAsia"/>
          <w:b/>
          <w:kern w:val="0"/>
          <w:sz w:val="24"/>
        </w:rPr>
        <w:t>基金</w:t>
      </w:r>
      <w:r w:rsidRPr="00BB248E">
        <w:rPr>
          <w:rFonts w:ascii="宋体" w:hAnsi="宋体" w:hint="eastAsia"/>
          <w:b/>
          <w:kern w:val="0"/>
          <w:sz w:val="24"/>
        </w:rPr>
        <w:t>托管人的内部控制制度</w:t>
      </w:r>
    </w:p>
    <w:p w14:paraId="0CCF36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内部控制目标</w:t>
      </w:r>
    </w:p>
    <w:p w14:paraId="045DF0E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22EEB8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 内部控制组织结构</w:t>
      </w:r>
    </w:p>
    <w:p w14:paraId="3B31EB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招商银行资产托管业务建立三级内部控制及风险防范体系：</w:t>
      </w:r>
    </w:p>
    <w:p w14:paraId="052BFE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一级内部控制及风险防范是在招商银行总行风险管控层面对风险进行预防和控制；总行风险管理部、法律合规部、审计部独立对资产托管业务进行评估监督，并提出内控提升管理建议。</w:t>
      </w:r>
    </w:p>
    <w:p w14:paraId="03E1AB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二级内部控制及风险防范是招商银行资产托管部设立风险合规管理相关团队，负责部门内部风险预防和控制，及时发现内部控制缺陷，提出整改方案，跟踪整改情况，并直接向部门总经理室报告。</w:t>
      </w:r>
    </w:p>
    <w:p w14:paraId="037F9E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三级内部控制及风险防范是招商银行资产托管部在设置专业岗位时，遵循内控制衡原则，视业务的风险程度制定相应监督制衡机制。</w:t>
      </w:r>
    </w:p>
    <w:p w14:paraId="5203040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内部控制原则</w:t>
      </w:r>
    </w:p>
    <w:p w14:paraId="58BF9D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（1）全面性原则。内部控制覆盖各项业务过程和操作环节、覆盖所有团队和岗位，并由全部人员参与。</w:t>
      </w:r>
    </w:p>
    <w:p w14:paraId="4A09059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14:paraId="572976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14:paraId="6CAE79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7C8525D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1B088E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（6）防火墙原则。招商银行资产托管部办公场地与我行其他业务场地隔离，办公网和业务网物理分离，部门业务网和全行业务网防火墙策略分离，以达到风险防范的目的。</w:t>
      </w:r>
    </w:p>
    <w:p w14:paraId="324AF5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（7）重要性原则。内部控制在实现全面控制的基础上，关注重要托管业务重要事项和高风险环节。</w:t>
      </w:r>
    </w:p>
    <w:p w14:paraId="00C3CB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（8）制衡性原则。内部控制能够实现在托管组织体系、机构设置、权责分配及业务流程等方面相互制约、相互监督，同时兼顾运营效率。</w:t>
      </w:r>
    </w:p>
    <w:p w14:paraId="7267AE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内部控制措施</w:t>
      </w:r>
    </w:p>
    <w:p w14:paraId="0E99F0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14:paraId="429BBB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（2）业务信息风险控制。招商银行资产托管部在数据传输和保存方面有严格的加密和备份措施，采用加密、直连方式传输数据，数据执行异地实时备份，所有的业务信息须经过严格的授权方能进行访问。</w:t>
      </w:r>
    </w:p>
    <w:p w14:paraId="6B6E68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14:paraId="05B447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702A4E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（5）人力资源控制。招商银行资产托管部通过建立良好的企业文化和员工培训、激励机制、加强人力资源管理及建立人才梯级队伍及人才储备机制，有效地进行人力资源管理。</w:t>
      </w:r>
    </w:p>
    <w:p w14:paraId="221B3999"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14:paraId="097D582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28ABCB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61AAC69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基金托管人如发现基金管理人依据交易程序已经生效的投资指令违反法律、行</w:t>
      </w:r>
      <w:r>
        <w:rPr>
          <w:rFonts w:ascii="宋体" w:hAnsi="宋体"/>
          <w:sz w:val="24"/>
        </w:rPr>
        <w:lastRenderedPageBreak/>
        <w:t>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F916791"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3F2847" w14:textId="77777777" w:rsidR="00EF0B55" w:rsidRDefault="0022048D">
      <w:pPr>
        <w:pStyle w:val="1"/>
        <w:snapToGrid w:val="0"/>
        <w:spacing w:beforeLines="0" w:before="240" w:after="240"/>
        <w:rPr>
          <w:rFonts w:ascii="宋体" w:hAnsi="宋体"/>
          <w:szCs w:val="30"/>
        </w:rPr>
      </w:pPr>
      <w:bookmarkStart w:id="9" w:name="_Toc166054611"/>
      <w:r>
        <w:rPr>
          <w:rFonts w:ascii="Times New Roman" w:hAnsi="Times New Roman"/>
          <w:sz w:val="30"/>
        </w:rPr>
        <w:lastRenderedPageBreak/>
        <w:t>五、相关服务机构</w:t>
      </w:r>
      <w:bookmarkEnd w:id="9"/>
    </w:p>
    <w:p w14:paraId="69F8F65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0F0F83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614431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1026FE6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42FA76A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DA7D31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A59158E" w14:textId="701D3E0D"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E417CC">
        <w:rPr>
          <w:rFonts w:ascii="宋体" w:hAnsi="宋体" w:hint="eastAsia"/>
          <w:sz w:val="24"/>
        </w:rPr>
        <w:t>张宏良</w:t>
      </w:r>
    </w:p>
    <w:p w14:paraId="569CD5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9B2E0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E5D53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1D64730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19DBD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B6A1F3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13D7B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w:t>
      </w:r>
      <w:r w:rsidR="00E857F9">
        <w:rPr>
          <w:rFonts w:ascii="宋体" w:hAnsi="宋体" w:hint="eastAsia"/>
          <w:sz w:val="24"/>
        </w:rPr>
        <w:t>本公司</w:t>
      </w:r>
      <w:r>
        <w:rPr>
          <w:rFonts w:ascii="宋体" w:hAnsi="宋体"/>
          <w:sz w:val="24"/>
        </w:rPr>
        <w:t>网上直销交易平台办理开户、本基金的申购、赎回、定期定额投资、转换等业务，具体交易细则请参阅</w:t>
      </w:r>
      <w:r w:rsidR="00E857F9">
        <w:rPr>
          <w:rFonts w:ascii="宋体" w:hAnsi="宋体" w:hint="eastAsia"/>
          <w:sz w:val="24"/>
        </w:rPr>
        <w:t>本公司</w:t>
      </w:r>
      <w:r>
        <w:rPr>
          <w:rFonts w:ascii="宋体" w:hAnsi="宋体"/>
          <w:sz w:val="24"/>
        </w:rPr>
        <w:t>网站。</w:t>
      </w:r>
    </w:p>
    <w:p w14:paraId="2EC9A8E5" w14:textId="2CE26213"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09611D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2、其他销售机构</w:t>
      </w:r>
    </w:p>
    <w:p w14:paraId="6DC21BA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4AACB33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5E654F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6FACA1D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4CCA74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0DF65E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3F992F1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72B04EB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70C86F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546235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（2）名称：招商银行股份有限公司</w:t>
      </w:r>
    </w:p>
    <w:p w14:paraId="56A4FA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住所：深圳市福田区深南大道7088号</w:t>
      </w:r>
    </w:p>
    <w:p w14:paraId="1235C2F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338659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4417D11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60BD2C9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54651A9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45B8E1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60AFC7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5285C8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（3）名称：平安银行股份有限公司</w:t>
      </w:r>
    </w:p>
    <w:p w14:paraId="716AB80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262224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06D2D18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14:paraId="60BBFE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27272C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24D41D8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787D27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7466C4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259AA5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（4）名称：宁波银行股份有限公司</w:t>
      </w:r>
    </w:p>
    <w:p w14:paraId="38D981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0B3B75C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032316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742CEF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7AF7CDA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0F999C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13156E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3837781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（5）名称：兴业银行股份有限公司</w:t>
      </w:r>
    </w:p>
    <w:p w14:paraId="43060A4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59C61BE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2029C81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7DEDB2E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22F6447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联系电话：021-52629999</w:t>
      </w:r>
    </w:p>
    <w:p w14:paraId="5CADEB7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172E0F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5D22710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（6）名称：中国邮政储蓄银行股份有限公司</w:t>
      </w:r>
    </w:p>
    <w:p w14:paraId="0D566B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14:paraId="477991F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14:paraId="1DE18E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14:paraId="71206E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14:paraId="042D3BE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14:paraId="5660FA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14:paraId="618215B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14:paraId="5687CA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（7）名称：德邦证券有限责任公司</w:t>
      </w:r>
    </w:p>
    <w:p w14:paraId="326C78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06530C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3B11E1E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38156A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2898720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7B5B83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00D5B8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221FF1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（8）名称：中信证券（山东）有限责任公司</w:t>
      </w:r>
    </w:p>
    <w:p w14:paraId="3E7467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12C4AC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1E15F8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4BE4885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194FDCB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27D3CB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032BFD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49A43D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3CEB054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（9）名称：中信证券股份有限公司</w:t>
      </w:r>
    </w:p>
    <w:p w14:paraId="1F3560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5DB5EA2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办公地址：北京市朝阳区亮马桥路48号中信证券大厦</w:t>
      </w:r>
    </w:p>
    <w:p w14:paraId="26E54A1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45581F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60B7DF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0903D5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732D2A6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（10）名称：中信证券华南股份有限公司</w:t>
      </w:r>
    </w:p>
    <w:p w14:paraId="26C190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6ACFB1E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3CE86C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3B9410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3A4E961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73E144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24071F0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403E71E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36A4E91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（11）名称：西部证券股份有限公司</w:t>
      </w:r>
    </w:p>
    <w:p w14:paraId="6F8ECA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14:paraId="540DDE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3328E2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42953A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14:paraId="71E548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0414AE0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2864675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2EDDE5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11C2D7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（12）名称：广发证券股份有限公司</w:t>
      </w:r>
    </w:p>
    <w:p w14:paraId="7AE46F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289B5D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6B53C5D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07D9D88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4B54334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783FA6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3CE14F1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客户服务电话：95575</w:t>
      </w:r>
    </w:p>
    <w:p w14:paraId="2AA3D99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6ADEF3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（13）名称：天风证券股份有限公司</w:t>
      </w:r>
    </w:p>
    <w:p w14:paraId="063A300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14:paraId="015101D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14:paraId="1BC1512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14:paraId="625325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14:paraId="2AC522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14:paraId="67C1869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14:paraId="0655258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14:paraId="0B8E4BC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14:paraId="6CFD8B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（14）名称：长城国瑞证券有限公司</w:t>
      </w:r>
    </w:p>
    <w:p w14:paraId="55D2EE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1816D0A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3E501F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14:paraId="22D3EE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14:paraId="3781B3A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05D5879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6BBFDD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3A9ED7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7ACD4DA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（15）名称：平安证券股份有限公司</w:t>
      </w:r>
    </w:p>
    <w:p w14:paraId="3129A5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25BAA2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03E5CE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222D82D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470252D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3F31EE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79A24A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62061E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1FD9BF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（16）名称：中邮证券有限责任公司</w:t>
      </w:r>
    </w:p>
    <w:p w14:paraId="7F86F2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注册地址：陕西省西安市唐延路5号（陕西邮政信息大厦9-11层）</w:t>
      </w:r>
    </w:p>
    <w:p w14:paraId="77165A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办公地址：北京市东城区珠市口东大街17号</w:t>
      </w:r>
    </w:p>
    <w:p w14:paraId="2FA4A9B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法定代表人：郭成林</w:t>
      </w:r>
    </w:p>
    <w:p w14:paraId="5B0F478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电话：010-67017788-8914</w:t>
      </w:r>
    </w:p>
    <w:p w14:paraId="743766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传真：010-67017788</w:t>
      </w:r>
    </w:p>
    <w:p w14:paraId="0C6CA3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联系人：史蕾</w:t>
      </w:r>
    </w:p>
    <w:p w14:paraId="3ED856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客户服务电话：4008-888-005</w:t>
      </w:r>
    </w:p>
    <w:p w14:paraId="0C6F730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网址：www.cnpsec.com</w:t>
      </w:r>
    </w:p>
    <w:p w14:paraId="2A9C12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（17）名称：华宝证券股份有限公司</w:t>
      </w:r>
    </w:p>
    <w:p w14:paraId="407BE5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6C28A2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6DFF4B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75F4829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4043F6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0A4C375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28F4093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3512E33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30A48D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（18）名称：中信建投证券股份有限公司</w:t>
      </w:r>
    </w:p>
    <w:p w14:paraId="33E6879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2DED27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7E0FD81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40E2F9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5E8D4D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6DF068A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3AECB5C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260744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7FCF4F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（19）名称：开源证券股份有限公司</w:t>
      </w:r>
    </w:p>
    <w:p w14:paraId="4F3778C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注册地址：陕西省西安市高新区锦业路一号都市之门B座5层</w:t>
      </w:r>
    </w:p>
    <w:p w14:paraId="1E21134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办公地址：陕西省西安市高新区锦业路一号都市之门B座5层</w:t>
      </w:r>
    </w:p>
    <w:p w14:paraId="75ED725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法定代表人：李刚</w:t>
      </w:r>
    </w:p>
    <w:p w14:paraId="314874D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电话：13709210036</w:t>
      </w:r>
    </w:p>
    <w:p w14:paraId="43B7DC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联系人：赵东会</w:t>
      </w:r>
    </w:p>
    <w:p w14:paraId="7F84F7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网址：www.kysec.cn</w:t>
      </w:r>
    </w:p>
    <w:p w14:paraId="2B21036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2C8B3B2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（20）名称：招商证券股份有限公司</w:t>
      </w:r>
    </w:p>
    <w:p w14:paraId="74688F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6A58B6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685B13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091136F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747589F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5C3C02A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053ECD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555167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2EFB750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（21）名称：国信证券股份有限公司</w:t>
      </w:r>
    </w:p>
    <w:p w14:paraId="7FC5993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5A93764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662D24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14:paraId="6CD207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506C01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5A94BFC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14:paraId="178E9EC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556DC5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6F2F78F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（22）名称：国泰君安证券股份有限公司</w:t>
      </w:r>
    </w:p>
    <w:p w14:paraId="0B40AB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4B1215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0FDED3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725174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39F11E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723E9A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66C416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0B97DAA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网址：www.gtja.com</w:t>
      </w:r>
    </w:p>
    <w:p w14:paraId="5BABA38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（23）名称：国金证券股份有限公司</w:t>
      </w:r>
    </w:p>
    <w:p w14:paraId="62ADB66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3D3C76D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53A92B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1C03C75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58037E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1928D2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4E146C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00A4AD9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48A4A21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（24）名称：方正证券股份有限公司</w:t>
      </w:r>
    </w:p>
    <w:p w14:paraId="6EEA5E0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302762B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72036E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08AE86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2A6178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78496D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33F657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0C76000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25EB43B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（25）名称：海通证券股份有限公司</w:t>
      </w:r>
    </w:p>
    <w:p w14:paraId="4D91880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631CC93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625F234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76DA64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3352CF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0AFC98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1775B9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1A50F6D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2F1B469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（26）名称：华龙证券股份有限公司</w:t>
      </w:r>
    </w:p>
    <w:p w14:paraId="4470D61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37D12C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办公地址：兰州市城关区东岗西路638号财富中心</w:t>
      </w:r>
    </w:p>
    <w:p w14:paraId="6EAA104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0D3E59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2BFA16F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3451116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25154A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3CE91E6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56400BE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（27）名称：东方证券股份有限公司</w:t>
      </w:r>
    </w:p>
    <w:p w14:paraId="721505B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14:paraId="2B88254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14:paraId="210BD8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14:paraId="5E743B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14:paraId="2C133B2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14:paraId="78D14C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14:paraId="10836F7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14:paraId="1D58BF5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（28）名称：华西证券股份有限公司</w:t>
      </w:r>
    </w:p>
    <w:p w14:paraId="70B1378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59AC4E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4258B6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6053335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72E5AF3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708032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0119020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376EFA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377B40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（29）名称：大同证券有限责任公司</w:t>
      </w:r>
    </w:p>
    <w:p w14:paraId="0E619A0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515E379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26874E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2FE722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5121B26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14C4FED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 真：（0351）7219891</w:t>
      </w:r>
    </w:p>
    <w:p w14:paraId="6471628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14:paraId="6CDCFE5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7516967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（30）名称：北京钱景财富投资管理有限公司</w:t>
      </w:r>
    </w:p>
    <w:p w14:paraId="7E97301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091BD81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0C3EA59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5A62FED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22D6B94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228D82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29D42F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4C2D75D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070FA1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（31）名称：北京唐鼎耀华投资咨询有限公司</w:t>
      </w:r>
    </w:p>
    <w:p w14:paraId="7DBC8C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455B77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610D67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5A3CEBB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6E2AA8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759B00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5666F0B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462DBA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636A02F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（32）名称：珠海盈米财富管理有限公司</w:t>
      </w:r>
    </w:p>
    <w:p w14:paraId="7501E11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642594E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10CF83A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03FA1D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2D3FC3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0244ED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295F9C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540F6E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6F03391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（33）名称：嘉实财富管理有限公司</w:t>
      </w:r>
    </w:p>
    <w:p w14:paraId="69B252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7905213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54D900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2405169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72410C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449BB66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24B150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416388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226DC7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（34）名称：北京汇成基金销售有限公司</w:t>
      </w:r>
    </w:p>
    <w:p w14:paraId="687DF1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42B3BAA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040D0B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03880E6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159E515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75A3B6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24A8866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7039E70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7860D2C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（35）名称：上海利得基金销售有限公司</w:t>
      </w:r>
    </w:p>
    <w:p w14:paraId="35840BF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25CBE8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1AA58A0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5BACB40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0B82BA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3148BAE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4E3831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5CC44B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718667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（36）名称：上海凯石财富基金销售有限公司</w:t>
      </w:r>
    </w:p>
    <w:p w14:paraId="4C2D4B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00C5841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3469D9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法定代表人：陈继武</w:t>
      </w:r>
    </w:p>
    <w:p w14:paraId="5BCCA7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55339F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388717C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31A700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6EBCFA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62F4645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（37）名称：北京虹点基金销售有限公司</w:t>
      </w:r>
    </w:p>
    <w:p w14:paraId="54BA47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095AC62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7A7097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4C7B0C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27A028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463D75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3ECB33B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148CCF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78F3B77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（38）名称：上海陆金所资产管理有限公司</w:t>
      </w:r>
    </w:p>
    <w:p w14:paraId="38D19E0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5CA8581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4147891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706366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306A292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73B9564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282F69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3DE1361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03E3CF3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（39）名称：上海挖财金融信息服务有限公司</w:t>
      </w:r>
    </w:p>
    <w:p w14:paraId="55905A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1DE50B1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76E790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2CA816D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47805BD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224F3F7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李娟</w:t>
      </w:r>
    </w:p>
    <w:p w14:paraId="55435A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13FC73E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56F63E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（40）名称：天津万家财富资产管理有限公司</w:t>
      </w:r>
    </w:p>
    <w:p w14:paraId="3FBD24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563FC39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673E4F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5C6E09A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0474A6F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0A35B8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49ED58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316D60A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4C224D9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（41）名称：上海万得基金销售有限公司</w:t>
      </w:r>
    </w:p>
    <w:p w14:paraId="5B07B96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525F8D1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36B37B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1EA6EA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0484C63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74B3D7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326A04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2832CB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3FB867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（42）名称：格上富信投资顾问有限公司</w:t>
      </w:r>
    </w:p>
    <w:p w14:paraId="205CBE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21095C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7F38628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3127DB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611CF2C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2E9998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557C3DC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1A5B5FA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3E723B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（43）名称：深圳市金斧子基金销售有限公司</w:t>
      </w:r>
    </w:p>
    <w:p w14:paraId="3F70CE6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65AB3C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753086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61AD7B7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5767563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3263FDE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410FA8E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10CEC18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66E2AF8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（44）名称：北京雪球基金销售有限公司</w:t>
      </w:r>
    </w:p>
    <w:p w14:paraId="2173DDC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7510D79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222AA4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58EA20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28E05A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41EA7A9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5B6CACB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732BEB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76F014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（45）名称：北京新浪仓石基金销售有限公司</w:t>
      </w:r>
    </w:p>
    <w:p w14:paraId="735B4F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1118BAC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7CC2801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4CB7FE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49A06F8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2AE274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4C99DE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460B108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3186F03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（46）名称：中证金牛（北京）投资咨询有限公司</w:t>
      </w:r>
    </w:p>
    <w:p w14:paraId="20BAB65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北京市丰台区东管头1号2号楼2-45室</w:t>
      </w:r>
    </w:p>
    <w:p w14:paraId="35F1F63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1E7F177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0CB4CD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0F47546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3E7E29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0907CF9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0BB335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750D274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（47）名称：上海云湾投资管理有限公司</w:t>
      </w:r>
    </w:p>
    <w:p w14:paraId="14A9377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3AC0EA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15E1D1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1330A32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4BEEF6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297206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165E09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309A38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276E19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（48）名称：北京创金启富基金销售有限公司</w:t>
      </w:r>
    </w:p>
    <w:p w14:paraId="45E423B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5C3AB57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535060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4D924F1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00F1CB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572251C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5AA80E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7C469C9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3BF2461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（49）名称：奕丰基金销售有限公司</w:t>
      </w:r>
    </w:p>
    <w:p w14:paraId="5877B6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039968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2F4D25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法定代表人：TEO WEE HOWE</w:t>
      </w:r>
    </w:p>
    <w:p w14:paraId="3DB0A40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3C91B0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3C26762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2A8FCF1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6A08C18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6CF460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（50）名称：北京中植基金销售有限公司</w:t>
      </w:r>
    </w:p>
    <w:p w14:paraId="7622665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20BE0B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35BF8D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10B36E2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4E95671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54A1D6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5FAABB2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33D9C4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4442B8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（51）名称：上海天天基金销售有限公司</w:t>
      </w:r>
    </w:p>
    <w:p w14:paraId="4EB7A1E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75CA0AA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63089C2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5C5BC0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470499B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1688D6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1A8B2D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68555B6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2DA071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（52）名称：和讯信息科技有限公司</w:t>
      </w:r>
    </w:p>
    <w:p w14:paraId="7F29A25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7B45241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268578D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6978BF4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584E8F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58E924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联系人：周轶</w:t>
      </w:r>
    </w:p>
    <w:p w14:paraId="0323624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7F7D83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0D2D73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（53）名称：诺亚正行(上海)基金销售投资顾问有限公司</w:t>
      </w:r>
    </w:p>
    <w:p w14:paraId="23A474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770A89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6A40CD2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530ADD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62DBC3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23E344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60D010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2918A70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31CD7A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（54）名称：上海好买基金销售有限公司</w:t>
      </w:r>
    </w:p>
    <w:p w14:paraId="32EC3B6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2BB0863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2E1A8A2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4B3208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596EA2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0454FB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4B5277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35CF0F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（55）名称：上海长量基金销售投资顾问有限公司</w:t>
      </w:r>
    </w:p>
    <w:p w14:paraId="638A8E6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5586F8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35EB33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1B2F49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002EB01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1A251B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1CADED5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5777871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1F876B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（56）名称：深圳众禄基金销售有限公司</w:t>
      </w:r>
    </w:p>
    <w:p w14:paraId="293DAD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住所：深圳市罗湖区梨园路物资控股置地大厦8楼</w:t>
      </w:r>
    </w:p>
    <w:p w14:paraId="3E35A7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2B6A5B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2A57CB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05260DF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1FF2A63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3ADFF5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3CE102A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1F2FB6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（57）名称：蚂蚁（杭州）基金销售有限公司</w:t>
      </w:r>
    </w:p>
    <w:p w14:paraId="0485CE0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1C3D319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72A53C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4819C25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1F40421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7F3359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6FF1B6E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（58）名称：上海基煜基金销售有限公司</w:t>
      </w:r>
    </w:p>
    <w:p w14:paraId="2702400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1C5F99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1A84092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565FBA5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317B82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6A3CEC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3E36DA6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596554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1F6567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（59）名称：浙江同花顺基金销售有限公司</w:t>
      </w:r>
    </w:p>
    <w:p w14:paraId="1045CA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606FEA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4091B4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30C427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702EE1A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传真：（0571）86800423</w:t>
      </w:r>
    </w:p>
    <w:p w14:paraId="5194C1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52D5FDC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7676B5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4319398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（60）名称：宜信普泽投资顾问（北京）有限公司</w:t>
      </w:r>
    </w:p>
    <w:p w14:paraId="39C000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15CDD1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13DE93E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5CDBBA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7498A22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1E90BD4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31BA3F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5117BC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169828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（61）名称：上海联泰基金销售有限公司</w:t>
      </w:r>
    </w:p>
    <w:p w14:paraId="664B4F4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722CF7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42326A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2324A0E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4F3CA5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649B01C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299FFE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79E4A20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532904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（62）名称：一路财富（北京）信息科技有限公司</w:t>
      </w:r>
    </w:p>
    <w:p w14:paraId="67A3EB9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169285F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0E29CA0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7437D6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1D23CE3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01ABC4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359AF0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140BF79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网址：http://www.yilucaifu.com/</w:t>
      </w:r>
    </w:p>
    <w:p w14:paraId="2A274C6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（63）名称：北京展恒基金销售股份有限公司</w:t>
      </w:r>
    </w:p>
    <w:p w14:paraId="40ABDE3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1C79D8E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0982CA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799A57A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31229E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183125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30730C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48BACD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415A258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（64）名称：深圳市新兰德证券投资咨询有限公司</w:t>
      </w:r>
    </w:p>
    <w:p w14:paraId="3A5E546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4FD9D62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72F8857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4325A33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15F24AA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0B2760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00C055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6D9815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7E8534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（65）名称：北京肯特瑞基金销售有限公司</w:t>
      </w:r>
    </w:p>
    <w:p w14:paraId="574EC5D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0409CE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07442A8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5D20DDC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50E804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701429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50896A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42DA7B6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52BCCBD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（66）名称：上海华夏财富投资管理有限公司</w:t>
      </w:r>
    </w:p>
    <w:p w14:paraId="2FE43A5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住所：上海市虹口区东大名路687号1幢2楼268室</w:t>
      </w:r>
    </w:p>
    <w:p w14:paraId="619EE9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2871DC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332AA8C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0699469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4135CB1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47BD59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461C47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45FC16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（67）名称：上海大智慧基金销售有限公司</w:t>
      </w:r>
    </w:p>
    <w:p w14:paraId="730A97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7859DDB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2A9CE4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5FFE41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381D03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4C2EDD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3D0383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4AEB6D0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44C2A9D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（68）名称：中信期货有限公司</w:t>
      </w:r>
    </w:p>
    <w:p w14:paraId="7AFB7AF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1CA872D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0549EB7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7FDBBDE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2C120A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4B30B07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25EEBD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52F0F2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008CE9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（69）名称：腾安基金销售（深圳）有限公司</w:t>
      </w:r>
    </w:p>
    <w:p w14:paraId="38DE89E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w:t>
      </w:r>
      <w:r>
        <w:rPr>
          <w:rFonts w:ascii="宋体" w:hAnsi="宋体"/>
          <w:sz w:val="24"/>
        </w:rPr>
        <w:lastRenderedPageBreak/>
        <w:t>书有限公司）</w:t>
      </w:r>
    </w:p>
    <w:p w14:paraId="4C5C805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13B360D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6397FC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58BA56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7F9D11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47A516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2357CF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（70）名称：北京度小满基金销售有限公司</w:t>
      </w:r>
    </w:p>
    <w:p w14:paraId="7ABD095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411C6E2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7AB9B6E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41AA06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32CADC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2B71E7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4BBD04E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2D71EDE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06C19F6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（71）名称：南京苏宁基金销售有限公司</w:t>
      </w:r>
    </w:p>
    <w:p w14:paraId="4D0CE10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02217C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59A93B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4C6743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30A489A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334271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1704BE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2BF9FA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30097ED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（72）名称：北京植信基金销售有限公司</w:t>
      </w:r>
    </w:p>
    <w:p w14:paraId="7754DED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0DF6CA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4FCE36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3505BAB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37D874F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传真：010-67767615</w:t>
      </w:r>
    </w:p>
    <w:p w14:paraId="060BFE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1540743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64B818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058A5C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（73）名称：和耕传承基金销售有限公司</w:t>
      </w:r>
    </w:p>
    <w:p w14:paraId="2805E2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04E17B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59498A1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7543B81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41F9865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1CA2D4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2DB85A8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1474E55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638F63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（74）名称：上海钜派钰茂基金销售有限公司</w:t>
      </w:r>
    </w:p>
    <w:p w14:paraId="0ED7836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7CD9AB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459C56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19B05FE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1E5CA3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62F073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3D83ED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0933496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（75）名称：中国人寿保险股份有限公司</w:t>
      </w:r>
    </w:p>
    <w:p w14:paraId="0F9421F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40E75B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06A240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1993C5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5507F7B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2DB84E9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（76）名称：济安财富（北京）基金销售有限公司</w:t>
      </w:r>
    </w:p>
    <w:p w14:paraId="12AC39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741BF9E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办公地址：北京市朝阳区太阳宫中路16号院1号楼11层1105</w:t>
      </w:r>
    </w:p>
    <w:p w14:paraId="704FD8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422269F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3D46E5D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63EC582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7CFE8A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4C26D5F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08EA43B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（77）名称：大连网金基金销售有限公司</w:t>
      </w:r>
    </w:p>
    <w:p w14:paraId="1E3469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5BC79D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13F49D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2A4E82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20F1176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5C1BBF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2F89DA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569CFB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5F5A6A4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（78）名称：博时财富基金销售有限公司</w:t>
      </w:r>
    </w:p>
    <w:p w14:paraId="2AAC822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370A1A3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199D6A9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470F8A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3A53B4B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3849DD0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04B02C2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7599D3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295CED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（79）名称：泛华普益基金销售有限公司</w:t>
      </w:r>
    </w:p>
    <w:p w14:paraId="6D01BB0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767072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52F2EC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4C6182A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53DEDBB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传真：无</w:t>
      </w:r>
    </w:p>
    <w:p w14:paraId="27A1115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69241A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292B4B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7CEBED7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（80）名称：上海中欧财富基金销售有限公司</w:t>
      </w:r>
    </w:p>
    <w:p w14:paraId="0201FF1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14:paraId="21A30D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14:paraId="074468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14:paraId="666EA9A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3E702CB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70710EC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14:paraId="3C51948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20BBF8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14:paraId="664A70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（81）名称：玄元保险代理有限公司</w:t>
      </w:r>
    </w:p>
    <w:p w14:paraId="50C7B98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19251EC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401B5F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751D92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0A7E186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227BD11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0311EBE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42F8B940" w14:textId="03D9355E" w:rsidR="002F6D77" w:rsidRPr="002F6D77" w:rsidRDefault="002F6D77" w:rsidP="002F6D77">
      <w:pPr>
        <w:autoSpaceDE w:val="0"/>
        <w:autoSpaceDN w:val="0"/>
        <w:adjustRightInd w:val="0"/>
        <w:snapToGrid w:val="0"/>
        <w:spacing w:line="360" w:lineRule="auto"/>
        <w:ind w:firstLineChars="200" w:firstLine="480"/>
        <w:jc w:val="left"/>
        <w:rPr>
          <w:rFonts w:ascii="宋体" w:hAnsi="宋体"/>
          <w:sz w:val="24"/>
        </w:rPr>
      </w:pPr>
      <w:r w:rsidRPr="002F6D77">
        <w:rPr>
          <w:rFonts w:ascii="宋体" w:hAnsi="宋体" w:hint="eastAsia"/>
          <w:sz w:val="24"/>
        </w:rPr>
        <w:t>本基金E类基金份额暂</w:t>
      </w:r>
      <w:r w:rsidR="009E7BC9">
        <w:rPr>
          <w:rFonts w:ascii="宋体" w:hAnsi="宋体" w:hint="eastAsia"/>
          <w:sz w:val="24"/>
        </w:rPr>
        <w:t>仅</w:t>
      </w:r>
      <w:r w:rsidRPr="002F6D77">
        <w:rPr>
          <w:rFonts w:ascii="宋体" w:hAnsi="宋体" w:hint="eastAsia"/>
          <w:sz w:val="24"/>
        </w:rPr>
        <w:t>通过</w:t>
      </w:r>
      <w:r w:rsidR="00837263">
        <w:rPr>
          <w:rFonts w:ascii="宋体" w:hAnsi="宋体" w:hint="eastAsia"/>
          <w:sz w:val="24"/>
        </w:rPr>
        <w:t>直销</w:t>
      </w:r>
      <w:r w:rsidRPr="002F6D77">
        <w:rPr>
          <w:rFonts w:ascii="宋体" w:hAnsi="宋体" w:hint="eastAsia"/>
          <w:sz w:val="24"/>
        </w:rPr>
        <w:t>机构销售。</w:t>
      </w:r>
    </w:p>
    <w:p w14:paraId="18963FAA" w14:textId="5AE7942E" w:rsidR="005F1175" w:rsidRDefault="002F6D77" w:rsidP="002F6D77">
      <w:pPr>
        <w:autoSpaceDE w:val="0"/>
        <w:autoSpaceDN w:val="0"/>
        <w:adjustRightInd w:val="0"/>
        <w:snapToGrid w:val="0"/>
        <w:spacing w:line="360" w:lineRule="auto"/>
        <w:ind w:firstLineChars="200" w:firstLine="480"/>
        <w:jc w:val="left"/>
        <w:rPr>
          <w:rFonts w:ascii="宋体" w:hAnsi="宋体"/>
          <w:sz w:val="24"/>
        </w:rPr>
      </w:pPr>
      <w:r w:rsidRPr="002F6D77">
        <w:rPr>
          <w:rFonts w:ascii="宋体" w:hAnsi="宋体" w:hint="eastAsia"/>
          <w:sz w:val="24"/>
        </w:rPr>
        <w:t>基金管理人可根据有关法律法规的要求，选择其它符合要求的机构销售本基金，并在管理人网站公示。</w:t>
      </w:r>
    </w:p>
    <w:p w14:paraId="6193B064" w14:textId="591F15DA"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79E2E4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105FB4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42900DD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2B70F09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26CA9C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45EC986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传真：（010）50938907</w:t>
      </w:r>
    </w:p>
    <w:p w14:paraId="209F0CF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10C15B5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64DACD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3906173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39B4B6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64D9784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05E957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63E0CD2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422B98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1D8E001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6BA55B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5E4D5590" w14:textId="77777777" w:rsidR="002D6BDC" w:rsidRPr="002D6BDC" w:rsidRDefault="002D6BDC" w:rsidP="002D6BDC">
      <w:pPr>
        <w:autoSpaceDE w:val="0"/>
        <w:autoSpaceDN w:val="0"/>
        <w:adjustRightInd w:val="0"/>
        <w:snapToGrid w:val="0"/>
        <w:spacing w:line="360" w:lineRule="auto"/>
        <w:ind w:firstLineChars="200" w:firstLine="480"/>
        <w:jc w:val="left"/>
        <w:rPr>
          <w:rFonts w:ascii="宋体" w:hAnsi="宋体"/>
          <w:sz w:val="24"/>
        </w:rPr>
      </w:pPr>
      <w:r w:rsidRPr="002D6BDC">
        <w:rPr>
          <w:rFonts w:ascii="宋体" w:hAnsi="宋体" w:hint="eastAsia"/>
          <w:sz w:val="24"/>
        </w:rPr>
        <w:t>名称：安永华明会计师事务所（特殊普通合伙）</w:t>
      </w:r>
    </w:p>
    <w:p w14:paraId="57D86E66" w14:textId="77777777" w:rsidR="002D6BDC" w:rsidRPr="002D6BDC" w:rsidRDefault="002D6BDC" w:rsidP="002D6BDC">
      <w:pPr>
        <w:autoSpaceDE w:val="0"/>
        <w:autoSpaceDN w:val="0"/>
        <w:adjustRightInd w:val="0"/>
        <w:snapToGrid w:val="0"/>
        <w:spacing w:line="360" w:lineRule="auto"/>
        <w:ind w:firstLineChars="200" w:firstLine="480"/>
        <w:jc w:val="left"/>
        <w:rPr>
          <w:rFonts w:ascii="宋体" w:hAnsi="宋体"/>
          <w:sz w:val="24"/>
        </w:rPr>
      </w:pPr>
      <w:r w:rsidRPr="002D6BDC">
        <w:rPr>
          <w:rFonts w:ascii="宋体" w:hAnsi="宋体" w:hint="eastAsia"/>
          <w:sz w:val="24"/>
        </w:rPr>
        <w:t>住所：北京市东城区东长安街1号东方广场安永大楼17层</w:t>
      </w:r>
    </w:p>
    <w:p w14:paraId="2510154D" w14:textId="77777777" w:rsidR="002D6BDC" w:rsidRPr="002D6BDC" w:rsidRDefault="002D6BDC" w:rsidP="002D6BDC">
      <w:pPr>
        <w:autoSpaceDE w:val="0"/>
        <w:autoSpaceDN w:val="0"/>
        <w:adjustRightInd w:val="0"/>
        <w:snapToGrid w:val="0"/>
        <w:spacing w:line="360" w:lineRule="auto"/>
        <w:ind w:firstLineChars="200" w:firstLine="480"/>
        <w:jc w:val="left"/>
        <w:rPr>
          <w:rFonts w:ascii="宋体" w:hAnsi="宋体"/>
          <w:sz w:val="24"/>
        </w:rPr>
      </w:pPr>
      <w:r w:rsidRPr="002D6BDC">
        <w:rPr>
          <w:rFonts w:ascii="宋体" w:hAnsi="宋体" w:hint="eastAsia"/>
          <w:sz w:val="24"/>
        </w:rPr>
        <w:t>办公地址：北京市东城区东长安街1号东方广场安永大楼17层</w:t>
      </w:r>
    </w:p>
    <w:p w14:paraId="750DE111" w14:textId="77777777" w:rsidR="002D6BDC" w:rsidRPr="002D6BDC" w:rsidRDefault="002D6BDC" w:rsidP="002D6BDC">
      <w:pPr>
        <w:autoSpaceDE w:val="0"/>
        <w:autoSpaceDN w:val="0"/>
        <w:adjustRightInd w:val="0"/>
        <w:snapToGrid w:val="0"/>
        <w:spacing w:line="360" w:lineRule="auto"/>
        <w:ind w:firstLineChars="200" w:firstLine="480"/>
        <w:jc w:val="left"/>
        <w:rPr>
          <w:rFonts w:ascii="宋体" w:hAnsi="宋体"/>
          <w:sz w:val="24"/>
        </w:rPr>
      </w:pPr>
      <w:r w:rsidRPr="002D6BDC">
        <w:rPr>
          <w:rFonts w:ascii="宋体" w:hAnsi="宋体" w:hint="eastAsia"/>
          <w:sz w:val="24"/>
        </w:rPr>
        <w:t>执行事务合伙人：毛鞍宁</w:t>
      </w:r>
    </w:p>
    <w:p w14:paraId="30804EED" w14:textId="77777777" w:rsidR="002D6BDC" w:rsidRPr="002D6BDC" w:rsidRDefault="002D6BDC" w:rsidP="002D6BDC">
      <w:pPr>
        <w:autoSpaceDE w:val="0"/>
        <w:autoSpaceDN w:val="0"/>
        <w:adjustRightInd w:val="0"/>
        <w:snapToGrid w:val="0"/>
        <w:spacing w:line="360" w:lineRule="auto"/>
        <w:ind w:firstLineChars="200" w:firstLine="480"/>
        <w:jc w:val="left"/>
        <w:rPr>
          <w:rFonts w:ascii="宋体" w:hAnsi="宋体"/>
          <w:sz w:val="24"/>
        </w:rPr>
      </w:pPr>
      <w:r w:rsidRPr="002D6BDC">
        <w:rPr>
          <w:rFonts w:ascii="宋体" w:hAnsi="宋体" w:hint="eastAsia"/>
          <w:sz w:val="24"/>
        </w:rPr>
        <w:t>电话：（010）58153000</w:t>
      </w:r>
    </w:p>
    <w:p w14:paraId="4560966A" w14:textId="77777777" w:rsidR="002D6BDC" w:rsidRPr="002D6BDC" w:rsidRDefault="002D6BDC" w:rsidP="002D6BDC">
      <w:pPr>
        <w:autoSpaceDE w:val="0"/>
        <w:autoSpaceDN w:val="0"/>
        <w:adjustRightInd w:val="0"/>
        <w:snapToGrid w:val="0"/>
        <w:spacing w:line="360" w:lineRule="auto"/>
        <w:ind w:firstLineChars="200" w:firstLine="480"/>
        <w:jc w:val="left"/>
        <w:rPr>
          <w:rFonts w:ascii="宋体" w:hAnsi="宋体"/>
          <w:sz w:val="24"/>
        </w:rPr>
      </w:pPr>
      <w:r w:rsidRPr="002D6BDC">
        <w:rPr>
          <w:rFonts w:ascii="宋体" w:hAnsi="宋体" w:hint="eastAsia"/>
          <w:sz w:val="24"/>
        </w:rPr>
        <w:t>传真：（010）85188298</w:t>
      </w:r>
    </w:p>
    <w:p w14:paraId="257742D1" w14:textId="77777777" w:rsidR="002D6BDC" w:rsidRPr="002D6BDC" w:rsidRDefault="002D6BDC" w:rsidP="002D6BDC">
      <w:pPr>
        <w:autoSpaceDE w:val="0"/>
        <w:autoSpaceDN w:val="0"/>
        <w:adjustRightInd w:val="0"/>
        <w:snapToGrid w:val="0"/>
        <w:spacing w:line="360" w:lineRule="auto"/>
        <w:ind w:firstLineChars="200" w:firstLine="480"/>
        <w:jc w:val="left"/>
        <w:rPr>
          <w:rFonts w:ascii="宋体" w:hAnsi="宋体"/>
          <w:sz w:val="24"/>
        </w:rPr>
      </w:pPr>
      <w:r w:rsidRPr="002D6BDC">
        <w:rPr>
          <w:rFonts w:ascii="宋体" w:hAnsi="宋体" w:hint="eastAsia"/>
          <w:sz w:val="24"/>
        </w:rPr>
        <w:t>联系人：蒋燕华</w:t>
      </w:r>
    </w:p>
    <w:p w14:paraId="68809EEE" w14:textId="653A2E18" w:rsidR="00222BF8" w:rsidRDefault="002D6BDC" w:rsidP="00222BF8">
      <w:pPr>
        <w:autoSpaceDE w:val="0"/>
        <w:autoSpaceDN w:val="0"/>
        <w:adjustRightInd w:val="0"/>
        <w:spacing w:line="360" w:lineRule="auto"/>
        <w:ind w:firstLineChars="200" w:firstLine="480"/>
        <w:rPr>
          <w:rFonts w:ascii="宋体" w:hAnsi="宋体"/>
          <w:szCs w:val="24"/>
        </w:rPr>
      </w:pPr>
      <w:r w:rsidRPr="002D6BDC">
        <w:rPr>
          <w:rFonts w:ascii="宋体" w:hAnsi="宋体" w:hint="eastAsia"/>
          <w:sz w:val="24"/>
        </w:rPr>
        <w:t>经办注册会计师：蒋燕华、费泽旭</w:t>
      </w:r>
      <w:r w:rsidR="0022048D">
        <w:rPr>
          <w:rFonts w:ascii="宋体" w:hAnsi="宋体"/>
          <w:sz w:val="24"/>
        </w:rPr>
        <w:br w:type="page"/>
      </w:r>
    </w:p>
    <w:p w14:paraId="295E0FEA" w14:textId="77777777" w:rsidR="00EF0B55" w:rsidRDefault="0022048D">
      <w:pPr>
        <w:pStyle w:val="1"/>
        <w:snapToGrid w:val="0"/>
        <w:spacing w:beforeLines="0" w:before="240" w:after="240"/>
        <w:rPr>
          <w:rFonts w:ascii="宋体" w:hAnsi="宋体"/>
          <w:szCs w:val="30"/>
        </w:rPr>
      </w:pPr>
      <w:bookmarkStart w:id="10" w:name="_Toc166054612"/>
      <w:r>
        <w:rPr>
          <w:rFonts w:ascii="Times New Roman" w:hAnsi="Times New Roman"/>
          <w:sz w:val="30"/>
        </w:rPr>
        <w:lastRenderedPageBreak/>
        <w:t>六、基金的募集</w:t>
      </w:r>
      <w:bookmarkEnd w:id="10"/>
    </w:p>
    <w:p w14:paraId="18955C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本基金由基金管理人依照《基金法》、《运作办法》、《销售办法》、基金合同及其他有关规定，并经中国证监会2017年12月26日证监许可[2017] 2396号文准予募集注册。</w:t>
      </w:r>
    </w:p>
    <w:p w14:paraId="351301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债券型证券投资基金。本基金在基金合同生效之日起两年（含两年）的期间内封闭式运作，封闭期结束后转为开放式运作。基金存续期间为不定期。本基金募集期间基金份额净值为人民币1.00元，按初始面值发售。</w:t>
      </w:r>
    </w:p>
    <w:p w14:paraId="352B3C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本基金自2018年5月2日至2018年5月18日进行发售。本基金设立募集期共募集331,589,908.23份基金份额，有效认购户数为3,438户。</w:t>
      </w:r>
    </w:p>
    <w:p w14:paraId="56CBE5CC"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73B9D52" w14:textId="77777777" w:rsidR="00EF0B55" w:rsidRDefault="0022048D">
      <w:pPr>
        <w:pStyle w:val="1"/>
        <w:snapToGrid w:val="0"/>
        <w:spacing w:beforeLines="0" w:before="240" w:after="240"/>
        <w:rPr>
          <w:rFonts w:ascii="宋体" w:hAnsi="宋体"/>
          <w:szCs w:val="30"/>
        </w:rPr>
      </w:pPr>
      <w:bookmarkStart w:id="11" w:name="_Toc166054613"/>
      <w:bookmarkStart w:id="12" w:name="_Hlk184220029"/>
      <w:r>
        <w:rPr>
          <w:rFonts w:ascii="Times New Roman" w:hAnsi="Times New Roman"/>
          <w:sz w:val="30"/>
        </w:rPr>
        <w:lastRenderedPageBreak/>
        <w:t>七、基金合同的生效</w:t>
      </w:r>
      <w:bookmarkEnd w:id="11"/>
    </w:p>
    <w:p w14:paraId="750F474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根据有关规定，本基金满足基金合同生效条件，基金合同已于2018年5月23日正式生效。自基金合同生效之日起，本基金管理人正式开始管理本基金。</w:t>
      </w:r>
    </w:p>
    <w:p w14:paraId="662F401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向中国证监会报告，并可提前终止基金合同，不需召开基金份额持有人大会。</w:t>
      </w:r>
    </w:p>
    <w:p w14:paraId="3DBBB5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652F2AAB"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84D848" w14:textId="77777777" w:rsidR="00EF0B55" w:rsidRDefault="0022048D">
      <w:pPr>
        <w:pStyle w:val="1"/>
        <w:snapToGrid w:val="0"/>
        <w:spacing w:beforeLines="0" w:before="240" w:after="240"/>
        <w:rPr>
          <w:rFonts w:ascii="宋体" w:hAnsi="宋体"/>
          <w:szCs w:val="30"/>
        </w:rPr>
      </w:pPr>
      <w:bookmarkStart w:id="13" w:name="_Toc166054614"/>
      <w:bookmarkStart w:id="14" w:name="_Hlk184221166"/>
      <w:bookmarkEnd w:id="12"/>
      <w:r>
        <w:rPr>
          <w:rFonts w:ascii="Times New Roman" w:hAnsi="Times New Roman"/>
          <w:sz w:val="30"/>
        </w:rPr>
        <w:lastRenderedPageBreak/>
        <w:t>八、基金份额的申购与赎回</w:t>
      </w:r>
      <w:bookmarkEnd w:id="13"/>
    </w:p>
    <w:p w14:paraId="4C6A2D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（一）申购和赎回的期间</w:t>
      </w:r>
    </w:p>
    <w:p w14:paraId="205319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基金合同生效之日起两年（含两年）的期间内，采取封闭式运作。封闭期内，基金投资者不能申购、赎回本基金基金份额。基金封闭期结束，本基金转为开放式运作，基金投资者方可申购、赎回本基金基金份额。</w:t>
      </w:r>
    </w:p>
    <w:p w14:paraId="2F0D840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（二）申购和赎回的场所</w:t>
      </w:r>
    </w:p>
    <w:p w14:paraId="348FBE0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09796A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11F2FDA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31F9D78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8CDD9B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C2617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C60510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661271E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6CA8B9B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1FEA1C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735C73F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CD9C29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个人投资者可以通过基金管理人网上直销交易平台办理开户、申购、赎回、转换及定期定额投资等业务，具体交易细则请参阅基金管理人网站。网上直销交易平台网址：www.fund001.com</w:t>
      </w:r>
    </w:p>
    <w:p w14:paraId="090BF2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2A706B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35DF23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4C6BC2D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D1F55A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（三）申购和赎回的开放日及时间</w:t>
      </w:r>
    </w:p>
    <w:p w14:paraId="1625B8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1、开放日及开放时间</w:t>
      </w:r>
    </w:p>
    <w:p w14:paraId="402199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40C69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B2BAA9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653CCC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本基金在基金合同生效之日起两年 (含两年)的期间内采取封闭式运作。封闭期内，基金投资者不能申购、赎回本基金基金份额。</w:t>
      </w:r>
    </w:p>
    <w:p w14:paraId="6871F2A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基金封闭期结束，本基金转为开放式运作后，基金投资者方可申购、赎回本基金基金份额。</w:t>
      </w:r>
    </w:p>
    <w:p w14:paraId="7677BB4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本基金A类基金份额和C类基金份额已于2020年5月26日起开放申购、赎回业务。</w:t>
      </w:r>
    </w:p>
    <w:p w14:paraId="6A576F5F" w14:textId="78B60AB7" w:rsidR="00EF0B55" w:rsidRDefault="0022048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本基金D类基金份额已于2023年12月19日起开放申购、赎回业务。</w:t>
      </w:r>
    </w:p>
    <w:p w14:paraId="7AC5F5BA" w14:textId="7339DE96" w:rsidR="00E417CC" w:rsidRPr="00E417CC" w:rsidRDefault="00E417CC" w:rsidP="00E417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本基金E</w:t>
      </w:r>
      <w:r w:rsidR="008F0F1C">
        <w:rPr>
          <w:rFonts w:ascii="宋体" w:hAnsi="宋体"/>
          <w:sz w:val="24"/>
        </w:rPr>
        <w:t>类基金份额</w:t>
      </w:r>
      <w:r>
        <w:rPr>
          <w:rFonts w:ascii="宋体" w:hAnsi="宋体"/>
          <w:sz w:val="24"/>
        </w:rPr>
        <w:t>于2024年12月</w:t>
      </w:r>
      <w:r w:rsidR="00A44D4F">
        <w:rPr>
          <w:rFonts w:ascii="宋体" w:hAnsi="宋体"/>
          <w:sz w:val="24"/>
        </w:rPr>
        <w:t>19</w:t>
      </w:r>
      <w:r>
        <w:rPr>
          <w:rFonts w:ascii="宋体" w:hAnsi="宋体"/>
          <w:sz w:val="24"/>
        </w:rPr>
        <w:t>日起开放申购、赎回业务。</w:t>
      </w:r>
    </w:p>
    <w:p w14:paraId="375889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5AA83B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（四）申购与赎回的原则</w:t>
      </w:r>
    </w:p>
    <w:p w14:paraId="02FF674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1B2AF1F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5990F69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295093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3472D0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基金管理人可在法律法规允许的情况下，对上述原则进行调整。基金管理人必须在新规则开始实施前依照《信息披露办法》的有关规定在指定媒介上公告。</w:t>
      </w:r>
    </w:p>
    <w:p w14:paraId="2C9863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（五）申购和赎回的数额限定</w:t>
      </w:r>
    </w:p>
    <w:p w14:paraId="6D1AECE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D00894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589F5D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74DCA3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4F81347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2AC7823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42DC4E6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18B8A30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7E5232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（六）申购和赎回的程序</w:t>
      </w:r>
    </w:p>
    <w:p w14:paraId="325C003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0E8192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w:t>
      </w:r>
      <w:r>
        <w:rPr>
          <w:rFonts w:ascii="宋体" w:hAnsi="宋体"/>
          <w:sz w:val="24"/>
        </w:rPr>
        <w:lastRenderedPageBreak/>
        <w:t>金，投资人在提交赎回申请时须持有足够的基金份额余额，否则所提交的申购、赎回申请不成立。</w:t>
      </w:r>
    </w:p>
    <w:p w14:paraId="1BCED1E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685758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79E40D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或基金合同载明的其他暂停赎回或延缓支付赎回款项的情形时，款项的支付办法参照基金合同有关条款处理。</w:t>
      </w:r>
    </w:p>
    <w:p w14:paraId="3CEB395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2703C1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562ED7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5E15BC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2DB35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2EAA05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4BA012E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5701F7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w:t>
      </w:r>
      <w:r>
        <w:rPr>
          <w:rFonts w:ascii="宋体" w:hAnsi="宋体"/>
          <w:sz w:val="24"/>
        </w:rPr>
        <w:lastRenderedPageBreak/>
        <w:t>证监会备案。</w:t>
      </w:r>
    </w:p>
    <w:p w14:paraId="018632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（七）基金的申购费和赎回费</w:t>
      </w:r>
    </w:p>
    <w:p w14:paraId="145050F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683E8904" w14:textId="5B0B062A"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本基金基金份额分为A类基金份额、C类基金份额</w:t>
      </w:r>
      <w:r w:rsidR="00C6017D">
        <w:rPr>
          <w:rFonts w:ascii="宋体" w:hAnsi="宋体" w:hint="eastAsia"/>
          <w:sz w:val="24"/>
        </w:rPr>
        <w:t>、</w:t>
      </w:r>
      <w:r>
        <w:rPr>
          <w:rFonts w:ascii="宋体" w:hAnsi="宋体"/>
          <w:sz w:val="24"/>
        </w:rPr>
        <w:t>D类基金份额</w:t>
      </w:r>
      <w:r w:rsidR="00C6017D">
        <w:rPr>
          <w:rFonts w:ascii="宋体" w:hAnsi="宋体" w:hint="eastAsia"/>
          <w:sz w:val="24"/>
        </w:rPr>
        <w:t>和E类基金份额</w:t>
      </w:r>
      <w:r>
        <w:rPr>
          <w:rFonts w:ascii="宋体" w:hAnsi="宋体"/>
          <w:sz w:val="24"/>
        </w:rPr>
        <w:t>，投资人申购A类基金份额</w:t>
      </w:r>
      <w:r w:rsidR="00855C88">
        <w:rPr>
          <w:rFonts w:ascii="宋体" w:hAnsi="宋体" w:hint="eastAsia"/>
          <w:sz w:val="24"/>
        </w:rPr>
        <w:t>、</w:t>
      </w:r>
      <w:r>
        <w:rPr>
          <w:rFonts w:ascii="宋体" w:hAnsi="宋体"/>
          <w:sz w:val="24"/>
        </w:rPr>
        <w:t>D类基金份额</w:t>
      </w:r>
      <w:r w:rsidR="00855C88">
        <w:rPr>
          <w:rFonts w:ascii="宋体" w:hAnsi="宋体"/>
          <w:sz w:val="24"/>
        </w:rPr>
        <w:t>或</w:t>
      </w:r>
      <w:r w:rsidR="00855C88">
        <w:rPr>
          <w:rFonts w:ascii="宋体" w:hAnsi="宋体" w:hint="eastAsia"/>
          <w:sz w:val="24"/>
        </w:rPr>
        <w:t>E</w:t>
      </w:r>
      <w:r w:rsidR="00855C88">
        <w:rPr>
          <w:rFonts w:ascii="宋体" w:hAnsi="宋体"/>
          <w:sz w:val="24"/>
        </w:rPr>
        <w:t>类基金份额</w:t>
      </w:r>
      <w:r>
        <w:rPr>
          <w:rFonts w:ascii="宋体" w:hAnsi="宋体"/>
          <w:sz w:val="24"/>
        </w:rPr>
        <w:t>在申购时支付申购费用，申购C类基金份额不支付申购费用，而是从该类别基金资产中计提销售服务费。</w:t>
      </w:r>
    </w:p>
    <w:p w14:paraId="421B44C5" w14:textId="50F86C0C"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855C88">
        <w:rPr>
          <w:rFonts w:ascii="宋体" w:hAnsi="宋体" w:hint="eastAsia"/>
          <w:sz w:val="24"/>
        </w:rPr>
        <w:t>、</w:t>
      </w:r>
      <w:r>
        <w:rPr>
          <w:rFonts w:ascii="宋体" w:hAnsi="宋体"/>
          <w:sz w:val="24"/>
        </w:rPr>
        <w:t>D类基金份额</w:t>
      </w:r>
      <w:r w:rsidR="00855C88">
        <w:rPr>
          <w:rFonts w:ascii="宋体" w:hAnsi="宋体" w:hint="eastAsia"/>
          <w:sz w:val="24"/>
        </w:rPr>
        <w:t>和E</w:t>
      </w:r>
      <w:r w:rsidR="00855C88">
        <w:rPr>
          <w:rFonts w:ascii="宋体" w:hAnsi="宋体"/>
          <w:sz w:val="24"/>
        </w:rPr>
        <w:t>类基金份额</w:t>
      </w:r>
      <w:r>
        <w:rPr>
          <w:rFonts w:ascii="宋体" w:hAnsi="宋体"/>
          <w:sz w:val="24"/>
        </w:rPr>
        <w:t>的申购费用由该类基金份额申购人承担，不列入基金财产，主要用于本基金的市场推广、销售、登记结算等各项费用。</w:t>
      </w:r>
    </w:p>
    <w:p w14:paraId="2B2A0159" w14:textId="6555ECB0"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投资人可以多次申购本基金，A类基金份额</w:t>
      </w:r>
      <w:r w:rsidR="00855C88">
        <w:rPr>
          <w:rFonts w:ascii="宋体" w:hAnsi="宋体" w:hint="eastAsia"/>
          <w:sz w:val="24"/>
        </w:rPr>
        <w:t>、</w:t>
      </w:r>
      <w:r>
        <w:rPr>
          <w:rFonts w:ascii="宋体" w:hAnsi="宋体"/>
          <w:sz w:val="24"/>
        </w:rPr>
        <w:t>D类基金份额</w:t>
      </w:r>
      <w:r w:rsidR="00855C88">
        <w:rPr>
          <w:rFonts w:ascii="宋体" w:hAnsi="宋体"/>
          <w:sz w:val="24"/>
        </w:rPr>
        <w:t>和</w:t>
      </w:r>
      <w:r w:rsidR="00855C88">
        <w:rPr>
          <w:rFonts w:ascii="宋体" w:hAnsi="宋体" w:hint="eastAsia"/>
          <w:sz w:val="24"/>
        </w:rPr>
        <w:t>E类基金份额</w:t>
      </w:r>
      <w:r>
        <w:rPr>
          <w:rFonts w:ascii="宋体" w:hAnsi="宋体"/>
          <w:sz w:val="24"/>
        </w:rPr>
        <w:t>申购费用按每笔该类基金份额申购申请单独计算。</w:t>
      </w:r>
    </w:p>
    <w:p w14:paraId="05828D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2162"/>
        <w:gridCol w:w="6488"/>
      </w:tblGrid>
      <w:tr w:rsidR="00EF0B55" w14:paraId="6F123E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7FE1E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51095BC4"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EF0B55" w14:paraId="15F122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FE2FB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1778F23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EF0B55" w14:paraId="00109C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C20EB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5BAF33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EF0B55" w14:paraId="103366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603EA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F508CB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EF0B55" w14:paraId="7D65D9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F3D79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BA2BE2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EF0B55" w14:paraId="44D44E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55DC9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43FC65A5"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1FC6CE2A" w14:textId="40E4AB2D"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w:t>
      </w:r>
      <w:r w:rsidR="002336E4">
        <w:rPr>
          <w:rFonts w:ascii="宋体" w:hAnsi="宋体" w:hint="eastAsia"/>
          <w:sz w:val="24"/>
        </w:rPr>
        <w:t>和E类基金份额</w:t>
      </w:r>
      <w:r>
        <w:rPr>
          <w:rFonts w:ascii="宋体" w:hAnsi="宋体"/>
          <w:sz w:val="24"/>
        </w:rPr>
        <w:t>（非养老金客户）的申购费率如下：</w:t>
      </w:r>
    </w:p>
    <w:tbl>
      <w:tblPr>
        <w:tblW w:w="5000" w:type="pct"/>
        <w:tblCellMar>
          <w:left w:w="0" w:type="dxa"/>
          <w:right w:w="0" w:type="dxa"/>
        </w:tblCellMar>
        <w:tblLook w:val="0000" w:firstRow="0" w:lastRow="0" w:firstColumn="0" w:lastColumn="0" w:noHBand="0" w:noVBand="0"/>
      </w:tblPr>
      <w:tblGrid>
        <w:gridCol w:w="2162"/>
        <w:gridCol w:w="6488"/>
      </w:tblGrid>
      <w:tr w:rsidR="00EF0B55" w14:paraId="32D617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DFEA3D"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3129FCDA" w14:textId="529FD4F4" w:rsidR="00EF0B55" w:rsidRDefault="0022048D" w:rsidP="00386CF4">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w:t>
            </w:r>
            <w:r w:rsidR="00386CF4">
              <w:rPr>
                <w:rFonts w:ascii="Times New Roman" w:hAnsi="Times New Roman" w:hint="eastAsia"/>
                <w:color w:val="000000"/>
                <w:kern w:val="0"/>
                <w:sz w:val="25"/>
                <w:szCs w:val="24"/>
              </w:rPr>
              <w:t>/</w:t>
            </w:r>
            <w:r w:rsidR="00386CF4" w:rsidRPr="003E1832">
              <w:rPr>
                <w:rFonts w:ascii="Times New Roman" w:hAnsi="Times New Roman" w:hint="eastAsia"/>
                <w:color w:val="000000"/>
                <w:kern w:val="0"/>
                <w:sz w:val="25"/>
                <w:szCs w:val="24"/>
              </w:rPr>
              <w:t>E</w:t>
            </w:r>
            <w:r w:rsidR="00386CF4" w:rsidRPr="003E1832">
              <w:rPr>
                <w:rFonts w:ascii="Times New Roman" w:hAnsi="Times New Roman" w:hint="eastAsia"/>
                <w:color w:val="000000"/>
                <w:kern w:val="0"/>
                <w:sz w:val="25"/>
                <w:szCs w:val="24"/>
              </w:rPr>
              <w:t>类</w:t>
            </w:r>
            <w:r>
              <w:rPr>
                <w:rFonts w:ascii="Times New Roman" w:hAnsi="Times New Roman"/>
                <w:color w:val="000000"/>
                <w:kern w:val="0"/>
                <w:sz w:val="25"/>
                <w:szCs w:val="24"/>
              </w:rPr>
              <w:t>基金份额申购费率</w:t>
            </w:r>
          </w:p>
        </w:tc>
      </w:tr>
      <w:tr w:rsidR="00EF0B55" w14:paraId="133AF9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412D7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117A131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rsidR="00EF0B55" w14:paraId="07CFCE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76FAE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78581C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rsidR="00EF0B55" w14:paraId="7670B0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3710E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D90C8B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EF0B55" w14:paraId="088B8B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32FC0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AFB5F8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EF0B55" w14:paraId="098E1D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81795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E1A146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2C16F54F" w14:textId="5FD1B69C" w:rsidR="00EF0B55" w:rsidRDefault="0022048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持有A类基金份额</w:t>
      </w:r>
      <w:r w:rsidR="00114BB8">
        <w:rPr>
          <w:rFonts w:ascii="宋体" w:hAnsi="宋体" w:hint="eastAsia"/>
          <w:sz w:val="24"/>
        </w:rPr>
        <w:t>、</w:t>
      </w:r>
      <w:r>
        <w:rPr>
          <w:rFonts w:ascii="宋体" w:hAnsi="宋体"/>
          <w:sz w:val="24"/>
        </w:rPr>
        <w:t>D类基金份额</w:t>
      </w:r>
      <w:r w:rsidR="00114BB8">
        <w:rPr>
          <w:rFonts w:ascii="宋体" w:hAnsi="宋体" w:hint="eastAsia"/>
          <w:sz w:val="24"/>
        </w:rPr>
        <w:t>或E类基金份额</w:t>
      </w:r>
      <w:r>
        <w:rPr>
          <w:rFonts w:ascii="宋体" w:hAnsi="宋体"/>
          <w:sz w:val="24"/>
        </w:rPr>
        <w:t>的投资人因红利自动再投资而产生的A类基金份额</w:t>
      </w:r>
      <w:r w:rsidR="00B07C3A">
        <w:rPr>
          <w:rFonts w:ascii="宋体" w:hAnsi="宋体" w:hint="eastAsia"/>
          <w:sz w:val="24"/>
        </w:rPr>
        <w:t>、</w:t>
      </w:r>
      <w:r>
        <w:rPr>
          <w:rFonts w:ascii="宋体" w:hAnsi="宋体"/>
          <w:sz w:val="24"/>
        </w:rPr>
        <w:t>D类基金份额</w:t>
      </w:r>
      <w:r w:rsidR="00B07C3A">
        <w:rPr>
          <w:rFonts w:ascii="宋体" w:hAnsi="宋体" w:hint="eastAsia"/>
          <w:sz w:val="24"/>
        </w:rPr>
        <w:t>或E类基金份额</w:t>
      </w:r>
      <w:r>
        <w:rPr>
          <w:rFonts w:ascii="宋体" w:hAnsi="宋体"/>
          <w:sz w:val="24"/>
        </w:rPr>
        <w:t>，不收取相应的申购费用。</w:t>
      </w:r>
    </w:p>
    <w:p w14:paraId="07CDACE5" w14:textId="0B575AFD" w:rsidR="00CF45C9" w:rsidRDefault="00CF45C9" w:rsidP="00CF45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w:t>
      </w:r>
      <w:r w:rsidR="007F0ACA">
        <w:rPr>
          <w:rFonts w:ascii="宋体" w:hAnsi="宋体" w:hint="eastAsia"/>
          <w:sz w:val="24"/>
        </w:rPr>
        <w:t>、</w:t>
      </w:r>
      <w:r>
        <w:rPr>
          <w:rFonts w:ascii="宋体" w:hAnsi="宋体" w:hint="eastAsia"/>
          <w:sz w:val="24"/>
        </w:rPr>
        <w:t>D类基金份额</w:t>
      </w:r>
      <w:r w:rsidR="007F0ACA">
        <w:rPr>
          <w:rFonts w:ascii="宋体" w:hAnsi="宋体" w:hint="eastAsia"/>
          <w:sz w:val="24"/>
        </w:rPr>
        <w:t>或E类基金份额</w:t>
      </w:r>
      <w:r>
        <w:rPr>
          <w:rFonts w:ascii="宋体" w:hAnsi="宋体"/>
          <w:sz w:val="24"/>
        </w:rPr>
        <w:t>的养老金客户实施特定申购费率。</w:t>
      </w:r>
    </w:p>
    <w:p w14:paraId="786E94D2" w14:textId="77777777" w:rsidR="00CF45C9" w:rsidRDefault="00CF45C9" w:rsidP="00CF45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45502F01" w14:textId="77777777" w:rsidR="00CF45C9" w:rsidRDefault="00CF45C9" w:rsidP="00CF45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302816CD" w14:textId="77777777" w:rsidR="00CF45C9" w:rsidRDefault="00CF45C9" w:rsidP="00CF45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0CFF7D5C" w14:textId="77777777" w:rsidR="00CF45C9" w:rsidRDefault="00CF45C9" w:rsidP="00CF45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4078DF74" w14:textId="77777777" w:rsidR="00CF45C9" w:rsidRDefault="00CF45C9" w:rsidP="00CF45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78214558" w14:textId="77777777" w:rsidR="00CF45C9" w:rsidRDefault="00CF45C9" w:rsidP="00CF45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F6E49DD" w14:textId="77777777" w:rsidR="00CF45C9" w:rsidRDefault="00CF45C9" w:rsidP="00CF45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351477BB" w14:textId="77777777" w:rsidR="00CF45C9" w:rsidRDefault="00CF45C9" w:rsidP="00CF45C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CF45C9" w14:paraId="153E1EB4" w14:textId="77777777" w:rsidTr="00222BF8">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D420F9B"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1A5DA2E0"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CF45C9" w14:paraId="67938573" w14:textId="77777777" w:rsidTr="00222BF8">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B2CA321"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4A7AE442"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CF45C9" w14:paraId="010DAB3B" w14:textId="77777777" w:rsidTr="00222BF8">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17385F0"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7E61703"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CF45C9" w14:paraId="28EB47AB" w14:textId="77777777" w:rsidTr="00222BF8">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46EA172"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3344FEF"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CF45C9" w14:paraId="2A30F381" w14:textId="77777777" w:rsidTr="00222BF8">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5293C61"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9FE41D8"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CF45C9" w14:paraId="619333A3" w14:textId="77777777" w:rsidTr="00222BF8">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2FA7567"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2500" w:type="pct"/>
            <w:tcBorders>
              <w:top w:val="single" w:sz="4" w:space="0" w:color="auto"/>
              <w:left w:val="single" w:sz="4" w:space="0" w:color="auto"/>
              <w:bottom w:val="single" w:sz="4" w:space="0" w:color="auto"/>
              <w:right w:val="single" w:sz="4" w:space="0" w:color="auto"/>
            </w:tcBorders>
            <w:vAlign w:val="center"/>
          </w:tcPr>
          <w:p w14:paraId="4D76CC94"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730E74D" w14:textId="53A85F63" w:rsidR="00CF45C9" w:rsidRDefault="00CF45C9" w:rsidP="00CF45C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通过基金管理人直销柜台申购本基金D类基金份额</w:t>
      </w:r>
      <w:r w:rsidR="00077042" w:rsidRPr="00077042">
        <w:rPr>
          <w:rFonts w:ascii="宋体" w:hAnsi="宋体" w:hint="eastAsia"/>
          <w:sz w:val="24"/>
        </w:rPr>
        <w:t>或E类基金份额</w:t>
      </w:r>
      <w:r>
        <w:rPr>
          <w:rFonts w:ascii="宋体" w:hAnsi="宋体"/>
          <w:sz w:val="24"/>
        </w:rPr>
        <w:t>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CF45C9" w14:paraId="501BC635" w14:textId="77777777" w:rsidTr="00222BF8">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5A26752C"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106A1106" w14:textId="4AC541D0" w:rsidR="00CF45C9" w:rsidRDefault="00CF45C9" w:rsidP="00386CF4">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D</w:t>
            </w:r>
            <w:r>
              <w:rPr>
                <w:rFonts w:ascii="Times New Roman" w:hAnsi="Times New Roman"/>
                <w:color w:val="000000"/>
                <w:kern w:val="0"/>
                <w:sz w:val="25"/>
                <w:szCs w:val="24"/>
              </w:rPr>
              <w:t>类</w:t>
            </w:r>
            <w:r w:rsidR="00386CF4">
              <w:rPr>
                <w:rFonts w:ascii="Times New Roman" w:hAnsi="Times New Roman" w:hint="eastAsia"/>
                <w:color w:val="000000"/>
                <w:kern w:val="0"/>
                <w:sz w:val="25"/>
                <w:szCs w:val="24"/>
              </w:rPr>
              <w:t>/E</w:t>
            </w:r>
            <w:r w:rsidR="00386CF4">
              <w:rPr>
                <w:rFonts w:ascii="Times New Roman" w:hAnsi="Times New Roman" w:hint="eastAsia"/>
                <w:color w:val="000000"/>
                <w:kern w:val="0"/>
                <w:sz w:val="25"/>
                <w:szCs w:val="24"/>
              </w:rPr>
              <w:t>类</w:t>
            </w:r>
            <w:r>
              <w:rPr>
                <w:rFonts w:ascii="Times New Roman" w:hAnsi="Times New Roman"/>
                <w:color w:val="000000"/>
                <w:kern w:val="0"/>
                <w:sz w:val="25"/>
                <w:szCs w:val="24"/>
              </w:rPr>
              <w:t>基金份额特定申购费率</w:t>
            </w:r>
          </w:p>
        </w:tc>
      </w:tr>
      <w:tr w:rsidR="00CF45C9" w14:paraId="22997BAB" w14:textId="77777777" w:rsidTr="00222BF8">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548FAD7A"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6FF1370"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CF45C9" w14:paraId="42BD6DBA" w14:textId="77777777" w:rsidTr="00222BF8">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752A09A3"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C0AD18"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rsidR="00CF45C9" w14:paraId="61B349EE" w14:textId="77777777" w:rsidTr="00222BF8">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782743A5"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155B114C"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CF45C9" w14:paraId="73412FD8" w14:textId="77777777" w:rsidTr="00222BF8">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36280794"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38B7839F"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CF45C9" w14:paraId="4569FA50" w14:textId="77777777" w:rsidTr="00222BF8">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26D55D71" w14:textId="77777777" w:rsidR="00CF45C9" w:rsidRDefault="00CF45C9"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26E8826" w14:textId="77777777" w:rsidR="00CF45C9" w:rsidRDefault="00CF45C9"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0DB4A7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w:t>
      </w:r>
      <w:r>
        <w:rPr>
          <w:rFonts w:ascii="宋体" w:hAnsi="宋体"/>
          <w:sz w:val="24"/>
        </w:rPr>
        <w:lastRenderedPageBreak/>
        <w:t>卡交易金额限额请参阅本基金管理人网站。</w:t>
      </w:r>
    </w:p>
    <w:p w14:paraId="667B7AB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2A1EC7DF" w14:textId="25F3077D"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投资者赎回A类基金份额、C类基金份额</w:t>
      </w:r>
      <w:r w:rsidR="00734058">
        <w:rPr>
          <w:rFonts w:ascii="宋体" w:hAnsi="宋体" w:hint="eastAsia"/>
          <w:sz w:val="24"/>
        </w:rPr>
        <w:t>、</w:t>
      </w:r>
      <w:r>
        <w:rPr>
          <w:rFonts w:ascii="宋体" w:hAnsi="宋体"/>
          <w:sz w:val="24"/>
        </w:rPr>
        <w:t>D类基金份额</w:t>
      </w:r>
      <w:r w:rsidR="00734058">
        <w:rPr>
          <w:rFonts w:ascii="宋体" w:hAnsi="宋体" w:hint="eastAsia"/>
          <w:sz w:val="24"/>
        </w:rPr>
        <w:t>或E类基金份额</w:t>
      </w:r>
      <w:r>
        <w:rPr>
          <w:rFonts w:ascii="宋体" w:hAnsi="宋体"/>
          <w:sz w:val="24"/>
        </w:rPr>
        <w:t>收取赎回费用，该费用随基金份额的持有时间递减。本基金</w:t>
      </w:r>
      <w:r w:rsidR="00734058">
        <w:rPr>
          <w:rFonts w:ascii="宋体" w:hAnsi="宋体" w:hint="eastAsia"/>
          <w:sz w:val="24"/>
        </w:rPr>
        <w:t>各</w:t>
      </w:r>
      <w:r>
        <w:rPr>
          <w:rFonts w:ascii="宋体" w:hAnsi="宋体"/>
          <w:sz w:val="24"/>
        </w:rPr>
        <w:t>类基金份额的赎回费用由该类基金份额赎回人承担，对于持续持有期间少于7天的投资人收取的赎回费全额计入基金财产，对于持续持有期间大于等于7天的投资人收取的赎回费总额的25%应归基金财产，其余用于支付登记费和其他必要的手续费。</w:t>
      </w:r>
    </w:p>
    <w:p w14:paraId="79E67B3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EF0B55" w14:paraId="112F8518"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A12F36F"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6411B12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15C712F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EF0B55" w14:paraId="597F124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711AAC1" w14:textId="77777777" w:rsidR="00EF0B55" w:rsidRDefault="00EF0B5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2BD0A16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7DCDC15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EF0B55" w14:paraId="6E4613D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AED0861" w14:textId="77777777" w:rsidR="00EF0B55" w:rsidRDefault="00EF0B5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7267623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14:paraId="033047F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EF0B55" w14:paraId="79B1CA9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1750186" w14:textId="77777777" w:rsidR="00EF0B55" w:rsidRDefault="00EF0B5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50C81C0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14:paraId="27E790F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EF0B55" w14:paraId="10006A3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4B6FCA5" w14:textId="77777777" w:rsidR="00EF0B55" w:rsidRDefault="00EF0B5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6B07197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14:paraId="0A69983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AF889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2BB4E1C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EF0B55" w14:paraId="7FD8EAC5"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545ED8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6B52468"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1E42B2F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EF0B55" w14:paraId="2E4D6B3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FB3927C" w14:textId="77777777" w:rsidR="00EF0B55" w:rsidRDefault="00EF0B5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67076FE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235C7DA8"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EF0B55" w14:paraId="4DFE13D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B1757B3" w14:textId="77777777" w:rsidR="00EF0B55" w:rsidRDefault="00EF0B5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798C60B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1968367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EF0B55" w14:paraId="3130BA7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74B6005" w14:textId="77777777" w:rsidR="00EF0B55" w:rsidRDefault="00EF0B5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11AF558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天（含）以上</w:t>
            </w:r>
          </w:p>
        </w:tc>
        <w:tc>
          <w:tcPr>
            <w:tcW w:w="750" w:type="pct"/>
            <w:tcBorders>
              <w:top w:val="single" w:sz="4" w:space="0" w:color="auto"/>
              <w:left w:val="single" w:sz="4" w:space="0" w:color="auto"/>
              <w:bottom w:val="single" w:sz="4" w:space="0" w:color="auto"/>
              <w:right w:val="single" w:sz="4" w:space="0" w:color="auto"/>
            </w:tcBorders>
            <w:vAlign w:val="center"/>
          </w:tcPr>
          <w:p w14:paraId="0E71720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56EDA2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EF0B55" w14:paraId="5C5C6B40" w14:textId="77777777" w:rsidTr="00734058">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78B3B8FF"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21CCFCA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50049F34"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EF0B55" w14:paraId="49E8C5B5" w14:textId="77777777" w:rsidTr="0073405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08B5C87" w14:textId="77777777" w:rsidR="00EF0B55" w:rsidRDefault="00EF0B55">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D697E8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2143" w:type="pct"/>
            <w:tcBorders>
              <w:top w:val="single" w:sz="4" w:space="0" w:color="auto"/>
              <w:left w:val="single" w:sz="4" w:space="0" w:color="auto"/>
              <w:bottom w:val="single" w:sz="4" w:space="0" w:color="auto"/>
              <w:right w:val="single" w:sz="4" w:space="0" w:color="auto"/>
            </w:tcBorders>
            <w:vAlign w:val="center"/>
          </w:tcPr>
          <w:p w14:paraId="332913C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EF0B55" w14:paraId="29BF1088" w14:textId="77777777" w:rsidTr="0073405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1F599BC" w14:textId="77777777" w:rsidR="00EF0B55" w:rsidRDefault="00EF0B55">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61760C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2143" w:type="pct"/>
            <w:tcBorders>
              <w:top w:val="single" w:sz="4" w:space="0" w:color="auto"/>
              <w:left w:val="single" w:sz="4" w:space="0" w:color="auto"/>
              <w:bottom w:val="single" w:sz="4" w:space="0" w:color="auto"/>
              <w:right w:val="single" w:sz="4" w:space="0" w:color="auto"/>
            </w:tcBorders>
            <w:vAlign w:val="center"/>
          </w:tcPr>
          <w:p w14:paraId="09E82423"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EF0B55" w14:paraId="1A1A2CA0" w14:textId="77777777" w:rsidTr="0073405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1EA05A1" w14:textId="77777777" w:rsidR="00EF0B55" w:rsidRDefault="00EF0B55">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9E6AB4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天（含）</w:t>
            </w:r>
            <w:r>
              <w:rPr>
                <w:rFonts w:ascii="Times New Roman" w:hAnsi="Times New Roman"/>
                <w:color w:val="000000"/>
                <w:kern w:val="0"/>
                <w:sz w:val="25"/>
                <w:szCs w:val="24"/>
              </w:rPr>
              <w:t>—90</w:t>
            </w:r>
            <w:r>
              <w:rPr>
                <w:rFonts w:ascii="Times New Roman" w:hAnsi="Times New Roman"/>
                <w:color w:val="000000"/>
                <w:kern w:val="0"/>
                <w:sz w:val="25"/>
                <w:szCs w:val="24"/>
              </w:rPr>
              <w:t>天</w:t>
            </w:r>
          </w:p>
        </w:tc>
        <w:tc>
          <w:tcPr>
            <w:tcW w:w="2143" w:type="pct"/>
            <w:tcBorders>
              <w:top w:val="single" w:sz="4" w:space="0" w:color="auto"/>
              <w:left w:val="single" w:sz="4" w:space="0" w:color="auto"/>
              <w:bottom w:val="single" w:sz="4" w:space="0" w:color="auto"/>
              <w:right w:val="single" w:sz="4" w:space="0" w:color="auto"/>
            </w:tcBorders>
            <w:vAlign w:val="center"/>
          </w:tcPr>
          <w:p w14:paraId="1144DE8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EF0B55" w14:paraId="1486C137" w14:textId="77777777" w:rsidTr="0073405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92EBD74" w14:textId="77777777" w:rsidR="00EF0B55" w:rsidRDefault="00EF0B55">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127085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90</w:t>
            </w:r>
            <w:r>
              <w:rPr>
                <w:rFonts w:ascii="Times New Roman" w:hAnsi="Times New Roman"/>
                <w:color w:val="000000"/>
                <w:kern w:val="0"/>
                <w:sz w:val="25"/>
                <w:szCs w:val="24"/>
              </w:rPr>
              <w:t>天以上（含）</w:t>
            </w:r>
          </w:p>
        </w:tc>
        <w:tc>
          <w:tcPr>
            <w:tcW w:w="2143" w:type="pct"/>
            <w:tcBorders>
              <w:top w:val="single" w:sz="4" w:space="0" w:color="auto"/>
              <w:left w:val="single" w:sz="4" w:space="0" w:color="auto"/>
              <w:bottom w:val="single" w:sz="4" w:space="0" w:color="auto"/>
              <w:right w:val="single" w:sz="4" w:space="0" w:color="auto"/>
            </w:tcBorders>
            <w:vAlign w:val="center"/>
          </w:tcPr>
          <w:p w14:paraId="217805E4"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7D2FE8A" w14:textId="148F5DB5" w:rsidR="00734058" w:rsidRDefault="00734058" w:rsidP="0073405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本基金E类基金份额的赎回费率如下：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734058" w14:paraId="4B8DD92B" w14:textId="77777777" w:rsidTr="00734058">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747BD9BC" w14:textId="77D93769" w:rsidR="00734058" w:rsidRDefault="00734058"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4E5CE6D3" w14:textId="77777777" w:rsidR="00734058" w:rsidRDefault="00734058"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5D100B49" w14:textId="77777777" w:rsidR="00734058" w:rsidRDefault="00734058"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734058" w14:paraId="4B2B39AA" w14:textId="77777777" w:rsidTr="0073405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BD124CF" w14:textId="77777777" w:rsidR="00734058" w:rsidRDefault="00734058" w:rsidP="00222BF8">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17DD90A" w14:textId="77777777" w:rsidR="00734058" w:rsidRDefault="00734058"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2143" w:type="pct"/>
            <w:tcBorders>
              <w:top w:val="single" w:sz="4" w:space="0" w:color="auto"/>
              <w:left w:val="single" w:sz="4" w:space="0" w:color="auto"/>
              <w:bottom w:val="single" w:sz="4" w:space="0" w:color="auto"/>
              <w:right w:val="single" w:sz="4" w:space="0" w:color="auto"/>
            </w:tcBorders>
            <w:vAlign w:val="center"/>
          </w:tcPr>
          <w:p w14:paraId="13FC252F" w14:textId="77777777" w:rsidR="00734058" w:rsidRDefault="00734058"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734058" w14:paraId="60478C97" w14:textId="77777777" w:rsidTr="0073405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92818B5" w14:textId="77777777" w:rsidR="00734058" w:rsidRDefault="00734058" w:rsidP="00222BF8">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248927F" w14:textId="4175A363" w:rsidR="00734058" w:rsidRDefault="00734058" w:rsidP="00222BF8">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天以上（含）</w:t>
            </w:r>
          </w:p>
        </w:tc>
        <w:tc>
          <w:tcPr>
            <w:tcW w:w="2143" w:type="pct"/>
            <w:tcBorders>
              <w:top w:val="single" w:sz="4" w:space="0" w:color="auto"/>
              <w:left w:val="single" w:sz="4" w:space="0" w:color="auto"/>
              <w:bottom w:val="single" w:sz="4" w:space="0" w:color="auto"/>
              <w:right w:val="single" w:sz="4" w:space="0" w:color="auto"/>
            </w:tcBorders>
            <w:vAlign w:val="center"/>
          </w:tcPr>
          <w:p w14:paraId="1528FB90" w14:textId="77777777" w:rsidR="00734058" w:rsidRDefault="00734058" w:rsidP="00222BF8">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10AF161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27EFA2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w:t>
      </w:r>
      <w:r>
        <w:rPr>
          <w:rFonts w:ascii="宋体" w:hAnsi="宋体"/>
          <w:sz w:val="24"/>
        </w:rPr>
        <w:lastRenderedPageBreak/>
        <w:t>情况制定基金促销计划，针对投资人定期和不定期地开展基金促销活动。在基金促销活动期间，基金管理人可以按中国证监会要求履行必要手续后，对投资人适当调低基金销售费用。</w:t>
      </w:r>
    </w:p>
    <w:p w14:paraId="2F4C789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23BAE0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（八）申购和赎回的数额和价格</w:t>
      </w:r>
    </w:p>
    <w:p w14:paraId="5345FE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3F4EEBC7" w14:textId="25C094B5"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w:t>
      </w:r>
      <w:r w:rsidR="00762111">
        <w:rPr>
          <w:rFonts w:ascii="宋体" w:hAnsi="宋体" w:hint="eastAsia"/>
          <w:sz w:val="24"/>
        </w:rPr>
        <w:t>各</w:t>
      </w:r>
      <w:r>
        <w:rPr>
          <w:rFonts w:ascii="宋体" w:hAnsi="宋体"/>
          <w:sz w:val="24"/>
        </w:rPr>
        <w:t>类基金份额的有效份额为净申购金额除以当日该类基金份额的基金份额净值，有效份额单位为份，申购份额计算结果按四舍五入方法，保留到小数点后2位，由此产生的收益或损失由基金财产承担。</w:t>
      </w:r>
    </w:p>
    <w:p w14:paraId="51B8116D" w14:textId="0E47E1C4"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762111">
        <w:rPr>
          <w:rFonts w:ascii="宋体" w:hAnsi="宋体" w:hint="eastAsia"/>
          <w:sz w:val="24"/>
        </w:rPr>
        <w:t>各</w:t>
      </w:r>
      <w:r>
        <w:rPr>
          <w:rFonts w:ascii="宋体" w:hAnsi="宋体"/>
          <w:sz w:val="24"/>
        </w:rPr>
        <w:t>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1D815E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070623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1188544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616BE7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1952F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7350CB8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7D9D52B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177BDBD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14:paraId="05AD0C4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例一：某投资者（非养老金客户）投资100,000元申购本基金的A类基金份额，假设申购当日A类基金份额净值为1.0400元，申购费率为0.8%，则其可得到的申购份额为：</w:t>
      </w:r>
    </w:p>
    <w:p w14:paraId="5ABD362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27D3ED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0856DE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0790F6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申购份额=（100,000-793.65）/1.0400=95,390.72份</w:t>
      </w:r>
    </w:p>
    <w:p w14:paraId="5F4126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即：某投资者（非养老金客户）投资100,000元申购本基金，假设申购当日A类基金份额净值为1.0400元，如果其选择申购A类基金份额，则其可得到95,390.72份A类基金份额。</w:t>
      </w:r>
    </w:p>
    <w:p w14:paraId="61752D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例二：某养老金客户投资1,000,000元通过基金管理人的直销柜台申购本基金的A类基金份额，假设申购当日A类基金份额净值为1.0400元，申购费率为0.10%，则其可得到的申购份额为：</w:t>
      </w:r>
    </w:p>
    <w:p w14:paraId="675CE7D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14:paraId="72363D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净申购金额=1,000,000/（1+0.10%）=999,001.00 元</w:t>
      </w:r>
    </w:p>
    <w:p w14:paraId="25EAEB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申购费用=1,000,000-999,001.00=999.00元</w:t>
      </w:r>
    </w:p>
    <w:p w14:paraId="405E380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申购份额=（1,000,000-999.00）/1.0400=960,577.88份</w:t>
      </w:r>
    </w:p>
    <w:p w14:paraId="7999769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即：该养老金客户投资1,000,000元通过基金管理人的直销柜台申购本基金的A类基金份额，假设申购当日A类基金份额净值为1.0400元，则其可得到960,577.88份A类基金份额。</w:t>
      </w:r>
    </w:p>
    <w:p w14:paraId="0F680C6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25AF804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58D9605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650B7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01910D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14:paraId="34AF5A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463B86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74B3FB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（3）D类基金份额的申购</w:t>
      </w:r>
    </w:p>
    <w:p w14:paraId="37BB34A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如果投资者选择申购D类基金份额，则申购份额的计算方法如下：</w:t>
      </w:r>
    </w:p>
    <w:p w14:paraId="23E083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72A36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98769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4AF727A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6B9E0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（注：对于适用固定金额申购费用的申购，申购费用＝固定申购费用金额）</w:t>
      </w:r>
    </w:p>
    <w:p w14:paraId="23E1BC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申购份额=净申购金额/T日D类基金份额净值</w:t>
      </w:r>
    </w:p>
    <w:p w14:paraId="2608B35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例四：某投资者（非养老金客户）投资100,000元申购本基金的D类基金份额，假设申购当日D类基金份额净值为1.0400元，申购费率为0.9%，则其可得到的申购份额为：</w:t>
      </w:r>
    </w:p>
    <w:p w14:paraId="36D415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13E19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净申购金额=100,000/（1+0.9%）=99,108.03元</w:t>
      </w:r>
    </w:p>
    <w:p w14:paraId="4657958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申购费用=100,000-99,108.03=891.97元</w:t>
      </w:r>
    </w:p>
    <w:p w14:paraId="29113E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申购份额=99,108.03/1.0400=95,296.18份</w:t>
      </w:r>
    </w:p>
    <w:p w14:paraId="15A153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即：某投资者（非养老金客户）投资100,000元申购本基金D类基金份额，假设申购当日D类基金份额净值为1.0400元，则其可得到95,296.18份D类基金份额。</w:t>
      </w:r>
    </w:p>
    <w:p w14:paraId="68FCB50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例五：某养老金客户投资1,000,000元通过基金管理人的直销柜台申购本基金的D类基金份额，假设申购当日D类基金份额净值为1.0400元，申购费率为0.12%，则其可得到的申购份额为：</w:t>
      </w:r>
    </w:p>
    <w:p w14:paraId="41B99F1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14:paraId="09181A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净申购金额=1,000,000/（1+0.12%）=998,801.44元</w:t>
      </w:r>
    </w:p>
    <w:p w14:paraId="7CC268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申购费用=1,000,000-998,801.44=1,198.56元</w:t>
      </w:r>
    </w:p>
    <w:p w14:paraId="49414A0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申购份额=998,801.44/1.0400=960,386.00份</w:t>
      </w:r>
    </w:p>
    <w:p w14:paraId="68C101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即：该养老金客户投资1,000,000元通过基金管理人的直销柜台申购本基金的D类基金份额，假设申购当日D类基金份额净值为1.0400元，则其可得到960,386.00份D类基金份额。</w:t>
      </w:r>
    </w:p>
    <w:p w14:paraId="3EA65308" w14:textId="0B5D160C"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（4）E类基金份额的申购</w:t>
      </w:r>
    </w:p>
    <w:p w14:paraId="0DCC2404" w14:textId="20558149"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如果投资者选择申购E类基金份额，则申购份额的计算方法如下：</w:t>
      </w:r>
    </w:p>
    <w:p w14:paraId="6B8E5337"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4E1B53CD"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096AABD4"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5C4E9B03"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4E9DA85E"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1150F5AB" w14:textId="56A315E8"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申购份额=净申购金额/T日E类基金份额净值</w:t>
      </w:r>
    </w:p>
    <w:p w14:paraId="69ED5A97" w14:textId="5A7783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w:t>
      </w:r>
      <w:r>
        <w:rPr>
          <w:rFonts w:ascii="宋体" w:hAnsi="宋体" w:hint="eastAsia"/>
          <w:sz w:val="24"/>
        </w:rPr>
        <w:t>六</w:t>
      </w:r>
      <w:r>
        <w:rPr>
          <w:rFonts w:ascii="宋体" w:hAnsi="宋体"/>
          <w:sz w:val="24"/>
        </w:rPr>
        <w:t>：某投资者（非养老金客户）投资100,000元申购本基金的E类基金份额，假设申购当日E类基金份额净值为1.0400元，申购费率为0.9%，则其可得到的申购份额为：</w:t>
      </w:r>
    </w:p>
    <w:p w14:paraId="51B938E8"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9C90541"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净申购金额=100,000/（1+0.9%）=99,108.03元</w:t>
      </w:r>
    </w:p>
    <w:p w14:paraId="3FDB7ACF"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申购费用=100,000-99,108.03=891.97元</w:t>
      </w:r>
    </w:p>
    <w:p w14:paraId="62033C20"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申购份额=99,108.03/1.0400=95,296.18份</w:t>
      </w:r>
    </w:p>
    <w:p w14:paraId="31268B2A" w14:textId="16F5C6B2"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即：某投资者（非养老金客户）投资100,000元申购本基金E类基金份额，假设申购当日E类基金份额净值为1.0400元，则其可得到95,296.18份E类基金份额。</w:t>
      </w:r>
    </w:p>
    <w:p w14:paraId="2EB5A78B" w14:textId="6205C36D"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七</w:t>
      </w:r>
      <w:r>
        <w:rPr>
          <w:rFonts w:ascii="宋体" w:hAnsi="宋体"/>
          <w:sz w:val="24"/>
        </w:rPr>
        <w:t>：某养老金客户投资1,000,000元通过基金管理人的直销柜台申购本基金的</w:t>
      </w:r>
      <w:r w:rsidR="00877F35">
        <w:rPr>
          <w:rFonts w:ascii="宋体" w:hAnsi="宋体"/>
          <w:sz w:val="24"/>
        </w:rPr>
        <w:t>E</w:t>
      </w:r>
      <w:r>
        <w:rPr>
          <w:rFonts w:ascii="宋体" w:hAnsi="宋体"/>
          <w:sz w:val="24"/>
        </w:rPr>
        <w:t>类基金份额，假设申购当日</w:t>
      </w:r>
      <w:r w:rsidR="00877F35">
        <w:rPr>
          <w:rFonts w:ascii="宋体" w:hAnsi="宋体"/>
          <w:sz w:val="24"/>
        </w:rPr>
        <w:t>E</w:t>
      </w:r>
      <w:r>
        <w:rPr>
          <w:rFonts w:ascii="宋体" w:hAnsi="宋体"/>
          <w:sz w:val="24"/>
        </w:rPr>
        <w:t>类基金份额净值为1.0400元，申购费率为0.12%，则其可得到的申购份额为：</w:t>
      </w:r>
    </w:p>
    <w:p w14:paraId="09E95ECF"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14:paraId="58E6E079"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净申购金额=1,000,000/（1+0.12%）=998,801.44元</w:t>
      </w:r>
    </w:p>
    <w:p w14:paraId="2C3E616B"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申购费用=1,000,000-998,801.44=1,198.56元</w:t>
      </w:r>
    </w:p>
    <w:p w14:paraId="702C0914" w14:textId="77777777"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申购份额=998,801.44/1.0400=960,386.00份</w:t>
      </w:r>
    </w:p>
    <w:p w14:paraId="646541D8" w14:textId="5395A695" w:rsidR="00222BF8" w:rsidRDefault="00222BF8" w:rsidP="00222BF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w:t>
      </w:r>
      <w:r w:rsidR="00877F35">
        <w:rPr>
          <w:rFonts w:ascii="宋体" w:hAnsi="宋体"/>
          <w:sz w:val="24"/>
        </w:rPr>
        <w:t>E</w:t>
      </w:r>
      <w:r>
        <w:rPr>
          <w:rFonts w:ascii="宋体" w:hAnsi="宋体"/>
          <w:sz w:val="24"/>
        </w:rPr>
        <w:t>类基金份额，假设申购当日</w:t>
      </w:r>
      <w:r w:rsidR="00877F35">
        <w:rPr>
          <w:rFonts w:ascii="宋体" w:hAnsi="宋体"/>
          <w:sz w:val="24"/>
        </w:rPr>
        <w:t>E</w:t>
      </w:r>
      <w:r>
        <w:rPr>
          <w:rFonts w:ascii="宋体" w:hAnsi="宋体"/>
          <w:sz w:val="24"/>
        </w:rPr>
        <w:t>类基金份额净值为1.0400元，则其可得到960,386.00份</w:t>
      </w:r>
      <w:r w:rsidR="00877F35">
        <w:rPr>
          <w:rFonts w:ascii="宋体" w:hAnsi="宋体"/>
          <w:sz w:val="24"/>
        </w:rPr>
        <w:t>E</w:t>
      </w:r>
      <w:r>
        <w:rPr>
          <w:rFonts w:ascii="宋体" w:hAnsi="宋体"/>
          <w:sz w:val="24"/>
        </w:rPr>
        <w:t>类基金份额。</w:t>
      </w:r>
    </w:p>
    <w:p w14:paraId="4F6FBF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0D251991" w14:textId="7A81675A" w:rsidR="00EF0B55" w:rsidRDefault="00877F35">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各</w:t>
      </w:r>
      <w:r w:rsidR="0022048D">
        <w:rPr>
          <w:rFonts w:ascii="宋体" w:hAnsi="宋体"/>
          <w:sz w:val="24"/>
        </w:rPr>
        <w:t>类基金份额的赎回金额为按实际确认的有效赎回份额乘以当日该类基金份额的基金份额净值并扣除相应的费用（如有），赎回金额单位为元，计算结果保留到小数点后两位，第三位四舍五入，由此产生的收益或损失由基金财产承担。</w:t>
      </w:r>
    </w:p>
    <w:p w14:paraId="63527C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6E72ECD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49F5D9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77AC20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2167D539" w14:textId="5166E460"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877F35">
        <w:rPr>
          <w:rFonts w:ascii="宋体" w:hAnsi="宋体" w:hint="eastAsia"/>
          <w:sz w:val="24"/>
        </w:rPr>
        <w:t>八</w:t>
      </w:r>
      <w:r>
        <w:rPr>
          <w:rFonts w:ascii="宋体" w:hAnsi="宋体"/>
          <w:sz w:val="24"/>
        </w:rPr>
        <w:t>：某投资者在持有期限为360天时赎回100,000份A类基金份额，对应的赎回费率为0.1%，假设赎回当日A类基金份额净值是1.0160元，则其可得到的赎回金额为：</w:t>
      </w:r>
    </w:p>
    <w:p w14:paraId="276BB5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赎回费用=100,000×1.0160×0.1%＝101.60元</w:t>
      </w:r>
    </w:p>
    <w:p w14:paraId="6A30786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6088FA8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即：投资者赎回100,000份A类基金份额，对应的赎回费率为0.1%，假设赎回当日A类基金份额净值是1.0160元，则其可得到的赎回金额为101,498.40元。</w:t>
      </w:r>
    </w:p>
    <w:p w14:paraId="02004D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609CED3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7F464B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46BB09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10738E2F" w14:textId="73541A4D"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877F35">
        <w:rPr>
          <w:rFonts w:ascii="宋体" w:hAnsi="宋体" w:hint="eastAsia"/>
          <w:sz w:val="24"/>
        </w:rPr>
        <w:t>九</w:t>
      </w:r>
      <w:r>
        <w:rPr>
          <w:rFonts w:ascii="宋体" w:hAnsi="宋体"/>
          <w:sz w:val="24"/>
        </w:rPr>
        <w:t>：某投资者在持有期限为20天时赎回100,000份C类基金份额，对应的赎回费率为0.5%，假设赎回当日C类基金份额净值是1.0160元，则其可得到的赎回金额为：</w:t>
      </w:r>
    </w:p>
    <w:p w14:paraId="3C2267F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赎回费用=100,000×1.0160×0.5%＝508.00元</w:t>
      </w:r>
    </w:p>
    <w:p w14:paraId="0EFAF56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赎回金额=100,000×1.0160-508.00＝101,092.00元</w:t>
      </w:r>
    </w:p>
    <w:p w14:paraId="4CA52A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即：投资者赎回100,000份C类基金份额，对应的赎回费率为0.5%，假设赎回当日C类基金份额净值是1.0160元，则其可得到的赎回金额为101,092.00元。</w:t>
      </w:r>
    </w:p>
    <w:p w14:paraId="77532ED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（3）D类基金份额的赎回</w:t>
      </w:r>
    </w:p>
    <w:p w14:paraId="4D39F5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投资者赎回D类基金份额，赎回金额的计算方法如下：</w:t>
      </w:r>
    </w:p>
    <w:p w14:paraId="438778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赎回费用=赎回份额×T日D类基金份额净值×赎回费率</w:t>
      </w:r>
    </w:p>
    <w:p w14:paraId="3F2501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赎回金额=赎回份额×T日D类基金份额净值-赎回费用</w:t>
      </w:r>
    </w:p>
    <w:p w14:paraId="09C166D7" w14:textId="7C81FD98"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877F35">
        <w:rPr>
          <w:rFonts w:ascii="宋体" w:hAnsi="宋体" w:hint="eastAsia"/>
          <w:sz w:val="24"/>
        </w:rPr>
        <w:t>十</w:t>
      </w:r>
      <w:r>
        <w:rPr>
          <w:rFonts w:ascii="宋体" w:hAnsi="宋体"/>
          <w:sz w:val="24"/>
        </w:rPr>
        <w:t>：某投资者赎回100,000份D类基金份额，持有期限为10天，对应的赎回费率为0.3%，假设赎回当日D类基金份额净值是1.0160元，则其可得到的赎回金额为：</w:t>
      </w:r>
    </w:p>
    <w:p w14:paraId="5B93072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赎回费用=100,000×1.0160×0.3%＝304.80元</w:t>
      </w:r>
    </w:p>
    <w:p w14:paraId="3285E3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赎回金额=100,000×1.0160-304.80＝101,295.20元</w:t>
      </w:r>
    </w:p>
    <w:p w14:paraId="5571621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即：投资者赎回100,000份D类基金份额，持有期限为10天，对应的赎回费率为0.3%，假设赎回当日D类基金份额净值是1.0160元，则其可得到的赎回金额为101,295.20元。</w:t>
      </w:r>
    </w:p>
    <w:p w14:paraId="0A3089D1" w14:textId="7D89BB13" w:rsidR="00877F35" w:rsidRDefault="00877F35" w:rsidP="00877F3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（4）E类基金份额的赎回</w:t>
      </w:r>
    </w:p>
    <w:p w14:paraId="0323DE1D" w14:textId="1D4DB5B6" w:rsidR="00877F35" w:rsidRDefault="00877F35" w:rsidP="00877F3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投资者赎回E类基金份额，赎回金额的计算方法如下：</w:t>
      </w:r>
    </w:p>
    <w:p w14:paraId="120CA115" w14:textId="1257E64D" w:rsidR="00877F35" w:rsidRDefault="00877F35" w:rsidP="00877F3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赎回费用=赎回份额×T日E类基金份额净值×赎回费率</w:t>
      </w:r>
    </w:p>
    <w:p w14:paraId="098C4BFF" w14:textId="5F8397EB" w:rsidR="00877F35" w:rsidRDefault="00877F35" w:rsidP="00877F3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赎回金额=赎回份额×T日E类基金份额净值-赎回费用</w:t>
      </w:r>
    </w:p>
    <w:p w14:paraId="664C23F1" w14:textId="190426F0" w:rsidR="00877F35" w:rsidRDefault="00877F35" w:rsidP="00877F3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十一</w:t>
      </w:r>
      <w:r>
        <w:rPr>
          <w:rFonts w:ascii="宋体" w:hAnsi="宋体"/>
          <w:sz w:val="24"/>
        </w:rPr>
        <w:t>：某投资者赎回100,000份E类基金份额，持有期限为</w:t>
      </w:r>
      <w:r>
        <w:rPr>
          <w:rFonts w:ascii="宋体" w:hAnsi="宋体" w:hint="eastAsia"/>
          <w:sz w:val="24"/>
        </w:rPr>
        <w:t>6</w:t>
      </w:r>
      <w:r>
        <w:rPr>
          <w:rFonts w:ascii="宋体" w:hAnsi="宋体"/>
          <w:sz w:val="24"/>
        </w:rPr>
        <w:t>天，对应的赎回费率为1.5%，假设赎回当日E类基金份额净值是1.0160元，则其可得到的赎回金额为：</w:t>
      </w:r>
    </w:p>
    <w:p w14:paraId="120BB822" w14:textId="05949878" w:rsidR="00877F35" w:rsidRDefault="00877F35" w:rsidP="00877F3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w:t>
      </w:r>
      <w:bookmarkStart w:id="15" w:name="OLE_LINK1"/>
      <w:bookmarkStart w:id="16" w:name="OLE_LINK2"/>
      <w:r>
        <w:rPr>
          <w:rFonts w:ascii="宋体" w:hAnsi="宋体"/>
          <w:sz w:val="24"/>
        </w:rPr>
        <w:t>100,000×1.0160×1.5%</w:t>
      </w:r>
      <w:bookmarkEnd w:id="15"/>
      <w:bookmarkEnd w:id="16"/>
      <w:r>
        <w:rPr>
          <w:rFonts w:ascii="宋体" w:hAnsi="宋体"/>
          <w:sz w:val="24"/>
        </w:rPr>
        <w:t>＝</w:t>
      </w:r>
      <w:r w:rsidRPr="00877F35">
        <w:rPr>
          <w:rFonts w:ascii="宋体" w:hAnsi="宋体"/>
          <w:sz w:val="24"/>
        </w:rPr>
        <w:t>1,524.00</w:t>
      </w:r>
      <w:r>
        <w:rPr>
          <w:rFonts w:ascii="宋体" w:hAnsi="宋体"/>
          <w:sz w:val="24"/>
        </w:rPr>
        <w:t>元</w:t>
      </w:r>
    </w:p>
    <w:p w14:paraId="66A3B330" w14:textId="36D71C2A" w:rsidR="00877F35" w:rsidRDefault="00877F35" w:rsidP="00877F3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w:t>
      </w:r>
      <w:bookmarkStart w:id="17" w:name="OLE_LINK3"/>
      <w:bookmarkStart w:id="18" w:name="OLE_LINK4"/>
      <w:r>
        <w:rPr>
          <w:rFonts w:ascii="宋体" w:hAnsi="宋体"/>
          <w:sz w:val="24"/>
        </w:rPr>
        <w:t>100,000×1.0160-</w:t>
      </w:r>
      <w:r w:rsidRPr="00877F35">
        <w:rPr>
          <w:rFonts w:ascii="宋体" w:hAnsi="宋体"/>
          <w:sz w:val="24"/>
        </w:rPr>
        <w:t>1,524.00</w:t>
      </w:r>
      <w:bookmarkEnd w:id="17"/>
      <w:bookmarkEnd w:id="18"/>
      <w:r>
        <w:rPr>
          <w:rFonts w:ascii="宋体" w:hAnsi="宋体"/>
          <w:sz w:val="24"/>
        </w:rPr>
        <w:t>＝</w:t>
      </w:r>
      <w:r w:rsidRPr="00877F35">
        <w:rPr>
          <w:rFonts w:ascii="宋体" w:hAnsi="宋体"/>
          <w:sz w:val="24"/>
        </w:rPr>
        <w:t>100,076.00</w:t>
      </w:r>
      <w:r>
        <w:rPr>
          <w:rFonts w:ascii="宋体" w:hAnsi="宋体"/>
          <w:sz w:val="24"/>
        </w:rPr>
        <w:t>元</w:t>
      </w:r>
    </w:p>
    <w:p w14:paraId="311E132D" w14:textId="21EAB9B7" w:rsidR="00877F35" w:rsidRDefault="00877F35" w:rsidP="00877F3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即：投资者赎回100,000份E类基金份额，持有期限为</w:t>
      </w:r>
      <w:r>
        <w:rPr>
          <w:rFonts w:ascii="宋体" w:hAnsi="宋体" w:hint="eastAsia"/>
          <w:sz w:val="24"/>
        </w:rPr>
        <w:t>6</w:t>
      </w:r>
      <w:r>
        <w:rPr>
          <w:rFonts w:ascii="宋体" w:hAnsi="宋体"/>
          <w:sz w:val="24"/>
        </w:rPr>
        <w:t>天，对应的赎回费率为1.5%，假设赎回当日</w:t>
      </w:r>
      <w:r w:rsidR="0046505F">
        <w:rPr>
          <w:rFonts w:ascii="宋体" w:hAnsi="宋体"/>
          <w:sz w:val="24"/>
        </w:rPr>
        <w:t>E</w:t>
      </w:r>
      <w:r>
        <w:rPr>
          <w:rFonts w:ascii="宋体" w:hAnsi="宋体"/>
          <w:sz w:val="24"/>
        </w:rPr>
        <w:t>类基金份额净值是1.0160元，则其可得到的赎回金额为</w:t>
      </w:r>
      <w:r w:rsidRPr="00877F35">
        <w:rPr>
          <w:rFonts w:ascii="宋体" w:hAnsi="宋体"/>
          <w:sz w:val="24"/>
        </w:rPr>
        <w:t>100,076.00</w:t>
      </w:r>
      <w:r>
        <w:rPr>
          <w:rFonts w:ascii="宋体" w:hAnsi="宋体"/>
          <w:sz w:val="24"/>
        </w:rPr>
        <w:t>元。</w:t>
      </w:r>
    </w:p>
    <w:p w14:paraId="79CC383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2A954A2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3C49BE0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740B53C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14:paraId="15EA5D7E" w14:textId="26944FF2" w:rsidR="00945E89" w:rsidRDefault="00945E89" w:rsidP="00945E8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E类基金份额净值＝E类基金份额的基金资产净值总额/发行在外的E类基金份额总数</w:t>
      </w:r>
    </w:p>
    <w:p w14:paraId="7198E4B5" w14:textId="49A558DA"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本基金T日的基金份额净值在当天收市后计算，并按基金合同的约定公告。遇特殊情况，经中国证监会同意，可以适当延迟计算或公告。本基金</w:t>
      </w:r>
      <w:r w:rsidR="00945E89">
        <w:rPr>
          <w:rFonts w:ascii="宋体" w:hAnsi="宋体" w:hint="eastAsia"/>
          <w:sz w:val="24"/>
        </w:rPr>
        <w:t>各</w:t>
      </w:r>
      <w:r>
        <w:rPr>
          <w:rFonts w:ascii="宋体" w:hAnsi="宋体"/>
          <w:sz w:val="24"/>
        </w:rPr>
        <w:t>类基金份额的基金份额净值的计算，均保留到小数点后4位，小数点后第5位四舍五入，由此误差产生的收益或损失由基金财产承担。</w:t>
      </w:r>
    </w:p>
    <w:p w14:paraId="118AEC9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（九）拒绝或暂停申购的情形</w:t>
      </w:r>
    </w:p>
    <w:p w14:paraId="19A41C6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47E34FD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767A1D6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45C6EA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7B28F58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6D5F5EA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5、基金资产规模过大，使基金管理人无法找到合适的投资品种，或其他可能对基金业绩产生负面影响，或发生其他损害现有基金份额持有人利益的情形。</w:t>
      </w:r>
    </w:p>
    <w:p w14:paraId="7EC02D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2D8FFE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14:paraId="0821EC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8、当前一估值日基金资产净值50%以上的资产出现无可参考的活跃市场价格且采用估值技术仍导致公允价值存在重大不确定性时，经与基金托管人协商确认后，基金管理人应当暂停接受申购申请。</w:t>
      </w:r>
    </w:p>
    <w:p w14:paraId="188D13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772595D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7F13F0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（十）暂停赎回或延缓支付赎回款项的情形</w:t>
      </w:r>
    </w:p>
    <w:p w14:paraId="7D0CC48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6DDCD4D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BDE664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E062C0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3DD3BC8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4、继续接受赎回申请将损害现有基金份额持有人利益的情形时，可暂停接受投资人的赎回申请。</w:t>
      </w:r>
    </w:p>
    <w:p w14:paraId="7EF4FC9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78AC30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6、基金合同约定、法律法规规定或中国证监会认定的其他情形。</w:t>
      </w:r>
    </w:p>
    <w:p w14:paraId="4169011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745CB5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（十一）巨额赎回的情形及处理方式</w:t>
      </w:r>
    </w:p>
    <w:p w14:paraId="23A685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466EB5E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044BF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0865EE0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496A02A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02F46E4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76384B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本基金发生巨额赎回且单个基金份额持有人的赎回申请超过上一日基金总份额20%的情形下，基金管理人应当采取如下措施：对于基金份额持有人当日超过20%的</w:t>
      </w:r>
      <w:r>
        <w:rPr>
          <w:rFonts w:ascii="宋体" w:hAnsi="宋体"/>
          <w:sz w:val="24"/>
        </w:rPr>
        <w:lastRenderedPageBreak/>
        <w:t>赎回申请，可以对其赎回申请延期办理；对于基金份额持有人未超过上述比例的部分，基金管理人可以根据前段“（1）全额赎回”或“（2）部分延期赎回”的约定方式与其他基金份额持有人的赎回申请一并办理。如基金份额持有人在当日选择取消赎回，则其当日未获受理的部分赎回申请将被撤销。</w:t>
      </w:r>
    </w:p>
    <w:p w14:paraId="68A9CB7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54EF0F8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232DD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14:paraId="246540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（十二）暂停申购或赎回的公告和重新开放申购或赎回的公告</w:t>
      </w:r>
    </w:p>
    <w:p w14:paraId="5B7B122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1B7395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p w14:paraId="3C3EA9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（十三）基金的非交易过户</w:t>
      </w:r>
    </w:p>
    <w:p w14:paraId="4AFE754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EE625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E319BC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503283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3CF16D7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（十五）定期定额投资计划</w:t>
      </w:r>
    </w:p>
    <w:p w14:paraId="1501593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C8EE98" w14:textId="5066ED53"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2020年5月20日刊登公告自2020年5月26日起开通A类基金份额和C类基金份额的定期定额投资计划业务，本基金2023年12月18日刊登公告自2023年12月19日起增设D类基金份额并开通D类基金份额的定期定额投资计划业务，</w:t>
      </w:r>
      <w:r w:rsidR="00FD6FCE">
        <w:rPr>
          <w:rFonts w:ascii="宋体" w:hAnsi="宋体"/>
          <w:sz w:val="24"/>
        </w:rPr>
        <w:t>本基金2024年12月</w:t>
      </w:r>
      <w:r w:rsidR="00B725FF">
        <w:rPr>
          <w:rFonts w:ascii="宋体" w:hAnsi="宋体"/>
          <w:sz w:val="24"/>
        </w:rPr>
        <w:t>18</w:t>
      </w:r>
      <w:r w:rsidR="00FD6FCE">
        <w:rPr>
          <w:rFonts w:ascii="宋体" w:hAnsi="宋体"/>
          <w:sz w:val="24"/>
        </w:rPr>
        <w:t>日刊登公告自2024年12月</w:t>
      </w:r>
      <w:r w:rsidR="00B725FF">
        <w:rPr>
          <w:rFonts w:ascii="宋体" w:hAnsi="宋体"/>
          <w:sz w:val="24"/>
        </w:rPr>
        <w:t>19</w:t>
      </w:r>
      <w:r w:rsidR="00FD6FCE">
        <w:rPr>
          <w:rFonts w:ascii="宋体" w:hAnsi="宋体"/>
          <w:sz w:val="24"/>
        </w:rPr>
        <w:t>日起增设E类基金份额并开通</w:t>
      </w:r>
      <w:r w:rsidR="00FD6FCE">
        <w:rPr>
          <w:rFonts w:ascii="宋体" w:hAnsi="宋体" w:hint="eastAsia"/>
          <w:sz w:val="24"/>
        </w:rPr>
        <w:t>E</w:t>
      </w:r>
      <w:r w:rsidR="00FD6FCE">
        <w:rPr>
          <w:rFonts w:ascii="宋体" w:hAnsi="宋体"/>
          <w:sz w:val="24"/>
        </w:rPr>
        <w:t>类基金份额的定期定额投资计划业务</w:t>
      </w:r>
      <w:r w:rsidR="00D6531A">
        <w:rPr>
          <w:rFonts w:ascii="宋体" w:hAnsi="宋体"/>
          <w:sz w:val="24"/>
        </w:rPr>
        <w:t>，</w:t>
      </w:r>
      <w:r>
        <w:rPr>
          <w:rFonts w:ascii="宋体" w:hAnsi="宋体"/>
          <w:sz w:val="24"/>
        </w:rPr>
        <w:t>具体开通销售机构名单和业务规则参见相关公告。</w:t>
      </w:r>
    </w:p>
    <w:p w14:paraId="0A7625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（十六）基金份额的冻结和解冻</w:t>
      </w:r>
    </w:p>
    <w:p w14:paraId="719B728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基金份额被冻结的，被冻结部分产生的权益一并冻结，被冻结部分份额仍然参与收益分配。法律法规或监管机构另有规定的除外。</w:t>
      </w:r>
    </w:p>
    <w:p w14:paraId="7385CA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（十七）基金份额的转让</w:t>
      </w:r>
    </w:p>
    <w:p w14:paraId="6EBB93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D09F59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（十八）实施侧袋机制期间本基金的申购与赎回</w:t>
      </w:r>
    </w:p>
    <w:p w14:paraId="721FB6B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45B2476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（十九）其他业务</w:t>
      </w:r>
    </w:p>
    <w:p w14:paraId="636B079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C10559A"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B0AB92" w14:textId="77777777" w:rsidR="00EF0B55" w:rsidRDefault="0022048D">
      <w:pPr>
        <w:pStyle w:val="1"/>
        <w:snapToGrid w:val="0"/>
        <w:spacing w:beforeLines="0" w:before="240" w:after="240"/>
        <w:rPr>
          <w:rFonts w:ascii="宋体" w:hAnsi="宋体"/>
          <w:szCs w:val="30"/>
        </w:rPr>
      </w:pPr>
      <w:bookmarkStart w:id="19" w:name="_Toc166054615"/>
      <w:bookmarkEnd w:id="14"/>
      <w:r>
        <w:rPr>
          <w:rFonts w:ascii="Times New Roman" w:hAnsi="Times New Roman"/>
          <w:sz w:val="30"/>
        </w:rPr>
        <w:lastRenderedPageBreak/>
        <w:t>九、基金的转换</w:t>
      </w:r>
      <w:bookmarkEnd w:id="19"/>
    </w:p>
    <w:p w14:paraId="49B2C3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14:paraId="6A01E5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65BE0E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14:paraId="4734985E" w14:textId="71F53C71"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本基金2020年6月10日刊登公告自2020年6月12日起开放A类基金份额和C类基金份额的日常转换业务，本基金2023年12月18日刊登公告自2023年12月19日起增设D类基金份额并开通D类基金份额的日常转换业务</w:t>
      </w:r>
      <w:r w:rsidR="007853B2">
        <w:rPr>
          <w:rFonts w:ascii="宋体" w:hAnsi="宋体"/>
          <w:sz w:val="24"/>
        </w:rPr>
        <w:t>，本基金2024年12月</w:t>
      </w:r>
      <w:r w:rsidR="006805EA">
        <w:rPr>
          <w:rFonts w:ascii="宋体" w:hAnsi="宋体"/>
          <w:sz w:val="24"/>
        </w:rPr>
        <w:t>18</w:t>
      </w:r>
      <w:r w:rsidR="007853B2">
        <w:rPr>
          <w:rFonts w:ascii="宋体" w:hAnsi="宋体"/>
          <w:sz w:val="24"/>
        </w:rPr>
        <w:t>日刊登公告自2024年12月</w:t>
      </w:r>
      <w:r w:rsidR="006805EA">
        <w:rPr>
          <w:rFonts w:ascii="宋体" w:hAnsi="宋体"/>
          <w:sz w:val="24"/>
        </w:rPr>
        <w:t>19</w:t>
      </w:r>
      <w:r w:rsidR="007853B2">
        <w:rPr>
          <w:rFonts w:ascii="宋体" w:hAnsi="宋体"/>
          <w:sz w:val="24"/>
        </w:rPr>
        <w:t>日起增设</w:t>
      </w:r>
      <w:r w:rsidR="009D081C">
        <w:rPr>
          <w:rFonts w:ascii="宋体" w:hAnsi="宋体"/>
          <w:sz w:val="24"/>
        </w:rPr>
        <w:t>E</w:t>
      </w:r>
      <w:r w:rsidR="007853B2">
        <w:rPr>
          <w:rFonts w:ascii="宋体" w:hAnsi="宋体"/>
          <w:sz w:val="24"/>
        </w:rPr>
        <w:t>类基金份额并开通E类基金份额的日常转换业务</w:t>
      </w:r>
      <w:r>
        <w:rPr>
          <w:rFonts w:ascii="宋体" w:hAnsi="宋体"/>
          <w:sz w:val="24"/>
        </w:rPr>
        <w:t>。</w:t>
      </w:r>
    </w:p>
    <w:p w14:paraId="47C62B0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186EC14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BF9B10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650983D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14:paraId="39143D7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58865D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35B4B0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6FD78A3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3ADE079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w:t>
      </w:r>
      <w:r>
        <w:rPr>
          <w:rFonts w:ascii="宋体" w:hAnsi="宋体"/>
          <w:sz w:val="24"/>
        </w:rPr>
        <w:lastRenderedPageBreak/>
        <w:t>份额。</w:t>
      </w:r>
    </w:p>
    <w:p w14:paraId="72D715A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14:paraId="4067B9E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6652EE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169DA8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394770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14:paraId="04B2A9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5510E74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048691E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996FF7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70D432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179BAB2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4A0149D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E7A74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2ADBEEB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260B2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62BA11A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14:paraId="174470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37A1FAC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5C1F5F4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3A978B6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62CBA90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3A1FB39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6D3906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3FB310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538689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B60B5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w:t>
      </w:r>
      <w:r>
        <w:rPr>
          <w:rFonts w:ascii="宋体" w:hAnsi="宋体"/>
          <w:sz w:val="24"/>
        </w:rPr>
        <w:lastRenderedPageBreak/>
        <w:t>限转出基金为货币市场基金的情形，否则A为0）。</w:t>
      </w:r>
    </w:p>
    <w:p w14:paraId="7832A02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49379C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756ECB8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3683C7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7882929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443EAA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330FD1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00F64DD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04140C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101EAF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0441AA5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6630BEA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770FD48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355968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41FABF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B8126C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4B86E5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226DCA3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68F436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7BD579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47A5F1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4434EAF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D25CD6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6E45EE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0BEB62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603153A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5F640F7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1CB2B0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0E21A8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3C53AB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70E696C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59341FB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3FB2C42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481C810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88F00D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711F6E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5DD47D2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3BD282D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15F2FA2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257387E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转入基金确认份额=（124,750-0）/2.2700=54,955.95份</w:t>
      </w:r>
    </w:p>
    <w:p w14:paraId="5C318BA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73C82E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61B6AA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37ABA18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4E6039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5C9D94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2455BF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8A327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762282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24F069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361E72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49106C0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160CAC9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F4626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4142A9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574F8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637B2E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07B452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2BD561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14:paraId="33FF39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w:t>
      </w:r>
      <w:r>
        <w:rPr>
          <w:rFonts w:ascii="宋体" w:hAnsi="宋体"/>
          <w:sz w:val="24"/>
        </w:rPr>
        <w:lastRenderedPageBreak/>
        <w:t>销售的同一基金管理人管理的、在同一注册登记机构处注册登记的基金。投资人办理基金转换业务时，转出方的基金必须处于可赎回状态，转入方的基金必须处于可申购状态。</w:t>
      </w:r>
    </w:p>
    <w:p w14:paraId="61553CC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1E09735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6B9A8A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22B880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1B2917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14:paraId="127218B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3E2AD4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0C21A9E3"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7F227D" w14:textId="77777777" w:rsidR="00EF0B55" w:rsidRDefault="0022048D">
      <w:pPr>
        <w:pStyle w:val="1"/>
        <w:snapToGrid w:val="0"/>
        <w:spacing w:beforeLines="0" w:before="240" w:after="240"/>
        <w:rPr>
          <w:rFonts w:ascii="宋体" w:hAnsi="宋体"/>
          <w:szCs w:val="30"/>
        </w:rPr>
      </w:pPr>
      <w:bookmarkStart w:id="20" w:name="_Toc166054616"/>
      <w:bookmarkStart w:id="21" w:name="_Hlk184220035"/>
      <w:r>
        <w:rPr>
          <w:rFonts w:ascii="Times New Roman" w:hAnsi="Times New Roman"/>
          <w:sz w:val="30"/>
        </w:rPr>
        <w:lastRenderedPageBreak/>
        <w:t>十、基金的投资</w:t>
      </w:r>
      <w:bookmarkEnd w:id="20"/>
    </w:p>
    <w:p w14:paraId="625AD1A7"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14:paraId="5129CF0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在严格控制风险的前提下,力求获得高于业绩基准的投资收益。</w:t>
      </w:r>
    </w:p>
    <w:p w14:paraId="4BF75A51"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14:paraId="6B50A00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如法律法规或监管机构以后允许基金投资其他品种，基金管理人在履行适当程序后，可以将其纳入投资范围。</w:t>
      </w:r>
    </w:p>
    <w:p w14:paraId="0F190F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基金的投资组合比例为投资于债券资产的比例不低于基金资产的80%，但在封闭期结束前三个月和转开放后三个月内，基金投资不受上述债券资产投资比例限制。</w:t>
      </w:r>
    </w:p>
    <w:p w14:paraId="4F79658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本基金转为开放式运作后，现金或到期日在一年以内的政府债券的比例合计不低于基金资产净值的5%，其中现金不包括结算备付金、存出保证金、应收申购款等。</w:t>
      </w:r>
    </w:p>
    <w:p w14:paraId="7F390E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4AF36333"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14:paraId="7631693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1、封闭期内的投资策略</w:t>
      </w:r>
    </w:p>
    <w:p w14:paraId="609EBDC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44E3176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（1）债券的类属配置策略</w:t>
      </w:r>
    </w:p>
    <w:p w14:paraId="5705359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7DE5A8A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（2）买入持有策略</w:t>
      </w:r>
    </w:p>
    <w:p w14:paraId="6E844E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在精选个券基础上，本基金主要通过买入与封闭期适度匹配的债券，并持有到期，或者是持有回售期与封闭期适度匹配的债券，获得本金和票息收入。</w:t>
      </w:r>
    </w:p>
    <w:p w14:paraId="64B8456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（3）杠杆套息策略</w:t>
      </w:r>
    </w:p>
    <w:p w14:paraId="0C4B62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431459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（4）信用债券投资策略</w:t>
      </w:r>
    </w:p>
    <w:p w14:paraId="7EAD78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5FF2A59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7AC7C5E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5D0041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6DE28A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本基金从信用债券池中精选债券构建信用债券投资组合，债券筛选主要考虑以下因素：</w:t>
      </w:r>
    </w:p>
    <w:p w14:paraId="26DA59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21B995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w:t>
      </w:r>
    </w:p>
    <w:p w14:paraId="679E6C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（5）中小企业私募债券投资策略</w:t>
      </w:r>
    </w:p>
    <w:p w14:paraId="43AD69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w:t>
      </w:r>
      <w:r>
        <w:rPr>
          <w:rFonts w:ascii="宋体" w:hAnsi="宋体"/>
          <w:sz w:val="24"/>
        </w:rPr>
        <w:lastRenderedPageBreak/>
        <w:t>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6EA65E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（6）资产支持证券投资策略</w:t>
      </w:r>
    </w:p>
    <w:p w14:paraId="7F89A30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E3F26B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2、转为开放式运作后的投资策略</w:t>
      </w:r>
    </w:p>
    <w:p w14:paraId="37BD341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708428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14:paraId="19176CE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32B9874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128677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w:t>
      </w:r>
      <w:r>
        <w:rPr>
          <w:rFonts w:ascii="宋体" w:hAnsi="宋体"/>
          <w:sz w:val="24"/>
        </w:rPr>
        <w:lastRenderedPageBreak/>
        <w:t>类属债券类资产的风险与收益率变化，确定不同类属债券类资产间的配置。</w:t>
      </w:r>
    </w:p>
    <w:p w14:paraId="4BB5372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021135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94F64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（4）杠杆放大策略</w:t>
      </w:r>
    </w:p>
    <w:p w14:paraId="25DE99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67A771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（5）信用债券投资策略</w:t>
      </w:r>
    </w:p>
    <w:p w14:paraId="1DB806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37D649F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32E0064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575CEC0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22D822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本基金从信用债券池中精选债券构建信用债券投资组合，债券筛选主要考虑以下因素：</w:t>
      </w:r>
    </w:p>
    <w:p w14:paraId="58A53E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56610F4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649471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（6）资产支持证券投资策略</w:t>
      </w:r>
    </w:p>
    <w:p w14:paraId="2DD08A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w:t>
      </w:r>
      <w:r>
        <w:rPr>
          <w:rFonts w:ascii="宋体" w:hAnsi="宋体"/>
          <w:sz w:val="24"/>
        </w:rPr>
        <w:lastRenderedPageBreak/>
        <w:t>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45320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（7）中小企业私募债券投资策略</w:t>
      </w:r>
    </w:p>
    <w:p w14:paraId="74040B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A331C42"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（四）业绩比较基准</w:t>
      </w:r>
    </w:p>
    <w:p w14:paraId="75CFF74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中债综合全价指数收益率</w:t>
      </w:r>
    </w:p>
    <w:p w14:paraId="464F315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6723E37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6D938EB"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（五）投资限制</w:t>
      </w:r>
    </w:p>
    <w:p w14:paraId="36698B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0A1A931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3888783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（1）本基金投资于债券资产的比例不低于基金资产的80%，但在封闭期结束前三个月和转开放后三个月内基金投资不受上述债券资产投资比例限制；</w:t>
      </w:r>
    </w:p>
    <w:p w14:paraId="6677F68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（2）本基金转为开放式运作后，保持不低于基金资产净值5%的现金或者到期日在一年以内的政府债券，其中现金不包括结算备付金、存出保证金、应收申购款等；</w:t>
      </w:r>
    </w:p>
    <w:p w14:paraId="23393C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（3）本基金持有一家公司发行的证券，其市值不得超过基金资产净值的10%；</w:t>
      </w:r>
    </w:p>
    <w:p w14:paraId="65DDB72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05C7F54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（5）本基金在封闭期内，基金总资产不超过基金净资产的200%；本基金转为开放式运作后，基金总资产不超过基金净资产的140%；</w:t>
      </w:r>
    </w:p>
    <w:p w14:paraId="6318D7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4B149EC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14:paraId="711C95C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70AAF0C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68E4A58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26AF7A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34FA378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7E31A33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（13）本基金进入全国银行间同业市场进行债券回购的资金余额不得超过基金资产净值的40%；本基金在全国银行间同业市场中的债券回购最长期限为1年，债券回购到期后不得展期；</w:t>
      </w:r>
    </w:p>
    <w:p w14:paraId="514E648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（14）本基金持有单只中小企业私募债券，其市值不得超过基金资产净值的10%；</w:t>
      </w:r>
    </w:p>
    <w:p w14:paraId="477314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（15）法律法规及中国证监会规定的和《基金合同》约定的其他投资限制。</w:t>
      </w:r>
    </w:p>
    <w:p w14:paraId="24E109A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6）、（7）、（12）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83C2BA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676373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6D4AE4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6D3F37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2D4B383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39B954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15EB92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0956CD1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6205A58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0DACB15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351B58E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752D6B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6A74B8F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E7E678"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（六）风险收益特征</w:t>
      </w:r>
    </w:p>
    <w:p w14:paraId="4D81592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w:t>
      </w:r>
    </w:p>
    <w:p w14:paraId="76469CB6"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（七）基金管理人代表基金行使债权人权利的处理原则及方法</w:t>
      </w:r>
    </w:p>
    <w:p w14:paraId="0DF6E70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5408F8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7744E3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28E2B896"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（八）侧袋机制的实施和投资运作安排</w:t>
      </w:r>
    </w:p>
    <w:p w14:paraId="1CD019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65BEBE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3F7664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3C06AD06"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（九）基金投资组合报告</w:t>
      </w:r>
    </w:p>
    <w:p w14:paraId="672885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14:paraId="18A067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基金托管人招商银行股份有限公司根据本基金合同规定，于2024年04月19日复核了本报告中的财务指标、净值表现和投资组合报告等内容，保证复核内容不存在虚假记载、误导性陈述或者重大遗漏。</w:t>
      </w:r>
    </w:p>
    <w:p w14:paraId="5CB814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本报告期为2024年01月01日至03月31日。本报告财务资料未经审计师审计。</w:t>
      </w:r>
    </w:p>
    <w:p w14:paraId="1D069C9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EF0B55" w14:paraId="682986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1B208F3"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60E1FA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6E2220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C40AC94"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EF0B55" w14:paraId="1E5ED0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1ABDF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8F5724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B2F1D8A"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98CECA2"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6770F5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7F1868"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4D8261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333B5305"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5ECC5E7"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17FE97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8CCD2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BA62D1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311C13D6"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D31BBCE"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7B9159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F8261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3</w:t>
            </w:r>
          </w:p>
        </w:tc>
        <w:tc>
          <w:tcPr>
            <w:tcW w:w="750" w:type="pct"/>
            <w:tcBorders>
              <w:top w:val="single" w:sz="4" w:space="0" w:color="auto"/>
              <w:left w:val="single" w:sz="4" w:space="0" w:color="auto"/>
              <w:bottom w:val="single" w:sz="4" w:space="0" w:color="auto"/>
              <w:right w:val="single" w:sz="4" w:space="0" w:color="auto"/>
            </w:tcBorders>
            <w:vAlign w:val="center"/>
          </w:tcPr>
          <w:p w14:paraId="76DA82D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37DB6D2B"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10,338,576,460.80</w:t>
            </w:r>
          </w:p>
        </w:tc>
        <w:tc>
          <w:tcPr>
            <w:tcW w:w="400" w:type="pct"/>
            <w:tcBorders>
              <w:top w:val="single" w:sz="4" w:space="0" w:color="auto"/>
              <w:left w:val="single" w:sz="4" w:space="0" w:color="auto"/>
              <w:bottom w:val="single" w:sz="4" w:space="0" w:color="auto"/>
              <w:right w:val="single" w:sz="4" w:space="0" w:color="auto"/>
            </w:tcBorders>
            <w:vAlign w:val="center"/>
          </w:tcPr>
          <w:p w14:paraId="77F7E176"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99.45</w:t>
            </w:r>
          </w:p>
        </w:tc>
      </w:tr>
      <w:tr w:rsidR="00EF0B55" w14:paraId="5B4630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2B800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9DC199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7BCF59EC"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10,338,576,460.80</w:t>
            </w:r>
          </w:p>
        </w:tc>
        <w:tc>
          <w:tcPr>
            <w:tcW w:w="400" w:type="pct"/>
            <w:tcBorders>
              <w:top w:val="single" w:sz="4" w:space="0" w:color="auto"/>
              <w:left w:val="single" w:sz="4" w:space="0" w:color="auto"/>
              <w:bottom w:val="single" w:sz="4" w:space="0" w:color="auto"/>
              <w:right w:val="single" w:sz="4" w:space="0" w:color="auto"/>
            </w:tcBorders>
            <w:vAlign w:val="center"/>
          </w:tcPr>
          <w:p w14:paraId="5CB9B449"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99.45</w:t>
            </w:r>
          </w:p>
        </w:tc>
      </w:tr>
      <w:tr w:rsidR="00EF0B55" w14:paraId="41E447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C38D3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F0D47D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5B89697B"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1A068E1"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299EE4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92D3D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4D6A2A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292A7A5F"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A54D9A"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009561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B2429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4B0BCF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0B4E5F72"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8B05AB9"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389003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D95D3D"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6DADF3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5B19E70"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A1812A4"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792DE2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D9C11D"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7D2299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49328BA"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C8E465A"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3F55FF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4EBA1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746381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7BE35AB7"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4,782,936.33</w:t>
            </w:r>
          </w:p>
        </w:tc>
        <w:tc>
          <w:tcPr>
            <w:tcW w:w="400" w:type="pct"/>
            <w:tcBorders>
              <w:top w:val="single" w:sz="4" w:space="0" w:color="auto"/>
              <w:left w:val="single" w:sz="4" w:space="0" w:color="auto"/>
              <w:bottom w:val="single" w:sz="4" w:space="0" w:color="auto"/>
              <w:right w:val="single" w:sz="4" w:space="0" w:color="auto"/>
            </w:tcBorders>
            <w:vAlign w:val="center"/>
          </w:tcPr>
          <w:p w14:paraId="5C1C28CC"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r w:rsidR="00EF0B55" w14:paraId="612912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486E41"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2BAAC2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3E6BF7CA"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52,414,121.37</w:t>
            </w:r>
          </w:p>
        </w:tc>
        <w:tc>
          <w:tcPr>
            <w:tcW w:w="400" w:type="pct"/>
            <w:tcBorders>
              <w:top w:val="single" w:sz="4" w:space="0" w:color="auto"/>
              <w:left w:val="single" w:sz="4" w:space="0" w:color="auto"/>
              <w:bottom w:val="single" w:sz="4" w:space="0" w:color="auto"/>
              <w:right w:val="single" w:sz="4" w:space="0" w:color="auto"/>
            </w:tcBorders>
            <w:vAlign w:val="center"/>
          </w:tcPr>
          <w:p w14:paraId="4F0DD820"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rsidR="00EF0B55" w14:paraId="7AD3A3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A463B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091410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F78D7E7"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10,395,773,518.50</w:t>
            </w:r>
          </w:p>
        </w:tc>
        <w:tc>
          <w:tcPr>
            <w:tcW w:w="400" w:type="pct"/>
            <w:tcBorders>
              <w:top w:val="single" w:sz="4" w:space="0" w:color="auto"/>
              <w:left w:val="single" w:sz="4" w:space="0" w:color="auto"/>
              <w:bottom w:val="single" w:sz="4" w:space="0" w:color="auto"/>
              <w:right w:val="single" w:sz="4" w:space="0" w:color="auto"/>
            </w:tcBorders>
            <w:vAlign w:val="center"/>
          </w:tcPr>
          <w:p w14:paraId="19FF8665"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2433C13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7088F7E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519C5D3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6B02B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5F75E3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8A374F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41CA03F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7E05E57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3416A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EF0B55" w14:paraId="0DCDDB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FA3D51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B3294D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E84F2D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D6604A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EF0B55" w14:paraId="117E24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71679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2A013B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02209FEF"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10,133,561.64</w:t>
            </w:r>
          </w:p>
        </w:tc>
        <w:tc>
          <w:tcPr>
            <w:tcW w:w="400" w:type="pct"/>
            <w:tcBorders>
              <w:top w:val="single" w:sz="4" w:space="0" w:color="auto"/>
              <w:left w:val="single" w:sz="4" w:space="0" w:color="auto"/>
              <w:bottom w:val="single" w:sz="4" w:space="0" w:color="auto"/>
              <w:right w:val="single" w:sz="4" w:space="0" w:color="auto"/>
            </w:tcBorders>
            <w:vAlign w:val="center"/>
          </w:tcPr>
          <w:p w14:paraId="38A44880"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EF0B55" w14:paraId="38FBD7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4E169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1C543A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67C0F1E6"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00CE00A"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2C0853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87D4C5"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5FA600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51430446"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1,986,957,393.22</w:t>
            </w:r>
          </w:p>
        </w:tc>
        <w:tc>
          <w:tcPr>
            <w:tcW w:w="400" w:type="pct"/>
            <w:tcBorders>
              <w:top w:val="single" w:sz="4" w:space="0" w:color="auto"/>
              <w:left w:val="single" w:sz="4" w:space="0" w:color="auto"/>
              <w:bottom w:val="single" w:sz="4" w:space="0" w:color="auto"/>
              <w:right w:val="single" w:sz="4" w:space="0" w:color="auto"/>
            </w:tcBorders>
            <w:vAlign w:val="center"/>
          </w:tcPr>
          <w:p w14:paraId="1307C474"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22.63</w:t>
            </w:r>
          </w:p>
        </w:tc>
      </w:tr>
      <w:tr w:rsidR="00EF0B55" w14:paraId="3336A4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78730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5E0997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746D7673"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561,694,754.10</w:t>
            </w:r>
          </w:p>
        </w:tc>
        <w:tc>
          <w:tcPr>
            <w:tcW w:w="400" w:type="pct"/>
            <w:tcBorders>
              <w:top w:val="single" w:sz="4" w:space="0" w:color="auto"/>
              <w:left w:val="single" w:sz="4" w:space="0" w:color="auto"/>
              <w:bottom w:val="single" w:sz="4" w:space="0" w:color="auto"/>
              <w:right w:val="single" w:sz="4" w:space="0" w:color="auto"/>
            </w:tcBorders>
            <w:vAlign w:val="center"/>
          </w:tcPr>
          <w:p w14:paraId="26660766"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6.40</w:t>
            </w:r>
          </w:p>
        </w:tc>
      </w:tr>
      <w:tr w:rsidR="00EF0B55" w14:paraId="709A9E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3E8CEF"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4B18D1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6A7F2E4E"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891,854,972.85</w:t>
            </w:r>
          </w:p>
        </w:tc>
        <w:tc>
          <w:tcPr>
            <w:tcW w:w="400" w:type="pct"/>
            <w:tcBorders>
              <w:top w:val="single" w:sz="4" w:space="0" w:color="auto"/>
              <w:left w:val="single" w:sz="4" w:space="0" w:color="auto"/>
              <w:bottom w:val="single" w:sz="4" w:space="0" w:color="auto"/>
              <w:right w:val="single" w:sz="4" w:space="0" w:color="auto"/>
            </w:tcBorders>
            <w:vAlign w:val="center"/>
          </w:tcPr>
          <w:p w14:paraId="2C205CF3"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10.16</w:t>
            </w:r>
          </w:p>
        </w:tc>
      </w:tr>
      <w:tr w:rsidR="00EF0B55" w14:paraId="7331D2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B9FF38"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880F26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65E0BC13"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161,883,295.08</w:t>
            </w:r>
          </w:p>
        </w:tc>
        <w:tc>
          <w:tcPr>
            <w:tcW w:w="400" w:type="pct"/>
            <w:tcBorders>
              <w:top w:val="single" w:sz="4" w:space="0" w:color="auto"/>
              <w:left w:val="single" w:sz="4" w:space="0" w:color="auto"/>
              <w:bottom w:val="single" w:sz="4" w:space="0" w:color="auto"/>
              <w:right w:val="single" w:sz="4" w:space="0" w:color="auto"/>
            </w:tcBorders>
            <w:vAlign w:val="center"/>
          </w:tcPr>
          <w:p w14:paraId="799C107F"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1.84</w:t>
            </w:r>
          </w:p>
        </w:tc>
      </w:tr>
      <w:tr w:rsidR="00EF0B55" w14:paraId="07E260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53DE3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180C55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441E6607"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7,287,747,238.01</w:t>
            </w:r>
          </w:p>
        </w:tc>
        <w:tc>
          <w:tcPr>
            <w:tcW w:w="400" w:type="pct"/>
            <w:tcBorders>
              <w:top w:val="single" w:sz="4" w:space="0" w:color="auto"/>
              <w:left w:val="single" w:sz="4" w:space="0" w:color="auto"/>
              <w:bottom w:val="single" w:sz="4" w:space="0" w:color="auto"/>
              <w:right w:val="single" w:sz="4" w:space="0" w:color="auto"/>
            </w:tcBorders>
            <w:vAlign w:val="center"/>
          </w:tcPr>
          <w:p w14:paraId="5D3CFDD3"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82.99</w:t>
            </w:r>
          </w:p>
        </w:tc>
      </w:tr>
      <w:tr w:rsidR="00EF0B55" w14:paraId="359516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9AB24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3B5545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6E713038"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753D167"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136F46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7B4B4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C0303B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3AB223B3"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F1067E9"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0647B1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EA324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99789E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759196DD"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D558E79"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6FBE5A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685A8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9663BF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21873A2"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10,338,576,460.80</w:t>
            </w:r>
          </w:p>
        </w:tc>
        <w:tc>
          <w:tcPr>
            <w:tcW w:w="400" w:type="pct"/>
            <w:tcBorders>
              <w:top w:val="single" w:sz="4" w:space="0" w:color="auto"/>
              <w:left w:val="single" w:sz="4" w:space="0" w:color="auto"/>
              <w:bottom w:val="single" w:sz="4" w:space="0" w:color="auto"/>
              <w:right w:val="single" w:sz="4" w:space="0" w:color="auto"/>
            </w:tcBorders>
            <w:vAlign w:val="center"/>
          </w:tcPr>
          <w:p w14:paraId="2F19116D"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117.73</w:t>
            </w:r>
          </w:p>
        </w:tc>
      </w:tr>
    </w:tbl>
    <w:p w14:paraId="74B388F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EF0B55" w14:paraId="6397D6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6998B2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B7C058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FEDB66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D7B9903"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9A9CAC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1D5011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EF0B55" w14:paraId="6F5510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10A67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0CF0FE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212380009</w:t>
            </w:r>
          </w:p>
        </w:tc>
        <w:tc>
          <w:tcPr>
            <w:tcW w:w="750" w:type="pct"/>
            <w:tcBorders>
              <w:top w:val="single" w:sz="4" w:space="0" w:color="auto"/>
              <w:left w:val="single" w:sz="4" w:space="0" w:color="auto"/>
              <w:bottom w:val="single" w:sz="4" w:space="0" w:color="auto"/>
              <w:right w:val="single" w:sz="4" w:space="0" w:color="auto"/>
            </w:tcBorders>
            <w:vAlign w:val="center"/>
          </w:tcPr>
          <w:p w14:paraId="62A0ECC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长沙银行债</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52A75C90"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1,600,000</w:t>
            </w:r>
          </w:p>
        </w:tc>
        <w:tc>
          <w:tcPr>
            <w:tcW w:w="750" w:type="pct"/>
            <w:tcBorders>
              <w:top w:val="single" w:sz="4" w:space="0" w:color="auto"/>
              <w:left w:val="single" w:sz="4" w:space="0" w:color="auto"/>
              <w:bottom w:val="single" w:sz="4" w:space="0" w:color="auto"/>
              <w:right w:val="single" w:sz="4" w:space="0" w:color="auto"/>
            </w:tcBorders>
            <w:vAlign w:val="center"/>
          </w:tcPr>
          <w:p w14:paraId="7996DFD8"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163,540,651.37</w:t>
            </w:r>
          </w:p>
        </w:tc>
        <w:tc>
          <w:tcPr>
            <w:tcW w:w="750" w:type="pct"/>
            <w:tcBorders>
              <w:top w:val="single" w:sz="4" w:space="0" w:color="auto"/>
              <w:left w:val="single" w:sz="4" w:space="0" w:color="auto"/>
              <w:bottom w:val="single" w:sz="4" w:space="0" w:color="auto"/>
              <w:right w:val="single" w:sz="4" w:space="0" w:color="auto"/>
            </w:tcBorders>
            <w:vAlign w:val="center"/>
          </w:tcPr>
          <w:p w14:paraId="2C165203"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1.86</w:t>
            </w:r>
          </w:p>
        </w:tc>
      </w:tr>
      <w:tr w:rsidR="00EF0B55" w14:paraId="1D05F5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608584"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AEEDD83"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232380021</w:t>
            </w:r>
          </w:p>
        </w:tc>
        <w:tc>
          <w:tcPr>
            <w:tcW w:w="750" w:type="pct"/>
            <w:tcBorders>
              <w:top w:val="single" w:sz="4" w:space="0" w:color="auto"/>
              <w:left w:val="single" w:sz="4" w:space="0" w:color="auto"/>
              <w:bottom w:val="single" w:sz="4" w:space="0" w:color="auto"/>
              <w:right w:val="single" w:sz="4" w:space="0" w:color="auto"/>
            </w:tcBorders>
            <w:vAlign w:val="center"/>
          </w:tcPr>
          <w:p w14:paraId="68B4CC25"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浙商银行二级资本债</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7B089475"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14:paraId="133457B9"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158,604,131.15</w:t>
            </w:r>
          </w:p>
        </w:tc>
        <w:tc>
          <w:tcPr>
            <w:tcW w:w="750" w:type="pct"/>
            <w:tcBorders>
              <w:top w:val="single" w:sz="4" w:space="0" w:color="auto"/>
              <w:left w:val="single" w:sz="4" w:space="0" w:color="auto"/>
              <w:bottom w:val="single" w:sz="4" w:space="0" w:color="auto"/>
              <w:right w:val="single" w:sz="4" w:space="0" w:color="auto"/>
            </w:tcBorders>
            <w:vAlign w:val="center"/>
          </w:tcPr>
          <w:p w14:paraId="5A161A90"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1.81</w:t>
            </w:r>
          </w:p>
        </w:tc>
      </w:tr>
      <w:tr w:rsidR="00EF0B55" w14:paraId="04AA76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AE04B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6F80D1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232280003</w:t>
            </w:r>
          </w:p>
        </w:tc>
        <w:tc>
          <w:tcPr>
            <w:tcW w:w="750" w:type="pct"/>
            <w:tcBorders>
              <w:top w:val="single" w:sz="4" w:space="0" w:color="auto"/>
              <w:left w:val="single" w:sz="4" w:space="0" w:color="auto"/>
              <w:bottom w:val="single" w:sz="4" w:space="0" w:color="auto"/>
              <w:right w:val="single" w:sz="4" w:space="0" w:color="auto"/>
            </w:tcBorders>
            <w:vAlign w:val="center"/>
          </w:tcPr>
          <w:p w14:paraId="451BFE8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成都银行二级资本债</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5E017270"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14:paraId="78901F41"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157,749,344.26</w:t>
            </w:r>
          </w:p>
        </w:tc>
        <w:tc>
          <w:tcPr>
            <w:tcW w:w="750" w:type="pct"/>
            <w:tcBorders>
              <w:top w:val="single" w:sz="4" w:space="0" w:color="auto"/>
              <w:left w:val="single" w:sz="4" w:space="0" w:color="auto"/>
              <w:bottom w:val="single" w:sz="4" w:space="0" w:color="auto"/>
              <w:right w:val="single" w:sz="4" w:space="0" w:color="auto"/>
            </w:tcBorders>
            <w:vAlign w:val="center"/>
          </w:tcPr>
          <w:p w14:paraId="4C0C0862"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1.80</w:t>
            </w:r>
          </w:p>
        </w:tc>
      </w:tr>
      <w:tr w:rsidR="00EF0B55" w14:paraId="169749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9244E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86B2C2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210207</w:t>
            </w:r>
          </w:p>
        </w:tc>
        <w:tc>
          <w:tcPr>
            <w:tcW w:w="750" w:type="pct"/>
            <w:tcBorders>
              <w:top w:val="single" w:sz="4" w:space="0" w:color="auto"/>
              <w:left w:val="single" w:sz="4" w:space="0" w:color="auto"/>
              <w:bottom w:val="single" w:sz="4" w:space="0" w:color="auto"/>
              <w:right w:val="single" w:sz="4" w:space="0" w:color="auto"/>
            </w:tcBorders>
            <w:vAlign w:val="center"/>
          </w:tcPr>
          <w:p w14:paraId="428A0898"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14:paraId="4478980B"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14:paraId="616DBC41"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153,943,278.69</w:t>
            </w:r>
          </w:p>
        </w:tc>
        <w:tc>
          <w:tcPr>
            <w:tcW w:w="750" w:type="pct"/>
            <w:tcBorders>
              <w:top w:val="single" w:sz="4" w:space="0" w:color="auto"/>
              <w:left w:val="single" w:sz="4" w:space="0" w:color="auto"/>
              <w:bottom w:val="single" w:sz="4" w:space="0" w:color="auto"/>
              <w:right w:val="single" w:sz="4" w:space="0" w:color="auto"/>
            </w:tcBorders>
            <w:vAlign w:val="center"/>
          </w:tcPr>
          <w:p w14:paraId="49DBF6C9"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1.75</w:t>
            </w:r>
          </w:p>
        </w:tc>
      </w:tr>
      <w:tr w:rsidR="00EF0B55" w14:paraId="163248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E97EB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CB0212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230206</w:t>
            </w:r>
          </w:p>
        </w:tc>
        <w:tc>
          <w:tcPr>
            <w:tcW w:w="750" w:type="pct"/>
            <w:tcBorders>
              <w:top w:val="single" w:sz="4" w:space="0" w:color="auto"/>
              <w:left w:val="single" w:sz="4" w:space="0" w:color="auto"/>
              <w:bottom w:val="single" w:sz="4" w:space="0" w:color="auto"/>
              <w:right w:val="single" w:sz="4" w:space="0" w:color="auto"/>
            </w:tcBorders>
            <w:vAlign w:val="center"/>
          </w:tcPr>
          <w:p w14:paraId="1BF5B99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国开</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14:paraId="3CDE2542"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14:paraId="3148266D"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152,829,098.36</w:t>
            </w:r>
          </w:p>
        </w:tc>
        <w:tc>
          <w:tcPr>
            <w:tcW w:w="750" w:type="pct"/>
            <w:tcBorders>
              <w:top w:val="single" w:sz="4" w:space="0" w:color="auto"/>
              <w:left w:val="single" w:sz="4" w:space="0" w:color="auto"/>
              <w:bottom w:val="single" w:sz="4" w:space="0" w:color="auto"/>
              <w:right w:val="single" w:sz="4" w:space="0" w:color="auto"/>
            </w:tcBorders>
            <w:vAlign w:val="center"/>
          </w:tcPr>
          <w:p w14:paraId="37F6E815"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1.74</w:t>
            </w:r>
          </w:p>
        </w:tc>
      </w:tr>
    </w:tbl>
    <w:p w14:paraId="220956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5B5A64F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5E182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276A59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5F2DC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40F5048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2BAD3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244FF0E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29D8770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05AFD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6DAD3CD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A04E9E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198D903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6E182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7462604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7D159EF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418196D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2023年12月20日，央行湖南省分行公示湘银罚决字[2023]2号行政处罚书，给予湖南银行股份有限公司20万元人民币罚款的行政处罚。　</w:t>
      </w:r>
    </w:p>
    <w:p w14:paraId="2384C0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2023年8月25日，国家外汇管理局江苏省分局公示苏汇检罚[2023]4号行政</w:t>
      </w:r>
      <w:r>
        <w:rPr>
          <w:rFonts w:ascii="宋体" w:hAnsi="宋体"/>
          <w:sz w:val="24"/>
        </w:rPr>
        <w:lastRenderedPageBreak/>
        <w:t xml:space="preserve">处罚决定书，给予南京银行股份有限公司60万元人民币罚款的行政处罚。　</w:t>
      </w:r>
    </w:p>
    <w:p w14:paraId="36CE354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2023年11月17日，国家金融监督管理总局湖南监管局公示湘金罚决字﹝2023﹞20号行政处罚决定书，给予长沙银行股份有限公司770万元人民币罚款，没收违法所得0.90万元的行政处罚。</w:t>
      </w:r>
    </w:p>
    <w:p w14:paraId="1FDF9D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2023年10月7日，湖南银保监局公示湘金罚决字[2023]4号行政处罚决定书，给予长沙银行股份有限公司3.6万元人民币罚款的行政处罚。</w:t>
      </w:r>
    </w:p>
    <w:p w14:paraId="60A8DDE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2023年6月26日，湖南银保监局公示湘银保监罚决字[2023]59号行政处罚决定书，给予长沙银行股份有限公司40万元人民币罚款的行政处罚。　</w:t>
      </w:r>
    </w:p>
    <w:p w14:paraId="4955FAE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2024年2月5日，国家金融监督管理总局浙江监管局公示浙金罚决字[2024]4号行政处罚决定书，给予浙商银行股份有限公司55万元人民币罚款的行政处罚。</w:t>
      </w:r>
    </w:p>
    <w:p w14:paraId="02873FC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19A71A5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3AAAAC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40B1A86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7A9728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EF0B55" w14:paraId="782CB0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3F1EF7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37D35E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58987D4"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EF0B55" w14:paraId="3A8DCE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7FBC9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072D2F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0014D721"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16,851.48</w:t>
            </w:r>
          </w:p>
        </w:tc>
      </w:tr>
      <w:tr w:rsidR="00EF0B55" w14:paraId="4791FF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454E1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6D0FDF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6AAB4564"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46,278,746.45</w:t>
            </w:r>
          </w:p>
        </w:tc>
      </w:tr>
      <w:tr w:rsidR="00EF0B55" w14:paraId="3CC76F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0A2401"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B140EE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7B8BC9BE"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47631D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0EE22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80747B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0A5704E3"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061BD3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800668"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A82A08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5055C964"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6,118,523.44</w:t>
            </w:r>
          </w:p>
        </w:tc>
      </w:tr>
      <w:tr w:rsidR="00EF0B55" w14:paraId="2A6FA2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8BBF9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042C5E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0CAED6B5"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70DAF3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BB583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934AFF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54E8897"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F0B55" w14:paraId="4D5BA7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AD1C04"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E188AC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0E90355B" w14:textId="77777777" w:rsidR="00EF0B55" w:rsidRDefault="0022048D">
            <w:pPr>
              <w:widowControl/>
              <w:snapToGrid w:val="0"/>
              <w:jc w:val="right"/>
              <w:rPr>
                <w:rFonts w:ascii="宋体" w:hAnsi="宋体"/>
                <w:color w:val="000000"/>
                <w:kern w:val="0"/>
                <w:sz w:val="25"/>
                <w:szCs w:val="24"/>
              </w:rPr>
            </w:pPr>
            <w:r>
              <w:rPr>
                <w:rFonts w:ascii="Times New Roman" w:hAnsi="Times New Roman"/>
                <w:color w:val="000000"/>
                <w:kern w:val="0"/>
                <w:sz w:val="25"/>
                <w:szCs w:val="24"/>
              </w:rPr>
              <w:t>52,414,121.37</w:t>
            </w:r>
          </w:p>
        </w:tc>
      </w:tr>
    </w:tbl>
    <w:p w14:paraId="503E188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793F04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1A8E5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4768DC4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CD64E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10.6 投资组合报告附注的其他文字描述部分</w:t>
      </w:r>
    </w:p>
    <w:p w14:paraId="6493517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02A89640"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98D731" w14:textId="77777777" w:rsidR="00EF0B55" w:rsidRDefault="0022048D">
      <w:pPr>
        <w:pStyle w:val="1"/>
        <w:snapToGrid w:val="0"/>
        <w:spacing w:beforeLines="0" w:before="240" w:after="240"/>
        <w:rPr>
          <w:rFonts w:ascii="宋体" w:hAnsi="宋体"/>
          <w:szCs w:val="30"/>
        </w:rPr>
      </w:pPr>
      <w:bookmarkStart w:id="22" w:name="_Toc166054617"/>
      <w:bookmarkStart w:id="23" w:name="_Hlk184220040"/>
      <w:bookmarkEnd w:id="21"/>
      <w:r>
        <w:rPr>
          <w:rFonts w:ascii="Times New Roman" w:hAnsi="Times New Roman"/>
          <w:sz w:val="30"/>
        </w:rPr>
        <w:lastRenderedPageBreak/>
        <w:t>十一、基金的业绩</w:t>
      </w:r>
      <w:bookmarkEnd w:id="22"/>
    </w:p>
    <w:p w14:paraId="3A8420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基金业绩截止日为2024年3月31日，所载财务数据未经审计师审计。</w:t>
      </w:r>
    </w:p>
    <w:p w14:paraId="79D764D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74366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1、本报告期基金份额净值增长率及其与同期业绩比较基准收益率的比较</w:t>
      </w:r>
    </w:p>
    <w:p w14:paraId="4FC65F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1、交银丰晟收益债券A：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EF0B55" w14:paraId="65BB841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3F0065"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3FEE68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14DDA51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16139FC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9E64EA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6363DB3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8DEC86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EF0B55" w14:paraId="095D92A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5C8452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4F126D6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1.30%</w:t>
            </w:r>
          </w:p>
        </w:tc>
        <w:tc>
          <w:tcPr>
            <w:tcW w:w="750" w:type="pct"/>
            <w:tcBorders>
              <w:top w:val="single" w:sz="4" w:space="0" w:color="auto"/>
              <w:left w:val="single" w:sz="4" w:space="0" w:color="auto"/>
              <w:bottom w:val="single" w:sz="4" w:space="0" w:color="auto"/>
              <w:right w:val="single" w:sz="4" w:space="0" w:color="auto"/>
            </w:tcBorders>
            <w:vAlign w:val="center"/>
          </w:tcPr>
          <w:p w14:paraId="10FB8F5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1DB5BED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606607B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543666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5BD471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EF0B55" w14:paraId="54E3EDB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5D0D5B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7A358F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5.88%</w:t>
            </w:r>
          </w:p>
        </w:tc>
        <w:tc>
          <w:tcPr>
            <w:tcW w:w="750" w:type="pct"/>
            <w:tcBorders>
              <w:top w:val="single" w:sz="4" w:space="0" w:color="auto"/>
              <w:left w:val="single" w:sz="4" w:space="0" w:color="auto"/>
              <w:bottom w:val="single" w:sz="4" w:space="0" w:color="auto"/>
              <w:right w:val="single" w:sz="4" w:space="0" w:color="auto"/>
            </w:tcBorders>
            <w:vAlign w:val="center"/>
          </w:tcPr>
          <w:p w14:paraId="70980DB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1453CCA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14:paraId="6DDDDC2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354CA8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3.82%</w:t>
            </w:r>
          </w:p>
        </w:tc>
        <w:tc>
          <w:tcPr>
            <w:tcW w:w="750" w:type="pct"/>
            <w:tcBorders>
              <w:top w:val="single" w:sz="4" w:space="0" w:color="auto"/>
              <w:left w:val="single" w:sz="4" w:space="0" w:color="auto"/>
              <w:bottom w:val="single" w:sz="4" w:space="0" w:color="auto"/>
              <w:right w:val="single" w:sz="4" w:space="0" w:color="auto"/>
            </w:tcBorders>
            <w:vAlign w:val="center"/>
          </w:tcPr>
          <w:p w14:paraId="16EB1DD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F0B55" w14:paraId="59B30A0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23329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C588BA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14:paraId="5BF2FD8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3F51F2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3DB8DF5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85D64C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c>
          <w:tcPr>
            <w:tcW w:w="750" w:type="pct"/>
            <w:tcBorders>
              <w:top w:val="single" w:sz="4" w:space="0" w:color="auto"/>
              <w:left w:val="single" w:sz="4" w:space="0" w:color="auto"/>
              <w:bottom w:val="single" w:sz="4" w:space="0" w:color="auto"/>
              <w:right w:val="single" w:sz="4" w:space="0" w:color="auto"/>
            </w:tcBorders>
            <w:vAlign w:val="center"/>
          </w:tcPr>
          <w:p w14:paraId="31EFDB0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F0B55" w14:paraId="675835F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49501B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36EB7E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5.13%</w:t>
            </w:r>
          </w:p>
        </w:tc>
        <w:tc>
          <w:tcPr>
            <w:tcW w:w="750" w:type="pct"/>
            <w:tcBorders>
              <w:top w:val="single" w:sz="4" w:space="0" w:color="auto"/>
              <w:left w:val="single" w:sz="4" w:space="0" w:color="auto"/>
              <w:bottom w:val="single" w:sz="4" w:space="0" w:color="auto"/>
              <w:right w:val="single" w:sz="4" w:space="0" w:color="auto"/>
            </w:tcBorders>
            <w:vAlign w:val="center"/>
          </w:tcPr>
          <w:p w14:paraId="6991A8C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1405ADC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38E91F1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25B514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3.03%</w:t>
            </w:r>
          </w:p>
        </w:tc>
        <w:tc>
          <w:tcPr>
            <w:tcW w:w="750" w:type="pct"/>
            <w:tcBorders>
              <w:top w:val="single" w:sz="4" w:space="0" w:color="auto"/>
              <w:left w:val="single" w:sz="4" w:space="0" w:color="auto"/>
              <w:bottom w:val="single" w:sz="4" w:space="0" w:color="auto"/>
              <w:right w:val="single" w:sz="4" w:space="0" w:color="auto"/>
            </w:tcBorders>
            <w:vAlign w:val="center"/>
          </w:tcPr>
          <w:p w14:paraId="644933E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EF0B55" w14:paraId="0A2F4A7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1A84B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A63423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2.81%</w:t>
            </w:r>
          </w:p>
        </w:tc>
        <w:tc>
          <w:tcPr>
            <w:tcW w:w="750" w:type="pct"/>
            <w:tcBorders>
              <w:top w:val="single" w:sz="4" w:space="0" w:color="auto"/>
              <w:left w:val="single" w:sz="4" w:space="0" w:color="auto"/>
              <w:bottom w:val="single" w:sz="4" w:space="0" w:color="auto"/>
              <w:right w:val="single" w:sz="4" w:space="0" w:color="auto"/>
            </w:tcBorders>
            <w:vAlign w:val="center"/>
          </w:tcPr>
          <w:p w14:paraId="6CF025F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3EDB42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6125D96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412CB1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2.88%</w:t>
            </w:r>
          </w:p>
        </w:tc>
        <w:tc>
          <w:tcPr>
            <w:tcW w:w="750" w:type="pct"/>
            <w:tcBorders>
              <w:top w:val="single" w:sz="4" w:space="0" w:color="auto"/>
              <w:left w:val="single" w:sz="4" w:space="0" w:color="auto"/>
              <w:bottom w:val="single" w:sz="4" w:space="0" w:color="auto"/>
              <w:right w:val="single" w:sz="4" w:space="0" w:color="auto"/>
            </w:tcBorders>
            <w:vAlign w:val="center"/>
          </w:tcPr>
          <w:p w14:paraId="6007114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EF0B55" w14:paraId="23B5731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34826A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20068D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5.48%</w:t>
            </w:r>
          </w:p>
        </w:tc>
        <w:tc>
          <w:tcPr>
            <w:tcW w:w="750" w:type="pct"/>
            <w:tcBorders>
              <w:top w:val="single" w:sz="4" w:space="0" w:color="auto"/>
              <w:left w:val="single" w:sz="4" w:space="0" w:color="auto"/>
              <w:bottom w:val="single" w:sz="4" w:space="0" w:color="auto"/>
              <w:right w:val="single" w:sz="4" w:space="0" w:color="auto"/>
            </w:tcBorders>
            <w:vAlign w:val="center"/>
          </w:tcPr>
          <w:p w14:paraId="34C3614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677410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68065C6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7145B8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4.17%</w:t>
            </w:r>
          </w:p>
        </w:tc>
        <w:tc>
          <w:tcPr>
            <w:tcW w:w="750" w:type="pct"/>
            <w:tcBorders>
              <w:top w:val="single" w:sz="4" w:space="0" w:color="auto"/>
              <w:left w:val="single" w:sz="4" w:space="0" w:color="auto"/>
              <w:bottom w:val="single" w:sz="4" w:space="0" w:color="auto"/>
              <w:right w:val="single" w:sz="4" w:space="0" w:color="auto"/>
            </w:tcBorders>
            <w:vAlign w:val="center"/>
          </w:tcPr>
          <w:p w14:paraId="4307F7A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F0B55" w14:paraId="563F1FC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30C87D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23</w:t>
            </w:r>
            <w:r>
              <w:rPr>
                <w:rFonts w:ascii="Times New Roman" w:hAnsi="Times New Roman"/>
                <w:color w:val="000000"/>
                <w:kern w:val="0"/>
                <w:sz w:val="25"/>
                <w:szCs w:val="24"/>
              </w:rPr>
              <w:t>日至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2C3A76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6.79%</w:t>
            </w:r>
          </w:p>
        </w:tc>
        <w:tc>
          <w:tcPr>
            <w:tcW w:w="750" w:type="pct"/>
            <w:tcBorders>
              <w:top w:val="single" w:sz="4" w:space="0" w:color="auto"/>
              <w:left w:val="single" w:sz="4" w:space="0" w:color="auto"/>
              <w:bottom w:val="single" w:sz="4" w:space="0" w:color="auto"/>
              <w:right w:val="single" w:sz="4" w:space="0" w:color="auto"/>
            </w:tcBorders>
            <w:vAlign w:val="center"/>
          </w:tcPr>
          <w:p w14:paraId="76F92C7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502D096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6ACFC68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001309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3.75%</w:t>
            </w:r>
          </w:p>
        </w:tc>
        <w:tc>
          <w:tcPr>
            <w:tcW w:w="750" w:type="pct"/>
            <w:tcBorders>
              <w:top w:val="single" w:sz="4" w:space="0" w:color="auto"/>
              <w:left w:val="single" w:sz="4" w:space="0" w:color="auto"/>
              <w:bottom w:val="single" w:sz="4" w:space="0" w:color="auto"/>
              <w:right w:val="single" w:sz="4" w:space="0" w:color="auto"/>
            </w:tcBorders>
            <w:vAlign w:val="center"/>
          </w:tcPr>
          <w:p w14:paraId="08B3012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bl>
    <w:p w14:paraId="4EB24E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2、交银丰晟收益债券C：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EF0B55" w14:paraId="6C6B7EA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974128F"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64F8BF34"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35CC2421"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392D19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27F724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4E4F371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001B43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EF0B55" w14:paraId="1C959C9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E7340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2AC4869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14:paraId="506C9E7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7208BB0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53FC26C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0B6795E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14:paraId="1FEE85F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EF0B55" w14:paraId="1BA9800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A5E4A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141247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5.25%</w:t>
            </w:r>
          </w:p>
        </w:tc>
        <w:tc>
          <w:tcPr>
            <w:tcW w:w="750" w:type="pct"/>
            <w:tcBorders>
              <w:top w:val="single" w:sz="4" w:space="0" w:color="auto"/>
              <w:left w:val="single" w:sz="4" w:space="0" w:color="auto"/>
              <w:bottom w:val="single" w:sz="4" w:space="0" w:color="auto"/>
              <w:right w:val="single" w:sz="4" w:space="0" w:color="auto"/>
            </w:tcBorders>
            <w:vAlign w:val="center"/>
          </w:tcPr>
          <w:p w14:paraId="5B21E97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3F063F1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14:paraId="6DAF2C6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448079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3.19%</w:t>
            </w:r>
          </w:p>
        </w:tc>
        <w:tc>
          <w:tcPr>
            <w:tcW w:w="750" w:type="pct"/>
            <w:tcBorders>
              <w:top w:val="single" w:sz="4" w:space="0" w:color="auto"/>
              <w:left w:val="single" w:sz="4" w:space="0" w:color="auto"/>
              <w:bottom w:val="single" w:sz="4" w:space="0" w:color="auto"/>
              <w:right w:val="single" w:sz="4" w:space="0" w:color="auto"/>
            </w:tcBorders>
            <w:vAlign w:val="center"/>
          </w:tcPr>
          <w:p w14:paraId="0A59374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F0B55" w14:paraId="7453CCF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0A11DA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FFA6CD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sz="4" w:space="0" w:color="auto"/>
              <w:left w:val="single" w:sz="4" w:space="0" w:color="auto"/>
              <w:bottom w:val="single" w:sz="4" w:space="0" w:color="auto"/>
              <w:right w:val="single" w:sz="4" w:space="0" w:color="auto"/>
            </w:tcBorders>
            <w:vAlign w:val="center"/>
          </w:tcPr>
          <w:p w14:paraId="552EA5F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9A296A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6D796F6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6B3EF9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sz="4" w:space="0" w:color="auto"/>
              <w:left w:val="single" w:sz="4" w:space="0" w:color="auto"/>
              <w:bottom w:val="single" w:sz="4" w:space="0" w:color="auto"/>
              <w:right w:val="single" w:sz="4" w:space="0" w:color="auto"/>
            </w:tcBorders>
            <w:vAlign w:val="center"/>
          </w:tcPr>
          <w:p w14:paraId="1FFAD1E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F0B55" w14:paraId="54CF133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DEBA44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409412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4.49%</w:t>
            </w:r>
          </w:p>
        </w:tc>
        <w:tc>
          <w:tcPr>
            <w:tcW w:w="750" w:type="pct"/>
            <w:tcBorders>
              <w:top w:val="single" w:sz="4" w:space="0" w:color="auto"/>
              <w:left w:val="single" w:sz="4" w:space="0" w:color="auto"/>
              <w:bottom w:val="single" w:sz="4" w:space="0" w:color="auto"/>
              <w:right w:val="single" w:sz="4" w:space="0" w:color="auto"/>
            </w:tcBorders>
            <w:vAlign w:val="center"/>
          </w:tcPr>
          <w:p w14:paraId="52166D4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416C433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715C8FA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7006D6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2.39%</w:t>
            </w:r>
          </w:p>
        </w:tc>
        <w:tc>
          <w:tcPr>
            <w:tcW w:w="750" w:type="pct"/>
            <w:tcBorders>
              <w:top w:val="single" w:sz="4" w:space="0" w:color="auto"/>
              <w:left w:val="single" w:sz="4" w:space="0" w:color="auto"/>
              <w:bottom w:val="single" w:sz="4" w:space="0" w:color="auto"/>
              <w:right w:val="single" w:sz="4" w:space="0" w:color="auto"/>
            </w:tcBorders>
            <w:vAlign w:val="center"/>
          </w:tcPr>
          <w:p w14:paraId="36722A5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EF0B55" w14:paraId="41CFD88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721D78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85599F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14:paraId="66FFE58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216501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2D0BD54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3A01EAD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2.27%</w:t>
            </w:r>
          </w:p>
        </w:tc>
        <w:tc>
          <w:tcPr>
            <w:tcW w:w="750" w:type="pct"/>
            <w:tcBorders>
              <w:top w:val="single" w:sz="4" w:space="0" w:color="auto"/>
              <w:left w:val="single" w:sz="4" w:space="0" w:color="auto"/>
              <w:bottom w:val="single" w:sz="4" w:space="0" w:color="auto"/>
              <w:right w:val="single" w:sz="4" w:space="0" w:color="auto"/>
            </w:tcBorders>
            <w:vAlign w:val="center"/>
          </w:tcPr>
          <w:p w14:paraId="769B607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EF0B55" w14:paraId="2D42F02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B3325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E9E6E3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4.84%</w:t>
            </w:r>
          </w:p>
        </w:tc>
        <w:tc>
          <w:tcPr>
            <w:tcW w:w="750" w:type="pct"/>
            <w:tcBorders>
              <w:top w:val="single" w:sz="4" w:space="0" w:color="auto"/>
              <w:left w:val="single" w:sz="4" w:space="0" w:color="auto"/>
              <w:bottom w:val="single" w:sz="4" w:space="0" w:color="auto"/>
              <w:right w:val="single" w:sz="4" w:space="0" w:color="auto"/>
            </w:tcBorders>
            <w:vAlign w:val="center"/>
          </w:tcPr>
          <w:p w14:paraId="5EF752E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1344BB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5E49CFF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0BB6BA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3.53%</w:t>
            </w:r>
          </w:p>
        </w:tc>
        <w:tc>
          <w:tcPr>
            <w:tcW w:w="750" w:type="pct"/>
            <w:tcBorders>
              <w:top w:val="single" w:sz="4" w:space="0" w:color="auto"/>
              <w:left w:val="single" w:sz="4" w:space="0" w:color="auto"/>
              <w:bottom w:val="single" w:sz="4" w:space="0" w:color="auto"/>
              <w:right w:val="single" w:sz="4" w:space="0" w:color="auto"/>
            </w:tcBorders>
            <w:vAlign w:val="center"/>
          </w:tcPr>
          <w:p w14:paraId="411DBF5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F0B55" w14:paraId="3A84F40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04102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23</w:t>
            </w:r>
            <w:r>
              <w:rPr>
                <w:rFonts w:ascii="Times New Roman" w:hAnsi="Times New Roman"/>
                <w:color w:val="000000"/>
                <w:kern w:val="0"/>
                <w:sz w:val="25"/>
                <w:szCs w:val="24"/>
              </w:rPr>
              <w:t>日至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2ECE8B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6.40%</w:t>
            </w:r>
          </w:p>
        </w:tc>
        <w:tc>
          <w:tcPr>
            <w:tcW w:w="750" w:type="pct"/>
            <w:tcBorders>
              <w:top w:val="single" w:sz="4" w:space="0" w:color="auto"/>
              <w:left w:val="single" w:sz="4" w:space="0" w:color="auto"/>
              <w:bottom w:val="single" w:sz="4" w:space="0" w:color="auto"/>
              <w:right w:val="single" w:sz="4" w:space="0" w:color="auto"/>
            </w:tcBorders>
            <w:vAlign w:val="center"/>
          </w:tcPr>
          <w:p w14:paraId="15A9473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1A1EF24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3041AF6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2F347A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3.36%</w:t>
            </w:r>
          </w:p>
        </w:tc>
        <w:tc>
          <w:tcPr>
            <w:tcW w:w="750" w:type="pct"/>
            <w:tcBorders>
              <w:top w:val="single" w:sz="4" w:space="0" w:color="auto"/>
              <w:left w:val="single" w:sz="4" w:space="0" w:color="auto"/>
              <w:bottom w:val="single" w:sz="4" w:space="0" w:color="auto"/>
              <w:right w:val="single" w:sz="4" w:space="0" w:color="auto"/>
            </w:tcBorders>
            <w:vAlign w:val="center"/>
          </w:tcPr>
          <w:p w14:paraId="2A0FC85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bl>
    <w:p w14:paraId="19920B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3、交银丰晟收益债券D：</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EF0B55" w14:paraId="6B4FDE8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2CE3E5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0D3ADB0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5F1C808"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79393A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3934E3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452CA62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CEF81B5"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EF0B55" w14:paraId="184CCD6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19092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45821AA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1.30%</w:t>
            </w:r>
          </w:p>
        </w:tc>
        <w:tc>
          <w:tcPr>
            <w:tcW w:w="750" w:type="pct"/>
            <w:tcBorders>
              <w:top w:val="single" w:sz="4" w:space="0" w:color="auto"/>
              <w:left w:val="single" w:sz="4" w:space="0" w:color="auto"/>
              <w:bottom w:val="single" w:sz="4" w:space="0" w:color="auto"/>
              <w:right w:val="single" w:sz="4" w:space="0" w:color="auto"/>
            </w:tcBorders>
            <w:vAlign w:val="center"/>
          </w:tcPr>
          <w:p w14:paraId="2B44622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975B5C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33CB5DB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BD65DB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9D700F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EF0B55" w14:paraId="15423CB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57017A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847F62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14:paraId="0BB9F3A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7C5393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14:paraId="642FD96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1AB32A4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666A40B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14:paraId="291F4E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注：本基金的业绩比较基准为中债综合全价指数。</w:t>
      </w:r>
    </w:p>
    <w:p w14:paraId="311A572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5A8D78BC" w14:textId="77777777" w:rsidR="00EF0B55" w:rsidRDefault="0022048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交银施罗德丰晟收益债券型证券投资基金</w:t>
      </w:r>
    </w:p>
    <w:p w14:paraId="005DA5C8" w14:textId="77777777" w:rsidR="00EF0B55" w:rsidRDefault="0022048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23ADA933" w14:textId="77777777" w:rsidR="00EF0B55" w:rsidRDefault="0022048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（2018年5月23日至2024年03月31日）</w:t>
      </w:r>
    </w:p>
    <w:p w14:paraId="5840BE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1、交银丰晟收益债券A：</w:t>
      </w:r>
    </w:p>
    <w:p w14:paraId="46CDAD5A" w14:textId="26E28396" w:rsidR="00EF0B55" w:rsidRDefault="00ED377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0B97A32E" wp14:editId="23163B02">
            <wp:extent cx="5581650" cy="6096000"/>
            <wp:effectExtent l="0" t="0" r="0" b="0"/>
            <wp:docPr id="5"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6096000"/>
                    </a:xfrm>
                    <a:prstGeom prst="rect">
                      <a:avLst/>
                    </a:prstGeom>
                    <a:noFill/>
                    <a:ln>
                      <a:noFill/>
                    </a:ln>
                  </pic:spPr>
                </pic:pic>
              </a:graphicData>
            </a:graphic>
          </wp:inline>
        </w:drawing>
      </w:r>
    </w:p>
    <w:p w14:paraId="5B8035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2、交银丰晟收益债券C：</w:t>
      </w:r>
    </w:p>
    <w:p w14:paraId="608122DF" w14:textId="0ED0D171" w:rsidR="00EF0B55" w:rsidRDefault="00ED377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535BE5BD" wp14:editId="2FC40A6D">
            <wp:extent cx="5581650" cy="609600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6096000"/>
                    </a:xfrm>
                    <a:prstGeom prst="rect">
                      <a:avLst/>
                    </a:prstGeom>
                    <a:noFill/>
                    <a:ln>
                      <a:noFill/>
                    </a:ln>
                  </pic:spPr>
                </pic:pic>
              </a:graphicData>
            </a:graphic>
          </wp:inline>
        </w:drawing>
      </w:r>
    </w:p>
    <w:p w14:paraId="5523A05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3、交银丰晟收益债券D：</w:t>
      </w:r>
    </w:p>
    <w:p w14:paraId="52CB6048" w14:textId="24D47B71" w:rsidR="00EF0B55" w:rsidRDefault="00ED377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07896F30" wp14:editId="7AE7AC93">
            <wp:extent cx="5581650" cy="609600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6096000"/>
                    </a:xfrm>
                    <a:prstGeom prst="rect">
                      <a:avLst/>
                    </a:prstGeom>
                    <a:noFill/>
                    <a:ln>
                      <a:noFill/>
                    </a:ln>
                  </pic:spPr>
                </pic:pic>
              </a:graphicData>
            </a:graphic>
          </wp:inline>
        </w:drawing>
      </w:r>
    </w:p>
    <w:p w14:paraId="5F397D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14:paraId="3B9DE9E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2、本基金自2023年12月19日起，开始销售D类份额，投资者提交的申购申请于2023年12月20日被确认并将有效份额登记在册。</w:t>
      </w:r>
    </w:p>
    <w:p w14:paraId="3423880E"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22756F4" w14:textId="77777777" w:rsidR="00EF0B55" w:rsidRDefault="0022048D">
      <w:pPr>
        <w:pStyle w:val="1"/>
        <w:snapToGrid w:val="0"/>
        <w:spacing w:beforeLines="0" w:before="240" w:after="240"/>
        <w:rPr>
          <w:rFonts w:ascii="宋体" w:hAnsi="宋体"/>
          <w:szCs w:val="30"/>
        </w:rPr>
      </w:pPr>
      <w:bookmarkStart w:id="24" w:name="_Toc166054618"/>
      <w:bookmarkStart w:id="25" w:name="_Hlk184220045"/>
      <w:bookmarkEnd w:id="23"/>
      <w:r>
        <w:rPr>
          <w:rFonts w:ascii="Times New Roman" w:hAnsi="Times New Roman"/>
          <w:sz w:val="30"/>
        </w:rPr>
        <w:lastRenderedPageBreak/>
        <w:t>十二、基金的财产</w:t>
      </w:r>
      <w:bookmarkEnd w:id="24"/>
    </w:p>
    <w:p w14:paraId="4A3FAE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081AFD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0E858F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34DE4E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F7B54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4960B1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D7AF8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11AC58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C01D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42D1FB8"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226A8CA" w14:textId="77777777" w:rsidR="00EF0B55" w:rsidRDefault="0022048D">
      <w:pPr>
        <w:pStyle w:val="1"/>
        <w:snapToGrid w:val="0"/>
        <w:spacing w:beforeLines="0" w:before="240" w:after="240"/>
        <w:rPr>
          <w:rFonts w:ascii="宋体" w:hAnsi="宋体"/>
          <w:szCs w:val="30"/>
        </w:rPr>
      </w:pPr>
      <w:bookmarkStart w:id="26" w:name="_Toc166054619"/>
      <w:bookmarkStart w:id="27" w:name="_Hlk184220052"/>
      <w:bookmarkEnd w:id="25"/>
      <w:r>
        <w:rPr>
          <w:rFonts w:ascii="Times New Roman" w:hAnsi="Times New Roman"/>
          <w:sz w:val="30"/>
        </w:rPr>
        <w:lastRenderedPageBreak/>
        <w:t>十三、基金资产的估值</w:t>
      </w:r>
      <w:bookmarkEnd w:id="26"/>
    </w:p>
    <w:p w14:paraId="60262A2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332BA2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2BFF8F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062BBF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5763129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0ECE522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1C3172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（1）交易所上市交易或挂牌转让的固定收益品种（本合同另有规定的除外），选取估值日第三方估值机构提供的相应品种对应的估值净价估值，具体估值机构由基金管理人与托管人另行协商约定；</w:t>
      </w:r>
    </w:p>
    <w:p w14:paraId="300F54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（2）交易所上市实行全价交易的债券（可转债除外），选取第三方估值机构提供的估值全价减去估值全价中所含的债券（税后）应收利息得到的净价进行估值。</w:t>
      </w:r>
    </w:p>
    <w:p w14:paraId="571989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（3）交易所上市不存在活跃市场的有价证券，采用估值技术确定公允价值。交易所上市的资产支持证券，采用估值技术确定公允价值，在估值技术难以可靠计量公允价值的情况下，按成本估值。</w:t>
      </w:r>
    </w:p>
    <w:p w14:paraId="09B87A0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052F0B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3、全国银行间债券市场交易的债券、资产支持证券等固定收益品种，以第三方估值机构提供的价格数据估值；对银行间市场未上市，且第三方估值机构未提供估值价格的债券，按成本估值。</w:t>
      </w:r>
    </w:p>
    <w:p w14:paraId="78D74C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4、中小企业私募债券采用估值技术确定公允价值，估值技术难以确定和计量其公允价值的，按成本估值。</w:t>
      </w:r>
    </w:p>
    <w:p w14:paraId="76B061D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14:paraId="67A570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6、如有确凿证据表明按上述方法进行估值不能客观反映其公允价值的，基金管理人可根据具体情况与基金托管人商定后，按最能反映公允价值的方法估值。</w:t>
      </w:r>
    </w:p>
    <w:p w14:paraId="50E76A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7、摆动定价机制：当本基金发生大额申购或赎回情形时，基金管理人可以对本基金采用摆动定价机制，以确保基金估值的公平性。</w:t>
      </w:r>
    </w:p>
    <w:p w14:paraId="59000ED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8、相关法律法规以及监管部门有强制规定的，从其规定。如有新增事项，按法律法规以及监管部门最新规定估值。</w:t>
      </w:r>
    </w:p>
    <w:p w14:paraId="7245A7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52CDEC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56AF3B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0314D70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518AD5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基金管理人于每个工作日分别计算各类基金份额的基金资产净值及基金份额净值，并按规定公告。如遇特殊情况，经中国证监会同意，可以适当延迟计算或公告。</w:t>
      </w:r>
    </w:p>
    <w:p w14:paraId="562210A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3E66CB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（五）估值错误的处理</w:t>
      </w:r>
    </w:p>
    <w:p w14:paraId="69E5F80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36692A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B8DFB3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10EBD98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4304FAD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上述估值错误的主要类型包括但不限于：资料申报差错、数据传输差错、数据计算差错、系统故障差错、下达指令差错等。</w:t>
      </w:r>
    </w:p>
    <w:p w14:paraId="3116F7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923849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2A32A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08AF4F9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88D841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7811223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45AC3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690D6A0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42A8FB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67BA25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6B4531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587A5E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（3）根据估值错误处理原则或当事人协商的方法由估值错误的责任方进行更正和赔偿损失；</w:t>
      </w:r>
    </w:p>
    <w:p w14:paraId="697834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4375A4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1344A2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4B211EB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50A311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（3）当基金份额净值计算差错给基金和基金份额持有人造成损失需要进行赔偿时，基金管理人和基金托管人应根据实际情况界定双方承担的责任，经确认后按以下条款进行赔偿：</w:t>
      </w:r>
    </w:p>
    <w:p w14:paraId="1AF5FE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A3B4F3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05BAD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80F854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14:paraId="66786D7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（4）前述内容如法律法规或者监管部门另有规定的，从其规定。如果行业另有通行做法，双方当事人应本着平等和保护基金份额持有人利益的原则进行协商。</w:t>
      </w:r>
    </w:p>
    <w:p w14:paraId="350BC4A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1F83CF0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1、基金投资所涉及的证券交易市场遇法定节假日或因其他原因暂停营业时；</w:t>
      </w:r>
    </w:p>
    <w:p w14:paraId="1EAAE8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1DB1304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3196C6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003D7BC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51C2231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工作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14:paraId="1FC8D9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7756DCB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14:paraId="5A5F22C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登记结算公司及存款银行等第三方机构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EC586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14:paraId="4AC3F4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5A83A1E1"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E610C1" w14:textId="77777777" w:rsidR="00EF0B55" w:rsidRDefault="0022048D">
      <w:pPr>
        <w:pStyle w:val="1"/>
        <w:snapToGrid w:val="0"/>
        <w:spacing w:beforeLines="0" w:before="240" w:after="240"/>
        <w:rPr>
          <w:rFonts w:ascii="宋体" w:hAnsi="宋体"/>
          <w:szCs w:val="30"/>
        </w:rPr>
      </w:pPr>
      <w:bookmarkStart w:id="28" w:name="_Toc166054620"/>
      <w:bookmarkStart w:id="29" w:name="_Hlk184220059"/>
      <w:bookmarkStart w:id="30" w:name="OLE_LINK25"/>
      <w:bookmarkEnd w:id="27"/>
      <w:r>
        <w:rPr>
          <w:rFonts w:ascii="Times New Roman" w:hAnsi="Times New Roman"/>
          <w:sz w:val="30"/>
        </w:rPr>
        <w:lastRenderedPageBreak/>
        <w:t>十四、基金收益与分配</w:t>
      </w:r>
      <w:bookmarkEnd w:id="28"/>
    </w:p>
    <w:p w14:paraId="431D71B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5B9F41E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07B03A6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0EBC273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6339B84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86079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1、本基金在封闭期内，收益分配应遵循下列原则：</w:t>
      </w:r>
    </w:p>
    <w:p w14:paraId="6815A25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至少1次，每份基金份额每次分配比例不得低于收益分配基准日每份基金份额可供分配利润的90%，若《基金合同》生效不满3个月可不进行收益分配；</w:t>
      </w:r>
    </w:p>
    <w:p w14:paraId="2100D7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（2）本基金收益分配方式仅为现金分红一种收益分配方式，不进行红利再投资；</w:t>
      </w:r>
    </w:p>
    <w:p w14:paraId="385D7CB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（3）基金收益分配后任一类基金份额净值不能低于面值，即基金收益分配基准日的任一类基金份额净值减去该类每单位基金份额收益分配金额后不能低于面值；</w:t>
      </w:r>
    </w:p>
    <w:p w14:paraId="7586D6B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（4）由于本基金A类基金份额不收取销售服务费，C类基金份额收取销售服务费，各基金份额类别对应的可供分配利润将有所不同，本基金同一类别的每份基金份额享有同等分配权；</w:t>
      </w:r>
    </w:p>
    <w:p w14:paraId="50E820F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74449E2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2、本基金转为开放式运作后，收益分配应遵循下列原则：</w:t>
      </w:r>
    </w:p>
    <w:p w14:paraId="07735D5D" w14:textId="681CB602"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w:t>
      </w:r>
      <w:r w:rsidR="002A14E6">
        <w:rPr>
          <w:rFonts w:ascii="宋体" w:hAnsi="宋体" w:hint="eastAsia"/>
          <w:sz w:val="24"/>
        </w:rPr>
        <w:t>、</w:t>
      </w:r>
      <w:r>
        <w:rPr>
          <w:rFonts w:ascii="宋体" w:hAnsi="宋体"/>
          <w:sz w:val="24"/>
        </w:rPr>
        <w:t>D类基金份额</w:t>
      </w:r>
      <w:r w:rsidR="002A14E6">
        <w:rPr>
          <w:rFonts w:ascii="宋体" w:hAnsi="宋体" w:hint="eastAsia"/>
          <w:sz w:val="24"/>
        </w:rPr>
        <w:t>和E</w:t>
      </w:r>
      <w:r w:rsidR="002A14E6">
        <w:rPr>
          <w:rFonts w:ascii="宋体" w:hAnsi="宋体"/>
          <w:sz w:val="24"/>
        </w:rPr>
        <w:t>类基金份额</w:t>
      </w:r>
      <w:r>
        <w:rPr>
          <w:rFonts w:ascii="宋体" w:hAnsi="宋体"/>
          <w:sz w:val="24"/>
        </w:rPr>
        <w:t>不收取销售服务费，C类基金份额收取销售服务费，各基金份额类别对应的可供分配利润将有所不同；</w:t>
      </w:r>
    </w:p>
    <w:p w14:paraId="6FD178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（2）若基金封闭期结束转为开放式运作后不满3个月可不进行收益分配；</w:t>
      </w:r>
    </w:p>
    <w:p w14:paraId="520A82CD" w14:textId="6444D9B0"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00963092">
        <w:rPr>
          <w:rFonts w:ascii="宋体" w:hAnsi="宋体" w:hint="eastAsia"/>
          <w:sz w:val="24"/>
        </w:rPr>
        <w:t>各</w:t>
      </w:r>
      <w:r>
        <w:rPr>
          <w:rFonts w:ascii="宋体" w:hAnsi="宋体"/>
          <w:sz w:val="24"/>
        </w:rPr>
        <w:t>类基金份</w:t>
      </w:r>
      <w:r>
        <w:rPr>
          <w:rFonts w:ascii="宋体" w:hAnsi="宋体"/>
          <w:sz w:val="24"/>
        </w:rPr>
        <w:lastRenderedPageBreak/>
        <w:t>额分别选择不同的收益分配方式；</w:t>
      </w:r>
    </w:p>
    <w:p w14:paraId="7848DA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14:paraId="1DFAD1E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（5）本基金同一类别的每份基金份额享有同等分配权；</w:t>
      </w:r>
    </w:p>
    <w:p w14:paraId="3A5372D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2E699FD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2525A6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3076A9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5351C87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0383D70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73DC9C3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71624CD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632B946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本基金转为开放式运作后，当投资者的现金红利小于一定金额，不足以支付银行转账或其他手续费用时，登记机构可将基金份额持有人的现金红利自动转为相应类别的基金份额。红利再投资的计算方法，依照《业务规则》执行。</w:t>
      </w:r>
    </w:p>
    <w:p w14:paraId="19E9E0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3C6401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6397CA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5150CA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237579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6CC7C2E4"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68CA7E1" w14:textId="77777777" w:rsidR="00EF0B55" w:rsidRDefault="0022048D">
      <w:pPr>
        <w:pStyle w:val="1"/>
        <w:snapToGrid w:val="0"/>
        <w:spacing w:beforeLines="0" w:before="240" w:after="240"/>
        <w:rPr>
          <w:rFonts w:ascii="宋体" w:hAnsi="宋体"/>
          <w:szCs w:val="30"/>
        </w:rPr>
      </w:pPr>
      <w:bookmarkStart w:id="31" w:name="_Toc166054621"/>
      <w:bookmarkStart w:id="32" w:name="_Hlk184220065"/>
      <w:bookmarkEnd w:id="29"/>
      <w:bookmarkEnd w:id="30"/>
      <w:r>
        <w:rPr>
          <w:rFonts w:ascii="Times New Roman" w:hAnsi="Times New Roman"/>
          <w:sz w:val="30"/>
        </w:rPr>
        <w:lastRenderedPageBreak/>
        <w:t>十五、基金的费用与税收</w:t>
      </w:r>
      <w:bookmarkEnd w:id="31"/>
    </w:p>
    <w:p w14:paraId="1D1130B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7879FD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690D065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33B98A7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700163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00486E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75CF9A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385F17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331CF7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795C7C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6C341B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612C79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980E3E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20B4A15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4C9D45F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4891EEA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217D089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54BF11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410B44A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与基金托管人核对一致后，由基金托管人按照与基金管理人协商一致的方式自动于次月首日起5个工作日内从基金财产中一次性支付给基金管理人，若遇法定节假日、休息日或不可抗力致使无法按时支付的，支付日期顺延。</w:t>
      </w:r>
    </w:p>
    <w:p w14:paraId="6855A9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394B4D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本基金的托管费按前一日基金资产净值的0.1%的年费率计提。托管费的计算方法如下：</w:t>
      </w:r>
    </w:p>
    <w:p w14:paraId="18D8B4A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4C977A4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6A3BE40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6A84E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与基金托管人核对一致后，由基金托管人按照与基金管理人协商一致的方式自动于次月首日起5个工作日内从基金财产中一次性支付给基金托管人，若遇法定节假日、休息日或不可抗力致使无法按时支付的，支付日期顺延。</w:t>
      </w:r>
    </w:p>
    <w:p w14:paraId="51D613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1CBF95C6" w14:textId="4060274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w:t>
      </w:r>
      <w:r w:rsidR="00904D21">
        <w:rPr>
          <w:rFonts w:ascii="宋体" w:hAnsi="宋体" w:hint="eastAsia"/>
          <w:sz w:val="24"/>
        </w:rPr>
        <w:t>、</w:t>
      </w:r>
      <w:r>
        <w:rPr>
          <w:rFonts w:ascii="宋体" w:hAnsi="宋体"/>
          <w:sz w:val="24"/>
        </w:rPr>
        <w:t>D类基金份额</w:t>
      </w:r>
      <w:r w:rsidR="00904D21" w:rsidRPr="00904D21">
        <w:rPr>
          <w:rFonts w:ascii="宋体" w:hAnsi="宋体" w:hint="eastAsia"/>
          <w:sz w:val="24"/>
        </w:rPr>
        <w:t>和E类基金份额</w:t>
      </w:r>
      <w:r>
        <w:rPr>
          <w:rFonts w:ascii="宋体" w:hAnsi="宋体"/>
          <w:sz w:val="24"/>
        </w:rPr>
        <w:t>不收取销售服务费，C类基金份额的销售服务费按前一日C类基金资产净值的0.6%年费率计提。计算方法如下：</w:t>
      </w:r>
    </w:p>
    <w:p w14:paraId="7CE180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14:paraId="71FF47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6973E8E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1EBBEC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14:paraId="2A7EBF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5B7C26A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44E3F9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8E7E1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72C097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6180CF4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259BF50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6B134C5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5E6517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6750C31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2059FCD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37466F2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2422B5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629A18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履行适当的程序后调整基金管理费率、基金托管费率和C类基金份额销售服务费率等相关费率。降低C类基金份额销售服务费率，无须召开基金份额持有人大会。基金管理人必须依照有关规定于新的费率实施日前在指定媒介上刊登公告。</w:t>
      </w:r>
    </w:p>
    <w:p w14:paraId="4CAF177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74237D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109298D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62FDC44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3C5F814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14:paraId="36F058F1"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D90D398" w14:textId="77777777" w:rsidR="00EF0B55" w:rsidRDefault="0022048D">
      <w:pPr>
        <w:pStyle w:val="1"/>
        <w:snapToGrid w:val="0"/>
        <w:spacing w:beforeLines="0" w:before="240" w:after="240"/>
        <w:rPr>
          <w:rFonts w:ascii="宋体" w:hAnsi="宋体"/>
          <w:szCs w:val="30"/>
        </w:rPr>
      </w:pPr>
      <w:bookmarkStart w:id="33" w:name="_Toc166054622"/>
      <w:bookmarkStart w:id="34" w:name="_Hlk184220070"/>
      <w:bookmarkEnd w:id="32"/>
      <w:r>
        <w:rPr>
          <w:rFonts w:ascii="Times New Roman" w:hAnsi="Times New Roman"/>
          <w:sz w:val="30"/>
        </w:rPr>
        <w:lastRenderedPageBreak/>
        <w:t>十六、基金的会计与审计</w:t>
      </w:r>
      <w:bookmarkEnd w:id="33"/>
    </w:p>
    <w:p w14:paraId="781230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6CEDE0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7CDBCD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7669D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56ABC20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163F19E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0DD07A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120A58B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31F9DEB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59E1C67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458838C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15F6C07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3642B2CE"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D2624D" w14:textId="77777777" w:rsidR="00EF0B55" w:rsidRDefault="0022048D">
      <w:pPr>
        <w:pStyle w:val="1"/>
        <w:snapToGrid w:val="0"/>
        <w:spacing w:beforeLines="0" w:before="240" w:after="240"/>
        <w:rPr>
          <w:rFonts w:ascii="宋体" w:hAnsi="宋体"/>
          <w:szCs w:val="30"/>
        </w:rPr>
      </w:pPr>
      <w:bookmarkStart w:id="35" w:name="_Toc166054623"/>
      <w:bookmarkStart w:id="36" w:name="_Hlk184220075"/>
      <w:bookmarkEnd w:id="34"/>
      <w:r>
        <w:rPr>
          <w:rFonts w:ascii="Times New Roman" w:hAnsi="Times New Roman"/>
          <w:sz w:val="30"/>
        </w:rPr>
        <w:lastRenderedPageBreak/>
        <w:t>十七、基金的信息披露</w:t>
      </w:r>
      <w:bookmarkEnd w:id="35"/>
    </w:p>
    <w:p w14:paraId="1D11F92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5590AE4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2A79BFF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1BC6441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202F0CA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8047A5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6ED747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53F14E3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B533C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7354FD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1E8E1A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4CA320F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293478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（四）本基金公开披露的信息应采用中文文本。同时采用外文文本的，基金信息披露义务人应保证不同文本的内容一致。不同文本之间发生歧义的，以中文文本为准。</w:t>
      </w:r>
    </w:p>
    <w:p w14:paraId="5D07441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7ACD0B9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274362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5F1DE1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87350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14:paraId="1AD58B5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D4FF09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4ECD6B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9ABACF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0A17887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3DB76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55679A1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028E2A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22FCD1E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580CB49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14:paraId="7A795F31" w14:textId="43CFAFAD"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次日，通过指定网站、基金销售机构网站或者营业网点分别披露开放日的A类基金份额、C类基金份额</w:t>
      </w:r>
      <w:r w:rsidR="00904D21">
        <w:rPr>
          <w:rFonts w:ascii="宋体" w:hAnsi="宋体" w:hint="eastAsia"/>
          <w:sz w:val="24"/>
        </w:rPr>
        <w:t>、</w:t>
      </w:r>
      <w:r>
        <w:rPr>
          <w:rFonts w:ascii="宋体" w:hAnsi="宋体"/>
          <w:sz w:val="24"/>
        </w:rPr>
        <w:t>D类基金份额</w:t>
      </w:r>
      <w:r w:rsidR="00904D21" w:rsidRPr="00904D21">
        <w:rPr>
          <w:rFonts w:ascii="宋体" w:hAnsi="宋体" w:hint="eastAsia"/>
          <w:sz w:val="24"/>
        </w:rPr>
        <w:t>和E类基金份额</w:t>
      </w:r>
      <w:r>
        <w:rPr>
          <w:rFonts w:ascii="宋体" w:hAnsi="宋体"/>
          <w:sz w:val="24"/>
        </w:rPr>
        <w:t>所对应的基金份额净值和基金份额累计净值。</w:t>
      </w:r>
    </w:p>
    <w:p w14:paraId="1D45E68B" w14:textId="1193545F"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基金管理人应当在不晚于半年度和年度最后一日的次日，在指定网站披露半年度和年度最后一日的A类基金份额、C类基金份额</w:t>
      </w:r>
      <w:r w:rsidR="00904D21">
        <w:rPr>
          <w:rFonts w:ascii="宋体" w:hAnsi="宋体" w:hint="eastAsia"/>
          <w:sz w:val="24"/>
        </w:rPr>
        <w:t>、</w:t>
      </w:r>
      <w:r>
        <w:rPr>
          <w:rFonts w:ascii="宋体" w:hAnsi="宋体"/>
          <w:sz w:val="24"/>
        </w:rPr>
        <w:t>D类基金份额</w:t>
      </w:r>
      <w:r w:rsidR="00904D21" w:rsidRPr="00904D21">
        <w:rPr>
          <w:rFonts w:ascii="宋体" w:hAnsi="宋体" w:hint="eastAsia"/>
          <w:sz w:val="24"/>
        </w:rPr>
        <w:t>和E类基金份额</w:t>
      </w:r>
      <w:r>
        <w:rPr>
          <w:rFonts w:ascii="宋体" w:hAnsi="宋体"/>
          <w:sz w:val="24"/>
        </w:rPr>
        <w:t>所对应的基金份额净值和基金份额累计净值。</w:t>
      </w:r>
    </w:p>
    <w:p w14:paraId="1DAA333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257AD0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3A4F3B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1A2760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3AF880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3002D5C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77D00D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03ABA1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运作期间，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A7245D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本基金转为开放式运作后，基金管理人应当在基金年度报告和中期报告中披露基金组合资产情况及其流动性风险分析等。</w:t>
      </w:r>
    </w:p>
    <w:p w14:paraId="3CEE4E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1D4B44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6B83CD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前款所称重大事件，是指可能对基金份额持有人权益或者基金份额的价格产生重大影响的下列事件：</w:t>
      </w:r>
    </w:p>
    <w:p w14:paraId="3A61A08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4E58AC7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ADD45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（3）转换基金运作方式（本基金基金合同生效满两年直接转为开放式运作除外）、基金合并；</w:t>
      </w:r>
    </w:p>
    <w:p w14:paraId="55BB15D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0540D7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39D1A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5D0000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642FC8D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1838533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43DD5BE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1E1B1D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115267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215314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B4181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6B0ABD1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160606B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003B38E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（17）本基金开始办理申购、赎回；</w:t>
      </w:r>
    </w:p>
    <w:p w14:paraId="7B019F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086103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0CD2AA0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8D13B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5DD965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781F71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69439E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（24）本基金转为开放式运作后发生涉及基金申购、赎回事项调整或潜在影响投资者赎回等重大事项；</w:t>
      </w:r>
    </w:p>
    <w:p w14:paraId="621474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（25）基金信息披露义务人认为可能对基金份额持有人权益或者基金份额的价格产生重大影响的其他事项或中国证监会规定的其他事项。</w:t>
      </w:r>
    </w:p>
    <w:p w14:paraId="45B8E4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6132E2A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82E5E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25F351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029D3E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65806F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10、实施侧袋机制期间的信息披露</w:t>
      </w:r>
    </w:p>
    <w:p w14:paraId="0B3357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4BA02C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14:paraId="5AD6FD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4B9359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12、基金投资资产支持证券情况</w:t>
      </w:r>
    </w:p>
    <w:p w14:paraId="504A164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报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545B0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13、基金投资中小企业私募债情况</w:t>
      </w:r>
    </w:p>
    <w:p w14:paraId="1DA36B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投资中小企业私募债券后2个交易日内，在中国证监会指定媒介披露所投资中小企业私募债券的名称、数量、期限、收益率等信息。基金管理人应当在基金年度报告、基金中期报告和基金季度报告等定期报告和招募说明书等文件中披露中小企业私募债券的投资情况。</w:t>
      </w:r>
    </w:p>
    <w:p w14:paraId="215DBB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14:paraId="23E446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07636A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0C00775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08F029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006340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ABF55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93A95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77D610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w:t>
      </w:r>
      <w:r>
        <w:rPr>
          <w:rFonts w:ascii="宋体" w:hAnsi="宋体"/>
          <w:sz w:val="24"/>
        </w:rPr>
        <w:lastRenderedPageBreak/>
        <w:t>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000A8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5459B1F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100C5E1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458275A4"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E7F3E3" w14:textId="77777777" w:rsidR="00EF0B55" w:rsidRDefault="0022048D">
      <w:pPr>
        <w:pStyle w:val="1"/>
        <w:snapToGrid w:val="0"/>
        <w:spacing w:beforeLines="0" w:before="240" w:after="240"/>
        <w:rPr>
          <w:rFonts w:ascii="宋体" w:hAnsi="宋体"/>
          <w:szCs w:val="30"/>
        </w:rPr>
      </w:pPr>
      <w:bookmarkStart w:id="37" w:name="_Toc166054624"/>
      <w:bookmarkEnd w:id="36"/>
      <w:r>
        <w:rPr>
          <w:rFonts w:ascii="Times New Roman" w:hAnsi="Times New Roman"/>
          <w:sz w:val="30"/>
        </w:rPr>
        <w:lastRenderedPageBreak/>
        <w:t>十八、侧袋机制</w:t>
      </w:r>
      <w:bookmarkEnd w:id="37"/>
    </w:p>
    <w:p w14:paraId="3584271A"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29DCEFE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BEC5A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55586AFD"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3C0D563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6B20BF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5782109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33C284F6"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487395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54007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545FF9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0105C13E"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54D31DB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42271C04"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716AAF6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14:paraId="24D7D61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073DEC55"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6DA02B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34B2D2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B35029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4BB19F04" w14:textId="77777777" w:rsidR="00EF0B55" w:rsidRDefault="0022048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782E4A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22F949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5084E2C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14FDBA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4ED520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F70E8C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299FEFE5"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77C2DB8F" w14:textId="77777777" w:rsidR="00EF0B55" w:rsidRDefault="0022048D">
      <w:pPr>
        <w:pStyle w:val="1"/>
        <w:snapToGrid w:val="0"/>
        <w:spacing w:beforeLines="0" w:before="240" w:after="240"/>
        <w:rPr>
          <w:rFonts w:ascii="宋体" w:hAnsi="宋体"/>
          <w:szCs w:val="30"/>
        </w:rPr>
      </w:pPr>
      <w:bookmarkStart w:id="38" w:name="_Toc166054625"/>
      <w:r>
        <w:rPr>
          <w:rFonts w:ascii="Times New Roman" w:hAnsi="Times New Roman"/>
          <w:sz w:val="30"/>
        </w:rPr>
        <w:lastRenderedPageBreak/>
        <w:t>十九、风险揭示</w:t>
      </w:r>
      <w:bookmarkEnd w:id="38"/>
    </w:p>
    <w:p w14:paraId="096E061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CEBA39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56F014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5344C1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0FB769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A64BE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5F5493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3E07DCC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4EAD0D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5FF4F0E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52CA1D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2EDB1D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271155E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F1A0C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0556264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550789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1D282D3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5B8B3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37F7CC7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w:t>
      </w:r>
      <w:r>
        <w:rPr>
          <w:rFonts w:ascii="宋体" w:hAnsi="宋体"/>
          <w:sz w:val="24"/>
        </w:rPr>
        <w:lastRenderedPageBreak/>
        <w:t>财务状况、市场前景、行业竞争、人员素质等，这些都会导致企业的盈利发生变化。虽然基金可以通过投资多样化来分散这种非系统风险，但不能完全规避。</w:t>
      </w:r>
    </w:p>
    <w:p w14:paraId="386AC54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31EC7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7EC80A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B359E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3310C31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基金转为开放式运作后，基金资产不能迅速转变成现金，或者不能应付可能出现的投资者大额赎回的风险。</w:t>
      </w:r>
    </w:p>
    <w:p w14:paraId="25184B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在本基金转为开放式运作后，在交易过程中，可能会发生巨额赎回的情形。巨额赎回可能会产生基金仓位调整的困难，导致流动性风险，甚至影响基金份额净值。</w:t>
      </w:r>
    </w:p>
    <w:p w14:paraId="300E9B6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3B6D6A2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基金合同生效之日起两年(含两年)的期间内，采取封闭式运作。封闭期内，基金投资者不能申购、赎回本基金基金份额。基金封闭期结束，本基金转为开放式运作，基金投资者方可申购、赎回本基金基金份额。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F8D636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E2B6A7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029F4C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34595AE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30042D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1C10AEB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470C357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3A6C07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应当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如基金份额持有人在当日选择取消赎回，则其当日未获受理的部分赎回申请将被撤销。</w:t>
      </w:r>
    </w:p>
    <w:p w14:paraId="5D77CB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w:t>
      </w:r>
      <w:r>
        <w:rPr>
          <w:rFonts w:ascii="宋体" w:hAnsi="宋体"/>
          <w:sz w:val="24"/>
        </w:rPr>
        <w:lastRenderedPageBreak/>
        <w:t>认为有必要，可暂停接受基金的赎回申请；已经接受的赎回申请可以延缓支付赎回款项，但不得超过20个工作日，并应当在指定媒介上进行公告。</w:t>
      </w:r>
    </w:p>
    <w:p w14:paraId="57B6DE3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1D789C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371612B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4D989E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88CCB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1C593A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262363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6AB3CA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624268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8A33ED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（五）本基金的特有风险</w:t>
      </w:r>
    </w:p>
    <w:p w14:paraId="19AEBCA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5F8871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06C324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3、特有的流动性风险。本基金为封闭两年运作，之后转为开放式运作。本基金在封闭期内不办理申购赎回业务，也不上市交易，从而可能无法满足投资者的短期流动性需求；</w:t>
      </w:r>
    </w:p>
    <w:p w14:paraId="21D2C6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E1CF4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资产支持证券，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27CC68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6、基金合同提前终止风险。连续六十个工作日出现基金份额持有人数量不满200人或者基金资产净值低于5000万元情形的，基金管理人应向中国证监会报告，并可提前终止基金合同，不需召开基金份额持有人大会。</w:t>
      </w:r>
    </w:p>
    <w:p w14:paraId="67C64A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（六）其他风险</w:t>
      </w:r>
    </w:p>
    <w:p w14:paraId="3D274E9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27FE5C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643196C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5D72B01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13DAC4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ABC50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3558C8D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7、其他意外导致的风险。</w:t>
      </w:r>
    </w:p>
    <w:p w14:paraId="2A1C9A39"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553B33" w14:textId="77777777" w:rsidR="00EF0B55" w:rsidRDefault="0022048D">
      <w:pPr>
        <w:pStyle w:val="1"/>
        <w:snapToGrid w:val="0"/>
        <w:spacing w:beforeLines="0" w:before="240" w:after="240"/>
        <w:rPr>
          <w:rFonts w:ascii="宋体" w:hAnsi="宋体"/>
          <w:szCs w:val="30"/>
        </w:rPr>
      </w:pPr>
      <w:bookmarkStart w:id="39" w:name="_Toc166054626"/>
      <w:bookmarkStart w:id="40" w:name="_Hlk184220081"/>
      <w:r>
        <w:rPr>
          <w:rFonts w:ascii="Times New Roman" w:hAnsi="Times New Roman"/>
          <w:sz w:val="30"/>
        </w:rPr>
        <w:lastRenderedPageBreak/>
        <w:t>二十、基金合同的变更、终止与基金财产的清算</w:t>
      </w:r>
      <w:bookmarkEnd w:id="39"/>
    </w:p>
    <w:p w14:paraId="2ECCD9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03C9E2B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30AF25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2、关于《基金合同》变更的基金份额持有人大会决议自表决通过之日起生效，生效后方可执行，并自决议生效后依照《信息披露办法》的规定在指定媒介公告。</w:t>
      </w:r>
    </w:p>
    <w:p w14:paraId="05FF39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B467FE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4AA6034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5DD8C1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5F8D4EA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3、连续60个工作日出现基金份额持有人数量不满200人或者基金资产净值低于5000万元情形的，基金管理人可提前终止基金合同，不需召开基金份额持有人大会；</w:t>
      </w:r>
    </w:p>
    <w:p w14:paraId="4B0FDC3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3A814C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0D6D491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3499DCA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DB3090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86F006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56F509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5A73ED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（1）《基金合同》终止情形出现时，由基金财产清算小组统一接管基金财产；</w:t>
      </w:r>
    </w:p>
    <w:p w14:paraId="2C7D54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5F31ED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197B1DB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330DBF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4725ED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52ACC04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48597F1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2C6E907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8AA0F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1F21D0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6F5B16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147968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109FB41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59CB98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72A5C29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5C27B449"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A3C37A5" w14:textId="77777777" w:rsidR="00EF0B55" w:rsidRDefault="0022048D">
      <w:pPr>
        <w:pStyle w:val="1"/>
        <w:snapToGrid w:val="0"/>
        <w:spacing w:beforeLines="0" w:before="240" w:after="240"/>
        <w:rPr>
          <w:rFonts w:ascii="宋体" w:hAnsi="宋体"/>
          <w:szCs w:val="30"/>
        </w:rPr>
      </w:pPr>
      <w:bookmarkStart w:id="41" w:name="_Toc166054627"/>
      <w:bookmarkEnd w:id="40"/>
      <w:r>
        <w:rPr>
          <w:rFonts w:ascii="Times New Roman" w:hAnsi="Times New Roman"/>
          <w:sz w:val="30"/>
        </w:rPr>
        <w:lastRenderedPageBreak/>
        <w:t>二十一、基金合同内容摘要</w:t>
      </w:r>
      <w:bookmarkEnd w:id="41"/>
    </w:p>
    <w:p w14:paraId="732FC10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0A0E29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5C629C5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4E1531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1E0DE2E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15C561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50337E9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628C9E6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47A6BC8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629C37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1E177C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061930A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0F6B85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2AF6FA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600270C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58AE997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3D41D2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212EBC8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190362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31F90C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3A540D4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58D75B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5EE8E38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76DEF9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3F8E22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4AD3C7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39A484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78B30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31CA49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87A5EF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499A55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40CD9C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2AF43F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7721CB1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66787D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376823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31366A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0F99D3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4D54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00A6C6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191D5B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16497D3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C55FF7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2A371F5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1FB9FB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3D026E7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215529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5B2340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276B1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4E94BE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3B5149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3882413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780C96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F2A27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184FA02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1BFA1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6F9EDC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3C77776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4E2C92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EEB91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4E473A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9F06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8BDA2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E0EF4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3ED5AF4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26B16E6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8）复核、审查基金管理人计算的基金资产净值、各类基金份额净值、基金份额申购、赎回价格；</w:t>
      </w:r>
    </w:p>
    <w:p w14:paraId="7FE5A0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274BB0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1DC9D7C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6367AF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1BB47E8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766739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711C1E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5EBE82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4D91427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58AF72B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5DD1E6F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5896B3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286875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4A81A5D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6AC537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2AEEFB0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D20E0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61567D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4E127DC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14:paraId="3670A7C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AE0EDE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4214BA9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304752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B24A29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077DF56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063BA6D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97C51B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7157712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429CF4A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A62A4E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555C09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46D341B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318CB9B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7EBE3A3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62CD00F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DA9DBD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2862B8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6E5066C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1D83A5A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5E77BF7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32F99F2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2D5BBAB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3315E7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6A5093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304171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59A108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1CFCE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6C3F25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4）转换基金运作方式，本基金基金合同生效满两年直接转为开放式运作方式以及法律法规和中国证监会另有规定的除外；</w:t>
      </w:r>
    </w:p>
    <w:p w14:paraId="4D7E970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0C75DAD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205838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737D5A2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8）变更基金投资目标、范围或策略，但在本基金基金合同生效满两年直接转为开放式运作后依据基金合同变更投资策略以及法律法规和中国证监会另有规定的除外；</w:t>
      </w:r>
    </w:p>
    <w:p w14:paraId="2AF84C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128C7BA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327099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24B6CEF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142E63A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52B0A3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5D84FB2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1）调低销售服务费；</w:t>
      </w:r>
    </w:p>
    <w:p w14:paraId="51A4851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2F93002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3）在法律法规及《基金合同》规定的范围内调整本基金的申购费率、调低赎回费率、在对现有基金份额持有人利益无实质性不利影响的前提下变更收费方式；</w:t>
      </w:r>
    </w:p>
    <w:p w14:paraId="357A8DF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39A64C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3BD939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177D18F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7）在符合法律法规及本基金合同规定、并且对基金份额持有人利益无实质不利影响的前提下，经与基金托管人协商一致，调整本基金份额类别的设置；</w:t>
      </w:r>
    </w:p>
    <w:p w14:paraId="353373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11EA8E2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6E5CCF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存续期内，若基金份额持有人数量连续60个工作日达不到200人或基金资产净值连续60个工作日低于5000万元，本基金管理人应向中国证监会报告，并可提前终止本基金合同，不需召开基金份额持有人大会。</w:t>
      </w:r>
    </w:p>
    <w:p w14:paraId="79A19BC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47E2E6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66A2838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039CDD9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3EC990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w:t>
      </w:r>
      <w:r>
        <w:rPr>
          <w:rFonts w:ascii="宋体" w:hAnsi="宋体"/>
          <w:sz w:val="24"/>
        </w:rPr>
        <w:lastRenderedPageBreak/>
        <w:t>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6B798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C6EDD7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643255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7A1454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78EF17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076DDCF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1CC2B1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7423E11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1F7F3D7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6F66FAA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5CAA46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0B66910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8D5764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w:t>
      </w:r>
      <w:r>
        <w:rPr>
          <w:rFonts w:ascii="宋体" w:hAnsi="宋体"/>
          <w:sz w:val="24"/>
        </w:rPr>
        <w:lastRenderedPageBreak/>
        <w:t>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2774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74A7BC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620778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3B462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A363B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1DA5D87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（2）通讯开会。通讯开会系指基金份额持有人将其对表决事项的投票以会议通知载明的形式在表决截止日以前送达至召集人指定的地址或系统。通讯开会应以书面方式或大会公告载明的其他方式进行表决。</w:t>
      </w:r>
    </w:p>
    <w:p w14:paraId="7E6E90F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72BB587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183DFB9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w:t>
      </w:r>
      <w:r>
        <w:rPr>
          <w:rFonts w:ascii="宋体" w:hAnsi="宋体"/>
          <w:sz w:val="24"/>
        </w:rPr>
        <w:lastRenderedPageBreak/>
        <w:t>规定的方式收取基金份额持有人的表决意见；基金托管人或基金管理人经通知不参加收取表决意见的，不影响表决效力；</w:t>
      </w:r>
    </w:p>
    <w:p w14:paraId="1CE99D6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94878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C455D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C233AD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3E947E8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61C5EA2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0B4214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196E3F9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358B76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424EEE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691211F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754766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4F2D70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D35F3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39C483B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42FE68D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3508B3A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29E10CA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9AFF7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本基金基金合同生效满两年直接转为开放式运作除外）、更换基金管理人或者基金托管人、终止《基金合同》、本基金与其他基金合并（法律法规、基金合同和中国证监会另有规定的除外）以特别决议通过方为有效。</w:t>
      </w:r>
    </w:p>
    <w:p w14:paraId="2EC075B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2870B5B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w:t>
      </w:r>
      <w:r>
        <w:rPr>
          <w:rFonts w:ascii="宋体" w:hAnsi="宋体"/>
          <w:sz w:val="24"/>
        </w:rPr>
        <w:lastRenderedPageBreak/>
        <w:t>表决，但应当计入出具表决意见的基金份额持有人所代表的基金份额总数。</w:t>
      </w:r>
    </w:p>
    <w:p w14:paraId="06F7E4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6F1361F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55A1908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23353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60428C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189D24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F9B687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80413B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F7650C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9063D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7F6DB6E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基金份额持有人大会决定的事项自表决通过之日起生效，召集人应当自通过之日起5日内报中国证监会备案。</w:t>
      </w:r>
    </w:p>
    <w:p w14:paraId="2F0FE30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0F85C5F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1A0915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6993A8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0A7F9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271E68D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54A83A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4CA9E7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C2D0D1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75C4CD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5AFC25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162EDA7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1E80515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w:t>
      </w:r>
      <w:r>
        <w:rPr>
          <w:rFonts w:ascii="宋体" w:hAnsi="宋体"/>
          <w:sz w:val="24"/>
        </w:rPr>
        <w:lastRenderedPageBreak/>
        <w:t>或变更的，基金管理人经与基金托管人协商一致并提前公告后，可直接对本部分内容进行修改和调整，无需召开基金份额持有人大会审议。</w:t>
      </w:r>
    </w:p>
    <w:p w14:paraId="3BBC3F7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3FDC2E3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7CE600B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EB58B2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（2）关于《基金合同》变更的基金份额持有人大会决议自表决通过之日起生效，生效后方可执行，并自决议生效后依照《信息披露办法》的规定在指定媒介公告。</w:t>
      </w:r>
    </w:p>
    <w:p w14:paraId="35A80C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0AF7EA4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63E27A9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2857E1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564341F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（3）连续60个工作日出现基金份额持有人数量不满200人或者基金资产净值低于5000万元情形的，基金管理人可提前终止基金合同，不需召开基金份额持有人大会；</w:t>
      </w:r>
    </w:p>
    <w:p w14:paraId="6D47C7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75B6BD6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7E8C006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5BF7C13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4ABB259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89D822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D95B3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（4）基金财产清算程序：</w:t>
      </w:r>
    </w:p>
    <w:p w14:paraId="131635B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5616786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714FA1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3ACBA19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3104130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459B05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FCF663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291B0B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3A360B4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465B09E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D984A8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466FBB7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4777945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51823B0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C1F2D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316A7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37283B6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1D7C89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除非仲裁裁决另有规</w:t>
      </w:r>
      <w:r>
        <w:rPr>
          <w:rFonts w:ascii="宋体" w:hAnsi="宋体"/>
          <w:sz w:val="24"/>
        </w:rPr>
        <w:lastRenderedPageBreak/>
        <w:t>定，仲裁费用由败诉方承担。争议处理期间，基金合同当事人应恪守各自的职责，继续忠实、勤勉、尽责地履行基金合同规定的义务，维护基金份额持有人的合法权益。</w:t>
      </w:r>
    </w:p>
    <w:p w14:paraId="4DC083E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6D91E2E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10B9AC0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《基金合同》正本一式三份，除上报有关监管机构一份外，基金管理人、基金托管人各持有一份，每份具有同等的法律效力。</w:t>
      </w:r>
    </w:p>
    <w:p w14:paraId="3E095D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085DE34C"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E5809A" w14:textId="77777777" w:rsidR="00EF0B55" w:rsidRDefault="0022048D">
      <w:pPr>
        <w:pStyle w:val="1"/>
        <w:snapToGrid w:val="0"/>
        <w:spacing w:beforeLines="0" w:before="240" w:after="240"/>
        <w:rPr>
          <w:rFonts w:ascii="宋体" w:hAnsi="宋体"/>
          <w:szCs w:val="30"/>
        </w:rPr>
      </w:pPr>
      <w:bookmarkStart w:id="42" w:name="_Toc166054628"/>
      <w:r>
        <w:rPr>
          <w:rFonts w:ascii="Times New Roman" w:hAnsi="Times New Roman"/>
          <w:sz w:val="30"/>
        </w:rPr>
        <w:lastRenderedPageBreak/>
        <w:t>二十二、托管协议的内容摘要</w:t>
      </w:r>
      <w:bookmarkEnd w:id="42"/>
    </w:p>
    <w:p w14:paraId="43834AF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1EDEE5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6823CD8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090BA3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B459C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886AC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198090E" w14:textId="7A155A5A"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261F6C">
        <w:rPr>
          <w:rFonts w:ascii="宋体" w:hAnsi="宋体" w:hint="eastAsia"/>
          <w:sz w:val="24"/>
        </w:rPr>
        <w:t>张宏良</w:t>
      </w:r>
    </w:p>
    <w:p w14:paraId="30A01C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14:paraId="0977FFD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14:paraId="5B9EDE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14:paraId="78D471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91017E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14:paraId="4970A5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18BB6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经营范围：基金募集、基金销售、资产管理和中国证监会许可的其他业务。</w:t>
      </w:r>
    </w:p>
    <w:p w14:paraId="67D370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35987A4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名称：招商银行股份有限公司(简称：招商银行)</w:t>
      </w:r>
    </w:p>
    <w:p w14:paraId="359781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住所：深圳市深南大道7088号招商银行大厦</w:t>
      </w:r>
    </w:p>
    <w:p w14:paraId="1043B2E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103419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邮政编码：518040</w:t>
      </w:r>
    </w:p>
    <w:p w14:paraId="39C4D57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4F3E2C9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成立时间：1987年4月8日</w:t>
      </w:r>
    </w:p>
    <w:p w14:paraId="1F4282F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基金托管业务批准文号：证监基金字[2002]83号</w:t>
      </w:r>
    </w:p>
    <w:p w14:paraId="55A60D5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5E5AF9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注册资本：人民币252.20亿元</w:t>
      </w:r>
    </w:p>
    <w:p w14:paraId="631732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C0BA1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352D34D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1、基金托管人根据有关法律法规的规定以及《基金合同》的约定，对基金投资范围、投资比例、投资限制、关联方交易等进行监督。《基金合同》明确约定基</w:t>
      </w:r>
      <w:r>
        <w:rPr>
          <w:rFonts w:ascii="宋体" w:hAnsi="宋体"/>
          <w:sz w:val="24"/>
        </w:rPr>
        <w:lastRenderedPageBreak/>
        <w:t>金投资证券选择标准的，基金管理人应事先或定期向基金托管人提供投资品种池，以便基金托管人对基金实际投资是否符合基金合同关于证券选择标准的约定进行监督。</w:t>
      </w:r>
    </w:p>
    <w:p w14:paraId="2251689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（1）本基金的投资范围为：</w:t>
      </w:r>
    </w:p>
    <w:p w14:paraId="282610B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w:t>
      </w:r>
    </w:p>
    <w:p w14:paraId="575C2E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06746F9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（2）本基金各类品种的投资比例、投资限制为：</w:t>
      </w:r>
    </w:p>
    <w:p w14:paraId="3BE8A1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其中现金不包括结算备付金、存出保证金、应收申购款等。如果法律法规或中国证监会变更投资品种的投资比例限制，基金管理人在履行适当程序后，可以调整上述投资品种的投资比例。</w:t>
      </w:r>
    </w:p>
    <w:p w14:paraId="66953CE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064E193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1）本基金投资于债券资产的比例不低于基金资产的80%，但在封闭期结束前三个月和转开放后三个月内基金投资不受上述债券资产投资比例限制；</w:t>
      </w:r>
    </w:p>
    <w:p w14:paraId="7D29849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2）本基金转为开放式运作后，保持不低于基金资产净值5%的现金或者到期日在一年以内的政府债券，其中现金不包括结算备付金、存出保证金、应收申购款等；</w:t>
      </w:r>
    </w:p>
    <w:p w14:paraId="3CD1084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3）本基金持有一家公司发行的证券，其市值不得超过基金资产净值的10%；</w:t>
      </w:r>
    </w:p>
    <w:p w14:paraId="3A382B4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17E1B4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5）本基金在封闭期内，基金总资产不超过基金净资产的200%；本基金转为开放式运作后，基金总资产不超过基金净资产的140%；</w:t>
      </w:r>
    </w:p>
    <w:p w14:paraId="48D11EA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19913EA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14:paraId="741DC55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352977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12CDAC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77606C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493C5D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2BEE32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13）本基金进入全国银行间同业市场进行债券回购的资金余额不得超过基金资产净值的40%；本基金在全国银行间同业市场中的债券回购最长期限为1年，债券回购到期后不得展期；</w:t>
      </w:r>
    </w:p>
    <w:p w14:paraId="6C26CE5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14）本基金持有单只中小企业私募债券，其市值不得超过基金资产净值的10%；</w:t>
      </w:r>
    </w:p>
    <w:p w14:paraId="27C7469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22ECA8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6C097B4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（3)本基金财产不得用于以下投资或者活动：1）承销证券；</w:t>
      </w:r>
    </w:p>
    <w:p w14:paraId="42CA92B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706BDE3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7539768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388494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51353D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6）从事内幕交易、操纵证券交易价格及其他不正当的证券交易活动；</w:t>
      </w:r>
    </w:p>
    <w:p w14:paraId="027E24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3C46F39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08FC750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8215CD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（5）基金管理人应当自基金合同生效日起6个月内使基金的投资组合比例符合基金合同的有关约定，基金合同另有约定的除外。在上述期间内，本基金的投资范围、投资策略应当符合基金合同的约定。</w:t>
      </w:r>
    </w:p>
    <w:p w14:paraId="12F4584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的投资的监督与检查自本基金合同生效之日起开始。除上述第（2）、（6）、（7）、（12）项外，因证券市场波动、证券发行人合并或基金规模变动等基金管理人之外的原因导致投资比例不符合上述规定的，基金管理人应在10个交易日内进行调整，但中国证监会规定的特殊情形除外。法律法规另有规定的，从其规定。</w:t>
      </w:r>
    </w:p>
    <w:p w14:paraId="42EBC5B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6A0D6F4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2072B0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6ADE008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61C6DB6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有关法律法规或监管部门制定或修改新的定期存款投资政策，基金管理人履行适当程序后，可相应调整投资组合限制的规定。</w:t>
      </w:r>
    </w:p>
    <w:p w14:paraId="24DC36F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F358A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3402E87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E9E052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3）基金管理人须加强内部风险控制制度的建设。如因基金管理人员工职务行为导致基金财产受到损失的，需由基金管理人承担由此造成的损失。</w:t>
      </w:r>
    </w:p>
    <w:p w14:paraId="3F39CCF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14:paraId="2779FBE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3、基金投资银行存款协议的签订、账户开设与管理、投资指令与资金划付、账目核对、到期兑付、提前支取</w:t>
      </w:r>
    </w:p>
    <w:p w14:paraId="0DC269C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（1）基金投资银行存款协议的签订</w:t>
      </w:r>
    </w:p>
    <w:p w14:paraId="7661818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w:t>
      </w:r>
      <w:r>
        <w:rPr>
          <w:rFonts w:ascii="宋体" w:hAnsi="宋体"/>
          <w:sz w:val="24"/>
        </w:rPr>
        <w:lastRenderedPageBreak/>
        <w:t>同商定。</w:t>
      </w:r>
    </w:p>
    <w:p w14:paraId="15B266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2）基金托管人依据相关法规对《总体合作协议》和《存款协议书》的内容进行复核，审查存款银行资格等。</w:t>
      </w:r>
    </w:p>
    <w:p w14:paraId="78168D3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14335E9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存款银行指定的存放存款的分支机构（以下简称“存款分支机构”）寄送、上门交付或双方约定方式送达存款证实书或其他有效存款凭证的，基金托管人可向存款分支机构的上级行发出存款余额询证函，存款分支机构及其上级行应予配合。</w:t>
      </w:r>
    </w:p>
    <w:p w14:paraId="11C01C3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5）基金管理人应在《存款协议书》中规定，基金存放到期或提前兑付的资金应全部划转到指定的基金托管账户，并在《存款协议书》写明账户名称和账号，未划入指定账户的，由存款银行承担一切责任。</w:t>
      </w:r>
    </w:p>
    <w:p w14:paraId="120782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4538D3F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7）基金管理人应在《存款协议书》中规定，因定期存款产生的存单不得被质押或以任何方式被抵押，不得用于转让和背书。</w:t>
      </w:r>
    </w:p>
    <w:p w14:paraId="3027889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（2）基金投资银行存款时的账户开设与管理</w:t>
      </w:r>
    </w:p>
    <w:p w14:paraId="77AFB9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1）基金投资于银行存款时，基金管理人应当依据基金管理人与存款银行签订的《总体合作协议》、《存款协议书》等，以基金的名义在存款银行总行或授权分行指定的分支机构开立银行账户。</w:t>
      </w:r>
    </w:p>
    <w:p w14:paraId="2B715F3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2）基金投资于银行存款时的预留印鉴由基金托管人保管和使用。</w:t>
      </w:r>
    </w:p>
    <w:p w14:paraId="375E48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（3）存款凭证传递、账目核对及到期兑付</w:t>
      </w:r>
    </w:p>
    <w:p w14:paraId="3717C9B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1）存款证实书等存款凭证传递</w:t>
      </w:r>
    </w:p>
    <w:p w14:paraId="26A1CD9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w:t>
      </w:r>
      <w:r>
        <w:rPr>
          <w:rFonts w:ascii="宋体" w:hAnsi="宋体"/>
          <w:sz w:val="24"/>
        </w:rPr>
        <w:lastRenderedPageBreak/>
        <w:t>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2858F3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2）存款凭证的遗失补办</w:t>
      </w:r>
    </w:p>
    <w:p w14:paraId="778125B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存款凭证在邮寄过程中遗失的，由基金管理人向存款银行提出补办申请，基金管理人应督促存款银行尽快补办存款凭证，并按以上（1）的方式快递或上门交送至托管人，原存款凭证自动作废。</w:t>
      </w:r>
    </w:p>
    <w:p w14:paraId="30910F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3）账目核对</w:t>
      </w:r>
    </w:p>
    <w:p w14:paraId="481E1D9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6631A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存款银行应配合基金托管人对存款凭证的询证，并在询证函上加盖存款银行公章寄送至基金托管人指定联系人。</w:t>
      </w:r>
    </w:p>
    <w:p w14:paraId="630253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4）到期兑付</w:t>
      </w:r>
    </w:p>
    <w:p w14:paraId="6B57D4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提前通知基金托管人通过快递或双方约定方式将存款凭证原件寄给存款银行分支机构指定的会计主管。存款银行未收到存款凭证原件的，应与基金托管人电话询问。存款到期前基金管理人与存款银行确认存款凭证收到并于到期日兑付存款本息事宜。</w:t>
      </w:r>
    </w:p>
    <w:p w14:paraId="2382C0F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6A320BD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1CFDFD5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如果存款到期日为法定节假日，存款银行顺延至到期后第一个工作日支付，存款银行需按原协议约定利率和实际延期天数支付延期利息。</w:t>
      </w:r>
    </w:p>
    <w:p w14:paraId="56ECED9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（4）提前支取</w:t>
      </w:r>
    </w:p>
    <w:p w14:paraId="5A6289E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如果在存款期限内，由于基金规模发生缩减的原因或者出于流动性管理的需要等原因，基金管理人可以提前支取全部或部分资金。</w:t>
      </w:r>
    </w:p>
    <w:p w14:paraId="1152100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提前支取的具体事项按照基金管理人与存款银行签订的《存款协议书》执行。</w:t>
      </w:r>
    </w:p>
    <w:p w14:paraId="143EC37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（5）基金投资银行存款的监督</w:t>
      </w:r>
    </w:p>
    <w:p w14:paraId="46DCEED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14:paraId="24C477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14:paraId="201D63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风险防范，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w:t>
      </w:r>
      <w:r>
        <w:rPr>
          <w:rFonts w:ascii="宋体" w:hAnsi="宋体"/>
          <w:sz w:val="24"/>
        </w:rPr>
        <w:lastRenderedPageBreak/>
        <w:t>人，基金托管人不承担由此造成的任何损失和责任。</w:t>
      </w:r>
    </w:p>
    <w:p w14:paraId="2284B0C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5、基金管理人应当对投资中期票据业务进行研究，认真评估中期票据投资业务的风险，本着审慎、勤勉尽责的原则进行中期票据的投资业务，并应符合法律法规及监管机构的相关规定。</w:t>
      </w:r>
    </w:p>
    <w:p w14:paraId="577E4AC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2306E27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A2B084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FEA9C0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2671D1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w:t>
      </w:r>
    </w:p>
    <w:p w14:paraId="7787A4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11、侧袋机制的实施和投资运作安排</w:t>
      </w:r>
    </w:p>
    <w:p w14:paraId="29AEBFD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w:t>
      </w:r>
      <w:r>
        <w:rPr>
          <w:rFonts w:ascii="宋体" w:hAnsi="宋体"/>
          <w:sz w:val="24"/>
        </w:rPr>
        <w:lastRenderedPageBreak/>
        <w:t>意见后，可以依照法律法规及基金合同的约定启用侧袋机制。</w:t>
      </w:r>
    </w:p>
    <w:p w14:paraId="3001E7C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侧袋机制实施期间，基金合同约定的投资组合比例、投资策略、组合限制、业绩比较基准、风险收益特征等约定仅适用于主袋账户。</w:t>
      </w:r>
    </w:p>
    <w:p w14:paraId="5425AD3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侧袋账户的实施条件、实施程序、运作安排、投资安排、特定资产的处置变现和支付等对投资者权益有重大影响的事项详见招募说明书的规定。</w:t>
      </w:r>
    </w:p>
    <w:p w14:paraId="4473BED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276E56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14:paraId="4EF22B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3B6B8D4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2818F0E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4、基金管理人发现基金托管人有重大违规行为，应及时报告中国证监会，同时通知基金托管人限期纠正，并将纠正结果报告中国证监会。</w:t>
      </w:r>
    </w:p>
    <w:p w14:paraId="5FDDD82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5CB9558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4D124F2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5273F08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44DF1E9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（3）基金托管人按照规定开设基金财产的资金账户和证券账户等投资所需的相关账户。</w:t>
      </w:r>
    </w:p>
    <w:p w14:paraId="3EA585D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w:t>
      </w:r>
      <w:r>
        <w:rPr>
          <w:rFonts w:ascii="宋体" w:hAnsi="宋体"/>
          <w:sz w:val="24"/>
        </w:rPr>
        <w:lastRenderedPageBreak/>
        <w:t>整与独立。</w:t>
      </w:r>
    </w:p>
    <w:p w14:paraId="6F0D1E3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54C0C6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318493B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462404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（8）除依据法律法规和基金合同的规定外，基金托管人不得委托第三人托管基金财产。</w:t>
      </w:r>
    </w:p>
    <w:p w14:paraId="6EDD3D4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3884B67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（1）基金募集期间募集认购款项应开立“基金募集专户”。该账户由基金管理人或基金管理人委托的登记机构开立并管理。</w:t>
      </w:r>
    </w:p>
    <w:p w14:paraId="5657EB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14:paraId="05EE02B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w:t>
      </w:r>
    </w:p>
    <w:p w14:paraId="16EBFB5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w:t>
      </w:r>
    </w:p>
    <w:p w14:paraId="7615AA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资金账户（也可称为“托管账户”），保管基金的银行存款，并根据基金管理人的指令办理资金收付。托管账户名称应为“交银施罗德丰晟收益债券型证券投资基金”，预留印鉴为</w:t>
      </w:r>
      <w:r>
        <w:rPr>
          <w:rFonts w:ascii="宋体" w:hAnsi="宋体"/>
          <w:sz w:val="24"/>
        </w:rPr>
        <w:lastRenderedPageBreak/>
        <w:t>基金托管人印章。</w:t>
      </w:r>
    </w:p>
    <w:p w14:paraId="383004F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253BD48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（3）基金资金账户的开立和管理应符合法律法规及银行业监督管理机构的有关规定。</w:t>
      </w:r>
    </w:p>
    <w:p w14:paraId="0355BDA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0B596B6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007985E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11235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42AA89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236EB8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69BA762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3154A11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16B5F70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5DD1CBE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（1）因业务发展需要而开立的其他账户，可以根据法律法规和基金合同的规定，由基金管理人协助基金托管人按照有关法律法规和本协议的约定协商后开立。新账户按有关规定使用并管理。</w:t>
      </w:r>
    </w:p>
    <w:p w14:paraId="54888EB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w:t>
      </w:r>
      <w:r>
        <w:rPr>
          <w:rFonts w:ascii="宋体" w:hAnsi="宋体"/>
          <w:sz w:val="24"/>
        </w:rPr>
        <w:lastRenderedPageBreak/>
        <w:t>理。</w:t>
      </w:r>
    </w:p>
    <w:p w14:paraId="15D82A5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20DC60D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17BAB7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406CBC4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14:paraId="267FF2C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159136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（五）基金资产净值计算、估值和会计核算</w:t>
      </w:r>
    </w:p>
    <w:p w14:paraId="7EE58D0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14:paraId="4760BB1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64F5F79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B28F37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各类基金份额的基金份额净值是指估值日该类基金份额的基金资产净值除以估值日该类基金份额总数，基金份额净值的计算，精确到0.0001元，小数点后第五位四舍五入，国家另有规定的，从其规定。</w:t>
      </w:r>
    </w:p>
    <w:p w14:paraId="7D11D7C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基金管理人每个工作日计算各类基金份额的基金资产净值、基金份额净值，经基金托管人复核，按规定公告，但基金管理人根据法律法规或基金合同的规定暂停估值时除外。</w:t>
      </w:r>
    </w:p>
    <w:p w14:paraId="308EDCA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73B4E9D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基金管理人每工作日对基金资产进行估值后，将各类基金份额的基金资产净值、基金份额净值发送基金托管人，经基金托管人复核无误后，由基金管理人对外公布。</w:t>
      </w:r>
    </w:p>
    <w:p w14:paraId="7E7B7C6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626138B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2、基金资产的估值</w:t>
      </w:r>
    </w:p>
    <w:p w14:paraId="46CA8E1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基金管理人及基金托管人应当按照《基金合同》的约定进行估值。</w:t>
      </w:r>
    </w:p>
    <w:p w14:paraId="63B9E39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14:paraId="6D5E076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基金管理人及基金托管人应当按照《基金合同》的约定处理份额净值错误。</w:t>
      </w:r>
    </w:p>
    <w:p w14:paraId="4B4DEC0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4、基金会计制度</w:t>
      </w:r>
    </w:p>
    <w:p w14:paraId="0765AA6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14:paraId="6248138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5、基金账册的建立</w:t>
      </w:r>
    </w:p>
    <w:p w14:paraId="02220C8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6F47020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6、基金财务报表与报告的编制和复核</w:t>
      </w:r>
    </w:p>
    <w:p w14:paraId="1226FF0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7D135B0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14:paraId="6A981C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68871EE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14:paraId="22B911D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14:paraId="30EED02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每月结束后5个工作日内完成月度报表的编制及复核；在每个季度结束之日起15个工作日内完成基金季度报告的编制及复核；在上半年结束之日起60日内完成基金半年度报告的编制及复核；在每年结束之日起90日内完成基金年度报告的编制及复核。基金托管人在复核过程中，发现双方的报表存在不符时，基金管理人和基金托管人应共同查明原因，进行调整，调整以国家有</w:t>
      </w:r>
      <w:r>
        <w:rPr>
          <w:rFonts w:ascii="宋体" w:hAnsi="宋体"/>
          <w:sz w:val="24"/>
        </w:rPr>
        <w:lastRenderedPageBreak/>
        <w:t>关规定为准。基金年度报告的财务会计报告应当经过审计。基金合同生效不足两个月的，基金管理人可以不编制当期季度报告、半年度报告或者年度报告。</w:t>
      </w:r>
    </w:p>
    <w:p w14:paraId="54B460F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7、在有需要时，基金管理人应每季度向基金托管人提供基金业绩比较基准的基础数据和编制结果。</w:t>
      </w:r>
    </w:p>
    <w:p w14:paraId="26F842F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8、实施侧袋机制期间的基金资产估值</w:t>
      </w:r>
    </w:p>
    <w:p w14:paraId="1D2EAF4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本基金实施侧袋机制的，应根据基金合同的约定对主袋账户资产进行估值并披露主袋账户的基金净值信息，暂停披露侧袋账户份额净值。</w:t>
      </w:r>
    </w:p>
    <w:p w14:paraId="2307796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70C873B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550C793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5A931A4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58650EA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w:t>
      </w:r>
    </w:p>
    <w:p w14:paraId="37F11C1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37CEF03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本协议受中华人民共和国法律（不含港澳台立法）管辖。</w:t>
      </w:r>
    </w:p>
    <w:p w14:paraId="18E1B29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（八）托管协议的变更、终止与基金财产的清算</w:t>
      </w:r>
    </w:p>
    <w:p w14:paraId="258C169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0A4B04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14:paraId="7AFA9EC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2、基金托管协议终止的情形</w:t>
      </w:r>
    </w:p>
    <w:p w14:paraId="7BAA981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5A9A0CD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（2）基金托管人因解散、破产、撤销等事由，不能继续担任基金托管人的职务，而在6个月内无其他适当的托管机构承接其原有权利义务；</w:t>
      </w:r>
    </w:p>
    <w:p w14:paraId="62EC580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（3）基金管理人因解散、破产、撤销等事由，不能继续担任基金管理人的职务，而在6个月内无其他适当的基金管理公司承接其原有权利义务；</w:t>
      </w:r>
    </w:p>
    <w:p w14:paraId="1FF99A9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（4）发生法律法规或《基金合同》规定的其他终止事项。</w:t>
      </w:r>
    </w:p>
    <w:p w14:paraId="45ABBC5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68642AC4"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基金管理人与基金托管人按照《基金合同》的约定处理基金财产的清算。</w:t>
      </w:r>
    </w:p>
    <w:p w14:paraId="65C99C02"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72EDC5" w14:textId="77777777" w:rsidR="00EF0B55" w:rsidRDefault="0022048D">
      <w:pPr>
        <w:pStyle w:val="1"/>
        <w:snapToGrid w:val="0"/>
        <w:spacing w:beforeLines="0" w:before="240" w:after="240"/>
        <w:rPr>
          <w:rFonts w:ascii="宋体" w:hAnsi="宋体"/>
          <w:szCs w:val="30"/>
        </w:rPr>
      </w:pPr>
      <w:bookmarkStart w:id="43" w:name="_Toc166054629"/>
      <w:r>
        <w:rPr>
          <w:rFonts w:ascii="Times New Roman" w:hAnsi="Times New Roman"/>
          <w:sz w:val="30"/>
        </w:rPr>
        <w:lastRenderedPageBreak/>
        <w:t>二十三、对基金份额持有人的服务</w:t>
      </w:r>
      <w:bookmarkEnd w:id="43"/>
    </w:p>
    <w:p w14:paraId="0E18476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5478140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1DA5710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6EEE695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4B4B3CB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20650EBA" w14:textId="20383A24"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通过网上直销交易平台办理本基金A类基金份额</w:t>
      </w:r>
      <w:r w:rsidR="002F176C">
        <w:rPr>
          <w:rFonts w:ascii="宋体" w:hAnsi="宋体" w:hint="eastAsia"/>
          <w:sz w:val="24"/>
        </w:rPr>
        <w:t>、</w:t>
      </w:r>
      <w:r>
        <w:rPr>
          <w:rFonts w:ascii="宋体" w:hAnsi="宋体"/>
          <w:sz w:val="24"/>
        </w:rPr>
        <w:t>D类基金份额</w:t>
      </w:r>
      <w:r w:rsidR="002F176C">
        <w:rPr>
          <w:rFonts w:ascii="宋体" w:hAnsi="宋体"/>
          <w:sz w:val="24"/>
        </w:rPr>
        <w:t>或</w:t>
      </w:r>
      <w:r w:rsidR="002F176C">
        <w:rPr>
          <w:rFonts w:ascii="宋体" w:hAnsi="宋体" w:hint="eastAsia"/>
          <w:sz w:val="24"/>
        </w:rPr>
        <w:t>E</w:t>
      </w:r>
      <w:r w:rsidR="002F176C">
        <w:rPr>
          <w:rFonts w:ascii="宋体" w:hAnsi="宋体"/>
          <w:sz w:val="24"/>
        </w:rPr>
        <w:t>类基金份额</w:t>
      </w:r>
      <w:r>
        <w:rPr>
          <w:rFonts w:ascii="宋体" w:hAnsi="宋体"/>
          <w:sz w:val="24"/>
        </w:rPr>
        <w:t>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5FF2ABA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7BB09E8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在条件成熟的时候，本基金管理人将根据基金网上直销业务的发展状况，适时调整可用于网上直销交易平台的银行卡种类，敬请个人投资者留意相关公告。</w:t>
      </w:r>
    </w:p>
    <w:p w14:paraId="41BD9D78"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224EDFE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46F19769"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3D4A6AD7"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投资人可以拨打本基金管理人客户服务电话投诉直销机构的人员和服务。</w:t>
      </w:r>
    </w:p>
    <w:p w14:paraId="6AF18FD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502763B3"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本基金在封闭期内，收益分配方式为现金分红。</w:t>
      </w:r>
    </w:p>
    <w:p w14:paraId="12289FF9" w14:textId="037756C9"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开放式运作后，基金份额持有人持有的基金份额可选择现金红利或选择红利再投将现金红利自动转为基金份额进行再投资，若投资人不选择，本基金默认的收益分配方式是现金分红；基金份额持有人可对其持有的</w:t>
      </w:r>
      <w:r w:rsidR="007C57A4">
        <w:rPr>
          <w:rFonts w:ascii="宋体" w:hAnsi="宋体" w:hint="eastAsia"/>
          <w:sz w:val="24"/>
        </w:rPr>
        <w:t>各</w:t>
      </w:r>
      <w:r>
        <w:rPr>
          <w:rFonts w:ascii="宋体" w:hAnsi="宋体"/>
          <w:sz w:val="24"/>
        </w:rPr>
        <w:t>类基金份额分别选择不同的收益分配方式。再投资红利按红利再投日（即除息日）除息后的基金份额净值自动转为</w:t>
      </w:r>
      <w:r w:rsidR="00FA4D49">
        <w:rPr>
          <w:rFonts w:ascii="宋体" w:hAnsi="宋体" w:hint="eastAsia"/>
          <w:sz w:val="24"/>
        </w:rPr>
        <w:t>相应类别</w:t>
      </w:r>
      <w:r>
        <w:rPr>
          <w:rFonts w:ascii="宋体" w:hAnsi="宋体"/>
          <w:sz w:val="24"/>
        </w:rPr>
        <w:t>基金份额，并免收申购费用。</w:t>
      </w:r>
    </w:p>
    <w:p w14:paraId="3B8DD40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4B0C99DD"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3D7794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2F84A9C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0F711A65"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10E60E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1FA8009E"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0B2C758F"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43A6AADB"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BF562B8" w14:textId="77777777" w:rsidR="00EF0B55" w:rsidRDefault="0022048D">
      <w:pPr>
        <w:pStyle w:val="1"/>
        <w:snapToGrid w:val="0"/>
        <w:spacing w:beforeLines="0" w:before="240" w:after="240"/>
        <w:rPr>
          <w:rFonts w:ascii="宋体" w:hAnsi="宋体"/>
          <w:szCs w:val="30"/>
        </w:rPr>
      </w:pPr>
      <w:bookmarkStart w:id="44" w:name="_Toc166054630"/>
      <w:r>
        <w:rPr>
          <w:rFonts w:ascii="Times New Roman" w:hAnsi="Times New Roman"/>
          <w:sz w:val="30"/>
        </w:rPr>
        <w:lastRenderedPageBreak/>
        <w:t>二十四、其他应披露事项</w:t>
      </w:r>
      <w:bookmarkEnd w:id="44"/>
    </w:p>
    <w:p w14:paraId="3FD9163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06353EA1"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EF0B55" w14:paraId="40F1C5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B05E63"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021C2C5"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A39F25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6C137163"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EF0B55" w14:paraId="176BC7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240E4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0458A3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6D475E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FBC573F"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EF0B55" w14:paraId="1DC766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CF3A8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504B0D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000B98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6DA3F9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EF0B55" w14:paraId="6F7B0A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B3BE4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B98513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D714CA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E96850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EF0B55" w14:paraId="36C9CD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44506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DCE3B1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BBDC4D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360E2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2023-06-07</w:t>
            </w:r>
          </w:p>
        </w:tc>
      </w:tr>
      <w:tr w:rsidR="00EF0B55" w14:paraId="61D7C6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CE3D9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11E310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交银施罗德基金管理有限公司关于增加大同证券有限责任公司为旗下基金的销售机构的公告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E4B018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E857B4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2023-06-08</w:t>
            </w:r>
          </w:p>
        </w:tc>
      </w:tr>
      <w:tr w:rsidR="00EF0B55" w14:paraId="48C462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E28B3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703D99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9BEF4BC"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BF8E56"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EF0B55" w14:paraId="66E39C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FE83E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F17AB0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3A0A2C6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355351E"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EF0B55" w14:paraId="24693A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F254C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FAC457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EF0DB6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1D4EE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EF0B55" w14:paraId="487235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FDE11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DB1C13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74E574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377728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EF0B55" w14:paraId="192B58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74DB0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7E02F9D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336F78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EC2FB3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2023-08-18</w:t>
            </w:r>
          </w:p>
        </w:tc>
      </w:tr>
      <w:tr w:rsidR="00EF0B55" w14:paraId="5304CE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DCB42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63F6F03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136A377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CDF712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EF0B55" w14:paraId="40A649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76669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2B49E89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D6C1AD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74F1A07"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2023-09-26</w:t>
            </w:r>
          </w:p>
        </w:tc>
      </w:tr>
      <w:tr w:rsidR="00EF0B55" w14:paraId="55CDC0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6052E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7858657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2397D5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28B51C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2023-09-27</w:t>
            </w:r>
          </w:p>
        </w:tc>
      </w:tr>
      <w:tr w:rsidR="00EF0B55" w14:paraId="3BCB7D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4E5EE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469AF6F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2014D0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6F4E394"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EF0B55" w14:paraId="21B361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8874B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5F1B3D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交银施罗德基金管理有限公司关于增加上海中欧财富基金销售有限公司为旗下基金销售机构的公告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48E385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155D9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2023-11-23</w:t>
            </w:r>
          </w:p>
        </w:tc>
      </w:tr>
      <w:tr w:rsidR="00EF0B55" w14:paraId="32FC4E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A9FC2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093C45A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6849FD7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98D0B6D"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2023-12-13</w:t>
            </w:r>
          </w:p>
        </w:tc>
      </w:tr>
      <w:tr w:rsidR="00EF0B55" w14:paraId="070B77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6DD84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5510173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655805A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CDEB67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2023-12-15</w:t>
            </w:r>
          </w:p>
        </w:tc>
      </w:tr>
      <w:tr w:rsidR="00EF0B55" w14:paraId="68302F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F2973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E9F553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19623F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ED5DB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2023-12-18</w:t>
            </w:r>
          </w:p>
        </w:tc>
      </w:tr>
      <w:tr w:rsidR="00EF0B55" w14:paraId="7EC72F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92DCC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6C2BE52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6B01F6F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6CECDA"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2023-12-18</w:t>
            </w:r>
          </w:p>
        </w:tc>
      </w:tr>
      <w:tr w:rsidR="00EF0B55" w14:paraId="00D3A9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81A5B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1ABE1F1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ABB7A2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549872D"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2023-12-18</w:t>
            </w:r>
          </w:p>
        </w:tc>
      </w:tr>
      <w:tr w:rsidR="00EF0B55" w14:paraId="3B63D4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280E9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21</w:t>
            </w:r>
          </w:p>
        </w:tc>
        <w:tc>
          <w:tcPr>
            <w:tcW w:w="750" w:type="pct"/>
            <w:tcBorders>
              <w:top w:val="single" w:sz="4" w:space="0" w:color="auto"/>
              <w:left w:val="single" w:sz="4" w:space="0" w:color="auto"/>
              <w:bottom w:val="single" w:sz="4" w:space="0" w:color="auto"/>
              <w:right w:val="single" w:sz="4" w:space="0" w:color="auto"/>
            </w:tcBorders>
            <w:vAlign w:val="center"/>
          </w:tcPr>
          <w:p w14:paraId="42C4EDD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7E4D90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6784F0"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2023-12-18</w:t>
            </w:r>
          </w:p>
        </w:tc>
      </w:tr>
      <w:tr w:rsidR="00EF0B55" w14:paraId="259CE8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D7B4B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113C35F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D</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DEEC67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4030C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2023-12-18</w:t>
            </w:r>
          </w:p>
        </w:tc>
      </w:tr>
      <w:tr w:rsidR="00EF0B55" w14:paraId="63FA5F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80760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4E3BA7F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交银施罗德基金管理有限公司关于交银施罗德丰晟收益债券型证券投资基金增加</w:t>
            </w:r>
            <w:r>
              <w:rPr>
                <w:rFonts w:ascii="Times New Roman" w:hAnsi="Times New Roman"/>
                <w:color w:val="000000"/>
                <w:kern w:val="0"/>
                <w:sz w:val="25"/>
                <w:szCs w:val="24"/>
              </w:rPr>
              <w:t>D</w:t>
            </w:r>
            <w:r>
              <w:rPr>
                <w:rFonts w:ascii="Times New Roman" w:hAnsi="Times New Roman"/>
                <w:color w:val="000000"/>
                <w:kern w:val="0"/>
                <w:sz w:val="25"/>
                <w:szCs w:val="24"/>
              </w:rPr>
              <w:t>类基金份额等事宜修改基金合同的公告</w:t>
            </w:r>
          </w:p>
        </w:tc>
        <w:tc>
          <w:tcPr>
            <w:tcW w:w="750" w:type="pct"/>
            <w:tcBorders>
              <w:top w:val="single" w:sz="4" w:space="0" w:color="auto"/>
              <w:left w:val="single" w:sz="4" w:space="0" w:color="auto"/>
              <w:bottom w:val="single" w:sz="4" w:space="0" w:color="auto"/>
              <w:right w:val="single" w:sz="4" w:space="0" w:color="auto"/>
            </w:tcBorders>
            <w:vAlign w:val="center"/>
          </w:tcPr>
          <w:p w14:paraId="61A72031"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8AEEDC"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2023-12-18</w:t>
            </w:r>
          </w:p>
        </w:tc>
      </w:tr>
      <w:tr w:rsidR="00EF0B55" w14:paraId="4A877D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3A8C0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3C19A2E2"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14:paraId="3E8A8B7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4166758"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EF0B55" w14:paraId="18936D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E66BDE"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04C511B9"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1745932B"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2B8B7F"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2024-01-08</w:t>
            </w:r>
          </w:p>
        </w:tc>
      </w:tr>
      <w:tr w:rsidR="00EF0B55" w14:paraId="193F05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E7B260"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55B2FE7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交银施罗德基金管理有限公司关于增加北京汇成基金销售有限公司、上海万得基金销售有限公司为旗下基金销售机构的公告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ED9032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65AECE5"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2024-01-09</w:t>
            </w:r>
          </w:p>
        </w:tc>
      </w:tr>
      <w:tr w:rsidR="00EF0B55" w14:paraId="5680AA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C0FB2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036FA9A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DCB9AF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05043F"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EF0B55" w14:paraId="31941F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2AD96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03E26BC8"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交银施罗德基金管理有限公司关于增加玄元保险代理有限公司为旗下基金销售机构的公告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04D8FB4"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8EC122"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2024-03-15</w:t>
            </w:r>
          </w:p>
        </w:tc>
      </w:tr>
      <w:tr w:rsidR="00EF0B55" w14:paraId="53FB29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989FA3"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6C30E4F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ACCACC7"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90D0811"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2024-03-25</w:t>
            </w:r>
          </w:p>
        </w:tc>
      </w:tr>
      <w:tr w:rsidR="00EF0B55" w14:paraId="69B331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6F205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73397D7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7F8FAE8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6273899"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EF0B55" w14:paraId="6A8A20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7B24D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01423A6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64C8695F"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7F526D"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EF0B55" w14:paraId="25F0F7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20CB2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32</w:t>
            </w:r>
          </w:p>
        </w:tc>
        <w:tc>
          <w:tcPr>
            <w:tcW w:w="750" w:type="pct"/>
            <w:tcBorders>
              <w:top w:val="single" w:sz="4" w:space="0" w:color="auto"/>
              <w:left w:val="single" w:sz="4" w:space="0" w:color="auto"/>
              <w:bottom w:val="single" w:sz="4" w:space="0" w:color="auto"/>
              <w:right w:val="single" w:sz="4" w:space="0" w:color="auto"/>
            </w:tcBorders>
            <w:vAlign w:val="center"/>
          </w:tcPr>
          <w:p w14:paraId="151E5BF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8BA6FBD"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35D862B"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rsidR="00EF0B55" w14:paraId="2F4349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59F8A5"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14:paraId="1EA49B26"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交银施罗德基金管理有限公司关于增加珠海盈米基金销售有限公司为旗下基金销售机构的公告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BE0C60A" w14:textId="77777777" w:rsidR="00EF0B55" w:rsidRDefault="0022048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1A412D" w14:textId="77777777" w:rsidR="00EF0B55" w:rsidRDefault="0022048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2024-04-24</w:t>
            </w:r>
          </w:p>
        </w:tc>
      </w:tr>
    </w:tbl>
    <w:p w14:paraId="43674110"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B37D7EE" w14:textId="77777777" w:rsidR="00EF0B55" w:rsidRDefault="0022048D">
      <w:pPr>
        <w:pStyle w:val="1"/>
        <w:snapToGrid w:val="0"/>
        <w:spacing w:beforeLines="0" w:before="240" w:after="240"/>
        <w:rPr>
          <w:rFonts w:ascii="宋体" w:hAnsi="宋体"/>
          <w:szCs w:val="30"/>
        </w:rPr>
      </w:pPr>
      <w:bookmarkStart w:id="45" w:name="_Toc166054631"/>
      <w:r>
        <w:rPr>
          <w:rFonts w:ascii="Times New Roman" w:hAnsi="Times New Roman"/>
          <w:sz w:val="30"/>
        </w:rPr>
        <w:lastRenderedPageBreak/>
        <w:t>二十五、招募说明书的存放及查阅方式</w:t>
      </w:r>
      <w:bookmarkEnd w:id="45"/>
    </w:p>
    <w:p w14:paraId="5863AC7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02DD07F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748725F5" w14:textId="77777777" w:rsidR="00222BF8" w:rsidRDefault="0022048D" w:rsidP="00222BF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FC80DAE" w14:textId="77777777" w:rsidR="00EF0B55" w:rsidRDefault="0022048D">
      <w:pPr>
        <w:pStyle w:val="1"/>
        <w:snapToGrid w:val="0"/>
        <w:spacing w:beforeLines="0" w:before="240" w:after="240"/>
        <w:rPr>
          <w:rFonts w:ascii="宋体" w:hAnsi="宋体"/>
          <w:szCs w:val="30"/>
        </w:rPr>
      </w:pPr>
      <w:bookmarkStart w:id="46" w:name="_Toc166054632"/>
      <w:r>
        <w:rPr>
          <w:rFonts w:ascii="Times New Roman" w:hAnsi="Times New Roman"/>
          <w:sz w:val="30"/>
        </w:rPr>
        <w:lastRenderedPageBreak/>
        <w:t>二十六、备查文件</w:t>
      </w:r>
      <w:bookmarkEnd w:id="46"/>
    </w:p>
    <w:p w14:paraId="38C1CFB6"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7E4A4A9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（一）中国证监会准予交银施罗德丰晟收益债券型证券投资基金募集注册的文件</w:t>
      </w:r>
    </w:p>
    <w:p w14:paraId="031B612A"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（二）《交银施罗德丰晟收益债券型证券投资基金基金合同》</w:t>
      </w:r>
    </w:p>
    <w:p w14:paraId="4C6B3CA2"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（三）《交银施罗德丰晟收益债券型证券投资基金托管协议》</w:t>
      </w:r>
    </w:p>
    <w:p w14:paraId="4901EB6B"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69B14D2C"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51EA8100" w14:textId="77777777" w:rsidR="00EF0B55" w:rsidRDefault="0022048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（六）关于申请募集注册交银施罗德丰晟收益债券型证券投资基金的法律意见书</w:t>
      </w:r>
    </w:p>
    <w:sectPr w:rsidR="00EF0B55">
      <w:footerReference w:type="default" r:id="rId16"/>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3D4CB" w16cid:durableId="2AFC0BD5"/>
  <w16cid:commentId w16cid:paraId="16201493" w16cid:durableId="2AFAF925"/>
  <w16cid:commentId w16cid:paraId="204476BA" w16cid:durableId="2AFC0E71"/>
  <w16cid:commentId w16cid:paraId="3142CFFF" w16cid:durableId="2AFC118C"/>
  <w16cid:commentId w16cid:paraId="0366E839" w16cid:durableId="2AFC120B"/>
  <w16cid:commentId w16cid:paraId="457661A4" w16cid:durableId="2AFC14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83AB" w14:textId="77777777" w:rsidR="00F4039F" w:rsidRDefault="00F4039F">
      <w:r>
        <w:separator/>
      </w:r>
    </w:p>
  </w:endnote>
  <w:endnote w:type="continuationSeparator" w:id="0">
    <w:p w14:paraId="08CF811D" w14:textId="77777777" w:rsidR="00F4039F" w:rsidRDefault="00F4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B10E" w14:textId="5D2DDE54" w:rsidR="00F72732" w:rsidRDefault="00F72732">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7133AB50" wp14:editId="74257CB3">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7A089" w14:textId="3DE1B74E" w:rsidR="00F72732" w:rsidRDefault="00F7273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4099F">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3AB50"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23E7A089" w14:textId="3DE1B74E" w:rsidR="00F72732" w:rsidRDefault="00F7273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4099F">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CFC1" w14:textId="4FA18590" w:rsidR="00F72732" w:rsidRDefault="00F72732">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09913D41" wp14:editId="0D56A26A">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1687" w14:textId="0E21C543" w:rsidR="00F72732" w:rsidRDefault="00F7273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35F31">
                            <w:rPr>
                              <w:rFonts w:ascii="Times New Roman" w:hAnsi="Times New Roman"/>
                              <w:noProof/>
                              <w:kern w:val="0"/>
                              <w:sz w:val="18"/>
                              <w:szCs w:val="18"/>
                            </w:rPr>
                            <w:t>21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13D41"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79401687" w14:textId="0E21C543" w:rsidR="00F72732" w:rsidRDefault="00F7273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35F31">
                      <w:rPr>
                        <w:rFonts w:ascii="Times New Roman" w:hAnsi="Times New Roman"/>
                        <w:noProof/>
                        <w:kern w:val="0"/>
                        <w:sz w:val="18"/>
                        <w:szCs w:val="18"/>
                      </w:rPr>
                      <w:t>21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0A64F" w14:textId="77777777" w:rsidR="00F4039F" w:rsidRDefault="00F4039F">
      <w:r>
        <w:separator/>
      </w:r>
    </w:p>
  </w:footnote>
  <w:footnote w:type="continuationSeparator" w:id="0">
    <w:p w14:paraId="50549925" w14:textId="77777777" w:rsidR="00F4039F" w:rsidRDefault="00F4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2D03" w14:textId="27B2A71F" w:rsidR="00F72732" w:rsidRDefault="00F72732">
    <w:pPr>
      <w:pStyle w:val="a3"/>
      <w:jc w:val="right"/>
    </w:pPr>
    <w:r>
      <w:rPr>
        <w:noProof/>
      </w:rPr>
      <w:drawing>
        <wp:anchor distT="0" distB="0" distL="114300" distR="114300" simplePos="0" relativeHeight="251655680" behindDoc="0" locked="0" layoutInCell="1" allowOverlap="1" wp14:anchorId="0870FA01" wp14:editId="683A82A3">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3EFC120" w14:textId="77777777" w:rsidR="00F72732" w:rsidRDefault="00F72732">
    <w:pPr>
      <w:pStyle w:val="a3"/>
      <w:jc w:val="right"/>
      <w:rPr>
        <w:rFonts w:ascii="宋体" w:hAnsi="宋体"/>
      </w:rPr>
    </w:pPr>
    <w:r>
      <w:rPr>
        <w:rFonts w:ascii="宋体" w:hAnsi="宋体" w:hint="eastAsia"/>
      </w:rPr>
      <w:t>交银施罗德丰晟收益债券型证券投资基金(更新)招募说明书(2024年第1号)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EAF4" w14:textId="77777777" w:rsidR="00F72732" w:rsidRDefault="00F72732">
    <w:pPr>
      <w:pStyle w:val="11"/>
      <w:jc w:val="right"/>
    </w:pPr>
  </w:p>
  <w:p w14:paraId="3ED83961" w14:textId="77777777" w:rsidR="00F72732" w:rsidRDefault="00F72732">
    <w:pPr>
      <w:pStyle w:val="11"/>
      <w:jc w:val="right"/>
    </w:pPr>
  </w:p>
  <w:p w14:paraId="081E148F" w14:textId="77777777" w:rsidR="00F72732" w:rsidRDefault="00F72732">
    <w:pPr>
      <w:pStyle w:val="a3"/>
      <w:jc w:val="right"/>
    </w:pPr>
  </w:p>
  <w:p w14:paraId="05076F05" w14:textId="1872BE21" w:rsidR="00F72732" w:rsidRDefault="00F72732">
    <w:pPr>
      <w:pStyle w:val="a3"/>
      <w:jc w:val="right"/>
    </w:pPr>
    <w:r>
      <w:rPr>
        <w:noProof/>
      </w:rPr>
      <w:drawing>
        <wp:anchor distT="0" distB="0" distL="114300" distR="114300" simplePos="0" relativeHeight="251656704" behindDoc="0" locked="0" layoutInCell="1" allowOverlap="1" wp14:anchorId="664009AE" wp14:editId="7D2BE81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93AC7B8" w14:textId="087B565E" w:rsidR="00F72732" w:rsidRDefault="00F72732">
    <w:pPr>
      <w:pStyle w:val="a3"/>
      <w:jc w:val="right"/>
      <w:rPr>
        <w:rFonts w:ascii="宋体" w:hAnsi="宋体"/>
      </w:rPr>
    </w:pPr>
    <w:r>
      <w:rPr>
        <w:rFonts w:ascii="宋体" w:hAnsi="宋体" w:hint="eastAsia"/>
      </w:rPr>
      <w:t xml:space="preserve">交银施罗德丰晟收益债券型证券投资基金招募说明书更新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78B0" w14:textId="77777777" w:rsidR="00F72732" w:rsidRDefault="00F72732">
    <w:pPr>
      <w:pStyle w:val="a3"/>
      <w:jc w:val="right"/>
    </w:pPr>
  </w:p>
  <w:p w14:paraId="21B8A6EB" w14:textId="77777777" w:rsidR="00F72732" w:rsidRDefault="00F72732">
    <w:pPr>
      <w:pStyle w:val="a3"/>
      <w:jc w:val="right"/>
    </w:pPr>
  </w:p>
  <w:p w14:paraId="43E85AF0" w14:textId="77777777" w:rsidR="00F72732" w:rsidRDefault="00F72732">
    <w:pPr>
      <w:pStyle w:val="a3"/>
      <w:jc w:val="right"/>
    </w:pPr>
  </w:p>
  <w:p w14:paraId="43F593A9" w14:textId="33D36EA8" w:rsidR="00F72732" w:rsidRDefault="00F72732">
    <w:pPr>
      <w:pStyle w:val="a3"/>
      <w:jc w:val="right"/>
    </w:pPr>
    <w:r>
      <w:rPr>
        <w:noProof/>
      </w:rPr>
      <w:drawing>
        <wp:anchor distT="0" distB="0" distL="114300" distR="114300" simplePos="0" relativeHeight="251657728" behindDoc="0" locked="0" layoutInCell="1" allowOverlap="1" wp14:anchorId="41C04E86" wp14:editId="29A180B5">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F2E9881" w14:textId="0916E715" w:rsidR="00F72732" w:rsidRDefault="00F72732">
    <w:pPr>
      <w:pStyle w:val="a3"/>
      <w:jc w:val="right"/>
      <w:rPr>
        <w:rFonts w:ascii="宋体" w:hAnsi="宋体"/>
      </w:rPr>
    </w:pPr>
    <w:r>
      <w:rPr>
        <w:rFonts w:ascii="宋体" w:hAnsi="宋体" w:hint="eastAsia"/>
      </w:rPr>
      <w:t xml:space="preserve">交银施罗德丰晟收益债券型证券投资基金招募说明书更新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77042"/>
    <w:rsid w:val="000816EA"/>
    <w:rsid w:val="00081744"/>
    <w:rsid w:val="000828CE"/>
    <w:rsid w:val="000833CB"/>
    <w:rsid w:val="00083491"/>
    <w:rsid w:val="00084078"/>
    <w:rsid w:val="000843B3"/>
    <w:rsid w:val="000869C2"/>
    <w:rsid w:val="000876B2"/>
    <w:rsid w:val="00087F4C"/>
    <w:rsid w:val="00090648"/>
    <w:rsid w:val="00093421"/>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E7C04"/>
    <w:rsid w:val="000F0C17"/>
    <w:rsid w:val="000F1203"/>
    <w:rsid w:val="000F2904"/>
    <w:rsid w:val="000F34A1"/>
    <w:rsid w:val="000F494D"/>
    <w:rsid w:val="000F5226"/>
    <w:rsid w:val="000F5583"/>
    <w:rsid w:val="000F6050"/>
    <w:rsid w:val="000F66FF"/>
    <w:rsid w:val="000F698D"/>
    <w:rsid w:val="000F76AA"/>
    <w:rsid w:val="000F7D42"/>
    <w:rsid w:val="001008A5"/>
    <w:rsid w:val="00100C86"/>
    <w:rsid w:val="00104F86"/>
    <w:rsid w:val="0011339C"/>
    <w:rsid w:val="001135B0"/>
    <w:rsid w:val="00113FAA"/>
    <w:rsid w:val="00114BB8"/>
    <w:rsid w:val="00115AE5"/>
    <w:rsid w:val="00116489"/>
    <w:rsid w:val="0011648B"/>
    <w:rsid w:val="001166C1"/>
    <w:rsid w:val="00116874"/>
    <w:rsid w:val="001177A3"/>
    <w:rsid w:val="0012135A"/>
    <w:rsid w:val="001240EB"/>
    <w:rsid w:val="0012443D"/>
    <w:rsid w:val="00127053"/>
    <w:rsid w:val="0013182D"/>
    <w:rsid w:val="00131CEE"/>
    <w:rsid w:val="0013315B"/>
    <w:rsid w:val="00134FCF"/>
    <w:rsid w:val="00135AD8"/>
    <w:rsid w:val="0013630D"/>
    <w:rsid w:val="001367F2"/>
    <w:rsid w:val="00140707"/>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1FFC"/>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809"/>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048D"/>
    <w:rsid w:val="00221112"/>
    <w:rsid w:val="00221A1B"/>
    <w:rsid w:val="002220A4"/>
    <w:rsid w:val="00222BF8"/>
    <w:rsid w:val="00223C19"/>
    <w:rsid w:val="00224421"/>
    <w:rsid w:val="00226503"/>
    <w:rsid w:val="00226A60"/>
    <w:rsid w:val="002336E4"/>
    <w:rsid w:val="00233C22"/>
    <w:rsid w:val="0023578C"/>
    <w:rsid w:val="00235AC5"/>
    <w:rsid w:val="002377E0"/>
    <w:rsid w:val="00240BB6"/>
    <w:rsid w:val="002432CA"/>
    <w:rsid w:val="00243D40"/>
    <w:rsid w:val="00245250"/>
    <w:rsid w:val="002477CB"/>
    <w:rsid w:val="00247BF6"/>
    <w:rsid w:val="00250A33"/>
    <w:rsid w:val="00251126"/>
    <w:rsid w:val="002524D2"/>
    <w:rsid w:val="00252802"/>
    <w:rsid w:val="0025542B"/>
    <w:rsid w:val="0026027E"/>
    <w:rsid w:val="00261A50"/>
    <w:rsid w:val="00261F6C"/>
    <w:rsid w:val="002634C3"/>
    <w:rsid w:val="00265B3A"/>
    <w:rsid w:val="00265EBC"/>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4E6"/>
    <w:rsid w:val="002A1A82"/>
    <w:rsid w:val="002A2FB0"/>
    <w:rsid w:val="002A4D32"/>
    <w:rsid w:val="002A5F87"/>
    <w:rsid w:val="002B017B"/>
    <w:rsid w:val="002B0DC0"/>
    <w:rsid w:val="002B2664"/>
    <w:rsid w:val="002B4E21"/>
    <w:rsid w:val="002B5000"/>
    <w:rsid w:val="002B78AA"/>
    <w:rsid w:val="002C383C"/>
    <w:rsid w:val="002C6298"/>
    <w:rsid w:val="002D15BB"/>
    <w:rsid w:val="002D1C13"/>
    <w:rsid w:val="002D3109"/>
    <w:rsid w:val="002D378C"/>
    <w:rsid w:val="002D6413"/>
    <w:rsid w:val="002D6BDC"/>
    <w:rsid w:val="002D6F14"/>
    <w:rsid w:val="002D74D5"/>
    <w:rsid w:val="002E4922"/>
    <w:rsid w:val="002E4B2C"/>
    <w:rsid w:val="002E5261"/>
    <w:rsid w:val="002F00BB"/>
    <w:rsid w:val="002F1639"/>
    <w:rsid w:val="002F176C"/>
    <w:rsid w:val="002F1DE7"/>
    <w:rsid w:val="002F2627"/>
    <w:rsid w:val="002F2748"/>
    <w:rsid w:val="002F6445"/>
    <w:rsid w:val="002F6580"/>
    <w:rsid w:val="002F6D77"/>
    <w:rsid w:val="002F6DE8"/>
    <w:rsid w:val="002F74D8"/>
    <w:rsid w:val="002F7C72"/>
    <w:rsid w:val="002F7EDC"/>
    <w:rsid w:val="003003A8"/>
    <w:rsid w:val="0030091B"/>
    <w:rsid w:val="00301E62"/>
    <w:rsid w:val="00304063"/>
    <w:rsid w:val="0030555F"/>
    <w:rsid w:val="00305A3B"/>
    <w:rsid w:val="00305BB4"/>
    <w:rsid w:val="0030645F"/>
    <w:rsid w:val="00310094"/>
    <w:rsid w:val="003117B9"/>
    <w:rsid w:val="00311C71"/>
    <w:rsid w:val="00313073"/>
    <w:rsid w:val="0031336C"/>
    <w:rsid w:val="0031339F"/>
    <w:rsid w:val="00313F3E"/>
    <w:rsid w:val="00323F65"/>
    <w:rsid w:val="00326147"/>
    <w:rsid w:val="0033051E"/>
    <w:rsid w:val="0033401D"/>
    <w:rsid w:val="00334456"/>
    <w:rsid w:val="003358FD"/>
    <w:rsid w:val="00336150"/>
    <w:rsid w:val="00336E99"/>
    <w:rsid w:val="00342417"/>
    <w:rsid w:val="003454EC"/>
    <w:rsid w:val="00346537"/>
    <w:rsid w:val="00347B94"/>
    <w:rsid w:val="003527DD"/>
    <w:rsid w:val="00352A3B"/>
    <w:rsid w:val="003547A2"/>
    <w:rsid w:val="00355171"/>
    <w:rsid w:val="00362702"/>
    <w:rsid w:val="00362A37"/>
    <w:rsid w:val="00362CF0"/>
    <w:rsid w:val="00362D5D"/>
    <w:rsid w:val="00364AC5"/>
    <w:rsid w:val="00364B44"/>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86CF4"/>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8B1"/>
    <w:rsid w:val="003D0B3E"/>
    <w:rsid w:val="003D2352"/>
    <w:rsid w:val="003D3863"/>
    <w:rsid w:val="003D3D0A"/>
    <w:rsid w:val="003E0800"/>
    <w:rsid w:val="003E1584"/>
    <w:rsid w:val="003E1832"/>
    <w:rsid w:val="003E33DE"/>
    <w:rsid w:val="003E3593"/>
    <w:rsid w:val="003E3836"/>
    <w:rsid w:val="003E585F"/>
    <w:rsid w:val="003E6049"/>
    <w:rsid w:val="003E67F9"/>
    <w:rsid w:val="003F0D27"/>
    <w:rsid w:val="003F1C98"/>
    <w:rsid w:val="003F317C"/>
    <w:rsid w:val="003F4813"/>
    <w:rsid w:val="00401DD2"/>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5303"/>
    <w:rsid w:val="00456785"/>
    <w:rsid w:val="00462EB0"/>
    <w:rsid w:val="00463933"/>
    <w:rsid w:val="00464346"/>
    <w:rsid w:val="0046505F"/>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0C22"/>
    <w:rsid w:val="004B17D8"/>
    <w:rsid w:val="004B2323"/>
    <w:rsid w:val="004B62C3"/>
    <w:rsid w:val="004C0BC8"/>
    <w:rsid w:val="004C461A"/>
    <w:rsid w:val="004C7D23"/>
    <w:rsid w:val="004D0783"/>
    <w:rsid w:val="004D11CB"/>
    <w:rsid w:val="004D38D1"/>
    <w:rsid w:val="004D49E3"/>
    <w:rsid w:val="004D7163"/>
    <w:rsid w:val="004E0366"/>
    <w:rsid w:val="004E14B8"/>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23A1"/>
    <w:rsid w:val="00534EFD"/>
    <w:rsid w:val="005362F2"/>
    <w:rsid w:val="00543B42"/>
    <w:rsid w:val="0054651A"/>
    <w:rsid w:val="00546EA9"/>
    <w:rsid w:val="005474CD"/>
    <w:rsid w:val="005501B7"/>
    <w:rsid w:val="0055152E"/>
    <w:rsid w:val="00552094"/>
    <w:rsid w:val="00553D73"/>
    <w:rsid w:val="00554BAF"/>
    <w:rsid w:val="00555A15"/>
    <w:rsid w:val="00556291"/>
    <w:rsid w:val="00556634"/>
    <w:rsid w:val="005569E4"/>
    <w:rsid w:val="00560E11"/>
    <w:rsid w:val="00561147"/>
    <w:rsid w:val="00561463"/>
    <w:rsid w:val="00561F8F"/>
    <w:rsid w:val="00562FC8"/>
    <w:rsid w:val="00563A0E"/>
    <w:rsid w:val="005647D0"/>
    <w:rsid w:val="00574C59"/>
    <w:rsid w:val="00576CE2"/>
    <w:rsid w:val="005770AC"/>
    <w:rsid w:val="00577C1A"/>
    <w:rsid w:val="00577FAA"/>
    <w:rsid w:val="0058041D"/>
    <w:rsid w:val="00581675"/>
    <w:rsid w:val="005826AA"/>
    <w:rsid w:val="00583CE7"/>
    <w:rsid w:val="005856E9"/>
    <w:rsid w:val="005867BB"/>
    <w:rsid w:val="00587452"/>
    <w:rsid w:val="00591C2A"/>
    <w:rsid w:val="00592461"/>
    <w:rsid w:val="00592539"/>
    <w:rsid w:val="005943C8"/>
    <w:rsid w:val="00596A05"/>
    <w:rsid w:val="00596D6D"/>
    <w:rsid w:val="00597284"/>
    <w:rsid w:val="00597F8F"/>
    <w:rsid w:val="005A1EA2"/>
    <w:rsid w:val="005A2467"/>
    <w:rsid w:val="005A44AB"/>
    <w:rsid w:val="005A5858"/>
    <w:rsid w:val="005A6E51"/>
    <w:rsid w:val="005A7C7F"/>
    <w:rsid w:val="005A7D88"/>
    <w:rsid w:val="005B07D4"/>
    <w:rsid w:val="005B130C"/>
    <w:rsid w:val="005B14FF"/>
    <w:rsid w:val="005B3B71"/>
    <w:rsid w:val="005B4B1B"/>
    <w:rsid w:val="005B4F0F"/>
    <w:rsid w:val="005B53FE"/>
    <w:rsid w:val="005B58F0"/>
    <w:rsid w:val="005C0E62"/>
    <w:rsid w:val="005C0F5B"/>
    <w:rsid w:val="005C2E15"/>
    <w:rsid w:val="005C403B"/>
    <w:rsid w:val="005C63CB"/>
    <w:rsid w:val="005D0AA6"/>
    <w:rsid w:val="005D165F"/>
    <w:rsid w:val="005D21F3"/>
    <w:rsid w:val="005D3CF8"/>
    <w:rsid w:val="005D5D89"/>
    <w:rsid w:val="005E0D2D"/>
    <w:rsid w:val="005E3FB6"/>
    <w:rsid w:val="005F1175"/>
    <w:rsid w:val="005F4583"/>
    <w:rsid w:val="005F4ABB"/>
    <w:rsid w:val="005F6066"/>
    <w:rsid w:val="005F6562"/>
    <w:rsid w:val="005F6C6D"/>
    <w:rsid w:val="005F6F09"/>
    <w:rsid w:val="005F787A"/>
    <w:rsid w:val="0060140A"/>
    <w:rsid w:val="006019C7"/>
    <w:rsid w:val="00601E7B"/>
    <w:rsid w:val="00601EBC"/>
    <w:rsid w:val="00602D32"/>
    <w:rsid w:val="00603A84"/>
    <w:rsid w:val="006067DC"/>
    <w:rsid w:val="00610629"/>
    <w:rsid w:val="00611BCD"/>
    <w:rsid w:val="0061258D"/>
    <w:rsid w:val="006142EC"/>
    <w:rsid w:val="006155A5"/>
    <w:rsid w:val="00616375"/>
    <w:rsid w:val="00617824"/>
    <w:rsid w:val="00624214"/>
    <w:rsid w:val="00625419"/>
    <w:rsid w:val="00626D1A"/>
    <w:rsid w:val="00627429"/>
    <w:rsid w:val="0063089C"/>
    <w:rsid w:val="00632A91"/>
    <w:rsid w:val="006345E8"/>
    <w:rsid w:val="0063765C"/>
    <w:rsid w:val="006403CB"/>
    <w:rsid w:val="0064099F"/>
    <w:rsid w:val="006410B0"/>
    <w:rsid w:val="0064139F"/>
    <w:rsid w:val="00641404"/>
    <w:rsid w:val="00641EDA"/>
    <w:rsid w:val="00642B97"/>
    <w:rsid w:val="00643026"/>
    <w:rsid w:val="00643680"/>
    <w:rsid w:val="00644453"/>
    <w:rsid w:val="00644B32"/>
    <w:rsid w:val="00646057"/>
    <w:rsid w:val="0064639A"/>
    <w:rsid w:val="0064646F"/>
    <w:rsid w:val="00646523"/>
    <w:rsid w:val="00647BDD"/>
    <w:rsid w:val="0065196C"/>
    <w:rsid w:val="0065273C"/>
    <w:rsid w:val="00656A74"/>
    <w:rsid w:val="00657221"/>
    <w:rsid w:val="00661FC1"/>
    <w:rsid w:val="00663FED"/>
    <w:rsid w:val="00664B64"/>
    <w:rsid w:val="006678E3"/>
    <w:rsid w:val="00667A9C"/>
    <w:rsid w:val="006702B9"/>
    <w:rsid w:val="006712E8"/>
    <w:rsid w:val="00677DA7"/>
    <w:rsid w:val="00680212"/>
    <w:rsid w:val="006805EA"/>
    <w:rsid w:val="00680C90"/>
    <w:rsid w:val="00681036"/>
    <w:rsid w:val="006823AD"/>
    <w:rsid w:val="00682C29"/>
    <w:rsid w:val="00684D2B"/>
    <w:rsid w:val="00685872"/>
    <w:rsid w:val="00685AD7"/>
    <w:rsid w:val="00691963"/>
    <w:rsid w:val="00692124"/>
    <w:rsid w:val="00692D96"/>
    <w:rsid w:val="00693C96"/>
    <w:rsid w:val="00696339"/>
    <w:rsid w:val="00696982"/>
    <w:rsid w:val="006A3F85"/>
    <w:rsid w:val="006A48FA"/>
    <w:rsid w:val="006A56F1"/>
    <w:rsid w:val="006A6E5C"/>
    <w:rsid w:val="006B0972"/>
    <w:rsid w:val="006B2479"/>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E7BC4"/>
    <w:rsid w:val="006F04C6"/>
    <w:rsid w:val="006F08A0"/>
    <w:rsid w:val="006F2A97"/>
    <w:rsid w:val="006F2DF6"/>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353E"/>
    <w:rsid w:val="007245A5"/>
    <w:rsid w:val="00731628"/>
    <w:rsid w:val="00734058"/>
    <w:rsid w:val="00734108"/>
    <w:rsid w:val="007343AD"/>
    <w:rsid w:val="0073448D"/>
    <w:rsid w:val="00735087"/>
    <w:rsid w:val="00735F31"/>
    <w:rsid w:val="00736FA0"/>
    <w:rsid w:val="0074053E"/>
    <w:rsid w:val="0075000E"/>
    <w:rsid w:val="00752156"/>
    <w:rsid w:val="00753A7A"/>
    <w:rsid w:val="00756E77"/>
    <w:rsid w:val="007577C2"/>
    <w:rsid w:val="00757C73"/>
    <w:rsid w:val="0076038F"/>
    <w:rsid w:val="00760D77"/>
    <w:rsid w:val="007617E5"/>
    <w:rsid w:val="00762111"/>
    <w:rsid w:val="0076713C"/>
    <w:rsid w:val="007701AD"/>
    <w:rsid w:val="0077124E"/>
    <w:rsid w:val="00772FA7"/>
    <w:rsid w:val="0077578C"/>
    <w:rsid w:val="00781ACA"/>
    <w:rsid w:val="007823CF"/>
    <w:rsid w:val="00783E35"/>
    <w:rsid w:val="00784F67"/>
    <w:rsid w:val="007853B2"/>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B9C"/>
    <w:rsid w:val="007B6FA3"/>
    <w:rsid w:val="007B705D"/>
    <w:rsid w:val="007C2733"/>
    <w:rsid w:val="007C5764"/>
    <w:rsid w:val="007C57A4"/>
    <w:rsid w:val="007C61D0"/>
    <w:rsid w:val="007C6FAA"/>
    <w:rsid w:val="007C768F"/>
    <w:rsid w:val="007D251F"/>
    <w:rsid w:val="007D4FA2"/>
    <w:rsid w:val="007D50E9"/>
    <w:rsid w:val="007E0874"/>
    <w:rsid w:val="007E0FAD"/>
    <w:rsid w:val="007E60E9"/>
    <w:rsid w:val="007E63F3"/>
    <w:rsid w:val="007E6F5A"/>
    <w:rsid w:val="007F0916"/>
    <w:rsid w:val="007F0ACA"/>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6283"/>
    <w:rsid w:val="00827CD1"/>
    <w:rsid w:val="00830775"/>
    <w:rsid w:val="00832164"/>
    <w:rsid w:val="00832F53"/>
    <w:rsid w:val="00834003"/>
    <w:rsid w:val="0083455F"/>
    <w:rsid w:val="00834EA0"/>
    <w:rsid w:val="00837263"/>
    <w:rsid w:val="00843042"/>
    <w:rsid w:val="00843C37"/>
    <w:rsid w:val="00844886"/>
    <w:rsid w:val="00844C2D"/>
    <w:rsid w:val="00846D68"/>
    <w:rsid w:val="008518E5"/>
    <w:rsid w:val="00852B15"/>
    <w:rsid w:val="00855C88"/>
    <w:rsid w:val="00856135"/>
    <w:rsid w:val="00857A96"/>
    <w:rsid w:val="00861FE5"/>
    <w:rsid w:val="0086203E"/>
    <w:rsid w:val="0086376D"/>
    <w:rsid w:val="008703C2"/>
    <w:rsid w:val="0087209F"/>
    <w:rsid w:val="00877F35"/>
    <w:rsid w:val="008806CC"/>
    <w:rsid w:val="00880C7D"/>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305"/>
    <w:rsid w:val="008B691D"/>
    <w:rsid w:val="008C4D11"/>
    <w:rsid w:val="008D54FA"/>
    <w:rsid w:val="008D5C05"/>
    <w:rsid w:val="008D6490"/>
    <w:rsid w:val="008D6FFD"/>
    <w:rsid w:val="008E0355"/>
    <w:rsid w:val="008E1191"/>
    <w:rsid w:val="008E3136"/>
    <w:rsid w:val="008E342E"/>
    <w:rsid w:val="008E4D9C"/>
    <w:rsid w:val="008E566D"/>
    <w:rsid w:val="008E588C"/>
    <w:rsid w:val="008F0F1C"/>
    <w:rsid w:val="008F52D9"/>
    <w:rsid w:val="008F6BC6"/>
    <w:rsid w:val="00902B4C"/>
    <w:rsid w:val="00903FC5"/>
    <w:rsid w:val="0090403F"/>
    <w:rsid w:val="00904D21"/>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5E89"/>
    <w:rsid w:val="00946A6A"/>
    <w:rsid w:val="00947EB7"/>
    <w:rsid w:val="0095056B"/>
    <w:rsid w:val="00951FC3"/>
    <w:rsid w:val="009520BD"/>
    <w:rsid w:val="00952B29"/>
    <w:rsid w:val="00952F4C"/>
    <w:rsid w:val="00953DBA"/>
    <w:rsid w:val="00954137"/>
    <w:rsid w:val="00955882"/>
    <w:rsid w:val="00955ABF"/>
    <w:rsid w:val="00956F74"/>
    <w:rsid w:val="00956F84"/>
    <w:rsid w:val="009575A0"/>
    <w:rsid w:val="00957C6C"/>
    <w:rsid w:val="00957CDC"/>
    <w:rsid w:val="00960AA2"/>
    <w:rsid w:val="00963092"/>
    <w:rsid w:val="009649DC"/>
    <w:rsid w:val="00966EB2"/>
    <w:rsid w:val="00970C67"/>
    <w:rsid w:val="00972858"/>
    <w:rsid w:val="00974456"/>
    <w:rsid w:val="00975F51"/>
    <w:rsid w:val="00984C12"/>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081C"/>
    <w:rsid w:val="009D2E97"/>
    <w:rsid w:val="009D328E"/>
    <w:rsid w:val="009D3438"/>
    <w:rsid w:val="009D3B88"/>
    <w:rsid w:val="009D40B6"/>
    <w:rsid w:val="009D4D3A"/>
    <w:rsid w:val="009D7AD4"/>
    <w:rsid w:val="009E1231"/>
    <w:rsid w:val="009E1A57"/>
    <w:rsid w:val="009E36CA"/>
    <w:rsid w:val="009E4B6B"/>
    <w:rsid w:val="009E6470"/>
    <w:rsid w:val="009E7175"/>
    <w:rsid w:val="009E7BC9"/>
    <w:rsid w:val="009F08CB"/>
    <w:rsid w:val="009F155E"/>
    <w:rsid w:val="009F1E5E"/>
    <w:rsid w:val="009F497B"/>
    <w:rsid w:val="009F5331"/>
    <w:rsid w:val="009F6453"/>
    <w:rsid w:val="009F6AD6"/>
    <w:rsid w:val="009F6F30"/>
    <w:rsid w:val="009F7BFB"/>
    <w:rsid w:val="00A0081F"/>
    <w:rsid w:val="00A01B61"/>
    <w:rsid w:val="00A03BCB"/>
    <w:rsid w:val="00A048F3"/>
    <w:rsid w:val="00A04CA6"/>
    <w:rsid w:val="00A052DD"/>
    <w:rsid w:val="00A056DB"/>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34C86"/>
    <w:rsid w:val="00A40DFB"/>
    <w:rsid w:val="00A418EF"/>
    <w:rsid w:val="00A435BF"/>
    <w:rsid w:val="00A448B0"/>
    <w:rsid w:val="00A44D4F"/>
    <w:rsid w:val="00A46981"/>
    <w:rsid w:val="00A5210B"/>
    <w:rsid w:val="00A524EC"/>
    <w:rsid w:val="00A52F4A"/>
    <w:rsid w:val="00A531D6"/>
    <w:rsid w:val="00A54346"/>
    <w:rsid w:val="00A55211"/>
    <w:rsid w:val="00A569C9"/>
    <w:rsid w:val="00A5735F"/>
    <w:rsid w:val="00A57E0C"/>
    <w:rsid w:val="00A6039D"/>
    <w:rsid w:val="00A631B5"/>
    <w:rsid w:val="00A63351"/>
    <w:rsid w:val="00A64085"/>
    <w:rsid w:val="00A6487D"/>
    <w:rsid w:val="00A65DF5"/>
    <w:rsid w:val="00A66D3E"/>
    <w:rsid w:val="00A676CE"/>
    <w:rsid w:val="00A7001C"/>
    <w:rsid w:val="00A70A43"/>
    <w:rsid w:val="00A74560"/>
    <w:rsid w:val="00A75807"/>
    <w:rsid w:val="00A77913"/>
    <w:rsid w:val="00A8209D"/>
    <w:rsid w:val="00A82740"/>
    <w:rsid w:val="00A832A8"/>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C7BC9"/>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07C3A"/>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5FF"/>
    <w:rsid w:val="00B72FA0"/>
    <w:rsid w:val="00B73209"/>
    <w:rsid w:val="00B74FC7"/>
    <w:rsid w:val="00B7708B"/>
    <w:rsid w:val="00B7721B"/>
    <w:rsid w:val="00B80E25"/>
    <w:rsid w:val="00B8347E"/>
    <w:rsid w:val="00B84B4A"/>
    <w:rsid w:val="00B8589C"/>
    <w:rsid w:val="00B85A1A"/>
    <w:rsid w:val="00B86BAC"/>
    <w:rsid w:val="00B97B35"/>
    <w:rsid w:val="00BA3196"/>
    <w:rsid w:val="00BA3509"/>
    <w:rsid w:val="00BA5877"/>
    <w:rsid w:val="00BA60F0"/>
    <w:rsid w:val="00BA7C74"/>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3A16"/>
    <w:rsid w:val="00C04C13"/>
    <w:rsid w:val="00C0523E"/>
    <w:rsid w:val="00C06C3C"/>
    <w:rsid w:val="00C0751C"/>
    <w:rsid w:val="00C07D81"/>
    <w:rsid w:val="00C07F14"/>
    <w:rsid w:val="00C11B64"/>
    <w:rsid w:val="00C1218B"/>
    <w:rsid w:val="00C12B6B"/>
    <w:rsid w:val="00C135F1"/>
    <w:rsid w:val="00C140D0"/>
    <w:rsid w:val="00C145D9"/>
    <w:rsid w:val="00C14775"/>
    <w:rsid w:val="00C150A5"/>
    <w:rsid w:val="00C22B21"/>
    <w:rsid w:val="00C23593"/>
    <w:rsid w:val="00C23845"/>
    <w:rsid w:val="00C31846"/>
    <w:rsid w:val="00C32A33"/>
    <w:rsid w:val="00C34F5C"/>
    <w:rsid w:val="00C367FB"/>
    <w:rsid w:val="00C41389"/>
    <w:rsid w:val="00C41BB7"/>
    <w:rsid w:val="00C42379"/>
    <w:rsid w:val="00C44004"/>
    <w:rsid w:val="00C445F4"/>
    <w:rsid w:val="00C522B1"/>
    <w:rsid w:val="00C54DF3"/>
    <w:rsid w:val="00C6017D"/>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1958"/>
    <w:rsid w:val="00CB5515"/>
    <w:rsid w:val="00CB76EF"/>
    <w:rsid w:val="00CB7840"/>
    <w:rsid w:val="00CC0E24"/>
    <w:rsid w:val="00CC2390"/>
    <w:rsid w:val="00CC34E2"/>
    <w:rsid w:val="00CC3655"/>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CF45C9"/>
    <w:rsid w:val="00D00CF9"/>
    <w:rsid w:val="00D0125C"/>
    <w:rsid w:val="00D012FF"/>
    <w:rsid w:val="00D04CD8"/>
    <w:rsid w:val="00D04DEC"/>
    <w:rsid w:val="00D114ED"/>
    <w:rsid w:val="00D1261E"/>
    <w:rsid w:val="00D1343A"/>
    <w:rsid w:val="00D13F32"/>
    <w:rsid w:val="00D14B5E"/>
    <w:rsid w:val="00D1685E"/>
    <w:rsid w:val="00D171BA"/>
    <w:rsid w:val="00D25B74"/>
    <w:rsid w:val="00D25CA1"/>
    <w:rsid w:val="00D31474"/>
    <w:rsid w:val="00D32933"/>
    <w:rsid w:val="00D3579F"/>
    <w:rsid w:val="00D36B62"/>
    <w:rsid w:val="00D37BF5"/>
    <w:rsid w:val="00D421A7"/>
    <w:rsid w:val="00D421B1"/>
    <w:rsid w:val="00D42987"/>
    <w:rsid w:val="00D42C18"/>
    <w:rsid w:val="00D43F5E"/>
    <w:rsid w:val="00D44623"/>
    <w:rsid w:val="00D47CF6"/>
    <w:rsid w:val="00D50820"/>
    <w:rsid w:val="00D511C3"/>
    <w:rsid w:val="00D5481D"/>
    <w:rsid w:val="00D55B2D"/>
    <w:rsid w:val="00D57497"/>
    <w:rsid w:val="00D60045"/>
    <w:rsid w:val="00D628AE"/>
    <w:rsid w:val="00D647C9"/>
    <w:rsid w:val="00D6531A"/>
    <w:rsid w:val="00D6632B"/>
    <w:rsid w:val="00D66647"/>
    <w:rsid w:val="00D67995"/>
    <w:rsid w:val="00D7163F"/>
    <w:rsid w:val="00D7298C"/>
    <w:rsid w:val="00D73998"/>
    <w:rsid w:val="00D73B8E"/>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2E51"/>
    <w:rsid w:val="00DB3CAF"/>
    <w:rsid w:val="00DB4966"/>
    <w:rsid w:val="00DC1386"/>
    <w:rsid w:val="00DC7A46"/>
    <w:rsid w:val="00DD0F54"/>
    <w:rsid w:val="00DD4F7A"/>
    <w:rsid w:val="00DD5050"/>
    <w:rsid w:val="00DD5306"/>
    <w:rsid w:val="00DD5903"/>
    <w:rsid w:val="00DD5E1E"/>
    <w:rsid w:val="00DE1B16"/>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1702"/>
    <w:rsid w:val="00E329A6"/>
    <w:rsid w:val="00E34CB5"/>
    <w:rsid w:val="00E36419"/>
    <w:rsid w:val="00E37789"/>
    <w:rsid w:val="00E417CC"/>
    <w:rsid w:val="00E42265"/>
    <w:rsid w:val="00E45DAA"/>
    <w:rsid w:val="00E46560"/>
    <w:rsid w:val="00E47307"/>
    <w:rsid w:val="00E47601"/>
    <w:rsid w:val="00E50DB1"/>
    <w:rsid w:val="00E51053"/>
    <w:rsid w:val="00E51A6B"/>
    <w:rsid w:val="00E51A9F"/>
    <w:rsid w:val="00E52CA8"/>
    <w:rsid w:val="00E550CE"/>
    <w:rsid w:val="00E60B86"/>
    <w:rsid w:val="00E6192E"/>
    <w:rsid w:val="00E62E45"/>
    <w:rsid w:val="00E62F7D"/>
    <w:rsid w:val="00E6638B"/>
    <w:rsid w:val="00E700B8"/>
    <w:rsid w:val="00E702B9"/>
    <w:rsid w:val="00E70588"/>
    <w:rsid w:val="00E75FA1"/>
    <w:rsid w:val="00E76419"/>
    <w:rsid w:val="00E77787"/>
    <w:rsid w:val="00E77CD7"/>
    <w:rsid w:val="00E80D7C"/>
    <w:rsid w:val="00E82017"/>
    <w:rsid w:val="00E82792"/>
    <w:rsid w:val="00E844D7"/>
    <w:rsid w:val="00E857F9"/>
    <w:rsid w:val="00E9086F"/>
    <w:rsid w:val="00E92E9D"/>
    <w:rsid w:val="00E93B3C"/>
    <w:rsid w:val="00E96A7F"/>
    <w:rsid w:val="00EA031A"/>
    <w:rsid w:val="00EA0CE9"/>
    <w:rsid w:val="00EA1A40"/>
    <w:rsid w:val="00EA330D"/>
    <w:rsid w:val="00EA5190"/>
    <w:rsid w:val="00EA5F4C"/>
    <w:rsid w:val="00EA6109"/>
    <w:rsid w:val="00EB2688"/>
    <w:rsid w:val="00EB3C67"/>
    <w:rsid w:val="00EB6181"/>
    <w:rsid w:val="00EB664F"/>
    <w:rsid w:val="00EB7E37"/>
    <w:rsid w:val="00EC12E8"/>
    <w:rsid w:val="00EC1357"/>
    <w:rsid w:val="00EC5ACF"/>
    <w:rsid w:val="00ED22A8"/>
    <w:rsid w:val="00ED2479"/>
    <w:rsid w:val="00ED3778"/>
    <w:rsid w:val="00ED4EB4"/>
    <w:rsid w:val="00ED5D09"/>
    <w:rsid w:val="00ED7107"/>
    <w:rsid w:val="00EE2221"/>
    <w:rsid w:val="00EE276F"/>
    <w:rsid w:val="00EE2982"/>
    <w:rsid w:val="00EE634F"/>
    <w:rsid w:val="00EF0B55"/>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6832"/>
    <w:rsid w:val="00F276F1"/>
    <w:rsid w:val="00F32680"/>
    <w:rsid w:val="00F33A66"/>
    <w:rsid w:val="00F34368"/>
    <w:rsid w:val="00F34E5A"/>
    <w:rsid w:val="00F35452"/>
    <w:rsid w:val="00F4039F"/>
    <w:rsid w:val="00F45532"/>
    <w:rsid w:val="00F45ED2"/>
    <w:rsid w:val="00F53C4F"/>
    <w:rsid w:val="00F56A51"/>
    <w:rsid w:val="00F61899"/>
    <w:rsid w:val="00F66CD4"/>
    <w:rsid w:val="00F66E01"/>
    <w:rsid w:val="00F7129A"/>
    <w:rsid w:val="00F7180D"/>
    <w:rsid w:val="00F72732"/>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4D49"/>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54A8"/>
    <w:rsid w:val="00FD6BFE"/>
    <w:rsid w:val="00FD6FCE"/>
    <w:rsid w:val="00FE3FF3"/>
    <w:rsid w:val="00FE6D8B"/>
    <w:rsid w:val="00FF28B7"/>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C258E"/>
  <w15:docId w15:val="{6D38E05F-77F7-4E18-B850-3F8459A5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1E380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089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167</Pages>
  <Words>17349</Words>
  <Characters>98895</Characters>
  <Application>Microsoft Office Word</Application>
  <DocSecurity>0</DocSecurity>
  <Lines>824</Lines>
  <Paragraphs>232</Paragraphs>
  <ScaleCrop>false</ScaleCrop>
  <Company>Microsoft</Company>
  <LinksUpToDate>false</LinksUpToDate>
  <CharactersWithSpaces>116012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73</cp:revision>
  <cp:lastPrinted>2013-02-18T03:10:00Z</cp:lastPrinted>
  <dcterms:created xsi:type="dcterms:W3CDTF">2024-12-05T07:32:00Z</dcterms:created>
  <dcterms:modified xsi:type="dcterms:W3CDTF">2024-12-17T08:55:00Z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