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C4FB" w14:textId="77777777" w:rsidR="00896C5A" w:rsidRPr="00896C5A" w:rsidRDefault="00896C5A">
      <w:pPr>
        <w:adjustRightInd w:val="0"/>
        <w:snapToGrid w:val="0"/>
        <w:spacing w:line="360" w:lineRule="auto"/>
        <w:jc w:val="center"/>
        <w:rPr>
          <w:sz w:val="24"/>
        </w:rPr>
        <w:sectPr w:rsidR="00896C5A" w:rsidRPr="00896C5A">
          <w:headerReference w:type="default" r:id="rId32"/>
          <w:footerReference w:type="default" r:id="rId33"/>
          <w:type w:val="continuous"/>
          <w:pgSz w:w="11906" w:h="16838"/>
          <w:pgMar w:top="1418" w:right="1701" w:bottom="1418" w:left="1701" w:header="851" w:footer="992" w:gutter="0"/>
          <w:cols w:space="425"/>
          <w:docGrid w:type="lines" w:linePitch="312"/>
        </w:sectPr>
      </w:pPr>
      <w:bookmarkStart w:id="0" w:name="TITLE_2a924497f9bb4884b6cf772784cbf668"/>
      <w:bookmarkStart w:id="1" w:name="_GoBack"/>
      <w:bookmarkEnd w:id="1"/>
      <w:r>
        <w:t xml:space="preserve"> </w:t>
      </w:r>
    </w:p>
    <w:p w14:paraId="562095F7" w14:textId="77777777" w:rsidR="00896C5A" w:rsidRPr="00896C5A" w:rsidRDefault="00896C5A">
      <w:pPr>
        <w:adjustRightInd w:val="0"/>
        <w:snapToGrid w:val="0"/>
        <w:spacing w:line="360" w:lineRule="auto"/>
        <w:jc w:val="center"/>
        <w:rPr>
          <w:sz w:val="24"/>
        </w:rPr>
      </w:pPr>
      <w:bookmarkStart w:id="2" w:name="CLAUSE_78f6ed0be66a41cfa526615d3f7170b8"/>
      <w:bookmarkEnd w:id="0"/>
      <w:r>
        <w:t xml:space="preserve"> </w:t>
      </w:r>
      <w:bookmarkStart w:id="3" w:name="CTS_78f6ed0be66a41cfa526615d3f7170b8"/>
      <w:bookmarkEnd w:id="3"/>
    </w:p>
    <w:p w14:paraId="3B261B31" w14:textId="77777777" w:rsidR="00896C5A" w:rsidRPr="00896C5A" w:rsidRDefault="00896C5A">
      <w:pPr>
        <w:adjustRightInd w:val="0"/>
        <w:snapToGrid w:val="0"/>
        <w:spacing w:line="360" w:lineRule="auto"/>
        <w:jc w:val="center"/>
        <w:rPr>
          <w:sz w:val="24"/>
        </w:rPr>
      </w:pPr>
    </w:p>
    <w:p w14:paraId="3FEE074F" w14:textId="77777777" w:rsidR="00896C5A" w:rsidRPr="00456F57" w:rsidRDefault="008726BD">
      <w:pPr>
        <w:adjustRightInd w:val="0"/>
        <w:snapToGrid w:val="0"/>
        <w:spacing w:line="360" w:lineRule="auto"/>
        <w:jc w:val="center"/>
        <w:rPr>
          <w:rFonts w:cs="Arial"/>
          <w:sz w:val="24"/>
        </w:rPr>
      </w:pPr>
      <w:r>
        <w:rPr>
          <w:noProof/>
          <w:sz w:val="44"/>
        </w:rPr>
        <w:drawing>
          <wp:inline distT="0" distB="0" distL="0" distR="0" wp14:anchorId="10234CFE" wp14:editId="354D5D47">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99B39BE" w14:textId="77777777" w:rsidR="00896C5A" w:rsidRPr="00456F57" w:rsidRDefault="00896C5A">
      <w:pPr>
        <w:adjustRightInd w:val="0"/>
        <w:snapToGrid w:val="0"/>
        <w:spacing w:line="360" w:lineRule="auto"/>
        <w:jc w:val="center"/>
        <w:rPr>
          <w:rFonts w:cs="Arial"/>
          <w:sz w:val="24"/>
        </w:rPr>
      </w:pPr>
    </w:p>
    <w:p w14:paraId="4302F1E9" w14:textId="77777777" w:rsidR="00896C5A" w:rsidRPr="00456F57" w:rsidRDefault="00896C5A">
      <w:pPr>
        <w:adjustRightInd w:val="0"/>
        <w:snapToGrid w:val="0"/>
        <w:spacing w:line="360" w:lineRule="auto"/>
        <w:jc w:val="center"/>
        <w:rPr>
          <w:rFonts w:cs="Arial"/>
          <w:sz w:val="24"/>
        </w:rPr>
      </w:pPr>
    </w:p>
    <w:p w14:paraId="630740D9" w14:textId="77777777" w:rsidR="00896C5A" w:rsidRPr="00456F57" w:rsidRDefault="002D6BC2">
      <w:pPr>
        <w:adjustRightInd w:val="0"/>
        <w:snapToGrid w:val="0"/>
        <w:spacing w:line="360" w:lineRule="auto"/>
        <w:jc w:val="center"/>
        <w:rPr>
          <w:rFonts w:ascii="黑体" w:eastAsia="黑体" w:hAnsi="黑体" w:cs="Arial"/>
          <w:b/>
          <w:sz w:val="48"/>
          <w:szCs w:val="48"/>
        </w:rPr>
      </w:pPr>
      <w:r w:rsidRPr="00456F57">
        <w:rPr>
          <w:rFonts w:ascii="黑体" w:hAnsi="黑体" w:hint="eastAsia"/>
          <w:b/>
          <w:sz w:val="48"/>
        </w:rPr>
        <w:t>交银施罗德</w:t>
      </w:r>
      <w:r w:rsidR="00264C0E">
        <w:rPr>
          <w:rFonts w:ascii="黑体" w:hAnsi="黑体" w:hint="eastAsia"/>
          <w:b/>
          <w:sz w:val="48"/>
        </w:rPr>
        <w:t>丰晟</w:t>
      </w:r>
      <w:r w:rsidRPr="00456F57">
        <w:rPr>
          <w:rFonts w:ascii="黑体" w:hAnsi="黑体" w:hint="eastAsia"/>
          <w:b/>
          <w:sz w:val="48"/>
        </w:rPr>
        <w:t>收益债券型</w:t>
      </w:r>
      <w:r w:rsidR="00712663" w:rsidRPr="00456F57">
        <w:rPr>
          <w:rFonts w:ascii="黑体" w:hAnsi="黑体" w:hint="eastAsia"/>
          <w:b/>
          <w:sz w:val="48"/>
        </w:rPr>
        <w:t>证券投资</w:t>
      </w:r>
    </w:p>
    <w:p w14:paraId="284FB06E" w14:textId="43804707" w:rsidR="00896C5A" w:rsidRPr="00456F57" w:rsidRDefault="00712663">
      <w:pPr>
        <w:adjustRightInd w:val="0"/>
        <w:snapToGrid w:val="0"/>
        <w:spacing w:line="360" w:lineRule="auto"/>
        <w:jc w:val="center"/>
        <w:rPr>
          <w:rFonts w:ascii="黑体" w:hAnsi="黑体"/>
          <w:b/>
          <w:sz w:val="48"/>
        </w:rPr>
      </w:pPr>
      <w:r w:rsidRPr="00456F57">
        <w:rPr>
          <w:rFonts w:ascii="黑体" w:hAnsi="黑体" w:hint="eastAsia"/>
          <w:b/>
          <w:sz w:val="48"/>
        </w:rPr>
        <w:t>基金托管协议</w:t>
      </w:r>
    </w:p>
    <w:p w14:paraId="14303F82" w14:textId="77777777" w:rsidR="00896C5A" w:rsidRPr="00456F57" w:rsidRDefault="00896C5A">
      <w:pPr>
        <w:adjustRightInd w:val="0"/>
        <w:snapToGrid w:val="0"/>
        <w:spacing w:line="360" w:lineRule="auto"/>
        <w:jc w:val="center"/>
        <w:rPr>
          <w:rFonts w:ascii="黑体" w:hAnsi="黑体"/>
          <w:b/>
          <w:sz w:val="48"/>
        </w:rPr>
      </w:pPr>
    </w:p>
    <w:p w14:paraId="1A012603" w14:textId="77777777" w:rsidR="00896C5A" w:rsidRPr="00456F57" w:rsidRDefault="00896C5A">
      <w:pPr>
        <w:adjustRightInd w:val="0"/>
        <w:snapToGrid w:val="0"/>
        <w:spacing w:line="360" w:lineRule="auto"/>
        <w:jc w:val="center"/>
        <w:rPr>
          <w:rFonts w:ascii="黑体" w:hAnsi="黑体"/>
          <w:b/>
          <w:sz w:val="24"/>
        </w:rPr>
      </w:pPr>
    </w:p>
    <w:p w14:paraId="391BF504" w14:textId="77777777" w:rsidR="00896C5A" w:rsidRPr="00456F57" w:rsidRDefault="00896C5A">
      <w:pPr>
        <w:adjustRightInd w:val="0"/>
        <w:snapToGrid w:val="0"/>
        <w:spacing w:line="360" w:lineRule="auto"/>
        <w:jc w:val="center"/>
        <w:rPr>
          <w:sz w:val="24"/>
        </w:rPr>
      </w:pPr>
    </w:p>
    <w:p w14:paraId="00936F93" w14:textId="77777777" w:rsidR="00896C5A" w:rsidRPr="00456F57" w:rsidRDefault="00896C5A">
      <w:pPr>
        <w:adjustRightInd w:val="0"/>
        <w:snapToGrid w:val="0"/>
        <w:spacing w:line="360" w:lineRule="auto"/>
        <w:jc w:val="center"/>
        <w:rPr>
          <w:sz w:val="24"/>
        </w:rPr>
      </w:pPr>
    </w:p>
    <w:p w14:paraId="332C1B11" w14:textId="77777777" w:rsidR="00896C5A" w:rsidRPr="00456F57" w:rsidRDefault="00896C5A">
      <w:pPr>
        <w:adjustRightInd w:val="0"/>
        <w:snapToGrid w:val="0"/>
        <w:spacing w:line="360" w:lineRule="auto"/>
        <w:jc w:val="center"/>
        <w:rPr>
          <w:sz w:val="24"/>
        </w:rPr>
      </w:pPr>
    </w:p>
    <w:p w14:paraId="3E172BA6" w14:textId="77777777" w:rsidR="00896C5A" w:rsidRPr="00456F57" w:rsidRDefault="00896C5A">
      <w:pPr>
        <w:adjustRightInd w:val="0"/>
        <w:snapToGrid w:val="0"/>
        <w:spacing w:line="360" w:lineRule="auto"/>
        <w:jc w:val="center"/>
        <w:rPr>
          <w:sz w:val="24"/>
        </w:rPr>
      </w:pPr>
    </w:p>
    <w:p w14:paraId="19F267CB" w14:textId="77777777" w:rsidR="00896C5A" w:rsidRPr="00456F57" w:rsidRDefault="00896C5A">
      <w:pPr>
        <w:adjustRightInd w:val="0"/>
        <w:snapToGrid w:val="0"/>
        <w:spacing w:line="360" w:lineRule="auto"/>
        <w:jc w:val="center"/>
        <w:rPr>
          <w:sz w:val="24"/>
        </w:rPr>
      </w:pPr>
    </w:p>
    <w:p w14:paraId="0384A8DF" w14:textId="77777777" w:rsidR="00896C5A" w:rsidRPr="00456F57" w:rsidRDefault="00896C5A">
      <w:pPr>
        <w:adjustRightInd w:val="0"/>
        <w:snapToGrid w:val="0"/>
        <w:spacing w:line="360" w:lineRule="auto"/>
        <w:jc w:val="center"/>
        <w:rPr>
          <w:sz w:val="24"/>
        </w:rPr>
      </w:pPr>
    </w:p>
    <w:p w14:paraId="134F297D" w14:textId="77777777" w:rsidR="00896C5A" w:rsidRPr="00456F57" w:rsidRDefault="00896C5A">
      <w:pPr>
        <w:adjustRightInd w:val="0"/>
        <w:snapToGrid w:val="0"/>
        <w:spacing w:line="360" w:lineRule="auto"/>
        <w:jc w:val="center"/>
        <w:rPr>
          <w:sz w:val="24"/>
        </w:rPr>
      </w:pPr>
    </w:p>
    <w:p w14:paraId="5EF755E8" w14:textId="77777777" w:rsidR="00896C5A" w:rsidRPr="00456F57" w:rsidRDefault="00896C5A">
      <w:pPr>
        <w:adjustRightInd w:val="0"/>
        <w:snapToGrid w:val="0"/>
        <w:spacing w:line="360" w:lineRule="auto"/>
        <w:jc w:val="center"/>
        <w:rPr>
          <w:sz w:val="24"/>
        </w:rPr>
      </w:pPr>
    </w:p>
    <w:p w14:paraId="51A799A5" w14:textId="77777777" w:rsidR="00896C5A" w:rsidRPr="00456F57" w:rsidRDefault="00896C5A">
      <w:pPr>
        <w:adjustRightInd w:val="0"/>
        <w:snapToGrid w:val="0"/>
        <w:spacing w:line="360" w:lineRule="auto"/>
        <w:jc w:val="center"/>
        <w:rPr>
          <w:sz w:val="24"/>
        </w:rPr>
      </w:pPr>
    </w:p>
    <w:p w14:paraId="25BE2C27" w14:textId="77777777" w:rsidR="00206B78" w:rsidRDefault="00206B78" w:rsidP="00377AE1">
      <w:pPr>
        <w:adjustRightInd w:val="0"/>
        <w:snapToGrid w:val="0"/>
        <w:spacing w:line="360" w:lineRule="auto"/>
        <w:rPr>
          <w:sz w:val="24"/>
        </w:rPr>
      </w:pPr>
    </w:p>
    <w:p w14:paraId="0BB0AC83" w14:textId="77777777" w:rsidR="00104401" w:rsidRPr="00456F57"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基金管理人：</w:t>
      </w:r>
      <w:r w:rsidR="002D6BC2" w:rsidRPr="00456F57">
        <w:rPr>
          <w:rFonts w:ascii="黑体" w:hAnsi="黑体" w:hint="eastAsia"/>
          <w:sz w:val="30"/>
        </w:rPr>
        <w:t>交银施罗德</w:t>
      </w:r>
      <w:r w:rsidRPr="00456F57">
        <w:rPr>
          <w:rFonts w:ascii="黑体" w:hAnsi="黑体" w:hint="eastAsia"/>
          <w:sz w:val="30"/>
        </w:rPr>
        <w:t>基金管理有限公司</w:t>
      </w:r>
    </w:p>
    <w:p w14:paraId="13D6D6FD" w14:textId="77777777" w:rsidR="00104401"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基金托管人：招商银行股份有限公司</w:t>
      </w:r>
    </w:p>
    <w:p w14:paraId="340260A2" w14:textId="77777777" w:rsidR="00206B78" w:rsidRDefault="00206B78" w:rsidP="00377AE1">
      <w:pPr>
        <w:adjustRightInd w:val="0"/>
        <w:snapToGrid w:val="0"/>
        <w:spacing w:line="360" w:lineRule="auto"/>
        <w:ind w:firstLineChars="425" w:firstLine="1275"/>
        <w:jc w:val="center"/>
        <w:rPr>
          <w:rFonts w:ascii="黑体" w:hAnsi="黑体"/>
          <w:sz w:val="30"/>
        </w:rPr>
      </w:pPr>
    </w:p>
    <w:p w14:paraId="5A41ED95" w14:textId="317CA0A4" w:rsidR="00206B78" w:rsidRDefault="00E77AEC" w:rsidP="00377AE1">
      <w:pPr>
        <w:adjustRightInd w:val="0"/>
        <w:snapToGrid w:val="0"/>
        <w:spacing w:line="360" w:lineRule="auto"/>
        <w:ind w:firstLineChars="1075" w:firstLine="3225"/>
        <w:rPr>
          <w:rFonts w:ascii="黑体" w:hAnsi="黑体"/>
          <w:sz w:val="30"/>
        </w:rPr>
      </w:pPr>
      <w:r w:rsidRPr="00372795">
        <w:rPr>
          <w:rFonts w:ascii="黑体" w:hAnsi="黑体" w:hint="eastAsia"/>
          <w:sz w:val="30"/>
        </w:rPr>
        <w:t>二零</w:t>
      </w:r>
      <w:r w:rsidR="00464454">
        <w:rPr>
          <w:rFonts w:ascii="黑体" w:hAnsi="黑体" w:hint="eastAsia"/>
          <w:sz w:val="30"/>
        </w:rPr>
        <w:t>二</w:t>
      </w:r>
      <w:r w:rsidR="007414EC">
        <w:rPr>
          <w:rFonts w:ascii="黑体" w:hAnsi="黑体" w:hint="eastAsia"/>
          <w:sz w:val="30"/>
        </w:rPr>
        <w:t>四</w:t>
      </w:r>
      <w:r w:rsidR="00464454">
        <w:rPr>
          <w:rFonts w:ascii="黑体" w:hAnsi="黑体" w:hint="eastAsia"/>
          <w:sz w:val="30"/>
        </w:rPr>
        <w:t>年</w:t>
      </w:r>
      <w:r w:rsidR="00C84059">
        <w:rPr>
          <w:rFonts w:ascii="黑体" w:hAnsi="黑体" w:hint="eastAsia"/>
          <w:sz w:val="30"/>
        </w:rPr>
        <w:t>十二</w:t>
      </w:r>
      <w:r w:rsidRPr="00372795">
        <w:rPr>
          <w:rFonts w:ascii="黑体" w:hAnsi="黑体" w:hint="eastAsia"/>
          <w:sz w:val="30"/>
        </w:rPr>
        <w:t>月</w:t>
      </w:r>
    </w:p>
    <w:p w14:paraId="2E4458F4" w14:textId="77777777" w:rsidR="00896C5A" w:rsidRPr="00456F57" w:rsidRDefault="00896C5A">
      <w:pPr>
        <w:adjustRightInd w:val="0"/>
        <w:snapToGrid w:val="0"/>
        <w:spacing w:line="360" w:lineRule="auto"/>
        <w:jc w:val="center"/>
        <w:rPr>
          <w:sz w:val="24"/>
        </w:rPr>
      </w:pPr>
    </w:p>
    <w:p w14:paraId="0F154ABB" w14:textId="77777777" w:rsidR="00896C5A" w:rsidRPr="00456F57" w:rsidRDefault="00896C5A">
      <w:pPr>
        <w:adjustRightInd w:val="0"/>
        <w:snapToGrid w:val="0"/>
        <w:spacing w:line="360" w:lineRule="auto"/>
        <w:jc w:val="center"/>
        <w:rPr>
          <w:sz w:val="24"/>
        </w:rPr>
      </w:pPr>
    </w:p>
    <w:p w14:paraId="3EE0A35A" w14:textId="77777777" w:rsidR="00896C5A" w:rsidRPr="00456F57" w:rsidRDefault="00896C5A">
      <w:pPr>
        <w:adjustRightInd w:val="0"/>
        <w:snapToGrid w:val="0"/>
        <w:spacing w:line="360" w:lineRule="auto"/>
        <w:rPr>
          <w:sz w:val="24"/>
        </w:rPr>
      </w:pPr>
    </w:p>
    <w:p w14:paraId="4AE78F1C" w14:textId="77777777" w:rsidR="00896C5A" w:rsidRPr="00456F57" w:rsidRDefault="00712663">
      <w:pPr>
        <w:spacing w:line="360" w:lineRule="auto"/>
        <w:jc w:val="center"/>
        <w:rPr>
          <w:rFonts w:ascii="宋体" w:hAnsi="宋体"/>
          <w:b/>
          <w:sz w:val="24"/>
        </w:rPr>
      </w:pPr>
      <w:r w:rsidRPr="00456F57">
        <w:rPr>
          <w:rFonts w:ascii="宋体" w:hAnsi="宋体" w:hint="eastAsia"/>
          <w:b/>
          <w:sz w:val="24"/>
        </w:rPr>
        <w:t>目</w:t>
      </w:r>
      <w:r w:rsidRPr="00456F57">
        <w:rPr>
          <w:rFonts w:ascii="宋体" w:hAnsi="宋体"/>
          <w:b/>
          <w:sz w:val="24"/>
        </w:rPr>
        <w:t xml:space="preserve">    </w:t>
      </w:r>
      <w:r w:rsidRPr="00456F57">
        <w:rPr>
          <w:rFonts w:ascii="宋体" w:hAnsi="宋体" w:hint="eastAsia"/>
          <w:b/>
          <w:sz w:val="24"/>
        </w:rPr>
        <w:t>录</w:t>
      </w:r>
    </w:p>
    <w:p w14:paraId="3069EFBA" w14:textId="1D5F6A2D" w:rsidR="00CC30EC" w:rsidRDefault="003E7379" w:rsidP="00CC30EC">
      <w:pPr>
        <w:pStyle w:val="21"/>
        <w:tabs>
          <w:tab w:val="right" w:leader="dot" w:pos="8494"/>
        </w:tabs>
        <w:spacing w:line="360" w:lineRule="auto"/>
        <w:rPr>
          <w:rFonts w:asciiTheme="minorHAnsi" w:eastAsiaTheme="minorEastAsia" w:hAnsiTheme="minorHAnsi" w:cstheme="minorBidi"/>
          <w:noProof/>
          <w:szCs w:val="22"/>
        </w:rPr>
      </w:pPr>
      <w:r w:rsidRPr="0038018C">
        <w:rPr>
          <w:noProof/>
        </w:rPr>
        <w:fldChar w:fldCharType="begin"/>
      </w:r>
      <w:r w:rsidR="00712663" w:rsidRPr="0038018C">
        <w:rPr>
          <w:noProof/>
        </w:rPr>
        <w:instrText xml:space="preserve"> TOC \o "1-2" \h \z </w:instrText>
      </w:r>
      <w:r w:rsidRPr="0038018C">
        <w:rPr>
          <w:noProof/>
        </w:rPr>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sidR="00CC30EC">
          <w:rPr>
            <w:noProof/>
            <w:webHidden/>
          </w:rPr>
          <w:fldChar w:fldCharType="begin"/>
        </w:r>
        <w:r w:rsidR="00CC30EC">
          <w:rPr>
            <w:noProof/>
            <w:webHidden/>
          </w:rPr>
          <w:instrText xml:space="preserve"> PAGEREF _Toc488938610 \h </w:instrText>
        </w:r>
        <w:r w:rsidR="00CC30EC">
          <w:rPr>
            <w:noProof/>
            <w:webHidden/>
          </w:rPr>
        </w:r>
        <w:r w:rsidR="00CC30EC">
          <w:rPr>
            <w:noProof/>
            <w:webHidden/>
          </w:rPr>
          <w:fldChar w:fldCharType="separate"/>
        </w:r>
        <w:r w:rsidR="00097073">
          <w:rPr>
            <w:noProof/>
            <w:webHidden/>
          </w:rPr>
          <w:t>4</w:t>
        </w:r>
        <w:r w:rsidR="00CC30EC">
          <w:rPr>
            <w:noProof/>
            <w:webHidden/>
          </w:rPr>
          <w:fldChar w:fldCharType="end"/>
        </w:r>
      </w:hyperlink>
    </w:p>
    <w:p w14:paraId="6B1E8224" w14:textId="5FCE9837"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CC30EC">
          <w:rPr>
            <w:noProof/>
            <w:webHidden/>
          </w:rPr>
          <w:fldChar w:fldCharType="begin"/>
        </w:r>
        <w:r w:rsidR="00CC30EC">
          <w:rPr>
            <w:noProof/>
            <w:webHidden/>
          </w:rPr>
          <w:instrText xml:space="preserve"> PAGEREF _Toc488938611 \h </w:instrText>
        </w:r>
        <w:r w:rsidR="00CC30EC">
          <w:rPr>
            <w:noProof/>
            <w:webHidden/>
          </w:rPr>
        </w:r>
        <w:r w:rsidR="00CC30EC">
          <w:rPr>
            <w:noProof/>
            <w:webHidden/>
          </w:rPr>
          <w:fldChar w:fldCharType="separate"/>
        </w:r>
        <w:r w:rsidR="00097073">
          <w:rPr>
            <w:noProof/>
            <w:webHidden/>
          </w:rPr>
          <w:t>5</w:t>
        </w:r>
        <w:r w:rsidR="00CC30EC">
          <w:rPr>
            <w:noProof/>
            <w:webHidden/>
          </w:rPr>
          <w:fldChar w:fldCharType="end"/>
        </w:r>
      </w:hyperlink>
    </w:p>
    <w:p w14:paraId="0C739B8A" w14:textId="0BA491E3"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CC30EC">
          <w:rPr>
            <w:noProof/>
            <w:webHidden/>
          </w:rPr>
          <w:fldChar w:fldCharType="begin"/>
        </w:r>
        <w:r w:rsidR="00CC30EC">
          <w:rPr>
            <w:noProof/>
            <w:webHidden/>
          </w:rPr>
          <w:instrText xml:space="preserve"> PAGEREF _Toc488938612 \h </w:instrText>
        </w:r>
        <w:r w:rsidR="00CC30EC">
          <w:rPr>
            <w:noProof/>
            <w:webHidden/>
          </w:rPr>
        </w:r>
        <w:r w:rsidR="00CC30EC">
          <w:rPr>
            <w:noProof/>
            <w:webHidden/>
          </w:rPr>
          <w:fldChar w:fldCharType="separate"/>
        </w:r>
        <w:r w:rsidR="00097073">
          <w:rPr>
            <w:noProof/>
            <w:webHidden/>
          </w:rPr>
          <w:t>6</w:t>
        </w:r>
        <w:r w:rsidR="00CC30EC">
          <w:rPr>
            <w:noProof/>
            <w:webHidden/>
          </w:rPr>
          <w:fldChar w:fldCharType="end"/>
        </w:r>
      </w:hyperlink>
    </w:p>
    <w:p w14:paraId="4A22A55E" w14:textId="61FC29AB"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CC30EC">
          <w:rPr>
            <w:noProof/>
            <w:webHidden/>
          </w:rPr>
          <w:fldChar w:fldCharType="begin"/>
        </w:r>
        <w:r w:rsidR="00CC30EC">
          <w:rPr>
            <w:noProof/>
            <w:webHidden/>
          </w:rPr>
          <w:instrText xml:space="preserve"> PAGEREF _Toc488938613 \h </w:instrText>
        </w:r>
        <w:r w:rsidR="00CC30EC">
          <w:rPr>
            <w:noProof/>
            <w:webHidden/>
          </w:rPr>
        </w:r>
        <w:r w:rsidR="00CC30EC">
          <w:rPr>
            <w:noProof/>
            <w:webHidden/>
          </w:rPr>
          <w:fldChar w:fldCharType="separate"/>
        </w:r>
        <w:r w:rsidR="00097073">
          <w:rPr>
            <w:noProof/>
            <w:webHidden/>
          </w:rPr>
          <w:t>15</w:t>
        </w:r>
        <w:r w:rsidR="00CC30EC">
          <w:rPr>
            <w:noProof/>
            <w:webHidden/>
          </w:rPr>
          <w:fldChar w:fldCharType="end"/>
        </w:r>
      </w:hyperlink>
    </w:p>
    <w:p w14:paraId="2E2EF5BE" w14:textId="357155E1"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4" w:history="1">
        <w:r w:rsidR="00CC30EC" w:rsidRPr="003E701A">
          <w:rPr>
            <w:rStyle w:val="af5"/>
            <w:rFonts w:ascii="宋体" w:hAnsi="宋体" w:hint="eastAsia"/>
            <w:noProof/>
          </w:rPr>
          <w:t>五、基金财产的保管</w:t>
        </w:r>
        <w:r w:rsidR="00CC30EC">
          <w:rPr>
            <w:noProof/>
            <w:webHidden/>
          </w:rPr>
          <w:tab/>
        </w:r>
        <w:r w:rsidR="00CC30EC">
          <w:rPr>
            <w:noProof/>
            <w:webHidden/>
          </w:rPr>
          <w:fldChar w:fldCharType="begin"/>
        </w:r>
        <w:r w:rsidR="00CC30EC">
          <w:rPr>
            <w:noProof/>
            <w:webHidden/>
          </w:rPr>
          <w:instrText xml:space="preserve"> PAGEREF _Toc488938614 \h </w:instrText>
        </w:r>
        <w:r w:rsidR="00CC30EC">
          <w:rPr>
            <w:noProof/>
            <w:webHidden/>
          </w:rPr>
        </w:r>
        <w:r w:rsidR="00CC30EC">
          <w:rPr>
            <w:noProof/>
            <w:webHidden/>
          </w:rPr>
          <w:fldChar w:fldCharType="separate"/>
        </w:r>
        <w:r w:rsidR="00097073">
          <w:rPr>
            <w:noProof/>
            <w:webHidden/>
          </w:rPr>
          <w:t>16</w:t>
        </w:r>
        <w:r w:rsidR="00CC30EC">
          <w:rPr>
            <w:noProof/>
            <w:webHidden/>
          </w:rPr>
          <w:fldChar w:fldCharType="end"/>
        </w:r>
      </w:hyperlink>
    </w:p>
    <w:p w14:paraId="5A9657C2" w14:textId="02205D3F"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5" w:history="1">
        <w:r w:rsidR="00CC30EC" w:rsidRPr="003E701A">
          <w:rPr>
            <w:rStyle w:val="af5"/>
            <w:rFonts w:ascii="宋体" w:hAnsi="宋体" w:hint="eastAsia"/>
            <w:noProof/>
          </w:rPr>
          <w:t>六、指令的发送、确认及执行</w:t>
        </w:r>
        <w:r w:rsidR="00CC30EC">
          <w:rPr>
            <w:noProof/>
            <w:webHidden/>
          </w:rPr>
          <w:tab/>
        </w:r>
        <w:r w:rsidR="00CC30EC">
          <w:rPr>
            <w:noProof/>
            <w:webHidden/>
          </w:rPr>
          <w:fldChar w:fldCharType="begin"/>
        </w:r>
        <w:r w:rsidR="00CC30EC">
          <w:rPr>
            <w:noProof/>
            <w:webHidden/>
          </w:rPr>
          <w:instrText xml:space="preserve"> PAGEREF _Toc488938615 \h </w:instrText>
        </w:r>
        <w:r w:rsidR="00CC30EC">
          <w:rPr>
            <w:noProof/>
            <w:webHidden/>
          </w:rPr>
        </w:r>
        <w:r w:rsidR="00CC30EC">
          <w:rPr>
            <w:noProof/>
            <w:webHidden/>
          </w:rPr>
          <w:fldChar w:fldCharType="separate"/>
        </w:r>
        <w:r w:rsidR="00097073">
          <w:rPr>
            <w:noProof/>
            <w:webHidden/>
          </w:rPr>
          <w:t>19</w:t>
        </w:r>
        <w:r w:rsidR="00CC30EC">
          <w:rPr>
            <w:noProof/>
            <w:webHidden/>
          </w:rPr>
          <w:fldChar w:fldCharType="end"/>
        </w:r>
      </w:hyperlink>
    </w:p>
    <w:p w14:paraId="54B1903B" w14:textId="36D30CB3"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6" w:history="1">
        <w:r w:rsidR="00CC30EC" w:rsidRPr="003E701A">
          <w:rPr>
            <w:rStyle w:val="af5"/>
            <w:rFonts w:ascii="宋体" w:hAnsi="宋体" w:hint="eastAsia"/>
            <w:noProof/>
          </w:rPr>
          <w:t>七、交易及清算交收安排</w:t>
        </w:r>
        <w:r w:rsidR="00CC30EC">
          <w:rPr>
            <w:noProof/>
            <w:webHidden/>
          </w:rPr>
          <w:tab/>
        </w:r>
        <w:r w:rsidR="00CC30EC">
          <w:rPr>
            <w:noProof/>
            <w:webHidden/>
          </w:rPr>
          <w:fldChar w:fldCharType="begin"/>
        </w:r>
        <w:r w:rsidR="00CC30EC">
          <w:rPr>
            <w:noProof/>
            <w:webHidden/>
          </w:rPr>
          <w:instrText xml:space="preserve"> PAGEREF _Toc488938616 \h </w:instrText>
        </w:r>
        <w:r w:rsidR="00CC30EC">
          <w:rPr>
            <w:noProof/>
            <w:webHidden/>
          </w:rPr>
        </w:r>
        <w:r w:rsidR="00CC30EC">
          <w:rPr>
            <w:noProof/>
            <w:webHidden/>
          </w:rPr>
          <w:fldChar w:fldCharType="separate"/>
        </w:r>
        <w:r w:rsidR="00097073">
          <w:rPr>
            <w:noProof/>
            <w:webHidden/>
          </w:rPr>
          <w:t>23</w:t>
        </w:r>
        <w:r w:rsidR="00CC30EC">
          <w:rPr>
            <w:noProof/>
            <w:webHidden/>
          </w:rPr>
          <w:fldChar w:fldCharType="end"/>
        </w:r>
      </w:hyperlink>
    </w:p>
    <w:p w14:paraId="3AF710B5" w14:textId="0FBD806F"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CC30EC">
          <w:rPr>
            <w:noProof/>
            <w:webHidden/>
          </w:rPr>
          <w:fldChar w:fldCharType="begin"/>
        </w:r>
        <w:r w:rsidR="00CC30EC">
          <w:rPr>
            <w:noProof/>
            <w:webHidden/>
          </w:rPr>
          <w:instrText xml:space="preserve"> PAGEREF _Toc488938617 \h </w:instrText>
        </w:r>
        <w:r w:rsidR="00CC30EC">
          <w:rPr>
            <w:noProof/>
            <w:webHidden/>
          </w:rPr>
        </w:r>
        <w:r w:rsidR="00CC30EC">
          <w:rPr>
            <w:noProof/>
            <w:webHidden/>
          </w:rPr>
          <w:fldChar w:fldCharType="separate"/>
        </w:r>
        <w:r w:rsidR="00097073">
          <w:rPr>
            <w:noProof/>
            <w:webHidden/>
          </w:rPr>
          <w:t>26</w:t>
        </w:r>
        <w:r w:rsidR="00CC30EC">
          <w:rPr>
            <w:noProof/>
            <w:webHidden/>
          </w:rPr>
          <w:fldChar w:fldCharType="end"/>
        </w:r>
      </w:hyperlink>
    </w:p>
    <w:p w14:paraId="3348D176" w14:textId="313F1B1F"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8" w:history="1">
        <w:r w:rsidR="00CC30EC" w:rsidRPr="003E701A">
          <w:rPr>
            <w:rStyle w:val="af5"/>
            <w:rFonts w:ascii="宋体" w:hAnsi="宋体" w:hint="eastAsia"/>
            <w:noProof/>
          </w:rPr>
          <w:t>九、基金收益分配</w:t>
        </w:r>
        <w:r w:rsidR="00CC30EC">
          <w:rPr>
            <w:noProof/>
            <w:webHidden/>
          </w:rPr>
          <w:tab/>
        </w:r>
        <w:r w:rsidR="00CC30EC">
          <w:rPr>
            <w:noProof/>
            <w:webHidden/>
          </w:rPr>
          <w:fldChar w:fldCharType="begin"/>
        </w:r>
        <w:r w:rsidR="00CC30EC">
          <w:rPr>
            <w:noProof/>
            <w:webHidden/>
          </w:rPr>
          <w:instrText xml:space="preserve"> PAGEREF _Toc488938618 \h </w:instrText>
        </w:r>
        <w:r w:rsidR="00CC30EC">
          <w:rPr>
            <w:noProof/>
            <w:webHidden/>
          </w:rPr>
        </w:r>
        <w:r w:rsidR="00CC30EC">
          <w:rPr>
            <w:noProof/>
            <w:webHidden/>
          </w:rPr>
          <w:fldChar w:fldCharType="separate"/>
        </w:r>
        <w:r w:rsidR="00097073">
          <w:rPr>
            <w:noProof/>
            <w:webHidden/>
          </w:rPr>
          <w:t>28</w:t>
        </w:r>
        <w:r w:rsidR="00CC30EC">
          <w:rPr>
            <w:noProof/>
            <w:webHidden/>
          </w:rPr>
          <w:fldChar w:fldCharType="end"/>
        </w:r>
      </w:hyperlink>
    </w:p>
    <w:p w14:paraId="0B987051" w14:textId="2F88C812"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9" w:history="1">
        <w:r w:rsidR="00CC30EC" w:rsidRPr="003E701A">
          <w:rPr>
            <w:rStyle w:val="af5"/>
            <w:rFonts w:ascii="宋体" w:hAnsi="宋体" w:hint="eastAsia"/>
            <w:noProof/>
          </w:rPr>
          <w:t>十、基金信息披露</w:t>
        </w:r>
        <w:r w:rsidR="00CC30EC">
          <w:rPr>
            <w:noProof/>
            <w:webHidden/>
          </w:rPr>
          <w:tab/>
        </w:r>
        <w:r w:rsidR="00CC30EC">
          <w:rPr>
            <w:noProof/>
            <w:webHidden/>
          </w:rPr>
          <w:fldChar w:fldCharType="begin"/>
        </w:r>
        <w:r w:rsidR="00CC30EC">
          <w:rPr>
            <w:noProof/>
            <w:webHidden/>
          </w:rPr>
          <w:instrText xml:space="preserve"> PAGEREF _Toc488938619 \h </w:instrText>
        </w:r>
        <w:r w:rsidR="00CC30EC">
          <w:rPr>
            <w:noProof/>
            <w:webHidden/>
          </w:rPr>
        </w:r>
        <w:r w:rsidR="00CC30EC">
          <w:rPr>
            <w:noProof/>
            <w:webHidden/>
          </w:rPr>
          <w:fldChar w:fldCharType="separate"/>
        </w:r>
        <w:r w:rsidR="00097073">
          <w:rPr>
            <w:noProof/>
            <w:webHidden/>
          </w:rPr>
          <w:t>29</w:t>
        </w:r>
        <w:r w:rsidR="00CC30EC">
          <w:rPr>
            <w:noProof/>
            <w:webHidden/>
          </w:rPr>
          <w:fldChar w:fldCharType="end"/>
        </w:r>
      </w:hyperlink>
    </w:p>
    <w:p w14:paraId="72197BBC" w14:textId="62ABDEF9"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0" w:history="1">
        <w:r w:rsidR="00CC30EC" w:rsidRPr="003E701A">
          <w:rPr>
            <w:rStyle w:val="af5"/>
            <w:rFonts w:ascii="宋体" w:hAnsi="宋体" w:hint="eastAsia"/>
            <w:noProof/>
          </w:rPr>
          <w:t>十一、基金费用</w:t>
        </w:r>
        <w:r w:rsidR="00CC30EC">
          <w:rPr>
            <w:noProof/>
            <w:webHidden/>
          </w:rPr>
          <w:tab/>
        </w:r>
        <w:r w:rsidR="00CC30EC">
          <w:rPr>
            <w:noProof/>
            <w:webHidden/>
          </w:rPr>
          <w:fldChar w:fldCharType="begin"/>
        </w:r>
        <w:r w:rsidR="00CC30EC">
          <w:rPr>
            <w:noProof/>
            <w:webHidden/>
          </w:rPr>
          <w:instrText xml:space="preserve"> PAGEREF _Toc488938620 \h </w:instrText>
        </w:r>
        <w:r w:rsidR="00CC30EC">
          <w:rPr>
            <w:noProof/>
            <w:webHidden/>
          </w:rPr>
        </w:r>
        <w:r w:rsidR="00CC30EC">
          <w:rPr>
            <w:noProof/>
            <w:webHidden/>
          </w:rPr>
          <w:fldChar w:fldCharType="separate"/>
        </w:r>
        <w:r w:rsidR="00097073">
          <w:rPr>
            <w:noProof/>
            <w:webHidden/>
          </w:rPr>
          <w:t>31</w:t>
        </w:r>
        <w:r w:rsidR="00CC30EC">
          <w:rPr>
            <w:noProof/>
            <w:webHidden/>
          </w:rPr>
          <w:fldChar w:fldCharType="end"/>
        </w:r>
      </w:hyperlink>
    </w:p>
    <w:p w14:paraId="56ACD0DC" w14:textId="7AD10042"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CC30EC">
          <w:rPr>
            <w:noProof/>
            <w:webHidden/>
          </w:rPr>
          <w:fldChar w:fldCharType="begin"/>
        </w:r>
        <w:r w:rsidR="00CC30EC">
          <w:rPr>
            <w:noProof/>
            <w:webHidden/>
          </w:rPr>
          <w:instrText xml:space="preserve"> PAGEREF _Toc488938621 \h </w:instrText>
        </w:r>
        <w:r w:rsidR="00CC30EC">
          <w:rPr>
            <w:noProof/>
            <w:webHidden/>
          </w:rPr>
        </w:r>
        <w:r w:rsidR="00CC30EC">
          <w:rPr>
            <w:noProof/>
            <w:webHidden/>
          </w:rPr>
          <w:fldChar w:fldCharType="separate"/>
        </w:r>
        <w:r w:rsidR="00097073">
          <w:rPr>
            <w:noProof/>
            <w:webHidden/>
          </w:rPr>
          <w:t>32</w:t>
        </w:r>
        <w:r w:rsidR="00CC30EC">
          <w:rPr>
            <w:noProof/>
            <w:webHidden/>
          </w:rPr>
          <w:fldChar w:fldCharType="end"/>
        </w:r>
      </w:hyperlink>
    </w:p>
    <w:p w14:paraId="3ED5619D" w14:textId="3E4549BB"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CC30EC">
          <w:rPr>
            <w:noProof/>
            <w:webHidden/>
          </w:rPr>
          <w:fldChar w:fldCharType="begin"/>
        </w:r>
        <w:r w:rsidR="00CC30EC">
          <w:rPr>
            <w:noProof/>
            <w:webHidden/>
          </w:rPr>
          <w:instrText xml:space="preserve"> PAGEREF _Toc488938622 \h </w:instrText>
        </w:r>
        <w:r w:rsidR="00CC30EC">
          <w:rPr>
            <w:noProof/>
            <w:webHidden/>
          </w:rPr>
        </w:r>
        <w:r w:rsidR="00CC30EC">
          <w:rPr>
            <w:noProof/>
            <w:webHidden/>
          </w:rPr>
          <w:fldChar w:fldCharType="separate"/>
        </w:r>
        <w:r w:rsidR="00097073">
          <w:rPr>
            <w:noProof/>
            <w:webHidden/>
          </w:rPr>
          <w:t>33</w:t>
        </w:r>
        <w:r w:rsidR="00CC30EC">
          <w:rPr>
            <w:noProof/>
            <w:webHidden/>
          </w:rPr>
          <w:fldChar w:fldCharType="end"/>
        </w:r>
      </w:hyperlink>
    </w:p>
    <w:p w14:paraId="1B0E87C6" w14:textId="651947AF"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CC30EC">
          <w:rPr>
            <w:noProof/>
            <w:webHidden/>
          </w:rPr>
          <w:fldChar w:fldCharType="begin"/>
        </w:r>
        <w:r w:rsidR="00CC30EC">
          <w:rPr>
            <w:noProof/>
            <w:webHidden/>
          </w:rPr>
          <w:instrText xml:space="preserve"> PAGEREF _Toc488938623 \h </w:instrText>
        </w:r>
        <w:r w:rsidR="00CC30EC">
          <w:rPr>
            <w:noProof/>
            <w:webHidden/>
          </w:rPr>
        </w:r>
        <w:r w:rsidR="00CC30EC">
          <w:rPr>
            <w:noProof/>
            <w:webHidden/>
          </w:rPr>
          <w:fldChar w:fldCharType="separate"/>
        </w:r>
        <w:r w:rsidR="00097073">
          <w:rPr>
            <w:noProof/>
            <w:webHidden/>
          </w:rPr>
          <w:t>34</w:t>
        </w:r>
        <w:r w:rsidR="00CC30EC">
          <w:rPr>
            <w:noProof/>
            <w:webHidden/>
          </w:rPr>
          <w:fldChar w:fldCharType="end"/>
        </w:r>
      </w:hyperlink>
    </w:p>
    <w:p w14:paraId="177B7233" w14:textId="5628AA34"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4" w:history="1">
        <w:r w:rsidR="00CC30EC" w:rsidRPr="003E701A">
          <w:rPr>
            <w:rStyle w:val="af5"/>
            <w:rFonts w:ascii="宋体" w:hAnsi="宋体" w:hint="eastAsia"/>
            <w:noProof/>
          </w:rPr>
          <w:t>十五、禁止行为</w:t>
        </w:r>
        <w:r w:rsidR="00CC30EC">
          <w:rPr>
            <w:noProof/>
            <w:webHidden/>
          </w:rPr>
          <w:tab/>
        </w:r>
        <w:r w:rsidR="00CC30EC">
          <w:rPr>
            <w:noProof/>
            <w:webHidden/>
          </w:rPr>
          <w:fldChar w:fldCharType="begin"/>
        </w:r>
        <w:r w:rsidR="00CC30EC">
          <w:rPr>
            <w:noProof/>
            <w:webHidden/>
          </w:rPr>
          <w:instrText xml:space="preserve"> PAGEREF _Toc488938624 \h </w:instrText>
        </w:r>
        <w:r w:rsidR="00CC30EC">
          <w:rPr>
            <w:noProof/>
            <w:webHidden/>
          </w:rPr>
        </w:r>
        <w:r w:rsidR="00CC30EC">
          <w:rPr>
            <w:noProof/>
            <w:webHidden/>
          </w:rPr>
          <w:fldChar w:fldCharType="separate"/>
        </w:r>
        <w:r w:rsidR="00097073">
          <w:rPr>
            <w:noProof/>
            <w:webHidden/>
          </w:rPr>
          <w:t>35</w:t>
        </w:r>
        <w:r w:rsidR="00CC30EC">
          <w:rPr>
            <w:noProof/>
            <w:webHidden/>
          </w:rPr>
          <w:fldChar w:fldCharType="end"/>
        </w:r>
      </w:hyperlink>
    </w:p>
    <w:p w14:paraId="75D8DC00" w14:textId="46D3BA35"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CC30EC">
          <w:rPr>
            <w:noProof/>
            <w:webHidden/>
          </w:rPr>
          <w:fldChar w:fldCharType="begin"/>
        </w:r>
        <w:r w:rsidR="00CC30EC">
          <w:rPr>
            <w:noProof/>
            <w:webHidden/>
          </w:rPr>
          <w:instrText xml:space="preserve"> PAGEREF _Toc488938625 \h </w:instrText>
        </w:r>
        <w:r w:rsidR="00CC30EC">
          <w:rPr>
            <w:noProof/>
            <w:webHidden/>
          </w:rPr>
        </w:r>
        <w:r w:rsidR="00CC30EC">
          <w:rPr>
            <w:noProof/>
            <w:webHidden/>
          </w:rPr>
          <w:fldChar w:fldCharType="separate"/>
        </w:r>
        <w:r w:rsidR="00097073">
          <w:rPr>
            <w:noProof/>
            <w:webHidden/>
          </w:rPr>
          <w:t>36</w:t>
        </w:r>
        <w:r w:rsidR="00CC30EC">
          <w:rPr>
            <w:noProof/>
            <w:webHidden/>
          </w:rPr>
          <w:fldChar w:fldCharType="end"/>
        </w:r>
      </w:hyperlink>
    </w:p>
    <w:p w14:paraId="1B7CE529" w14:textId="4023AA9E"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6" w:history="1">
        <w:r w:rsidR="00CC30EC" w:rsidRPr="003E701A">
          <w:rPr>
            <w:rStyle w:val="af5"/>
            <w:rFonts w:ascii="宋体" w:hAnsi="宋体" w:hint="eastAsia"/>
            <w:noProof/>
          </w:rPr>
          <w:t>十七、违约责任</w:t>
        </w:r>
        <w:r w:rsidR="00CC30EC">
          <w:rPr>
            <w:noProof/>
            <w:webHidden/>
          </w:rPr>
          <w:tab/>
        </w:r>
        <w:r w:rsidR="00CC30EC">
          <w:rPr>
            <w:noProof/>
            <w:webHidden/>
          </w:rPr>
          <w:fldChar w:fldCharType="begin"/>
        </w:r>
        <w:r w:rsidR="00CC30EC">
          <w:rPr>
            <w:noProof/>
            <w:webHidden/>
          </w:rPr>
          <w:instrText xml:space="preserve"> PAGEREF _Toc488938626 \h </w:instrText>
        </w:r>
        <w:r w:rsidR="00CC30EC">
          <w:rPr>
            <w:noProof/>
            <w:webHidden/>
          </w:rPr>
        </w:r>
        <w:r w:rsidR="00CC30EC">
          <w:rPr>
            <w:noProof/>
            <w:webHidden/>
          </w:rPr>
          <w:fldChar w:fldCharType="separate"/>
        </w:r>
        <w:r w:rsidR="00097073">
          <w:rPr>
            <w:noProof/>
            <w:webHidden/>
          </w:rPr>
          <w:t>37</w:t>
        </w:r>
        <w:r w:rsidR="00CC30EC">
          <w:rPr>
            <w:noProof/>
            <w:webHidden/>
          </w:rPr>
          <w:fldChar w:fldCharType="end"/>
        </w:r>
      </w:hyperlink>
    </w:p>
    <w:p w14:paraId="217024CC" w14:textId="1987EF2E"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7" w:history="1">
        <w:r w:rsidR="00CC30EC" w:rsidRPr="003E701A">
          <w:rPr>
            <w:rStyle w:val="af5"/>
            <w:rFonts w:ascii="宋体" w:hAnsi="宋体" w:hint="eastAsia"/>
            <w:noProof/>
          </w:rPr>
          <w:t>十八、争议解决方式</w:t>
        </w:r>
        <w:r w:rsidR="00CC30EC">
          <w:rPr>
            <w:noProof/>
            <w:webHidden/>
          </w:rPr>
          <w:tab/>
        </w:r>
        <w:r w:rsidR="00CC30EC">
          <w:rPr>
            <w:noProof/>
            <w:webHidden/>
          </w:rPr>
          <w:fldChar w:fldCharType="begin"/>
        </w:r>
        <w:r w:rsidR="00CC30EC">
          <w:rPr>
            <w:noProof/>
            <w:webHidden/>
          </w:rPr>
          <w:instrText xml:space="preserve"> PAGEREF _Toc488938627 \h </w:instrText>
        </w:r>
        <w:r w:rsidR="00CC30EC">
          <w:rPr>
            <w:noProof/>
            <w:webHidden/>
          </w:rPr>
        </w:r>
        <w:r w:rsidR="00CC30EC">
          <w:rPr>
            <w:noProof/>
            <w:webHidden/>
          </w:rPr>
          <w:fldChar w:fldCharType="separate"/>
        </w:r>
        <w:r w:rsidR="00097073">
          <w:rPr>
            <w:noProof/>
            <w:webHidden/>
          </w:rPr>
          <w:t>38</w:t>
        </w:r>
        <w:r w:rsidR="00CC30EC">
          <w:rPr>
            <w:noProof/>
            <w:webHidden/>
          </w:rPr>
          <w:fldChar w:fldCharType="end"/>
        </w:r>
      </w:hyperlink>
    </w:p>
    <w:p w14:paraId="664063D9" w14:textId="322DAC74"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8" w:history="1">
        <w:r w:rsidR="00CC30EC" w:rsidRPr="003E701A">
          <w:rPr>
            <w:rStyle w:val="af5"/>
            <w:rFonts w:ascii="宋体" w:hAnsi="宋体" w:hint="eastAsia"/>
            <w:noProof/>
          </w:rPr>
          <w:t>十九、托管协议的效力</w:t>
        </w:r>
        <w:r w:rsidR="00CC30EC">
          <w:rPr>
            <w:noProof/>
            <w:webHidden/>
          </w:rPr>
          <w:tab/>
        </w:r>
        <w:r w:rsidR="00CC30EC">
          <w:rPr>
            <w:noProof/>
            <w:webHidden/>
          </w:rPr>
          <w:fldChar w:fldCharType="begin"/>
        </w:r>
        <w:r w:rsidR="00CC30EC">
          <w:rPr>
            <w:noProof/>
            <w:webHidden/>
          </w:rPr>
          <w:instrText xml:space="preserve"> PAGEREF _Toc488938628 \h </w:instrText>
        </w:r>
        <w:r w:rsidR="00CC30EC">
          <w:rPr>
            <w:noProof/>
            <w:webHidden/>
          </w:rPr>
        </w:r>
        <w:r w:rsidR="00CC30EC">
          <w:rPr>
            <w:noProof/>
            <w:webHidden/>
          </w:rPr>
          <w:fldChar w:fldCharType="separate"/>
        </w:r>
        <w:r w:rsidR="00097073">
          <w:rPr>
            <w:noProof/>
            <w:webHidden/>
          </w:rPr>
          <w:t>39</w:t>
        </w:r>
        <w:r w:rsidR="00CC30EC">
          <w:rPr>
            <w:noProof/>
            <w:webHidden/>
          </w:rPr>
          <w:fldChar w:fldCharType="end"/>
        </w:r>
      </w:hyperlink>
    </w:p>
    <w:p w14:paraId="4F436F72" w14:textId="648BB543"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9" w:history="1">
        <w:r w:rsidR="00CC30EC" w:rsidRPr="003E701A">
          <w:rPr>
            <w:rStyle w:val="af5"/>
            <w:rFonts w:ascii="宋体" w:hAnsi="宋体" w:hint="eastAsia"/>
            <w:noProof/>
          </w:rPr>
          <w:t>二十、其他事项</w:t>
        </w:r>
        <w:r w:rsidR="00CC30EC">
          <w:rPr>
            <w:noProof/>
            <w:webHidden/>
          </w:rPr>
          <w:tab/>
        </w:r>
        <w:r w:rsidR="00CC30EC">
          <w:rPr>
            <w:noProof/>
            <w:webHidden/>
          </w:rPr>
          <w:fldChar w:fldCharType="begin"/>
        </w:r>
        <w:r w:rsidR="00CC30EC">
          <w:rPr>
            <w:noProof/>
            <w:webHidden/>
          </w:rPr>
          <w:instrText xml:space="preserve"> PAGEREF _Toc488938629 \h </w:instrText>
        </w:r>
        <w:r w:rsidR="00CC30EC">
          <w:rPr>
            <w:noProof/>
            <w:webHidden/>
          </w:rPr>
        </w:r>
        <w:r w:rsidR="00CC30EC">
          <w:rPr>
            <w:noProof/>
            <w:webHidden/>
          </w:rPr>
          <w:fldChar w:fldCharType="separate"/>
        </w:r>
        <w:r w:rsidR="00097073">
          <w:rPr>
            <w:noProof/>
            <w:webHidden/>
          </w:rPr>
          <w:t>40</w:t>
        </w:r>
        <w:r w:rsidR="00CC30EC">
          <w:rPr>
            <w:noProof/>
            <w:webHidden/>
          </w:rPr>
          <w:fldChar w:fldCharType="end"/>
        </w:r>
      </w:hyperlink>
    </w:p>
    <w:p w14:paraId="69174CAA" w14:textId="312F3199"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0" w:history="1">
        <w:r w:rsidR="00CC30EC" w:rsidRPr="003E701A">
          <w:rPr>
            <w:rStyle w:val="af5"/>
            <w:rFonts w:ascii="宋体" w:hAnsi="宋体" w:hint="eastAsia"/>
            <w:noProof/>
          </w:rPr>
          <w:t>二十一、托管协议的签订</w:t>
        </w:r>
        <w:r w:rsidR="00CC30EC">
          <w:rPr>
            <w:noProof/>
            <w:webHidden/>
          </w:rPr>
          <w:tab/>
        </w:r>
        <w:r w:rsidR="00CC30EC">
          <w:rPr>
            <w:noProof/>
            <w:webHidden/>
          </w:rPr>
          <w:fldChar w:fldCharType="begin"/>
        </w:r>
        <w:r w:rsidR="00CC30EC">
          <w:rPr>
            <w:noProof/>
            <w:webHidden/>
          </w:rPr>
          <w:instrText xml:space="preserve"> PAGEREF _Toc488938630 \h </w:instrText>
        </w:r>
        <w:r w:rsidR="00CC30EC">
          <w:rPr>
            <w:noProof/>
            <w:webHidden/>
          </w:rPr>
        </w:r>
        <w:r w:rsidR="00CC30EC">
          <w:rPr>
            <w:noProof/>
            <w:webHidden/>
          </w:rPr>
          <w:fldChar w:fldCharType="separate"/>
        </w:r>
        <w:r w:rsidR="00097073">
          <w:rPr>
            <w:noProof/>
            <w:webHidden/>
          </w:rPr>
          <w:t>41</w:t>
        </w:r>
        <w:r w:rsidR="00CC30EC">
          <w:rPr>
            <w:noProof/>
            <w:webHidden/>
          </w:rPr>
          <w:fldChar w:fldCharType="end"/>
        </w:r>
      </w:hyperlink>
    </w:p>
    <w:p w14:paraId="3DE5174F" w14:textId="716ABA9E" w:rsidR="00CC30EC" w:rsidRDefault="006E2B18"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1" w:history="1">
        <w:r w:rsidR="00CC30EC" w:rsidRPr="003E701A">
          <w:rPr>
            <w:rStyle w:val="af5"/>
            <w:rFonts w:ascii="宋体" w:hAnsi="宋体" w:hint="eastAsia"/>
            <w:noProof/>
          </w:rPr>
          <w:t>附件：托管银行证券资金结算规定</w:t>
        </w:r>
        <w:r w:rsidR="00CC30EC">
          <w:rPr>
            <w:noProof/>
            <w:webHidden/>
          </w:rPr>
          <w:tab/>
        </w:r>
        <w:r w:rsidR="00CC30EC">
          <w:rPr>
            <w:noProof/>
            <w:webHidden/>
          </w:rPr>
          <w:fldChar w:fldCharType="begin"/>
        </w:r>
        <w:r w:rsidR="00CC30EC">
          <w:rPr>
            <w:noProof/>
            <w:webHidden/>
          </w:rPr>
          <w:instrText xml:space="preserve"> PAGEREF _Toc488938631 \h </w:instrText>
        </w:r>
        <w:r w:rsidR="00CC30EC">
          <w:rPr>
            <w:noProof/>
            <w:webHidden/>
          </w:rPr>
        </w:r>
        <w:r w:rsidR="00CC30EC">
          <w:rPr>
            <w:noProof/>
            <w:webHidden/>
          </w:rPr>
          <w:fldChar w:fldCharType="separate"/>
        </w:r>
        <w:r w:rsidR="00097073">
          <w:rPr>
            <w:noProof/>
            <w:webHidden/>
          </w:rPr>
          <w:t>42</w:t>
        </w:r>
        <w:r w:rsidR="00CC30EC">
          <w:rPr>
            <w:noProof/>
            <w:webHidden/>
          </w:rPr>
          <w:fldChar w:fldCharType="end"/>
        </w:r>
      </w:hyperlink>
    </w:p>
    <w:p w14:paraId="18BC0DB7" w14:textId="77777777" w:rsidR="0038018C" w:rsidRPr="0038018C" w:rsidRDefault="003E7379" w:rsidP="00CC30EC">
      <w:pPr>
        <w:pStyle w:val="21"/>
        <w:tabs>
          <w:tab w:val="right" w:leader="dot" w:pos="8494"/>
        </w:tabs>
        <w:spacing w:line="360" w:lineRule="auto"/>
        <w:rPr>
          <w:noProof/>
        </w:rPr>
      </w:pPr>
      <w:r w:rsidRPr="0038018C">
        <w:rPr>
          <w:noProof/>
        </w:rPr>
        <w:fldChar w:fldCharType="end"/>
      </w:r>
      <w:r w:rsidR="00CC30EC" w:rsidDel="00CC30EC">
        <w:rPr>
          <w:noProof/>
        </w:rPr>
        <w:t xml:space="preserve"> </w:t>
      </w:r>
    </w:p>
    <w:p w14:paraId="0166DB0F" w14:textId="77777777" w:rsidR="00896C5A" w:rsidRPr="0038018C" w:rsidRDefault="00896C5A" w:rsidP="00CC30EC">
      <w:pPr>
        <w:pStyle w:val="21"/>
        <w:tabs>
          <w:tab w:val="right" w:leader="dot" w:pos="8494"/>
        </w:tabs>
        <w:spacing w:line="360" w:lineRule="auto"/>
        <w:rPr>
          <w:rFonts w:ascii="宋体" w:hAnsi="宋体"/>
          <w:sz w:val="24"/>
        </w:rPr>
      </w:pPr>
    </w:p>
    <w:p w14:paraId="61EE7D0E" w14:textId="77777777" w:rsidR="00896C5A" w:rsidRPr="00456F57" w:rsidRDefault="00712663">
      <w:pPr>
        <w:spacing w:line="360" w:lineRule="auto"/>
        <w:rPr>
          <w:rFonts w:ascii="宋体" w:hAnsi="宋体"/>
          <w:sz w:val="24"/>
        </w:rPr>
      </w:pPr>
      <w:r w:rsidRPr="00456F57">
        <w:rPr>
          <w:rFonts w:ascii="宋体" w:hAnsi="宋体"/>
          <w:sz w:val="24"/>
        </w:rPr>
        <w:br w:type="page"/>
      </w:r>
    </w:p>
    <w:p w14:paraId="15405B2E"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lastRenderedPageBreak/>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kern w:val="0"/>
          <w:sz w:val="24"/>
        </w:rPr>
        <w:t>证券投资基</w:t>
      </w:r>
      <w:r w:rsidRPr="00456F57">
        <w:rPr>
          <w:rFonts w:ascii="宋体" w:hAnsi="宋体" w:hint="eastAsia"/>
          <w:sz w:val="24"/>
        </w:rPr>
        <w:t>金</w:t>
      </w:r>
      <w:r w:rsidRPr="00456F57">
        <w:rPr>
          <w:rFonts w:ascii="宋体" w:hAnsi="宋体" w:hint="eastAsia"/>
          <w:kern w:val="0"/>
          <w:sz w:val="24"/>
        </w:rPr>
        <w:t>；</w:t>
      </w:r>
    </w:p>
    <w:p w14:paraId="60F6B186"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3055C42"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拟担任</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的基金托管人；</w:t>
      </w:r>
    </w:p>
    <w:p w14:paraId="2FB15679"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为明确</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的基金管理人和基金托管人之间的权利义务关系，特制订本托管协议；</w:t>
      </w:r>
    </w:p>
    <w:p w14:paraId="75229AEA" w14:textId="77777777" w:rsidR="007907B7" w:rsidRPr="007907B7" w:rsidRDefault="00712663" w:rsidP="007907B7">
      <w:pPr>
        <w:widowControl/>
        <w:spacing w:line="360" w:lineRule="auto"/>
        <w:ind w:firstLineChars="200" w:firstLine="480"/>
        <w:rPr>
          <w:rFonts w:ascii="宋体" w:hAnsi="宋体"/>
          <w:kern w:val="0"/>
          <w:sz w:val="24"/>
          <w:lang w:val="en-GB"/>
        </w:rPr>
      </w:pPr>
      <w:r w:rsidRPr="00456F57">
        <w:rPr>
          <w:rFonts w:ascii="宋体" w:hAnsi="宋体" w:hint="eastAsia"/>
          <w:kern w:val="0"/>
          <w:sz w:val="24"/>
          <w:lang w:val="en-GB"/>
        </w:rPr>
        <w:t>除非另有约定，《</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002D6BC2" w:rsidRPr="00456F57">
        <w:rPr>
          <w:rFonts w:ascii="宋体" w:hAnsi="宋体" w:cs="Arial" w:hint="eastAsia"/>
          <w:sz w:val="24"/>
        </w:rPr>
        <w:t>证券投资基金</w:t>
      </w:r>
      <w:r w:rsidR="002D6BC2" w:rsidRPr="00456F57">
        <w:rPr>
          <w:rFonts w:ascii="宋体" w:hAnsi="宋体" w:cs="Arial" w:hint="eastAsia"/>
          <w:kern w:val="0"/>
          <w:sz w:val="24"/>
          <w:lang w:val="en-GB"/>
        </w:rPr>
        <w:t>基金合同》</w:t>
      </w:r>
      <w:r w:rsidRPr="00456F57">
        <w:rPr>
          <w:rFonts w:ascii="宋体" w:hAnsi="宋体"/>
          <w:kern w:val="0"/>
          <w:sz w:val="24"/>
          <w:lang w:val="en-GB"/>
        </w:rPr>
        <w:t>(以下简称“基金合同”)中定义的术语在用于本托管协议时应具有相同的含义</w:t>
      </w:r>
      <w:r w:rsidRPr="00456F57">
        <w:rPr>
          <w:rFonts w:ascii="宋体" w:hAnsi="宋体" w:hint="eastAsia"/>
          <w:kern w:val="0"/>
          <w:sz w:val="24"/>
          <w:lang w:val="en-GB"/>
        </w:rPr>
        <w:t>，若有抵触应以基金合同为准。</w:t>
      </w:r>
    </w:p>
    <w:p w14:paraId="4B9DF666" w14:textId="77777777" w:rsidR="007907B7" w:rsidRPr="007907B7" w:rsidRDefault="007907B7" w:rsidP="007907B7">
      <w:pPr>
        <w:widowControl/>
        <w:spacing w:line="360" w:lineRule="auto"/>
        <w:ind w:firstLineChars="200" w:firstLine="480"/>
        <w:rPr>
          <w:rFonts w:ascii="宋体" w:hAnsi="宋体"/>
          <w:kern w:val="0"/>
          <w:sz w:val="24"/>
          <w:lang w:val="en-GB"/>
        </w:rPr>
      </w:pPr>
      <w:r w:rsidRPr="007907B7">
        <w:rPr>
          <w:rFonts w:ascii="宋体" w:hAnsi="宋体" w:hint="eastAsia"/>
          <w:kern w:val="0"/>
          <w:sz w:val="24"/>
          <w:lang w:val="en-GB"/>
        </w:rPr>
        <w:t>若本基金实施侧袋机制的，侧袋机制实施期间的相关安排见基金合同和招募说明书的规定。</w:t>
      </w:r>
    </w:p>
    <w:p w14:paraId="414F3B98" w14:textId="77777777" w:rsidR="00104401" w:rsidRPr="00456F57" w:rsidRDefault="00104401" w:rsidP="00540BE9">
      <w:pPr>
        <w:widowControl/>
        <w:spacing w:line="360" w:lineRule="auto"/>
        <w:ind w:firstLineChars="200" w:firstLine="480"/>
        <w:rPr>
          <w:rFonts w:ascii="宋体" w:hAnsi="宋体"/>
          <w:kern w:val="0"/>
          <w:sz w:val="24"/>
          <w:lang w:val="en-GB"/>
        </w:rPr>
      </w:pPr>
    </w:p>
    <w:p w14:paraId="17AE15AE" w14:textId="77777777" w:rsidR="00896C5A" w:rsidRPr="00456F57" w:rsidRDefault="00896C5A">
      <w:pPr>
        <w:spacing w:line="360" w:lineRule="auto"/>
        <w:rPr>
          <w:rFonts w:ascii="宋体" w:hAnsi="宋体"/>
          <w:sz w:val="24"/>
          <w:lang w:val="en-GB"/>
        </w:rPr>
      </w:pPr>
    </w:p>
    <w:p w14:paraId="0C82776D"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4" w:name="_Toc348082029"/>
      <w:bookmarkStart w:id="5" w:name="_Toc488938610"/>
      <w:r w:rsidRPr="00456F57">
        <w:rPr>
          <w:rFonts w:ascii="宋体" w:hAnsi="宋体" w:hint="eastAsia"/>
          <w:sz w:val="24"/>
        </w:rPr>
        <w:lastRenderedPageBreak/>
        <w:t>一、基金托管协议当事人</w:t>
      </w:r>
      <w:bookmarkEnd w:id="4"/>
      <w:bookmarkEnd w:id="5"/>
    </w:p>
    <w:p w14:paraId="042C4174"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（一）基金管理人</w:t>
      </w:r>
    </w:p>
    <w:p w14:paraId="30D7C31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w:t>
      </w:r>
      <w:r w:rsidR="002D6BC2" w:rsidRPr="00456F57">
        <w:rPr>
          <w:rFonts w:ascii="宋体" w:hAnsi="宋体" w:hint="eastAsia"/>
          <w:sz w:val="24"/>
        </w:rPr>
        <w:t>交银施罗德基金</w:t>
      </w:r>
      <w:r w:rsidRPr="00456F57">
        <w:rPr>
          <w:rFonts w:ascii="宋体" w:hAnsi="宋体" w:hint="eastAsia"/>
          <w:sz w:val="24"/>
        </w:rPr>
        <w:t>管理有限公司</w:t>
      </w:r>
    </w:p>
    <w:p w14:paraId="60648C9E" w14:textId="0149FA21"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0328CB" w:rsidRPr="00B37603">
        <w:rPr>
          <w:rFonts w:hint="eastAsia"/>
          <w:kern w:val="0"/>
          <w:sz w:val="24"/>
        </w:rPr>
        <w:t>中国（上海）自由贸易试验区银城中路</w:t>
      </w:r>
      <w:r w:rsidR="000328CB" w:rsidRPr="00B37603">
        <w:rPr>
          <w:rFonts w:hint="eastAsia"/>
          <w:kern w:val="0"/>
          <w:sz w:val="24"/>
        </w:rPr>
        <w:t>188</w:t>
      </w:r>
      <w:r w:rsidR="000328CB" w:rsidRPr="00B37603">
        <w:rPr>
          <w:rFonts w:hint="eastAsia"/>
          <w:kern w:val="0"/>
          <w:sz w:val="24"/>
        </w:rPr>
        <w:t>号交通银行大楼二层（裙）</w:t>
      </w:r>
    </w:p>
    <w:p w14:paraId="0C7370E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43BE154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002D6BC2" w:rsidRPr="00456F57">
        <w:rPr>
          <w:rFonts w:ascii="宋体" w:hAnsi="宋体"/>
          <w:sz w:val="24"/>
        </w:rPr>
        <w:t>200120</w:t>
      </w:r>
    </w:p>
    <w:p w14:paraId="6E43C8DE" w14:textId="152B74D8"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AF2D52">
        <w:rPr>
          <w:rFonts w:ascii="宋体" w:hAnsi="宋体" w:hint="eastAsia"/>
          <w:sz w:val="24"/>
          <w:szCs w:val="21"/>
        </w:rPr>
        <w:t>张宏良</w:t>
      </w:r>
    </w:p>
    <w:p w14:paraId="397DD8B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2BEEFB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批准设立机关：中国证券监督管理委员会</w:t>
      </w:r>
    </w:p>
    <w:p w14:paraId="0A3EF132" w14:textId="77777777" w:rsidR="00104401" w:rsidRPr="00456F57" w:rsidRDefault="00712663" w:rsidP="00540BE9">
      <w:pPr>
        <w:spacing w:line="360" w:lineRule="auto"/>
        <w:ind w:firstLineChars="202" w:firstLine="485"/>
        <w:rPr>
          <w:rFonts w:ascii="宋体" w:hAnsi="宋体"/>
          <w:sz w:val="24"/>
        </w:rPr>
      </w:pPr>
      <w:r w:rsidRPr="00456F57">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2BB7B91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w:t>
      </w:r>
      <w:r w:rsidR="002D6BC2" w:rsidRPr="00456F57">
        <w:rPr>
          <w:rFonts w:ascii="宋体" w:hAnsi="宋体" w:hint="eastAsia"/>
          <w:sz w:val="24"/>
        </w:rPr>
        <w:t>有限责任公司</w:t>
      </w:r>
    </w:p>
    <w:p w14:paraId="4244B4D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w:t>
      </w:r>
      <w:r w:rsidRPr="00456F57">
        <w:rPr>
          <w:rFonts w:ascii="宋体" w:hAnsi="宋体"/>
          <w:sz w:val="24"/>
        </w:rPr>
        <w:t xml:space="preserve"> </w:t>
      </w:r>
      <w:r w:rsidR="002D6BC2" w:rsidRPr="00456F57">
        <w:rPr>
          <w:sz w:val="24"/>
        </w:rPr>
        <w:t>2</w:t>
      </w:r>
      <w:r w:rsidR="002D6BC2" w:rsidRPr="00456F57">
        <w:rPr>
          <w:rFonts w:ascii="宋体" w:hAnsi="宋体" w:hint="eastAsia"/>
          <w:sz w:val="24"/>
        </w:rPr>
        <w:t>亿元人民币</w:t>
      </w:r>
    </w:p>
    <w:p w14:paraId="60D9B3BB"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存续期间：持续经营</w:t>
      </w:r>
    </w:p>
    <w:p w14:paraId="1AD0E5C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经营范围：基金募集</w:t>
      </w:r>
      <w:r w:rsidR="002D6BC2" w:rsidRPr="00456F57">
        <w:rPr>
          <w:rFonts w:ascii="宋体" w:hAnsi="宋体" w:hint="eastAsia"/>
          <w:sz w:val="24"/>
        </w:rPr>
        <w:t>、</w:t>
      </w:r>
      <w:r w:rsidRPr="00456F57">
        <w:rPr>
          <w:rFonts w:ascii="宋体" w:hAnsi="宋体" w:hint="eastAsia"/>
          <w:sz w:val="24"/>
        </w:rPr>
        <w:t>基金销售</w:t>
      </w:r>
      <w:r w:rsidR="002D6BC2" w:rsidRPr="00456F57">
        <w:rPr>
          <w:rFonts w:ascii="宋体" w:hAnsi="宋体" w:hint="eastAsia"/>
          <w:sz w:val="24"/>
        </w:rPr>
        <w:t>、</w:t>
      </w:r>
      <w:r w:rsidRPr="00456F57">
        <w:rPr>
          <w:rFonts w:ascii="宋体" w:hAnsi="宋体" w:hint="eastAsia"/>
          <w:sz w:val="24"/>
        </w:rPr>
        <w:t>资产管理</w:t>
      </w:r>
      <w:r w:rsidR="002D6BC2" w:rsidRPr="00456F57">
        <w:rPr>
          <w:rFonts w:ascii="宋体" w:hAnsi="宋体" w:hint="eastAsia"/>
          <w:sz w:val="24"/>
        </w:rPr>
        <w:t>和</w:t>
      </w:r>
      <w:r w:rsidRPr="00456F57">
        <w:rPr>
          <w:rFonts w:ascii="宋体" w:hAnsi="宋体" w:hint="eastAsia"/>
          <w:sz w:val="24"/>
        </w:rPr>
        <w:t>中国证监会许可的</w:t>
      </w:r>
      <w:r w:rsidR="002D6BC2" w:rsidRPr="00456F57">
        <w:rPr>
          <w:rFonts w:ascii="宋体" w:hAnsi="宋体" w:hint="eastAsia"/>
          <w:sz w:val="24"/>
        </w:rPr>
        <w:t>其他</w:t>
      </w:r>
      <w:r w:rsidRPr="00456F57">
        <w:rPr>
          <w:rFonts w:ascii="宋体" w:hAnsi="宋体" w:hint="eastAsia"/>
          <w:sz w:val="24"/>
        </w:rPr>
        <w:t>业务。</w:t>
      </w:r>
    </w:p>
    <w:p w14:paraId="5B0CAD48"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（二）基金托管人</w:t>
      </w:r>
    </w:p>
    <w:p w14:paraId="10608BC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名称：招商银行股份有限公司</w:t>
      </w:r>
      <w:r w:rsidRPr="00456F57">
        <w:rPr>
          <w:rFonts w:ascii="宋体" w:hAnsi="宋体"/>
          <w:sz w:val="24"/>
        </w:rPr>
        <w:t>(简称：招商银行)</w:t>
      </w:r>
    </w:p>
    <w:p w14:paraId="62DE5AD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住所：深圳市深南大道</w:t>
      </w:r>
      <w:r w:rsidRPr="00456F57">
        <w:rPr>
          <w:rFonts w:ascii="宋体" w:hAnsi="宋体"/>
          <w:sz w:val="24"/>
        </w:rPr>
        <w:t>7088号招商银行大厦</w:t>
      </w:r>
    </w:p>
    <w:p w14:paraId="074F708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办公地址：深圳市深南大道</w:t>
      </w:r>
      <w:r w:rsidRPr="00456F57">
        <w:rPr>
          <w:rFonts w:ascii="宋体" w:hAnsi="宋体"/>
          <w:sz w:val="24"/>
        </w:rPr>
        <w:t>7088号招商银行大厦</w:t>
      </w:r>
    </w:p>
    <w:p w14:paraId="0D9D9C8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Pr="00456F57">
        <w:rPr>
          <w:rFonts w:ascii="宋体" w:hAnsi="宋体"/>
          <w:sz w:val="24"/>
        </w:rPr>
        <w:t>518040</w:t>
      </w:r>
    </w:p>
    <w:p w14:paraId="728AAF92" w14:textId="053159A8"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C86E10">
        <w:rPr>
          <w:rFonts w:ascii="宋体" w:hAnsi="宋体" w:hint="eastAsia"/>
          <w:sz w:val="24"/>
        </w:rPr>
        <w:t>缪建民</w:t>
      </w:r>
    </w:p>
    <w:p w14:paraId="4D7E6D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1987年4月8日</w:t>
      </w:r>
    </w:p>
    <w:p w14:paraId="06414BA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基金托管业务批准文号：证监基金字</w:t>
      </w:r>
      <w:r w:rsidRPr="00456F57">
        <w:rPr>
          <w:rFonts w:ascii="宋体" w:hAnsi="宋体"/>
          <w:sz w:val="24"/>
        </w:rPr>
        <w:t>[2002]83号</w:t>
      </w:r>
    </w:p>
    <w:p w14:paraId="1200110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组织形式：股份有限公司</w:t>
      </w:r>
    </w:p>
    <w:p w14:paraId="279AC8D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注册资本：人民币</w:t>
      </w:r>
      <w:r w:rsidRPr="00456F57">
        <w:rPr>
          <w:rFonts w:ascii="宋体" w:hAnsi="宋体"/>
          <w:sz w:val="24"/>
        </w:rPr>
        <w:t>252.20</w:t>
      </w:r>
      <w:r w:rsidRPr="00456F57">
        <w:rPr>
          <w:rFonts w:ascii="宋体" w:hAnsi="宋体" w:hint="eastAsia"/>
          <w:sz w:val="24"/>
        </w:rPr>
        <w:t>亿元</w:t>
      </w:r>
    </w:p>
    <w:p w14:paraId="78186F0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存续期间：持续经营</w:t>
      </w:r>
    </w:p>
    <w:p w14:paraId="5C68F201"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6" w:name="_Toc348082030"/>
      <w:bookmarkStart w:id="7" w:name="_Toc488938611"/>
      <w:r w:rsidRPr="00456F57">
        <w:rPr>
          <w:rFonts w:ascii="宋体" w:hAnsi="宋体" w:hint="eastAsia"/>
          <w:sz w:val="24"/>
        </w:rPr>
        <w:lastRenderedPageBreak/>
        <w:t>二、基金托管协议的依据、目的和原则</w:t>
      </w:r>
      <w:bookmarkEnd w:id="6"/>
      <w:bookmarkEnd w:id="7"/>
    </w:p>
    <w:p w14:paraId="4118F7B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（一）订立托管协议的依据</w:t>
      </w:r>
    </w:p>
    <w:p w14:paraId="75E30748" w14:textId="650F47AA"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本协议依据《中华人民共和国证券投资基金法》</w:t>
      </w:r>
      <w:r w:rsidRPr="00456F57">
        <w:rPr>
          <w:rFonts w:ascii="宋体" w:hAnsi="宋体"/>
          <w:sz w:val="24"/>
        </w:rPr>
        <w:t>(以下简称“《基金法》”)</w:t>
      </w:r>
      <w:r w:rsidRPr="00456F57">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456F57">
        <w:rPr>
          <w:rFonts w:ascii="宋体" w:hAnsi="宋体" w:hint="eastAsia"/>
          <w:sz w:val="24"/>
        </w:rPr>
        <w:t>等有关法律法规、基金合同及其他有关规定制订。</w:t>
      </w:r>
    </w:p>
    <w:p w14:paraId="219B480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（二）订立托管协议的目的</w:t>
      </w:r>
    </w:p>
    <w:p w14:paraId="5D26D33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580BD7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（三）订立托管协议的原则</w:t>
      </w:r>
    </w:p>
    <w:p w14:paraId="26F06C3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基金管理人和基金托管人本着平等自愿、诚实信用、充分保护基金份额持有人合法权益的原则，经协商一致，签订本协议。</w:t>
      </w:r>
    </w:p>
    <w:p w14:paraId="70739353" w14:textId="77777777" w:rsidR="00896C5A" w:rsidRPr="00456F57" w:rsidRDefault="00896C5A">
      <w:pPr>
        <w:spacing w:line="360" w:lineRule="auto"/>
        <w:rPr>
          <w:rFonts w:ascii="宋体" w:hAnsi="宋体"/>
          <w:sz w:val="24"/>
        </w:rPr>
      </w:pPr>
    </w:p>
    <w:p w14:paraId="1CE7DD34"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8" w:name="_Toc348082031"/>
      <w:bookmarkStart w:id="9" w:name="_Toc488938612"/>
      <w:r w:rsidRPr="00456F57">
        <w:rPr>
          <w:rFonts w:ascii="宋体" w:hAnsi="宋体" w:hint="eastAsia"/>
          <w:sz w:val="24"/>
        </w:rPr>
        <w:lastRenderedPageBreak/>
        <w:t>三、基金托管人对基金管理人的业务监督和核查</w:t>
      </w:r>
      <w:bookmarkEnd w:id="8"/>
      <w:bookmarkEnd w:id="9"/>
    </w:p>
    <w:p w14:paraId="061DC5B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F36F5AA" w14:textId="77777777" w:rsidR="00E05D3F" w:rsidRPr="00456F57" w:rsidRDefault="00712663" w:rsidP="00E05D3F">
      <w:pPr>
        <w:spacing w:line="360" w:lineRule="auto"/>
        <w:ind w:firstLine="480"/>
        <w:rPr>
          <w:rFonts w:ascii="宋体" w:hAnsi="宋体" w:cs="Arial"/>
          <w:szCs w:val="21"/>
        </w:rPr>
      </w:pPr>
      <w:bookmarkStart w:id="10" w:name="_Hlk494120345"/>
      <w:r w:rsidRPr="00456F57">
        <w:rPr>
          <w:rFonts w:ascii="宋体" w:hAnsi="宋体"/>
          <w:sz w:val="24"/>
        </w:rPr>
        <w:t>1.</w:t>
      </w:r>
      <w:r w:rsidRPr="00456F57">
        <w:rPr>
          <w:rFonts w:ascii="宋体" w:hAnsi="宋体" w:hint="eastAsia"/>
          <w:sz w:val="24"/>
        </w:rPr>
        <w:t>本基金的投资范围为：</w:t>
      </w:r>
    </w:p>
    <w:p w14:paraId="3A7B6216" w14:textId="5DB81D06"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w:t>
      </w:r>
      <w:r w:rsidR="00EA1101">
        <w:rPr>
          <w:rFonts w:ascii="宋体" w:hAnsi="宋体" w:hint="eastAsia"/>
          <w:sz w:val="24"/>
        </w:rPr>
        <w:t>部分</w:t>
      </w:r>
      <w:r w:rsidRPr="00456F57">
        <w:rPr>
          <w:rFonts w:ascii="宋体" w:hAnsi="宋体" w:hint="eastAsia"/>
          <w:sz w:val="24"/>
        </w:rPr>
        <w:t>、</w:t>
      </w:r>
      <w:r w:rsidR="009058D2" w:rsidRPr="009058D2">
        <w:rPr>
          <w:rFonts w:ascii="宋体" w:hAnsi="宋体" w:hint="eastAsia"/>
          <w:sz w:val="24"/>
        </w:rPr>
        <w:t>公开发行的</w:t>
      </w:r>
      <w:r w:rsidRPr="00456F57">
        <w:rPr>
          <w:rFonts w:ascii="宋体" w:hAnsi="宋体" w:hint="eastAsia"/>
          <w:sz w:val="24"/>
        </w:rPr>
        <w:t>次级债、资产支持证券、</w:t>
      </w:r>
      <w:r w:rsidRPr="00456F57">
        <w:rPr>
          <w:rFonts w:ascii="宋体" w:hAnsi="宋体"/>
          <w:sz w:val="24"/>
        </w:rPr>
        <w:t>短期融资券、</w:t>
      </w:r>
      <w:r w:rsidRPr="00456F57">
        <w:rPr>
          <w:rFonts w:ascii="Calibri" w:hAnsi="Calibri" w:hint="eastAsia"/>
          <w:bCs/>
          <w:sz w:val="24"/>
        </w:rPr>
        <w:t>超级短期融资券、中小企业私募债、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Pr="00456F57">
        <w:rPr>
          <w:rFonts w:ascii="Calibri" w:hAnsi="Calibri" w:hint="eastAsia"/>
          <w:bCs/>
          <w:sz w:val="24"/>
        </w:rPr>
        <w:t>同业存单、</w:t>
      </w:r>
      <w:r w:rsidRPr="00456F57">
        <w:rPr>
          <w:rFonts w:ascii="宋体" w:hAnsi="宋体"/>
          <w:sz w:val="24"/>
        </w:rPr>
        <w:t>货币市场工具</w:t>
      </w:r>
      <w:r w:rsidRPr="00456F57">
        <w:rPr>
          <w:rFonts w:ascii="宋体" w:hAnsi="宋体" w:hint="eastAsia"/>
          <w:sz w:val="24"/>
        </w:rPr>
        <w:t>等资产和法律法规允许投资的其他金融工具。</w:t>
      </w:r>
      <w:r w:rsidR="00AA7A1E" w:rsidRPr="00456F57">
        <w:rPr>
          <w:rFonts w:ascii="宋体" w:hAnsi="宋体" w:hint="eastAsia"/>
          <w:sz w:val="24"/>
        </w:rPr>
        <w:t>本基金不投资于股票、权证等资产，也不投资于可转换债券（可分离交易可转债的纯债部分除外）、可交换债券。</w:t>
      </w:r>
    </w:p>
    <w:p w14:paraId="2A6EABF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72C86252" w14:textId="77777777" w:rsidR="00866432" w:rsidRPr="00456F57" w:rsidRDefault="00712663">
      <w:pPr>
        <w:spacing w:line="360" w:lineRule="auto"/>
        <w:ind w:firstLine="480"/>
        <w:rPr>
          <w:rFonts w:ascii="宋体" w:hAnsi="宋体" w:cs="Arial"/>
          <w:szCs w:val="21"/>
        </w:rPr>
      </w:pPr>
      <w:r w:rsidRPr="00456F57">
        <w:rPr>
          <w:rFonts w:ascii="宋体" w:hAnsi="宋体"/>
          <w:sz w:val="24"/>
        </w:rPr>
        <w:t>2.本基金各类品种的投资比例、投资限制为：</w:t>
      </w:r>
    </w:p>
    <w:p w14:paraId="0C70CF17" w14:textId="650841C8" w:rsidR="00D25D20" w:rsidRPr="00106DD3" w:rsidRDefault="00D25D20" w:rsidP="00D25D20">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r w:rsidR="00567FC5" w:rsidRPr="00106DD3">
        <w:rPr>
          <w:rFonts w:hint="eastAsia"/>
          <w:bCs/>
          <w:sz w:val="24"/>
        </w:rPr>
        <w:t>本基金</w:t>
      </w:r>
      <w:r w:rsidR="00567FC5">
        <w:rPr>
          <w:rFonts w:ascii="宋体" w:hAnsi="宋体" w:hint="eastAsia"/>
          <w:sz w:val="24"/>
        </w:rPr>
        <w:t>转为开放式</w:t>
      </w:r>
      <w:r w:rsidR="00567FC5">
        <w:rPr>
          <w:rFonts w:ascii="宋体" w:hAnsi="宋体"/>
          <w:sz w:val="24"/>
        </w:rPr>
        <w:t>运作后</w:t>
      </w:r>
      <w:r w:rsidRPr="00106DD3">
        <w:rPr>
          <w:rFonts w:hint="eastAsia"/>
          <w:bCs/>
          <w:sz w:val="24"/>
        </w:rPr>
        <w:t>，现金或到期日在一年以内的政府债券的比例合计不低于基金资产净值的</w:t>
      </w:r>
      <w:r w:rsidRPr="00106DD3">
        <w:rPr>
          <w:rFonts w:hint="eastAsia"/>
          <w:bCs/>
          <w:sz w:val="24"/>
        </w:rPr>
        <w:t>5%</w:t>
      </w:r>
      <w:r w:rsidR="004C1766" w:rsidRPr="004C1766">
        <w:rPr>
          <w:rFonts w:hint="eastAsia"/>
          <w:bCs/>
          <w:sz w:val="24"/>
        </w:rPr>
        <w:t>，其中现金不包括结算备付金、存出保证金、应收申购款等</w:t>
      </w:r>
      <w:r w:rsidRPr="00106DD3">
        <w:rPr>
          <w:rFonts w:hint="eastAsia"/>
          <w:bCs/>
          <w:sz w:val="24"/>
        </w:rPr>
        <w:t>。如果法律法规或中国证监会变更投资品种的投资比例限制，基金管理人在履行适当程序后，可以调整上述投资品种的投资比例。</w:t>
      </w:r>
    </w:p>
    <w:p w14:paraId="5EC55D07"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548EADCF" w14:textId="77777777" w:rsidR="006244CD" w:rsidRPr="00106DD3" w:rsidRDefault="006244CD" w:rsidP="006244CD">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14:paraId="00AEB6FE" w14:textId="23836873" w:rsidR="006244CD" w:rsidRPr="00106DD3" w:rsidRDefault="006244CD" w:rsidP="007E330C">
      <w:pPr>
        <w:spacing w:line="276"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r w:rsidR="004C1766">
        <w:rPr>
          <w:rFonts w:hint="eastAsia"/>
          <w:bCs/>
          <w:sz w:val="24"/>
        </w:rPr>
        <w:t>，其中</w:t>
      </w:r>
      <w:r w:rsidR="00E008E1">
        <w:rPr>
          <w:rFonts w:hint="eastAsia"/>
          <w:bCs/>
          <w:sz w:val="24"/>
        </w:rPr>
        <w:t>现金</w:t>
      </w:r>
      <w:r w:rsidR="007F419F" w:rsidRPr="007F419F">
        <w:rPr>
          <w:rFonts w:hint="eastAsia"/>
          <w:bCs/>
          <w:sz w:val="24"/>
        </w:rPr>
        <w:t>不包括结算备付金、存出保证金、应收申购款等</w:t>
      </w:r>
      <w:r w:rsidRPr="00106DD3">
        <w:rPr>
          <w:rFonts w:hint="eastAsia"/>
          <w:bCs/>
          <w:sz w:val="24"/>
        </w:rPr>
        <w:t>；</w:t>
      </w:r>
    </w:p>
    <w:p w14:paraId="49AEEB1D" w14:textId="77777777" w:rsidR="006244CD" w:rsidRPr="00106DD3" w:rsidRDefault="006244CD" w:rsidP="007E330C">
      <w:pPr>
        <w:spacing w:line="276"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567EA442" w14:textId="77777777" w:rsidR="006244CD" w:rsidRPr="00106DD3" w:rsidRDefault="006244CD" w:rsidP="007E330C">
      <w:pPr>
        <w:spacing w:line="276"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53704C6B" w14:textId="77777777" w:rsidR="006244CD" w:rsidRDefault="006244CD" w:rsidP="007E330C">
      <w:pPr>
        <w:spacing w:line="276" w:lineRule="auto"/>
        <w:ind w:firstLineChars="200" w:firstLine="480"/>
        <w:rPr>
          <w:bCs/>
          <w:sz w:val="24"/>
        </w:rPr>
      </w:pPr>
      <w:r w:rsidRPr="00106DD3">
        <w:rPr>
          <w:rFonts w:hint="eastAsia"/>
          <w:bCs/>
          <w:sz w:val="24"/>
        </w:rPr>
        <w:lastRenderedPageBreak/>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，基金总资产不超过基金净资产的</w:t>
      </w:r>
      <w:r w:rsidRPr="00106DD3">
        <w:rPr>
          <w:rFonts w:hint="eastAsia"/>
          <w:bCs/>
          <w:sz w:val="24"/>
        </w:rPr>
        <w:t>140%</w:t>
      </w:r>
      <w:r w:rsidRPr="00106DD3">
        <w:rPr>
          <w:rFonts w:hint="eastAsia"/>
          <w:bCs/>
          <w:sz w:val="24"/>
        </w:rPr>
        <w:t>；</w:t>
      </w:r>
    </w:p>
    <w:p w14:paraId="163099E9" w14:textId="68B4D89F" w:rsidR="007F419F" w:rsidRPr="0000199B" w:rsidRDefault="007F419F" w:rsidP="007E330C">
      <w:pPr>
        <w:spacing w:line="276" w:lineRule="auto"/>
        <w:ind w:firstLineChars="200" w:firstLine="480"/>
        <w:rPr>
          <w:bCs/>
          <w:sz w:val="24"/>
        </w:rPr>
      </w:pPr>
      <w:r w:rsidRPr="0000199B">
        <w:rPr>
          <w:rFonts w:hint="eastAsia"/>
          <w:bCs/>
          <w:sz w:val="24"/>
        </w:rPr>
        <w:t>（</w:t>
      </w:r>
      <w:r>
        <w:rPr>
          <w:bCs/>
          <w:sz w:val="24"/>
        </w:rPr>
        <w:t>6</w:t>
      </w:r>
      <w:r w:rsidRPr="0000199B">
        <w:rPr>
          <w:rFonts w:hint="eastAsia"/>
          <w:bCs/>
          <w:sz w:val="24"/>
        </w:rPr>
        <w:t>）本基金</w:t>
      </w:r>
      <w:r w:rsidR="00802AA3" w:rsidRPr="00802AA3">
        <w:rPr>
          <w:rFonts w:hint="eastAsia"/>
          <w:bCs/>
          <w:sz w:val="24"/>
        </w:rPr>
        <w:t>转为开放式</w:t>
      </w:r>
      <w:r w:rsidR="00802AA3" w:rsidRPr="00802AA3">
        <w:rPr>
          <w:bCs/>
          <w:sz w:val="24"/>
        </w:rPr>
        <w:t>运作后</w:t>
      </w:r>
      <w:r w:rsidR="00802AA3" w:rsidRPr="00802AA3">
        <w:rPr>
          <w:rFonts w:hint="eastAsia"/>
          <w:bCs/>
          <w:sz w:val="24"/>
        </w:rPr>
        <w:t>，</w:t>
      </w:r>
      <w:r w:rsidRPr="0000199B">
        <w:rPr>
          <w:rFonts w:hint="eastAsia"/>
          <w:bCs/>
          <w:sz w:val="24"/>
        </w:rPr>
        <w:t>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sidR="00802AA3">
        <w:rPr>
          <w:rFonts w:hint="eastAsia"/>
          <w:bCs/>
          <w:sz w:val="24"/>
        </w:rPr>
        <w:t>该</w:t>
      </w:r>
      <w:r w:rsidRPr="0000199B">
        <w:rPr>
          <w:rFonts w:hint="eastAsia"/>
          <w:bCs/>
          <w:sz w:val="24"/>
        </w:rPr>
        <w:t>比例限制的，基金管理人不得主动新增流动性受限资产的投资；</w:t>
      </w:r>
    </w:p>
    <w:p w14:paraId="618D4ED8" w14:textId="77777777" w:rsidR="007F419F" w:rsidRPr="00A66E5E" w:rsidRDefault="007F419F" w:rsidP="007E330C">
      <w:pPr>
        <w:spacing w:line="276" w:lineRule="auto"/>
        <w:ind w:firstLineChars="200" w:firstLine="480"/>
        <w:rPr>
          <w:bCs/>
          <w:sz w:val="24"/>
        </w:rPr>
      </w:pPr>
      <w:r w:rsidRPr="00A66E5E">
        <w:rPr>
          <w:rFonts w:hint="eastAsia"/>
          <w:bCs/>
          <w:sz w:val="24"/>
        </w:rPr>
        <w:t>（</w:t>
      </w:r>
      <w:r>
        <w:rPr>
          <w:bCs/>
          <w:sz w:val="24"/>
        </w:rPr>
        <w:t>7</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4D559EC2" w14:textId="228770B4" w:rsidR="006244CD" w:rsidRPr="00106DD3" w:rsidRDefault="006244CD" w:rsidP="007E330C">
      <w:pPr>
        <w:spacing w:line="276" w:lineRule="auto"/>
        <w:ind w:firstLineChars="200" w:firstLine="480"/>
        <w:rPr>
          <w:bCs/>
          <w:sz w:val="24"/>
        </w:rPr>
      </w:pPr>
      <w:r w:rsidRPr="00106DD3">
        <w:rPr>
          <w:bCs/>
          <w:sz w:val="24"/>
        </w:rPr>
        <w:t>（</w:t>
      </w:r>
      <w:r w:rsidR="00802AA3">
        <w:rPr>
          <w:bCs/>
          <w:sz w:val="24"/>
        </w:rPr>
        <w:t>8</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68B85E3A" w14:textId="0A3CD340" w:rsidR="006244CD" w:rsidRPr="00106DD3" w:rsidRDefault="006244CD" w:rsidP="007E330C">
      <w:pPr>
        <w:spacing w:line="276" w:lineRule="auto"/>
        <w:ind w:firstLineChars="200" w:firstLine="480"/>
        <w:rPr>
          <w:bCs/>
          <w:sz w:val="24"/>
        </w:rPr>
      </w:pPr>
      <w:r w:rsidRPr="00106DD3">
        <w:rPr>
          <w:bCs/>
          <w:sz w:val="24"/>
        </w:rPr>
        <w:t>（</w:t>
      </w:r>
      <w:r w:rsidR="00802AA3">
        <w:rPr>
          <w:bCs/>
          <w:sz w:val="24"/>
        </w:rPr>
        <w:t>9</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0403CA8A" w14:textId="1F1F85BF" w:rsidR="006244CD" w:rsidRPr="00106DD3" w:rsidRDefault="006244CD" w:rsidP="007E330C">
      <w:pPr>
        <w:spacing w:line="276" w:lineRule="auto"/>
        <w:ind w:firstLineChars="200" w:firstLine="480"/>
        <w:rPr>
          <w:bCs/>
          <w:sz w:val="24"/>
        </w:rPr>
      </w:pPr>
      <w:r w:rsidRPr="00106DD3">
        <w:rPr>
          <w:bCs/>
          <w:sz w:val="24"/>
        </w:rPr>
        <w:t>（</w:t>
      </w:r>
      <w:r w:rsidR="007F419F">
        <w:rPr>
          <w:bCs/>
          <w:sz w:val="24"/>
        </w:rPr>
        <w:t>1</w:t>
      </w:r>
      <w:r w:rsidR="00802AA3">
        <w:rPr>
          <w:bCs/>
          <w:sz w:val="24"/>
        </w:rPr>
        <w:t>0</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207DC017" w14:textId="0C8F187A" w:rsidR="006244CD" w:rsidRPr="00106DD3" w:rsidRDefault="006244CD" w:rsidP="007E330C">
      <w:pPr>
        <w:spacing w:line="276" w:lineRule="auto"/>
        <w:ind w:firstLineChars="200" w:firstLine="480"/>
        <w:rPr>
          <w:bCs/>
          <w:sz w:val="24"/>
        </w:rPr>
      </w:pPr>
      <w:r w:rsidRPr="00106DD3">
        <w:rPr>
          <w:bCs/>
          <w:sz w:val="24"/>
        </w:rPr>
        <w:t>（</w:t>
      </w:r>
      <w:r w:rsidR="007F419F">
        <w:rPr>
          <w:bCs/>
          <w:sz w:val="24"/>
        </w:rPr>
        <w:t>1</w:t>
      </w:r>
      <w:r w:rsidR="00802AA3">
        <w:rPr>
          <w:bCs/>
          <w:sz w:val="24"/>
        </w:rPr>
        <w:t>1</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133EEF6D" w14:textId="77812DA0" w:rsidR="00C0227B" w:rsidRDefault="006244CD" w:rsidP="007E330C">
      <w:pPr>
        <w:spacing w:line="276" w:lineRule="auto"/>
        <w:ind w:firstLineChars="200" w:firstLine="480"/>
        <w:rPr>
          <w:bCs/>
          <w:sz w:val="24"/>
        </w:rPr>
      </w:pPr>
      <w:r w:rsidRPr="00106DD3">
        <w:rPr>
          <w:bCs/>
          <w:sz w:val="24"/>
        </w:rPr>
        <w:t>（</w:t>
      </w:r>
      <w:r w:rsidR="007F419F" w:rsidRPr="00106DD3">
        <w:rPr>
          <w:rFonts w:hint="eastAsia"/>
          <w:bCs/>
          <w:sz w:val="24"/>
        </w:rPr>
        <w:t>1</w:t>
      </w:r>
      <w:r w:rsidR="00802AA3">
        <w:rPr>
          <w:bCs/>
          <w:sz w:val="24"/>
        </w:rPr>
        <w:t>2</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7073DD7F" w14:textId="368F3A33" w:rsidR="006244CD" w:rsidRDefault="00C0227B" w:rsidP="007E330C">
      <w:pPr>
        <w:spacing w:line="276" w:lineRule="auto"/>
        <w:ind w:firstLineChars="200" w:firstLine="480"/>
        <w:rPr>
          <w:bCs/>
          <w:sz w:val="24"/>
        </w:rPr>
      </w:pPr>
      <w:r>
        <w:rPr>
          <w:rFonts w:hint="eastAsia"/>
          <w:bCs/>
          <w:sz w:val="24"/>
        </w:rPr>
        <w:t>（</w:t>
      </w:r>
      <w:r w:rsidR="007F419F">
        <w:rPr>
          <w:rFonts w:hint="eastAsia"/>
          <w:bCs/>
          <w:sz w:val="24"/>
        </w:rPr>
        <w:t>1</w:t>
      </w:r>
      <w:r w:rsidR="00802AA3">
        <w:rPr>
          <w:bCs/>
          <w:sz w:val="24"/>
        </w:rPr>
        <w:t>3</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w:t>
      </w:r>
      <w:r w:rsidR="00EA1101" w:rsidRPr="004C2463">
        <w:rPr>
          <w:rFonts w:hint="eastAsia"/>
          <w:bCs/>
          <w:sz w:val="24"/>
        </w:rPr>
        <w:t>本基金在全国银行间同业市场中的</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2805341E" w14:textId="7F1423F8" w:rsidR="006244CD" w:rsidRDefault="006244CD" w:rsidP="007E330C">
      <w:pPr>
        <w:spacing w:line="276" w:lineRule="auto"/>
        <w:ind w:firstLineChars="200" w:firstLine="480"/>
        <w:rPr>
          <w:bCs/>
          <w:sz w:val="24"/>
        </w:rPr>
      </w:pPr>
      <w:r w:rsidRPr="00106DD3">
        <w:rPr>
          <w:bCs/>
          <w:sz w:val="24"/>
        </w:rPr>
        <w:t>（</w:t>
      </w:r>
      <w:r w:rsidR="007F419F" w:rsidRPr="00106DD3">
        <w:rPr>
          <w:rFonts w:hint="eastAsia"/>
          <w:bCs/>
          <w:sz w:val="24"/>
        </w:rPr>
        <w:t>1</w:t>
      </w:r>
      <w:r w:rsidR="00802AA3">
        <w:rPr>
          <w:bCs/>
          <w:sz w:val="24"/>
        </w:rPr>
        <w:t>4</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6AAD3AC9" w14:textId="09314CDB" w:rsidR="006244CD" w:rsidRPr="00106DD3" w:rsidRDefault="006244CD" w:rsidP="007E330C">
      <w:pPr>
        <w:spacing w:line="276" w:lineRule="auto"/>
        <w:ind w:firstLineChars="200" w:firstLine="480"/>
        <w:rPr>
          <w:bCs/>
          <w:sz w:val="24"/>
        </w:rPr>
      </w:pPr>
      <w:r>
        <w:rPr>
          <w:rFonts w:hint="eastAsia"/>
          <w:bCs/>
          <w:sz w:val="24"/>
        </w:rPr>
        <w:t>（</w:t>
      </w:r>
      <w:r w:rsidR="007F419F">
        <w:rPr>
          <w:bCs/>
          <w:sz w:val="24"/>
        </w:rPr>
        <w:t>1</w:t>
      </w:r>
      <w:r w:rsidR="00802AA3">
        <w:rPr>
          <w:bCs/>
          <w:sz w:val="24"/>
        </w:rPr>
        <w:t>5</w:t>
      </w:r>
      <w:r>
        <w:rPr>
          <w:rFonts w:hint="eastAsia"/>
          <w:bCs/>
          <w:sz w:val="24"/>
        </w:rPr>
        <w:t>）</w:t>
      </w:r>
      <w:r w:rsidRPr="00106DD3">
        <w:rPr>
          <w:rFonts w:hint="eastAsia"/>
          <w:bCs/>
          <w:sz w:val="24"/>
        </w:rPr>
        <w:t>法律法规及中国证监会规定的和《基金合同》约定的其他投资限制。</w:t>
      </w:r>
    </w:p>
    <w:p w14:paraId="12B533B3" w14:textId="77777777" w:rsidR="00896C5A" w:rsidRPr="00456F57" w:rsidRDefault="002D6BC2" w:rsidP="007E330C">
      <w:pPr>
        <w:spacing w:line="276" w:lineRule="auto"/>
        <w:ind w:firstLineChars="200" w:firstLine="480"/>
        <w:rPr>
          <w:rFonts w:ascii="宋体" w:hAnsi="宋体" w:cs="Arial"/>
          <w:sz w:val="24"/>
        </w:rPr>
      </w:pPr>
      <w:r w:rsidRPr="00456F57">
        <w:rPr>
          <w:rFonts w:hint="eastAsia"/>
          <w:bCs/>
          <w:sz w:val="24"/>
        </w:rPr>
        <w:t>法律法规对上述投资组合比例限制进行变更的，以变更后的规定为准。</w:t>
      </w:r>
      <w:r w:rsidRPr="00456F57">
        <w:rPr>
          <w:bCs/>
          <w:sz w:val="24"/>
        </w:rPr>
        <w:t>法律法规或监管部门取消上述限制，如适用于本基金，基金管理人</w:t>
      </w:r>
      <w:r w:rsidRPr="00456F57">
        <w:rPr>
          <w:rFonts w:hint="eastAsia"/>
          <w:bCs/>
          <w:sz w:val="24"/>
        </w:rPr>
        <w:t>在</w:t>
      </w:r>
      <w:r w:rsidRPr="00456F57">
        <w:rPr>
          <w:bCs/>
          <w:sz w:val="24"/>
        </w:rPr>
        <w:t>履行适当程序后，则本基金投资</w:t>
      </w:r>
      <w:r w:rsidRPr="00456F57">
        <w:rPr>
          <w:rFonts w:hint="eastAsia"/>
          <w:bCs/>
          <w:sz w:val="24"/>
        </w:rPr>
        <w:t>不再受相关限制</w:t>
      </w:r>
      <w:r w:rsidRPr="00456F57">
        <w:rPr>
          <w:bCs/>
          <w:sz w:val="24"/>
        </w:rPr>
        <w:t>。</w:t>
      </w:r>
    </w:p>
    <w:p w14:paraId="4C8D051C"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本基金财产不得用于以下投资或者活动：</w:t>
      </w:r>
    </w:p>
    <w:p w14:paraId="5909EE05"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1）承销证券；</w:t>
      </w:r>
    </w:p>
    <w:p w14:paraId="6CFD1067"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2）违反规定向他人贷款或者提供担保；</w:t>
      </w:r>
    </w:p>
    <w:p w14:paraId="436B3069"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3）从事承担无限责任的投资；</w:t>
      </w:r>
    </w:p>
    <w:p w14:paraId="022D02B1"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4）买卖其他基金份额，但是</w:t>
      </w:r>
      <w:r w:rsidRPr="00456F57">
        <w:rPr>
          <w:rFonts w:ascii="宋体" w:hAnsi="宋体" w:hint="eastAsia"/>
          <w:sz w:val="24"/>
        </w:rPr>
        <w:t>中国证监会另有规定的除外；</w:t>
      </w:r>
    </w:p>
    <w:p w14:paraId="13CCEBE9"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5）向</w:t>
      </w:r>
      <w:r w:rsidR="002D6BC2" w:rsidRPr="00456F57">
        <w:rPr>
          <w:rFonts w:ascii="宋体" w:hAnsi="宋体" w:cs="Arial" w:hint="eastAsia"/>
          <w:sz w:val="24"/>
        </w:rPr>
        <w:t>其</w:t>
      </w:r>
      <w:r w:rsidRPr="00456F57">
        <w:rPr>
          <w:rFonts w:ascii="宋体" w:hAnsi="宋体" w:hint="eastAsia"/>
          <w:sz w:val="24"/>
        </w:rPr>
        <w:t>基金管理人、基金托管人出资；</w:t>
      </w:r>
    </w:p>
    <w:p w14:paraId="3783188C"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6）从事内幕交易、操纵证券交易价格及其他不正当的证券交易活动；</w:t>
      </w:r>
    </w:p>
    <w:p w14:paraId="3B51879B"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7）法律、行政法规</w:t>
      </w:r>
      <w:r w:rsidR="002D6BC2" w:rsidRPr="00456F57">
        <w:rPr>
          <w:rFonts w:ascii="宋体" w:hAnsi="宋体" w:cs="Arial" w:hint="eastAsia"/>
          <w:sz w:val="24"/>
        </w:rPr>
        <w:t>和</w:t>
      </w:r>
      <w:r w:rsidRPr="00456F57">
        <w:rPr>
          <w:rFonts w:ascii="宋体" w:hAnsi="宋体" w:hint="eastAsia"/>
          <w:sz w:val="24"/>
        </w:rPr>
        <w:t>中国证监会规定禁止的其他活动。</w:t>
      </w:r>
    </w:p>
    <w:p w14:paraId="6695F99A" w14:textId="77777777" w:rsidR="00FB7845" w:rsidRDefault="00FB7845">
      <w:pPr>
        <w:spacing w:line="360" w:lineRule="auto"/>
        <w:ind w:firstLineChars="200" w:firstLine="480"/>
        <w:rPr>
          <w:rFonts w:ascii="宋体" w:hAnsi="宋体" w:cs="Arial"/>
          <w:sz w:val="24"/>
        </w:rPr>
      </w:pPr>
    </w:p>
    <w:p w14:paraId="41CC097E" w14:textId="77777777" w:rsidR="00896C5A" w:rsidRPr="00456F57" w:rsidRDefault="002D6BC2">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w:t>
      </w:r>
      <w:r w:rsidRPr="00456F57">
        <w:rPr>
          <w:rFonts w:ascii="宋体" w:hAnsi="宋体" w:cs="Arial" w:hint="eastAsia"/>
          <w:sz w:val="24"/>
        </w:rPr>
        <w:lastRenderedPageBreak/>
        <w:t>理人在履行适当程序后，本基金可不受上述规定的限制。</w:t>
      </w:r>
    </w:p>
    <w:bookmarkEnd w:id="10"/>
    <w:p w14:paraId="4B950BD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基金管理人运用基金财产买卖基金管理人、基金托管人及其控股股东、实际控制人或者与其有重大利害关系的公司发行</w:t>
      </w:r>
      <w:r w:rsidRPr="00456F57">
        <w:rPr>
          <w:rFonts w:hint="eastAsia"/>
          <w:sz w:val="24"/>
        </w:rPr>
        <w:t>的证券</w:t>
      </w:r>
      <w:r w:rsidRPr="00456F57">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56F57">
        <w:rPr>
          <w:rFonts w:ascii="宋体" w:hAnsi="宋体" w:hint="eastAsia"/>
          <w:sz w:val="24"/>
        </w:rPr>
        <w:t>持有人利益优先</w:t>
      </w:r>
      <w:r w:rsidR="002D6BC2" w:rsidRPr="00456F57">
        <w:rPr>
          <w:rFonts w:ascii="宋体" w:hAnsi="宋体" w:cs="Arial" w:hint="eastAsia"/>
          <w:sz w:val="24"/>
        </w:rPr>
        <w:t>的</w:t>
      </w:r>
      <w:r w:rsidRPr="00456F57">
        <w:rPr>
          <w:rFonts w:ascii="宋体" w:hAnsi="宋体" w:hint="eastAsia"/>
          <w:sz w:val="24"/>
        </w:rPr>
        <w:t>原则，防范利益冲突</w:t>
      </w:r>
      <w:r w:rsidRPr="00456F57">
        <w:rPr>
          <w:rFonts w:hint="eastAsia"/>
          <w:sz w:val="24"/>
        </w:rPr>
        <w:t>，建立健全内部审批机制和评估机制，按照市场公平</w:t>
      </w:r>
      <w:r w:rsidR="002D6BC2" w:rsidRPr="00456F57">
        <w:rPr>
          <w:rFonts w:hint="eastAsia"/>
          <w:bCs/>
          <w:sz w:val="24"/>
        </w:rPr>
        <w:t>合理</w:t>
      </w:r>
      <w:r w:rsidRPr="00456F57">
        <w:rPr>
          <w:rFonts w:hint="eastAsia"/>
          <w:sz w:val="24"/>
        </w:rPr>
        <w:t>价格执行</w:t>
      </w:r>
      <w:r w:rsidRPr="00456F57">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F4854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基金管理人应当自基金合同生效日起</w:t>
      </w:r>
      <w:r w:rsidRPr="00456F57">
        <w:rPr>
          <w:rFonts w:ascii="宋体" w:hAnsi="宋体"/>
          <w:sz w:val="24"/>
        </w:rPr>
        <w:t>6个月内使基金的投资组合比例符合基金合同的有关约定</w:t>
      </w:r>
      <w:r w:rsidR="002D6BC2" w:rsidRPr="00456F57">
        <w:rPr>
          <w:rFonts w:ascii="宋体" w:hAnsi="宋体" w:cs="Arial" w:hint="eastAsia"/>
          <w:bCs/>
          <w:sz w:val="24"/>
        </w:rPr>
        <w:t>，</w:t>
      </w:r>
      <w:r w:rsidR="002D6BC2" w:rsidRPr="00456F57">
        <w:rPr>
          <w:rFonts w:ascii="宋体" w:hAnsi="宋体" w:cs="Arial"/>
          <w:bCs/>
          <w:sz w:val="24"/>
        </w:rPr>
        <w:t>基金合</w:t>
      </w:r>
      <w:r w:rsidR="002D6BC2" w:rsidRPr="00456F57">
        <w:rPr>
          <w:rFonts w:ascii="宋体" w:hAnsi="宋体" w:cs="Arial" w:hint="eastAsia"/>
          <w:bCs/>
          <w:sz w:val="24"/>
        </w:rPr>
        <w:t>同</w:t>
      </w:r>
      <w:r w:rsidR="002D6BC2" w:rsidRPr="00456F57">
        <w:rPr>
          <w:rFonts w:ascii="宋体" w:hAnsi="宋体" w:cs="Arial"/>
          <w:bCs/>
          <w:sz w:val="24"/>
        </w:rPr>
        <w:t>另有约定的除外</w:t>
      </w:r>
      <w:r w:rsidRPr="00456F57">
        <w:rPr>
          <w:rFonts w:ascii="宋体" w:hAnsi="宋体" w:hint="eastAsia"/>
          <w:sz w:val="24"/>
        </w:rPr>
        <w:t>。在上述期间内，本基金的投资范围、投资策略应当符合基金合同的约定。</w:t>
      </w:r>
    </w:p>
    <w:p w14:paraId="52AAFCBE" w14:textId="59B337E4" w:rsidR="00104401" w:rsidRPr="00456F57" w:rsidRDefault="00712663" w:rsidP="00FB7845">
      <w:pPr>
        <w:spacing w:line="276" w:lineRule="auto"/>
        <w:ind w:firstLineChars="200" w:firstLine="480"/>
        <w:rPr>
          <w:rFonts w:ascii="宋体" w:hAnsi="宋体"/>
          <w:sz w:val="24"/>
        </w:rPr>
      </w:pPr>
      <w:r w:rsidRPr="00456F57">
        <w:rPr>
          <w:rFonts w:ascii="宋体" w:hAnsi="宋体" w:hint="eastAsia"/>
          <w:sz w:val="24"/>
        </w:rPr>
        <w:t>基金托管人对基金的投资的监督与检查自基金合同生效之日起开始。</w:t>
      </w:r>
      <w:r w:rsidR="00AD70A7">
        <w:rPr>
          <w:rFonts w:hint="eastAsia"/>
          <w:bCs/>
          <w:sz w:val="24"/>
        </w:rPr>
        <w:t>除上述</w:t>
      </w:r>
      <w:r w:rsidR="00802AA3" w:rsidRPr="00802AA3">
        <w:rPr>
          <w:rFonts w:hint="eastAsia"/>
          <w:bCs/>
          <w:sz w:val="24"/>
        </w:rPr>
        <w:t>第（</w:t>
      </w:r>
      <w:r w:rsidR="00802AA3" w:rsidRPr="00802AA3">
        <w:rPr>
          <w:rFonts w:hint="eastAsia"/>
          <w:bCs/>
          <w:sz w:val="24"/>
        </w:rPr>
        <w:t>2</w:t>
      </w:r>
      <w:r w:rsidR="00802AA3" w:rsidRPr="00802AA3">
        <w:rPr>
          <w:rFonts w:hint="eastAsia"/>
          <w:bCs/>
          <w:sz w:val="24"/>
        </w:rPr>
        <w:t>）、（</w:t>
      </w:r>
      <w:r w:rsidR="00802AA3" w:rsidRPr="00802AA3">
        <w:rPr>
          <w:rFonts w:hint="eastAsia"/>
          <w:bCs/>
          <w:sz w:val="24"/>
        </w:rPr>
        <w:t>6</w:t>
      </w:r>
      <w:r w:rsidR="00802AA3" w:rsidRPr="00802AA3">
        <w:rPr>
          <w:rFonts w:hint="eastAsia"/>
          <w:bCs/>
          <w:sz w:val="24"/>
        </w:rPr>
        <w:t>）、（</w:t>
      </w:r>
      <w:r w:rsidR="00802AA3" w:rsidRPr="00802AA3">
        <w:rPr>
          <w:rFonts w:hint="eastAsia"/>
          <w:bCs/>
          <w:sz w:val="24"/>
        </w:rPr>
        <w:t>7</w:t>
      </w:r>
      <w:r w:rsidR="00802AA3" w:rsidRPr="00802AA3">
        <w:rPr>
          <w:rFonts w:hint="eastAsia"/>
          <w:bCs/>
          <w:sz w:val="24"/>
        </w:rPr>
        <w:t>）、（</w:t>
      </w:r>
      <w:r w:rsidR="00802AA3" w:rsidRPr="00802AA3">
        <w:rPr>
          <w:rFonts w:hint="eastAsia"/>
          <w:bCs/>
          <w:sz w:val="24"/>
        </w:rPr>
        <w:t>1</w:t>
      </w:r>
      <w:r w:rsidR="00802AA3" w:rsidRPr="00802AA3">
        <w:rPr>
          <w:bCs/>
          <w:sz w:val="24"/>
        </w:rPr>
        <w:t>2</w:t>
      </w:r>
      <w:r w:rsidR="00802AA3" w:rsidRPr="00802AA3">
        <w:rPr>
          <w:rFonts w:hint="eastAsia"/>
          <w:bCs/>
          <w:sz w:val="24"/>
        </w:rPr>
        <w:t>）项</w:t>
      </w:r>
      <w:r w:rsidR="00AD70A7">
        <w:rPr>
          <w:rFonts w:hint="eastAsia"/>
          <w:bCs/>
          <w:sz w:val="24"/>
        </w:rPr>
        <w:t>外，</w:t>
      </w:r>
      <w:r w:rsidRPr="00456F57">
        <w:rPr>
          <w:rFonts w:ascii="宋体" w:hAnsi="宋体" w:hint="eastAsia"/>
          <w:sz w:val="24"/>
        </w:rPr>
        <w:t>因证券市场波动、证券发行人合并</w:t>
      </w:r>
      <w:r w:rsidRPr="00456F57">
        <w:rPr>
          <w:rFonts w:ascii="宋体" w:hAnsi="宋体"/>
          <w:sz w:val="24"/>
        </w:rPr>
        <w:t>或</w:t>
      </w:r>
      <w:r w:rsidRPr="00456F57">
        <w:rPr>
          <w:rFonts w:ascii="宋体" w:hAnsi="宋体" w:hint="eastAsia"/>
          <w:sz w:val="24"/>
        </w:rPr>
        <w:t>基金规模变动等基金管理人之外的原因</w:t>
      </w:r>
      <w:r w:rsidRPr="00456F57">
        <w:rPr>
          <w:rFonts w:ascii="宋体" w:hAnsi="宋体"/>
          <w:sz w:val="24"/>
        </w:rPr>
        <w:t>导致投资</w:t>
      </w:r>
      <w:r w:rsidRPr="00456F57">
        <w:rPr>
          <w:rFonts w:ascii="宋体" w:hAnsi="宋体" w:hint="eastAsia"/>
          <w:sz w:val="24"/>
        </w:rPr>
        <w:t>比例不符合</w:t>
      </w:r>
      <w:r w:rsidRPr="00456F57">
        <w:rPr>
          <w:rFonts w:ascii="宋体" w:hAnsi="宋体"/>
          <w:sz w:val="24"/>
        </w:rPr>
        <w:t>上述</w:t>
      </w:r>
      <w:r w:rsidRPr="00456F57">
        <w:rPr>
          <w:rFonts w:ascii="宋体" w:hAnsi="宋体" w:hint="eastAsia"/>
          <w:sz w:val="24"/>
        </w:rPr>
        <w:t>规定的</w:t>
      </w:r>
      <w:r w:rsidRPr="00456F57">
        <w:rPr>
          <w:rFonts w:ascii="宋体" w:hAnsi="宋体"/>
          <w:sz w:val="24"/>
        </w:rPr>
        <w:t>，基金管理人应在10个交易日内进行调整</w:t>
      </w:r>
      <w:r w:rsidR="002D6BC2" w:rsidRPr="00456F57">
        <w:rPr>
          <w:rFonts w:ascii="宋体" w:hAnsi="宋体" w:cs="Arial" w:hint="eastAsia"/>
          <w:sz w:val="24"/>
        </w:rPr>
        <w:t>，但中国证监会规定的特殊情形除外。</w:t>
      </w:r>
      <w:r w:rsidRPr="00456F57">
        <w:rPr>
          <w:rFonts w:ascii="宋体" w:hAnsi="宋体" w:hint="eastAsia"/>
          <w:sz w:val="24"/>
        </w:rPr>
        <w:t>法律法规另有规定的，从其规定。</w:t>
      </w:r>
    </w:p>
    <w:p w14:paraId="04AEE51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456F57">
        <w:rPr>
          <w:rFonts w:ascii="宋体" w:hAnsi="宋体" w:hint="eastAsia"/>
          <w:sz w:val="24"/>
        </w:rPr>
        <w:t>取消</w:t>
      </w:r>
      <w:r w:rsidRPr="00456F57">
        <w:rPr>
          <w:rFonts w:ascii="宋体" w:hAnsi="宋体"/>
          <w:sz w:val="24"/>
        </w:rPr>
        <w:t>上述限制</w:t>
      </w:r>
      <w:r w:rsidRPr="00456F57">
        <w:rPr>
          <w:rFonts w:ascii="宋体" w:hAnsi="宋体" w:hint="eastAsia"/>
          <w:sz w:val="24"/>
        </w:rPr>
        <w:t>的</w:t>
      </w:r>
      <w:r w:rsidRPr="00456F57">
        <w:rPr>
          <w:rFonts w:ascii="宋体" w:hAnsi="宋体"/>
          <w:sz w:val="24"/>
        </w:rPr>
        <w:t>，</w:t>
      </w:r>
      <w:r w:rsidRPr="00456F57">
        <w:rPr>
          <w:rFonts w:ascii="宋体" w:hAnsi="宋体" w:hint="eastAsia"/>
          <w:sz w:val="24"/>
        </w:rPr>
        <w:t>履行适当程序后，基金不受上述限制</w:t>
      </w:r>
      <w:r w:rsidRPr="00456F57">
        <w:rPr>
          <w:rFonts w:ascii="宋体" w:hAnsi="宋体"/>
          <w:sz w:val="24"/>
        </w:rPr>
        <w:t>。</w:t>
      </w:r>
    </w:p>
    <w:p w14:paraId="44972B3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662065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本基金投资银行存款应符合如下规定：</w:t>
      </w:r>
    </w:p>
    <w:p w14:paraId="29993EBF" w14:textId="77777777" w:rsidR="00EF272F" w:rsidRPr="00456F57" w:rsidRDefault="00EF2577" w:rsidP="00EF272F">
      <w:pPr>
        <w:spacing w:line="360" w:lineRule="auto"/>
        <w:ind w:firstLineChars="200" w:firstLine="480"/>
        <w:rPr>
          <w:rFonts w:ascii="宋体" w:hAnsi="宋体"/>
          <w:sz w:val="24"/>
        </w:rPr>
      </w:pPr>
      <w:r w:rsidRPr="00456F57">
        <w:rPr>
          <w:rFonts w:ascii="宋体" w:hAnsi="宋体" w:hint="eastAsia"/>
          <w:sz w:val="24"/>
        </w:rPr>
        <w:t>1.</w:t>
      </w:r>
      <w:r w:rsidR="00EF272F" w:rsidRPr="00456F57">
        <w:rPr>
          <w:rFonts w:ascii="宋体" w:hAnsi="宋体" w:hint="eastAsia"/>
          <w:sz w:val="24"/>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w:t>
      </w:r>
      <w:r w:rsidR="00EF272F" w:rsidRPr="00456F57">
        <w:rPr>
          <w:rFonts w:ascii="宋体" w:hAnsi="宋体" w:hint="eastAsia"/>
          <w:sz w:val="24"/>
        </w:rPr>
        <w:lastRenderedPageBreak/>
        <w:t>同业存单占基金资产净值的比例合计不得超过5%。</w:t>
      </w:r>
    </w:p>
    <w:p w14:paraId="7708FFD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有关法律法规或监管部门制定或修改新的定期存款投资政策，基金管理人履行适当程序后，可相应调整投资组合限制的规定。</w:t>
      </w:r>
    </w:p>
    <w:p w14:paraId="2F4B24B5" w14:textId="77777777" w:rsidR="00104401" w:rsidRPr="00456F57" w:rsidRDefault="00EF2577" w:rsidP="00540BE9">
      <w:pPr>
        <w:spacing w:line="360" w:lineRule="auto"/>
        <w:ind w:firstLineChars="200" w:firstLine="480"/>
        <w:rPr>
          <w:rFonts w:ascii="宋体" w:hAnsi="宋体"/>
          <w:sz w:val="24"/>
        </w:rPr>
      </w:pPr>
      <w:r w:rsidRPr="00456F57">
        <w:rPr>
          <w:rFonts w:ascii="宋体" w:hAnsi="宋体" w:hint="eastAsia"/>
          <w:sz w:val="24"/>
        </w:rPr>
        <w:t>2</w:t>
      </w:r>
      <w:r w:rsidR="00712663" w:rsidRPr="00456F57">
        <w:rPr>
          <w:rFonts w:ascii="宋体" w:hAnsi="宋体"/>
          <w:sz w:val="24"/>
        </w:rPr>
        <w:t>.</w:t>
      </w:r>
      <w:r w:rsidR="00712663" w:rsidRPr="00456F57">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0CC12A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w:t>
      </w:r>
      <w:r w:rsidRPr="00456F57">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r w:rsidR="00806B5F" w:rsidRPr="00456F57">
        <w:rPr>
          <w:rFonts w:ascii="宋体" w:hAnsi="宋体" w:hint="eastAsia"/>
          <w:sz w:val="24"/>
        </w:rPr>
        <w:t>。</w:t>
      </w:r>
    </w:p>
    <w:p w14:paraId="5FF5C918"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33091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）基金管理人须加强内部风险控制制度的建设。如因基金管理人</w:t>
      </w:r>
      <w:r w:rsidR="009F6F97" w:rsidRPr="009F6F97">
        <w:rPr>
          <w:rFonts w:ascii="宋体" w:hAnsi="宋体" w:hint="eastAsia"/>
          <w:sz w:val="24"/>
        </w:rPr>
        <w:t>员工职务行为</w:t>
      </w:r>
      <w:r w:rsidRPr="00456F57">
        <w:rPr>
          <w:rFonts w:ascii="宋体" w:hAnsi="宋体" w:hint="eastAsia"/>
          <w:sz w:val="24"/>
        </w:rPr>
        <w:t>导致基金财产受到损失的，需由基金管理人承担由此造成的损失。</w:t>
      </w:r>
    </w:p>
    <w:p w14:paraId="295B4D1A"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2EA998D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（三）基金投资银行存款协议的签订、账户开设与管理、投资指令与资金划付、账目核对、到期兑付、提前支取</w:t>
      </w:r>
    </w:p>
    <w:p w14:paraId="3B58508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1.基金投资银行存款协议的签订</w:t>
      </w:r>
    </w:p>
    <w:p w14:paraId="4615691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1）基金管理人应与</w:t>
      </w:r>
      <w:r w:rsidRPr="00456F57">
        <w:rPr>
          <w:rFonts w:ascii="宋体" w:hAnsi="宋体" w:hint="eastAsia"/>
          <w:sz w:val="24"/>
        </w:rPr>
        <w:t>符合资格的存款银行</w:t>
      </w:r>
      <w:r w:rsidR="001152C2">
        <w:rPr>
          <w:rFonts w:ascii="宋体" w:hAnsi="宋体" w:hint="eastAsia"/>
          <w:sz w:val="24"/>
        </w:rPr>
        <w:t>总行或其授权分行签订《基金存款业务总体合作协议》（以下简称《总体合作协议》</w:t>
      </w:r>
      <w:r w:rsidR="00686353">
        <w:rPr>
          <w:rFonts w:ascii="宋体" w:hAnsi="宋体" w:hint="eastAsia"/>
          <w:sz w:val="24"/>
        </w:rPr>
        <w:t>）</w:t>
      </w:r>
      <w:r w:rsidR="001152C2">
        <w:rPr>
          <w:rFonts w:ascii="宋体" w:hAnsi="宋体" w:hint="eastAsia"/>
          <w:sz w:val="24"/>
        </w:rPr>
        <w:t>，</w:t>
      </w:r>
      <w:r w:rsidRPr="00456F57">
        <w:rPr>
          <w:rFonts w:ascii="宋体" w:hAnsi="宋体" w:hint="eastAsia"/>
          <w:sz w:val="24"/>
        </w:rPr>
        <w:t>确定《存款协议书》的格式范本。</w:t>
      </w:r>
      <w:r w:rsidR="001152C2">
        <w:rPr>
          <w:rFonts w:ascii="宋体" w:hAnsi="宋体" w:hint="eastAsia"/>
          <w:sz w:val="24"/>
        </w:rPr>
        <w:t>《总体合作协议》和</w:t>
      </w:r>
      <w:r w:rsidRPr="00456F57">
        <w:rPr>
          <w:rFonts w:ascii="宋体" w:hAnsi="宋体" w:hint="eastAsia"/>
          <w:sz w:val="24"/>
        </w:rPr>
        <w:t>《存款协议书》的格式范本由基金托管人与基金管理人共同商定。</w:t>
      </w:r>
    </w:p>
    <w:p w14:paraId="3E6E47D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）基金托管人依据相关法规对</w:t>
      </w:r>
      <w:r w:rsidR="00E2406B">
        <w:rPr>
          <w:rFonts w:ascii="宋体" w:hAnsi="宋体" w:hint="eastAsia"/>
          <w:sz w:val="24"/>
        </w:rPr>
        <w:t>《总体合作协议》和</w:t>
      </w:r>
      <w:r w:rsidRPr="00456F57">
        <w:rPr>
          <w:rFonts w:ascii="宋体" w:hAnsi="宋体" w:hint="eastAsia"/>
          <w:sz w:val="24"/>
        </w:rPr>
        <w:t>《存款协议书》的内容进行复核，审查存款银行资格等。</w:t>
      </w:r>
    </w:p>
    <w:p w14:paraId="27C7CA5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）基金管理人应在《存款协议书》中明确存款证实书或其他有效存款凭证</w:t>
      </w:r>
      <w:r w:rsidRPr="00456F57">
        <w:rPr>
          <w:rFonts w:ascii="宋体" w:hAnsi="宋体" w:hint="eastAsia"/>
          <w:sz w:val="24"/>
        </w:rPr>
        <w:lastRenderedPageBreak/>
        <w:t>的办理方式、邮寄地址、联系人和联系电话，以及存款证实书或其他有效凭证在邮寄过程中遗失后，存款余额的确认及兑付办法等。</w:t>
      </w:r>
    </w:p>
    <w:p w14:paraId="36A967E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）由存款银行指定的存放存款的分支机构（以下简称“存款分支机构</w:t>
      </w:r>
      <w:r w:rsidRPr="00456F57">
        <w:rPr>
          <w:rFonts w:ascii="宋体" w:hAnsi="宋体"/>
          <w:sz w:val="24"/>
        </w:rPr>
        <w:t>”</w:t>
      </w:r>
      <w:r w:rsidRPr="00456F57">
        <w:rPr>
          <w:rFonts w:ascii="宋体" w:hAnsi="宋体" w:hint="eastAsia"/>
          <w:sz w:val="24"/>
        </w:rPr>
        <w:t>）寄送</w:t>
      </w:r>
      <w:r w:rsidR="002D6BC2" w:rsidRPr="00456F57">
        <w:rPr>
          <w:rFonts w:ascii="宋体" w:hAnsi="宋体" w:cs="Arial" w:hint="eastAsia"/>
          <w:sz w:val="24"/>
        </w:rPr>
        <w:t>、</w:t>
      </w:r>
      <w:r w:rsidRPr="00456F57">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456F57">
        <w:rPr>
          <w:rFonts w:ascii="宋体" w:hAnsi="宋体" w:hint="eastAsia"/>
          <w:sz w:val="24"/>
        </w:rPr>
        <w:t>存款证实书或其他有效存款凭证的，基金托管人可向存款分支机构的上级行发出存款余额询证函，存款分支机构及其上级行应予配合。</w:t>
      </w:r>
    </w:p>
    <w:p w14:paraId="1C03168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w:t>
      </w:r>
      <w:r w:rsidRPr="00456F57">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3D831EB1"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w:t>
      </w:r>
      <w:r w:rsidRPr="00456F57">
        <w:rPr>
          <w:rFonts w:ascii="宋体" w:hAnsi="宋体"/>
          <w:sz w:val="24"/>
        </w:rPr>
        <w:t>6</w:t>
      </w:r>
      <w:r w:rsidRPr="00456F57">
        <w:rPr>
          <w:rFonts w:ascii="宋体" w:hAnsi="宋体" w:hint="eastAsia"/>
          <w:sz w:val="24"/>
        </w:rPr>
        <w:t>）</w:t>
      </w:r>
      <w:r w:rsidR="00806B5F" w:rsidRPr="00456F57">
        <w:rPr>
          <w:rFonts w:ascii="宋体" w:hAnsi="宋体" w:hint="eastAsia"/>
          <w:sz w:val="24"/>
        </w:rPr>
        <w:t>基金管理人应在《存款协议书》中规定，</w:t>
      </w:r>
      <w:r w:rsidRPr="00456F57">
        <w:rPr>
          <w:rFonts w:ascii="宋体" w:hAnsi="宋体" w:hint="eastAsia"/>
          <w:sz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6A3D3F3F" w14:textId="77777777" w:rsidR="00D35023" w:rsidRPr="00456F57" w:rsidRDefault="00D35023" w:rsidP="009C340D">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w:t>
      </w:r>
      <w:r w:rsidRPr="00456F57">
        <w:rPr>
          <w:rFonts w:ascii="宋体" w:hAnsi="宋体" w:hint="eastAsia"/>
          <w:sz w:val="24"/>
        </w:rPr>
        <w:t>）</w:t>
      </w:r>
      <w:r w:rsidR="00806B5F" w:rsidRPr="00456F57">
        <w:rPr>
          <w:rFonts w:ascii="宋体" w:hAnsi="宋体" w:hint="eastAsia"/>
          <w:sz w:val="24"/>
        </w:rPr>
        <w:t>基金管理人应在《存款协议书》中规定，</w:t>
      </w:r>
      <w:r w:rsidR="00712663" w:rsidRPr="00456F57">
        <w:rPr>
          <w:rFonts w:ascii="宋体" w:hAnsi="宋体" w:hint="eastAsia"/>
          <w:sz w:val="24"/>
        </w:rPr>
        <w:t>因定期存款产生的存单不得被质押或以任何方式被抵押，不得用于转让和背书。</w:t>
      </w:r>
    </w:p>
    <w:p w14:paraId="4AB030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基金投资银行存款时的账户开设与管理</w:t>
      </w:r>
    </w:p>
    <w:p w14:paraId="6447253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1）基金投资于银行存款时，基金</w:t>
      </w:r>
      <w:r w:rsidRPr="00456F57">
        <w:rPr>
          <w:rFonts w:ascii="宋体" w:hAnsi="宋体" w:hint="eastAsia"/>
          <w:sz w:val="24"/>
        </w:rPr>
        <w:t>管理人应当依据基金管理人与存款银行签订的</w:t>
      </w:r>
      <w:r w:rsidR="001A63A2">
        <w:rPr>
          <w:rFonts w:ascii="宋体" w:hAnsi="宋体" w:hint="eastAsia"/>
          <w:sz w:val="24"/>
        </w:rPr>
        <w:t>《总体合作协议》、</w:t>
      </w:r>
      <w:r w:rsidRPr="00456F57">
        <w:rPr>
          <w:rFonts w:ascii="宋体" w:hAnsi="宋体" w:hint="eastAsia"/>
          <w:sz w:val="24"/>
        </w:rPr>
        <w:t>《存款协议书》等，以基金的名义在存款银行</w:t>
      </w:r>
      <w:r w:rsidR="001A63A2">
        <w:rPr>
          <w:rFonts w:ascii="宋体" w:hAnsi="宋体" w:hint="eastAsia"/>
          <w:sz w:val="24"/>
        </w:rPr>
        <w:t>总行或授权分行</w:t>
      </w:r>
      <w:r w:rsidRPr="00456F57">
        <w:rPr>
          <w:rFonts w:ascii="宋体" w:hAnsi="宋体" w:hint="eastAsia"/>
          <w:sz w:val="24"/>
        </w:rPr>
        <w:t>指定的分支机构开立银行账户。</w:t>
      </w:r>
    </w:p>
    <w:p w14:paraId="186AE7A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基金投资于银行存款时的预留印鉴由基金托管人保管和使用。</w:t>
      </w:r>
    </w:p>
    <w:p w14:paraId="5845A82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存款凭证传递、账目核对及到期兑付</w:t>
      </w:r>
    </w:p>
    <w:p w14:paraId="035048F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1）存款证实书等存款凭证</w:t>
      </w:r>
      <w:r w:rsidRPr="00456F57">
        <w:rPr>
          <w:rFonts w:ascii="宋体" w:hAnsi="宋体" w:hint="eastAsia"/>
          <w:sz w:val="24"/>
        </w:rPr>
        <w:t>传递</w:t>
      </w:r>
    </w:p>
    <w:p w14:paraId="3A0B138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存款资金只能存放于存款银行</w:t>
      </w:r>
      <w:r w:rsidR="009C5BB6">
        <w:rPr>
          <w:rFonts w:ascii="宋体" w:hAnsi="宋体" w:hint="eastAsia"/>
          <w:sz w:val="24"/>
        </w:rPr>
        <w:t>总行或授权分行</w:t>
      </w:r>
      <w:r w:rsidRPr="00456F57">
        <w:rPr>
          <w:rFonts w:ascii="宋体" w:hAnsi="宋体" w:hint="eastAsia"/>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00806B5F" w:rsidRPr="00456F57">
        <w:rPr>
          <w:rFonts w:ascii="宋体" w:hAnsi="宋体" w:hint="eastAsia"/>
          <w:sz w:val="24"/>
        </w:rPr>
        <w:t>或上门交付</w:t>
      </w:r>
      <w:r w:rsidRPr="00456F57">
        <w:rPr>
          <w:rFonts w:ascii="宋体" w:hAnsi="宋体" w:hint="eastAsia"/>
          <w:sz w:val="24"/>
        </w:rPr>
        <w:t>至基金托管人指定联系人；若存款银行分支</w:t>
      </w:r>
      <w:r w:rsidRPr="00456F57">
        <w:rPr>
          <w:rFonts w:ascii="宋体" w:hAnsi="宋体" w:hint="eastAsia"/>
          <w:sz w:val="24"/>
        </w:rPr>
        <w:lastRenderedPageBreak/>
        <w:t>机构代为保管存款凭证的，由存款银行分支机构指定会计主管传真一份存款凭证复印件并与基金托管人电话确认收妥。</w:t>
      </w:r>
    </w:p>
    <w:p w14:paraId="55F9E56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）存款凭证的遗失补办</w:t>
      </w:r>
    </w:p>
    <w:p w14:paraId="6EE3C2AA" w14:textId="77777777" w:rsidR="00D35023"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存款凭证在邮寄过程中遗失的，由基金管理人向存款银行提出补办申请，基金管理人应督促存款银行尽快补办存款凭证，并按以上（</w:t>
      </w:r>
      <w:r w:rsidRPr="00456F57">
        <w:rPr>
          <w:rFonts w:ascii="宋体" w:hAnsi="宋体"/>
          <w:sz w:val="24"/>
        </w:rPr>
        <w:t>1</w:t>
      </w:r>
      <w:r w:rsidRPr="00456F57">
        <w:rPr>
          <w:rFonts w:ascii="宋体" w:hAnsi="宋体" w:hint="eastAsia"/>
          <w:sz w:val="24"/>
        </w:rPr>
        <w:t>）的方式快递</w:t>
      </w:r>
      <w:r w:rsidR="00806B5F" w:rsidRPr="00A22BCB">
        <w:rPr>
          <w:rFonts w:ascii="宋体" w:hAnsi="宋体" w:hint="eastAsia"/>
          <w:sz w:val="24"/>
        </w:rPr>
        <w:t>或上门交送</w:t>
      </w:r>
      <w:r w:rsidRPr="00456F57">
        <w:rPr>
          <w:rFonts w:ascii="宋体" w:hAnsi="宋体" w:hint="eastAsia"/>
          <w:sz w:val="24"/>
        </w:rPr>
        <w:t>至托管人，原存款凭证自动作废。</w:t>
      </w:r>
    </w:p>
    <w:p w14:paraId="32AFF0D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）账目核对</w:t>
      </w:r>
    </w:p>
    <w:p w14:paraId="22B63B8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每个工作日，基金管理人应与基金托管人核对各项银行存款投资余额及应计利息。</w:t>
      </w:r>
    </w:p>
    <w:p w14:paraId="4417377C" w14:textId="77777777" w:rsidR="00D35023" w:rsidRPr="00456F57" w:rsidRDefault="003F1846" w:rsidP="00875ACE">
      <w:pPr>
        <w:spacing w:line="480" w:lineRule="exact"/>
        <w:ind w:firstLineChars="200" w:firstLine="480"/>
        <w:rPr>
          <w:rFonts w:ascii="宋体" w:hAnsi="宋体"/>
          <w:sz w:val="24"/>
        </w:rPr>
      </w:pPr>
      <w:r w:rsidRPr="00456F57">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9B870C7"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存款银行应配合基金托管人对存款凭证的询证，并在询证函上加盖存款银行公章寄送至基金托管人指定联系人。</w:t>
      </w:r>
    </w:p>
    <w:p w14:paraId="43CB6F3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）到期兑付</w:t>
      </w:r>
    </w:p>
    <w:p w14:paraId="6E77550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456F57">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30677A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5A2A7BF8" w14:textId="77777777" w:rsidR="00104401" w:rsidRPr="00456F57" w:rsidRDefault="00712663" w:rsidP="00540BE9">
      <w:pPr>
        <w:spacing w:line="360" w:lineRule="auto"/>
        <w:ind w:firstLineChars="200" w:firstLine="480"/>
        <w:rPr>
          <w:rFonts w:ascii="宋体" w:hAnsi="宋体" w:cs="Arial"/>
          <w:szCs w:val="21"/>
        </w:rPr>
      </w:pPr>
      <w:r w:rsidRPr="00456F57">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2AE2BBA0"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如果存款到期日为法定节假日，存款银行顺延至到期后第一个工作日支付，存款银行需按原协议约定利率和实际延期天数支付延期利息。</w:t>
      </w:r>
    </w:p>
    <w:p w14:paraId="5744BD7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4.提前支取</w:t>
      </w:r>
    </w:p>
    <w:p w14:paraId="032678D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lastRenderedPageBreak/>
        <w:t>如果在存款期限内，由于基金规模发生缩减的原因或者出于流动性管理的需要等原因，基金管理人可以提前支取全部或部分资金。</w:t>
      </w:r>
    </w:p>
    <w:p w14:paraId="75F6C9C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提前支取的具体事项按照基金管理人与存款银行签订的《存款协议书》执行。</w:t>
      </w:r>
    </w:p>
    <w:p w14:paraId="17A823A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基金投资银行存款的监督</w:t>
      </w:r>
    </w:p>
    <w:p w14:paraId="286B886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基金托管人发现基金管理人在进行存款投资时有违反有关法律法规的规定及《基金合同》的约定的行为，应及时以书面形式通知基金管理人在</w:t>
      </w:r>
      <w:r w:rsidRPr="00456F57">
        <w:rPr>
          <w:rFonts w:ascii="宋体" w:hAnsi="宋体"/>
          <w:sz w:val="24"/>
        </w:rPr>
        <w:t xml:space="preserve">10 </w:t>
      </w:r>
      <w:r w:rsidRPr="00456F57">
        <w:rPr>
          <w:rFonts w:ascii="宋体" w:hAnsi="宋体" w:hint="eastAsia"/>
          <w:sz w:val="24"/>
        </w:rPr>
        <w:t>个工作日内纠正。基金管理人对基金托管人通知的违规事项未能在</w:t>
      </w:r>
      <w:r w:rsidRPr="00456F57">
        <w:rPr>
          <w:rFonts w:ascii="宋体" w:hAnsi="宋体"/>
          <w:sz w:val="24"/>
        </w:rPr>
        <w:t xml:space="preserve">10 </w:t>
      </w:r>
      <w:r w:rsidRPr="00456F57">
        <w:rPr>
          <w:rFonts w:ascii="宋体" w:hAnsi="宋体" w:hint="eastAsia"/>
          <w:sz w:val="24"/>
        </w:rPr>
        <w:t>个工作日内纠正的，基金托管人应报告中国证监会。基金托管人发现基金管理人有重大违规行为，应立即报告中国证监会，同时通知基金管理人在</w:t>
      </w:r>
      <w:r w:rsidRPr="00456F57">
        <w:rPr>
          <w:rFonts w:ascii="宋体" w:hAnsi="宋体"/>
          <w:sz w:val="24"/>
        </w:rPr>
        <w:t xml:space="preserve">10 </w:t>
      </w:r>
      <w:r w:rsidRPr="00456F57">
        <w:rPr>
          <w:rFonts w:ascii="宋体" w:hAnsi="宋体" w:hint="eastAsia"/>
          <w:sz w:val="24"/>
        </w:rPr>
        <w:t>个工作日内纠正或拒绝结算，若因基金管理人拒不执行造成基金财产损失的，相关损失由基金管理人承担，基金托管人不承担任何责任。</w:t>
      </w:r>
    </w:p>
    <w:p w14:paraId="405D3BCD" w14:textId="77777777" w:rsidR="00104401" w:rsidRPr="00456F57" w:rsidRDefault="00712663" w:rsidP="00456F57">
      <w:pPr>
        <w:spacing w:line="360" w:lineRule="auto"/>
        <w:ind w:firstLineChars="200" w:firstLine="480"/>
        <w:rPr>
          <w:rFonts w:ascii="宋体" w:hAnsi="宋体"/>
          <w:sz w:val="24"/>
        </w:rPr>
      </w:pPr>
      <w:r w:rsidRPr="00456F5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456F57">
        <w:rPr>
          <w:rFonts w:ascii="宋体" w:hAnsi="宋体"/>
          <w:sz w:val="24"/>
        </w:rPr>
        <w:t>3个交易日内与基金托管人协商解决。</w:t>
      </w:r>
    </w:p>
    <w:p w14:paraId="53CBF38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基金管理人负责对交易对手的资信</w:t>
      </w:r>
      <w:r w:rsidR="00EA1101">
        <w:rPr>
          <w:rFonts w:ascii="宋体" w:hAnsi="宋体" w:hint="eastAsia"/>
          <w:sz w:val="24"/>
        </w:rPr>
        <w:t>风险防范</w:t>
      </w:r>
      <w:r w:rsidRPr="00456F57">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w:t>
      </w:r>
      <w:r w:rsidRPr="00456F57">
        <w:rPr>
          <w:rFonts w:ascii="宋体" w:hAnsi="宋体" w:hint="eastAsia"/>
          <w:sz w:val="24"/>
        </w:rPr>
        <w:lastRenderedPageBreak/>
        <w:t>金管理人，基金托管人不承担由此造成的任何损失和责任。</w:t>
      </w:r>
    </w:p>
    <w:p w14:paraId="524A4388" w14:textId="77777777" w:rsidR="00896C5A" w:rsidRPr="00456F57" w:rsidRDefault="002243FC" w:rsidP="001F7CC0">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五</w:t>
      </w:r>
      <w:r w:rsidRPr="00456F57">
        <w:rPr>
          <w:rFonts w:ascii="宋体" w:hAnsi="宋体" w:hint="eastAsia"/>
          <w:sz w:val="24"/>
        </w:rPr>
        <w:t>)</w:t>
      </w:r>
      <w:r w:rsidR="00712663" w:rsidRPr="00456F57">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060D88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六</w:t>
      </w:r>
      <w:r w:rsidRPr="00456F57">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456F57">
        <w:rPr>
          <w:rFonts w:ascii="宋体" w:hAnsi="宋体" w:hint="eastAsia"/>
          <w:sz w:val="24"/>
        </w:rPr>
        <w:t>基金资产净值计算</w:t>
      </w:r>
      <w:r w:rsidR="001C1B03">
        <w:rPr>
          <w:rFonts w:ascii="宋体" w:hAnsi="宋体" w:hint="eastAsia"/>
          <w:sz w:val="24"/>
        </w:rPr>
        <w:t>及</w:t>
      </w:r>
      <w:r w:rsidRPr="00456F57">
        <w:rPr>
          <w:rFonts w:ascii="宋体" w:hAnsi="宋体" w:hint="eastAsia"/>
          <w:sz w:val="24"/>
        </w:rPr>
        <w:t>基金份额净值计算、基金费用开支及收入确定、基金收益分配、相关信息披露、基金宣传推介材料中登载基金业绩表现数据等进行监督和核查。</w:t>
      </w:r>
    </w:p>
    <w:p w14:paraId="50461CD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七</w:t>
      </w:r>
      <w:r w:rsidRPr="00456F57">
        <w:rPr>
          <w:rFonts w:ascii="宋体" w:hAnsi="宋体" w:hint="eastAsia"/>
          <w:sz w:val="24"/>
        </w:rPr>
        <w:t>）基金托管人发现基金管理人的上述事项及投资指令或实际投资运作违反法律法规、《基金合同》和本托管协议的规定，应及时以电话提醒</w:t>
      </w:r>
      <w:r w:rsidR="00422E33">
        <w:rPr>
          <w:rFonts w:ascii="宋体" w:hAnsi="宋体" w:hint="eastAsia"/>
          <w:sz w:val="24"/>
        </w:rPr>
        <w:t>、邮件</w:t>
      </w:r>
      <w:r w:rsidRPr="00456F57">
        <w:rPr>
          <w:rFonts w:ascii="宋体" w:hAnsi="宋体" w:hint="eastAsia"/>
          <w:sz w:val="24"/>
        </w:rPr>
        <w:t>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CCDC51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八</w:t>
      </w:r>
      <w:r w:rsidRPr="00456F57">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D0FD54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九</w:t>
      </w:r>
      <w:r w:rsidRPr="00456F57">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948CFCE" w14:textId="77777777" w:rsidR="007907B7" w:rsidRPr="007907B7" w:rsidRDefault="00712663" w:rsidP="007907B7">
      <w:pPr>
        <w:spacing w:line="360" w:lineRule="auto"/>
        <w:ind w:firstLineChars="200" w:firstLine="480"/>
        <w:rPr>
          <w:rFonts w:ascii="宋体" w:hAnsi="宋体"/>
          <w:sz w:val="24"/>
        </w:rPr>
      </w:pPr>
      <w:r w:rsidRPr="00456F57">
        <w:rPr>
          <w:rFonts w:ascii="宋体" w:hAnsi="宋体" w:hint="eastAsia"/>
          <w:sz w:val="24"/>
        </w:rPr>
        <w:t>（</w:t>
      </w:r>
      <w:r w:rsidR="00CF71EE" w:rsidRPr="00456F57">
        <w:rPr>
          <w:rFonts w:ascii="宋体" w:hAnsi="宋体" w:hint="eastAsia"/>
          <w:sz w:val="24"/>
        </w:rPr>
        <w:t>十</w:t>
      </w:r>
      <w:r w:rsidRPr="00456F57">
        <w:rPr>
          <w:rFonts w:ascii="宋体" w:hAnsi="宋体" w:hint="eastAsia"/>
          <w:sz w:val="24"/>
        </w:rPr>
        <w:t>）基金托管人发现基金管理人有重大违规行为，应及时报告中国证监会，同时通知基金管理人限期纠正。</w:t>
      </w:r>
    </w:p>
    <w:p w14:paraId="2958EF6C" w14:textId="7B908E19" w:rsidR="007907B7" w:rsidRPr="007907B7" w:rsidRDefault="007907B7" w:rsidP="007907B7">
      <w:pPr>
        <w:spacing w:line="360" w:lineRule="auto"/>
        <w:ind w:firstLineChars="200" w:firstLine="480"/>
        <w:rPr>
          <w:rFonts w:ascii="宋体" w:hAnsi="宋体"/>
          <w:sz w:val="24"/>
        </w:rPr>
      </w:pPr>
      <w:r w:rsidRPr="007907B7">
        <w:rPr>
          <w:rFonts w:ascii="宋体" w:hAnsi="宋体" w:hint="eastAsia"/>
          <w:sz w:val="24"/>
        </w:rPr>
        <w:t>（十</w:t>
      </w:r>
      <w:r>
        <w:rPr>
          <w:rFonts w:ascii="宋体" w:hAnsi="宋体" w:hint="eastAsia"/>
          <w:sz w:val="24"/>
        </w:rPr>
        <w:t>一</w:t>
      </w:r>
      <w:r w:rsidRPr="007907B7">
        <w:rPr>
          <w:rFonts w:ascii="宋体" w:hAnsi="宋体" w:hint="eastAsia"/>
          <w:sz w:val="24"/>
        </w:rPr>
        <w:t>）侧袋机制的实施和投资运作安排</w:t>
      </w:r>
    </w:p>
    <w:p w14:paraId="53E5D70D" w14:textId="77777777" w:rsidR="007907B7" w:rsidRPr="007907B7" w:rsidRDefault="007907B7" w:rsidP="007907B7">
      <w:pPr>
        <w:spacing w:line="360" w:lineRule="auto"/>
        <w:ind w:firstLineChars="200" w:firstLine="480"/>
        <w:rPr>
          <w:rFonts w:ascii="宋体" w:hAnsi="宋体"/>
          <w:sz w:val="24"/>
        </w:rPr>
      </w:pPr>
      <w:r w:rsidRPr="007907B7">
        <w:rPr>
          <w:rFonts w:ascii="宋体" w:hAnsi="宋体" w:hint="eastAsia"/>
          <w:sz w:val="24"/>
        </w:rPr>
        <w:t>当基金持有特定资产且存在或潜在大额赎回申请时，根据最大限度保护基金份额持有人利益的原则，基金管理人经与基金托管人协商一致，并咨询会计师事务</w:t>
      </w:r>
      <w:r w:rsidRPr="007907B7">
        <w:rPr>
          <w:rFonts w:ascii="宋体" w:hAnsi="宋体" w:hint="eastAsia"/>
          <w:sz w:val="24"/>
        </w:rPr>
        <w:lastRenderedPageBreak/>
        <w:t>所意见后，可以依照法律法规及基金合同的约定启用侧袋机制。</w:t>
      </w:r>
    </w:p>
    <w:p w14:paraId="3377FF3D" w14:textId="514940F8" w:rsidR="007907B7" w:rsidRPr="007907B7" w:rsidRDefault="007907B7" w:rsidP="007907B7">
      <w:pPr>
        <w:spacing w:line="360" w:lineRule="auto"/>
        <w:ind w:firstLineChars="200" w:firstLine="480"/>
        <w:rPr>
          <w:rFonts w:ascii="宋体" w:hAnsi="宋体"/>
          <w:sz w:val="24"/>
        </w:rPr>
      </w:pPr>
      <w:r w:rsidRPr="007907B7">
        <w:rPr>
          <w:rFonts w:ascii="宋体" w:hAnsi="宋体" w:hint="eastAsia"/>
          <w:sz w:val="24"/>
        </w:rPr>
        <w:t>侧袋机制实施期间，</w:t>
      </w:r>
      <w:r w:rsidR="00EB5A70">
        <w:rPr>
          <w:rFonts w:ascii="宋体" w:hAnsi="宋体" w:hint="eastAsia"/>
          <w:sz w:val="24"/>
        </w:rPr>
        <w:t>基金合同</w:t>
      </w:r>
      <w:r w:rsidRPr="007907B7">
        <w:rPr>
          <w:rFonts w:ascii="宋体" w:hAnsi="宋体" w:hint="eastAsia"/>
          <w:sz w:val="24"/>
        </w:rPr>
        <w:t>约定的投资组合比例、投资策略、组合限制、业绩比较基准、风险收益特征等约定仅适用于主袋账户。</w:t>
      </w:r>
    </w:p>
    <w:p w14:paraId="1D87A81F" w14:textId="77777777" w:rsidR="007907B7" w:rsidRPr="007907B7" w:rsidRDefault="007907B7" w:rsidP="007907B7">
      <w:pPr>
        <w:spacing w:line="360" w:lineRule="auto"/>
        <w:ind w:firstLineChars="200" w:firstLine="480"/>
        <w:rPr>
          <w:rFonts w:ascii="宋体" w:hAnsi="宋体"/>
          <w:sz w:val="24"/>
        </w:rPr>
      </w:pPr>
      <w:r w:rsidRPr="007907B7">
        <w:rPr>
          <w:rFonts w:ascii="宋体" w:hAnsi="宋体" w:hint="eastAsia"/>
          <w:sz w:val="24"/>
        </w:rPr>
        <w:t>侧袋账户的实施条件、实施程序、运作安排、投资安排、特定资产的处置变现和支付等对投资者权益有重大影响的事项详见招募说明书的规定。</w:t>
      </w:r>
    </w:p>
    <w:p w14:paraId="13760CA4" w14:textId="77777777" w:rsidR="00104401" w:rsidRPr="00456F57" w:rsidRDefault="00104401" w:rsidP="00540BE9">
      <w:pPr>
        <w:spacing w:line="360" w:lineRule="auto"/>
        <w:ind w:firstLineChars="200" w:firstLine="480"/>
        <w:rPr>
          <w:rFonts w:ascii="宋体" w:hAnsi="宋体"/>
          <w:sz w:val="24"/>
        </w:rPr>
      </w:pPr>
    </w:p>
    <w:p w14:paraId="32CFAF32" w14:textId="77777777" w:rsidR="00520F5E" w:rsidRDefault="00712663" w:rsidP="00AE14EF">
      <w:pPr>
        <w:pStyle w:val="2"/>
        <w:spacing w:beforeLines="100" w:before="312" w:afterLines="50" w:after="156" w:line="360" w:lineRule="auto"/>
        <w:jc w:val="center"/>
        <w:rPr>
          <w:rFonts w:ascii="宋体" w:hAnsi="宋体"/>
          <w:sz w:val="24"/>
        </w:rPr>
      </w:pPr>
      <w:bookmarkStart w:id="11" w:name="_Toc110830492"/>
      <w:bookmarkStart w:id="12" w:name="_Toc86737929"/>
      <w:bookmarkStart w:id="13" w:name="_Toc110765660"/>
      <w:bookmarkStart w:id="14" w:name="_Toc118972648"/>
      <w:bookmarkStart w:id="15" w:name="_Toc120435783"/>
      <w:bookmarkStart w:id="16" w:name="_Toc86727355"/>
      <w:bookmarkStart w:id="17" w:name="_Toc86726439"/>
      <w:bookmarkStart w:id="18" w:name="_Toc119402710"/>
      <w:bookmarkStart w:id="19" w:name="_Toc108512358"/>
      <w:bookmarkStart w:id="20" w:name="_Toc89163368"/>
      <w:bookmarkStart w:id="21" w:name="_Toc86223242"/>
      <w:bookmarkStart w:id="22" w:name="_Toc118774803"/>
      <w:bookmarkStart w:id="23" w:name="_Toc118212950"/>
      <w:bookmarkStart w:id="24" w:name="_Toc110761796"/>
      <w:bookmarkStart w:id="25" w:name="_Toc86225291"/>
      <w:bookmarkStart w:id="26" w:name="_Toc86649722"/>
      <w:r w:rsidRPr="00456F57">
        <w:rPr>
          <w:rFonts w:ascii="宋体" w:hAnsi="宋体"/>
          <w:sz w:val="24"/>
        </w:rPr>
        <w:br w:type="page"/>
      </w:r>
      <w:bookmarkStart w:id="27" w:name="_Toc348082032"/>
      <w:bookmarkStart w:id="28" w:name="_Toc488938613"/>
      <w:r w:rsidRPr="00456F57">
        <w:rPr>
          <w:rFonts w:ascii="宋体" w:hAnsi="宋体" w:hint="eastAsia"/>
          <w:sz w:val="24"/>
        </w:rPr>
        <w:lastRenderedPageBreak/>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480CCC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456F57">
        <w:rPr>
          <w:rFonts w:ascii="宋体" w:hAnsi="宋体" w:hint="eastAsia"/>
          <w:sz w:val="24"/>
        </w:rPr>
        <w:t>基金资产净值和基金份额净值、根据基金管理人指令办理清算交收、相关信息披露和监督基金投资运作等行为。</w:t>
      </w:r>
    </w:p>
    <w:p w14:paraId="3C3DEB2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2E731BB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0FB58E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（四）基金管理人发现基金托管人有重大违规行为，应及时报告中国证监会，同时通知基金托管人限期纠正，并将纠正结果报告中国证监会。</w:t>
      </w:r>
    </w:p>
    <w:p w14:paraId="158E87D0" w14:textId="77777777" w:rsidR="00896C5A" w:rsidRPr="00456F57" w:rsidRDefault="00896C5A">
      <w:pPr>
        <w:spacing w:line="360" w:lineRule="auto"/>
        <w:rPr>
          <w:rFonts w:ascii="宋体" w:hAnsi="宋体"/>
          <w:sz w:val="24"/>
        </w:rPr>
      </w:pPr>
    </w:p>
    <w:p w14:paraId="17FCEDA3" w14:textId="77777777" w:rsidR="00520F5E" w:rsidRDefault="00712663" w:rsidP="00AE14EF">
      <w:pPr>
        <w:pStyle w:val="2"/>
        <w:spacing w:beforeLines="100" w:before="312" w:afterLines="50" w:after="156" w:line="360" w:lineRule="auto"/>
        <w:jc w:val="center"/>
        <w:rPr>
          <w:rFonts w:ascii="宋体" w:hAnsi="宋体"/>
          <w:sz w:val="24"/>
        </w:rPr>
      </w:pPr>
      <w:bookmarkStart w:id="29" w:name="_Toc108512359"/>
      <w:bookmarkStart w:id="30" w:name="_Toc84234435"/>
      <w:bookmarkStart w:id="31" w:name="_Toc86225292"/>
      <w:bookmarkStart w:id="32" w:name="_Toc110765661"/>
      <w:bookmarkStart w:id="33" w:name="_Toc119402711"/>
      <w:bookmarkStart w:id="34" w:name="_Toc86727356"/>
      <w:bookmarkStart w:id="35" w:name="_Toc84133786"/>
      <w:bookmarkStart w:id="36" w:name="_Toc118774804"/>
      <w:bookmarkStart w:id="37" w:name="_Toc118212951"/>
      <w:bookmarkStart w:id="38" w:name="_Toc120435784"/>
      <w:bookmarkStart w:id="39" w:name="_Toc86649723"/>
      <w:bookmarkStart w:id="40" w:name="_Toc110761797"/>
      <w:bookmarkStart w:id="41" w:name="_Toc86737930"/>
      <w:bookmarkStart w:id="42" w:name="_Toc118972649"/>
      <w:bookmarkStart w:id="43" w:name="_Toc86204789"/>
      <w:bookmarkStart w:id="44" w:name="_Toc84234388"/>
      <w:bookmarkStart w:id="45" w:name="_Toc89163369"/>
      <w:bookmarkStart w:id="46" w:name="_Toc86726440"/>
      <w:bookmarkStart w:id="47" w:name="_Toc110830493"/>
      <w:bookmarkStart w:id="48" w:name="_Toc86223243"/>
      <w:r w:rsidRPr="00456F57">
        <w:rPr>
          <w:rFonts w:ascii="宋体" w:hAnsi="宋体"/>
          <w:sz w:val="24"/>
        </w:rPr>
        <w:br w:type="page"/>
      </w:r>
      <w:bookmarkStart w:id="49" w:name="_Toc348082033"/>
      <w:bookmarkStart w:id="50" w:name="_Toc488938614"/>
      <w:r w:rsidRPr="00456F57">
        <w:rPr>
          <w:rFonts w:ascii="宋体" w:hAnsi="宋体" w:hint="eastAsia"/>
          <w:sz w:val="24"/>
        </w:rPr>
        <w:lastRenderedPageBreak/>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D354D1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（一）基金财产保管的原则</w:t>
      </w:r>
    </w:p>
    <w:p w14:paraId="60DB8B7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1.基金财产应独立于基金管理人、基金托管人的固有财产。</w:t>
      </w:r>
    </w:p>
    <w:p w14:paraId="6182A78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2.基金托管人应安全保管基金财产。</w:t>
      </w:r>
    </w:p>
    <w:p w14:paraId="6C61C89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456F57">
        <w:rPr>
          <w:rFonts w:ascii="宋体" w:hAnsi="宋体" w:hint="eastAsia"/>
          <w:sz w:val="24"/>
        </w:rPr>
        <w:t>投资所需的相关账户。</w:t>
      </w:r>
    </w:p>
    <w:p w14:paraId="7E5883C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4.基金托管人对所托管的不同基金财产分别设置账户，确保基金财产的完整与独立。</w:t>
      </w:r>
    </w:p>
    <w:p w14:paraId="24C40A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5.基金托管人根据基金管理人的指令，按照基金合同和本协议的约定保管基金财产。</w:t>
      </w:r>
      <w:r w:rsidRPr="00456F57">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0FDEA25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6.对于因为基金投资产生的应收资产，应由基金管理人负责与有关当事人确定到账日期并通知基金托管人，到账日基金财产没有到达基金</w:t>
      </w:r>
      <w:r w:rsidRPr="00456F57">
        <w:rPr>
          <w:rFonts w:ascii="宋体" w:hAnsi="宋体" w:hint="eastAsia"/>
          <w:sz w:val="24"/>
        </w:rPr>
        <w:t>资金账户的，基金托管人应及时通知基金管理人采取措施进行催收，基金管理人应负责向有关当事人追偿基金财产的损失。</w:t>
      </w:r>
    </w:p>
    <w:p w14:paraId="6B072EA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w:t>
      </w:r>
      <w:r w:rsidRPr="00456F57">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0D95ECA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w:t>
      </w:r>
      <w:r w:rsidRPr="00456F57">
        <w:rPr>
          <w:rFonts w:ascii="宋体" w:hAnsi="宋体" w:hint="eastAsia"/>
          <w:sz w:val="24"/>
        </w:rPr>
        <w:t>除依据法律法规和基金合同的规定外，基金托管人不得委托第三人托管基金财产。</w:t>
      </w:r>
    </w:p>
    <w:p w14:paraId="4BA5764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（二）基金募集期间及募集资金的验资</w:t>
      </w:r>
    </w:p>
    <w:p w14:paraId="25B641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1.基金募集期间募集</w:t>
      </w:r>
      <w:r w:rsidR="002D6BC2" w:rsidRPr="00456F57">
        <w:rPr>
          <w:rFonts w:ascii="宋体" w:hAnsi="宋体" w:cs="Arial"/>
          <w:sz w:val="24"/>
        </w:rPr>
        <w:t>认购款项</w:t>
      </w:r>
      <w:r w:rsidRPr="00456F57">
        <w:rPr>
          <w:rFonts w:ascii="宋体" w:hAnsi="宋体"/>
          <w:sz w:val="24"/>
        </w:rPr>
        <w:t>应</w:t>
      </w:r>
      <w:r w:rsidR="00AA3F16">
        <w:rPr>
          <w:rFonts w:ascii="宋体" w:hAnsi="宋体" w:cs="Arial" w:hint="eastAsia"/>
          <w:sz w:val="24"/>
        </w:rPr>
        <w:t>开立“基金募集专户”</w:t>
      </w:r>
      <w:r w:rsidRPr="00456F57">
        <w:rPr>
          <w:rFonts w:ascii="宋体" w:hAnsi="宋体"/>
          <w:sz w:val="24"/>
        </w:rPr>
        <w:t>。该账户由基金管理人</w:t>
      </w:r>
      <w:r w:rsidR="002D6BC2" w:rsidRPr="00456F57">
        <w:rPr>
          <w:rFonts w:ascii="宋体" w:hAnsi="宋体" w:cs="Arial"/>
          <w:sz w:val="24"/>
        </w:rPr>
        <w:t>或基金管理人委托的登记机构</w:t>
      </w:r>
      <w:r w:rsidRPr="00456F57">
        <w:rPr>
          <w:rFonts w:ascii="宋体" w:hAnsi="宋体"/>
          <w:sz w:val="24"/>
        </w:rPr>
        <w:t>开立并管理。</w:t>
      </w:r>
    </w:p>
    <w:p w14:paraId="5BEB6F3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456F57">
        <w:rPr>
          <w:rFonts w:ascii="宋体" w:hAnsi="宋体" w:hint="eastAsia"/>
          <w:sz w:val="24"/>
        </w:rPr>
        <w:t>为基金开立的基金资金账户，同时在规定时间内，基金管理人应聘请具有从事证券相关业务资格的会计师事务所进行验资，</w:t>
      </w:r>
      <w:r w:rsidRPr="00456F57">
        <w:rPr>
          <w:rFonts w:ascii="宋体" w:hAnsi="宋体" w:hint="eastAsia"/>
          <w:sz w:val="24"/>
        </w:rPr>
        <w:lastRenderedPageBreak/>
        <w:t>出具验资报告。出具的验资报告由参加验资的</w:t>
      </w:r>
      <w:r w:rsidRPr="00456F57">
        <w:rPr>
          <w:rFonts w:ascii="宋体" w:hAnsi="宋体"/>
          <w:sz w:val="24"/>
        </w:rPr>
        <w:t>2名或2名以上中国注册会计师签字方为有效。</w:t>
      </w:r>
    </w:p>
    <w:p w14:paraId="7216476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3.若基金募集期限届满，未能达到基金合同生效的条件，由基金管理人按规定办理退款等事宜</w:t>
      </w:r>
      <w:r w:rsidRPr="00456F57">
        <w:rPr>
          <w:rFonts w:ascii="宋体" w:hAnsi="宋体" w:hint="eastAsia"/>
          <w:sz w:val="24"/>
        </w:rPr>
        <w:t>。</w:t>
      </w:r>
    </w:p>
    <w:p w14:paraId="5BBD292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（三）基金资金账户的开立和管理</w:t>
      </w:r>
    </w:p>
    <w:p w14:paraId="02DFCF8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1.基金托管人以</w:t>
      </w:r>
      <w:r w:rsidRPr="00456F57">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w:t>
      </w:r>
      <w:r w:rsidR="00264C0E">
        <w:rPr>
          <w:rFonts w:hint="eastAsia"/>
          <w:bCs/>
          <w:sz w:val="24"/>
        </w:rPr>
        <w:t>丰晟</w:t>
      </w:r>
      <w:r w:rsidR="002D6BC2" w:rsidRPr="00456F57">
        <w:rPr>
          <w:rFonts w:hint="eastAsia"/>
          <w:bCs/>
          <w:sz w:val="24"/>
        </w:rPr>
        <w:t>收益债券型</w:t>
      </w:r>
      <w:r w:rsidR="002D6BC2" w:rsidRPr="00456F57">
        <w:rPr>
          <w:bCs/>
          <w:sz w:val="24"/>
        </w:rPr>
        <w:t>证券投资</w:t>
      </w:r>
      <w:r w:rsidRPr="00456F57">
        <w:rPr>
          <w:sz w:val="24"/>
        </w:rPr>
        <w:t>基金</w:t>
      </w:r>
      <w:r w:rsidRPr="00456F57">
        <w:rPr>
          <w:rFonts w:ascii="宋体" w:hAnsi="宋体" w:hint="eastAsia"/>
          <w:sz w:val="24"/>
        </w:rPr>
        <w:t>”，预留印鉴为基金托管人印章。</w:t>
      </w:r>
    </w:p>
    <w:p w14:paraId="5F2A11A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w:t>
      </w:r>
      <w:r w:rsidRPr="00456F57">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6BF47E8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w:t>
      </w:r>
      <w:r w:rsidRPr="00456F57">
        <w:rPr>
          <w:rFonts w:ascii="宋体" w:hAnsi="宋体" w:hint="eastAsia"/>
          <w:sz w:val="24"/>
        </w:rPr>
        <w:t>资金账户的开立和管理应符合法律法规及银行业监督管理机构的有关规定。</w:t>
      </w:r>
    </w:p>
    <w:p w14:paraId="1DA5D9E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（四）基金证券账户和结算备付金账户的开立和管理</w:t>
      </w:r>
    </w:p>
    <w:p w14:paraId="7EA45D6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1.基金托管人在中国证券登记结算有限责任公司上海分公司、深圳分公司为基金开立基金托管人与基金联名的证券账户。</w:t>
      </w:r>
    </w:p>
    <w:p w14:paraId="02A15D3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81E46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3.基金证券账户的开立和证券账户卡的保管由基金托管人负责，账户资产的管理和运用由基金管理人负责。</w:t>
      </w:r>
    </w:p>
    <w:p w14:paraId="2924A3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456F57">
        <w:rPr>
          <w:rFonts w:ascii="宋体" w:hAnsi="宋体" w:hint="eastAsia"/>
          <w:sz w:val="24"/>
        </w:rPr>
        <w:t>结算保证金等的收取按照中国证券登记结算有限责任公司的规定执行。</w:t>
      </w:r>
    </w:p>
    <w:p w14:paraId="7DAB0D8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5.若中国证监会或其他监管机构在本托管协议订立日之后允许基金从事其他投资品种的投资业务，涉及相关账户的开立、使用的，</w:t>
      </w:r>
      <w:r w:rsidRPr="00456F57">
        <w:rPr>
          <w:rFonts w:ascii="宋体" w:hAnsi="宋体" w:hint="eastAsia"/>
          <w:color w:val="000000"/>
          <w:sz w:val="24"/>
        </w:rPr>
        <w:t>按有关规定开立、使用并管理；</w:t>
      </w:r>
      <w:r w:rsidRPr="00456F57">
        <w:rPr>
          <w:rFonts w:ascii="宋体" w:hAnsi="宋体" w:hint="eastAsia"/>
          <w:sz w:val="24"/>
        </w:rPr>
        <w:t>若无相关规定，则基金托管人比照上述关于账户开立、使用的规定执行。</w:t>
      </w:r>
    </w:p>
    <w:p w14:paraId="2631D5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（五）债券托管专户的开设和管理</w:t>
      </w:r>
    </w:p>
    <w:p w14:paraId="60E245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基金合同生效后，基金托管人根据中国人民银行、中央国债登记结算有限责任公司和银行间市场清算所股份有限公司的有关规定，以基金的名义在</w:t>
      </w:r>
      <w:r w:rsidR="001D4D5D">
        <w:rPr>
          <w:rFonts w:ascii="宋体" w:hAnsi="宋体" w:hint="eastAsia"/>
          <w:sz w:val="24"/>
        </w:rPr>
        <w:t>银行间市场</w:t>
      </w:r>
      <w:r w:rsidRPr="00456F57">
        <w:rPr>
          <w:rFonts w:ascii="宋体" w:hAnsi="宋体" w:hint="eastAsia"/>
          <w:sz w:val="24"/>
        </w:rPr>
        <w:t>登记结算</w:t>
      </w:r>
      <w:r w:rsidR="001D4D5D">
        <w:rPr>
          <w:rFonts w:ascii="宋体" w:hAnsi="宋体" w:hint="eastAsia"/>
          <w:sz w:val="24"/>
        </w:rPr>
        <w:t>机构</w:t>
      </w:r>
      <w:r w:rsidRPr="00456F57">
        <w:rPr>
          <w:rFonts w:ascii="宋体" w:hAnsi="宋体" w:hint="eastAsia"/>
          <w:sz w:val="24"/>
        </w:rPr>
        <w:t>开立债券托管账户，并代表基金进行银行间市场债券的结算。</w:t>
      </w:r>
    </w:p>
    <w:p w14:paraId="6380BC5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（六）其他账户的开立和管理</w:t>
      </w:r>
    </w:p>
    <w:p w14:paraId="5CC58E7F" w14:textId="77777777" w:rsidR="00104401" w:rsidRPr="00456F57" w:rsidRDefault="00712663" w:rsidP="006F0560">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21F88FE1" w14:textId="77777777" w:rsidR="00896C5A" w:rsidRPr="00456F57" w:rsidRDefault="000A6170" w:rsidP="00540BE9">
      <w:pPr>
        <w:adjustRightInd w:val="0"/>
        <w:snapToGrid w:val="0"/>
        <w:spacing w:line="360" w:lineRule="auto"/>
        <w:ind w:firstLineChars="200" w:firstLine="480"/>
        <w:rPr>
          <w:rFonts w:ascii="宋体" w:hAnsi="宋体"/>
          <w:sz w:val="24"/>
        </w:rPr>
      </w:pPr>
      <w:r>
        <w:rPr>
          <w:rFonts w:ascii="宋体" w:hAnsi="宋体" w:cs="Arial"/>
          <w:sz w:val="24"/>
        </w:rPr>
        <w:t>2</w:t>
      </w:r>
      <w:r w:rsidR="00712663" w:rsidRPr="00456F57">
        <w:rPr>
          <w:rFonts w:ascii="宋体" w:hAnsi="宋体"/>
          <w:sz w:val="24"/>
        </w:rPr>
        <w:t>.法律法规等有关规定对相关账户的开立和管理另有规定的，从其规定办理。</w:t>
      </w:r>
    </w:p>
    <w:p w14:paraId="57B47A3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（七）基金财产投资的有关有价凭证等的保管</w:t>
      </w:r>
    </w:p>
    <w:p w14:paraId="41C2454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基金财产投资的有关实物证券</w:t>
      </w:r>
      <w:r w:rsidR="002D6BC2" w:rsidRPr="0081594C">
        <w:rPr>
          <w:rFonts w:ascii="宋体" w:hAnsi="宋体" w:hint="eastAsia"/>
          <w:sz w:val="24"/>
        </w:rPr>
        <w:t>、银行存款开户证实书</w:t>
      </w:r>
      <w:r w:rsidRPr="00456F57">
        <w:rPr>
          <w:rFonts w:ascii="宋体" w:hAnsi="宋体" w:hint="eastAsia"/>
          <w:sz w:val="24"/>
        </w:rPr>
        <w:t>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4E8D42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（八）与基金财产有关的重大合同的保管</w:t>
      </w:r>
    </w:p>
    <w:p w14:paraId="0320368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456F57">
        <w:rPr>
          <w:rFonts w:ascii="宋体" w:hAnsi="宋体"/>
          <w:sz w:val="24"/>
        </w:rPr>
        <w:t>15年。</w:t>
      </w:r>
    </w:p>
    <w:p w14:paraId="05D7FE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4A4F50EF" w14:textId="77777777" w:rsidR="00896C5A" w:rsidRPr="00456F57" w:rsidRDefault="00896C5A">
      <w:pPr>
        <w:spacing w:line="360" w:lineRule="auto"/>
        <w:ind w:firstLine="420"/>
        <w:rPr>
          <w:rFonts w:ascii="宋体" w:hAnsi="宋体"/>
          <w:sz w:val="24"/>
        </w:rPr>
      </w:pPr>
    </w:p>
    <w:p w14:paraId="5FE0BC60"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51" w:name="_Toc110761798"/>
      <w:bookmarkStart w:id="52" w:name="_Toc118972650"/>
      <w:bookmarkStart w:id="53" w:name="_Toc86726441"/>
      <w:bookmarkStart w:id="54" w:name="_Toc86225293"/>
      <w:bookmarkStart w:id="55" w:name="_Toc86727357"/>
      <w:bookmarkStart w:id="56" w:name="_Toc110830494"/>
      <w:bookmarkStart w:id="57" w:name="_Toc84234389"/>
      <w:bookmarkStart w:id="58" w:name="_Toc86204790"/>
      <w:bookmarkStart w:id="59" w:name="_Toc84133787"/>
      <w:bookmarkStart w:id="60" w:name="_Toc86223244"/>
      <w:bookmarkStart w:id="61" w:name="_Toc110765662"/>
      <w:bookmarkStart w:id="62" w:name="_Toc118212952"/>
      <w:bookmarkStart w:id="63" w:name="_Toc118774805"/>
      <w:bookmarkStart w:id="64" w:name="_Toc84234436"/>
      <w:bookmarkStart w:id="65" w:name="_Toc119402712"/>
      <w:bookmarkStart w:id="66" w:name="_Toc86737931"/>
      <w:bookmarkStart w:id="67" w:name="_Toc86649724"/>
      <w:bookmarkStart w:id="68" w:name="_Toc120435785"/>
      <w:bookmarkStart w:id="69" w:name="_Toc108512360"/>
      <w:bookmarkStart w:id="70" w:name="_Toc89163370"/>
      <w:r w:rsidRPr="00456F57">
        <w:rPr>
          <w:rFonts w:ascii="宋体" w:hAnsi="宋体"/>
          <w:sz w:val="24"/>
        </w:rPr>
        <w:br w:type="page"/>
      </w:r>
      <w:bookmarkStart w:id="71" w:name="_Toc348082034"/>
      <w:bookmarkStart w:id="72" w:name="_Toc488938615"/>
      <w:r w:rsidRPr="00456F57">
        <w:rPr>
          <w:rFonts w:ascii="宋体" w:hAnsi="宋体" w:hint="eastAsia"/>
          <w:sz w:val="24"/>
        </w:rPr>
        <w:lastRenderedPageBreak/>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BA79E7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787640A5" w14:textId="77777777" w:rsidR="00896C5A" w:rsidRPr="00456F57" w:rsidRDefault="00712663">
      <w:pPr>
        <w:adjustRightInd w:val="0"/>
        <w:snapToGrid w:val="0"/>
        <w:spacing w:line="360" w:lineRule="auto"/>
        <w:ind w:firstLine="567"/>
        <w:jc w:val="left"/>
        <w:rPr>
          <w:rFonts w:ascii="宋体" w:hAnsi="宋体"/>
          <w:sz w:val="24"/>
        </w:rPr>
      </w:pPr>
      <w:r w:rsidRPr="00456F57">
        <w:rPr>
          <w:rFonts w:ascii="宋体" w:hAnsi="宋体" w:hint="eastAsia"/>
          <w:sz w:val="24"/>
        </w:rPr>
        <w:t>基金管理人发送的指令包括电子指令和纸质指令。</w:t>
      </w:r>
    </w:p>
    <w:p w14:paraId="6B9AF3D9" w14:textId="77777777" w:rsidR="00896C5A" w:rsidRPr="00456F57" w:rsidRDefault="00712663">
      <w:pPr>
        <w:adjustRightInd w:val="0"/>
        <w:snapToGrid w:val="0"/>
        <w:spacing w:line="360" w:lineRule="auto"/>
        <w:ind w:firstLine="560"/>
        <w:jc w:val="left"/>
        <w:rPr>
          <w:rFonts w:ascii="宋体" w:hAnsi="宋体"/>
          <w:sz w:val="24"/>
        </w:rPr>
      </w:pPr>
      <w:r w:rsidRPr="00456F57">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3289BA0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（一）基金管理人对发送指令人员的书面授权</w:t>
      </w:r>
    </w:p>
    <w:p w14:paraId="68B3660D"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455EFF0D" w14:textId="77777777" w:rsidR="00104401" w:rsidRPr="00456F57" w:rsidRDefault="00712663" w:rsidP="00540BE9">
      <w:pPr>
        <w:tabs>
          <w:tab w:val="left" w:pos="1260"/>
        </w:tabs>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686B790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（二）指令的内容</w:t>
      </w:r>
    </w:p>
    <w:p w14:paraId="7E0DE8B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6A4932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（三）指令的发送、确认及执行的时间和程序</w:t>
      </w:r>
    </w:p>
    <w:p w14:paraId="22AE630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lastRenderedPageBreak/>
        <w:t>1.指令的发送</w:t>
      </w:r>
      <w:r w:rsidRPr="00456F57">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171A33B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对于新债申购等网下公开发行业务，基金管理人应于网下申购缴款日的</w:t>
      </w:r>
      <w:r w:rsidRPr="00456F57">
        <w:rPr>
          <w:rFonts w:ascii="宋体" w:hAnsi="宋体"/>
          <w:sz w:val="24"/>
        </w:rPr>
        <w:t>10:00前将指令发送给</w:t>
      </w:r>
      <w:r w:rsidRPr="00456F57">
        <w:rPr>
          <w:rFonts w:ascii="宋体" w:hAnsi="宋体" w:hint="eastAsia"/>
          <w:sz w:val="24"/>
        </w:rPr>
        <w:t>基金托管人。</w:t>
      </w:r>
    </w:p>
    <w:p w14:paraId="633E354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对于场内业务，首次进行场内交易前基金管理人应与基金托管人确认已完成交易单元和股东代码设置后方可进行。</w:t>
      </w:r>
    </w:p>
    <w:p w14:paraId="648F3AD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对于银行间业务，基金管理人应于交易日</w:t>
      </w:r>
      <w:r w:rsidRPr="00456F57">
        <w:rPr>
          <w:rFonts w:ascii="宋体" w:hAnsi="宋体"/>
          <w:sz w:val="24"/>
        </w:rPr>
        <w:t>15:00前将银行间成交单及相关划款指令发送至</w:t>
      </w:r>
      <w:r w:rsidRPr="00456F57">
        <w:rPr>
          <w:rFonts w:ascii="宋体" w:hAnsi="宋体" w:hint="eastAsia"/>
          <w:sz w:val="24"/>
        </w:rPr>
        <w:t>基金托管人。基金管理人应与基金托管人确认基金托管人已完成证书和权限设置后方可进行本基金的银行间交易。</w:t>
      </w:r>
    </w:p>
    <w:p w14:paraId="65D2081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对上海证券交易所认购权证行权交易，基金管理人应于行权日</w:t>
      </w:r>
      <w:r w:rsidRPr="00456F57">
        <w:rPr>
          <w:rFonts w:ascii="宋体" w:hAnsi="宋体"/>
          <w:sz w:val="24"/>
        </w:rPr>
        <w:t xml:space="preserve">15:00 </w:t>
      </w:r>
      <w:r w:rsidRPr="00456F57">
        <w:rPr>
          <w:rFonts w:ascii="宋体" w:hAnsi="宋体" w:hint="eastAsia"/>
          <w:sz w:val="24"/>
        </w:rPr>
        <w:t>前将需要交付的行权金额及费用书面通知基金托管人，基金托管人在</w:t>
      </w:r>
      <w:r w:rsidRPr="00456F57">
        <w:rPr>
          <w:rFonts w:ascii="宋体" w:hAnsi="宋体"/>
          <w:sz w:val="24"/>
        </w:rPr>
        <w:t xml:space="preserve">16:00 </w:t>
      </w:r>
      <w:r w:rsidRPr="00456F57">
        <w:rPr>
          <w:rFonts w:ascii="宋体" w:hAnsi="宋体" w:hint="eastAsia"/>
          <w:sz w:val="24"/>
        </w:rPr>
        <w:t>前支付至中国证券登记结算有限责任公司指定账户。</w:t>
      </w:r>
    </w:p>
    <w:p w14:paraId="458DA2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对于指定时间出款的交易指令，基金管理人应提前</w:t>
      </w:r>
      <w:r w:rsidRPr="00456F57">
        <w:rPr>
          <w:rFonts w:ascii="宋体" w:hAnsi="宋体"/>
          <w:sz w:val="24"/>
        </w:rPr>
        <w:t>2小时将指令发送至</w:t>
      </w:r>
      <w:r w:rsidRPr="00456F57">
        <w:rPr>
          <w:rFonts w:ascii="宋体" w:hAnsi="宋体" w:hint="eastAsia"/>
          <w:sz w:val="24"/>
        </w:rPr>
        <w:t>基金托管人；对于基金管理人于</w:t>
      </w:r>
      <w:r w:rsidRPr="00456F57">
        <w:rPr>
          <w:rFonts w:ascii="宋体" w:hAnsi="宋体"/>
          <w:sz w:val="24"/>
        </w:rPr>
        <w:t>15:00以后发送至</w:t>
      </w:r>
      <w:r w:rsidRPr="00456F57">
        <w:rPr>
          <w:rFonts w:ascii="宋体" w:hAnsi="宋体" w:hint="eastAsia"/>
          <w:sz w:val="24"/>
        </w:rPr>
        <w:t>基金托管人的指令，基金托管人不保证当日出款。</w:t>
      </w:r>
    </w:p>
    <w:p w14:paraId="65AAF4F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2.指令的确认</w:t>
      </w:r>
      <w:r w:rsidRPr="00456F57">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6A83F8C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63EABBD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3F35C628" w14:textId="77777777" w:rsidR="00104401" w:rsidRPr="00456F57" w:rsidRDefault="00712663" w:rsidP="00540BE9">
      <w:pPr>
        <w:pStyle w:val="a9"/>
        <w:spacing w:line="360" w:lineRule="auto"/>
        <w:rPr>
          <w:rFonts w:ascii="宋体" w:hAnsi="宋体"/>
        </w:rPr>
      </w:pPr>
      <w:r w:rsidRPr="00456F57">
        <w:rPr>
          <w:rFonts w:ascii="宋体" w:hAnsi="宋体" w:hint="eastAsia"/>
        </w:rPr>
        <w:t>（四）基金管理人发送错误指令的情形和处理程序</w:t>
      </w:r>
    </w:p>
    <w:p w14:paraId="0CFFC13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基金管理人发送错误指令的情形包括指令发送人员无权或超越权限发送指令，指令不能辨识或要素不全导致无法执行等情形。</w:t>
      </w:r>
    </w:p>
    <w:p w14:paraId="4AA3A51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2、当</w:t>
      </w:r>
      <w:r w:rsidRPr="00456F57">
        <w:rPr>
          <w:rFonts w:ascii="宋体" w:hAnsi="宋体" w:hint="eastAsia"/>
          <w:sz w:val="24"/>
        </w:rPr>
        <w:t>基金托管人认为所接受指令为错误指令时，应及时与基金管理人进行电</w:t>
      </w:r>
      <w:r w:rsidRPr="00456F57">
        <w:rPr>
          <w:rFonts w:ascii="宋体" w:hAnsi="宋体" w:hint="eastAsia"/>
          <w:sz w:val="24"/>
        </w:rPr>
        <w:lastRenderedPageBreak/>
        <w:t>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0301E6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（五）基金托管人依照法律法规暂缓、拒绝执行指令的情形和处理程序</w:t>
      </w:r>
    </w:p>
    <w:p w14:paraId="7AE1B5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456F57">
        <w:rPr>
          <w:rFonts w:ascii="宋体" w:hAnsi="宋体"/>
          <w:sz w:val="24"/>
        </w:rPr>
        <w:t>10个工作日内纠正，并报告中国证监会</w:t>
      </w:r>
      <w:r w:rsidRPr="00456F57">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456F57">
        <w:rPr>
          <w:rFonts w:ascii="宋体" w:hAnsi="宋体" w:hint="eastAsia"/>
          <w:sz w:val="24"/>
        </w:rPr>
        <w:t>免于承担责任。</w:t>
      </w:r>
    </w:p>
    <w:p w14:paraId="3FFB6EC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（六）基金托管人未按照基金管理人指令执行的处理方法</w:t>
      </w:r>
    </w:p>
    <w:p w14:paraId="2BD66D7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对于基金管理人的有效指令和通知，除非违反法律法规、基金合同、托管协议或具有第（四）项所述错误</w:t>
      </w:r>
      <w:r w:rsidRPr="00456F57">
        <w:rPr>
          <w:rFonts w:ascii="宋体" w:hAnsi="宋体"/>
          <w:sz w:val="24"/>
        </w:rPr>
        <w:t xml:space="preserve"> </w:t>
      </w:r>
      <w:r w:rsidRPr="00456F57">
        <w:rPr>
          <w:rFonts w:ascii="宋体" w:hAnsi="宋体" w:hint="eastAsia"/>
          <w:sz w:val="24"/>
        </w:rPr>
        <w:t>，基金托管人不得无故拒绝或拖延执行，否则应就基金或基金管理人由此产生的损失负赔偿责任。</w:t>
      </w:r>
    </w:p>
    <w:p w14:paraId="5C33250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000A6170">
        <w:rPr>
          <w:rFonts w:ascii="宋体" w:hAnsi="宋体" w:cs="Arial" w:hint="eastAsia"/>
          <w:sz w:val="24"/>
        </w:rPr>
        <w:t>、</w:t>
      </w:r>
      <w:r w:rsidRPr="00456F57">
        <w:rPr>
          <w:rFonts w:ascii="宋体" w:hAnsi="宋体" w:hint="eastAsia"/>
          <w:sz w:val="24"/>
        </w:rPr>
        <w:t>基金管理人的利益受到损害而负赔偿责任外，基金托管人对执行基金管理人的合法指令对基金财产造成的损失不承担赔偿责任。</w:t>
      </w:r>
    </w:p>
    <w:p w14:paraId="31208ED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（七）更换被授权人员的程序</w:t>
      </w:r>
    </w:p>
    <w:p w14:paraId="49143C92"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w:t>
      </w:r>
      <w:r w:rsidRPr="00456F57">
        <w:rPr>
          <w:rFonts w:ascii="宋体" w:hAnsi="宋体" w:hint="eastAsia"/>
          <w:sz w:val="24"/>
        </w:rPr>
        <w:lastRenderedPageBreak/>
        <w:t>真为准。</w:t>
      </w:r>
    </w:p>
    <w:p w14:paraId="286499E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基金托管人更换接收基金管理人指令的人员，应提前通知基金管理人。</w:t>
      </w:r>
    </w:p>
    <w:p w14:paraId="3671569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（八）指令的保管</w:t>
      </w:r>
    </w:p>
    <w:p w14:paraId="3512A0C3"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指令若以传真形式发出，则正本由基金管理人保管，基金托管人保管指令传真件。当两者不一致时，以基金托管人收到的指令传真件为准。</w:t>
      </w:r>
    </w:p>
    <w:p w14:paraId="26AE398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（九）相关责任</w:t>
      </w:r>
    </w:p>
    <w:p w14:paraId="04E0A31E"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38DE71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48B6AB73" w14:textId="77777777" w:rsidR="00896C5A" w:rsidRPr="00456F57" w:rsidRDefault="00896C5A">
      <w:pPr>
        <w:adjustRightInd w:val="0"/>
        <w:spacing w:line="360" w:lineRule="auto"/>
        <w:contextualSpacing/>
        <w:rPr>
          <w:rFonts w:ascii="宋体" w:hAnsi="宋体"/>
          <w:sz w:val="24"/>
        </w:rPr>
      </w:pPr>
    </w:p>
    <w:p w14:paraId="22DC3F55"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73" w:name="_Toc120435786"/>
      <w:bookmarkStart w:id="74" w:name="_Toc119402713"/>
      <w:bookmarkStart w:id="75" w:name="_Toc118972651"/>
      <w:bookmarkStart w:id="76" w:name="_Toc118774806"/>
      <w:bookmarkStart w:id="77" w:name="_Toc118212953"/>
      <w:bookmarkStart w:id="78" w:name="_Toc110830495"/>
      <w:bookmarkStart w:id="79" w:name="_Toc110765663"/>
      <w:bookmarkStart w:id="80" w:name="_Toc110761799"/>
      <w:bookmarkStart w:id="81" w:name="_Toc108512361"/>
      <w:bookmarkStart w:id="82" w:name="_Toc89163371"/>
      <w:bookmarkStart w:id="83" w:name="_Toc86737932"/>
      <w:bookmarkStart w:id="84" w:name="_Toc86727358"/>
      <w:bookmarkStart w:id="85" w:name="_Toc86726442"/>
      <w:bookmarkStart w:id="86" w:name="_Toc86649725"/>
      <w:bookmarkStart w:id="87" w:name="_Toc86225294"/>
      <w:bookmarkStart w:id="88" w:name="_Toc86223245"/>
      <w:bookmarkStart w:id="89" w:name="_Toc86204791"/>
      <w:bookmarkStart w:id="90" w:name="_Toc84234437"/>
      <w:bookmarkStart w:id="91" w:name="_Toc84234390"/>
      <w:bookmarkStart w:id="92" w:name="_Toc84133788"/>
      <w:r w:rsidRPr="00456F57">
        <w:rPr>
          <w:rFonts w:ascii="宋体" w:hAnsi="宋体"/>
          <w:sz w:val="24"/>
        </w:rPr>
        <w:br w:type="page"/>
      </w:r>
      <w:bookmarkStart w:id="93" w:name="_Toc348082035"/>
      <w:bookmarkStart w:id="94" w:name="_Toc488938616"/>
      <w:r w:rsidRPr="00456F57">
        <w:rPr>
          <w:rFonts w:ascii="宋体" w:hAnsi="宋体" w:hint="eastAsia"/>
          <w:sz w:val="24"/>
        </w:rPr>
        <w:lastRenderedPageBreak/>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676709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（一）选择代理证券买卖的证券经营机构</w:t>
      </w:r>
    </w:p>
    <w:p w14:paraId="38C9A94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B707FA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（二）基金投资证券后的清算交收安排</w:t>
      </w:r>
    </w:p>
    <w:p w14:paraId="15DF23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color w:val="000000"/>
          <w:sz w:val="24"/>
        </w:rPr>
        <w:t>基金管理人和基金托管人在</w:t>
      </w:r>
      <w:r w:rsidR="000A6170">
        <w:rPr>
          <w:rFonts w:ascii="宋体" w:hAnsi="宋体" w:hint="eastAsia"/>
          <w:color w:val="000000"/>
          <w:sz w:val="24"/>
        </w:rPr>
        <w:t>基金</w:t>
      </w:r>
      <w:r w:rsidRPr="00456F57">
        <w:rPr>
          <w:rFonts w:ascii="宋体" w:hAnsi="宋体" w:hint="eastAsia"/>
          <w:color w:val="000000"/>
          <w:sz w:val="24"/>
        </w:rPr>
        <w:t>财产场内清算交收及相关风险控制方面的职责按照</w:t>
      </w:r>
      <w:r w:rsidR="00EE0B25">
        <w:rPr>
          <w:rFonts w:ascii="宋体" w:hAnsi="宋体" w:hint="eastAsia"/>
          <w:color w:val="000000"/>
          <w:sz w:val="24"/>
        </w:rPr>
        <w:t>附件</w:t>
      </w:r>
      <w:r w:rsidRPr="00456F57">
        <w:rPr>
          <w:rFonts w:ascii="宋体" w:hAnsi="宋体" w:hint="eastAsia"/>
          <w:color w:val="000000"/>
          <w:sz w:val="24"/>
        </w:rPr>
        <w:t>《托管银行证券资金结算规定》的要求执行。</w:t>
      </w:r>
    </w:p>
    <w:p w14:paraId="2C6012E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（三）基金申购、赎回和转换业务处理的基本规定</w:t>
      </w:r>
    </w:p>
    <w:p w14:paraId="7CC1E1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1.基金份额申购、赎回</w:t>
      </w:r>
      <w:r w:rsidRPr="00456F57">
        <w:rPr>
          <w:rFonts w:ascii="宋体" w:hAnsi="宋体" w:hint="eastAsia"/>
          <w:sz w:val="24"/>
        </w:rPr>
        <w:t>、转换的确认、清算由基金管理人或其委托的登记机构负责。</w:t>
      </w:r>
    </w:p>
    <w:p w14:paraId="34FED8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2.基金管理人应将每个开放日的申购、赎回、转换开放式基金的数据传送给基金托管人。基金管理人应对传递的申购、赎回、转换开放式基金的数据真实性</w:t>
      </w:r>
      <w:r w:rsidRPr="00456F57">
        <w:rPr>
          <w:rFonts w:ascii="宋体" w:hAnsi="宋体" w:hint="eastAsia"/>
          <w:sz w:val="24"/>
        </w:rPr>
        <w:t>和准确性负责。基金托管人应及时查收申购及转入资金的到账情况并根据基金管理人指令及时划付赎回及转出款项。</w:t>
      </w:r>
    </w:p>
    <w:p w14:paraId="2FBF88F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3.基金管理人应保证本基金（或本基金管理人委托）的</w:t>
      </w:r>
      <w:r w:rsidRPr="00456F57">
        <w:rPr>
          <w:rFonts w:ascii="宋体" w:hAnsi="宋体" w:hint="eastAsia"/>
          <w:sz w:val="24"/>
        </w:rPr>
        <w:t>注册登记机构每个工作日</w:t>
      </w:r>
      <w:r w:rsidRPr="00456F57">
        <w:rPr>
          <w:rFonts w:ascii="宋体" w:hAnsi="宋体"/>
          <w:sz w:val="24"/>
        </w:rPr>
        <w:t>15:00前向基金托管人发送前一开放日上述有关数据，并保证相关数据的准确、完整。</w:t>
      </w:r>
    </w:p>
    <w:p w14:paraId="61F5EDA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2ABFB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5.如基金管理人委托其他机构办理本基金的</w:t>
      </w:r>
      <w:r w:rsidRPr="00456F57">
        <w:rPr>
          <w:rFonts w:ascii="宋体" w:hAnsi="宋体" w:hint="eastAsia"/>
          <w:sz w:val="24"/>
        </w:rPr>
        <w:t>注册登记业务，应保证上述相关</w:t>
      </w:r>
      <w:r w:rsidRPr="00456F57">
        <w:rPr>
          <w:rFonts w:ascii="宋体" w:hAnsi="宋体" w:hint="eastAsia"/>
          <w:sz w:val="24"/>
        </w:rPr>
        <w:lastRenderedPageBreak/>
        <w:t>事宜按时进行。否则，由基金管理人承担相应的责任。</w:t>
      </w:r>
    </w:p>
    <w:p w14:paraId="0AD8C4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6.关于清算专用账户的设立和管理</w:t>
      </w:r>
    </w:p>
    <w:p w14:paraId="390129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为满足申购、赎回、转换及分红资金汇划的需要，由基金管理人开立资金清算的专用账户，该账户由注册登记机构管理。</w:t>
      </w:r>
    </w:p>
    <w:p w14:paraId="7CA6050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7.对于基金申购</w:t>
      </w:r>
      <w:r w:rsidRPr="00456F57">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81D03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8.赎回</w:t>
      </w:r>
      <w:r w:rsidRPr="00456F57">
        <w:rPr>
          <w:rFonts w:ascii="宋体" w:hAnsi="宋体" w:hint="eastAsia"/>
          <w:sz w:val="24"/>
        </w:rPr>
        <w:t>、转换资金划付规定</w:t>
      </w:r>
    </w:p>
    <w:p w14:paraId="5C2BFE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1ECB797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9.资金指令</w:t>
      </w:r>
    </w:p>
    <w:p w14:paraId="7EFF2E4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除申购款项到达基金资金账户需双方按约定方式对账外，与投资有关的付款、赎回和分红资金划拨时，基金管理人需向基金托管人下达指令。</w:t>
      </w:r>
    </w:p>
    <w:p w14:paraId="1E9F638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资金指令的格式、内容、发送、接收和确认方式等与投资指令相同。</w:t>
      </w:r>
    </w:p>
    <w:p w14:paraId="63B96D0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（四）资金净额结算</w:t>
      </w:r>
    </w:p>
    <w:p w14:paraId="5B98C0F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004907C1">
        <w:rPr>
          <w:rFonts w:ascii="宋体" w:hAnsi="宋体" w:hint="eastAsia"/>
          <w:sz w:val="24"/>
        </w:rPr>
        <w:t>15:00时之前</w:t>
      </w:r>
      <w:r w:rsidRPr="00456F57">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w:t>
      </w:r>
      <w:r w:rsidR="009C5BB6">
        <w:rPr>
          <w:rFonts w:ascii="宋体" w:hAnsi="宋体" w:hint="eastAsia"/>
          <w:sz w:val="24"/>
        </w:rPr>
        <w:t>及时</w:t>
      </w:r>
      <w:r w:rsidRPr="00456F57">
        <w:rPr>
          <w:rFonts w:ascii="宋体" w:hAnsi="宋体" w:hint="eastAsia"/>
          <w:sz w:val="24"/>
        </w:rPr>
        <w:t>划往基金清算账户，基金管理人通过基金托管人提供的方式查询结果。</w:t>
      </w:r>
    </w:p>
    <w:p w14:paraId="0E2ED31E" w14:textId="77777777" w:rsidR="00104401" w:rsidRPr="00456F57" w:rsidRDefault="00712663" w:rsidP="00540BE9">
      <w:pPr>
        <w:adjustRightInd w:val="0"/>
        <w:snapToGrid w:val="0"/>
        <w:spacing w:line="360" w:lineRule="auto"/>
        <w:ind w:firstLineChars="200" w:firstLine="480"/>
        <w:rPr>
          <w:rFonts w:ascii="宋体" w:hAnsi="宋体"/>
          <w:i/>
          <w:sz w:val="24"/>
        </w:rPr>
      </w:pPr>
      <w:r w:rsidRPr="00456F57">
        <w:rPr>
          <w:rFonts w:ascii="宋体" w:hAnsi="宋体" w:hint="eastAsia"/>
          <w:sz w:val="24"/>
        </w:rPr>
        <w:t>当存在资金账户净应付额时，如基金</w:t>
      </w:r>
      <w:r w:rsidR="002D6BC2" w:rsidRPr="00456F57">
        <w:rPr>
          <w:rFonts w:ascii="宋体" w:hAnsi="宋体" w:cs="Arial" w:hint="eastAsia"/>
          <w:sz w:val="24"/>
        </w:rPr>
        <w:t>资金</w:t>
      </w:r>
      <w:r w:rsidRPr="00456F57">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3565D92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（五）基金现金分红</w:t>
      </w:r>
    </w:p>
    <w:p w14:paraId="1F4869F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lastRenderedPageBreak/>
        <w:t>1.基金管理人确定分红方案通知基金托管人，双方核定后依照《信息披露办法》的有关规定在中国证监会指定</w:t>
      </w:r>
      <w:r w:rsidRPr="00456F57">
        <w:rPr>
          <w:rFonts w:ascii="宋体" w:hAnsi="宋体" w:hint="eastAsia"/>
          <w:sz w:val="24"/>
        </w:rPr>
        <w:t>媒介上公告并</w:t>
      </w:r>
      <w:r w:rsidRPr="00456F57">
        <w:rPr>
          <w:rFonts w:ascii="宋体" w:hAnsi="宋体"/>
          <w:sz w:val="24"/>
        </w:rPr>
        <w:t>报中国证监会备案</w:t>
      </w:r>
      <w:r w:rsidRPr="00456F57">
        <w:rPr>
          <w:rFonts w:ascii="宋体" w:hAnsi="宋体" w:hint="eastAsia"/>
          <w:sz w:val="24"/>
        </w:rPr>
        <w:t>。</w:t>
      </w:r>
    </w:p>
    <w:p w14:paraId="3814DB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2.基金托管人和基金管理人对基金分红进行账务处理并核对后，基金管理人向基金托管人发送现金红利的划款指令，基金托管人应</w:t>
      </w:r>
      <w:r w:rsidRPr="00456F57">
        <w:rPr>
          <w:rFonts w:ascii="宋体" w:hAnsi="宋体" w:hint="eastAsia"/>
          <w:sz w:val="24"/>
        </w:rPr>
        <w:t>根据指令及时将分红款划往基金清算账户。</w:t>
      </w:r>
    </w:p>
    <w:p w14:paraId="133889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3.基金管理人在下达指令时，应给基金托管人留出必需的划款时间。</w:t>
      </w:r>
    </w:p>
    <w:p w14:paraId="7B0DDFF6" w14:textId="77777777" w:rsidR="00896C5A" w:rsidRPr="00456F57" w:rsidRDefault="00896C5A">
      <w:pPr>
        <w:spacing w:line="360" w:lineRule="auto"/>
        <w:ind w:firstLine="480"/>
        <w:rPr>
          <w:rFonts w:ascii="宋体" w:hAnsi="宋体"/>
          <w:sz w:val="24"/>
        </w:rPr>
      </w:pPr>
    </w:p>
    <w:p w14:paraId="5E55EA29" w14:textId="77777777" w:rsidR="00896C5A" w:rsidRPr="00456F57" w:rsidRDefault="00896C5A">
      <w:pPr>
        <w:adjustRightInd w:val="0"/>
        <w:snapToGrid w:val="0"/>
        <w:spacing w:line="360" w:lineRule="auto"/>
        <w:rPr>
          <w:rFonts w:ascii="宋体" w:hAnsi="宋体"/>
          <w:sz w:val="24"/>
        </w:rPr>
      </w:pPr>
    </w:p>
    <w:p w14:paraId="2105023C"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5" w:name="_Toc348082036"/>
      <w:bookmarkStart w:id="96" w:name="_Toc488938617"/>
      <w:r w:rsidRPr="00456F57">
        <w:rPr>
          <w:rFonts w:ascii="宋体" w:hAnsi="宋体" w:hint="eastAsia"/>
          <w:sz w:val="24"/>
        </w:rPr>
        <w:lastRenderedPageBreak/>
        <w:t>八、基金资产净值计算、估值和会计核算</w:t>
      </w:r>
      <w:bookmarkEnd w:id="95"/>
      <w:bookmarkEnd w:id="96"/>
    </w:p>
    <w:p w14:paraId="58337B6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（一）基金资产净值的计算、复核与完成的时间及程序</w:t>
      </w:r>
    </w:p>
    <w:p w14:paraId="4A11324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1.基金资产净值</w:t>
      </w:r>
    </w:p>
    <w:p w14:paraId="10C3635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基金资产净值是指基金资产总值减去基金负债后的价值。</w:t>
      </w:r>
    </w:p>
    <w:p w14:paraId="32C65F90" w14:textId="77777777" w:rsidR="00D72C9C" w:rsidRDefault="009F6F97" w:rsidP="001F7CC0">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712663" w:rsidRPr="00456F57">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712663" w:rsidRPr="00456F57">
        <w:rPr>
          <w:rFonts w:ascii="宋体" w:hAnsi="宋体" w:hint="eastAsia"/>
          <w:sz w:val="24"/>
        </w:rPr>
        <w:t>基金资产净值除以估值日</w:t>
      </w:r>
      <w:r w:rsidR="00537E9D">
        <w:rPr>
          <w:rFonts w:ascii="宋体" w:hAnsi="宋体" w:hint="eastAsia"/>
          <w:sz w:val="24"/>
        </w:rPr>
        <w:t>该类</w:t>
      </w:r>
      <w:r w:rsidR="00712663" w:rsidRPr="00456F57">
        <w:rPr>
          <w:rFonts w:ascii="宋体" w:hAnsi="宋体" w:hint="eastAsia"/>
          <w:sz w:val="24"/>
        </w:rPr>
        <w:t>基金份额总数，基金份额净值的计算，精确到</w:t>
      </w:r>
      <w:r w:rsidR="00712663" w:rsidRPr="00456F57">
        <w:rPr>
          <w:rFonts w:ascii="宋体" w:hAnsi="宋体"/>
          <w:sz w:val="24"/>
        </w:rPr>
        <w:t>0.00</w:t>
      </w:r>
      <w:r w:rsidR="00097973">
        <w:rPr>
          <w:rFonts w:ascii="宋体" w:hAnsi="宋体"/>
          <w:sz w:val="24"/>
        </w:rPr>
        <w:t>0</w:t>
      </w:r>
      <w:r w:rsidR="00712663" w:rsidRPr="00456F57">
        <w:rPr>
          <w:rFonts w:ascii="宋体" w:hAnsi="宋体"/>
          <w:sz w:val="24"/>
        </w:rPr>
        <w:t>1元，小数点后</w:t>
      </w:r>
      <w:r w:rsidR="00097973" w:rsidRPr="00456F57">
        <w:rPr>
          <w:rFonts w:ascii="宋体" w:hAnsi="宋体"/>
          <w:sz w:val="24"/>
        </w:rPr>
        <w:t>第</w:t>
      </w:r>
      <w:r w:rsidR="00097973">
        <w:rPr>
          <w:rFonts w:ascii="宋体" w:hAnsi="宋体" w:hint="eastAsia"/>
          <w:sz w:val="24"/>
        </w:rPr>
        <w:t>五</w:t>
      </w:r>
      <w:r w:rsidR="00712663" w:rsidRPr="00456F57">
        <w:rPr>
          <w:rFonts w:ascii="宋体" w:hAnsi="宋体" w:hint="eastAsia"/>
          <w:sz w:val="24"/>
        </w:rPr>
        <w:t>位四舍五入，国家另有规定的，从其规定。</w:t>
      </w:r>
    </w:p>
    <w:p w14:paraId="7F4CED2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基金管理人每个工作日计算</w:t>
      </w:r>
      <w:r w:rsidR="006251A8" w:rsidRPr="009F2F25">
        <w:rPr>
          <w:rFonts w:ascii="宋体" w:hAnsi="宋体" w:hint="eastAsia"/>
          <w:sz w:val="24"/>
        </w:rPr>
        <w:t>各类基金份额的</w:t>
      </w:r>
      <w:r w:rsidRPr="00456F57">
        <w:rPr>
          <w:rFonts w:ascii="宋体" w:hAnsi="宋体" w:hint="eastAsia"/>
          <w:sz w:val="24"/>
        </w:rPr>
        <w:t>基金资产净值、基金份额净值</w:t>
      </w:r>
      <w:r w:rsidR="002D6BC2" w:rsidRPr="00456F57">
        <w:rPr>
          <w:rFonts w:ascii="宋体" w:hAnsi="宋体" w:cs="Arial" w:hint="eastAsia"/>
          <w:sz w:val="24"/>
        </w:rPr>
        <w:t>，</w:t>
      </w:r>
      <w:r w:rsidRPr="00456F57">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456F57">
        <w:rPr>
          <w:rFonts w:ascii="宋体" w:hAnsi="宋体"/>
          <w:sz w:val="24"/>
        </w:rPr>
        <w:t>。</w:t>
      </w:r>
    </w:p>
    <w:p w14:paraId="4533DDB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2.复核程序</w:t>
      </w:r>
    </w:p>
    <w:p w14:paraId="71CCC3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基金管理人每工作日对基金资产进行估值后，将</w:t>
      </w:r>
      <w:r w:rsidR="006251A8" w:rsidRPr="00E17759">
        <w:rPr>
          <w:rFonts w:ascii="宋体" w:hAnsi="宋体" w:hint="eastAsia"/>
          <w:sz w:val="24"/>
        </w:rPr>
        <w:t>各类基金份额的</w:t>
      </w:r>
      <w:r w:rsidRPr="00456F57">
        <w:rPr>
          <w:rFonts w:ascii="宋体" w:hAnsi="宋体" w:hint="eastAsia"/>
          <w:sz w:val="24"/>
        </w:rPr>
        <w:t>基金资产净值、基金份额净值发送基金托管人，经基金托管人复核无误后，由基金管理人对外公布。</w:t>
      </w:r>
    </w:p>
    <w:p w14:paraId="576FAE7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85B3D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（二）基金资产的估值</w:t>
      </w:r>
    </w:p>
    <w:p w14:paraId="0E525046" w14:textId="77777777" w:rsidR="00104401" w:rsidRPr="00456F57" w:rsidRDefault="00712663" w:rsidP="00540BE9">
      <w:pPr>
        <w:adjustRightInd w:val="0"/>
        <w:snapToGrid w:val="0"/>
        <w:spacing w:line="360" w:lineRule="auto"/>
        <w:ind w:firstLineChars="200" w:firstLine="480"/>
        <w:rPr>
          <w:rStyle w:val="read"/>
          <w:rFonts w:ascii="宋体" w:hAnsi="宋体"/>
          <w:sz w:val="24"/>
        </w:rPr>
      </w:pPr>
      <w:r w:rsidRPr="00456F57">
        <w:rPr>
          <w:rFonts w:hint="eastAsia"/>
          <w:sz w:val="24"/>
        </w:rPr>
        <w:t>基金管理人及基金托管人应当按照《基金合同》的约定进行估值。</w:t>
      </w:r>
    </w:p>
    <w:p w14:paraId="06DE546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（三）基金份额净值错误的处理方式</w:t>
      </w:r>
    </w:p>
    <w:p w14:paraId="1A58345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基金管理人及基金托管人应当按照《基金合同》的约定处理份额净值错误。</w:t>
      </w:r>
    </w:p>
    <w:p w14:paraId="44DC569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（四）基金会计制度</w:t>
      </w:r>
    </w:p>
    <w:p w14:paraId="53F334D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按国家有关部门规定的会计制度执行。</w:t>
      </w:r>
    </w:p>
    <w:p w14:paraId="343F60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（五）基金账册的建立</w:t>
      </w:r>
    </w:p>
    <w:p w14:paraId="7E545F7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05DF071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（六）基金财务报表与报告的编制和复核</w:t>
      </w:r>
    </w:p>
    <w:p w14:paraId="581EB88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lastRenderedPageBreak/>
        <w:t>1.财务报表的编制</w:t>
      </w:r>
    </w:p>
    <w:p w14:paraId="2D9999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基金财务报表由基金管理人编制，基金托管人复核。</w:t>
      </w:r>
    </w:p>
    <w:p w14:paraId="78A7DB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2.报表复核</w:t>
      </w:r>
    </w:p>
    <w:p w14:paraId="5A9AD7C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01555AE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3.财务报表的编制与复核时间安排</w:t>
      </w:r>
    </w:p>
    <w:p w14:paraId="428CB5F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基金管理人、基金托管人应当在每月结束后</w:t>
      </w:r>
      <w:r w:rsidRPr="00456F57">
        <w:rPr>
          <w:rFonts w:ascii="宋体" w:hAnsi="宋体"/>
          <w:sz w:val="24"/>
        </w:rPr>
        <w:t>5</w:t>
      </w:r>
      <w:r w:rsidRPr="00456F57">
        <w:rPr>
          <w:rFonts w:ascii="宋体" w:hAnsi="宋体" w:hint="eastAsia"/>
          <w:sz w:val="24"/>
        </w:rPr>
        <w:t>个工作日内完成月度报表的编制及复核；在每个季度结束之日起</w:t>
      </w:r>
      <w:r w:rsidRPr="00456F57">
        <w:rPr>
          <w:rFonts w:ascii="宋体" w:hAnsi="宋体"/>
          <w:sz w:val="24"/>
        </w:rPr>
        <w:t>15</w:t>
      </w:r>
      <w:r w:rsidRPr="00456F57">
        <w:rPr>
          <w:rFonts w:ascii="宋体" w:hAnsi="宋体" w:hint="eastAsia"/>
          <w:sz w:val="24"/>
        </w:rPr>
        <w:t>个工作日内完成基金季度报告的编制及复核；在上半年结束之日起</w:t>
      </w:r>
      <w:r w:rsidRPr="00456F57">
        <w:rPr>
          <w:rFonts w:ascii="宋体" w:hAnsi="宋体"/>
          <w:sz w:val="24"/>
        </w:rPr>
        <w:t>60</w:t>
      </w:r>
      <w:r w:rsidRPr="00456F57">
        <w:rPr>
          <w:rFonts w:ascii="宋体" w:hAnsi="宋体" w:hint="eastAsia"/>
          <w:sz w:val="24"/>
        </w:rPr>
        <w:t>日内完成基金半年度报告的编制及复核；在每年结束之日起</w:t>
      </w:r>
      <w:r w:rsidRPr="00456F57">
        <w:rPr>
          <w:rFonts w:ascii="宋体" w:hAnsi="宋体"/>
          <w:sz w:val="24"/>
        </w:rPr>
        <w:t>90</w:t>
      </w:r>
      <w:r w:rsidRPr="00456F57">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2B2EB0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（七）在有需要时，基金管理人应每季度向基金托管人提供基金业绩比较基准的基础数据和编制结果。</w:t>
      </w:r>
    </w:p>
    <w:p w14:paraId="1973C3B2" w14:textId="77777777" w:rsidR="007907B7" w:rsidRPr="007907B7" w:rsidRDefault="007907B7" w:rsidP="007907B7">
      <w:pPr>
        <w:adjustRightInd w:val="0"/>
        <w:snapToGrid w:val="0"/>
        <w:spacing w:line="360" w:lineRule="auto"/>
        <w:ind w:firstLineChars="200" w:firstLine="480"/>
        <w:outlineLvl w:val="2"/>
        <w:rPr>
          <w:rFonts w:ascii="宋体" w:hAnsi="宋体"/>
          <w:sz w:val="24"/>
        </w:rPr>
      </w:pPr>
      <w:r w:rsidRPr="007907B7">
        <w:rPr>
          <w:rFonts w:ascii="宋体" w:hAnsi="宋体" w:hint="eastAsia"/>
          <w:sz w:val="24"/>
        </w:rPr>
        <w:t>（八）实施侧袋机制期间的基金资产估值</w:t>
      </w:r>
    </w:p>
    <w:p w14:paraId="09273D36" w14:textId="77777777" w:rsidR="007907B7" w:rsidRPr="007907B7" w:rsidRDefault="007907B7" w:rsidP="007907B7">
      <w:pPr>
        <w:adjustRightInd w:val="0"/>
        <w:snapToGrid w:val="0"/>
        <w:spacing w:line="360" w:lineRule="auto"/>
        <w:ind w:firstLineChars="200" w:firstLine="480"/>
        <w:outlineLvl w:val="2"/>
        <w:rPr>
          <w:rFonts w:ascii="宋体" w:hAnsi="宋体"/>
          <w:sz w:val="24"/>
        </w:rPr>
      </w:pPr>
      <w:r w:rsidRPr="007907B7">
        <w:rPr>
          <w:rFonts w:ascii="宋体" w:hAnsi="宋体" w:hint="eastAsia"/>
          <w:sz w:val="24"/>
        </w:rPr>
        <w:t>本基金实施侧袋机制的，应根据基金合同的约定对主袋账户资产进行估值并披露主袋账户的基金净值信息，暂停披露侧袋账户份额净值。</w:t>
      </w:r>
    </w:p>
    <w:p w14:paraId="39478A96" w14:textId="77777777" w:rsidR="00104401" w:rsidRPr="007907B7" w:rsidRDefault="00104401" w:rsidP="00540BE9">
      <w:pPr>
        <w:adjustRightInd w:val="0"/>
        <w:snapToGrid w:val="0"/>
        <w:spacing w:line="360" w:lineRule="auto"/>
        <w:ind w:firstLineChars="200" w:firstLine="480"/>
        <w:outlineLvl w:val="2"/>
        <w:rPr>
          <w:rFonts w:ascii="宋体" w:hAnsi="宋体"/>
          <w:sz w:val="24"/>
        </w:rPr>
      </w:pPr>
    </w:p>
    <w:p w14:paraId="089C5F55" w14:textId="77777777" w:rsidR="00896C5A" w:rsidRPr="00456F57" w:rsidRDefault="00896C5A">
      <w:pPr>
        <w:pStyle w:val="a0"/>
        <w:adjustRightInd w:val="0"/>
        <w:snapToGrid w:val="0"/>
        <w:spacing w:line="360" w:lineRule="auto"/>
        <w:ind w:firstLineChars="0" w:firstLine="0"/>
        <w:rPr>
          <w:rFonts w:ascii="宋体" w:hAnsi="宋体"/>
          <w:sz w:val="24"/>
        </w:rPr>
      </w:pPr>
    </w:p>
    <w:p w14:paraId="7201F440"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7" w:name="_Toc348082037"/>
      <w:bookmarkStart w:id="98" w:name="_Toc488938618"/>
      <w:r w:rsidRPr="00456F57">
        <w:rPr>
          <w:rFonts w:ascii="宋体" w:hAnsi="宋体" w:hint="eastAsia"/>
          <w:sz w:val="24"/>
        </w:rPr>
        <w:lastRenderedPageBreak/>
        <w:t>九、基金收益分配</w:t>
      </w:r>
      <w:bookmarkEnd w:id="97"/>
      <w:bookmarkEnd w:id="98"/>
    </w:p>
    <w:p w14:paraId="50043A2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基金管理人与基金托管人按照《基金合同》的约定处理基金收益分配。</w:t>
      </w:r>
    </w:p>
    <w:p w14:paraId="4D38C529" w14:textId="77777777" w:rsidR="00896C5A" w:rsidRPr="00456F57" w:rsidRDefault="00896C5A">
      <w:pPr>
        <w:adjustRightInd w:val="0"/>
        <w:snapToGrid w:val="0"/>
        <w:spacing w:line="360" w:lineRule="auto"/>
        <w:rPr>
          <w:rFonts w:ascii="宋体" w:hAnsi="宋体"/>
          <w:sz w:val="24"/>
        </w:rPr>
      </w:pPr>
    </w:p>
    <w:p w14:paraId="15F0968E"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9" w:name="_Toc348082038"/>
      <w:bookmarkStart w:id="100" w:name="_Toc488938619"/>
      <w:r w:rsidRPr="00456F57">
        <w:rPr>
          <w:rFonts w:ascii="宋体" w:hAnsi="宋体" w:hint="eastAsia"/>
          <w:sz w:val="24"/>
        </w:rPr>
        <w:lastRenderedPageBreak/>
        <w:t>十、基金信息披露</w:t>
      </w:r>
      <w:bookmarkEnd w:id="99"/>
      <w:bookmarkEnd w:id="100"/>
    </w:p>
    <w:p w14:paraId="49CC85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（一）保密义务</w:t>
      </w:r>
    </w:p>
    <w:p w14:paraId="461ED78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83F6CB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1.非因基金管理人和基金托管人的原因导致保密信息被披露、泄露或公开；</w:t>
      </w:r>
    </w:p>
    <w:p w14:paraId="243AD9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2.基金管理人和基金托管人为遵守和服从法院判决或裁定、仲裁裁决或中国证监会等监管机构的命令、决定所做出的信息披露或公开。</w:t>
      </w:r>
    </w:p>
    <w:p w14:paraId="00C0DE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（二）信息披露的内容</w:t>
      </w:r>
    </w:p>
    <w:p w14:paraId="02261FAA" w14:textId="58EE493F" w:rsidR="00104401"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456F57">
        <w:rPr>
          <w:rFonts w:ascii="宋体" w:hAnsi="宋体" w:hint="eastAsia"/>
          <w:sz w:val="24"/>
        </w:rPr>
        <w:t>基金资产净值、基金份额净值、基金份额累计净值、</w:t>
      </w:r>
      <w:r w:rsidR="00EF272F" w:rsidRPr="00456F57">
        <w:rPr>
          <w:rFonts w:ascii="宋体" w:hAnsi="宋体" w:hint="eastAsia"/>
          <w:sz w:val="24"/>
        </w:rPr>
        <w:t>基金份额</w:t>
      </w:r>
      <w:r w:rsidR="00EF272F" w:rsidRPr="00456F57">
        <w:rPr>
          <w:rFonts w:ascii="宋体" w:hAnsi="宋体"/>
          <w:sz w:val="24"/>
        </w:rPr>
        <w:t>申购</w:t>
      </w:r>
      <w:r w:rsidR="00EF272F" w:rsidRPr="00456F57">
        <w:rPr>
          <w:rFonts w:ascii="宋体" w:hAnsi="宋体" w:hint="eastAsia"/>
          <w:sz w:val="24"/>
        </w:rPr>
        <w:t>、</w:t>
      </w:r>
      <w:r w:rsidR="00EF272F" w:rsidRPr="00456F57">
        <w:rPr>
          <w:rFonts w:ascii="宋体" w:hAnsi="宋体"/>
          <w:sz w:val="24"/>
        </w:rPr>
        <w:t>赎回价格</w:t>
      </w:r>
      <w:r w:rsidR="00EF272F" w:rsidRPr="00456F57">
        <w:rPr>
          <w:rFonts w:ascii="宋体" w:hAnsi="宋体" w:hint="eastAsia"/>
          <w:sz w:val="24"/>
        </w:rPr>
        <w:t>、</w:t>
      </w:r>
      <w:r w:rsidRPr="00456F57">
        <w:rPr>
          <w:rFonts w:ascii="宋体" w:hAnsi="宋体" w:hint="eastAsia"/>
          <w:sz w:val="24"/>
        </w:rPr>
        <w:t>基金定期报告（包括基金年度报告、基金半年度报告和基金季度报告）、临时报告、澄清公告、基金份额持有人大会决议</w:t>
      </w:r>
      <w:r w:rsidR="007907B7" w:rsidRPr="007907B7">
        <w:rPr>
          <w:rFonts w:ascii="宋体" w:hAnsi="宋体" w:hint="eastAsia"/>
          <w:sz w:val="24"/>
        </w:rPr>
        <w:t>、实施侧袋机制期间的信息披露</w:t>
      </w:r>
      <w:r w:rsidRPr="00456F57">
        <w:rPr>
          <w:rFonts w:ascii="宋体" w:hAnsi="宋体" w:hint="eastAsia"/>
          <w:sz w:val="24"/>
        </w:rPr>
        <w:t>、</w:t>
      </w:r>
      <w:r w:rsidR="00686353">
        <w:rPr>
          <w:rFonts w:ascii="宋体" w:hAnsi="宋体" w:hint="eastAsia"/>
          <w:sz w:val="24"/>
        </w:rPr>
        <w:t>基金投资资产支持证券、中小企业私募债的情况、</w:t>
      </w:r>
      <w:r w:rsidRPr="00456F57">
        <w:rPr>
          <w:rFonts w:ascii="宋体" w:hAnsi="宋体" w:hint="eastAsia"/>
          <w:sz w:val="24"/>
        </w:rPr>
        <w:t>中国证监会规定的其他信息。基金年度报告需经具有从事证券相关业务资格的会计师事务所审计后，方可披露。</w:t>
      </w:r>
    </w:p>
    <w:p w14:paraId="0B9973D6" w14:textId="77777777"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8FD84C3" w14:textId="77777777" w:rsidR="005F0A71" w:rsidRPr="00456F57"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基金管理人应当在基金投资中小企业私募债券后2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50DAF7E4" w14:textId="77777777" w:rsidR="00104401" w:rsidRPr="00456F57" w:rsidRDefault="00712663" w:rsidP="00AE14EF">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（三）基金托管人和基金管理人在信息披露中的职责和信息披露程序</w:t>
      </w:r>
    </w:p>
    <w:p w14:paraId="7B64B86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1.职责</w:t>
      </w:r>
    </w:p>
    <w:p w14:paraId="6203015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lastRenderedPageBreak/>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285729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基金管理人和基金托管人应积极配合、互相监督，保证其履行按照法定方式和限时披露的义务。</w:t>
      </w:r>
    </w:p>
    <w:p w14:paraId="32EC0E2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24E7656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当出现下述情况时，基金管理人和基金托管人可暂停或延迟披露基金相关信息：</w:t>
      </w:r>
    </w:p>
    <w:p w14:paraId="5C29F09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456F57">
        <w:rPr>
          <w:rFonts w:ascii="宋体" w:hAnsi="宋体" w:hint="eastAsia"/>
          <w:sz w:val="24"/>
        </w:rPr>
        <w:t>致使基金管理人、基金托管人无法准确评估基金资产价值时；</w:t>
      </w:r>
    </w:p>
    <w:p w14:paraId="4FFFB855" w14:textId="77777777" w:rsidR="00896C5A" w:rsidRPr="00456F57" w:rsidDel="000A6170" w:rsidRDefault="00712663" w:rsidP="00B1162C">
      <w:pPr>
        <w:adjustRightInd w:val="0"/>
        <w:snapToGrid w:val="0"/>
        <w:spacing w:line="360" w:lineRule="auto"/>
        <w:ind w:firstLineChars="200" w:firstLine="480"/>
        <w:rPr>
          <w:rFonts w:hAnsi="宋体"/>
          <w:sz w:val="24"/>
        </w:rPr>
      </w:pPr>
      <w:r w:rsidRPr="00456F57">
        <w:rPr>
          <w:rFonts w:ascii="宋体" w:hAnsi="宋体"/>
          <w:sz w:val="24"/>
        </w:rPr>
        <w:t>(2)基金投资所涉及的证券</w:t>
      </w:r>
      <w:r w:rsidRPr="00456F57">
        <w:rPr>
          <w:rFonts w:ascii="宋体" w:hAnsi="宋体" w:hint="eastAsia"/>
          <w:sz w:val="24"/>
        </w:rPr>
        <w:t>交易市场遇法定节假日或因其他原因暂停营业时；</w:t>
      </w:r>
    </w:p>
    <w:p w14:paraId="204F68CD" w14:textId="77777777" w:rsidR="00896C5A" w:rsidRPr="00456F57" w:rsidRDefault="002D6BC2" w:rsidP="00540BE9">
      <w:pPr>
        <w:adjustRightInd w:val="0"/>
        <w:snapToGrid w:val="0"/>
        <w:spacing w:line="360" w:lineRule="auto"/>
        <w:ind w:firstLineChars="200" w:firstLine="480"/>
        <w:rPr>
          <w:rFonts w:ascii="宋体" w:hAnsi="宋体"/>
          <w:sz w:val="24"/>
        </w:rPr>
      </w:pPr>
      <w:r w:rsidRPr="008650F1">
        <w:rPr>
          <w:rFonts w:ascii="宋体" w:hAnsi="宋体" w:hint="eastAsia"/>
          <w:sz w:val="24"/>
        </w:rPr>
        <w:t>(</w:t>
      </w:r>
      <w:r w:rsidR="000A6170">
        <w:rPr>
          <w:rFonts w:ascii="宋体" w:hAnsi="宋体"/>
          <w:sz w:val="24"/>
        </w:rPr>
        <w:t>3</w:t>
      </w:r>
      <w:r w:rsidRPr="008650F1">
        <w:rPr>
          <w:rFonts w:ascii="宋体" w:hAnsi="宋体" w:hint="eastAsia"/>
          <w:sz w:val="24"/>
        </w:rPr>
        <w:t>)</w:t>
      </w:r>
      <w:r w:rsidR="00712663" w:rsidRPr="00456F57">
        <w:rPr>
          <w:rFonts w:ascii="宋体" w:hAnsi="宋体" w:hint="eastAsia"/>
          <w:sz w:val="24"/>
        </w:rPr>
        <w:t>法律法规、基金合同或中国证监会规定的情况。</w:t>
      </w:r>
    </w:p>
    <w:p w14:paraId="217444B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2.程序</w:t>
      </w:r>
    </w:p>
    <w:p w14:paraId="047DA5F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635565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3.信息文本的存放</w:t>
      </w:r>
    </w:p>
    <w:p w14:paraId="5E1744C4" w14:textId="29F51A28" w:rsidR="00104401" w:rsidRDefault="00712663" w:rsidP="00540BE9">
      <w:pPr>
        <w:pStyle w:val="a0"/>
        <w:adjustRightInd w:val="0"/>
        <w:snapToGrid w:val="0"/>
        <w:spacing w:line="360" w:lineRule="auto"/>
        <w:ind w:firstLine="480"/>
        <w:rPr>
          <w:rFonts w:ascii="宋体" w:hAnsi="宋体"/>
          <w:sz w:val="24"/>
        </w:rPr>
      </w:pPr>
      <w:r w:rsidRPr="00456F57">
        <w:rPr>
          <w:rFonts w:ascii="宋体" w:hAnsi="宋体" w:hint="eastAsia"/>
          <w:sz w:val="24"/>
        </w:rPr>
        <w:t>予以披露的信息文本，存放在基金管理人</w:t>
      </w:r>
      <w:r w:rsidRPr="00456F57">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3AF93A69" w14:textId="19AE6A2C" w:rsidR="004F34C9" w:rsidRPr="00456F57" w:rsidRDefault="004F34C9" w:rsidP="00540BE9">
      <w:pPr>
        <w:pStyle w:val="a0"/>
        <w:adjustRightInd w:val="0"/>
        <w:snapToGrid w:val="0"/>
        <w:spacing w:line="360" w:lineRule="auto"/>
        <w:ind w:firstLine="480"/>
        <w:rPr>
          <w:rFonts w:ascii="宋体" w:hAnsi="宋体"/>
          <w:sz w:val="24"/>
        </w:rPr>
      </w:pPr>
      <w:r w:rsidRPr="004F34C9">
        <w:rPr>
          <w:rFonts w:ascii="宋体" w:hAnsi="宋体" w:hint="eastAsia"/>
          <w:sz w:val="24"/>
        </w:rPr>
        <w:t>（四）本基金信息披露事项以法律法规及基金合同“第</w:t>
      </w:r>
      <w:r>
        <w:rPr>
          <w:rFonts w:ascii="宋体" w:hAnsi="宋体" w:hint="eastAsia"/>
          <w:sz w:val="24"/>
        </w:rPr>
        <w:t>十八</w:t>
      </w:r>
      <w:r w:rsidRPr="004F34C9">
        <w:rPr>
          <w:rFonts w:ascii="宋体" w:hAnsi="宋体" w:hint="eastAsia"/>
          <w:sz w:val="24"/>
        </w:rPr>
        <w:t>部分 基金的信息披露”约定的内容为准。</w:t>
      </w:r>
    </w:p>
    <w:p w14:paraId="3DB5EFBD" w14:textId="77777777" w:rsidR="00896C5A" w:rsidRPr="00456F57" w:rsidRDefault="00896C5A">
      <w:pPr>
        <w:pStyle w:val="a0"/>
        <w:spacing w:line="360" w:lineRule="auto"/>
        <w:ind w:firstLineChars="0" w:firstLine="0"/>
        <w:rPr>
          <w:rFonts w:ascii="宋体" w:hAnsi="宋体"/>
          <w:sz w:val="24"/>
        </w:rPr>
      </w:pPr>
    </w:p>
    <w:p w14:paraId="07BB0C04"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1" w:name="_Toc348082039"/>
      <w:bookmarkStart w:id="102" w:name="_Toc488938620"/>
      <w:r w:rsidRPr="00456F57">
        <w:rPr>
          <w:rFonts w:ascii="宋体" w:hAnsi="宋体" w:hint="eastAsia"/>
          <w:sz w:val="24"/>
        </w:rPr>
        <w:lastRenderedPageBreak/>
        <w:t>十一、基金费用</w:t>
      </w:r>
      <w:bookmarkEnd w:id="101"/>
      <w:bookmarkEnd w:id="102"/>
    </w:p>
    <w:p w14:paraId="2DC8AD9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w:t>
      </w:r>
      <w:r w:rsidRPr="00456F57">
        <w:rPr>
          <w:rFonts w:hAnsi="宋体" w:hint="eastAsia"/>
          <w:sz w:val="24"/>
        </w:rPr>
        <w:t>金费用按照《基金合同》的约定计提和支付</w:t>
      </w:r>
      <w:r w:rsidRPr="00456F57">
        <w:rPr>
          <w:rFonts w:ascii="宋体" w:hAnsi="宋体" w:hint="eastAsia"/>
          <w:color w:val="000000"/>
          <w:sz w:val="24"/>
        </w:rPr>
        <w:t>。</w:t>
      </w:r>
    </w:p>
    <w:p w14:paraId="06B7BC1E" w14:textId="77777777" w:rsidR="00D35023" w:rsidRPr="00456F57" w:rsidRDefault="00380369" w:rsidP="00AE14EF">
      <w:pPr>
        <w:pStyle w:val="2"/>
        <w:spacing w:beforeLines="100" w:before="312" w:afterLines="50" w:after="156" w:line="360" w:lineRule="auto"/>
        <w:ind w:firstLineChars="250" w:firstLine="527"/>
        <w:jc w:val="center"/>
        <w:rPr>
          <w:rFonts w:ascii="宋体" w:hAnsi="宋体"/>
          <w:sz w:val="21"/>
        </w:rPr>
      </w:pPr>
      <w:r w:rsidRPr="00456F57">
        <w:rPr>
          <w:rFonts w:ascii="宋体" w:hAnsi="宋体"/>
          <w:sz w:val="21"/>
        </w:rPr>
        <w:br w:type="page"/>
      </w:r>
      <w:bookmarkStart w:id="103" w:name="_Toc348082040"/>
      <w:bookmarkStart w:id="104" w:name="_Toc488938621"/>
      <w:r w:rsidRPr="00456F57">
        <w:rPr>
          <w:rFonts w:ascii="宋体" w:hAnsi="宋体" w:hint="eastAsia"/>
          <w:sz w:val="21"/>
        </w:rPr>
        <w:lastRenderedPageBreak/>
        <w:t>十二、基金份额持有人名册的保管</w:t>
      </w:r>
      <w:bookmarkEnd w:id="103"/>
      <w:bookmarkEnd w:id="104"/>
    </w:p>
    <w:p w14:paraId="51B88A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456F57">
        <w:rPr>
          <w:rFonts w:ascii="宋体" w:hAnsi="宋体"/>
          <w:sz w:val="24"/>
        </w:rPr>
        <w:t>15年。如不能妥善保管，则按相关</w:t>
      </w:r>
      <w:r w:rsidRPr="00456F57">
        <w:rPr>
          <w:rFonts w:ascii="宋体" w:hAnsi="宋体" w:hint="eastAsia"/>
          <w:sz w:val="24"/>
        </w:rPr>
        <w:t>法律法规承担责任。</w:t>
      </w:r>
    </w:p>
    <w:p w14:paraId="2FB7E4D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3CD223E1" w14:textId="77777777" w:rsidR="00896C5A" w:rsidRPr="00456F57" w:rsidRDefault="00712663" w:rsidP="00AE14EF">
      <w:pPr>
        <w:pStyle w:val="2"/>
        <w:spacing w:beforeLines="100" w:before="312" w:afterLines="50" w:after="156" w:line="360" w:lineRule="auto"/>
        <w:ind w:firstLine="480"/>
        <w:jc w:val="center"/>
      </w:pPr>
      <w:r w:rsidRPr="00456F57">
        <w:rPr>
          <w:rFonts w:ascii="宋体" w:hAnsi="宋体"/>
          <w:b w:val="0"/>
          <w:sz w:val="24"/>
        </w:rPr>
        <w:br w:type="page"/>
      </w:r>
      <w:bookmarkStart w:id="105" w:name="_Toc348082041"/>
      <w:bookmarkStart w:id="106" w:name="_Toc488938622"/>
      <w:r w:rsidRPr="00456F57">
        <w:rPr>
          <w:rFonts w:ascii="宋体" w:hAnsi="宋体" w:hint="eastAsia"/>
          <w:sz w:val="24"/>
        </w:rPr>
        <w:lastRenderedPageBreak/>
        <w:t>十三、基金有关文件档案的保存</w:t>
      </w:r>
      <w:bookmarkEnd w:id="105"/>
      <w:bookmarkEnd w:id="106"/>
    </w:p>
    <w:p w14:paraId="64B7558A"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（一）档案保存</w:t>
      </w:r>
    </w:p>
    <w:p w14:paraId="6859711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56F57">
        <w:rPr>
          <w:rFonts w:ascii="宋体" w:hAnsi="宋体"/>
          <w:sz w:val="24"/>
        </w:rPr>
        <w:t>15年。</w:t>
      </w:r>
    </w:p>
    <w:p w14:paraId="4A535C29"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（二）合同档案的建立</w:t>
      </w:r>
    </w:p>
    <w:p w14:paraId="7B03799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1.基金管理人签署重大合同文本后，应及时将合同文本正本送达基金托管人处。</w:t>
      </w:r>
    </w:p>
    <w:p w14:paraId="4F5BA6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2.基金管理人应及时将与本基金账务处理、资金划拨等有关的合同、协议传真</w:t>
      </w:r>
      <w:r w:rsidRPr="00456F57">
        <w:rPr>
          <w:rFonts w:ascii="宋体" w:hAnsi="宋体" w:hint="eastAsia"/>
          <w:sz w:val="24"/>
        </w:rPr>
        <w:t>至基金托管人。</w:t>
      </w:r>
    </w:p>
    <w:p w14:paraId="0A0A0CD7"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（三）变更与协助</w:t>
      </w:r>
    </w:p>
    <w:p w14:paraId="3E9B396C" w14:textId="77777777" w:rsidR="00104401" w:rsidRPr="00456F57" w:rsidRDefault="00712663" w:rsidP="00540BE9">
      <w:pPr>
        <w:adjustRightInd w:val="0"/>
        <w:snapToGrid w:val="0"/>
        <w:spacing w:line="360" w:lineRule="auto"/>
        <w:ind w:firstLineChars="200" w:firstLine="480"/>
        <w:rPr>
          <w:rFonts w:ascii="宋体" w:hAnsi="宋体"/>
          <w:b/>
          <w:sz w:val="24"/>
        </w:rPr>
      </w:pPr>
      <w:r w:rsidRPr="00456F57">
        <w:rPr>
          <w:rFonts w:ascii="宋体" w:hAnsi="宋体" w:hint="eastAsia"/>
          <w:sz w:val="24"/>
        </w:rPr>
        <w:t>若基金管理人</w:t>
      </w:r>
      <w:r w:rsidRPr="00456F57">
        <w:rPr>
          <w:rFonts w:ascii="宋体" w:hAnsi="宋体"/>
          <w:sz w:val="24"/>
        </w:rPr>
        <w:t>/基金托管人发生变更，未变更的一方有义务协助变更后的接任人接收相应文件。</w:t>
      </w:r>
    </w:p>
    <w:p w14:paraId="63F6A93E"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（四）基金管理人和基金托管人应按各自职责完整保存原始凭证、记账凭证、基金账册、交易记录和重要合同等，承担保密义务并保存至少十五年以上。</w:t>
      </w:r>
    </w:p>
    <w:p w14:paraId="08C79488" w14:textId="77777777" w:rsidR="00896C5A" w:rsidRPr="00456F57" w:rsidRDefault="00896C5A">
      <w:pPr>
        <w:adjustRightInd w:val="0"/>
        <w:snapToGrid w:val="0"/>
        <w:spacing w:line="360" w:lineRule="auto"/>
        <w:rPr>
          <w:rFonts w:ascii="宋体" w:hAnsi="宋体"/>
          <w:sz w:val="24"/>
        </w:rPr>
      </w:pPr>
    </w:p>
    <w:p w14:paraId="6B99D32F"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7" w:name="_Toc348082042"/>
      <w:bookmarkStart w:id="108" w:name="_Toc488938623"/>
      <w:r w:rsidRPr="00456F57">
        <w:rPr>
          <w:rFonts w:ascii="宋体" w:hAnsi="宋体" w:hint="eastAsia"/>
          <w:sz w:val="24"/>
        </w:rPr>
        <w:lastRenderedPageBreak/>
        <w:t>十四、基金管理人和基金托管人的更换</w:t>
      </w:r>
      <w:bookmarkEnd w:id="107"/>
      <w:bookmarkEnd w:id="108"/>
    </w:p>
    <w:p w14:paraId="0747B19B"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（一）</w:t>
      </w:r>
      <w:r w:rsidRPr="00456F57">
        <w:rPr>
          <w:rFonts w:ascii="宋体" w:hAnsi="宋体"/>
          <w:kern w:val="0"/>
          <w:sz w:val="24"/>
        </w:rPr>
        <w:t>基金管理人职责终止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应妥善保管基金管理业务资料，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并与新任基金管理人或临时基金管理人</w:t>
      </w:r>
      <w:r w:rsidRPr="00456F57">
        <w:rPr>
          <w:rFonts w:ascii="宋体" w:hAnsi="宋体"/>
          <w:kern w:val="0"/>
          <w:sz w:val="24"/>
        </w:rPr>
        <w:t>及时办理基金管理业务的移交手续。</w:t>
      </w:r>
      <w:r w:rsidRPr="00456F57">
        <w:rPr>
          <w:rFonts w:ascii="宋体" w:hAnsi="宋体" w:hint="eastAsia"/>
          <w:kern w:val="0"/>
          <w:sz w:val="24"/>
        </w:rPr>
        <w:t>基金托管人应给予积极配合，并与新任基金管理人或临时基金管理人核对基金资产总值和基金资产净值。</w:t>
      </w:r>
    </w:p>
    <w:p w14:paraId="647540C7"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（二）</w:t>
      </w:r>
      <w:r w:rsidRPr="00456F57">
        <w:rPr>
          <w:rFonts w:ascii="宋体" w:hAnsi="宋体"/>
          <w:kern w:val="0"/>
          <w:sz w:val="24"/>
        </w:rPr>
        <w:t>基金托管人职责终止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应妥善保管基金财产和基金托管业务资料，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并与新任基金托管人或临时基金托管人</w:t>
      </w:r>
      <w:r w:rsidRPr="00456F57">
        <w:rPr>
          <w:rFonts w:ascii="宋体" w:hAnsi="宋体"/>
          <w:kern w:val="0"/>
          <w:sz w:val="24"/>
        </w:rPr>
        <w:t>及时办理基金财产和基金托管业务的移交手续。</w:t>
      </w:r>
      <w:r w:rsidRPr="00456F57">
        <w:rPr>
          <w:rFonts w:ascii="宋体" w:hAnsi="宋体" w:hint="eastAsia"/>
          <w:kern w:val="0"/>
          <w:sz w:val="24"/>
        </w:rPr>
        <w:t>基金管理人应给予积极配合，并与新任基金托管人或临时基金托管人核对基金资产总值和基金资产净值。</w:t>
      </w:r>
    </w:p>
    <w:p w14:paraId="0142F859" w14:textId="77777777" w:rsidR="00896C5A" w:rsidRPr="00456F57" w:rsidRDefault="00712663">
      <w:pPr>
        <w:adjustRightInd w:val="0"/>
        <w:snapToGrid w:val="0"/>
        <w:spacing w:line="360" w:lineRule="auto"/>
        <w:ind w:firstLine="420"/>
        <w:outlineLvl w:val="2"/>
        <w:rPr>
          <w:rFonts w:ascii="宋体" w:hAnsi="宋体"/>
          <w:sz w:val="24"/>
        </w:rPr>
      </w:pPr>
      <w:r w:rsidRPr="00456F57">
        <w:rPr>
          <w:rFonts w:ascii="宋体" w:hAnsi="宋体" w:hint="eastAsia"/>
          <w:kern w:val="0"/>
          <w:sz w:val="24"/>
        </w:rPr>
        <w:t>（三）其他事宜见基金合同的相关约定。</w:t>
      </w:r>
    </w:p>
    <w:p w14:paraId="013E30F3" w14:textId="77777777" w:rsidR="00896C5A" w:rsidRPr="00456F57" w:rsidRDefault="00896C5A">
      <w:pPr>
        <w:adjustRightInd w:val="0"/>
        <w:snapToGrid w:val="0"/>
        <w:spacing w:line="360" w:lineRule="auto"/>
        <w:rPr>
          <w:rFonts w:ascii="宋体" w:hAnsi="宋体"/>
          <w:sz w:val="24"/>
        </w:rPr>
      </w:pPr>
    </w:p>
    <w:p w14:paraId="49E879C0"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9" w:name="_Toc348082043"/>
      <w:bookmarkStart w:id="110" w:name="_Toc488938624"/>
      <w:r w:rsidRPr="00456F57">
        <w:rPr>
          <w:rFonts w:ascii="宋体" w:hAnsi="宋体" w:hint="eastAsia"/>
          <w:sz w:val="24"/>
        </w:rPr>
        <w:lastRenderedPageBreak/>
        <w:t>十五、禁止行为</w:t>
      </w:r>
      <w:bookmarkEnd w:id="109"/>
      <w:bookmarkEnd w:id="110"/>
    </w:p>
    <w:p w14:paraId="769384D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本协议当事人禁止从事的行为，包括但不限于：</w:t>
      </w:r>
    </w:p>
    <w:p w14:paraId="145B0AC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（一）基金管理人、基金托管人将其固有财产或者他人财产混同于基金财产从事证券投资。</w:t>
      </w:r>
    </w:p>
    <w:p w14:paraId="03B9982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（二）基金管理人不公平地对待其管理的不同基金财产，基金托管人不公平地对待其托管的不同基金财产。</w:t>
      </w:r>
    </w:p>
    <w:p w14:paraId="020F404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（三）基金管理人、基金托管人利用基金财产为基金份额持有人以外的第三人牟取利益。</w:t>
      </w:r>
    </w:p>
    <w:p w14:paraId="1E20AB8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（四）基金管理人、基金托管人向基金份额持有人违规承诺收益或者承担损失。</w:t>
      </w:r>
    </w:p>
    <w:p w14:paraId="6661DA9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（五）基金管理人、基金托管人对他人泄漏基金运作和管理过程中任何尚未按法律法规规定的方式公开披露的信息。</w:t>
      </w:r>
    </w:p>
    <w:p w14:paraId="530C0E07" w14:textId="77777777" w:rsidR="00104401" w:rsidRPr="00456F57" w:rsidRDefault="00712663" w:rsidP="00540BE9">
      <w:pPr>
        <w:pStyle w:val="a9"/>
        <w:spacing w:line="360" w:lineRule="auto"/>
        <w:rPr>
          <w:rFonts w:ascii="宋体" w:hAnsi="宋体"/>
        </w:rPr>
      </w:pPr>
      <w:r w:rsidRPr="00456F57">
        <w:rPr>
          <w:rFonts w:ascii="宋体" w:hAnsi="宋体" w:hint="eastAsia"/>
        </w:rPr>
        <w:t>（六）基金管理人在没有充足资金的情况下向基金托管人发出投资指令和付款指令，或违规向基金托管人发出指令。</w:t>
      </w:r>
    </w:p>
    <w:p w14:paraId="1082F25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（七）基金管理人、基金托管人在行政上、财务上不独立，其高级管理人员和其他从业人员相互兼职。</w:t>
      </w:r>
    </w:p>
    <w:p w14:paraId="0A97DE9B" w14:textId="77777777" w:rsidR="00E65123" w:rsidRPr="00456F57" w:rsidRDefault="00712663" w:rsidP="00E65123">
      <w:pPr>
        <w:spacing w:line="360" w:lineRule="auto"/>
        <w:ind w:firstLineChars="200" w:firstLine="480"/>
        <w:rPr>
          <w:rFonts w:ascii="宋体" w:hAnsi="宋体"/>
          <w:sz w:val="24"/>
        </w:rPr>
      </w:pPr>
      <w:r w:rsidRPr="00456F57">
        <w:rPr>
          <w:rFonts w:ascii="宋体" w:hAnsi="宋体" w:hint="eastAsia"/>
          <w:sz w:val="24"/>
        </w:rPr>
        <w:t>（八）基金托管人私自动用或处分基金财产，根据基金管理人的合法指令、基金合同或托管协议的规定进行处分的除外。</w:t>
      </w:r>
    </w:p>
    <w:p w14:paraId="7F43A27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（九）法律法规和基金合同禁止的其他行为，以及法律、行政法规</w:t>
      </w:r>
      <w:r w:rsidR="00F60271">
        <w:rPr>
          <w:rFonts w:ascii="宋体" w:hAnsi="宋体" w:hint="eastAsia"/>
          <w:sz w:val="24"/>
        </w:rPr>
        <w:t>和</w:t>
      </w:r>
      <w:r w:rsidRPr="00456F57">
        <w:rPr>
          <w:rFonts w:ascii="宋体" w:hAnsi="宋体" w:hint="eastAsia"/>
          <w:sz w:val="24"/>
        </w:rPr>
        <w:t>中国证监会规定禁止基金管理人、基金托管人从事的其他行为。</w:t>
      </w:r>
    </w:p>
    <w:p w14:paraId="60BCBE58"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b w:val="0"/>
          <w:sz w:val="24"/>
        </w:rPr>
        <w:br w:type="page"/>
      </w:r>
      <w:bookmarkStart w:id="111" w:name="_Toc348082044"/>
      <w:bookmarkStart w:id="112" w:name="_Toc488938625"/>
      <w:r w:rsidRPr="00456F57">
        <w:rPr>
          <w:rFonts w:ascii="宋体" w:hAnsi="宋体" w:hint="eastAsia"/>
          <w:sz w:val="24"/>
        </w:rPr>
        <w:lastRenderedPageBreak/>
        <w:t>十六、托管协议的变更、终止与基金财产的清算</w:t>
      </w:r>
      <w:bookmarkEnd w:id="111"/>
      <w:bookmarkEnd w:id="112"/>
    </w:p>
    <w:p w14:paraId="43DF0D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（一）托管协议的变更程序</w:t>
      </w:r>
    </w:p>
    <w:p w14:paraId="5F124E0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5C478CE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（二）基金托管协议终止的情形</w:t>
      </w:r>
    </w:p>
    <w:p w14:paraId="3FF53C2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1、《基金合同》终止；</w:t>
      </w:r>
    </w:p>
    <w:p w14:paraId="3E1193E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2、基金托管人因解散、破产、撤销等事由，不能继续担任基金托管人的职务，而在6个月内无其他适当的托管机构承接其原有权利义务；</w:t>
      </w:r>
    </w:p>
    <w:p w14:paraId="43633E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3、基金管理人因解散、破产、撤销等事由，不能继续担任基金管理人的职务，而在6个月内无其他适当的基金管理公司承接其原有权利义务；</w:t>
      </w:r>
    </w:p>
    <w:p w14:paraId="5166BE8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4、发生法律法规或《基金合同》规定的</w:t>
      </w:r>
      <w:r w:rsidRPr="00456F57">
        <w:rPr>
          <w:rFonts w:ascii="宋体" w:hAnsi="宋体" w:hint="eastAsia"/>
          <w:sz w:val="24"/>
        </w:rPr>
        <w:t>其他终止事项。</w:t>
      </w:r>
    </w:p>
    <w:p w14:paraId="6DA7BCD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（三）基金财产的清算</w:t>
      </w:r>
    </w:p>
    <w:p w14:paraId="5704A4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基金管理人与基金托管人按照《基金合同》的约定处理基金财产的清算。</w:t>
      </w:r>
    </w:p>
    <w:p w14:paraId="6817659C" w14:textId="77777777" w:rsidR="00896C5A" w:rsidRPr="00456F57" w:rsidRDefault="00896C5A">
      <w:pPr>
        <w:adjustRightInd w:val="0"/>
        <w:snapToGrid w:val="0"/>
        <w:spacing w:line="360" w:lineRule="auto"/>
        <w:rPr>
          <w:rFonts w:ascii="宋体" w:hAnsi="宋体"/>
          <w:sz w:val="24"/>
        </w:rPr>
      </w:pPr>
    </w:p>
    <w:p w14:paraId="64A20369"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3" w:name="_Toc348082045"/>
      <w:bookmarkStart w:id="114" w:name="_Toc488938626"/>
      <w:r w:rsidRPr="00456F57">
        <w:rPr>
          <w:rFonts w:ascii="宋体" w:hAnsi="宋体" w:hint="eastAsia"/>
          <w:sz w:val="24"/>
        </w:rPr>
        <w:lastRenderedPageBreak/>
        <w:t>十七、违约责任</w:t>
      </w:r>
      <w:bookmarkEnd w:id="113"/>
      <w:bookmarkEnd w:id="114"/>
    </w:p>
    <w:p w14:paraId="3669C902"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（一）</w:t>
      </w:r>
      <w:r w:rsidRPr="00456F57">
        <w:rPr>
          <w:rFonts w:ascii="宋体" w:hAnsi="宋体"/>
          <w:sz w:val="24"/>
        </w:rPr>
        <w:t>基金管理人、基金托管人</w:t>
      </w:r>
      <w:r w:rsidRPr="00456F57">
        <w:rPr>
          <w:rFonts w:ascii="宋体" w:hAnsi="宋体" w:hint="eastAsia"/>
          <w:sz w:val="24"/>
        </w:rPr>
        <w:t>不</w:t>
      </w:r>
      <w:r w:rsidRPr="00456F57">
        <w:rPr>
          <w:rFonts w:ascii="宋体" w:hAnsi="宋体"/>
          <w:sz w:val="24"/>
        </w:rPr>
        <w:t>履行</w:t>
      </w:r>
      <w:r w:rsidRPr="00456F57">
        <w:rPr>
          <w:rFonts w:ascii="宋体" w:hAnsi="宋体" w:hint="eastAsia"/>
          <w:sz w:val="24"/>
        </w:rPr>
        <w:t>本协议或履行本协议不符合约定的，应当承担违约责任。</w:t>
      </w:r>
    </w:p>
    <w:p w14:paraId="135120DB"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（二）</w:t>
      </w:r>
      <w:r w:rsidRPr="00456F57">
        <w:rPr>
          <w:rFonts w:ascii="宋体" w:hAnsi="宋体"/>
          <w:sz w:val="24"/>
        </w:rPr>
        <w:t>基金管理人、基金托管人在履行各自职责的过程中，违反</w:t>
      </w:r>
      <w:r w:rsidRPr="00456F57">
        <w:rPr>
          <w:rFonts w:ascii="宋体" w:hAnsi="宋体" w:hint="eastAsia"/>
          <w:sz w:val="24"/>
        </w:rPr>
        <w:t>《基金法》、《基金合同》和本托管协议</w:t>
      </w:r>
      <w:r w:rsidRPr="00456F57">
        <w:rPr>
          <w:rFonts w:ascii="宋体" w:hAnsi="宋体"/>
          <w:sz w:val="24"/>
        </w:rPr>
        <w:t>约定，给基金财产或者基金份额持有人造成损害的，应当分别对各自的行为依法承担赔偿责任；因共同行为给基金财产或者基金份额持有人造成损害的，</w:t>
      </w:r>
      <w:r w:rsidR="0081420C" w:rsidRPr="0081420C">
        <w:rPr>
          <w:rFonts w:ascii="宋体" w:hAnsi="宋体" w:hint="eastAsia"/>
          <w:sz w:val="24"/>
        </w:rPr>
        <w:t>应</w:t>
      </w:r>
      <w:r w:rsidR="0081420C">
        <w:rPr>
          <w:rFonts w:ascii="宋体" w:hAnsi="宋体" w:hint="eastAsia"/>
          <w:sz w:val="24"/>
        </w:rPr>
        <w:t>当承担连带赔偿责任，对损失的赔偿，仅限于直接损失</w:t>
      </w:r>
      <w:r w:rsidR="002D6BC2" w:rsidRPr="00456F57">
        <w:rPr>
          <w:rFonts w:ascii="宋体" w:hAnsi="宋体" w:cs="Arial"/>
          <w:sz w:val="24"/>
        </w:rPr>
        <w:t>。</w:t>
      </w:r>
    </w:p>
    <w:p w14:paraId="2A661DD8"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（三）一方当事人违约，给另一方当事人或基金财产造成损失的，应就直接损失进行赔偿，另一方当事人有权利及义务代表基金向违约方追偿。但是如发生下列情况，当事人可以免责：</w:t>
      </w:r>
    </w:p>
    <w:p w14:paraId="2A93A85C"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sz w:val="24"/>
        </w:rPr>
        <w:t>1、基金管理</w:t>
      </w:r>
      <w:r w:rsidR="002D6BC2" w:rsidRPr="00456F57">
        <w:rPr>
          <w:rFonts w:ascii="宋体" w:hAnsi="宋体" w:cs="Arial" w:hint="eastAsia"/>
          <w:sz w:val="24"/>
        </w:rPr>
        <w:t>人和/或</w:t>
      </w:r>
      <w:r w:rsidRPr="00456F57">
        <w:rPr>
          <w:rFonts w:ascii="宋体" w:hAnsi="宋体" w:hint="eastAsia"/>
          <w:sz w:val="24"/>
        </w:rPr>
        <w:t>基金托管人按照当时有效的法律法规或中国证监会的规定作为或不作为而造成的损失等；</w:t>
      </w:r>
    </w:p>
    <w:p w14:paraId="7DAE906F"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sz w:val="24"/>
        </w:rPr>
        <w:t>2、基金管理人由于按照</w:t>
      </w:r>
      <w:r w:rsidRPr="00456F57">
        <w:rPr>
          <w:rFonts w:ascii="宋体" w:hAnsi="宋体" w:hint="eastAsia"/>
          <w:sz w:val="24"/>
        </w:rPr>
        <w:t>《基金合同》规定的投资原则而行使或不行使其投资权而造成的损失等；</w:t>
      </w:r>
    </w:p>
    <w:p w14:paraId="2CE7E950" w14:textId="77777777" w:rsidR="00896C5A" w:rsidRPr="001F7CC0" w:rsidRDefault="002D6BC2" w:rsidP="00375D08">
      <w:pPr>
        <w:adjustRightInd w:val="0"/>
        <w:snapToGrid w:val="0"/>
        <w:spacing w:line="336" w:lineRule="auto"/>
        <w:ind w:firstLineChars="200" w:firstLine="480"/>
        <w:rPr>
          <w:rFonts w:ascii="宋体" w:hAnsi="宋体"/>
          <w:sz w:val="24"/>
        </w:rPr>
      </w:pPr>
      <w:r w:rsidRPr="001F7CC0">
        <w:rPr>
          <w:rFonts w:ascii="宋体" w:hAnsi="宋体"/>
          <w:sz w:val="24"/>
        </w:rPr>
        <w:t>3</w:t>
      </w:r>
      <w:r w:rsidRPr="001F7CC0">
        <w:rPr>
          <w:rFonts w:ascii="宋体" w:hAnsi="宋体" w:hint="eastAsia"/>
          <w:sz w:val="24"/>
        </w:rPr>
        <w:t>、不可抗力</w:t>
      </w:r>
      <w:r w:rsidR="00B7337A">
        <w:rPr>
          <w:rFonts w:ascii="宋体" w:hAnsi="宋体" w:hint="eastAsia"/>
          <w:sz w:val="24"/>
        </w:rPr>
        <w:t>；</w:t>
      </w:r>
    </w:p>
    <w:p w14:paraId="57EE669F" w14:textId="77777777" w:rsidR="00901436" w:rsidRPr="00901436" w:rsidRDefault="00901436" w:rsidP="00375D08">
      <w:pPr>
        <w:adjustRightInd w:val="0"/>
        <w:snapToGrid w:val="0"/>
        <w:spacing w:line="336" w:lineRule="auto"/>
        <w:ind w:firstLineChars="200" w:firstLine="480"/>
        <w:rPr>
          <w:rFonts w:ascii="宋体" w:hAnsi="宋体" w:cs="Arial"/>
          <w:sz w:val="24"/>
        </w:rPr>
      </w:pPr>
      <w:r w:rsidRPr="001F7CC0">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6FE3C351"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（四）一方当事人违约，另一方当事人在职责范围内有义务及时采取必要的措施，尽力防止损失的扩大。</w:t>
      </w:r>
    </w:p>
    <w:p w14:paraId="0FC8E74D"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295E259A" w14:textId="77777777" w:rsidR="00C337EB" w:rsidRDefault="00712663">
      <w:pPr>
        <w:adjustRightInd w:val="0"/>
        <w:snapToGrid w:val="0"/>
        <w:spacing w:line="336" w:lineRule="auto"/>
        <w:ind w:firstLineChars="200" w:firstLine="480"/>
        <w:rPr>
          <w:rFonts w:ascii="宋体" w:hAnsi="宋体"/>
          <w:sz w:val="24"/>
        </w:rPr>
      </w:pPr>
      <w:r w:rsidRPr="00456F5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D55A5E" w14:textId="77777777" w:rsidR="00C337EB" w:rsidRDefault="00C337EB">
      <w:pPr>
        <w:adjustRightInd w:val="0"/>
        <w:snapToGrid w:val="0"/>
        <w:spacing w:line="336" w:lineRule="auto"/>
        <w:ind w:firstLineChars="200" w:firstLine="482"/>
        <w:rPr>
          <w:rFonts w:ascii="宋体" w:hAnsi="宋体"/>
          <w:b/>
          <w:sz w:val="24"/>
        </w:rPr>
      </w:pPr>
    </w:p>
    <w:p w14:paraId="62F87E52" w14:textId="77777777" w:rsidR="00DD3AC3" w:rsidRDefault="00DD3AC3">
      <w:pPr>
        <w:widowControl/>
        <w:spacing w:line="336" w:lineRule="auto"/>
        <w:rPr>
          <w:rFonts w:ascii="宋体" w:eastAsia="黑体" w:hAnsi="宋体"/>
          <w:b/>
          <w:sz w:val="24"/>
          <w:szCs w:val="20"/>
        </w:rPr>
      </w:pPr>
      <w:bookmarkStart w:id="115" w:name="_Toc348082046"/>
    </w:p>
    <w:p w14:paraId="7212F623"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116" w:name="_Toc488938627"/>
      <w:r w:rsidRPr="00456F57">
        <w:rPr>
          <w:rFonts w:ascii="宋体" w:hAnsi="宋体" w:hint="eastAsia"/>
          <w:sz w:val="24"/>
        </w:rPr>
        <w:lastRenderedPageBreak/>
        <w:t>十八、争议解决方式</w:t>
      </w:r>
      <w:bookmarkEnd w:id="115"/>
      <w:bookmarkEnd w:id="116"/>
    </w:p>
    <w:p w14:paraId="5C79A1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各方当事人同意，因本协议而产生的或与本协议有关的一切争议，如经友好协商未能解决的，任何一方均有权将争议提交</w:t>
      </w:r>
      <w:r w:rsidR="00A62F39">
        <w:rPr>
          <w:rFonts w:ascii="宋体" w:hAnsi="宋体" w:cs="Arial" w:hint="eastAsia"/>
          <w:sz w:val="24"/>
        </w:rPr>
        <w:t>华南</w:t>
      </w:r>
      <w:r w:rsidRPr="00456F57">
        <w:rPr>
          <w:rFonts w:ascii="宋体" w:hAnsi="宋体" w:hint="eastAsia"/>
          <w:sz w:val="24"/>
        </w:rPr>
        <w:t>国际经济贸易仲裁委员会，按照</w:t>
      </w:r>
      <w:r w:rsidR="00787899">
        <w:rPr>
          <w:rFonts w:ascii="宋体" w:hAnsi="宋体" w:cs="Arial" w:hint="eastAsia"/>
          <w:sz w:val="24"/>
        </w:rPr>
        <w:t>华南</w:t>
      </w:r>
      <w:r w:rsidRPr="00456F57">
        <w:rPr>
          <w:rFonts w:ascii="宋体" w:hAnsi="宋体" w:hint="eastAsia"/>
          <w:sz w:val="24"/>
        </w:rPr>
        <w:t>国际经济贸易仲裁委员会届时有效的仲裁规则进行仲裁。仲裁地点为</w:t>
      </w:r>
      <w:r w:rsidR="00125DA4">
        <w:rPr>
          <w:rFonts w:ascii="宋体" w:hAnsi="宋体" w:cs="Arial" w:hint="eastAsia"/>
          <w:sz w:val="24"/>
        </w:rPr>
        <w:t>深圳</w:t>
      </w:r>
      <w:r w:rsidR="00125DA4" w:rsidRPr="00456F57">
        <w:rPr>
          <w:rFonts w:ascii="宋体" w:hAnsi="宋体" w:cs="Arial" w:hint="eastAsia"/>
          <w:sz w:val="24"/>
        </w:rPr>
        <w:t>市</w:t>
      </w:r>
      <w:r w:rsidRPr="00456F57">
        <w:rPr>
          <w:rFonts w:ascii="宋体" w:hAnsi="宋体" w:hint="eastAsia"/>
          <w:sz w:val="24"/>
        </w:rPr>
        <w:t>。仲裁裁决是终局的，对各方当事人均有约束力，</w:t>
      </w:r>
      <w:r w:rsidR="002D6BC2" w:rsidRPr="00456F57">
        <w:rPr>
          <w:rFonts w:ascii="宋体" w:hAnsi="宋体" w:hint="eastAsia"/>
          <w:sz w:val="24"/>
        </w:rPr>
        <w:t>除非仲裁裁决另有规定，</w:t>
      </w:r>
      <w:r w:rsidRPr="00456F57">
        <w:rPr>
          <w:rFonts w:ascii="宋体" w:hAnsi="宋体" w:hint="eastAsia"/>
          <w:sz w:val="24"/>
        </w:rPr>
        <w:t>仲裁费用由败诉方承担。</w:t>
      </w:r>
    </w:p>
    <w:p w14:paraId="4137ED1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98FC57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本协议受中华人民共和国法律（不含港澳台立法）管辖。</w:t>
      </w:r>
    </w:p>
    <w:p w14:paraId="3B97BAA7" w14:textId="77777777" w:rsidR="00896C5A" w:rsidRPr="00456F57" w:rsidRDefault="00896C5A">
      <w:pPr>
        <w:adjustRightInd w:val="0"/>
        <w:snapToGrid w:val="0"/>
        <w:spacing w:line="360" w:lineRule="auto"/>
        <w:rPr>
          <w:rFonts w:ascii="宋体" w:hAnsi="宋体"/>
          <w:sz w:val="24"/>
        </w:rPr>
      </w:pPr>
    </w:p>
    <w:p w14:paraId="46E070A2"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7" w:name="_Toc348082047"/>
      <w:bookmarkStart w:id="118" w:name="_Toc488938628"/>
      <w:r w:rsidRPr="00456F57">
        <w:rPr>
          <w:rFonts w:ascii="宋体" w:hAnsi="宋体" w:hint="eastAsia"/>
          <w:sz w:val="24"/>
        </w:rPr>
        <w:lastRenderedPageBreak/>
        <w:t>十九、托管协议的效力</w:t>
      </w:r>
      <w:bookmarkEnd w:id="117"/>
      <w:bookmarkEnd w:id="118"/>
    </w:p>
    <w:p w14:paraId="2B4DDA2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双方对托管协议的效力约定如下：</w:t>
      </w:r>
    </w:p>
    <w:p w14:paraId="64B617A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（一）基金管理人在向中国证监会申请发售基金份额时提交的托管协议草案，应经托管协议当事人双方盖章以及双方法定代表人或授权代表</w:t>
      </w:r>
      <w:r w:rsidR="002D6BC2" w:rsidRPr="00456F57">
        <w:rPr>
          <w:rFonts w:ascii="宋体" w:hAnsi="宋体" w:cs="Arial" w:hint="eastAsia"/>
          <w:sz w:val="24"/>
        </w:rPr>
        <w:t>签章</w:t>
      </w:r>
      <w:r w:rsidRPr="00456F57">
        <w:rPr>
          <w:rFonts w:ascii="宋体" w:hAnsi="宋体" w:hint="eastAsia"/>
          <w:sz w:val="24"/>
        </w:rPr>
        <w:t>，协议当事人双方根据中国证监会的意见修改并正式签署托管协议。托管协议以中国证监会注册的文本为正式文本。</w:t>
      </w:r>
    </w:p>
    <w:p w14:paraId="38B733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672F109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（三）托管协议自生效之日起对托管协议当事人具有同等的法律约束力。</w:t>
      </w:r>
    </w:p>
    <w:p w14:paraId="139CE6B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（四）本协议一式</w:t>
      </w:r>
      <w:r w:rsidRPr="00456F57">
        <w:rPr>
          <w:rFonts w:hint="eastAsia"/>
          <w:sz w:val="24"/>
        </w:rPr>
        <w:t>三</w:t>
      </w:r>
      <w:r w:rsidRPr="00456F57">
        <w:rPr>
          <w:rFonts w:ascii="宋体" w:hAnsi="宋体" w:hint="eastAsia"/>
          <w:sz w:val="24"/>
        </w:rPr>
        <w:t>份，协议双方各持一份，由基金管理人根据需要上报监管机构一份，每份具有同等法律效力。</w:t>
      </w:r>
    </w:p>
    <w:p w14:paraId="054B1315" w14:textId="77777777" w:rsidR="00896C5A" w:rsidRPr="00456F57" w:rsidRDefault="00896C5A">
      <w:pPr>
        <w:adjustRightInd w:val="0"/>
        <w:snapToGrid w:val="0"/>
        <w:spacing w:line="360" w:lineRule="auto"/>
        <w:rPr>
          <w:rFonts w:ascii="宋体" w:hAnsi="宋体"/>
          <w:sz w:val="24"/>
        </w:rPr>
      </w:pPr>
    </w:p>
    <w:p w14:paraId="2C27CCFE"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9" w:name="_Toc348082048"/>
      <w:bookmarkStart w:id="120" w:name="_Toc488938629"/>
      <w:r w:rsidRPr="00456F57">
        <w:rPr>
          <w:rFonts w:ascii="宋体" w:hAnsi="宋体" w:hint="eastAsia"/>
          <w:sz w:val="24"/>
        </w:rPr>
        <w:lastRenderedPageBreak/>
        <w:t>二十、其他事项</w:t>
      </w:r>
      <w:bookmarkEnd w:id="119"/>
      <w:bookmarkEnd w:id="120"/>
    </w:p>
    <w:p w14:paraId="0DF0073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如发生有权司法机关依法冻结基金份额持有人的基金份额时，基金管理人应予以配合，承担司法协助义务。</w:t>
      </w:r>
    </w:p>
    <w:p w14:paraId="4C527644" w14:textId="77777777" w:rsidR="00104401"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除本协议有明确定义外，本协议的用语定义适用基金合同的约定。本协议未尽事宜，当事人依据基金合同、有关法律法规等规定协商办理。</w:t>
      </w:r>
    </w:p>
    <w:p w14:paraId="128FF702" w14:textId="77777777" w:rsidR="004B27A2" w:rsidRPr="00456F57" w:rsidRDefault="004B27A2" w:rsidP="004B27A2">
      <w:pPr>
        <w:adjustRightInd w:val="0"/>
        <w:snapToGrid w:val="0"/>
        <w:spacing w:line="360" w:lineRule="auto"/>
        <w:ind w:firstLineChars="200" w:firstLine="480"/>
        <w:rPr>
          <w:rFonts w:ascii="宋体" w:hAnsi="宋体"/>
          <w:sz w:val="24"/>
        </w:rPr>
      </w:pPr>
      <w:r w:rsidRPr="004B27A2">
        <w:rPr>
          <w:rFonts w:ascii="宋体" w:hAnsi="宋体" w:hint="eastAsia"/>
          <w:sz w:val="24"/>
        </w:rPr>
        <w:t>本协议附件构成本协议不可分割的组成部分。</w:t>
      </w:r>
    </w:p>
    <w:p w14:paraId="3803B535" w14:textId="77777777" w:rsidR="00896C5A" w:rsidRPr="00456F57" w:rsidDel="009610E7" w:rsidRDefault="00896C5A">
      <w:pPr>
        <w:adjustRightInd w:val="0"/>
        <w:snapToGrid w:val="0"/>
        <w:spacing w:line="360" w:lineRule="auto"/>
        <w:rPr>
          <w:rFonts w:ascii="宋体" w:hAnsi="宋体"/>
          <w:sz w:val="24"/>
        </w:rPr>
      </w:pPr>
    </w:p>
    <w:p w14:paraId="014B95EA"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21" w:name="_Toc348082049"/>
      <w:bookmarkStart w:id="122" w:name="_Toc488938630"/>
      <w:r w:rsidRPr="00456F57">
        <w:rPr>
          <w:rFonts w:ascii="宋体" w:hAnsi="宋体" w:hint="eastAsia"/>
          <w:sz w:val="24"/>
        </w:rPr>
        <w:lastRenderedPageBreak/>
        <w:t>二十一、托管协议的签订</w:t>
      </w:r>
      <w:bookmarkEnd w:id="121"/>
      <w:bookmarkEnd w:id="122"/>
    </w:p>
    <w:p w14:paraId="4BC2D573" w14:textId="77777777" w:rsidR="00F92336" w:rsidRDefault="00712663" w:rsidP="00676C5D">
      <w:pPr>
        <w:adjustRightInd w:val="0"/>
        <w:snapToGrid w:val="0"/>
        <w:spacing w:line="360" w:lineRule="auto"/>
        <w:rPr>
          <w:rFonts w:ascii="宋体" w:hAnsi="宋体"/>
          <w:sz w:val="24"/>
        </w:rPr>
      </w:pPr>
      <w:r w:rsidRPr="00456F57">
        <w:rPr>
          <w:rFonts w:ascii="宋体" w:hAnsi="宋体" w:hint="eastAsia"/>
          <w:sz w:val="24"/>
        </w:rPr>
        <w:t>本协议双方法定代表人或授权代表人签章、签订地、签订日</w:t>
      </w:r>
    </w:p>
    <w:p w14:paraId="0C837366" w14:textId="77777777" w:rsidR="00125DA4" w:rsidRDefault="00125DA4" w:rsidP="00676C5D">
      <w:pPr>
        <w:adjustRightInd w:val="0"/>
        <w:snapToGrid w:val="0"/>
        <w:spacing w:line="360" w:lineRule="auto"/>
        <w:rPr>
          <w:rFonts w:ascii="宋体" w:hAnsi="宋体"/>
          <w:sz w:val="24"/>
        </w:rPr>
      </w:pPr>
    </w:p>
    <w:p w14:paraId="29EECE19" w14:textId="77777777" w:rsidR="00125DA4" w:rsidRDefault="00125DA4" w:rsidP="00676C5D">
      <w:pPr>
        <w:adjustRightInd w:val="0"/>
        <w:snapToGrid w:val="0"/>
        <w:spacing w:line="360" w:lineRule="auto"/>
        <w:rPr>
          <w:rFonts w:ascii="宋体" w:hAnsi="宋体"/>
          <w:sz w:val="24"/>
        </w:rPr>
      </w:pPr>
    </w:p>
    <w:p w14:paraId="496557D8" w14:textId="77777777" w:rsidR="00125DA4" w:rsidRDefault="00125DA4" w:rsidP="00676C5D">
      <w:pPr>
        <w:adjustRightInd w:val="0"/>
        <w:snapToGrid w:val="0"/>
        <w:spacing w:line="360" w:lineRule="auto"/>
        <w:rPr>
          <w:rFonts w:ascii="宋体" w:hAnsi="宋体"/>
          <w:sz w:val="24"/>
        </w:rPr>
      </w:pPr>
    </w:p>
    <w:p w14:paraId="4FE7CD3D" w14:textId="77777777" w:rsidR="00125DA4" w:rsidRDefault="00125DA4" w:rsidP="00676C5D">
      <w:pPr>
        <w:adjustRightInd w:val="0"/>
        <w:snapToGrid w:val="0"/>
        <w:spacing w:line="360" w:lineRule="auto"/>
        <w:rPr>
          <w:rFonts w:ascii="宋体" w:hAnsi="宋体"/>
          <w:sz w:val="24"/>
        </w:rPr>
      </w:pPr>
    </w:p>
    <w:p w14:paraId="0AB979DA" w14:textId="77777777" w:rsidR="00125DA4" w:rsidRDefault="00125DA4" w:rsidP="00676C5D">
      <w:pPr>
        <w:adjustRightInd w:val="0"/>
        <w:snapToGrid w:val="0"/>
        <w:spacing w:line="360" w:lineRule="auto"/>
        <w:rPr>
          <w:rFonts w:ascii="宋体" w:hAnsi="宋体"/>
          <w:sz w:val="24"/>
        </w:rPr>
      </w:pPr>
    </w:p>
    <w:p w14:paraId="088447C3" w14:textId="77777777" w:rsidR="00125DA4" w:rsidRDefault="00125DA4" w:rsidP="00676C5D">
      <w:pPr>
        <w:adjustRightInd w:val="0"/>
        <w:snapToGrid w:val="0"/>
        <w:spacing w:line="360" w:lineRule="auto"/>
        <w:rPr>
          <w:rFonts w:ascii="宋体" w:hAnsi="宋体"/>
          <w:sz w:val="24"/>
        </w:rPr>
      </w:pPr>
    </w:p>
    <w:p w14:paraId="55C1B3B8" w14:textId="77777777" w:rsidR="00125DA4" w:rsidRDefault="00125DA4" w:rsidP="00676C5D">
      <w:pPr>
        <w:adjustRightInd w:val="0"/>
        <w:snapToGrid w:val="0"/>
        <w:spacing w:line="360" w:lineRule="auto"/>
        <w:rPr>
          <w:rFonts w:ascii="宋体" w:hAnsi="宋体"/>
          <w:sz w:val="24"/>
        </w:rPr>
      </w:pPr>
    </w:p>
    <w:p w14:paraId="0318764F" w14:textId="77777777" w:rsidR="00125DA4" w:rsidRDefault="00125DA4" w:rsidP="00676C5D">
      <w:pPr>
        <w:adjustRightInd w:val="0"/>
        <w:snapToGrid w:val="0"/>
        <w:spacing w:line="360" w:lineRule="auto"/>
        <w:rPr>
          <w:rFonts w:ascii="宋体" w:hAnsi="宋体"/>
          <w:sz w:val="24"/>
        </w:rPr>
      </w:pPr>
    </w:p>
    <w:p w14:paraId="5C7F6DB8" w14:textId="77777777" w:rsidR="00125DA4" w:rsidRDefault="00125DA4" w:rsidP="00676C5D">
      <w:pPr>
        <w:adjustRightInd w:val="0"/>
        <w:snapToGrid w:val="0"/>
        <w:spacing w:line="360" w:lineRule="auto"/>
        <w:rPr>
          <w:rFonts w:ascii="宋体" w:hAnsi="宋体"/>
          <w:sz w:val="24"/>
        </w:rPr>
      </w:pPr>
    </w:p>
    <w:p w14:paraId="1FA10E74" w14:textId="77777777" w:rsidR="00125DA4" w:rsidRDefault="00125DA4" w:rsidP="00676C5D">
      <w:pPr>
        <w:adjustRightInd w:val="0"/>
        <w:snapToGrid w:val="0"/>
        <w:spacing w:line="360" w:lineRule="auto"/>
        <w:rPr>
          <w:rFonts w:ascii="宋体" w:hAnsi="宋体"/>
          <w:sz w:val="24"/>
        </w:rPr>
      </w:pPr>
    </w:p>
    <w:p w14:paraId="00B4441F" w14:textId="77777777" w:rsidR="00125DA4" w:rsidRDefault="00125DA4" w:rsidP="00676C5D">
      <w:pPr>
        <w:adjustRightInd w:val="0"/>
        <w:snapToGrid w:val="0"/>
        <w:spacing w:line="360" w:lineRule="auto"/>
        <w:rPr>
          <w:rFonts w:ascii="宋体" w:hAnsi="宋体"/>
          <w:sz w:val="24"/>
        </w:rPr>
      </w:pPr>
    </w:p>
    <w:p w14:paraId="1EA613C8" w14:textId="77777777" w:rsidR="00125DA4" w:rsidRDefault="00125DA4" w:rsidP="00676C5D">
      <w:pPr>
        <w:adjustRightInd w:val="0"/>
        <w:snapToGrid w:val="0"/>
        <w:spacing w:line="360" w:lineRule="auto"/>
        <w:rPr>
          <w:rFonts w:ascii="宋体" w:hAnsi="宋体"/>
          <w:sz w:val="24"/>
        </w:rPr>
      </w:pPr>
    </w:p>
    <w:p w14:paraId="6451B42D" w14:textId="77777777" w:rsidR="00125DA4" w:rsidRDefault="00125DA4" w:rsidP="00676C5D">
      <w:pPr>
        <w:adjustRightInd w:val="0"/>
        <w:snapToGrid w:val="0"/>
        <w:spacing w:line="360" w:lineRule="auto"/>
        <w:rPr>
          <w:rFonts w:ascii="宋体" w:hAnsi="宋体"/>
          <w:sz w:val="24"/>
        </w:rPr>
      </w:pPr>
    </w:p>
    <w:p w14:paraId="2D7A037E" w14:textId="77777777" w:rsidR="00125DA4" w:rsidRDefault="00125DA4" w:rsidP="00676C5D">
      <w:pPr>
        <w:adjustRightInd w:val="0"/>
        <w:snapToGrid w:val="0"/>
        <w:spacing w:line="360" w:lineRule="auto"/>
        <w:rPr>
          <w:rFonts w:ascii="宋体" w:hAnsi="宋体"/>
          <w:sz w:val="24"/>
        </w:rPr>
      </w:pPr>
    </w:p>
    <w:p w14:paraId="3CE4D28A" w14:textId="77777777" w:rsidR="00125DA4" w:rsidRDefault="00125DA4" w:rsidP="00676C5D">
      <w:pPr>
        <w:adjustRightInd w:val="0"/>
        <w:snapToGrid w:val="0"/>
        <w:spacing w:line="360" w:lineRule="auto"/>
        <w:rPr>
          <w:rFonts w:ascii="宋体" w:hAnsi="宋体"/>
          <w:sz w:val="24"/>
        </w:rPr>
      </w:pPr>
    </w:p>
    <w:p w14:paraId="316DC2D6" w14:textId="77777777" w:rsidR="00125DA4" w:rsidRDefault="00125DA4" w:rsidP="00676C5D">
      <w:pPr>
        <w:adjustRightInd w:val="0"/>
        <w:snapToGrid w:val="0"/>
        <w:spacing w:line="360" w:lineRule="auto"/>
        <w:rPr>
          <w:rFonts w:ascii="宋体" w:hAnsi="宋体"/>
          <w:sz w:val="24"/>
        </w:rPr>
      </w:pPr>
    </w:p>
    <w:p w14:paraId="5AD86940" w14:textId="77777777" w:rsidR="00125DA4" w:rsidRDefault="00125DA4" w:rsidP="00676C5D">
      <w:pPr>
        <w:adjustRightInd w:val="0"/>
        <w:snapToGrid w:val="0"/>
        <w:spacing w:line="360" w:lineRule="auto"/>
        <w:rPr>
          <w:rFonts w:ascii="宋体" w:hAnsi="宋体"/>
          <w:sz w:val="24"/>
        </w:rPr>
      </w:pPr>
    </w:p>
    <w:p w14:paraId="3B4AB077" w14:textId="77777777" w:rsidR="00125DA4" w:rsidRDefault="00125DA4" w:rsidP="00676C5D">
      <w:pPr>
        <w:adjustRightInd w:val="0"/>
        <w:snapToGrid w:val="0"/>
        <w:spacing w:line="360" w:lineRule="auto"/>
        <w:rPr>
          <w:rFonts w:ascii="宋体" w:hAnsi="宋体"/>
          <w:sz w:val="24"/>
        </w:rPr>
      </w:pPr>
    </w:p>
    <w:p w14:paraId="3B609481" w14:textId="77777777" w:rsidR="00125DA4" w:rsidRDefault="00125DA4" w:rsidP="00676C5D">
      <w:pPr>
        <w:adjustRightInd w:val="0"/>
        <w:snapToGrid w:val="0"/>
        <w:spacing w:line="360" w:lineRule="auto"/>
        <w:rPr>
          <w:rFonts w:ascii="宋体" w:hAnsi="宋体"/>
          <w:sz w:val="24"/>
        </w:rPr>
      </w:pPr>
    </w:p>
    <w:p w14:paraId="032DF973" w14:textId="77777777" w:rsidR="00125DA4" w:rsidRDefault="00125DA4" w:rsidP="00676C5D">
      <w:pPr>
        <w:adjustRightInd w:val="0"/>
        <w:snapToGrid w:val="0"/>
        <w:spacing w:line="360" w:lineRule="auto"/>
        <w:rPr>
          <w:rFonts w:ascii="宋体" w:hAnsi="宋体"/>
          <w:sz w:val="24"/>
        </w:rPr>
      </w:pPr>
    </w:p>
    <w:p w14:paraId="15C7696D" w14:textId="77777777" w:rsidR="00125DA4" w:rsidRDefault="00125DA4" w:rsidP="00676C5D">
      <w:pPr>
        <w:adjustRightInd w:val="0"/>
        <w:snapToGrid w:val="0"/>
        <w:spacing w:line="360" w:lineRule="auto"/>
        <w:rPr>
          <w:rFonts w:ascii="宋体" w:hAnsi="宋体"/>
          <w:sz w:val="24"/>
        </w:rPr>
      </w:pPr>
    </w:p>
    <w:p w14:paraId="1E243A5E" w14:textId="77777777" w:rsidR="00125DA4" w:rsidRDefault="00125DA4" w:rsidP="00676C5D">
      <w:pPr>
        <w:adjustRightInd w:val="0"/>
        <w:snapToGrid w:val="0"/>
        <w:spacing w:line="360" w:lineRule="auto"/>
        <w:rPr>
          <w:rFonts w:ascii="宋体" w:hAnsi="宋体"/>
          <w:sz w:val="24"/>
        </w:rPr>
      </w:pPr>
    </w:p>
    <w:p w14:paraId="6EDFE25D" w14:textId="77777777" w:rsidR="00125DA4" w:rsidRDefault="00125DA4" w:rsidP="00676C5D">
      <w:pPr>
        <w:adjustRightInd w:val="0"/>
        <w:snapToGrid w:val="0"/>
        <w:spacing w:line="360" w:lineRule="auto"/>
        <w:rPr>
          <w:rFonts w:ascii="宋体" w:hAnsi="宋体"/>
          <w:sz w:val="24"/>
        </w:rPr>
      </w:pPr>
    </w:p>
    <w:p w14:paraId="1DFC0F29" w14:textId="77777777" w:rsidR="00125DA4" w:rsidRDefault="00125DA4" w:rsidP="00676C5D">
      <w:pPr>
        <w:adjustRightInd w:val="0"/>
        <w:snapToGrid w:val="0"/>
        <w:spacing w:line="360" w:lineRule="auto"/>
        <w:rPr>
          <w:rFonts w:ascii="宋体" w:hAnsi="宋体"/>
          <w:sz w:val="24"/>
        </w:rPr>
      </w:pPr>
    </w:p>
    <w:p w14:paraId="69DE57A8" w14:textId="77777777" w:rsidR="00125DA4" w:rsidRDefault="00125DA4" w:rsidP="00676C5D">
      <w:pPr>
        <w:adjustRightInd w:val="0"/>
        <w:snapToGrid w:val="0"/>
        <w:spacing w:line="360" w:lineRule="auto"/>
        <w:rPr>
          <w:rFonts w:ascii="宋体" w:hAnsi="宋体"/>
          <w:sz w:val="24"/>
        </w:rPr>
      </w:pPr>
    </w:p>
    <w:p w14:paraId="11D5B7FA" w14:textId="77777777" w:rsidR="00125DA4" w:rsidRDefault="00125DA4" w:rsidP="00676C5D">
      <w:pPr>
        <w:adjustRightInd w:val="0"/>
        <w:snapToGrid w:val="0"/>
        <w:spacing w:line="360" w:lineRule="auto"/>
        <w:rPr>
          <w:rFonts w:ascii="宋体" w:hAnsi="宋体"/>
          <w:sz w:val="24"/>
        </w:rPr>
      </w:pPr>
    </w:p>
    <w:p w14:paraId="4EFFB388" w14:textId="77777777" w:rsidR="00125DA4" w:rsidRDefault="00125DA4" w:rsidP="00676C5D">
      <w:pPr>
        <w:adjustRightInd w:val="0"/>
        <w:snapToGrid w:val="0"/>
        <w:spacing w:line="360" w:lineRule="auto"/>
        <w:rPr>
          <w:rFonts w:ascii="宋体" w:hAnsi="宋体"/>
          <w:sz w:val="24"/>
        </w:rPr>
      </w:pPr>
    </w:p>
    <w:p w14:paraId="42974DB6" w14:textId="77777777" w:rsidR="0038018C" w:rsidRPr="00CC30EC" w:rsidRDefault="0038018C" w:rsidP="00CC30EC">
      <w:pPr>
        <w:pStyle w:val="2"/>
        <w:spacing w:beforeLines="100" w:before="312" w:afterLines="50" w:after="156" w:line="360" w:lineRule="auto"/>
        <w:jc w:val="center"/>
        <w:rPr>
          <w:rFonts w:ascii="宋体" w:hAnsi="宋体"/>
          <w:sz w:val="24"/>
        </w:rPr>
      </w:pPr>
      <w:bookmarkStart w:id="123" w:name="_Toc488938631"/>
      <w:r w:rsidRPr="00CC30EC">
        <w:rPr>
          <w:rFonts w:ascii="宋体" w:hAnsi="宋体" w:hint="eastAsia"/>
          <w:sz w:val="24"/>
        </w:rPr>
        <w:lastRenderedPageBreak/>
        <w:t>附件：托管银行证券资金结算规定</w:t>
      </w:r>
      <w:bookmarkEnd w:id="123"/>
    </w:p>
    <w:p w14:paraId="418D08C6" w14:textId="77777777" w:rsidR="0038018C" w:rsidRPr="00900BD8" w:rsidRDefault="0038018C" w:rsidP="0038018C">
      <w:pPr>
        <w:ind w:firstLineChars="202" w:firstLine="424"/>
        <w:rPr>
          <w:szCs w:val="21"/>
        </w:rPr>
      </w:pPr>
    </w:p>
    <w:p w14:paraId="5A965C9C"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556BADDA"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EF97497"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62FA8A03"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408D8808"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10A866D0"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277CED1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7EA14A2C"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0CA7759F"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0F57FD27"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3D9770F9"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75D5D5F2"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277DAEC9"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1BA710E4"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733FB352"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6DCF4F57"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4523B4DE"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05DE70A9"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4194A5DD"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7EABD809"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218BDFC9"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E14E815"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53181ABC"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5EC68579"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00FB515F"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446D57E4"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31D1B061"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5468436B"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w:t>
      </w:r>
      <w:r w:rsidRPr="00900BD8">
        <w:rPr>
          <w:rFonts w:hint="eastAsia"/>
          <w:szCs w:val="21"/>
        </w:rPr>
        <w:lastRenderedPageBreak/>
        <w:t>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3EEF32F8"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7983186D"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354D009D"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661D59FB"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0F11CEF3"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393CEECF"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1A24D51"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7A7D1F9F"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2D331910"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1C554FDC"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0FE5649F"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6E51D5F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548B4DE2" w14:textId="77777777" w:rsidR="0038018C" w:rsidRPr="00900BD8"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7F37C46B" w14:textId="77777777" w:rsidR="00AE14EF" w:rsidRDefault="0038018C">
      <w:pPr>
        <w:widowControl/>
        <w:jc w:val="left"/>
        <w:rPr>
          <w:rFonts w:ascii="宋体"/>
          <w:szCs w:val="21"/>
        </w:rPr>
      </w:pPr>
      <w:r>
        <w:rPr>
          <w:rFonts w:ascii="宋体"/>
          <w:szCs w:val="21"/>
        </w:rPr>
        <w:br w:type="page"/>
      </w:r>
    </w:p>
    <w:p w14:paraId="19773D9A" w14:textId="77777777" w:rsidR="0038018C" w:rsidRDefault="0038018C">
      <w:pPr>
        <w:widowControl/>
        <w:jc w:val="left"/>
        <w:rPr>
          <w:rFonts w:ascii="宋体"/>
          <w:szCs w:val="21"/>
        </w:rPr>
      </w:pPr>
    </w:p>
    <w:p w14:paraId="0E82F2D2" w14:textId="0A14FF38" w:rsidR="00125DA4" w:rsidRPr="00D9157C" w:rsidRDefault="00125DA4" w:rsidP="00125DA4">
      <w:pPr>
        <w:rPr>
          <w:rFonts w:ascii="宋体"/>
          <w:szCs w:val="21"/>
        </w:rPr>
      </w:pPr>
      <w:r w:rsidRPr="00D9157C">
        <w:rPr>
          <w:rFonts w:ascii="宋体" w:hint="eastAsia"/>
          <w:szCs w:val="21"/>
        </w:rPr>
        <w:t>（本页为《</w:t>
      </w:r>
      <w:r w:rsidRPr="00125DA4">
        <w:rPr>
          <w:rFonts w:ascii="宋体" w:hint="eastAsia"/>
          <w:b/>
          <w:szCs w:val="21"/>
        </w:rPr>
        <w:t>交银施罗德</w:t>
      </w:r>
      <w:r w:rsidR="00264C0E">
        <w:rPr>
          <w:rFonts w:ascii="宋体" w:hint="eastAsia"/>
          <w:b/>
          <w:szCs w:val="21"/>
        </w:rPr>
        <w:t>丰晟</w:t>
      </w:r>
      <w:r w:rsidRPr="00125DA4">
        <w:rPr>
          <w:rFonts w:ascii="宋体" w:hint="eastAsia"/>
          <w:b/>
          <w:szCs w:val="21"/>
        </w:rPr>
        <w:t>收益债券型证券投资基金托管协议</w:t>
      </w:r>
      <w:r w:rsidRPr="00D9157C">
        <w:rPr>
          <w:rFonts w:ascii="宋体" w:hint="eastAsia"/>
          <w:szCs w:val="21"/>
        </w:rPr>
        <w:t>》签署页，无正文）</w:t>
      </w:r>
    </w:p>
    <w:p w14:paraId="50AA2CC4"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2B844A2C" w14:textId="77777777" w:rsidR="00125DA4" w:rsidRPr="00D9157C" w:rsidRDefault="00125DA4" w:rsidP="00125DA4">
      <w:pPr>
        <w:widowControl/>
        <w:spacing w:before="100" w:beforeAutospacing="1" w:after="100" w:afterAutospacing="1" w:line="360" w:lineRule="auto"/>
        <w:jc w:val="left"/>
        <w:rPr>
          <w:rFonts w:ascii="宋体" w:hAnsi="宋体"/>
          <w:color w:val="000000"/>
          <w:szCs w:val="21"/>
        </w:rPr>
      </w:pPr>
    </w:p>
    <w:p w14:paraId="0D1E5434"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5F90F6A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75435F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4A847B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6D4D7CE"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E67D1E1"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FEB68A0"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5198B5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003011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p>
    <w:p w14:paraId="3E4E8915"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65EDB27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6AE5204D"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3152155"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ACA15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5B6F40D"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66BD8850" w14:textId="77777777" w:rsidR="00125DA4" w:rsidRDefault="00125DA4" w:rsidP="00676C5D">
      <w:pPr>
        <w:adjustRightInd w:val="0"/>
        <w:snapToGrid w:val="0"/>
        <w:spacing w:line="360" w:lineRule="auto"/>
        <w:rPr>
          <w:rFonts w:ascii="宋体" w:hAnsi="宋体"/>
          <w:sz w:val="24"/>
        </w:rPr>
      </w:pPr>
    </w:p>
    <w:sectPr w:rsidR="00125DA4" w:rsidSect="00896C5A">
      <w:type w:val="continuous"/>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59AB9" w14:textId="77777777" w:rsidR="00002E42" w:rsidRDefault="00002E42" w:rsidP="00896C5A">
      <w:r>
        <w:separator/>
      </w:r>
    </w:p>
  </w:endnote>
  <w:endnote w:type="continuationSeparator" w:id="0">
    <w:p w14:paraId="37CDC78C" w14:textId="77777777" w:rsidR="00002E42" w:rsidRDefault="00002E42" w:rsidP="008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2DB92" w14:textId="31EC6551" w:rsidR="00E008E1" w:rsidRDefault="00E008E1">
    <w:pPr>
      <w:pStyle w:val="ab"/>
      <w:jc w:val="center"/>
    </w:pPr>
    <w:r>
      <w:fldChar w:fldCharType="begin"/>
    </w:r>
    <w:r>
      <w:instrText xml:space="preserve"> PAGE   \* MERGEFORMAT </w:instrText>
    </w:r>
    <w:r>
      <w:fldChar w:fldCharType="separate"/>
    </w:r>
    <w:r w:rsidR="00455EFA" w:rsidRPr="00455EFA">
      <w:rPr>
        <w:noProof/>
        <w:lang w:val="zh-CN"/>
      </w:rPr>
      <w:t>5</w:t>
    </w:r>
    <w:r>
      <w:rPr>
        <w:noProof/>
        <w:lang w:val="zh-CN"/>
      </w:rPr>
      <w:fldChar w:fldCharType="end"/>
    </w:r>
  </w:p>
  <w:p w14:paraId="0FAE361A" w14:textId="77777777" w:rsidR="00E008E1" w:rsidRDefault="00E008E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FD12F" w14:textId="77777777" w:rsidR="00002E42" w:rsidRDefault="00002E42" w:rsidP="00896C5A">
      <w:r>
        <w:separator/>
      </w:r>
    </w:p>
  </w:footnote>
  <w:footnote w:type="continuationSeparator" w:id="0">
    <w:p w14:paraId="4453C352" w14:textId="77777777" w:rsidR="00002E42" w:rsidRDefault="00002E42" w:rsidP="0089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0ECA" w14:textId="3E2D0567" w:rsidR="00E008E1" w:rsidRDefault="00E008E1">
    <w:pPr>
      <w:pStyle w:val="ad"/>
      <w:jc w:val="both"/>
    </w:pPr>
    <w:r>
      <w:rPr>
        <w:noProof/>
      </w:rPr>
      <w:drawing>
        <wp:anchor distT="0" distB="0" distL="114300" distR="114300" simplePos="0" relativeHeight="251663360" behindDoc="0" locked="0" layoutInCell="1" allowOverlap="1" wp14:anchorId="580CBF77" wp14:editId="7C1A0CF9">
          <wp:simplePos x="0" y="0"/>
          <wp:positionH relativeFrom="column">
            <wp:posOffset>5080</wp:posOffset>
          </wp:positionH>
          <wp:positionV relativeFrom="paragraph">
            <wp:posOffset>-125730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t xml:space="preserve">     </w:t>
    </w:r>
    <w:r>
      <w:rPr>
        <w:rFonts w:hint="eastAsia"/>
      </w:rPr>
      <w:t xml:space="preserve"> </w:t>
    </w:r>
    <w:r>
      <w:t xml:space="preserve"> </w:t>
    </w:r>
    <w:r>
      <w:rPr>
        <w:rFonts w:ascii="宋体" w:hAnsi="宋体" w:hint="eastAsia"/>
      </w:rPr>
      <w:t>交银施罗德丰晟收益债券型证券投资基金托管协议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2E42"/>
    <w:rsid w:val="00003DDD"/>
    <w:rsid w:val="00004215"/>
    <w:rsid w:val="00006CDE"/>
    <w:rsid w:val="00007C2F"/>
    <w:rsid w:val="00010125"/>
    <w:rsid w:val="0001044F"/>
    <w:rsid w:val="0001438D"/>
    <w:rsid w:val="00014D21"/>
    <w:rsid w:val="00016A01"/>
    <w:rsid w:val="00017201"/>
    <w:rsid w:val="00022D6C"/>
    <w:rsid w:val="00023EE9"/>
    <w:rsid w:val="00024205"/>
    <w:rsid w:val="0002789C"/>
    <w:rsid w:val="00027D10"/>
    <w:rsid w:val="00030006"/>
    <w:rsid w:val="00031A4E"/>
    <w:rsid w:val="00031D78"/>
    <w:rsid w:val="00031D96"/>
    <w:rsid w:val="000328CB"/>
    <w:rsid w:val="000328E8"/>
    <w:rsid w:val="0003594D"/>
    <w:rsid w:val="00041C79"/>
    <w:rsid w:val="00041EA9"/>
    <w:rsid w:val="00042898"/>
    <w:rsid w:val="000435CD"/>
    <w:rsid w:val="000441B2"/>
    <w:rsid w:val="00045017"/>
    <w:rsid w:val="00045472"/>
    <w:rsid w:val="00045690"/>
    <w:rsid w:val="000467E9"/>
    <w:rsid w:val="00046DB8"/>
    <w:rsid w:val="00047948"/>
    <w:rsid w:val="00047B70"/>
    <w:rsid w:val="00047EDD"/>
    <w:rsid w:val="000507F7"/>
    <w:rsid w:val="00052827"/>
    <w:rsid w:val="00052BEE"/>
    <w:rsid w:val="00052D58"/>
    <w:rsid w:val="00053108"/>
    <w:rsid w:val="000609AF"/>
    <w:rsid w:val="00064E77"/>
    <w:rsid w:val="00066315"/>
    <w:rsid w:val="0006703B"/>
    <w:rsid w:val="0006718A"/>
    <w:rsid w:val="000671F1"/>
    <w:rsid w:val="00071723"/>
    <w:rsid w:val="00072176"/>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7073"/>
    <w:rsid w:val="00097973"/>
    <w:rsid w:val="000A1593"/>
    <w:rsid w:val="000A1777"/>
    <w:rsid w:val="000A20C8"/>
    <w:rsid w:val="000A5645"/>
    <w:rsid w:val="000A6170"/>
    <w:rsid w:val="000B26CD"/>
    <w:rsid w:val="000B3268"/>
    <w:rsid w:val="000B6AA8"/>
    <w:rsid w:val="000B6EE4"/>
    <w:rsid w:val="000C035A"/>
    <w:rsid w:val="000C100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6573"/>
    <w:rsid w:val="000E6FDC"/>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5DA4"/>
    <w:rsid w:val="00126670"/>
    <w:rsid w:val="00130A39"/>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3191"/>
    <w:rsid w:val="00153CD2"/>
    <w:rsid w:val="0015471A"/>
    <w:rsid w:val="0015665A"/>
    <w:rsid w:val="00156A3F"/>
    <w:rsid w:val="00160684"/>
    <w:rsid w:val="00160700"/>
    <w:rsid w:val="00161DD2"/>
    <w:rsid w:val="001639A4"/>
    <w:rsid w:val="00170A79"/>
    <w:rsid w:val="00171737"/>
    <w:rsid w:val="00172530"/>
    <w:rsid w:val="0017370E"/>
    <w:rsid w:val="00173DC8"/>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61E4"/>
    <w:rsid w:val="00197C29"/>
    <w:rsid w:val="001A27BB"/>
    <w:rsid w:val="001A31BA"/>
    <w:rsid w:val="001A4014"/>
    <w:rsid w:val="001A4100"/>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95B"/>
    <w:rsid w:val="001D7444"/>
    <w:rsid w:val="001D747C"/>
    <w:rsid w:val="001E5F15"/>
    <w:rsid w:val="001F0F63"/>
    <w:rsid w:val="001F2D81"/>
    <w:rsid w:val="001F31FB"/>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24BCC"/>
    <w:rsid w:val="002306C9"/>
    <w:rsid w:val="00231B62"/>
    <w:rsid w:val="002330CA"/>
    <w:rsid w:val="002332D3"/>
    <w:rsid w:val="00237AD7"/>
    <w:rsid w:val="0024032B"/>
    <w:rsid w:val="00242261"/>
    <w:rsid w:val="00242944"/>
    <w:rsid w:val="00242E69"/>
    <w:rsid w:val="00246B69"/>
    <w:rsid w:val="00247986"/>
    <w:rsid w:val="00247FC1"/>
    <w:rsid w:val="0026065F"/>
    <w:rsid w:val="002631C1"/>
    <w:rsid w:val="00264C0E"/>
    <w:rsid w:val="00265D0E"/>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A0B4E"/>
    <w:rsid w:val="002A2BDE"/>
    <w:rsid w:val="002A790E"/>
    <w:rsid w:val="002A7E73"/>
    <w:rsid w:val="002B11CF"/>
    <w:rsid w:val="002B19DD"/>
    <w:rsid w:val="002B2AD4"/>
    <w:rsid w:val="002B7266"/>
    <w:rsid w:val="002B7527"/>
    <w:rsid w:val="002C06EA"/>
    <w:rsid w:val="002C0B5A"/>
    <w:rsid w:val="002C225E"/>
    <w:rsid w:val="002C2B27"/>
    <w:rsid w:val="002C6520"/>
    <w:rsid w:val="002C6D7B"/>
    <w:rsid w:val="002C6DF2"/>
    <w:rsid w:val="002C7C3C"/>
    <w:rsid w:val="002D155A"/>
    <w:rsid w:val="002D1D4F"/>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2AA7"/>
    <w:rsid w:val="0037431E"/>
    <w:rsid w:val="00375D08"/>
    <w:rsid w:val="00377AE1"/>
    <w:rsid w:val="0038018C"/>
    <w:rsid w:val="00380369"/>
    <w:rsid w:val="00383076"/>
    <w:rsid w:val="00390C24"/>
    <w:rsid w:val="003940F0"/>
    <w:rsid w:val="003945E5"/>
    <w:rsid w:val="0039535D"/>
    <w:rsid w:val="0039673F"/>
    <w:rsid w:val="003979A1"/>
    <w:rsid w:val="003A1410"/>
    <w:rsid w:val="003A30E5"/>
    <w:rsid w:val="003A4F07"/>
    <w:rsid w:val="003A54AA"/>
    <w:rsid w:val="003A6024"/>
    <w:rsid w:val="003A6B7B"/>
    <w:rsid w:val="003A6DEE"/>
    <w:rsid w:val="003A726C"/>
    <w:rsid w:val="003B4ECF"/>
    <w:rsid w:val="003B5DEA"/>
    <w:rsid w:val="003C0916"/>
    <w:rsid w:val="003C104A"/>
    <w:rsid w:val="003C1181"/>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40CE"/>
    <w:rsid w:val="003E43F4"/>
    <w:rsid w:val="003E46C5"/>
    <w:rsid w:val="003E7379"/>
    <w:rsid w:val="003F1846"/>
    <w:rsid w:val="003F784C"/>
    <w:rsid w:val="004008A7"/>
    <w:rsid w:val="00401C64"/>
    <w:rsid w:val="004038C3"/>
    <w:rsid w:val="00405405"/>
    <w:rsid w:val="004054AD"/>
    <w:rsid w:val="0040782C"/>
    <w:rsid w:val="00407946"/>
    <w:rsid w:val="00411088"/>
    <w:rsid w:val="00412D2C"/>
    <w:rsid w:val="00413681"/>
    <w:rsid w:val="004142E4"/>
    <w:rsid w:val="00422E33"/>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EF8"/>
    <w:rsid w:val="00450FE9"/>
    <w:rsid w:val="004535FF"/>
    <w:rsid w:val="00455EFA"/>
    <w:rsid w:val="00456C08"/>
    <w:rsid w:val="00456F57"/>
    <w:rsid w:val="004611DE"/>
    <w:rsid w:val="00461247"/>
    <w:rsid w:val="00461F61"/>
    <w:rsid w:val="00464303"/>
    <w:rsid w:val="00464454"/>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2BCA"/>
    <w:rsid w:val="00493296"/>
    <w:rsid w:val="00493DC8"/>
    <w:rsid w:val="00494817"/>
    <w:rsid w:val="00494B62"/>
    <w:rsid w:val="00497C6B"/>
    <w:rsid w:val="004A4931"/>
    <w:rsid w:val="004A77A8"/>
    <w:rsid w:val="004B024C"/>
    <w:rsid w:val="004B0ED0"/>
    <w:rsid w:val="004B144E"/>
    <w:rsid w:val="004B27A2"/>
    <w:rsid w:val="004B2B89"/>
    <w:rsid w:val="004B2C2F"/>
    <w:rsid w:val="004B31DB"/>
    <w:rsid w:val="004B6573"/>
    <w:rsid w:val="004B7BBC"/>
    <w:rsid w:val="004B7C6E"/>
    <w:rsid w:val="004C007C"/>
    <w:rsid w:val="004C1766"/>
    <w:rsid w:val="004C2330"/>
    <w:rsid w:val="004C707D"/>
    <w:rsid w:val="004D0342"/>
    <w:rsid w:val="004D2553"/>
    <w:rsid w:val="004D2A62"/>
    <w:rsid w:val="004D2E26"/>
    <w:rsid w:val="004D2FCF"/>
    <w:rsid w:val="004D5ACC"/>
    <w:rsid w:val="004E0F7D"/>
    <w:rsid w:val="004E1291"/>
    <w:rsid w:val="004E14CC"/>
    <w:rsid w:val="004E2130"/>
    <w:rsid w:val="004E7184"/>
    <w:rsid w:val="004F0A7A"/>
    <w:rsid w:val="004F34C9"/>
    <w:rsid w:val="004F42C1"/>
    <w:rsid w:val="004F6344"/>
    <w:rsid w:val="005017A2"/>
    <w:rsid w:val="005019AC"/>
    <w:rsid w:val="00503D3F"/>
    <w:rsid w:val="00504AC5"/>
    <w:rsid w:val="00505AC7"/>
    <w:rsid w:val="00506941"/>
    <w:rsid w:val="00511C6C"/>
    <w:rsid w:val="00513B3E"/>
    <w:rsid w:val="005143A9"/>
    <w:rsid w:val="00515D94"/>
    <w:rsid w:val="00520F5E"/>
    <w:rsid w:val="00521B52"/>
    <w:rsid w:val="0052319D"/>
    <w:rsid w:val="00524830"/>
    <w:rsid w:val="005248B6"/>
    <w:rsid w:val="00526015"/>
    <w:rsid w:val="00527783"/>
    <w:rsid w:val="00527B02"/>
    <w:rsid w:val="00537E9D"/>
    <w:rsid w:val="00540BE9"/>
    <w:rsid w:val="005451F9"/>
    <w:rsid w:val="005456CF"/>
    <w:rsid w:val="005502D9"/>
    <w:rsid w:val="00550F23"/>
    <w:rsid w:val="00556EE6"/>
    <w:rsid w:val="00557B43"/>
    <w:rsid w:val="005630A4"/>
    <w:rsid w:val="00564D50"/>
    <w:rsid w:val="005660EE"/>
    <w:rsid w:val="0056678C"/>
    <w:rsid w:val="00566BC7"/>
    <w:rsid w:val="00567FC5"/>
    <w:rsid w:val="00570851"/>
    <w:rsid w:val="00571B4A"/>
    <w:rsid w:val="00580351"/>
    <w:rsid w:val="00580A4E"/>
    <w:rsid w:val="005822B8"/>
    <w:rsid w:val="00582659"/>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240C"/>
    <w:rsid w:val="005B3C50"/>
    <w:rsid w:val="005B4925"/>
    <w:rsid w:val="005B6483"/>
    <w:rsid w:val="005B66FD"/>
    <w:rsid w:val="005B685B"/>
    <w:rsid w:val="005B6A9D"/>
    <w:rsid w:val="005B6E41"/>
    <w:rsid w:val="005B78AB"/>
    <w:rsid w:val="005C0810"/>
    <w:rsid w:val="005C2546"/>
    <w:rsid w:val="005C4FF8"/>
    <w:rsid w:val="005C6AF7"/>
    <w:rsid w:val="005C7F22"/>
    <w:rsid w:val="005D2E49"/>
    <w:rsid w:val="005D31D4"/>
    <w:rsid w:val="005D3BFB"/>
    <w:rsid w:val="005D500B"/>
    <w:rsid w:val="005D58AE"/>
    <w:rsid w:val="005D6727"/>
    <w:rsid w:val="005D7F1C"/>
    <w:rsid w:val="005E2933"/>
    <w:rsid w:val="005E6DD6"/>
    <w:rsid w:val="005E6E86"/>
    <w:rsid w:val="005F0A71"/>
    <w:rsid w:val="005F0EBB"/>
    <w:rsid w:val="005F20E0"/>
    <w:rsid w:val="005F288F"/>
    <w:rsid w:val="005F2B6C"/>
    <w:rsid w:val="005F2BCB"/>
    <w:rsid w:val="005F3385"/>
    <w:rsid w:val="005F3898"/>
    <w:rsid w:val="005F3B5B"/>
    <w:rsid w:val="005F3CC2"/>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36D06"/>
    <w:rsid w:val="00640F20"/>
    <w:rsid w:val="00644B26"/>
    <w:rsid w:val="006475D5"/>
    <w:rsid w:val="006520C3"/>
    <w:rsid w:val="00652128"/>
    <w:rsid w:val="00652650"/>
    <w:rsid w:val="00652DBF"/>
    <w:rsid w:val="006578DB"/>
    <w:rsid w:val="00660A76"/>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A2CB1"/>
    <w:rsid w:val="006A4448"/>
    <w:rsid w:val="006B2ACD"/>
    <w:rsid w:val="006B42CE"/>
    <w:rsid w:val="006B61D0"/>
    <w:rsid w:val="006B6A5C"/>
    <w:rsid w:val="006B7B59"/>
    <w:rsid w:val="006C7BF9"/>
    <w:rsid w:val="006C7C04"/>
    <w:rsid w:val="006D1B6A"/>
    <w:rsid w:val="006D2279"/>
    <w:rsid w:val="006D3F83"/>
    <w:rsid w:val="006D5FE6"/>
    <w:rsid w:val="006D62EB"/>
    <w:rsid w:val="006E2B18"/>
    <w:rsid w:val="006E463B"/>
    <w:rsid w:val="006E4F81"/>
    <w:rsid w:val="006E56FE"/>
    <w:rsid w:val="006E5ECE"/>
    <w:rsid w:val="006E7E3E"/>
    <w:rsid w:val="006F0146"/>
    <w:rsid w:val="006F0560"/>
    <w:rsid w:val="006F1996"/>
    <w:rsid w:val="006F2C40"/>
    <w:rsid w:val="006F6BDA"/>
    <w:rsid w:val="006F7C8E"/>
    <w:rsid w:val="007011A9"/>
    <w:rsid w:val="00701585"/>
    <w:rsid w:val="007027FA"/>
    <w:rsid w:val="007030BF"/>
    <w:rsid w:val="00703FD5"/>
    <w:rsid w:val="0070609D"/>
    <w:rsid w:val="00707180"/>
    <w:rsid w:val="007124F5"/>
    <w:rsid w:val="00712663"/>
    <w:rsid w:val="007171DE"/>
    <w:rsid w:val="00717934"/>
    <w:rsid w:val="00722A46"/>
    <w:rsid w:val="007244D7"/>
    <w:rsid w:val="00727284"/>
    <w:rsid w:val="00731589"/>
    <w:rsid w:val="007328E1"/>
    <w:rsid w:val="00732CE8"/>
    <w:rsid w:val="00734A9B"/>
    <w:rsid w:val="00735EE5"/>
    <w:rsid w:val="0074108A"/>
    <w:rsid w:val="007414EC"/>
    <w:rsid w:val="0074155D"/>
    <w:rsid w:val="00741591"/>
    <w:rsid w:val="00746CAE"/>
    <w:rsid w:val="00752925"/>
    <w:rsid w:val="00755BD7"/>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A06"/>
    <w:rsid w:val="00786005"/>
    <w:rsid w:val="007861DB"/>
    <w:rsid w:val="0078628A"/>
    <w:rsid w:val="00787792"/>
    <w:rsid w:val="00787899"/>
    <w:rsid w:val="007907B7"/>
    <w:rsid w:val="00790B95"/>
    <w:rsid w:val="00790DAC"/>
    <w:rsid w:val="007911F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B0E25"/>
    <w:rsid w:val="007B26CA"/>
    <w:rsid w:val="007B2DFC"/>
    <w:rsid w:val="007B2EB0"/>
    <w:rsid w:val="007B4881"/>
    <w:rsid w:val="007B519E"/>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20A94"/>
    <w:rsid w:val="0082124A"/>
    <w:rsid w:val="00822FD6"/>
    <w:rsid w:val="008232D2"/>
    <w:rsid w:val="0082507C"/>
    <w:rsid w:val="008268A7"/>
    <w:rsid w:val="00826953"/>
    <w:rsid w:val="00826A78"/>
    <w:rsid w:val="008274A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ACE"/>
    <w:rsid w:val="00880D4D"/>
    <w:rsid w:val="00884A40"/>
    <w:rsid w:val="0088517F"/>
    <w:rsid w:val="0088608E"/>
    <w:rsid w:val="00895C7C"/>
    <w:rsid w:val="00896C5A"/>
    <w:rsid w:val="00896D71"/>
    <w:rsid w:val="008A0D1F"/>
    <w:rsid w:val="008A0EC8"/>
    <w:rsid w:val="008A2276"/>
    <w:rsid w:val="008A2DBE"/>
    <w:rsid w:val="008A381C"/>
    <w:rsid w:val="008A475E"/>
    <w:rsid w:val="008A4AF8"/>
    <w:rsid w:val="008A583E"/>
    <w:rsid w:val="008A5B6B"/>
    <w:rsid w:val="008A6F2E"/>
    <w:rsid w:val="008A70DB"/>
    <w:rsid w:val="008A7E71"/>
    <w:rsid w:val="008B007A"/>
    <w:rsid w:val="008B35A5"/>
    <w:rsid w:val="008B3600"/>
    <w:rsid w:val="008B4216"/>
    <w:rsid w:val="008C0FCB"/>
    <w:rsid w:val="008C115C"/>
    <w:rsid w:val="008D1B5E"/>
    <w:rsid w:val="008D2326"/>
    <w:rsid w:val="008D251D"/>
    <w:rsid w:val="008D3DBB"/>
    <w:rsid w:val="008D6E17"/>
    <w:rsid w:val="008E1EC1"/>
    <w:rsid w:val="008E6C96"/>
    <w:rsid w:val="008F2631"/>
    <w:rsid w:val="008F2B93"/>
    <w:rsid w:val="008F6378"/>
    <w:rsid w:val="008F7B61"/>
    <w:rsid w:val="00900BD8"/>
    <w:rsid w:val="00901401"/>
    <w:rsid w:val="00901436"/>
    <w:rsid w:val="00903789"/>
    <w:rsid w:val="009045B4"/>
    <w:rsid w:val="009058D2"/>
    <w:rsid w:val="00907862"/>
    <w:rsid w:val="0090792E"/>
    <w:rsid w:val="00910249"/>
    <w:rsid w:val="00912F9F"/>
    <w:rsid w:val="00913B61"/>
    <w:rsid w:val="00915748"/>
    <w:rsid w:val="00917561"/>
    <w:rsid w:val="0092043E"/>
    <w:rsid w:val="009207A4"/>
    <w:rsid w:val="00921C43"/>
    <w:rsid w:val="00921CA5"/>
    <w:rsid w:val="00921F94"/>
    <w:rsid w:val="00923A95"/>
    <w:rsid w:val="00925601"/>
    <w:rsid w:val="009256B1"/>
    <w:rsid w:val="00925C97"/>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C7F"/>
    <w:rsid w:val="009A7A38"/>
    <w:rsid w:val="009B2078"/>
    <w:rsid w:val="009B26B2"/>
    <w:rsid w:val="009B28CB"/>
    <w:rsid w:val="009B302B"/>
    <w:rsid w:val="009B3884"/>
    <w:rsid w:val="009B41D2"/>
    <w:rsid w:val="009B4212"/>
    <w:rsid w:val="009B57E0"/>
    <w:rsid w:val="009B60DF"/>
    <w:rsid w:val="009C08FE"/>
    <w:rsid w:val="009C340D"/>
    <w:rsid w:val="009C3F7E"/>
    <w:rsid w:val="009C4AAE"/>
    <w:rsid w:val="009C4DE8"/>
    <w:rsid w:val="009C5BB6"/>
    <w:rsid w:val="009C6D89"/>
    <w:rsid w:val="009D394C"/>
    <w:rsid w:val="009D78E5"/>
    <w:rsid w:val="009E2853"/>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4270"/>
    <w:rsid w:val="00A0429B"/>
    <w:rsid w:val="00A0506D"/>
    <w:rsid w:val="00A063D0"/>
    <w:rsid w:val="00A101E3"/>
    <w:rsid w:val="00A10943"/>
    <w:rsid w:val="00A10ED9"/>
    <w:rsid w:val="00A13F97"/>
    <w:rsid w:val="00A15F89"/>
    <w:rsid w:val="00A16593"/>
    <w:rsid w:val="00A21CE1"/>
    <w:rsid w:val="00A22BCB"/>
    <w:rsid w:val="00A24175"/>
    <w:rsid w:val="00A246A9"/>
    <w:rsid w:val="00A26AB3"/>
    <w:rsid w:val="00A27125"/>
    <w:rsid w:val="00A27BEE"/>
    <w:rsid w:val="00A32231"/>
    <w:rsid w:val="00A352A1"/>
    <w:rsid w:val="00A36248"/>
    <w:rsid w:val="00A40295"/>
    <w:rsid w:val="00A41504"/>
    <w:rsid w:val="00A41860"/>
    <w:rsid w:val="00A419E5"/>
    <w:rsid w:val="00A459B1"/>
    <w:rsid w:val="00A47A6A"/>
    <w:rsid w:val="00A50139"/>
    <w:rsid w:val="00A5644B"/>
    <w:rsid w:val="00A6202F"/>
    <w:rsid w:val="00A620DD"/>
    <w:rsid w:val="00A62F39"/>
    <w:rsid w:val="00A64AA0"/>
    <w:rsid w:val="00A64BBA"/>
    <w:rsid w:val="00A664A1"/>
    <w:rsid w:val="00A7031D"/>
    <w:rsid w:val="00A703E9"/>
    <w:rsid w:val="00A711DA"/>
    <w:rsid w:val="00A723EA"/>
    <w:rsid w:val="00A73353"/>
    <w:rsid w:val="00A81138"/>
    <w:rsid w:val="00A83D75"/>
    <w:rsid w:val="00A84AB9"/>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D14"/>
    <w:rsid w:val="00AB65AE"/>
    <w:rsid w:val="00AC54D8"/>
    <w:rsid w:val="00AC7BE3"/>
    <w:rsid w:val="00AD065B"/>
    <w:rsid w:val="00AD397F"/>
    <w:rsid w:val="00AD57B5"/>
    <w:rsid w:val="00AD70A7"/>
    <w:rsid w:val="00AE00E1"/>
    <w:rsid w:val="00AE14EF"/>
    <w:rsid w:val="00AE2549"/>
    <w:rsid w:val="00AE27C3"/>
    <w:rsid w:val="00AE2D7D"/>
    <w:rsid w:val="00AE39C8"/>
    <w:rsid w:val="00AE4C6E"/>
    <w:rsid w:val="00AE5425"/>
    <w:rsid w:val="00AE7F08"/>
    <w:rsid w:val="00AF2353"/>
    <w:rsid w:val="00AF29BA"/>
    <w:rsid w:val="00AF29CE"/>
    <w:rsid w:val="00AF2D52"/>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5336D"/>
    <w:rsid w:val="00B544D6"/>
    <w:rsid w:val="00B56907"/>
    <w:rsid w:val="00B60BD7"/>
    <w:rsid w:val="00B61804"/>
    <w:rsid w:val="00B6306F"/>
    <w:rsid w:val="00B7051B"/>
    <w:rsid w:val="00B71C1F"/>
    <w:rsid w:val="00B7337A"/>
    <w:rsid w:val="00B74B7A"/>
    <w:rsid w:val="00B75087"/>
    <w:rsid w:val="00B76A3B"/>
    <w:rsid w:val="00B80807"/>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25AD"/>
    <w:rsid w:val="00BA6A0F"/>
    <w:rsid w:val="00BB0623"/>
    <w:rsid w:val="00BB204F"/>
    <w:rsid w:val="00BB7F82"/>
    <w:rsid w:val="00BC005C"/>
    <w:rsid w:val="00BC1462"/>
    <w:rsid w:val="00BC163C"/>
    <w:rsid w:val="00BC2AB2"/>
    <w:rsid w:val="00BC4F68"/>
    <w:rsid w:val="00BC66EB"/>
    <w:rsid w:val="00BC751E"/>
    <w:rsid w:val="00BD0295"/>
    <w:rsid w:val="00BD0BFF"/>
    <w:rsid w:val="00BD27C8"/>
    <w:rsid w:val="00BD2D7E"/>
    <w:rsid w:val="00BD310C"/>
    <w:rsid w:val="00BD3407"/>
    <w:rsid w:val="00BD3A23"/>
    <w:rsid w:val="00BD4FD3"/>
    <w:rsid w:val="00BE1F96"/>
    <w:rsid w:val="00BE1FE7"/>
    <w:rsid w:val="00BE32ED"/>
    <w:rsid w:val="00BE3691"/>
    <w:rsid w:val="00BE4978"/>
    <w:rsid w:val="00BE4A3A"/>
    <w:rsid w:val="00BE6E72"/>
    <w:rsid w:val="00BF24DC"/>
    <w:rsid w:val="00BF2C5A"/>
    <w:rsid w:val="00BF41DA"/>
    <w:rsid w:val="00BF4FB5"/>
    <w:rsid w:val="00BF5A45"/>
    <w:rsid w:val="00BF5C40"/>
    <w:rsid w:val="00BF6E03"/>
    <w:rsid w:val="00C00AA3"/>
    <w:rsid w:val="00C01E9C"/>
    <w:rsid w:val="00C0227B"/>
    <w:rsid w:val="00C024D8"/>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4059"/>
    <w:rsid w:val="00C861CA"/>
    <w:rsid w:val="00C86E10"/>
    <w:rsid w:val="00C928F5"/>
    <w:rsid w:val="00C92F34"/>
    <w:rsid w:val="00C937F0"/>
    <w:rsid w:val="00C939EE"/>
    <w:rsid w:val="00C94905"/>
    <w:rsid w:val="00CA13E6"/>
    <w:rsid w:val="00CA2396"/>
    <w:rsid w:val="00CA2560"/>
    <w:rsid w:val="00CA65F8"/>
    <w:rsid w:val="00CA6D82"/>
    <w:rsid w:val="00CB174C"/>
    <w:rsid w:val="00CB1D7B"/>
    <w:rsid w:val="00CB2D8D"/>
    <w:rsid w:val="00CB40E0"/>
    <w:rsid w:val="00CB5002"/>
    <w:rsid w:val="00CB5BC9"/>
    <w:rsid w:val="00CB6149"/>
    <w:rsid w:val="00CB647B"/>
    <w:rsid w:val="00CC01C2"/>
    <w:rsid w:val="00CC13D2"/>
    <w:rsid w:val="00CC2A6E"/>
    <w:rsid w:val="00CC30EC"/>
    <w:rsid w:val="00CC4287"/>
    <w:rsid w:val="00CC4451"/>
    <w:rsid w:val="00CC7F18"/>
    <w:rsid w:val="00CD012C"/>
    <w:rsid w:val="00CD15F0"/>
    <w:rsid w:val="00CD4109"/>
    <w:rsid w:val="00CD5FFC"/>
    <w:rsid w:val="00CE276D"/>
    <w:rsid w:val="00CE323B"/>
    <w:rsid w:val="00CE606A"/>
    <w:rsid w:val="00CE6D88"/>
    <w:rsid w:val="00CE7CC4"/>
    <w:rsid w:val="00CF070D"/>
    <w:rsid w:val="00CF2FDE"/>
    <w:rsid w:val="00CF5676"/>
    <w:rsid w:val="00CF6DD7"/>
    <w:rsid w:val="00CF71EE"/>
    <w:rsid w:val="00CF7C44"/>
    <w:rsid w:val="00D02099"/>
    <w:rsid w:val="00D076A4"/>
    <w:rsid w:val="00D10B32"/>
    <w:rsid w:val="00D121DA"/>
    <w:rsid w:val="00D1282F"/>
    <w:rsid w:val="00D13508"/>
    <w:rsid w:val="00D13AC5"/>
    <w:rsid w:val="00D16D15"/>
    <w:rsid w:val="00D204A6"/>
    <w:rsid w:val="00D20847"/>
    <w:rsid w:val="00D20F45"/>
    <w:rsid w:val="00D219DF"/>
    <w:rsid w:val="00D21EC3"/>
    <w:rsid w:val="00D2395F"/>
    <w:rsid w:val="00D24A96"/>
    <w:rsid w:val="00D25D20"/>
    <w:rsid w:val="00D2621F"/>
    <w:rsid w:val="00D27602"/>
    <w:rsid w:val="00D31995"/>
    <w:rsid w:val="00D35023"/>
    <w:rsid w:val="00D35600"/>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640E"/>
    <w:rsid w:val="00D766FD"/>
    <w:rsid w:val="00D76F14"/>
    <w:rsid w:val="00D81BE8"/>
    <w:rsid w:val="00D82E9F"/>
    <w:rsid w:val="00D8566A"/>
    <w:rsid w:val="00D871F7"/>
    <w:rsid w:val="00D879AD"/>
    <w:rsid w:val="00D94926"/>
    <w:rsid w:val="00D94A1E"/>
    <w:rsid w:val="00D954A3"/>
    <w:rsid w:val="00D95676"/>
    <w:rsid w:val="00D95D7D"/>
    <w:rsid w:val="00D95DCA"/>
    <w:rsid w:val="00D95EFC"/>
    <w:rsid w:val="00DA31C9"/>
    <w:rsid w:val="00DA3242"/>
    <w:rsid w:val="00DA4514"/>
    <w:rsid w:val="00DA4D85"/>
    <w:rsid w:val="00DA5F3F"/>
    <w:rsid w:val="00DA614E"/>
    <w:rsid w:val="00DB3BE4"/>
    <w:rsid w:val="00DB4A78"/>
    <w:rsid w:val="00DB4AE5"/>
    <w:rsid w:val="00DB5BB7"/>
    <w:rsid w:val="00DB7853"/>
    <w:rsid w:val="00DC0097"/>
    <w:rsid w:val="00DC0C3C"/>
    <w:rsid w:val="00DC18DD"/>
    <w:rsid w:val="00DC3796"/>
    <w:rsid w:val="00DC6EC1"/>
    <w:rsid w:val="00DC7E74"/>
    <w:rsid w:val="00DD0660"/>
    <w:rsid w:val="00DD1A6D"/>
    <w:rsid w:val="00DD363B"/>
    <w:rsid w:val="00DD3AC3"/>
    <w:rsid w:val="00DD568D"/>
    <w:rsid w:val="00DD5B89"/>
    <w:rsid w:val="00DE08B6"/>
    <w:rsid w:val="00DE40EA"/>
    <w:rsid w:val="00DE4F7C"/>
    <w:rsid w:val="00DE7719"/>
    <w:rsid w:val="00DE7E91"/>
    <w:rsid w:val="00DF2AB8"/>
    <w:rsid w:val="00DF34B5"/>
    <w:rsid w:val="00DF3717"/>
    <w:rsid w:val="00DF4957"/>
    <w:rsid w:val="00E008E1"/>
    <w:rsid w:val="00E01A48"/>
    <w:rsid w:val="00E059BE"/>
    <w:rsid w:val="00E05D3F"/>
    <w:rsid w:val="00E062AD"/>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354"/>
    <w:rsid w:val="00E43A57"/>
    <w:rsid w:val="00E4548E"/>
    <w:rsid w:val="00E47B7D"/>
    <w:rsid w:val="00E51C8F"/>
    <w:rsid w:val="00E578ED"/>
    <w:rsid w:val="00E60BC8"/>
    <w:rsid w:val="00E61E70"/>
    <w:rsid w:val="00E64E60"/>
    <w:rsid w:val="00E65123"/>
    <w:rsid w:val="00E678B6"/>
    <w:rsid w:val="00E75929"/>
    <w:rsid w:val="00E77AEC"/>
    <w:rsid w:val="00E77DD3"/>
    <w:rsid w:val="00E80CAD"/>
    <w:rsid w:val="00E83907"/>
    <w:rsid w:val="00E86C77"/>
    <w:rsid w:val="00E870E0"/>
    <w:rsid w:val="00E8764F"/>
    <w:rsid w:val="00E90D07"/>
    <w:rsid w:val="00E93B78"/>
    <w:rsid w:val="00E9435F"/>
    <w:rsid w:val="00E954BF"/>
    <w:rsid w:val="00E957BA"/>
    <w:rsid w:val="00E9606B"/>
    <w:rsid w:val="00E96121"/>
    <w:rsid w:val="00E96960"/>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A70"/>
    <w:rsid w:val="00EB5DC2"/>
    <w:rsid w:val="00EC0F17"/>
    <w:rsid w:val="00EC1519"/>
    <w:rsid w:val="00EC38EC"/>
    <w:rsid w:val="00EC3A70"/>
    <w:rsid w:val="00EC41BB"/>
    <w:rsid w:val="00EC4787"/>
    <w:rsid w:val="00EC61E9"/>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2577"/>
    <w:rsid w:val="00EF272F"/>
    <w:rsid w:val="00EF303D"/>
    <w:rsid w:val="00EF3E4E"/>
    <w:rsid w:val="00EF475E"/>
    <w:rsid w:val="00F06A78"/>
    <w:rsid w:val="00F1286B"/>
    <w:rsid w:val="00F13963"/>
    <w:rsid w:val="00F13999"/>
    <w:rsid w:val="00F13BAB"/>
    <w:rsid w:val="00F1403C"/>
    <w:rsid w:val="00F15A80"/>
    <w:rsid w:val="00F17916"/>
    <w:rsid w:val="00F22C9F"/>
    <w:rsid w:val="00F25338"/>
    <w:rsid w:val="00F2568A"/>
    <w:rsid w:val="00F263AE"/>
    <w:rsid w:val="00F27352"/>
    <w:rsid w:val="00F27F44"/>
    <w:rsid w:val="00F30148"/>
    <w:rsid w:val="00F32EB2"/>
    <w:rsid w:val="00F33824"/>
    <w:rsid w:val="00F34C94"/>
    <w:rsid w:val="00F35823"/>
    <w:rsid w:val="00F415E7"/>
    <w:rsid w:val="00F440CF"/>
    <w:rsid w:val="00F44562"/>
    <w:rsid w:val="00F45DA5"/>
    <w:rsid w:val="00F4628E"/>
    <w:rsid w:val="00F464B4"/>
    <w:rsid w:val="00F47E8C"/>
    <w:rsid w:val="00F50E48"/>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8D9"/>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5EC16"/>
  <w15:docId w15:val="{47BD6E77-35E3-48AA-9AE6-C9B98F12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96C5A"/>
    <w:pPr>
      <w:ind w:firstLineChars="200" w:firstLine="420"/>
    </w:pPr>
  </w:style>
  <w:style w:type="paragraph" w:styleId="a4">
    <w:name w:val="annotation subject"/>
    <w:basedOn w:val="a5"/>
    <w:next w:val="a5"/>
    <w:semiHidden/>
    <w:qFormat/>
    <w:rsid w:val="00896C5A"/>
    <w:rPr>
      <w:b/>
      <w:bCs/>
    </w:rPr>
  </w:style>
  <w:style w:type="paragraph" w:styleId="a5">
    <w:name w:val="annotation text"/>
    <w:basedOn w:val="a"/>
    <w:link w:val="a6"/>
    <w:qFormat/>
    <w:rsid w:val="00896C5A"/>
    <w:pPr>
      <w:jc w:val="left"/>
    </w:pPr>
  </w:style>
  <w:style w:type="paragraph" w:styleId="7">
    <w:name w:val="toc 7"/>
    <w:basedOn w:val="a"/>
    <w:next w:val="a"/>
    <w:semiHidden/>
    <w:rsid w:val="00896C5A"/>
    <w:pPr>
      <w:ind w:leftChars="1200" w:left="2520"/>
    </w:pPr>
  </w:style>
  <w:style w:type="paragraph" w:styleId="a7">
    <w:name w:val="Document Map"/>
    <w:basedOn w:val="a"/>
    <w:semiHidden/>
    <w:qFormat/>
    <w:rsid w:val="00896C5A"/>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896C5A"/>
    <w:pPr>
      <w:ind w:leftChars="800" w:left="1680"/>
    </w:pPr>
  </w:style>
  <w:style w:type="paragraph" w:styleId="3">
    <w:name w:val="toc 3"/>
    <w:basedOn w:val="a"/>
    <w:next w:val="a"/>
    <w:semiHidden/>
    <w:rsid w:val="00896C5A"/>
    <w:pPr>
      <w:ind w:leftChars="400" w:left="840"/>
    </w:pPr>
  </w:style>
  <w:style w:type="paragraph" w:styleId="8">
    <w:name w:val="toc 8"/>
    <w:basedOn w:val="a"/>
    <w:next w:val="a"/>
    <w:semiHidden/>
    <w:rsid w:val="00896C5A"/>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896C5A"/>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896C5A"/>
  </w:style>
  <w:style w:type="paragraph" w:styleId="4">
    <w:name w:val="toc 4"/>
    <w:basedOn w:val="a"/>
    <w:next w:val="a"/>
    <w:semiHidden/>
    <w:qFormat/>
    <w:rsid w:val="00896C5A"/>
    <w:pPr>
      <w:ind w:leftChars="600" w:left="1260"/>
    </w:pPr>
  </w:style>
  <w:style w:type="paragraph" w:styleId="6">
    <w:name w:val="toc 6"/>
    <w:basedOn w:val="a"/>
    <w:next w:val="a"/>
    <w:semiHidden/>
    <w:rsid w:val="00896C5A"/>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896C5A"/>
    <w:pPr>
      <w:ind w:leftChars="200" w:left="420"/>
    </w:pPr>
  </w:style>
  <w:style w:type="paragraph" w:styleId="9">
    <w:name w:val="toc 9"/>
    <w:basedOn w:val="a"/>
    <w:next w:val="a"/>
    <w:semiHidden/>
    <w:rsid w:val="00896C5A"/>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qFormat/>
    <w:rsid w:val="00896C5A"/>
    <w:rPr>
      <w:b/>
      <w:bCs/>
    </w:rPr>
  </w:style>
  <w:style w:type="character" w:styleId="af3">
    <w:name w:val="page number"/>
    <w:basedOn w:val="a1"/>
    <w:qFormat/>
    <w:rsid w:val="00896C5A"/>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qFormat/>
    <w:rsid w:val="00896C5A"/>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896C5A"/>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rFonts w:eastAsia="宋体"/>
      <w:kern w:val="2"/>
      <w:sz w:val="21"/>
      <w:szCs w:val="24"/>
      <w:lang w:val="en-US" w:eastAsia="zh-CN" w:bidi="ar-SA"/>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3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2.jpe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E001E-29EB-42D8-9A82-03722E7F66C2}">
  <ds:schemaRefs>
    <ds:schemaRef ds:uri="http://schemas.openxmlformats.org/officeDocument/2006/bibliography"/>
  </ds:schemaRefs>
</ds:datastoreItem>
</file>

<file path=customXml/itemProps1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1.xml><?xml version="1.0" encoding="utf-8"?>
<ds:datastoreItem xmlns:ds="http://schemas.openxmlformats.org/officeDocument/2006/customXml" ds:itemID="{936618CE-6F95-4392-9093-B3A1CF1CCA3A}">
  <ds:schemaRefs>
    <ds:schemaRef ds:uri="http://schemas.openxmlformats.org/officeDocument/2006/bibliography"/>
  </ds:schemaRefs>
</ds:datastoreItem>
</file>

<file path=customXml/itemProps12.xml><?xml version="1.0" encoding="utf-8"?>
<ds:datastoreItem xmlns:ds="http://schemas.openxmlformats.org/officeDocument/2006/customXml" ds:itemID="{3B2876DD-9D9C-4F0A-AB2A-EDB2F979B76F}">
  <ds:schemaRefs>
    <ds:schemaRef ds:uri="http://schemas.openxmlformats.org/officeDocument/2006/bibliography"/>
  </ds:schemaRefs>
</ds:datastoreItem>
</file>

<file path=customXml/itemProps13.xml><?xml version="1.0" encoding="utf-8"?>
<ds:datastoreItem xmlns:ds="http://schemas.openxmlformats.org/officeDocument/2006/customXml" ds:itemID="{A45B0DCD-3508-407C-A326-F11FAF1C1151}">
  <ds:schemaRefs>
    <ds:schemaRef ds:uri="http://schemas.openxmlformats.org/officeDocument/2006/bibliography"/>
  </ds:schemaRefs>
</ds:datastoreItem>
</file>

<file path=customXml/itemProps14.xml><?xml version="1.0" encoding="utf-8"?>
<ds:datastoreItem xmlns:ds="http://schemas.openxmlformats.org/officeDocument/2006/customXml" ds:itemID="{1C88B85A-9E21-420B-A862-3856FD586E6E}">
  <ds:schemaRefs>
    <ds:schemaRef ds:uri="http://schemas.openxmlformats.org/officeDocument/2006/bibliography"/>
  </ds:schemaRefs>
</ds:datastoreItem>
</file>

<file path=customXml/itemProps15.xml><?xml version="1.0" encoding="utf-8"?>
<ds:datastoreItem xmlns:ds="http://schemas.openxmlformats.org/officeDocument/2006/customXml" ds:itemID="{9B45FCFE-67D5-45A4-8402-BAA4936AF58B}">
  <ds:schemaRefs>
    <ds:schemaRef ds:uri="http://schemas.openxmlformats.org/officeDocument/2006/bibliography"/>
  </ds:schemaRefs>
</ds:datastoreItem>
</file>

<file path=customXml/itemProps16.xml><?xml version="1.0" encoding="utf-8"?>
<ds:datastoreItem xmlns:ds="http://schemas.openxmlformats.org/officeDocument/2006/customXml" ds:itemID="{B3C7FEB3-E91E-42BD-8035-2F326FEEC1D7}">
  <ds:schemaRefs>
    <ds:schemaRef ds:uri="http://schemas.openxmlformats.org/officeDocument/2006/bibliography"/>
  </ds:schemaRefs>
</ds:datastoreItem>
</file>

<file path=customXml/itemProps17.xml><?xml version="1.0" encoding="utf-8"?>
<ds:datastoreItem xmlns:ds="http://schemas.openxmlformats.org/officeDocument/2006/customXml" ds:itemID="{F659D5EE-F66E-4075-B6D1-3E45993ED6DB}">
  <ds:schemaRefs>
    <ds:schemaRef ds:uri="http://schemas.openxmlformats.org/officeDocument/2006/bibliography"/>
  </ds:schemaRefs>
</ds:datastoreItem>
</file>

<file path=customXml/itemProps18.xml><?xml version="1.0" encoding="utf-8"?>
<ds:datastoreItem xmlns:ds="http://schemas.openxmlformats.org/officeDocument/2006/customXml" ds:itemID="{DFE9C614-B335-4CD0-8F33-671791B89E15}">
  <ds:schemaRefs>
    <ds:schemaRef ds:uri="http://schemas.openxmlformats.org/officeDocument/2006/bibliography"/>
  </ds:schemaRefs>
</ds:datastoreItem>
</file>

<file path=customXml/itemProps19.xml><?xml version="1.0" encoding="utf-8"?>
<ds:datastoreItem xmlns:ds="http://schemas.openxmlformats.org/officeDocument/2006/customXml" ds:itemID="{2504E1AC-E718-4CED-A562-DE4261A0D26F}">
  <ds:schemaRefs>
    <ds:schemaRef ds:uri="http://schemas.openxmlformats.org/officeDocument/2006/bibliography"/>
  </ds:schemaRefs>
</ds:datastoreItem>
</file>

<file path=customXml/itemProps2.xml><?xml version="1.0" encoding="utf-8"?>
<ds:datastoreItem xmlns:ds="http://schemas.openxmlformats.org/officeDocument/2006/customXml" ds:itemID="{129303D5-74D0-4468-BC04-1F306044A2BD}">
  <ds:schemaRefs>
    <ds:schemaRef ds:uri="http://schemas.openxmlformats.org/officeDocument/2006/bibliography"/>
  </ds:schemaRefs>
</ds:datastoreItem>
</file>

<file path=customXml/itemProps20.xml><?xml version="1.0" encoding="utf-8"?>
<ds:datastoreItem xmlns:ds="http://schemas.openxmlformats.org/officeDocument/2006/customXml" ds:itemID="{24D05C22-3472-4E44-A199-183ED535A365}">
  <ds:schemaRefs>
    <ds:schemaRef ds:uri="http://schemas.openxmlformats.org/officeDocument/2006/bibliography"/>
  </ds:schemaRefs>
</ds:datastoreItem>
</file>

<file path=customXml/itemProps21.xml><?xml version="1.0" encoding="utf-8"?>
<ds:datastoreItem xmlns:ds="http://schemas.openxmlformats.org/officeDocument/2006/customXml" ds:itemID="{FB4C4D0B-78C3-467E-AB22-84A545249A1F}">
  <ds:schemaRefs>
    <ds:schemaRef ds:uri="http://schemas.openxmlformats.org/officeDocument/2006/bibliography"/>
  </ds:schemaRefs>
</ds:datastoreItem>
</file>

<file path=customXml/itemProps22.xml><?xml version="1.0" encoding="utf-8"?>
<ds:datastoreItem xmlns:ds="http://schemas.openxmlformats.org/officeDocument/2006/customXml" ds:itemID="{74FB093C-D0EA-4572-BCE8-207BEC9E8CD5}">
  <ds:schemaRefs>
    <ds:schemaRef ds:uri="http://schemas.openxmlformats.org/officeDocument/2006/bibliography"/>
  </ds:schemaRefs>
</ds:datastoreItem>
</file>

<file path=customXml/itemProps23.xml><?xml version="1.0" encoding="utf-8"?>
<ds:datastoreItem xmlns:ds="http://schemas.openxmlformats.org/officeDocument/2006/customXml" ds:itemID="{CC855758-96EB-4C19-8323-CFA335E4985E}">
  <ds:schemaRefs>
    <ds:schemaRef ds:uri="http://schemas.openxmlformats.org/officeDocument/2006/bibliography"/>
  </ds:schemaRefs>
</ds:datastoreItem>
</file>

<file path=customXml/itemProps24.xml><?xml version="1.0" encoding="utf-8"?>
<ds:datastoreItem xmlns:ds="http://schemas.openxmlformats.org/officeDocument/2006/customXml" ds:itemID="{3985A8DB-DB4F-42E7-AD50-24F7276FFE6E}">
  <ds:schemaRefs>
    <ds:schemaRef ds:uri="http://schemas.openxmlformats.org/officeDocument/2006/bibliography"/>
  </ds:schemaRefs>
</ds:datastoreItem>
</file>

<file path=customXml/itemProps25.xml><?xml version="1.0" encoding="utf-8"?>
<ds:datastoreItem xmlns:ds="http://schemas.openxmlformats.org/officeDocument/2006/customXml" ds:itemID="{57FE3A3B-3797-4C04-8CBF-40A75404B6A2}">
  <ds:schemaRefs>
    <ds:schemaRef ds:uri="http://schemas.openxmlformats.org/officeDocument/2006/bibliography"/>
  </ds:schemaRefs>
</ds:datastoreItem>
</file>

<file path=customXml/itemProps3.xml><?xml version="1.0" encoding="utf-8"?>
<ds:datastoreItem xmlns:ds="http://schemas.openxmlformats.org/officeDocument/2006/customXml" ds:itemID="{DC93C8FF-4B8A-4913-AA87-62B3176EAD82}">
  <ds:schemaRefs>
    <ds:schemaRef ds:uri="http://schemas.openxmlformats.org/officeDocument/2006/bibliography"/>
  </ds:schemaRefs>
</ds:datastoreItem>
</file>

<file path=customXml/itemProps4.xml><?xml version="1.0" encoding="utf-8"?>
<ds:datastoreItem xmlns:ds="http://schemas.openxmlformats.org/officeDocument/2006/customXml" ds:itemID="{C38DA64B-9EAB-4C80-A769-7C932FD319E2}">
  <ds:schemaRefs>
    <ds:schemaRef ds:uri="http://schemas.openxmlformats.org/officeDocument/2006/bibliography"/>
  </ds:schemaRefs>
</ds:datastoreItem>
</file>

<file path=customXml/itemProps5.xml><?xml version="1.0" encoding="utf-8"?>
<ds:datastoreItem xmlns:ds="http://schemas.openxmlformats.org/officeDocument/2006/customXml" ds:itemID="{143ACAE4-022F-434A-8711-F236EFEDD316}">
  <ds:schemaRefs>
    <ds:schemaRef ds:uri="http://schemas.openxmlformats.org/officeDocument/2006/bibliography"/>
  </ds:schemaRefs>
</ds:datastoreItem>
</file>

<file path=customXml/itemProps6.xml><?xml version="1.0" encoding="utf-8"?>
<ds:datastoreItem xmlns:ds="http://schemas.openxmlformats.org/officeDocument/2006/customXml" ds:itemID="{7463CEEB-CBA2-4973-9DE5-24B25F378905}">
  <ds:schemaRefs>
    <ds:schemaRef ds:uri="http://schemas.openxmlformats.org/officeDocument/2006/bibliography"/>
  </ds:schemaRefs>
</ds:datastoreItem>
</file>

<file path=customXml/itemProps7.xml><?xml version="1.0" encoding="utf-8"?>
<ds:datastoreItem xmlns:ds="http://schemas.openxmlformats.org/officeDocument/2006/customXml" ds:itemID="{BBFEA04C-89EB-4DBE-851C-C033823DA396}">
  <ds:schemaRefs>
    <ds:schemaRef ds:uri="http://schemas.openxmlformats.org/officeDocument/2006/bibliography"/>
  </ds:schemaRefs>
</ds:datastoreItem>
</file>

<file path=customXml/itemProps8.xml><?xml version="1.0" encoding="utf-8"?>
<ds:datastoreItem xmlns:ds="http://schemas.openxmlformats.org/officeDocument/2006/customXml" ds:itemID="{42BBB0E9-98C5-4001-ABF4-FCE79883CB62}">
  <ds:schemaRefs>
    <ds:schemaRef ds:uri="http://schemas.openxmlformats.org/officeDocument/2006/bibliography"/>
  </ds:schemaRefs>
</ds:datastoreItem>
</file>

<file path=customXml/itemProps9.xml><?xml version="1.0" encoding="utf-8"?>
<ds:datastoreItem xmlns:ds="http://schemas.openxmlformats.org/officeDocument/2006/customXml" ds:itemID="{F15B7389-03AC-4118-8A62-410C1352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4332</Words>
  <Characters>24697</Characters>
  <Application>Microsoft Office Word</Application>
  <DocSecurity>0</DocSecurity>
  <Lines>205</Lines>
  <Paragraphs>57</Paragraphs>
  <ScaleCrop>false</ScaleCrop>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张婕茹</cp:lastModifiedBy>
  <cp:revision>19</cp:revision>
  <cp:lastPrinted>2017-07-27T09:07:00Z</cp:lastPrinted>
  <dcterms:created xsi:type="dcterms:W3CDTF">2019-09-14T07:33:00Z</dcterms:created>
  <dcterms:modified xsi:type="dcterms:W3CDTF">2024-12-10T09:07:00Z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2a924497f9bb4884b6cf772784cbf668</vt:lpwstr>
  </property>
  <property fmtid="{D5CDD505-2E9C-101B-9397-08002B2CF9AE}" pid="4" name="verificationId">
    <vt:lpwstr>8968cb70ce135fb3</vt:lpwstr>
  </property>
</Properties>
</file>