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3C47" w14:textId="77777777" w:rsidR="00E10ADF" w:rsidRPr="00EB07BC" w:rsidRDefault="00E10ADF">
      <w:pPr>
        <w:rPr>
          <w:sz w:val="32"/>
        </w:rPr>
      </w:pPr>
    </w:p>
    <w:p w14:paraId="1AFD3182" w14:textId="77777777" w:rsidR="00E10ADF" w:rsidRPr="00EB07BC" w:rsidRDefault="00E10ADF">
      <w:pPr>
        <w:rPr>
          <w:sz w:val="32"/>
        </w:rPr>
      </w:pPr>
    </w:p>
    <w:p w14:paraId="7E61072A" w14:textId="77777777" w:rsidR="00E10ADF" w:rsidRPr="00EB07BC" w:rsidRDefault="00E10ADF">
      <w:pPr>
        <w:rPr>
          <w:sz w:val="32"/>
        </w:rPr>
      </w:pPr>
    </w:p>
    <w:p w14:paraId="6B5CC646" w14:textId="4FA348E0" w:rsidR="00E10ADF" w:rsidRPr="00EB07BC" w:rsidRDefault="004610D8">
      <w:pPr>
        <w:jc w:val="center"/>
        <w:rPr>
          <w:sz w:val="32"/>
        </w:rPr>
      </w:pPr>
      <w:r>
        <w:rPr>
          <w:noProof/>
        </w:rPr>
        <w:drawing>
          <wp:inline distT="0" distB="0" distL="0" distR="0" wp14:anchorId="696104C8" wp14:editId="055CAE9C">
            <wp:extent cx="4343400" cy="571500"/>
            <wp:effectExtent l="0" t="0" r="0" b="0"/>
            <wp:docPr id="6"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612F5A8C" w14:textId="77777777" w:rsidR="00877B87" w:rsidRDefault="00877B87">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70B19515" w14:textId="77777777" w:rsidR="00877B87" w:rsidRDefault="00877B87">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67B139DE" w14:textId="77777777" w:rsidR="00877B87" w:rsidRDefault="008116FB">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交银施罗德创业板</w:t>
      </w:r>
      <w:r>
        <w:rPr>
          <w:rFonts w:ascii="Times New Roman" w:hAnsi="Times New Roman"/>
          <w:b/>
          <w:spacing w:val="2"/>
          <w:w w:val="99"/>
          <w:kern w:val="0"/>
          <w:position w:val="-4"/>
          <w:sz w:val="44"/>
          <w:szCs w:val="44"/>
        </w:rPr>
        <w:t>50</w:t>
      </w:r>
      <w:r>
        <w:rPr>
          <w:rFonts w:ascii="Times New Roman" w:hAnsi="Times New Roman"/>
          <w:b/>
          <w:spacing w:val="2"/>
          <w:w w:val="99"/>
          <w:kern w:val="0"/>
          <w:position w:val="-4"/>
          <w:sz w:val="44"/>
          <w:szCs w:val="44"/>
        </w:rPr>
        <w:t>指数型证券投资基金</w:t>
      </w:r>
    </w:p>
    <w:p w14:paraId="1505E194" w14:textId="77777777" w:rsidR="00877B87" w:rsidRDefault="008116FB">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招募说明书(更新)</w:t>
      </w:r>
    </w:p>
    <w:p w14:paraId="1DAB9BC5" w14:textId="77777777" w:rsidR="00877B87" w:rsidRDefault="00877B87">
      <w:pPr>
        <w:snapToGrid w:val="0"/>
        <w:spacing w:line="360" w:lineRule="auto"/>
        <w:jc w:val="center"/>
        <w:rPr>
          <w:rFonts w:ascii="宋体" w:hAnsi="宋体"/>
          <w:b/>
          <w:sz w:val="30"/>
          <w:szCs w:val="30"/>
        </w:rPr>
      </w:pPr>
    </w:p>
    <w:p w14:paraId="5B83A676" w14:textId="77777777" w:rsidR="00877B87" w:rsidRDefault="00877B8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6495EB29" w14:textId="77777777" w:rsidR="00877B87" w:rsidRDefault="00877B8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666B6C1E" w14:textId="77777777" w:rsidR="00877B87" w:rsidRDefault="00877B8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421FAE23" w14:textId="77777777" w:rsidR="00877B87" w:rsidRDefault="00877B8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54685C7D" w14:textId="77777777" w:rsidR="00877B87" w:rsidRDefault="00877B8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42B11734" w14:textId="77777777" w:rsidR="00877B87" w:rsidRDefault="00877B8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1ED40008" w14:textId="77777777" w:rsidR="00877B87" w:rsidRDefault="008116FB">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14:paraId="4611FA17" w14:textId="77777777" w:rsidR="00877B87" w:rsidRDefault="008116FB">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基金托管人：招商银行股份有限公司</w:t>
      </w:r>
    </w:p>
    <w:p w14:paraId="3AB40D43" w14:textId="77777777" w:rsidR="00877B87" w:rsidRDefault="00877B8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286D9311" w14:textId="77777777" w:rsidR="00877B87" w:rsidRDefault="00877B87">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0EAFB0D8" w14:textId="31541713" w:rsidR="00877B87" w:rsidRDefault="008116FB">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二〇二四年</w:t>
      </w:r>
      <w:r w:rsidR="00E10ADF">
        <w:rPr>
          <w:rFonts w:ascii="Times New Roman" w:hAnsi="Times New Roman" w:hint="eastAsia"/>
          <w:b/>
          <w:spacing w:val="2"/>
          <w:w w:val="99"/>
          <w:kern w:val="0"/>
          <w:sz w:val="28"/>
          <w:szCs w:val="32"/>
        </w:rPr>
        <w:t>十二</w:t>
      </w:r>
      <w:r>
        <w:rPr>
          <w:rFonts w:ascii="Times New Roman" w:hAnsi="Times New Roman"/>
          <w:b/>
          <w:spacing w:val="2"/>
          <w:w w:val="99"/>
          <w:kern w:val="0"/>
          <w:sz w:val="28"/>
          <w:szCs w:val="32"/>
        </w:rPr>
        <w:t>月</w:t>
      </w:r>
    </w:p>
    <w:p w14:paraId="052014C1" w14:textId="77777777" w:rsidR="00877B87" w:rsidRDefault="00877B87">
      <w:pPr>
        <w:autoSpaceDE w:val="0"/>
        <w:autoSpaceDN w:val="0"/>
        <w:adjustRightInd w:val="0"/>
        <w:snapToGrid w:val="0"/>
        <w:spacing w:line="360" w:lineRule="auto"/>
        <w:ind w:left="1347" w:rightChars="6" w:right="13"/>
        <w:rPr>
          <w:rFonts w:ascii="宋体" w:hAnsi="宋体"/>
          <w:kern w:val="0"/>
          <w:sz w:val="32"/>
          <w:szCs w:val="32"/>
        </w:rPr>
        <w:sectPr w:rsidR="00877B87">
          <w:headerReference w:type="even" r:id="rId10"/>
          <w:headerReference w:type="default" r:id="rId11"/>
          <w:footerReference w:type="even" r:id="rId12"/>
          <w:footerReference w:type="default" r:id="rId13"/>
          <w:headerReference w:type="first" r:id="rId14"/>
          <w:footerReference w:type="first" r:id="rId15"/>
          <w:pgSz w:w="11920" w:h="16840"/>
          <w:pgMar w:top="1560" w:right="1680" w:bottom="280" w:left="1680" w:header="0" w:footer="1073" w:gutter="0"/>
          <w:pgNumType w:start="1"/>
          <w:cols w:space="720"/>
          <w:titlePg/>
          <w:docGrid w:linePitch="286"/>
        </w:sectPr>
      </w:pPr>
    </w:p>
    <w:p w14:paraId="3AC8F220" w14:textId="77777777" w:rsidR="00877B87" w:rsidRDefault="008116FB">
      <w:pPr>
        <w:pStyle w:val="1"/>
        <w:snapToGrid w:val="0"/>
        <w:spacing w:beforeLines="0" w:before="240" w:after="240"/>
        <w:rPr>
          <w:rFonts w:ascii="宋体" w:hAnsi="宋体"/>
          <w:kern w:val="0"/>
        </w:rPr>
      </w:pPr>
      <w:bookmarkStart w:id="0" w:name="_Toc324920538"/>
      <w:bookmarkStart w:id="1" w:name="_Toc496884613"/>
      <w:bookmarkStart w:id="2" w:name="_Toc177999549"/>
      <w:r>
        <w:rPr>
          <w:rFonts w:ascii="Times New Roman" w:hAnsi="Times New Roman"/>
          <w:kern w:val="0"/>
        </w:rPr>
        <w:lastRenderedPageBreak/>
        <w:t>重要提示</w:t>
      </w:r>
      <w:bookmarkEnd w:id="0"/>
      <w:bookmarkEnd w:id="1"/>
      <w:bookmarkEnd w:id="2"/>
    </w:p>
    <w:p w14:paraId="49FD9070"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交银施罗德创业板</w:t>
      </w:r>
      <w:r>
        <w:rPr>
          <w:rFonts w:ascii="Times New Roman" w:hAnsi="Times New Roman"/>
          <w:kern w:val="0"/>
          <w:sz w:val="24"/>
        </w:rPr>
        <w:t>50</w:t>
      </w:r>
      <w:r>
        <w:rPr>
          <w:rFonts w:ascii="Times New Roman" w:hAnsi="Times New Roman"/>
          <w:kern w:val="0"/>
          <w:sz w:val="24"/>
        </w:rPr>
        <w:t>指数型证券投资基金（以下简称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）经</w:t>
      </w:r>
      <w:r>
        <w:rPr>
          <w:rFonts w:ascii="Times New Roman" w:hAnsi="Times New Roman"/>
          <w:kern w:val="0"/>
          <w:sz w:val="24"/>
        </w:rPr>
        <w:t>2019</w:t>
      </w:r>
      <w:r>
        <w:rPr>
          <w:rFonts w:ascii="Times New Roman" w:hAnsi="Times New Roman"/>
          <w:kern w:val="0"/>
          <w:sz w:val="24"/>
        </w:rPr>
        <w:t>年</w:t>
      </w:r>
      <w:r>
        <w:rPr>
          <w:rFonts w:ascii="Times New Roman" w:hAnsi="Times New Roman"/>
          <w:kern w:val="0"/>
          <w:sz w:val="24"/>
        </w:rPr>
        <w:t>4</w:t>
      </w:r>
      <w:r>
        <w:rPr>
          <w:rFonts w:ascii="Times New Roman" w:hAnsi="Times New Roman"/>
          <w:kern w:val="0"/>
          <w:sz w:val="24"/>
        </w:rPr>
        <w:t>月</w:t>
      </w:r>
      <w:r>
        <w:rPr>
          <w:rFonts w:ascii="Times New Roman" w:hAnsi="Times New Roman"/>
          <w:kern w:val="0"/>
          <w:sz w:val="24"/>
        </w:rPr>
        <w:t>28</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2019</w:t>
      </w:r>
      <w:r>
        <w:rPr>
          <w:rFonts w:ascii="Times New Roman" w:hAnsi="Times New Roman"/>
          <w:kern w:val="0"/>
          <w:sz w:val="24"/>
        </w:rPr>
        <w:t>】</w:t>
      </w:r>
      <w:r>
        <w:rPr>
          <w:rFonts w:ascii="Times New Roman" w:hAnsi="Times New Roman"/>
          <w:kern w:val="0"/>
          <w:sz w:val="24"/>
        </w:rPr>
        <w:t>845</w:t>
      </w:r>
      <w:r>
        <w:rPr>
          <w:rFonts w:ascii="Times New Roman" w:hAnsi="Times New Roman"/>
          <w:kern w:val="0"/>
          <w:sz w:val="24"/>
        </w:rPr>
        <w:t>号文准予募集注册。本基金基金合同于</w:t>
      </w:r>
      <w:r>
        <w:rPr>
          <w:rFonts w:ascii="Times New Roman" w:hAnsi="Times New Roman"/>
          <w:kern w:val="0"/>
          <w:sz w:val="24"/>
        </w:rPr>
        <w:t>2019</w:t>
      </w:r>
      <w:r>
        <w:rPr>
          <w:rFonts w:ascii="Times New Roman" w:hAnsi="Times New Roman"/>
          <w:kern w:val="0"/>
          <w:sz w:val="24"/>
        </w:rPr>
        <w:t>年</w:t>
      </w:r>
      <w:r>
        <w:rPr>
          <w:rFonts w:ascii="Times New Roman" w:hAnsi="Times New Roman"/>
          <w:kern w:val="0"/>
          <w:sz w:val="24"/>
        </w:rPr>
        <w:t>11</w:t>
      </w:r>
      <w:r>
        <w:rPr>
          <w:rFonts w:ascii="Times New Roman" w:hAnsi="Times New Roman"/>
          <w:kern w:val="0"/>
          <w:sz w:val="24"/>
        </w:rPr>
        <w:t>月</w:t>
      </w:r>
      <w:r>
        <w:rPr>
          <w:rFonts w:ascii="Times New Roman" w:hAnsi="Times New Roman"/>
          <w:kern w:val="0"/>
          <w:sz w:val="24"/>
        </w:rPr>
        <w:t>20</w:t>
      </w:r>
      <w:r>
        <w:rPr>
          <w:rFonts w:ascii="Times New Roman" w:hAnsi="Times New Roman"/>
          <w:kern w:val="0"/>
          <w:sz w:val="24"/>
        </w:rPr>
        <w:t>日正式生效。</w:t>
      </w:r>
    </w:p>
    <w:p w14:paraId="1F9AF839"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投资价值和市场前景作出实质性判断或保证，也不表明投资于本基金没有风险。</w:t>
      </w:r>
    </w:p>
    <w:p w14:paraId="17316CE4"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14:paraId="5E2B138F"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信用风险；本基金投资策略所特有的指数化投资风险；投资资产支持证券的特定风险；投资股指期货的特定风险；连续六十个工作日出现基金份额持有人数量不满</w:t>
      </w:r>
      <w:r>
        <w:rPr>
          <w:rFonts w:ascii="Times New Roman" w:hAnsi="Times New Roman"/>
          <w:kern w:val="0"/>
          <w:sz w:val="24"/>
        </w:rPr>
        <w:t>200</w:t>
      </w:r>
      <w:r>
        <w:rPr>
          <w:rFonts w:ascii="Times New Roman" w:hAnsi="Times New Roman"/>
          <w:kern w:val="0"/>
          <w:sz w:val="24"/>
        </w:rPr>
        <w:t>人或基金资产净值低于</w:t>
      </w:r>
      <w:r>
        <w:rPr>
          <w:rFonts w:ascii="Times New Roman" w:hAnsi="Times New Roman"/>
          <w:kern w:val="0"/>
          <w:sz w:val="24"/>
        </w:rPr>
        <w:t>5000</w:t>
      </w:r>
      <w:r>
        <w:rPr>
          <w:rFonts w:ascii="Times New Roman" w:hAnsi="Times New Roman"/>
          <w:kern w:val="0"/>
          <w:sz w:val="24"/>
        </w:rPr>
        <w:t>万元情形时，基金管理人可依基金合同约定提前终止基金合同的风险；投资本基金特有的其他风险等等。其中指数化投资风险主要包括：标的指数回报与股票市场平均回报偏离的风险、标的指数波动的风险、基金投资组合回报与标的指数回报偏离的风险、标的指数变更的风险、跟踪误差控制未达约定目标的风险、指数编制机构停止服务的风险、成份股停牌的风险等。</w:t>
      </w:r>
    </w:p>
    <w:p w14:paraId="359A3FA6"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79888FF4"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本基金可投资于股指期货，股指期货作为一种金融衍生品，其价值取决于一</w:t>
      </w:r>
      <w:r>
        <w:rPr>
          <w:rFonts w:ascii="Times New Roman" w:hAnsi="Times New Roman"/>
          <w:kern w:val="0"/>
          <w:sz w:val="24"/>
        </w:rPr>
        <w:lastRenderedPageBreak/>
        <w:t>种或多种基础资产或指数，其评价主要源自于对挂钩资产的价格与价格波动的预期。投资股指期货所面临的风险主要是市场风险、流动性风险、基差风险、保证金风险、信用风险和操作风险，以及不适当的估值使基金资产面临损失的风险等。</w:t>
      </w:r>
    </w:p>
    <w:p w14:paraId="07077CE1"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本基金是一只股票型基金，其预期风险和预期收益高于混合型基金、债券型基金和货币市场基金。本基金为指数型基金，主要采用组合复制策略及适当的替代性策略跟踪创业板</w:t>
      </w:r>
      <w:r>
        <w:rPr>
          <w:rFonts w:ascii="Times New Roman" w:hAnsi="Times New Roman"/>
          <w:kern w:val="0"/>
          <w:sz w:val="24"/>
        </w:rPr>
        <w:t>50</w:t>
      </w:r>
      <w:r>
        <w:rPr>
          <w:rFonts w:ascii="Times New Roman" w:hAnsi="Times New Roman"/>
          <w:kern w:val="0"/>
          <w:sz w:val="24"/>
        </w:rPr>
        <w:t>指数，具有与标的指数以及标的指数所代表的股票市场相似的风险收益特征。</w:t>
      </w:r>
    </w:p>
    <w:p w14:paraId="454E7351"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本基金为指数基金，投资者投资于本基金面临跟踪误差控制未达约定目标、指数编制机构停止服务、成份券停牌等潜在风险。</w:t>
      </w:r>
    </w:p>
    <w:p w14:paraId="6DAAD160"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本基金标的指数为创业板</w:t>
      </w:r>
      <w:r>
        <w:rPr>
          <w:rFonts w:ascii="Times New Roman" w:hAnsi="Times New Roman"/>
          <w:kern w:val="0"/>
          <w:sz w:val="24"/>
        </w:rPr>
        <w:t>50</w:t>
      </w:r>
      <w:r>
        <w:rPr>
          <w:rFonts w:ascii="Times New Roman" w:hAnsi="Times New Roman"/>
          <w:kern w:val="0"/>
          <w:sz w:val="24"/>
        </w:rPr>
        <w:t>指数。</w:t>
      </w:r>
    </w:p>
    <w:p w14:paraId="4D2F3FBE"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1</w:t>
      </w:r>
      <w:r>
        <w:rPr>
          <w:rFonts w:ascii="Times New Roman" w:hAnsi="Times New Roman"/>
          <w:kern w:val="0"/>
          <w:sz w:val="24"/>
        </w:rPr>
        <w:t>、选样空间</w:t>
      </w:r>
    </w:p>
    <w:p w14:paraId="28AD3D35"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创业板指数样本股。</w:t>
      </w:r>
    </w:p>
    <w:p w14:paraId="1911E449"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2</w:t>
      </w:r>
      <w:r>
        <w:rPr>
          <w:rFonts w:ascii="Times New Roman" w:hAnsi="Times New Roman"/>
          <w:kern w:val="0"/>
          <w:sz w:val="24"/>
        </w:rPr>
        <w:t>、选样方法</w:t>
      </w:r>
    </w:p>
    <w:p w14:paraId="5E6F89AD"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考察选样空间股票最近</w:t>
      </w:r>
      <w:r>
        <w:rPr>
          <w:rFonts w:ascii="Times New Roman" w:hAnsi="Times New Roman"/>
          <w:kern w:val="0"/>
          <w:sz w:val="24"/>
        </w:rPr>
        <w:t>6</w:t>
      </w:r>
      <w:r>
        <w:rPr>
          <w:rFonts w:ascii="Times New Roman" w:hAnsi="Times New Roman"/>
          <w:kern w:val="0"/>
          <w:sz w:val="24"/>
        </w:rPr>
        <w:t>个月的日均成交金额，结合行业覆盖情况选取排名靠前的</w:t>
      </w:r>
      <w:r>
        <w:rPr>
          <w:rFonts w:ascii="Times New Roman" w:hAnsi="Times New Roman"/>
          <w:kern w:val="0"/>
          <w:sz w:val="24"/>
        </w:rPr>
        <w:t>50</w:t>
      </w:r>
      <w:r>
        <w:rPr>
          <w:rFonts w:ascii="Times New Roman" w:hAnsi="Times New Roman"/>
          <w:kern w:val="0"/>
          <w:sz w:val="24"/>
        </w:rPr>
        <w:t>只股票组成指数样本股。</w:t>
      </w:r>
    </w:p>
    <w:p w14:paraId="7801A4C9"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3</w:t>
      </w:r>
      <w:r>
        <w:rPr>
          <w:rFonts w:ascii="Times New Roman" w:hAnsi="Times New Roman"/>
          <w:kern w:val="0"/>
          <w:sz w:val="24"/>
        </w:rPr>
        <w:t>、指数计算</w:t>
      </w:r>
    </w:p>
    <w:p w14:paraId="721BA548"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指数采用派式加权法，依据下列公示逐日连锁实时计算：</w:t>
      </w:r>
    </w:p>
    <w:p w14:paraId="29A0BB83" w14:textId="38FFDA0C" w:rsidR="00877B87" w:rsidRDefault="004610D8">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noProof/>
          <w:kern w:val="0"/>
          <w:sz w:val="24"/>
        </w:rPr>
        <w:drawing>
          <wp:inline distT="0" distB="0" distL="0" distR="0" wp14:anchorId="4A014B37" wp14:editId="4CDF9910">
            <wp:extent cx="5448300" cy="762000"/>
            <wp:effectExtent l="0" t="0" r="0" b="0"/>
            <wp:docPr id="5"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12566102420208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8300" cy="762000"/>
                    </a:xfrm>
                    <a:prstGeom prst="rect">
                      <a:avLst/>
                    </a:prstGeom>
                    <a:noFill/>
                    <a:ln>
                      <a:noFill/>
                    </a:ln>
                  </pic:spPr>
                </pic:pic>
              </a:graphicData>
            </a:graphic>
          </wp:inline>
        </w:drawing>
      </w:r>
    </w:p>
    <w:p w14:paraId="164649EA"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有关标的指数具体编制方案及成份股信息详见深圳证券信息有限公司国证指数网网站，网址：</w:t>
      </w:r>
      <w:r>
        <w:rPr>
          <w:rFonts w:ascii="Times New Roman" w:hAnsi="Times New Roman"/>
          <w:kern w:val="0"/>
          <w:sz w:val="24"/>
        </w:rPr>
        <w:t>www.cnindex.com.cn</w:t>
      </w:r>
      <w:r>
        <w:rPr>
          <w:rFonts w:ascii="Times New Roman" w:hAnsi="Times New Roman"/>
          <w:kern w:val="0"/>
          <w:sz w:val="24"/>
        </w:rPr>
        <w:t>。</w:t>
      </w:r>
    </w:p>
    <w:p w14:paraId="218E47C3"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投资本基金前应认真阅读本基金的招募说明书、基金合同、基金产品资料概要等信息披露文件，自主判断基金的投资价值，自主作出投资决策，自行承担投资风险。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原则，在投资者作出投资决策后，基金运营状况与基金净值变化引致的投资风险，由投资者自行负责。</w:t>
      </w:r>
    </w:p>
    <w:p w14:paraId="6A63CEB1"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w:t>
      </w:r>
      <w:r>
        <w:rPr>
          <w:rFonts w:ascii="Times New Roman" w:hAnsi="Times New Roman"/>
          <w:kern w:val="0"/>
          <w:sz w:val="24"/>
        </w:rPr>
        <w:lastRenderedPageBreak/>
        <w:t>人及境内外交易机制相关的风险可能直接或间接成为本基金风险。具体风险烦请查阅本招募说明书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章节内容。</w:t>
      </w:r>
    </w:p>
    <w:p w14:paraId="11FD47C0"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14:paraId="3CB6565C" w14:textId="77777777" w:rsidR="00877B87" w:rsidRDefault="008116FB">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本基金单一投资者持有基金份额数不得超过基金份额总数的</w:t>
      </w:r>
      <w:r>
        <w:rPr>
          <w:rFonts w:ascii="Times New Roman" w:hAnsi="Times New Roman"/>
          <w:kern w:val="0"/>
          <w:sz w:val="24"/>
        </w:rPr>
        <w:t>50%</w:t>
      </w:r>
      <w:r>
        <w:rPr>
          <w:rFonts w:ascii="Times New Roman" w:hAnsi="Times New Roman"/>
          <w:kern w:val="0"/>
          <w:sz w:val="24"/>
        </w:rPr>
        <w:t>，但在基金运作过程中因基金份额赎回等情形导致被动超过前述</w:t>
      </w:r>
      <w:r>
        <w:rPr>
          <w:rFonts w:ascii="Times New Roman" w:hAnsi="Times New Roman"/>
          <w:kern w:val="0"/>
          <w:sz w:val="24"/>
        </w:rPr>
        <w:t>50%</w:t>
      </w:r>
      <w:r>
        <w:rPr>
          <w:rFonts w:ascii="Times New Roman" w:hAnsi="Times New Roman"/>
          <w:kern w:val="0"/>
          <w:sz w:val="24"/>
        </w:rPr>
        <w:t>比例的除外。</w:t>
      </w:r>
    </w:p>
    <w:p w14:paraId="3A1BD772" w14:textId="77777777" w:rsidR="00DD0304" w:rsidRDefault="00DD0304">
      <w:pPr>
        <w:autoSpaceDE w:val="0"/>
        <w:autoSpaceDN w:val="0"/>
        <w:adjustRightInd w:val="0"/>
        <w:snapToGrid w:val="0"/>
        <w:spacing w:line="360" w:lineRule="auto"/>
        <w:ind w:leftChars="50" w:left="105" w:firstLineChars="200" w:firstLine="480"/>
        <w:rPr>
          <w:rFonts w:ascii="Times New Roman" w:hAnsi="Times New Roman"/>
          <w:kern w:val="0"/>
          <w:sz w:val="24"/>
        </w:rPr>
      </w:pPr>
      <w:r w:rsidRPr="00DD0304">
        <w:rPr>
          <w:rFonts w:ascii="Times New Roman" w:hAnsi="Times New Roman" w:hint="eastAsia"/>
          <w:kern w:val="0"/>
          <w:sz w:val="24"/>
        </w:rPr>
        <w:t>本基金的</w:t>
      </w:r>
      <w:r w:rsidRPr="00DD0304">
        <w:rPr>
          <w:rFonts w:ascii="Times New Roman" w:hAnsi="Times New Roman" w:hint="eastAsia"/>
          <w:kern w:val="0"/>
          <w:sz w:val="24"/>
        </w:rPr>
        <w:t>Y</w:t>
      </w:r>
      <w:r w:rsidRPr="00DD0304">
        <w:rPr>
          <w:rFonts w:ascii="Times New Roman" w:hAnsi="Times New Roman" w:hint="eastAsia"/>
          <w:kern w:val="0"/>
          <w:sz w:val="24"/>
        </w:rPr>
        <w:t>类基金份额为针对个人养老金投资基金业务设立的单独的基金份额类别，投资者仅能通过个人养老金资金账户购买</w:t>
      </w:r>
      <w:r w:rsidRPr="00DD0304">
        <w:rPr>
          <w:rFonts w:ascii="Times New Roman" w:hAnsi="Times New Roman" w:hint="eastAsia"/>
          <w:kern w:val="0"/>
          <w:sz w:val="24"/>
        </w:rPr>
        <w:t>Y</w:t>
      </w:r>
      <w:r w:rsidRPr="00DD0304">
        <w:rPr>
          <w:rFonts w:ascii="Times New Roman" w:hAnsi="Times New Roman" w:hint="eastAsia"/>
          <w:kern w:val="0"/>
          <w:sz w:val="24"/>
        </w:rPr>
        <w:t>类基金份额参与个人养老金投资基金业务。根据个人养老金账户要求，个人养老金投资基金的基金份额申购赎回等款项将在个人养老金账户内流转，投资者未达到领取基本养老金年龄或者政策规定的其他领取条件时不可领取个人养老金。具体业务规则请关注基金管理人届时发布的相关公告。</w:t>
      </w:r>
    </w:p>
    <w:p w14:paraId="592509F4" w14:textId="6055A310" w:rsidR="00877B87" w:rsidRDefault="008B156D">
      <w:pPr>
        <w:autoSpaceDE w:val="0"/>
        <w:autoSpaceDN w:val="0"/>
        <w:adjustRightInd w:val="0"/>
        <w:snapToGrid w:val="0"/>
        <w:spacing w:line="360" w:lineRule="auto"/>
        <w:ind w:leftChars="50" w:left="105" w:firstLineChars="200" w:firstLine="480"/>
        <w:rPr>
          <w:rFonts w:ascii="宋体" w:hAnsi="宋体"/>
          <w:kern w:val="0"/>
          <w:sz w:val="24"/>
        </w:rPr>
      </w:pPr>
      <w:r w:rsidRPr="003E746D">
        <w:rPr>
          <w:rFonts w:ascii="Times New Roman" w:hAnsi="Times New Roman" w:hint="eastAsia"/>
          <w:kern w:val="0"/>
          <w:sz w:val="24"/>
        </w:rPr>
        <w:t>本次更新招募说明书主要对本基金增设</w:t>
      </w:r>
      <w:r w:rsidRPr="003E746D">
        <w:rPr>
          <w:rFonts w:ascii="Times New Roman" w:hAnsi="Times New Roman" w:hint="eastAsia"/>
          <w:kern w:val="0"/>
          <w:sz w:val="24"/>
        </w:rPr>
        <w:t>Y</w:t>
      </w:r>
      <w:r w:rsidRPr="003E746D">
        <w:rPr>
          <w:rFonts w:ascii="Times New Roman" w:hAnsi="Times New Roman" w:hint="eastAsia"/>
          <w:kern w:val="0"/>
          <w:sz w:val="24"/>
        </w:rPr>
        <w:t>类基金份额等相关信息进行更新，</w:t>
      </w:r>
      <w:r w:rsidR="00794249">
        <w:rPr>
          <w:rFonts w:ascii="Times New Roman" w:hAnsi="Times New Roman" w:hint="eastAsia"/>
          <w:kern w:val="0"/>
          <w:sz w:val="24"/>
        </w:rPr>
        <w:t>并更新基金管理人信息，</w:t>
      </w:r>
      <w:r w:rsidRPr="003E746D">
        <w:rPr>
          <w:rFonts w:ascii="Times New Roman" w:hAnsi="Times New Roman" w:hint="eastAsia"/>
          <w:kern w:val="0"/>
          <w:sz w:val="24"/>
        </w:rPr>
        <w:t>前述内容更新截止日为</w:t>
      </w:r>
      <w:r w:rsidRPr="003E746D">
        <w:rPr>
          <w:rFonts w:ascii="Times New Roman" w:hAnsi="Times New Roman" w:hint="eastAsia"/>
          <w:kern w:val="0"/>
          <w:sz w:val="24"/>
        </w:rPr>
        <w:t>202</w:t>
      </w:r>
      <w:r>
        <w:rPr>
          <w:rFonts w:ascii="Times New Roman" w:hAnsi="Times New Roman"/>
          <w:kern w:val="0"/>
          <w:sz w:val="24"/>
        </w:rPr>
        <w:t>4</w:t>
      </w:r>
      <w:r w:rsidRPr="003E746D">
        <w:rPr>
          <w:rFonts w:ascii="Times New Roman" w:hAnsi="Times New Roman" w:hint="eastAsia"/>
          <w:kern w:val="0"/>
          <w:sz w:val="24"/>
        </w:rPr>
        <w:t>年</w:t>
      </w:r>
      <w:r>
        <w:rPr>
          <w:rFonts w:ascii="Times New Roman" w:hAnsi="Times New Roman"/>
          <w:kern w:val="0"/>
          <w:sz w:val="24"/>
        </w:rPr>
        <w:t>12</w:t>
      </w:r>
      <w:r w:rsidRPr="003E746D">
        <w:rPr>
          <w:rFonts w:ascii="Times New Roman" w:hAnsi="Times New Roman" w:hint="eastAsia"/>
          <w:kern w:val="0"/>
          <w:sz w:val="24"/>
        </w:rPr>
        <w:t>月</w:t>
      </w:r>
      <w:r w:rsidR="00BA3935">
        <w:rPr>
          <w:rFonts w:ascii="Times New Roman" w:hAnsi="Times New Roman"/>
          <w:kern w:val="0"/>
          <w:sz w:val="24"/>
        </w:rPr>
        <w:t>13</w:t>
      </w:r>
      <w:r w:rsidRPr="003E746D">
        <w:rPr>
          <w:rFonts w:ascii="Times New Roman" w:hAnsi="Times New Roman" w:hint="eastAsia"/>
          <w:kern w:val="0"/>
          <w:sz w:val="24"/>
        </w:rPr>
        <w:t>日，除非另有说明，</w:t>
      </w:r>
      <w:r w:rsidR="008116FB">
        <w:rPr>
          <w:rFonts w:ascii="Times New Roman" w:hAnsi="Times New Roman"/>
          <w:kern w:val="0"/>
          <w:sz w:val="24"/>
        </w:rPr>
        <w:t>本招募说明书</w:t>
      </w:r>
      <w:r w:rsidR="00794249">
        <w:rPr>
          <w:rFonts w:ascii="Times New Roman" w:hAnsi="Times New Roman" w:hint="eastAsia"/>
          <w:kern w:val="0"/>
          <w:sz w:val="24"/>
        </w:rPr>
        <w:t>其他</w:t>
      </w:r>
      <w:r w:rsidR="008116FB">
        <w:rPr>
          <w:rFonts w:ascii="Times New Roman" w:hAnsi="Times New Roman"/>
          <w:kern w:val="0"/>
          <w:sz w:val="24"/>
        </w:rPr>
        <w:t>所载内容截止日为</w:t>
      </w:r>
      <w:r w:rsidR="008116FB">
        <w:rPr>
          <w:rFonts w:ascii="Times New Roman" w:hAnsi="Times New Roman"/>
          <w:kern w:val="0"/>
          <w:sz w:val="24"/>
        </w:rPr>
        <w:t>2024</w:t>
      </w:r>
      <w:r w:rsidR="008116FB">
        <w:rPr>
          <w:rFonts w:ascii="Times New Roman" w:hAnsi="Times New Roman"/>
          <w:kern w:val="0"/>
          <w:sz w:val="24"/>
        </w:rPr>
        <w:t>年</w:t>
      </w:r>
      <w:r w:rsidR="008116FB">
        <w:rPr>
          <w:rFonts w:ascii="Times New Roman" w:hAnsi="Times New Roman"/>
          <w:kern w:val="0"/>
          <w:sz w:val="24"/>
        </w:rPr>
        <w:t>09</w:t>
      </w:r>
      <w:r w:rsidR="008116FB">
        <w:rPr>
          <w:rFonts w:ascii="Times New Roman" w:hAnsi="Times New Roman"/>
          <w:kern w:val="0"/>
          <w:sz w:val="24"/>
        </w:rPr>
        <w:t>月</w:t>
      </w:r>
      <w:r w:rsidR="008116FB">
        <w:rPr>
          <w:rFonts w:ascii="Times New Roman" w:hAnsi="Times New Roman"/>
          <w:kern w:val="0"/>
          <w:sz w:val="24"/>
        </w:rPr>
        <w:t>10</w:t>
      </w:r>
      <w:r w:rsidR="008116FB">
        <w:rPr>
          <w:rFonts w:ascii="Times New Roman" w:hAnsi="Times New Roman"/>
          <w:kern w:val="0"/>
          <w:sz w:val="24"/>
        </w:rPr>
        <w:t>日，有关财务数据和净值表现截止日为</w:t>
      </w:r>
      <w:r w:rsidR="008116FB">
        <w:rPr>
          <w:rFonts w:ascii="Times New Roman" w:hAnsi="Times New Roman"/>
          <w:kern w:val="0"/>
          <w:sz w:val="24"/>
        </w:rPr>
        <w:t>2024</w:t>
      </w:r>
      <w:r w:rsidR="008116FB">
        <w:rPr>
          <w:rFonts w:ascii="Times New Roman" w:hAnsi="Times New Roman"/>
          <w:kern w:val="0"/>
          <w:sz w:val="24"/>
        </w:rPr>
        <w:t>年</w:t>
      </w:r>
      <w:r w:rsidR="008116FB">
        <w:rPr>
          <w:rFonts w:ascii="Times New Roman" w:hAnsi="Times New Roman"/>
          <w:kern w:val="0"/>
          <w:sz w:val="24"/>
        </w:rPr>
        <w:t>06</w:t>
      </w:r>
      <w:r w:rsidR="008116FB">
        <w:rPr>
          <w:rFonts w:ascii="Times New Roman" w:hAnsi="Times New Roman"/>
          <w:kern w:val="0"/>
          <w:sz w:val="24"/>
        </w:rPr>
        <w:t>月</w:t>
      </w:r>
      <w:r w:rsidR="008116FB">
        <w:rPr>
          <w:rFonts w:ascii="Times New Roman" w:hAnsi="Times New Roman"/>
          <w:kern w:val="0"/>
          <w:sz w:val="24"/>
        </w:rPr>
        <w:t>30</w:t>
      </w:r>
      <w:r w:rsidR="008116FB">
        <w:rPr>
          <w:rFonts w:ascii="Times New Roman" w:hAnsi="Times New Roman"/>
          <w:kern w:val="0"/>
          <w:sz w:val="24"/>
        </w:rPr>
        <w:t>日。本招募说明书所载的财务数据未经审计。</w:t>
      </w:r>
    </w:p>
    <w:p w14:paraId="7CFBB1CD" w14:textId="77777777" w:rsidR="00877B87" w:rsidRDefault="00877B87">
      <w:pPr>
        <w:autoSpaceDE w:val="0"/>
        <w:autoSpaceDN w:val="0"/>
        <w:adjustRightInd w:val="0"/>
        <w:snapToGrid w:val="0"/>
        <w:spacing w:before="51" w:line="360" w:lineRule="auto"/>
        <w:ind w:left="120" w:rightChars="6" w:right="13" w:firstLine="480"/>
        <w:rPr>
          <w:rFonts w:ascii="宋体" w:hAnsi="宋体"/>
          <w:kern w:val="0"/>
          <w:szCs w:val="24"/>
        </w:rPr>
        <w:sectPr w:rsidR="00877B87">
          <w:headerReference w:type="default" r:id="rId17"/>
          <w:pgSz w:w="11920" w:h="16840"/>
          <w:pgMar w:top="1440" w:right="1680" w:bottom="280" w:left="1680" w:header="0" w:footer="1073" w:gutter="0"/>
          <w:pgNumType w:start="1"/>
          <w:cols w:space="720"/>
        </w:sectPr>
      </w:pPr>
    </w:p>
    <w:p w14:paraId="5EE0EF58" w14:textId="77777777" w:rsidR="00807F83" w:rsidRPr="00807F83" w:rsidRDefault="008116FB" w:rsidP="00807F83">
      <w:pPr>
        <w:pStyle w:val="af3"/>
        <w:snapToGrid w:val="0"/>
        <w:spacing w:after="240" w:line="360" w:lineRule="auto"/>
        <w:jc w:val="center"/>
        <w:rPr>
          <w:rFonts w:ascii="宋体" w:hAnsi="宋体"/>
          <w:noProof/>
          <w:sz w:val="24"/>
        </w:rPr>
      </w:pPr>
      <w:r w:rsidRPr="00807F83">
        <w:rPr>
          <w:rFonts w:ascii="宋体" w:hAnsi="宋体"/>
          <w:color w:val="000000"/>
          <w:position w:val="-4"/>
          <w:sz w:val="24"/>
          <w:szCs w:val="30"/>
        </w:rPr>
        <w:lastRenderedPageBreak/>
        <w:t>目</w:t>
      </w:r>
      <w:r w:rsidRPr="00807F83">
        <w:rPr>
          <w:rFonts w:ascii="宋体" w:hAnsi="宋体"/>
          <w:color w:val="000000"/>
          <w:position w:val="-4"/>
          <w:sz w:val="24"/>
          <w:szCs w:val="30"/>
        </w:rPr>
        <w:tab/>
        <w:t>录</w:t>
      </w:r>
      <w:r w:rsidR="00807F83" w:rsidRPr="00807F83">
        <w:rPr>
          <w:rFonts w:ascii="宋体" w:hAnsi="宋体"/>
          <w:color w:val="000000"/>
          <w:position w:val="-4"/>
          <w:sz w:val="24"/>
          <w:szCs w:val="30"/>
        </w:rPr>
        <w:fldChar w:fldCharType="begin"/>
      </w:r>
      <w:r w:rsidR="00807F83" w:rsidRPr="00807F83">
        <w:rPr>
          <w:rFonts w:ascii="宋体" w:hAnsi="宋体"/>
          <w:color w:val="000000"/>
          <w:position w:val="-4"/>
          <w:sz w:val="24"/>
          <w:szCs w:val="30"/>
        </w:rPr>
        <w:instrText xml:space="preserve"> TOC \o "1-3" \f - \h \t "-1" </w:instrText>
      </w:r>
      <w:r w:rsidR="00807F83" w:rsidRPr="00807F83">
        <w:rPr>
          <w:rFonts w:ascii="宋体" w:hAnsi="宋体"/>
          <w:color w:val="000000"/>
          <w:position w:val="-4"/>
          <w:sz w:val="24"/>
          <w:szCs w:val="30"/>
        </w:rPr>
        <w:fldChar w:fldCharType="separate"/>
      </w:r>
    </w:p>
    <w:p w14:paraId="764AF621" w14:textId="247098BD" w:rsidR="00807F83" w:rsidRPr="008A063F" w:rsidRDefault="00253A73" w:rsidP="00807F83">
      <w:pPr>
        <w:pStyle w:val="11"/>
        <w:tabs>
          <w:tab w:val="right" w:leader="dot" w:pos="8550"/>
        </w:tabs>
        <w:spacing w:line="360" w:lineRule="auto"/>
        <w:rPr>
          <w:rFonts w:ascii="宋体" w:hAnsi="宋体"/>
          <w:noProof/>
          <w:sz w:val="24"/>
        </w:rPr>
      </w:pPr>
      <w:hyperlink w:anchor="_Toc177999549" w:history="1">
        <w:r w:rsidR="00807F83" w:rsidRPr="00807F83">
          <w:rPr>
            <w:rStyle w:val="af0"/>
            <w:rFonts w:ascii="宋体" w:hAnsi="宋体" w:hint="eastAsia"/>
            <w:noProof/>
            <w:kern w:val="0"/>
            <w:sz w:val="24"/>
          </w:rPr>
          <w:t>重要提示</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_Toc177999549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1</w:t>
        </w:r>
        <w:r w:rsidR="00807F83" w:rsidRPr="00807F83">
          <w:rPr>
            <w:rFonts w:ascii="宋体" w:hAnsi="宋体"/>
            <w:noProof/>
            <w:sz w:val="24"/>
          </w:rPr>
          <w:fldChar w:fldCharType="end"/>
        </w:r>
      </w:hyperlink>
    </w:p>
    <w:p w14:paraId="34D15729" w14:textId="39BA30C2" w:rsidR="00807F83" w:rsidRPr="008A063F" w:rsidRDefault="00253A73" w:rsidP="00807F83">
      <w:pPr>
        <w:pStyle w:val="11"/>
        <w:tabs>
          <w:tab w:val="right" w:leader="dot" w:pos="8550"/>
        </w:tabs>
        <w:spacing w:line="360" w:lineRule="auto"/>
        <w:rPr>
          <w:rFonts w:ascii="宋体" w:hAnsi="宋体"/>
          <w:noProof/>
          <w:sz w:val="24"/>
        </w:rPr>
      </w:pPr>
      <w:hyperlink w:anchor="_Toc177999550" w:history="1">
        <w:r w:rsidR="00807F83" w:rsidRPr="00807F83">
          <w:rPr>
            <w:rStyle w:val="af0"/>
            <w:rFonts w:ascii="宋体" w:hAnsi="宋体" w:hint="eastAsia"/>
            <w:noProof/>
            <w:sz w:val="24"/>
          </w:rPr>
          <w:t>一、绪言</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_Toc177999550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5</w:t>
        </w:r>
        <w:r w:rsidR="00807F83" w:rsidRPr="00807F83">
          <w:rPr>
            <w:rFonts w:ascii="宋体" w:hAnsi="宋体"/>
            <w:noProof/>
            <w:sz w:val="24"/>
          </w:rPr>
          <w:fldChar w:fldCharType="end"/>
        </w:r>
      </w:hyperlink>
    </w:p>
    <w:p w14:paraId="5E098D72" w14:textId="09237162" w:rsidR="00807F83" w:rsidRPr="008A063F" w:rsidRDefault="00253A73" w:rsidP="00807F83">
      <w:pPr>
        <w:pStyle w:val="11"/>
        <w:tabs>
          <w:tab w:val="right" w:leader="dot" w:pos="8550"/>
        </w:tabs>
        <w:spacing w:line="360" w:lineRule="auto"/>
        <w:rPr>
          <w:rFonts w:ascii="宋体" w:hAnsi="宋体"/>
          <w:noProof/>
          <w:sz w:val="24"/>
        </w:rPr>
      </w:pPr>
      <w:hyperlink w:anchor="_Toc177999551" w:history="1">
        <w:r w:rsidR="00807F83" w:rsidRPr="00807F83">
          <w:rPr>
            <w:rStyle w:val="af0"/>
            <w:rFonts w:ascii="宋体" w:hAnsi="宋体" w:hint="eastAsia"/>
            <w:noProof/>
            <w:sz w:val="24"/>
          </w:rPr>
          <w:t>二、释义</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_Toc177999551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6</w:t>
        </w:r>
        <w:r w:rsidR="00807F83" w:rsidRPr="00807F83">
          <w:rPr>
            <w:rFonts w:ascii="宋体" w:hAnsi="宋体"/>
            <w:noProof/>
            <w:sz w:val="24"/>
          </w:rPr>
          <w:fldChar w:fldCharType="end"/>
        </w:r>
      </w:hyperlink>
    </w:p>
    <w:p w14:paraId="2F84282E" w14:textId="44833F12" w:rsidR="00807F83" w:rsidRPr="008A063F" w:rsidRDefault="00253A73" w:rsidP="00807F83">
      <w:pPr>
        <w:pStyle w:val="11"/>
        <w:tabs>
          <w:tab w:val="right" w:leader="dot" w:pos="8550"/>
        </w:tabs>
        <w:spacing w:line="360" w:lineRule="auto"/>
        <w:rPr>
          <w:rFonts w:ascii="宋体" w:hAnsi="宋体"/>
          <w:noProof/>
          <w:sz w:val="24"/>
        </w:rPr>
      </w:pPr>
      <w:hyperlink w:anchor="_Toc177999552" w:history="1">
        <w:r w:rsidR="00807F83" w:rsidRPr="00807F83">
          <w:rPr>
            <w:rStyle w:val="af0"/>
            <w:rFonts w:ascii="宋体" w:hAnsi="宋体" w:hint="eastAsia"/>
            <w:noProof/>
            <w:sz w:val="24"/>
          </w:rPr>
          <w:t>三、基金管理人</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_Toc177999552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11</w:t>
        </w:r>
        <w:r w:rsidR="00807F83" w:rsidRPr="00807F83">
          <w:rPr>
            <w:rFonts w:ascii="宋体" w:hAnsi="宋体"/>
            <w:noProof/>
            <w:sz w:val="24"/>
          </w:rPr>
          <w:fldChar w:fldCharType="end"/>
        </w:r>
      </w:hyperlink>
    </w:p>
    <w:p w14:paraId="7C063769" w14:textId="3139988E" w:rsidR="00807F83" w:rsidRPr="008A063F" w:rsidRDefault="00253A73" w:rsidP="00807F83">
      <w:pPr>
        <w:pStyle w:val="11"/>
        <w:tabs>
          <w:tab w:val="right" w:leader="dot" w:pos="8550"/>
        </w:tabs>
        <w:spacing w:line="360" w:lineRule="auto"/>
        <w:rPr>
          <w:rFonts w:ascii="宋体" w:hAnsi="宋体"/>
          <w:noProof/>
          <w:sz w:val="24"/>
        </w:rPr>
      </w:pPr>
      <w:hyperlink w:anchor="_Toc177999553" w:history="1">
        <w:r w:rsidR="00807F83" w:rsidRPr="00807F83">
          <w:rPr>
            <w:rStyle w:val="af0"/>
            <w:rFonts w:ascii="宋体" w:hAnsi="宋体" w:hint="eastAsia"/>
            <w:noProof/>
            <w:sz w:val="24"/>
          </w:rPr>
          <w:t>四、基金托管人</w:t>
        </w:r>
        <w:bookmarkStart w:id="3" w:name="_GoBack"/>
        <w:bookmarkEnd w:id="3"/>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_Toc177999553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19</w:t>
        </w:r>
        <w:r w:rsidR="00807F83" w:rsidRPr="00807F83">
          <w:rPr>
            <w:rFonts w:ascii="宋体" w:hAnsi="宋体"/>
            <w:noProof/>
            <w:sz w:val="24"/>
          </w:rPr>
          <w:fldChar w:fldCharType="end"/>
        </w:r>
      </w:hyperlink>
    </w:p>
    <w:p w14:paraId="1588BB05" w14:textId="7B1B29D4" w:rsidR="00807F83" w:rsidRPr="008A063F" w:rsidRDefault="00253A73" w:rsidP="00807F83">
      <w:pPr>
        <w:pStyle w:val="11"/>
        <w:tabs>
          <w:tab w:val="right" w:leader="dot" w:pos="8550"/>
        </w:tabs>
        <w:spacing w:line="360" w:lineRule="auto"/>
        <w:rPr>
          <w:rFonts w:ascii="宋体" w:hAnsi="宋体"/>
          <w:noProof/>
          <w:sz w:val="24"/>
        </w:rPr>
      </w:pPr>
      <w:hyperlink w:anchor="_Toc177999554" w:history="1">
        <w:r w:rsidR="00807F83" w:rsidRPr="00807F83">
          <w:rPr>
            <w:rStyle w:val="af0"/>
            <w:rFonts w:ascii="宋体" w:hAnsi="宋体" w:hint="eastAsia"/>
            <w:noProof/>
            <w:sz w:val="24"/>
          </w:rPr>
          <w:t>五、相关服务机构</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_Toc177999554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26</w:t>
        </w:r>
        <w:r w:rsidR="00807F83" w:rsidRPr="00807F83">
          <w:rPr>
            <w:rFonts w:ascii="宋体" w:hAnsi="宋体"/>
            <w:noProof/>
            <w:sz w:val="24"/>
          </w:rPr>
          <w:fldChar w:fldCharType="end"/>
        </w:r>
      </w:hyperlink>
    </w:p>
    <w:p w14:paraId="397B7CAB" w14:textId="4D4D10AB" w:rsidR="00807F83" w:rsidRPr="008A063F" w:rsidRDefault="00253A73" w:rsidP="00807F83">
      <w:pPr>
        <w:pStyle w:val="11"/>
        <w:tabs>
          <w:tab w:val="right" w:leader="dot" w:pos="8550"/>
        </w:tabs>
        <w:spacing w:line="360" w:lineRule="auto"/>
        <w:rPr>
          <w:rFonts w:ascii="宋体" w:hAnsi="宋体"/>
          <w:noProof/>
          <w:sz w:val="24"/>
        </w:rPr>
      </w:pPr>
      <w:hyperlink w:anchor="_Toc177999555" w:history="1">
        <w:r w:rsidR="00807F83" w:rsidRPr="00807F83">
          <w:rPr>
            <w:rStyle w:val="af0"/>
            <w:rFonts w:ascii="宋体" w:hAnsi="宋体" w:hint="eastAsia"/>
            <w:noProof/>
            <w:sz w:val="24"/>
          </w:rPr>
          <w:t>六、基金的募集</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_Toc177999555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50</w:t>
        </w:r>
        <w:r w:rsidR="00807F83" w:rsidRPr="00807F83">
          <w:rPr>
            <w:rFonts w:ascii="宋体" w:hAnsi="宋体"/>
            <w:noProof/>
            <w:sz w:val="24"/>
          </w:rPr>
          <w:fldChar w:fldCharType="end"/>
        </w:r>
      </w:hyperlink>
    </w:p>
    <w:p w14:paraId="516A7B65" w14:textId="053C58E8" w:rsidR="00807F83" w:rsidRPr="008A063F" w:rsidRDefault="00253A73" w:rsidP="00807F83">
      <w:pPr>
        <w:pStyle w:val="11"/>
        <w:tabs>
          <w:tab w:val="right" w:leader="dot" w:pos="8550"/>
        </w:tabs>
        <w:spacing w:line="360" w:lineRule="auto"/>
        <w:rPr>
          <w:rFonts w:ascii="宋体" w:hAnsi="宋体"/>
          <w:noProof/>
          <w:sz w:val="24"/>
        </w:rPr>
      </w:pPr>
      <w:hyperlink w:anchor="_Toc177999556" w:history="1">
        <w:r w:rsidR="00807F83" w:rsidRPr="00807F83">
          <w:rPr>
            <w:rStyle w:val="af0"/>
            <w:rFonts w:ascii="宋体" w:hAnsi="宋体" w:hint="eastAsia"/>
            <w:noProof/>
            <w:sz w:val="24"/>
          </w:rPr>
          <w:t>七、基金合同的生效</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_Toc177999556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51</w:t>
        </w:r>
        <w:r w:rsidR="00807F83" w:rsidRPr="00807F83">
          <w:rPr>
            <w:rFonts w:ascii="宋体" w:hAnsi="宋体"/>
            <w:noProof/>
            <w:sz w:val="24"/>
          </w:rPr>
          <w:fldChar w:fldCharType="end"/>
        </w:r>
      </w:hyperlink>
    </w:p>
    <w:p w14:paraId="7D0CB245" w14:textId="1FC62C9C" w:rsidR="00807F83" w:rsidRPr="008A063F" w:rsidRDefault="00253A73" w:rsidP="00807F83">
      <w:pPr>
        <w:pStyle w:val="11"/>
        <w:tabs>
          <w:tab w:val="right" w:leader="dot" w:pos="8550"/>
        </w:tabs>
        <w:spacing w:line="360" w:lineRule="auto"/>
        <w:rPr>
          <w:rFonts w:ascii="宋体" w:hAnsi="宋体"/>
          <w:noProof/>
          <w:sz w:val="24"/>
        </w:rPr>
      </w:pPr>
      <w:hyperlink w:anchor="_Toc177999557" w:history="1">
        <w:r w:rsidR="00807F83" w:rsidRPr="00807F83">
          <w:rPr>
            <w:rStyle w:val="af0"/>
            <w:rFonts w:ascii="宋体" w:hAnsi="宋体" w:hint="eastAsia"/>
            <w:noProof/>
            <w:sz w:val="24"/>
          </w:rPr>
          <w:t>八、基金份额的申购与赎回</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_Toc177999557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52</w:t>
        </w:r>
        <w:r w:rsidR="00807F83" w:rsidRPr="00807F83">
          <w:rPr>
            <w:rFonts w:ascii="宋体" w:hAnsi="宋体"/>
            <w:noProof/>
            <w:sz w:val="24"/>
          </w:rPr>
          <w:fldChar w:fldCharType="end"/>
        </w:r>
      </w:hyperlink>
    </w:p>
    <w:p w14:paraId="6B200670" w14:textId="5EDD5323" w:rsidR="00807F83" w:rsidRPr="008A063F" w:rsidRDefault="00253A73" w:rsidP="00807F83">
      <w:pPr>
        <w:pStyle w:val="11"/>
        <w:tabs>
          <w:tab w:val="right" w:leader="dot" w:pos="8550"/>
        </w:tabs>
        <w:spacing w:line="360" w:lineRule="auto"/>
        <w:rPr>
          <w:rFonts w:ascii="宋体" w:hAnsi="宋体"/>
          <w:noProof/>
          <w:sz w:val="24"/>
        </w:rPr>
      </w:pPr>
      <w:hyperlink w:anchor="_Toc177999558" w:history="1">
        <w:r w:rsidR="00807F83" w:rsidRPr="00807F83">
          <w:rPr>
            <w:rStyle w:val="af0"/>
            <w:rFonts w:ascii="宋体" w:hAnsi="宋体" w:hint="eastAsia"/>
            <w:noProof/>
            <w:sz w:val="24"/>
          </w:rPr>
          <w:t>九、基金的转换</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_Toc177999558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66</w:t>
        </w:r>
        <w:r w:rsidR="00807F83" w:rsidRPr="00807F83">
          <w:rPr>
            <w:rFonts w:ascii="宋体" w:hAnsi="宋体"/>
            <w:noProof/>
            <w:sz w:val="24"/>
          </w:rPr>
          <w:fldChar w:fldCharType="end"/>
        </w:r>
      </w:hyperlink>
    </w:p>
    <w:p w14:paraId="46A3DCD1" w14:textId="6DFD9896" w:rsidR="00807F83" w:rsidRPr="008A063F" w:rsidRDefault="00253A73" w:rsidP="00807F83">
      <w:pPr>
        <w:pStyle w:val="11"/>
        <w:tabs>
          <w:tab w:val="right" w:leader="dot" w:pos="8550"/>
        </w:tabs>
        <w:spacing w:line="360" w:lineRule="auto"/>
        <w:rPr>
          <w:rFonts w:ascii="宋体" w:hAnsi="宋体"/>
          <w:noProof/>
          <w:sz w:val="24"/>
        </w:rPr>
      </w:pPr>
      <w:hyperlink w:anchor="_Toc177999559" w:history="1">
        <w:r w:rsidR="00807F83" w:rsidRPr="00807F83">
          <w:rPr>
            <w:rStyle w:val="af0"/>
            <w:rFonts w:ascii="宋体" w:hAnsi="宋体" w:hint="eastAsia"/>
            <w:noProof/>
            <w:sz w:val="24"/>
          </w:rPr>
          <w:t>十、基金的投资</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_Toc177999559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73</w:t>
        </w:r>
        <w:r w:rsidR="00807F83" w:rsidRPr="00807F83">
          <w:rPr>
            <w:rFonts w:ascii="宋体" w:hAnsi="宋体"/>
            <w:noProof/>
            <w:sz w:val="24"/>
          </w:rPr>
          <w:fldChar w:fldCharType="end"/>
        </w:r>
      </w:hyperlink>
    </w:p>
    <w:p w14:paraId="175B0795" w14:textId="1BAB944E" w:rsidR="00807F83" w:rsidRPr="008A063F" w:rsidRDefault="00253A73" w:rsidP="00807F83">
      <w:pPr>
        <w:pStyle w:val="11"/>
        <w:tabs>
          <w:tab w:val="right" w:leader="dot" w:pos="8550"/>
        </w:tabs>
        <w:spacing w:line="360" w:lineRule="auto"/>
        <w:rPr>
          <w:rFonts w:ascii="宋体" w:hAnsi="宋体"/>
          <w:noProof/>
          <w:sz w:val="24"/>
        </w:rPr>
      </w:pPr>
      <w:hyperlink w:anchor="_Toc177999560" w:history="1">
        <w:r w:rsidR="00807F83" w:rsidRPr="00807F83">
          <w:rPr>
            <w:rStyle w:val="af0"/>
            <w:rFonts w:ascii="宋体" w:hAnsi="宋体" w:hint="eastAsia"/>
            <w:noProof/>
            <w:sz w:val="24"/>
          </w:rPr>
          <w:t>十一、基金的业绩</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_Toc177999560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84</w:t>
        </w:r>
        <w:r w:rsidR="00807F83" w:rsidRPr="00807F83">
          <w:rPr>
            <w:rFonts w:ascii="宋体" w:hAnsi="宋体"/>
            <w:noProof/>
            <w:sz w:val="24"/>
          </w:rPr>
          <w:fldChar w:fldCharType="end"/>
        </w:r>
      </w:hyperlink>
    </w:p>
    <w:p w14:paraId="1A3EA7D0" w14:textId="78C8D137" w:rsidR="00807F83" w:rsidRPr="008A063F" w:rsidRDefault="00253A73" w:rsidP="00807F83">
      <w:pPr>
        <w:pStyle w:val="11"/>
        <w:tabs>
          <w:tab w:val="right" w:leader="dot" w:pos="8550"/>
        </w:tabs>
        <w:spacing w:line="360" w:lineRule="auto"/>
        <w:rPr>
          <w:rFonts w:ascii="宋体" w:hAnsi="宋体"/>
          <w:noProof/>
          <w:sz w:val="24"/>
        </w:rPr>
      </w:pPr>
      <w:hyperlink w:anchor="_Toc177999561" w:history="1">
        <w:r w:rsidR="00807F83" w:rsidRPr="00807F83">
          <w:rPr>
            <w:rStyle w:val="af0"/>
            <w:rFonts w:ascii="宋体" w:hAnsi="宋体" w:hint="eastAsia"/>
            <w:noProof/>
            <w:sz w:val="24"/>
          </w:rPr>
          <w:t>十二、基金的财产</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_Toc177999561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87</w:t>
        </w:r>
        <w:r w:rsidR="00807F83" w:rsidRPr="00807F83">
          <w:rPr>
            <w:rFonts w:ascii="宋体" w:hAnsi="宋体"/>
            <w:noProof/>
            <w:sz w:val="24"/>
          </w:rPr>
          <w:fldChar w:fldCharType="end"/>
        </w:r>
      </w:hyperlink>
    </w:p>
    <w:p w14:paraId="70B89161" w14:textId="1AD504A1" w:rsidR="00807F83" w:rsidRPr="008A063F" w:rsidRDefault="00253A73" w:rsidP="00807F83">
      <w:pPr>
        <w:pStyle w:val="11"/>
        <w:tabs>
          <w:tab w:val="right" w:leader="dot" w:pos="8550"/>
        </w:tabs>
        <w:spacing w:line="360" w:lineRule="auto"/>
        <w:rPr>
          <w:rFonts w:ascii="宋体" w:hAnsi="宋体"/>
          <w:noProof/>
          <w:sz w:val="24"/>
        </w:rPr>
      </w:pPr>
      <w:hyperlink w:anchor="_Toc177999562" w:history="1">
        <w:r w:rsidR="00807F83" w:rsidRPr="00807F83">
          <w:rPr>
            <w:rStyle w:val="af0"/>
            <w:rFonts w:ascii="宋体" w:hAnsi="宋体" w:hint="eastAsia"/>
            <w:noProof/>
            <w:sz w:val="24"/>
          </w:rPr>
          <w:t>十三、基金资产的估值</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_Toc177999562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88</w:t>
        </w:r>
        <w:r w:rsidR="00807F83" w:rsidRPr="00807F83">
          <w:rPr>
            <w:rFonts w:ascii="宋体" w:hAnsi="宋体"/>
            <w:noProof/>
            <w:sz w:val="24"/>
          </w:rPr>
          <w:fldChar w:fldCharType="end"/>
        </w:r>
      </w:hyperlink>
    </w:p>
    <w:p w14:paraId="73AE26A1" w14:textId="725A2555" w:rsidR="00807F83" w:rsidRPr="008A063F" w:rsidRDefault="00253A73" w:rsidP="00807F83">
      <w:pPr>
        <w:pStyle w:val="11"/>
        <w:tabs>
          <w:tab w:val="right" w:leader="dot" w:pos="8550"/>
        </w:tabs>
        <w:spacing w:line="360" w:lineRule="auto"/>
        <w:rPr>
          <w:rFonts w:ascii="宋体" w:hAnsi="宋体"/>
          <w:noProof/>
          <w:sz w:val="24"/>
        </w:rPr>
      </w:pPr>
      <w:hyperlink w:anchor="_Toc177999563" w:history="1">
        <w:r w:rsidR="00807F83" w:rsidRPr="00807F83">
          <w:rPr>
            <w:rStyle w:val="af0"/>
            <w:rFonts w:ascii="宋体" w:hAnsi="宋体" w:hint="eastAsia"/>
            <w:noProof/>
            <w:sz w:val="24"/>
          </w:rPr>
          <w:t>十四、基金收益与分配</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_Toc177999563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95</w:t>
        </w:r>
        <w:r w:rsidR="00807F83" w:rsidRPr="00807F83">
          <w:rPr>
            <w:rFonts w:ascii="宋体" w:hAnsi="宋体"/>
            <w:noProof/>
            <w:sz w:val="24"/>
          </w:rPr>
          <w:fldChar w:fldCharType="end"/>
        </w:r>
      </w:hyperlink>
    </w:p>
    <w:p w14:paraId="7B0CDA02" w14:textId="09EA55B7" w:rsidR="00807F83" w:rsidRPr="008A063F" w:rsidRDefault="00253A73" w:rsidP="00807F83">
      <w:pPr>
        <w:pStyle w:val="11"/>
        <w:tabs>
          <w:tab w:val="right" w:leader="dot" w:pos="8550"/>
        </w:tabs>
        <w:spacing w:line="360" w:lineRule="auto"/>
        <w:rPr>
          <w:rFonts w:ascii="宋体" w:hAnsi="宋体"/>
          <w:noProof/>
          <w:sz w:val="24"/>
        </w:rPr>
      </w:pPr>
      <w:hyperlink w:anchor="_Toc177999564" w:history="1">
        <w:r w:rsidR="00807F83" w:rsidRPr="00807F83">
          <w:rPr>
            <w:rStyle w:val="af0"/>
            <w:rFonts w:ascii="宋体" w:hAnsi="宋体" w:hint="eastAsia"/>
            <w:noProof/>
            <w:sz w:val="24"/>
          </w:rPr>
          <w:t>十五、基金的费用与税收</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_Toc177999564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97</w:t>
        </w:r>
        <w:r w:rsidR="00807F83" w:rsidRPr="00807F83">
          <w:rPr>
            <w:rFonts w:ascii="宋体" w:hAnsi="宋体"/>
            <w:noProof/>
            <w:sz w:val="24"/>
          </w:rPr>
          <w:fldChar w:fldCharType="end"/>
        </w:r>
      </w:hyperlink>
    </w:p>
    <w:p w14:paraId="371471BE" w14:textId="0E421946" w:rsidR="00807F83" w:rsidRPr="008A063F" w:rsidRDefault="00253A73" w:rsidP="00807F83">
      <w:pPr>
        <w:pStyle w:val="11"/>
        <w:tabs>
          <w:tab w:val="right" w:leader="dot" w:pos="8550"/>
        </w:tabs>
        <w:spacing w:line="360" w:lineRule="auto"/>
        <w:rPr>
          <w:rFonts w:ascii="宋体" w:hAnsi="宋体"/>
          <w:noProof/>
          <w:sz w:val="24"/>
        </w:rPr>
      </w:pPr>
      <w:hyperlink w:anchor="_Toc177999565" w:history="1">
        <w:r w:rsidR="00807F83" w:rsidRPr="00807F83">
          <w:rPr>
            <w:rStyle w:val="af0"/>
            <w:rFonts w:ascii="宋体" w:hAnsi="宋体" w:hint="eastAsia"/>
            <w:noProof/>
            <w:sz w:val="24"/>
          </w:rPr>
          <w:t>十六、基金的会计与审计</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_Toc177999565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101</w:t>
        </w:r>
        <w:r w:rsidR="00807F83" w:rsidRPr="00807F83">
          <w:rPr>
            <w:rFonts w:ascii="宋体" w:hAnsi="宋体"/>
            <w:noProof/>
            <w:sz w:val="24"/>
          </w:rPr>
          <w:fldChar w:fldCharType="end"/>
        </w:r>
      </w:hyperlink>
    </w:p>
    <w:p w14:paraId="265C58F9" w14:textId="1D333227" w:rsidR="00807F83" w:rsidRPr="008A063F" w:rsidRDefault="00253A73" w:rsidP="00807F83">
      <w:pPr>
        <w:pStyle w:val="11"/>
        <w:tabs>
          <w:tab w:val="right" w:leader="dot" w:pos="8550"/>
        </w:tabs>
        <w:spacing w:line="360" w:lineRule="auto"/>
        <w:rPr>
          <w:rFonts w:ascii="宋体" w:hAnsi="宋体"/>
          <w:noProof/>
          <w:sz w:val="24"/>
        </w:rPr>
      </w:pPr>
      <w:hyperlink w:anchor="_Toc177999566" w:history="1">
        <w:r w:rsidR="00807F83" w:rsidRPr="00807F83">
          <w:rPr>
            <w:rStyle w:val="af0"/>
            <w:rFonts w:ascii="宋体" w:hAnsi="宋体" w:hint="eastAsia"/>
            <w:noProof/>
            <w:sz w:val="24"/>
          </w:rPr>
          <w:t>十七、基金的信息披露</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_Toc177999566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102</w:t>
        </w:r>
        <w:r w:rsidR="00807F83" w:rsidRPr="00807F83">
          <w:rPr>
            <w:rFonts w:ascii="宋体" w:hAnsi="宋体"/>
            <w:noProof/>
            <w:sz w:val="24"/>
          </w:rPr>
          <w:fldChar w:fldCharType="end"/>
        </w:r>
      </w:hyperlink>
    </w:p>
    <w:p w14:paraId="3FCDFEDB" w14:textId="530FB1ED" w:rsidR="00807F83" w:rsidRPr="008A063F" w:rsidRDefault="00253A73" w:rsidP="00807F83">
      <w:pPr>
        <w:pStyle w:val="11"/>
        <w:tabs>
          <w:tab w:val="right" w:leader="dot" w:pos="8550"/>
        </w:tabs>
        <w:spacing w:line="360" w:lineRule="auto"/>
        <w:rPr>
          <w:rFonts w:ascii="宋体" w:hAnsi="宋体"/>
          <w:noProof/>
          <w:sz w:val="24"/>
        </w:rPr>
      </w:pPr>
      <w:hyperlink w:anchor="_Toc177999567" w:history="1">
        <w:r w:rsidR="00807F83" w:rsidRPr="00807F83">
          <w:rPr>
            <w:rStyle w:val="af0"/>
            <w:rFonts w:ascii="宋体" w:hAnsi="宋体" w:hint="eastAsia"/>
            <w:noProof/>
            <w:sz w:val="24"/>
          </w:rPr>
          <w:t>十八、风险揭示</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_Toc177999567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109</w:t>
        </w:r>
        <w:r w:rsidR="00807F83" w:rsidRPr="00807F83">
          <w:rPr>
            <w:rFonts w:ascii="宋体" w:hAnsi="宋体"/>
            <w:noProof/>
            <w:sz w:val="24"/>
          </w:rPr>
          <w:fldChar w:fldCharType="end"/>
        </w:r>
      </w:hyperlink>
    </w:p>
    <w:p w14:paraId="5CB6EC73" w14:textId="6E3361C6" w:rsidR="00807F83" w:rsidRPr="008A063F" w:rsidRDefault="00253A73" w:rsidP="00807F83">
      <w:pPr>
        <w:pStyle w:val="11"/>
        <w:tabs>
          <w:tab w:val="right" w:leader="dot" w:pos="8550"/>
        </w:tabs>
        <w:spacing w:line="360" w:lineRule="auto"/>
        <w:rPr>
          <w:rFonts w:ascii="宋体" w:hAnsi="宋体"/>
          <w:noProof/>
          <w:sz w:val="24"/>
        </w:rPr>
      </w:pPr>
      <w:hyperlink w:anchor="_Toc177999568" w:history="1">
        <w:r w:rsidR="00807F83" w:rsidRPr="00807F83">
          <w:rPr>
            <w:rStyle w:val="af0"/>
            <w:rFonts w:ascii="宋体" w:hAnsi="宋体" w:hint="eastAsia"/>
            <w:noProof/>
            <w:sz w:val="24"/>
          </w:rPr>
          <w:t>十九、基金合同的变更、终止与基金财产的清算</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_Toc177999568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118</w:t>
        </w:r>
        <w:r w:rsidR="00807F83" w:rsidRPr="00807F83">
          <w:rPr>
            <w:rFonts w:ascii="宋体" w:hAnsi="宋体"/>
            <w:noProof/>
            <w:sz w:val="24"/>
          </w:rPr>
          <w:fldChar w:fldCharType="end"/>
        </w:r>
      </w:hyperlink>
    </w:p>
    <w:p w14:paraId="7099F042" w14:textId="126D45A9" w:rsidR="00807F83" w:rsidRPr="008A063F" w:rsidRDefault="00253A73" w:rsidP="00807F83">
      <w:pPr>
        <w:pStyle w:val="11"/>
        <w:tabs>
          <w:tab w:val="right" w:leader="dot" w:pos="8550"/>
        </w:tabs>
        <w:spacing w:line="360" w:lineRule="auto"/>
        <w:rPr>
          <w:rFonts w:ascii="宋体" w:hAnsi="宋体"/>
          <w:noProof/>
          <w:sz w:val="24"/>
        </w:rPr>
      </w:pPr>
      <w:hyperlink w:anchor="_Toc177999569" w:history="1">
        <w:r w:rsidR="00807F83" w:rsidRPr="00807F83">
          <w:rPr>
            <w:rStyle w:val="af0"/>
            <w:rFonts w:ascii="宋体" w:hAnsi="宋体" w:hint="eastAsia"/>
            <w:noProof/>
            <w:sz w:val="24"/>
          </w:rPr>
          <w:t>二十、基金合同内容摘要</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_Toc177999569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120</w:t>
        </w:r>
        <w:r w:rsidR="00807F83" w:rsidRPr="00807F83">
          <w:rPr>
            <w:rFonts w:ascii="宋体" w:hAnsi="宋体"/>
            <w:noProof/>
            <w:sz w:val="24"/>
          </w:rPr>
          <w:fldChar w:fldCharType="end"/>
        </w:r>
      </w:hyperlink>
    </w:p>
    <w:p w14:paraId="5CA3172D" w14:textId="3E7A5907" w:rsidR="00807F83" w:rsidRPr="008A063F" w:rsidRDefault="00253A73" w:rsidP="00807F83">
      <w:pPr>
        <w:pStyle w:val="11"/>
        <w:tabs>
          <w:tab w:val="right" w:leader="dot" w:pos="8550"/>
        </w:tabs>
        <w:spacing w:line="360" w:lineRule="auto"/>
        <w:rPr>
          <w:rFonts w:ascii="宋体" w:hAnsi="宋体"/>
          <w:noProof/>
          <w:sz w:val="24"/>
        </w:rPr>
      </w:pPr>
      <w:hyperlink w:anchor="_Toc177999570" w:history="1">
        <w:r w:rsidR="00807F83" w:rsidRPr="00807F83">
          <w:rPr>
            <w:rStyle w:val="af0"/>
            <w:rFonts w:ascii="宋体" w:hAnsi="宋体" w:hint="eastAsia"/>
            <w:noProof/>
            <w:sz w:val="24"/>
          </w:rPr>
          <w:t>二十一、托管协议的内容摘要</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_Toc177999570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136</w:t>
        </w:r>
        <w:r w:rsidR="00807F83" w:rsidRPr="00807F83">
          <w:rPr>
            <w:rFonts w:ascii="宋体" w:hAnsi="宋体"/>
            <w:noProof/>
            <w:sz w:val="24"/>
          </w:rPr>
          <w:fldChar w:fldCharType="end"/>
        </w:r>
      </w:hyperlink>
    </w:p>
    <w:p w14:paraId="77BCF548" w14:textId="39BA8126" w:rsidR="00807F83" w:rsidRPr="008A063F" w:rsidRDefault="00253A73" w:rsidP="00807F83">
      <w:pPr>
        <w:pStyle w:val="11"/>
        <w:tabs>
          <w:tab w:val="right" w:leader="dot" w:pos="8550"/>
        </w:tabs>
        <w:spacing w:line="360" w:lineRule="auto"/>
        <w:rPr>
          <w:rFonts w:ascii="宋体" w:hAnsi="宋体"/>
          <w:noProof/>
          <w:sz w:val="24"/>
        </w:rPr>
      </w:pPr>
      <w:hyperlink w:anchor="_Toc177999571" w:history="1">
        <w:r w:rsidR="00807F83" w:rsidRPr="00807F83">
          <w:rPr>
            <w:rStyle w:val="af0"/>
            <w:rFonts w:ascii="宋体" w:hAnsi="宋体" w:hint="eastAsia"/>
            <w:noProof/>
            <w:sz w:val="24"/>
          </w:rPr>
          <w:t>二十二、对基金份额持有人的服务</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_Toc177999571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154</w:t>
        </w:r>
        <w:r w:rsidR="00807F83" w:rsidRPr="00807F83">
          <w:rPr>
            <w:rFonts w:ascii="宋体" w:hAnsi="宋体"/>
            <w:noProof/>
            <w:sz w:val="24"/>
          </w:rPr>
          <w:fldChar w:fldCharType="end"/>
        </w:r>
      </w:hyperlink>
    </w:p>
    <w:p w14:paraId="271AC67D" w14:textId="6BBE1D88" w:rsidR="00807F83" w:rsidRPr="008A063F" w:rsidRDefault="00253A73" w:rsidP="00807F83">
      <w:pPr>
        <w:pStyle w:val="11"/>
        <w:tabs>
          <w:tab w:val="right" w:leader="dot" w:pos="8550"/>
        </w:tabs>
        <w:spacing w:line="360" w:lineRule="auto"/>
        <w:rPr>
          <w:rFonts w:ascii="宋体" w:hAnsi="宋体"/>
          <w:noProof/>
          <w:sz w:val="24"/>
        </w:rPr>
      </w:pPr>
      <w:hyperlink w:anchor="_Toc177999572" w:history="1">
        <w:r w:rsidR="00807F83" w:rsidRPr="00807F83">
          <w:rPr>
            <w:rStyle w:val="af0"/>
            <w:rFonts w:ascii="宋体" w:hAnsi="宋体" w:hint="eastAsia"/>
            <w:noProof/>
            <w:sz w:val="24"/>
          </w:rPr>
          <w:t>二十三、其他应披露事项</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_Toc177999572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156</w:t>
        </w:r>
        <w:r w:rsidR="00807F83" w:rsidRPr="00807F83">
          <w:rPr>
            <w:rFonts w:ascii="宋体" w:hAnsi="宋体"/>
            <w:noProof/>
            <w:sz w:val="24"/>
          </w:rPr>
          <w:fldChar w:fldCharType="end"/>
        </w:r>
      </w:hyperlink>
    </w:p>
    <w:p w14:paraId="493D82A6" w14:textId="43DD9ECC" w:rsidR="00807F83" w:rsidRPr="008A063F" w:rsidRDefault="00253A73" w:rsidP="00807F83">
      <w:pPr>
        <w:pStyle w:val="11"/>
        <w:tabs>
          <w:tab w:val="right" w:leader="dot" w:pos="8550"/>
        </w:tabs>
        <w:spacing w:line="360" w:lineRule="auto"/>
        <w:rPr>
          <w:rFonts w:ascii="宋体" w:hAnsi="宋体"/>
          <w:noProof/>
          <w:sz w:val="24"/>
        </w:rPr>
      </w:pPr>
      <w:hyperlink w:anchor="_Toc177999573" w:history="1">
        <w:r w:rsidR="00807F83" w:rsidRPr="00807F83">
          <w:rPr>
            <w:rStyle w:val="af0"/>
            <w:rFonts w:ascii="宋体" w:hAnsi="宋体" w:hint="eastAsia"/>
            <w:noProof/>
            <w:sz w:val="24"/>
          </w:rPr>
          <w:t>二十四、招募说明书的存放及查阅方式</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_Toc177999573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159</w:t>
        </w:r>
        <w:r w:rsidR="00807F83" w:rsidRPr="00807F83">
          <w:rPr>
            <w:rFonts w:ascii="宋体" w:hAnsi="宋体"/>
            <w:noProof/>
            <w:sz w:val="24"/>
          </w:rPr>
          <w:fldChar w:fldCharType="end"/>
        </w:r>
      </w:hyperlink>
    </w:p>
    <w:p w14:paraId="57CA00F5" w14:textId="396477DC" w:rsidR="00807F83" w:rsidRPr="008A063F" w:rsidRDefault="00253A73" w:rsidP="00807F83">
      <w:pPr>
        <w:pStyle w:val="11"/>
        <w:tabs>
          <w:tab w:val="right" w:leader="dot" w:pos="8550"/>
        </w:tabs>
        <w:spacing w:line="360" w:lineRule="auto"/>
        <w:rPr>
          <w:rFonts w:ascii="宋体" w:hAnsi="宋体"/>
          <w:noProof/>
          <w:sz w:val="24"/>
        </w:rPr>
      </w:pPr>
      <w:hyperlink w:anchor="_Toc177999574" w:history="1">
        <w:r w:rsidR="00807F83" w:rsidRPr="00807F83">
          <w:rPr>
            <w:rStyle w:val="af0"/>
            <w:rFonts w:ascii="宋体" w:hAnsi="宋体" w:hint="eastAsia"/>
            <w:noProof/>
            <w:sz w:val="24"/>
          </w:rPr>
          <w:t>二十五、备查文件</w:t>
        </w:r>
        <w:r w:rsidR="00807F83" w:rsidRPr="00807F83">
          <w:rPr>
            <w:rFonts w:ascii="宋体" w:hAnsi="宋体"/>
            <w:noProof/>
            <w:sz w:val="24"/>
          </w:rPr>
          <w:tab/>
        </w:r>
        <w:r w:rsidR="00807F83" w:rsidRPr="00807F83">
          <w:rPr>
            <w:rFonts w:ascii="宋体" w:hAnsi="宋体"/>
            <w:noProof/>
            <w:sz w:val="24"/>
          </w:rPr>
          <w:fldChar w:fldCharType="begin"/>
        </w:r>
        <w:r w:rsidR="00807F83" w:rsidRPr="00807F83">
          <w:rPr>
            <w:rFonts w:ascii="宋体" w:hAnsi="宋体"/>
            <w:noProof/>
            <w:sz w:val="24"/>
          </w:rPr>
          <w:instrText xml:space="preserve"> PAGEREF _Toc177999574 \h </w:instrText>
        </w:r>
        <w:r w:rsidR="00807F83" w:rsidRPr="00807F83">
          <w:rPr>
            <w:rFonts w:ascii="宋体" w:hAnsi="宋体"/>
            <w:noProof/>
            <w:sz w:val="24"/>
          </w:rPr>
        </w:r>
        <w:r w:rsidR="00807F83" w:rsidRPr="00807F83">
          <w:rPr>
            <w:rFonts w:ascii="宋体" w:hAnsi="宋体"/>
            <w:noProof/>
            <w:sz w:val="24"/>
          </w:rPr>
          <w:fldChar w:fldCharType="separate"/>
        </w:r>
        <w:r w:rsidR="00080F0E">
          <w:rPr>
            <w:rFonts w:ascii="宋体" w:hAnsi="宋体"/>
            <w:noProof/>
            <w:sz w:val="24"/>
          </w:rPr>
          <w:t>160</w:t>
        </w:r>
        <w:r w:rsidR="00807F83" w:rsidRPr="00807F83">
          <w:rPr>
            <w:rFonts w:ascii="宋体" w:hAnsi="宋体"/>
            <w:noProof/>
            <w:sz w:val="24"/>
          </w:rPr>
          <w:fldChar w:fldCharType="end"/>
        </w:r>
      </w:hyperlink>
    </w:p>
    <w:p w14:paraId="66484A3A" w14:textId="135424D0" w:rsidR="00877B87" w:rsidRDefault="00807F83" w:rsidP="00130E5F">
      <w:pPr>
        <w:pStyle w:val="af3"/>
        <w:snapToGrid w:val="0"/>
        <w:spacing w:after="240" w:line="360" w:lineRule="auto"/>
        <w:jc w:val="center"/>
        <w:rPr>
          <w:b w:val="0"/>
          <w:bCs w:val="0"/>
        </w:rPr>
        <w:sectPr w:rsidR="00877B87">
          <w:pgSz w:w="11920" w:h="16840"/>
          <w:pgMar w:top="1480" w:right="1680" w:bottom="280" w:left="1680" w:header="0" w:footer="1073" w:gutter="0"/>
          <w:cols w:space="720"/>
        </w:sectPr>
      </w:pPr>
      <w:r w:rsidRPr="00807F83">
        <w:rPr>
          <w:rFonts w:ascii="宋体" w:hAnsi="宋体"/>
          <w:b w:val="0"/>
          <w:bCs w:val="0"/>
          <w:color w:val="000000"/>
          <w:position w:val="-4"/>
          <w:sz w:val="24"/>
          <w:szCs w:val="30"/>
        </w:rPr>
        <w:fldChar w:fldCharType="end"/>
      </w:r>
    </w:p>
    <w:p w14:paraId="7E547AFE" w14:textId="77777777" w:rsidR="00877B87" w:rsidRDefault="008116FB">
      <w:pPr>
        <w:pStyle w:val="1"/>
        <w:snapToGrid w:val="0"/>
        <w:spacing w:beforeLines="0" w:before="240" w:after="240"/>
        <w:rPr>
          <w:rFonts w:ascii="宋体" w:hAnsi="宋体"/>
          <w:szCs w:val="30"/>
        </w:rPr>
      </w:pPr>
      <w:bookmarkStart w:id="4" w:name="_Toc177999550"/>
      <w:r>
        <w:rPr>
          <w:rFonts w:ascii="Times New Roman" w:hAnsi="Times New Roman"/>
          <w:sz w:val="30"/>
        </w:rPr>
        <w:lastRenderedPageBreak/>
        <w:t>一、绪言</w:t>
      </w:r>
      <w:bookmarkEnd w:id="4"/>
    </w:p>
    <w:p w14:paraId="09FF60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创业板50指数型证券投资基金招募说明书》（以下简称“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以下简称“《指数基金指引》”）和其他相关法律法规的规定以及《交银施罗德创业板50指数型证券投资基金基金合同》（以下简称“基金合同”）编写。</w:t>
      </w:r>
    </w:p>
    <w:p w14:paraId="2512D86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5F050A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5F5DF512"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28FA787" w14:textId="77777777" w:rsidR="00877B87" w:rsidRDefault="008116FB">
      <w:pPr>
        <w:pStyle w:val="1"/>
        <w:snapToGrid w:val="0"/>
        <w:spacing w:beforeLines="0" w:before="240" w:after="240"/>
        <w:rPr>
          <w:rFonts w:ascii="宋体" w:hAnsi="宋体"/>
          <w:szCs w:val="30"/>
        </w:rPr>
      </w:pPr>
      <w:bookmarkStart w:id="5" w:name="_Toc177999551"/>
      <w:r>
        <w:rPr>
          <w:rFonts w:ascii="Times New Roman" w:hAnsi="Times New Roman"/>
          <w:sz w:val="30"/>
        </w:rPr>
        <w:lastRenderedPageBreak/>
        <w:t>二、释义</w:t>
      </w:r>
      <w:bookmarkEnd w:id="5"/>
    </w:p>
    <w:p w14:paraId="4C1AC6C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14:paraId="3A4886E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1、基金或本基金：指交银施罗德创业板50指数型证券投资基金</w:t>
      </w:r>
    </w:p>
    <w:p w14:paraId="0B6B1D4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2、基金管理人或本基金管理人：指交银施罗德基金管理有限公司</w:t>
      </w:r>
    </w:p>
    <w:p w14:paraId="274E5DA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3、基金托管人：指招商银行股份有限公司</w:t>
      </w:r>
    </w:p>
    <w:p w14:paraId="046C4A2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4、基金合同或《基金合同》：指《交银施罗德创业板50指数型证券投资基金基金合同》及对基金合同的任何有效修订和补充</w:t>
      </w:r>
    </w:p>
    <w:p w14:paraId="49659CA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5、托管协议：指基金管理人与基金托管人就本基金签订之《交银施罗德创业板50指数型证券投资基金托管协议》及对该托管协议的任何有效修订和补充</w:t>
      </w:r>
    </w:p>
    <w:p w14:paraId="5A36738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6、招募说明书、本招募说明书或《招募说明书》：指《交银施罗德创业板50指数型证券投资基金招募说明书》及其更新</w:t>
      </w:r>
    </w:p>
    <w:p w14:paraId="75FACDD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7、基金份额发售公告：指《交银施罗德创业板50指数型证券投资基金基金份额发售公告》</w:t>
      </w:r>
    </w:p>
    <w:p w14:paraId="31B8B6F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8、基金产品资料概要：指《交银施罗德创业板50指数型证券投资基金基金产品资料概要》及其更新</w:t>
      </w:r>
    </w:p>
    <w:p w14:paraId="164FB1D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9、法律法规：指中国现行有效并公布实施的法律、行政法规、规范性文件、司法解释、行政规章以及其他对基金合同当事人有约束力的决定、决议、通知等</w:t>
      </w:r>
    </w:p>
    <w:p w14:paraId="0A6660F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14A2D8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11、《销售办法》：指中国证监会2013年3月15日颁布、同年6月1日实施的《证券投资基金销售管理办法》及颁布机关对其不时做出的修订</w:t>
      </w:r>
    </w:p>
    <w:p w14:paraId="4648EDE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12、《信息披露办法》：指中国证监会2019年7月26日颁布、同年9月1日实施的《公开募集证券投资基金信息披露管理办法》及颁布机关对其不时做出的修订</w:t>
      </w:r>
    </w:p>
    <w:p w14:paraId="76DC9BC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13、《运作办法》：指中国证监会2014年7月7日颁布、同年8月8日实施的《公开募集证券投资基金运作管理办法》及颁布机关对其不时做出的修订</w:t>
      </w:r>
    </w:p>
    <w:p w14:paraId="0851E73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14、《流动性风险管理规定》：指中国证监会2017年8月31日颁布、同年10月1日实施的《公开募集开放式证券投资基金流动性风险管理规定》及颁布机关对其不时做出的修订</w:t>
      </w:r>
    </w:p>
    <w:p w14:paraId="4920A1A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15、《指数基金指引》：指中国证监会2021年1月22日颁布、同年2月1日实施的《公开募集证券投资基金运作指引第3号——指数基金指引》及颁布机关对其不时做出的修订</w:t>
      </w:r>
    </w:p>
    <w:p w14:paraId="03E6F1C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16、中国证监会：指中国证券监督管理委员会</w:t>
      </w:r>
    </w:p>
    <w:p w14:paraId="4DD6B5F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17、银行业监督管理机构：指中国人民银行和/或中国银行保险监督管理委员会</w:t>
      </w:r>
    </w:p>
    <w:p w14:paraId="410F879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18、基金合同当事人：指受基金合同约束，根据基金合同享有权利并承担义务的法律主体，包括基金管理人、基金托管人和基金份额持有人</w:t>
      </w:r>
    </w:p>
    <w:p w14:paraId="0BD0A0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19、个人投资者：指依据有关法律法规规定可投资于证券投资基金的自然人</w:t>
      </w:r>
    </w:p>
    <w:p w14:paraId="5DA6DB1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20、机构投资者：指依法可以投资证券投资基金的、在中华人民共和国境内合法登记并存续或经有关政府部门批准设立并存续的企业法人、事业法人、社会团体或其他组织</w:t>
      </w:r>
    </w:p>
    <w:p w14:paraId="652F363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21、合格境外机构投资者：指符合《合格境外机构投资者境内证券投资管理办法》及相关法律法规规定可以投资于在中国境内依法募集的证券投资基金的中国境外的机构投资者</w:t>
      </w:r>
    </w:p>
    <w:p w14:paraId="5F3F3B9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22、人民币合格境外机构投资者：指按照《人民币合格境外机构投资者境内证券投资试点办法》及相关法律法规规定，运用来自境外的人民币资金进行境内证券投资的境外法人</w:t>
      </w:r>
    </w:p>
    <w:p w14:paraId="17DEBDE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23、投资人、投资者：指个人投资者、机构投资者、合格境外机构投资者和人民币合格境外机构投资者以及法律法规或中国证监会允许购买证券投资基金的其他投资人的合称</w:t>
      </w:r>
    </w:p>
    <w:p w14:paraId="5727B51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24、基金份额持有人：指依基金合同和招募说明书合法取得基金份额的投资人</w:t>
      </w:r>
    </w:p>
    <w:p w14:paraId="295ADDF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25、基金销售业务：指基金管理人或销售机构宣传推介基金，发售基金份额，办理基金份额的申购、赎回、转换、转托管及定期定额投资等业务</w:t>
      </w:r>
    </w:p>
    <w:p w14:paraId="1E031A5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26、销售机构：指交银施罗德基金管理有限公司以及符合《销售办法》和中国证监会规定的其他条件，取得基金销售业务资格并与基金管理人签订了基金销售服务协议，办理基金销售业务的机构</w:t>
      </w:r>
    </w:p>
    <w:p w14:paraId="78153C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27、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61AC2DD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28、登记机构：指办理登记业务的机构。基金的登记机构为交银施罗德基金管理有限公司或接受交银施罗德基金管理有限公司委托代为办理登记业务的机构</w:t>
      </w:r>
    </w:p>
    <w:p w14:paraId="256730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29、基金账户：指登记机构为投资人开立的、记录其持有的、基金管理人所管理的基金份额余额及其变动情况的账户</w:t>
      </w:r>
    </w:p>
    <w:p w14:paraId="02B0FCF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30、基金交易账户：指销售机构为投资人开立的、记录投资人通过该销售机构办理认购、申购、赎回、转换及转托管等业务而引起的基金份额变动及结余情况的账户</w:t>
      </w:r>
    </w:p>
    <w:p w14:paraId="5AE5E49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31、基金合同生效日：指基金募集达到法律法规规定及基金合同规定的条件，基金管理人向中国证监会办理基金备案手续完毕，并获得中国证监会书面确认的日期</w:t>
      </w:r>
    </w:p>
    <w:p w14:paraId="407FC35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32、基金合同终止日：指基金合同规定的基金合同终止事由出现后，基金财产清算完毕，清算结果报中国证监会备案并予以公告的日期</w:t>
      </w:r>
    </w:p>
    <w:p w14:paraId="007681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33、基金募集期：指自基金份额发售之日起至发售结束之日止的期间，最长不得超过3个月</w:t>
      </w:r>
    </w:p>
    <w:p w14:paraId="5D6540B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34、存续期：指基金合同生效至终止之间的不定期期限</w:t>
      </w:r>
    </w:p>
    <w:p w14:paraId="106F9D3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35、工作日：指上海证券交易所、深圳证券交易所的正常交易日</w:t>
      </w:r>
    </w:p>
    <w:p w14:paraId="24EF47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36、T日：指销售机构在规定时间受理投资人申购、赎回或其他业务申请的开放日</w:t>
      </w:r>
    </w:p>
    <w:p w14:paraId="0A8D879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37、T+n日：指自T日起第n个工作日（不包含T日）</w:t>
      </w:r>
    </w:p>
    <w:p w14:paraId="72988DA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38、开放日：指为投资人办理基金份额申购、赎回或其他业务的工作日</w:t>
      </w:r>
    </w:p>
    <w:p w14:paraId="617FA7B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39、开放时间：指开放日基金接受申购、赎回或其他交易的时间段</w:t>
      </w:r>
    </w:p>
    <w:p w14:paraId="79522C8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40、《业务规则》：指中国证券登记结算有限责任公司相关业务规则及其不时做出的修订</w:t>
      </w:r>
    </w:p>
    <w:p w14:paraId="6082824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41、认购：指在基金募集期内，投资人根据基金合同和招募说明书的规定申请购买基金份额的行为</w:t>
      </w:r>
    </w:p>
    <w:p w14:paraId="09CD55E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42、申购：指基金合同生效后，投资人根据基金合同和招募说明书的规定申请购买基金份额的行为</w:t>
      </w:r>
    </w:p>
    <w:p w14:paraId="2564826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43、赎回：指基金合同生效后，基金份额持有人按基金合同和招募说明书规定的条件要求将基金份额兑换为现金的行为</w:t>
      </w:r>
    </w:p>
    <w:p w14:paraId="1BEAEE2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44、基金转换：指基金份额持有人按照基金合同和基金管理人届时有效公告规定的条件，申请将其持有基金管理人管理的、某一基金的基金份额转换为基金管理人管理的其他基金基金份额的行为</w:t>
      </w:r>
    </w:p>
    <w:p w14:paraId="1EBF0E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45、转托管：指基金份额持有人在本基金的不同销售机构之间实施的变更所持基金份额销售机构的操作</w:t>
      </w:r>
    </w:p>
    <w:p w14:paraId="228933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0480E86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巨额赎回：指本基金单个开放日，基金净赎回申请（赎回申请份额总数加上基金转换中转出申请份额总数后扣除申购申请份额总数及基金转换中转入申请份额总数后的余额）超过上一开放日基金总份额的10%的情形</w:t>
      </w:r>
    </w:p>
    <w:p w14:paraId="605FDD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48、元：指人民币元</w:t>
      </w:r>
    </w:p>
    <w:p w14:paraId="58B8D94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49、基金收益：指基金投资所得红利、股息、债券利息、买卖证券价差、银行存款利息、已实现的其他合法收入及因运用基金财产带来的成本和费用的节约</w:t>
      </w:r>
    </w:p>
    <w:p w14:paraId="4674C65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50、基金资产总值：指基金拥有的各类有价证券、银行存款本息、基金应收申购款及其他资产的价值总和</w:t>
      </w:r>
    </w:p>
    <w:p w14:paraId="08E91AD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51、基金资产净值：指基金资产总值减去基金负债后的价值</w:t>
      </w:r>
    </w:p>
    <w:p w14:paraId="71B7AF4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52、基金份额净值：指计算日基金资产净值除以计算日基金份额总数</w:t>
      </w:r>
    </w:p>
    <w:p w14:paraId="2ECB21D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53、基金资产估值：指计算评估基金资产和负债的价值，以确定基金资产净值和基金份额净值的过程</w:t>
      </w:r>
    </w:p>
    <w:p w14:paraId="41DDE4A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54、规定媒介：指符合中国证监会规定条件的用以进行信息披露的全国性报刊及《信息披露办法》规定的互联网网站（包括基金管理人网站、基金托管人网站、中国证监会基金电子披露网站）等媒介</w:t>
      </w:r>
    </w:p>
    <w:p w14:paraId="789AF48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55、销售服务费：指从基金财产中计提的，用于本基金市场推广、销售以及基金份额持有人服务的费用</w:t>
      </w:r>
    </w:p>
    <w:p w14:paraId="246DEF36" w14:textId="77777777" w:rsidR="00246F2F" w:rsidRPr="00246F2F" w:rsidRDefault="008116FB" w:rsidP="00246F2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56、</w:t>
      </w:r>
      <w:r w:rsidR="00246F2F" w:rsidRPr="00246F2F">
        <w:rPr>
          <w:rFonts w:ascii="宋体" w:hAnsi="宋体" w:hint="eastAsia"/>
          <w:sz w:val="24"/>
        </w:rPr>
        <w:t>基金份额类别：指本基金将基金份额分为不同的类别。非针对个人养老金投资基金业务设立的基金份额，分为A类基金份额和C类基金份额；针对个人养老金投资基金业务设立的基金份额，为Y类基金份额</w:t>
      </w:r>
    </w:p>
    <w:p w14:paraId="0085E40C" w14:textId="287EA00B" w:rsidR="00877B87" w:rsidRDefault="00246F2F" w:rsidP="00246F2F">
      <w:pPr>
        <w:autoSpaceDE w:val="0"/>
        <w:autoSpaceDN w:val="0"/>
        <w:adjustRightInd w:val="0"/>
        <w:snapToGrid w:val="0"/>
        <w:spacing w:line="360" w:lineRule="auto"/>
        <w:ind w:firstLineChars="200" w:firstLine="480"/>
        <w:jc w:val="left"/>
        <w:rPr>
          <w:rFonts w:ascii="宋体" w:hAnsi="宋体"/>
          <w:szCs w:val="24"/>
        </w:rPr>
      </w:pPr>
      <w:r w:rsidRPr="00246F2F">
        <w:rPr>
          <w:rFonts w:ascii="宋体" w:hAnsi="宋体" w:hint="eastAsia"/>
          <w:sz w:val="24"/>
        </w:rPr>
        <w:lastRenderedPageBreak/>
        <w:t>57、</w:t>
      </w:r>
      <w:r w:rsidR="008116FB">
        <w:rPr>
          <w:rFonts w:ascii="宋体" w:hAnsi="宋体"/>
          <w:sz w:val="24"/>
        </w:rPr>
        <w:t>A类基金份额：指在投资人认购/申购时收取认购/申购费用、赎回时收取赎回费用且不从本类别基金资产中计提销售服务费的基金份额</w:t>
      </w:r>
    </w:p>
    <w:p w14:paraId="2B8A441A" w14:textId="271A99E0" w:rsidR="00877B87" w:rsidRPr="00962C82" w:rsidRDefault="008116FB" w:rsidP="00962C8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ED4A2C">
        <w:rPr>
          <w:rFonts w:ascii="宋体" w:hAnsi="宋体"/>
          <w:sz w:val="24"/>
        </w:rPr>
        <w:t>8</w:t>
      </w:r>
      <w:r>
        <w:rPr>
          <w:rFonts w:ascii="宋体" w:hAnsi="宋体"/>
          <w:sz w:val="24"/>
        </w:rPr>
        <w:t>、C类基金份额：指在投资人认购/申购时不收取认购/申购费用、赎回时收取赎回费用，并从本类别基金资产中计提销售服务费的基金份额</w:t>
      </w:r>
    </w:p>
    <w:p w14:paraId="72636592" w14:textId="428DF161"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DD0304">
        <w:rPr>
          <w:rFonts w:ascii="宋体" w:hAnsi="宋体"/>
          <w:sz w:val="24"/>
        </w:rPr>
        <w:t>9</w:t>
      </w:r>
      <w:r>
        <w:rPr>
          <w:rFonts w:ascii="宋体" w:hAnsi="宋体"/>
          <w:sz w:val="24"/>
        </w:rPr>
        <w:t>、标的指数：指创业板50指数</w:t>
      </w:r>
    </w:p>
    <w:p w14:paraId="6A3C8C5B" w14:textId="5A71E942" w:rsidR="00877B87" w:rsidRDefault="00DD030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w:t>
      </w:r>
      <w:r w:rsidR="008116FB">
        <w:rPr>
          <w:rFonts w:ascii="宋体" w:hAnsi="宋体"/>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2FE18076" w14:textId="5F0E6CB4"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sidR="00DD0304">
        <w:rPr>
          <w:rFonts w:ascii="宋体" w:hAnsi="宋体"/>
          <w:sz w:val="24"/>
        </w:rPr>
        <w:t>1</w:t>
      </w:r>
      <w:r>
        <w:rPr>
          <w:rFonts w:ascii="宋体" w:hAnsi="宋体"/>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909FCF0" w14:textId="476D2C8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sidR="00DD0304">
        <w:rPr>
          <w:rFonts w:ascii="宋体" w:hAnsi="宋体"/>
          <w:sz w:val="24"/>
        </w:rPr>
        <w:t>2</w:t>
      </w:r>
      <w:r>
        <w:rPr>
          <w:rFonts w:ascii="宋体" w:hAnsi="宋体"/>
          <w:sz w:val="24"/>
        </w:rPr>
        <w:t>、不可抗力：指基金合同当事人不能预见、不能避免且不能克服的客观事件</w:t>
      </w:r>
    </w:p>
    <w:p w14:paraId="0F398DBC"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DFF133B" w14:textId="77777777" w:rsidR="00877B87" w:rsidRDefault="008116FB">
      <w:pPr>
        <w:pStyle w:val="1"/>
        <w:snapToGrid w:val="0"/>
        <w:spacing w:beforeLines="0" w:before="240" w:after="240"/>
        <w:rPr>
          <w:rFonts w:ascii="宋体" w:hAnsi="宋体"/>
          <w:szCs w:val="30"/>
        </w:rPr>
      </w:pPr>
      <w:bookmarkStart w:id="6" w:name="_Toc177999552"/>
      <w:r>
        <w:rPr>
          <w:rFonts w:ascii="Times New Roman" w:hAnsi="Times New Roman"/>
          <w:sz w:val="30"/>
        </w:rPr>
        <w:lastRenderedPageBreak/>
        <w:t>三、基金管理人</w:t>
      </w:r>
      <w:bookmarkEnd w:id="6"/>
    </w:p>
    <w:p w14:paraId="2D917F2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14:paraId="41C8926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46A6387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71D0F10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77BBF53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14:paraId="00BBC828" w14:textId="6044CC72"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sidR="00DD0304">
        <w:rPr>
          <w:rFonts w:ascii="宋体" w:hAnsi="宋体" w:hint="eastAsia"/>
          <w:sz w:val="24"/>
        </w:rPr>
        <w:t>张宏良</w:t>
      </w:r>
    </w:p>
    <w:p w14:paraId="3EFA536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245EDBC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14:paraId="6622578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4E84C802" w14:textId="2FD6B139"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r w:rsidR="0000660F" w:rsidRPr="0000660F">
        <w:rPr>
          <w:rFonts w:ascii="宋体" w:hAnsi="宋体" w:hint="eastAsia"/>
          <w:sz w:val="24"/>
        </w:rPr>
        <w:t>何佳妮</w:t>
      </w:r>
    </w:p>
    <w:p w14:paraId="56F9D92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电话：（021）61055050</w:t>
      </w:r>
    </w:p>
    <w:p w14:paraId="4A0BB01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传真：（021）61055034</w:t>
      </w:r>
    </w:p>
    <w:p w14:paraId="3D701C4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W w:w="5000" w:type="pct"/>
        <w:tblCellMar>
          <w:left w:w="0" w:type="dxa"/>
          <w:right w:w="0" w:type="dxa"/>
        </w:tblCellMar>
        <w:tblLook w:val="0000" w:firstRow="0" w:lastRow="0" w:firstColumn="0" w:lastColumn="0" w:noHBand="0" w:noVBand="0"/>
      </w:tblPr>
      <w:tblGrid>
        <w:gridCol w:w="5804"/>
        <w:gridCol w:w="2846"/>
      </w:tblGrid>
      <w:tr w:rsidR="00877B87" w14:paraId="6E33870C" w14:textId="77777777" w:rsidTr="00DD0304">
        <w:trPr>
          <w:cantSplit/>
          <w:trHeight w:val="375"/>
        </w:trPr>
        <w:tc>
          <w:tcPr>
            <w:tcW w:w="3355" w:type="pct"/>
            <w:tcBorders>
              <w:top w:val="single" w:sz="4" w:space="0" w:color="auto"/>
              <w:left w:val="single" w:sz="4" w:space="0" w:color="auto"/>
              <w:bottom w:val="single" w:sz="4" w:space="0" w:color="auto"/>
              <w:right w:val="single" w:sz="4" w:space="0" w:color="auto"/>
            </w:tcBorders>
            <w:vAlign w:val="center"/>
          </w:tcPr>
          <w:p w14:paraId="10FAB90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1645" w:type="pct"/>
            <w:tcBorders>
              <w:top w:val="single" w:sz="4" w:space="0" w:color="auto"/>
              <w:left w:val="single" w:sz="4" w:space="0" w:color="auto"/>
              <w:bottom w:val="single" w:sz="4" w:space="0" w:color="auto"/>
              <w:right w:val="single" w:sz="4" w:space="0" w:color="auto"/>
            </w:tcBorders>
            <w:vAlign w:val="center"/>
          </w:tcPr>
          <w:p w14:paraId="7D98E91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877B87" w14:paraId="204CE0E0" w14:textId="77777777" w:rsidTr="00DD0304">
        <w:trPr>
          <w:cantSplit/>
          <w:trHeight w:val="375"/>
        </w:trPr>
        <w:tc>
          <w:tcPr>
            <w:tcW w:w="3355" w:type="pct"/>
            <w:tcBorders>
              <w:top w:val="single" w:sz="4" w:space="0" w:color="auto"/>
              <w:left w:val="single" w:sz="4" w:space="0" w:color="auto"/>
              <w:bottom w:val="single" w:sz="4" w:space="0" w:color="auto"/>
              <w:right w:val="single" w:sz="4" w:space="0" w:color="auto"/>
            </w:tcBorders>
            <w:vAlign w:val="center"/>
          </w:tcPr>
          <w:p w14:paraId="49D0DA4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6C51FC6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877B87" w14:paraId="3770591A" w14:textId="77777777" w:rsidTr="00DD0304">
        <w:trPr>
          <w:cantSplit/>
          <w:trHeight w:val="375"/>
        </w:trPr>
        <w:tc>
          <w:tcPr>
            <w:tcW w:w="3355" w:type="pct"/>
            <w:tcBorders>
              <w:top w:val="single" w:sz="4" w:space="0" w:color="auto"/>
              <w:left w:val="single" w:sz="4" w:space="0" w:color="auto"/>
              <w:bottom w:val="single" w:sz="4" w:space="0" w:color="auto"/>
              <w:right w:val="single" w:sz="4" w:space="0" w:color="auto"/>
            </w:tcBorders>
            <w:vAlign w:val="center"/>
          </w:tcPr>
          <w:p w14:paraId="405BA2C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1645" w:type="pct"/>
            <w:tcBorders>
              <w:top w:val="single" w:sz="4" w:space="0" w:color="auto"/>
              <w:left w:val="single" w:sz="4" w:space="0" w:color="auto"/>
              <w:bottom w:val="single" w:sz="4" w:space="0" w:color="auto"/>
              <w:right w:val="single" w:sz="4" w:space="0" w:color="auto"/>
            </w:tcBorders>
            <w:vAlign w:val="center"/>
          </w:tcPr>
          <w:p w14:paraId="167F947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877B87" w14:paraId="3A405985" w14:textId="77777777" w:rsidTr="00DD0304">
        <w:trPr>
          <w:cantSplit/>
          <w:trHeight w:val="375"/>
        </w:trPr>
        <w:tc>
          <w:tcPr>
            <w:tcW w:w="3355" w:type="pct"/>
            <w:tcBorders>
              <w:top w:val="single" w:sz="4" w:space="0" w:color="auto"/>
              <w:left w:val="single" w:sz="4" w:space="0" w:color="auto"/>
              <w:bottom w:val="single" w:sz="4" w:space="0" w:color="auto"/>
              <w:right w:val="single" w:sz="4" w:space="0" w:color="auto"/>
            </w:tcBorders>
            <w:vAlign w:val="center"/>
          </w:tcPr>
          <w:p w14:paraId="6C16FE2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1645" w:type="pct"/>
            <w:tcBorders>
              <w:top w:val="single" w:sz="4" w:space="0" w:color="auto"/>
              <w:left w:val="single" w:sz="4" w:space="0" w:color="auto"/>
              <w:bottom w:val="single" w:sz="4" w:space="0" w:color="auto"/>
              <w:right w:val="single" w:sz="4" w:space="0" w:color="auto"/>
            </w:tcBorders>
            <w:vAlign w:val="center"/>
          </w:tcPr>
          <w:p w14:paraId="49220C58"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14:paraId="51B71D1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14:paraId="78E3795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1、基金管理人董事会成员</w:t>
      </w:r>
    </w:p>
    <w:p w14:paraId="130F8751"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14:paraId="55C6E832"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胡晓晖女士，董事，学士，现任交通银行总行监事会办公室副主任、资深专家，历任交通银行总行授信管理部副处长、处长，苏州分行副行长、高级信贷执行官，总行授信管理部副总经理。</w:t>
      </w:r>
    </w:p>
    <w:p w14:paraId="4AC6A1BA" w14:textId="024B4F0A"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谢卫先生，董事，总经理，博士，高级经济师。现任交银施罗德基金管理有限</w:t>
      </w:r>
      <w:r w:rsidRPr="0037277E">
        <w:rPr>
          <w:rFonts w:ascii="Times New Roman" w:hAnsi="Times New Roman" w:hint="eastAsia"/>
          <w:sz w:val="24"/>
        </w:rPr>
        <w:lastRenderedPageBreak/>
        <w:t>公司总经理，兼任交银施罗德资产管理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首席信息官。</w:t>
      </w:r>
    </w:p>
    <w:p w14:paraId="41373510"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杜伟麒（</w:t>
      </w:r>
      <w:r w:rsidRPr="0037277E">
        <w:rPr>
          <w:rFonts w:ascii="Times New Roman" w:hAnsi="Times New Roman" w:hint="eastAsia"/>
          <w:sz w:val="24"/>
        </w:rPr>
        <w:t>Chris Durack</w:t>
      </w:r>
      <w:r w:rsidRPr="0037277E">
        <w:rPr>
          <w:rFonts w:ascii="Times New Roman" w:hAnsi="Times New Roman" w:hint="eastAsia"/>
          <w:sz w:val="24"/>
        </w:rPr>
        <w:t>）先生，董事，硕士。现任施罗德投资亚太区行政总裁。历任施罗德投资澳大利亚董事兼产品及分销主管、香港行政总裁兼亚太区机构业务主管、澳大利亚行政总裁兼亚太区联席主管等职。</w:t>
      </w:r>
    </w:p>
    <w:p w14:paraId="7DFB6E24"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章骏翔先生，副董事长，硕士，美国特许金融分析师</w:t>
      </w:r>
      <w:r w:rsidRPr="0037277E">
        <w:rPr>
          <w:rFonts w:ascii="Times New Roman" w:hAnsi="Times New Roman" w:hint="eastAsia"/>
          <w:sz w:val="24"/>
        </w:rPr>
        <w:t>(CFA)</w:t>
      </w:r>
      <w:r w:rsidRPr="0037277E">
        <w:rPr>
          <w:rFonts w:ascii="Times New Roman" w:hAnsi="Times New Roman" w:hint="eastAsia"/>
          <w:sz w:val="24"/>
        </w:rPr>
        <w:t>持证人。现任施罗德投资管理</w:t>
      </w:r>
      <w:r w:rsidRPr="0037277E">
        <w:rPr>
          <w:rFonts w:ascii="Times New Roman" w:hAnsi="Times New Roman" w:hint="eastAsia"/>
          <w:sz w:val="24"/>
        </w:rPr>
        <w:t>(</w:t>
      </w:r>
      <w:r w:rsidRPr="0037277E">
        <w:rPr>
          <w:rFonts w:ascii="Times New Roman" w:hAnsi="Times New Roman" w:hint="eastAsia"/>
          <w:sz w:val="24"/>
        </w:rPr>
        <w:t>香港</w:t>
      </w:r>
      <w:r w:rsidRPr="0037277E">
        <w:rPr>
          <w:rFonts w:ascii="Times New Roman" w:hAnsi="Times New Roman" w:hint="eastAsia"/>
          <w:sz w:val="24"/>
        </w:rPr>
        <w:t>)</w:t>
      </w:r>
      <w:r w:rsidRPr="0037277E">
        <w:rPr>
          <w:rFonts w:ascii="Times New Roman" w:hAnsi="Times New Roman" w:hint="eastAsia"/>
          <w:sz w:val="24"/>
        </w:rPr>
        <w:t>有限公司亚洲投资风险主管。历任渣打银行（香港）交易风险监控，华宝兴业基金管理有限公司风险管理部总经理，法国安盛投资管理（香港）有限公司亚洲风险经理等职。</w:t>
      </w:r>
    </w:p>
    <w:p w14:paraId="31BD5849"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郝爱群女士，独立董事，学士。历任人民银行稽核司副处长、处长，合作司调研员，非银司副巡视员、副司长，银监会非银部副主任，银行监管一部副主任、巡视员，汇金公司派出董事。</w:t>
      </w:r>
    </w:p>
    <w:p w14:paraId="47F0B013"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779FB4A5"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14:paraId="44E225C9"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2</w:t>
      </w:r>
      <w:r w:rsidRPr="0037277E">
        <w:rPr>
          <w:rFonts w:ascii="Times New Roman" w:hAnsi="Times New Roman" w:hint="eastAsia"/>
          <w:sz w:val="24"/>
        </w:rPr>
        <w:t>、基金管理人监事会成员</w:t>
      </w:r>
    </w:p>
    <w:p w14:paraId="32D07600"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林凯珊女士，监事，硕士。现任施罗德投资管理（香港）有限公司中国内地及中国香港法律部主管。历任香港证券及期货事务监察委员会发牌科经理、的近律师行律师。</w:t>
      </w:r>
    </w:p>
    <w:p w14:paraId="024B99A6"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刘峥先生，监事，硕士。现任交银施罗德基金管理有限公司综合管理部总经理。历任交通银行上海市分行管理培训生，交通银行总行战略投资部高级投资并购经理，交银施罗德基金管理有限公司总裁办公室高级综合管理经理、副总经理。</w:t>
      </w:r>
    </w:p>
    <w:p w14:paraId="295218E6"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lastRenderedPageBreak/>
        <w:t>黄伟峰先生，监事，硕士。现任交银施罗德基金管理有限公司市场总监。历任平安人寿保险公司上海分公司行政督导、营销管理经理，交银施罗德基金管理有限公司行政部总经理助理、西部营销中心总经理、机构理财部（上海）总经理兼产品开发部总经理。</w:t>
      </w:r>
    </w:p>
    <w:p w14:paraId="4D91EDBF"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3</w:t>
      </w:r>
      <w:r w:rsidRPr="0037277E">
        <w:rPr>
          <w:rFonts w:ascii="Times New Roman" w:hAnsi="Times New Roman" w:hint="eastAsia"/>
          <w:sz w:val="24"/>
        </w:rPr>
        <w:t>、基金管理人高级管理人员</w:t>
      </w:r>
    </w:p>
    <w:p w14:paraId="725AA016"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谢卫先生，总经理。简历同上。</w:t>
      </w:r>
    </w:p>
    <w:p w14:paraId="19BC54D2"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印皓女士，副总经理，硕士。历任交通银行研究开发部副主管体改规划员，交通银行市场营销部副主管市场规划员、主管市场规划员，交通银行公司业务部副高级经理、高级经理，交通银行机构业务部高级经理、总经理助理、副总经理，交银施罗德资产管理有限公司董事长。</w:t>
      </w:r>
    </w:p>
    <w:p w14:paraId="690EB442"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14:paraId="74263C1D" w14:textId="77777777" w:rsidR="002F6265" w:rsidRPr="0037277E"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马俊先生，副总经理，硕士。历任交通银行总行投资管理部高级投资分析、副高级经理，交银施罗德基金管理有限公司总裁办公室总经理、研究部副总经理、研究总监、综合管理部总经理。</w:t>
      </w:r>
    </w:p>
    <w:p w14:paraId="79DD1333" w14:textId="77777777" w:rsidR="002F6265" w:rsidRDefault="002F6265" w:rsidP="002F6265">
      <w:pPr>
        <w:autoSpaceDE w:val="0"/>
        <w:autoSpaceDN w:val="0"/>
        <w:adjustRightInd w:val="0"/>
        <w:snapToGrid w:val="0"/>
        <w:spacing w:line="360" w:lineRule="auto"/>
        <w:ind w:firstLineChars="200" w:firstLine="480"/>
        <w:jc w:val="left"/>
        <w:rPr>
          <w:rFonts w:ascii="Times New Roman" w:hAnsi="Times New Roman"/>
          <w:sz w:val="24"/>
        </w:rPr>
      </w:pPr>
      <w:r w:rsidRPr="0037277E">
        <w:rPr>
          <w:rFonts w:ascii="Times New Roman" w:hAnsi="Times New Roman" w:hint="eastAsia"/>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14:paraId="04C62F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4、本基金基金经理</w:t>
      </w:r>
    </w:p>
    <w:p w14:paraId="420636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邵文婷女士:基金经理。英国诺丁汉大学金融与投资硕士、西南财经大学数学与经济学双学士。8年证券投资行业从业经验。2016年加入交银施罗德基金管理有限公司，曾任量化投资部研究员、投资经理，现任量化投资部基金经理。现任交银施罗德中证环境治理指数型证券投资基金(LOF)(2021年04月30日至今)、交银施罗德创业板50指数型证券投资基金(2021年04月30日至今)、交银施罗德深证300价值交易型开放式指数证券投资基金联接基金(2021年04月30日至今)、交银施罗德上证180公司治理交易型开放式指数证券投资基金联接基金(2021年04月30日至今)、深证300价值交易型开放式指数证券投资基金(2021年04月30日至今)、交银施罗德中</w:t>
      </w:r>
      <w:r>
        <w:rPr>
          <w:rFonts w:ascii="宋体" w:hAnsi="宋体"/>
          <w:sz w:val="24"/>
        </w:rPr>
        <w:lastRenderedPageBreak/>
        <w:t>证海外中国互联网指数型证券投资基金(LOF)(2021年04月30日至今)、交银施罗德国证新能源指数证券投资基金（LOF）(2021年04月30日至今)、上证180公司治理交易型开放式指数证券投资基金(2021年04月30日至今)、交银施罗德定期支付月月丰债券型证券投资基金(2022年11月30日至今)、交银施罗德中证红利低波动100指数型证券投资基金(2024年03月15日至今)的基金经理。</w:t>
      </w:r>
    </w:p>
    <w:p w14:paraId="036566A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本基金历任基金经理：</w:t>
      </w:r>
    </w:p>
    <w:p w14:paraId="641FD7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蔡铮先生(2019年11月20日至2021年04月30日)。</w:t>
      </w:r>
    </w:p>
    <w:p w14:paraId="348FCB1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5、投资决策委员会成员</w:t>
      </w:r>
    </w:p>
    <w:p w14:paraId="0B7026F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委员：谢卫（总经理）</w:t>
      </w:r>
    </w:p>
    <w:p w14:paraId="6893051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w:t>
      </w:r>
    </w:p>
    <w:p w14:paraId="6B36B11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王少成（权益投资总监、基金经理）</w:t>
      </w:r>
    </w:p>
    <w:p w14:paraId="2C33F374" w14:textId="2A409254"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w:t>
      </w:r>
      <w:r w:rsidR="00BB599C" w:rsidRPr="00BB599C">
        <w:rPr>
          <w:rFonts w:ascii="宋体" w:hAnsi="宋体" w:hint="eastAsia"/>
          <w:sz w:val="24"/>
        </w:rPr>
        <w:t>混合资产投资总监兼多元资产管理总监</w:t>
      </w:r>
      <w:r>
        <w:rPr>
          <w:rFonts w:ascii="宋体" w:hAnsi="宋体"/>
          <w:sz w:val="24"/>
        </w:rPr>
        <w:t>、基金经理）</w:t>
      </w:r>
    </w:p>
    <w:p w14:paraId="600F82F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王崇（权益投资副总监、权益部一级专家、基金经理）</w:t>
      </w:r>
    </w:p>
    <w:p w14:paraId="4E20A8D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马韬（研究总监）</w:t>
      </w:r>
    </w:p>
    <w:p w14:paraId="55FAB2F2" w14:textId="51525A19"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上述人员之间不存在近亲属关系，上述各项人员信息更新截止日为202</w:t>
      </w:r>
      <w:r w:rsidR="00D50C73">
        <w:rPr>
          <w:rFonts w:ascii="宋体" w:hAnsi="宋体"/>
          <w:sz w:val="24"/>
        </w:rPr>
        <w:t>4</w:t>
      </w:r>
      <w:r>
        <w:rPr>
          <w:rFonts w:ascii="宋体" w:hAnsi="宋体"/>
          <w:sz w:val="24"/>
        </w:rPr>
        <w:t>年</w:t>
      </w:r>
      <w:r w:rsidR="00D50C73">
        <w:rPr>
          <w:rFonts w:ascii="宋体" w:hAnsi="宋体" w:hint="eastAsia"/>
          <w:sz w:val="24"/>
        </w:rPr>
        <w:t>1</w:t>
      </w:r>
      <w:r w:rsidR="00D50C73">
        <w:rPr>
          <w:rFonts w:ascii="宋体" w:hAnsi="宋体"/>
          <w:sz w:val="24"/>
        </w:rPr>
        <w:t>2</w:t>
      </w:r>
      <w:r>
        <w:rPr>
          <w:rFonts w:ascii="宋体" w:hAnsi="宋体"/>
          <w:sz w:val="24"/>
        </w:rPr>
        <w:t>月</w:t>
      </w:r>
      <w:r w:rsidR="00D50C73">
        <w:rPr>
          <w:rFonts w:ascii="宋体" w:hAnsi="宋体" w:hint="eastAsia"/>
          <w:sz w:val="24"/>
        </w:rPr>
        <w:t>1</w:t>
      </w:r>
      <w:r w:rsidR="00D50C73">
        <w:rPr>
          <w:rFonts w:ascii="宋体" w:hAnsi="宋体"/>
          <w:sz w:val="24"/>
        </w:rPr>
        <w:t>3</w:t>
      </w:r>
      <w:r>
        <w:rPr>
          <w:rFonts w:ascii="宋体" w:hAnsi="宋体"/>
          <w:sz w:val="24"/>
        </w:rPr>
        <w:t>日，期后变动（如有）敬请关注基金管理人发布的相关公告。</w:t>
      </w:r>
    </w:p>
    <w:p w14:paraId="0DAFE28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14:paraId="2F913A9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14:paraId="71828B5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3829C2C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3、对所管理的不同基金财产分别管理、分别记账，进行证券投资；</w:t>
      </w:r>
    </w:p>
    <w:p w14:paraId="3521611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4、按照基金合同的约定确定基金收益分配方案，及时向基金份额持有人分配收益；</w:t>
      </w:r>
    </w:p>
    <w:p w14:paraId="5C95CC2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5、进行基金会计核算并编制基金财务会计报告；</w:t>
      </w:r>
    </w:p>
    <w:p w14:paraId="79C5BB1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6、编制季度报告、中期报告和年度报告；</w:t>
      </w:r>
    </w:p>
    <w:p w14:paraId="31A894F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7、计算并公告基金净值信息，确定基金份额申购、赎回价格；</w:t>
      </w:r>
    </w:p>
    <w:p w14:paraId="2B688A2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8、办理与基金财产管理业务活动有关的信息披露事项；</w:t>
      </w:r>
    </w:p>
    <w:p w14:paraId="64889E4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9、按照规定召集基金份额持有人大会；</w:t>
      </w:r>
    </w:p>
    <w:p w14:paraId="682D1F1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10、保存基金财产管理业务活动的记录、账册、报表和其他相关资料；</w:t>
      </w:r>
    </w:p>
    <w:p w14:paraId="260FE8D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11、以基金管理人名义，代表基金份额持有人利益行使诉讼权利或者实施其他</w:t>
      </w:r>
      <w:r>
        <w:rPr>
          <w:rFonts w:ascii="宋体" w:hAnsi="宋体"/>
          <w:sz w:val="24"/>
        </w:rPr>
        <w:lastRenderedPageBreak/>
        <w:t>法律行为；</w:t>
      </w:r>
    </w:p>
    <w:p w14:paraId="4B644E4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12、有关法律法规和中国证监会规定的其他职责。</w:t>
      </w:r>
    </w:p>
    <w:p w14:paraId="621AFEC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14:paraId="40AC4EF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1、基金管理人承诺不从事违反《中华人民共和国证券法》的行为，并承诺建立健全内部控制制度，采取有效措施，防止违反《中华人民共和国证券法》行为的发生；</w:t>
      </w:r>
    </w:p>
    <w:p w14:paraId="2D5D2DB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14:paraId="6AAEDDB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（1）将基金管理人固有财产或者他人财产混同于基金财产从事证券投资；</w:t>
      </w:r>
    </w:p>
    <w:p w14:paraId="517C2CA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（2）不公平地对待管理的不同基金财产；</w:t>
      </w:r>
    </w:p>
    <w:p w14:paraId="23C958C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（3）利用基金财产为基金份额持有人以外的第三人牟取利益；</w:t>
      </w:r>
    </w:p>
    <w:p w14:paraId="7E5FDC4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（4）向基金份额持有人违规承诺收益或者承担损失；</w:t>
      </w:r>
    </w:p>
    <w:p w14:paraId="3E917D2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（5）侵占、挪用基金财产；</w:t>
      </w:r>
    </w:p>
    <w:p w14:paraId="6E7B55C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（6）法律、行政法规和中国证监会禁止的其他行为。</w:t>
      </w:r>
    </w:p>
    <w:p w14:paraId="0C9588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14:paraId="5F8F85D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14:paraId="200FB15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5、基金管理人承诺不从事其他法规规定禁止从事的行为。</w:t>
      </w:r>
    </w:p>
    <w:p w14:paraId="15138E6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14:paraId="2A4AF4E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14:paraId="18A273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2、不利用职务之便为自己、受雇人或任何第三者谋取利益；</w:t>
      </w:r>
    </w:p>
    <w:p w14:paraId="2B2D1C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14:paraId="7C9BB27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14:paraId="7C1B433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（六）基金管理人的内部控制制度</w:t>
      </w:r>
    </w:p>
    <w:p w14:paraId="3CEEA51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1、风险管理的原则</w:t>
      </w:r>
    </w:p>
    <w:p w14:paraId="2A3F626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 全面性原则</w:t>
      </w:r>
    </w:p>
    <w:p w14:paraId="5CAEF27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公司风险管理必须覆盖公司的所有部门和岗位，渗透各项业务过程和业务环节。</w:t>
      </w:r>
    </w:p>
    <w:p w14:paraId="3E98B26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独立性原则</w:t>
      </w:r>
    </w:p>
    <w:p w14:paraId="0300AD8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公司设立独立的风险管理部，风险管理部保持高度的独立性和权威性，负责对公司各部门风险控制工作进行监督和检查。</w:t>
      </w:r>
    </w:p>
    <w:p w14:paraId="4C0CD50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 相互制约原则</w:t>
      </w:r>
    </w:p>
    <w:p w14:paraId="23562D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公司及各部门在内部组织结构的设计上要形成一种相互制约的机制，建立不同岗位之间的制衡体系。</w:t>
      </w:r>
    </w:p>
    <w:p w14:paraId="3C1BF61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 定性和定量相结合原则</w:t>
      </w:r>
    </w:p>
    <w:p w14:paraId="17BDB15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建立完备的风险管理指标体系，使风险管理更具客观性和操作性。</w:t>
      </w:r>
    </w:p>
    <w:p w14:paraId="63494BA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2、风险管理和内部风险控制体系结构</w:t>
      </w:r>
    </w:p>
    <w:p w14:paraId="0DE7C8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14:paraId="0FF5E6B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（1）董事会</w:t>
      </w:r>
    </w:p>
    <w:p w14:paraId="679FF76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负责制定公司的风险管理政策，对风险管理负完全的和最终的责任。</w:t>
      </w:r>
    </w:p>
    <w:p w14:paraId="7EE41CB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（2）监事会</w:t>
      </w:r>
    </w:p>
    <w:p w14:paraId="102E659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是公司常设的监事机构，对股东会负责。监事会对公司财务、公司董事、总经理及其他高级管理人员进行监督。</w:t>
      </w:r>
    </w:p>
    <w:p w14:paraId="5EFBDB8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（3）合规审核及风险管理委员会</w:t>
      </w:r>
    </w:p>
    <w:p w14:paraId="7F2167B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3F94AE9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（4）风险控制委员会</w:t>
      </w:r>
    </w:p>
    <w:p w14:paraId="45FBED3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6CC74C1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（5）督察长</w:t>
      </w:r>
    </w:p>
    <w:p w14:paraId="34BDE4C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w:t>
      </w:r>
      <w:r>
        <w:rPr>
          <w:rFonts w:ascii="宋体" w:hAnsi="宋体"/>
          <w:sz w:val="24"/>
        </w:rPr>
        <w:lastRenderedPageBreak/>
        <w:t>情况。</w:t>
      </w:r>
    </w:p>
    <w:p w14:paraId="73FF17A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（6）风险管理部</w:t>
      </w:r>
    </w:p>
    <w:p w14:paraId="1C3AA48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14:paraId="10C6A0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（7）审计部</w:t>
      </w:r>
    </w:p>
    <w:p w14:paraId="2F07C6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584DAC90" w14:textId="77777777" w:rsidR="00C957FF" w:rsidRPr="00C957FF" w:rsidRDefault="008116FB" w:rsidP="00C957F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w:t>
      </w:r>
      <w:r w:rsidR="00C957FF" w:rsidRPr="00C957FF">
        <w:rPr>
          <w:rFonts w:ascii="宋体" w:hAnsi="宋体" w:hint="eastAsia"/>
          <w:sz w:val="24"/>
        </w:rPr>
        <w:t>内控合规及法律事务部</w:t>
      </w:r>
    </w:p>
    <w:p w14:paraId="36E2014E" w14:textId="77777777" w:rsidR="00877B87" w:rsidRDefault="00C957FF" w:rsidP="00C957FF">
      <w:pPr>
        <w:autoSpaceDE w:val="0"/>
        <w:autoSpaceDN w:val="0"/>
        <w:adjustRightInd w:val="0"/>
        <w:snapToGrid w:val="0"/>
        <w:spacing w:line="360" w:lineRule="auto"/>
        <w:ind w:firstLineChars="200" w:firstLine="480"/>
        <w:jc w:val="left"/>
        <w:rPr>
          <w:rFonts w:ascii="宋体" w:hAnsi="宋体"/>
          <w:szCs w:val="24"/>
        </w:rPr>
      </w:pPr>
      <w:r w:rsidRPr="00C957FF">
        <w:rPr>
          <w:rFonts w:ascii="宋体" w:hAnsi="宋体" w:hint="eastAsia"/>
          <w:sz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r w:rsidR="008116FB">
        <w:rPr>
          <w:rFonts w:ascii="宋体" w:hAnsi="宋体"/>
          <w:sz w:val="24"/>
        </w:rPr>
        <w:t>。</w:t>
      </w:r>
    </w:p>
    <w:p w14:paraId="1758E3E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（9）业务部门</w:t>
      </w:r>
    </w:p>
    <w:p w14:paraId="482B00B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风险管理是每一个业务部门首要的责任。部门经理对本部门的风险负全部责任，负责履行公司的风险管理程序，负责本部门的风险管理系统的开发、执行和维护，用于识别、监控和降低风险。</w:t>
      </w:r>
    </w:p>
    <w:p w14:paraId="34C7150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3、风险管理和内部风险控制的措施</w:t>
      </w:r>
    </w:p>
    <w:p w14:paraId="547E1E8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（1）建立内控体系，完善内控制度</w:t>
      </w:r>
    </w:p>
    <w:p w14:paraId="056721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14:paraId="607185C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（2）建立相互分离、相互制衡的内控机制</w:t>
      </w:r>
    </w:p>
    <w:p w14:paraId="7E2624D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14:paraId="18604E7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（3）建立、健全岗位责任制</w:t>
      </w:r>
    </w:p>
    <w:p w14:paraId="41AFA09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14:paraId="09B1C8B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（4）建立风险分类、识别、评估、报告、提示程序</w:t>
      </w:r>
    </w:p>
    <w:p w14:paraId="046E870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建立了风险评估机制，通过适合的程序，确认和评估与公司运作有关的风险；公司建立了自下而上的风险报告程序，对风险隐患进行层层汇报，使各个层次的人员及时掌握风险状况，从而以最快速度作出决策。</w:t>
      </w:r>
    </w:p>
    <w:p w14:paraId="1F3EC9E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（5）建立有效的内部监控系统</w:t>
      </w:r>
    </w:p>
    <w:p w14:paraId="46D4326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建立了足够、有效的内部监控系统，如电脑预警系统、投资监控系统，对可能出现的各种风险进行全面和实时的监控。</w:t>
      </w:r>
    </w:p>
    <w:p w14:paraId="559F707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（6）使用数量化的风险管理手段</w:t>
      </w:r>
    </w:p>
    <w:p w14:paraId="60A967A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采取数量化、技术化的风险控制手段，建立数量化的风险管理模型，用以提示指数趋势、行业及个股的风险，以便公司及时采取有效的措施，对风险进行分散、控制和规避，尽可能地减少损失。</w:t>
      </w:r>
    </w:p>
    <w:p w14:paraId="5DFA723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（7）提供足够的培训</w:t>
      </w:r>
    </w:p>
    <w:p w14:paraId="6BFDA90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制定了完整的培训计划，为所有员工提供足够和适当的培训，使员工明确其职责所在，控制风险。</w:t>
      </w:r>
    </w:p>
    <w:p w14:paraId="7D4AA96A"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4523E1F" w14:textId="77777777" w:rsidR="00877B87" w:rsidRDefault="008116FB">
      <w:pPr>
        <w:pStyle w:val="1"/>
        <w:snapToGrid w:val="0"/>
        <w:spacing w:beforeLines="0" w:before="240" w:after="240"/>
        <w:rPr>
          <w:rFonts w:ascii="宋体" w:hAnsi="宋体"/>
          <w:szCs w:val="30"/>
        </w:rPr>
      </w:pPr>
      <w:bookmarkStart w:id="7" w:name="_Toc177999553"/>
      <w:r>
        <w:rPr>
          <w:rFonts w:ascii="Times New Roman" w:hAnsi="Times New Roman"/>
          <w:sz w:val="30"/>
        </w:rPr>
        <w:lastRenderedPageBreak/>
        <w:t>四、基金托管人</w:t>
      </w:r>
      <w:bookmarkEnd w:id="7"/>
    </w:p>
    <w:p w14:paraId="5225F36B"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（一）基金托管人情况</w:t>
      </w:r>
    </w:p>
    <w:p w14:paraId="14F826A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1、基本情况</w:t>
      </w:r>
    </w:p>
    <w:p w14:paraId="0EEF221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名称：招商银行股份有限公司（以下简称“招商银行”）</w:t>
      </w:r>
    </w:p>
    <w:p w14:paraId="06FBB5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设立日期：1987年4月8日</w:t>
      </w:r>
    </w:p>
    <w:p w14:paraId="016563D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注册地址：深圳市深南大道7088号招商银行大厦</w:t>
      </w:r>
    </w:p>
    <w:p w14:paraId="29B4182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办公地址：深圳市深南大道7088号招商银行大厦</w:t>
      </w:r>
    </w:p>
    <w:p w14:paraId="7D0F835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注册资本：252.20亿元</w:t>
      </w:r>
    </w:p>
    <w:p w14:paraId="572E403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14:paraId="24614DA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行长：王良</w:t>
      </w:r>
    </w:p>
    <w:p w14:paraId="43EDB05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资产托管业务批准文号：证监基金字[2002]83号</w:t>
      </w:r>
    </w:p>
    <w:p w14:paraId="10924F2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电话：4006195555</w:t>
      </w:r>
    </w:p>
    <w:p w14:paraId="57F2327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传真：0755-83195201</w:t>
      </w:r>
    </w:p>
    <w:p w14:paraId="0187407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资产托管部信息披露负责人：张姗</w:t>
      </w:r>
    </w:p>
    <w:p w14:paraId="3CC126B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2、发展概况</w:t>
      </w:r>
    </w:p>
    <w:p w14:paraId="58F8171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2024年6月30日，本集团总资产115，747.83亿元人民币，高级法下资本充足率17.95%，权重法下资本充足率14.60%。</w:t>
      </w:r>
    </w:p>
    <w:p w14:paraId="409BEC3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2002年8月，招商银行成立基金托管部；2005年8月，经报中国证监会同意，更名为资产托管部，现下设基金券商团队、银保信托团队、养老金团队、业务管理团队、产品研发团队、风险管理团队、系统与数据团队、项目支持团队、运营管理团队、基金外包业务团队10个职能团队，现有员工228人。2002年11月，经中国人民银行和中国证监会批准获得证券投资基金托管业务资格，成为国内第一家获得该项业务资格上市银行；2003年4月，正式办理基金托管业务。招商银行作为托管业务资质最全的商业银行之一，拥有证券投资基金托管资格、基本养老保险基金托管机</w:t>
      </w:r>
      <w:r>
        <w:rPr>
          <w:rFonts w:ascii="宋体" w:hAnsi="宋体"/>
          <w:sz w:val="24"/>
        </w:rPr>
        <w:lastRenderedPageBreak/>
        <w:t>构资格、受托投资管理托管业务托管资格、保险资金托管业务资格、企业年金基金托管业务资格、合格境外机构投资者托管（QFII）资格、合格境内机构投资者托管（QDII）资格、私募基金业务外包服务资格、存托凭证试点存托业务等业务资格。</w:t>
      </w:r>
    </w:p>
    <w:p w14:paraId="38C289D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资产托管结合自身在托管行业深耕22年的专业能力和创新精神，推出“招商银行托管+”服务品牌，以“践行价值银行战略，致力于成为服务更佳、科技更强、协同更好的客户首选全球托管银行”品牌愿景为指引，以“值得信赖的专家、贴心服务的管家、让价值持续增加、客户的体验更佳”的“4+目标”，以创新的“服务产品化”为方法论，全方位助力资管机构实现可持续的高质量发展。招商银行资产托管围绕资管全场景，打造了“如风运营”“大观投研”“见微数据”三个服务子品牌，不断创新托管系统、服务和产品：在业内率先推出“网上托管银行系统”、托管业务综合系统和“6S”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1A2E16D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招商银行资产托管业务持续稳健发展，社会影响力不断提升,近年来获得业内各类奖项荣誉。2016年5月 “托管通”荣获《银行家》2016中国金融创新 “十佳金融产品创新奖”； 6月荣获《财资》“中国最佳托管银行奖”，成为国内唯一获得该奖项的托管银行；7月荣获中国资产管理“金贝奖”“最佳资产托管银行”、《21世纪经济报道》“2016最佳资产托管银行”。2017年5月荣获《亚洲银行家》“中国年度托管银行奖”；6月荣获《财资》“中国最佳托管银行奖”；“全功能网上托管银行2.0”荣获《银行家》2017中国金融创新“十佳金融产品创新奖”。2018年1月荣获中央国债登记结算有限责任公司“2017年度优秀资产托管机构”奖；同月，托管大数据平台风险管理系统荣获2016-2017年度银监会系统“金点子”方案一等奖，以及中央金融团工委、全国金融青联第五届“双提升”金点子方案二等奖；3月荣获《中国基金报》 “最佳基金托管银行”奖；5月荣获国际财经权威媒体《亚洲银行家》“中国年度托管银行奖”；12月荣获2018东方财富风云榜“2018年度最佳托管银行”、“20年最值得信赖托管银行”奖。2019年3月荣获</w:t>
      </w:r>
      <w:r>
        <w:rPr>
          <w:rFonts w:ascii="宋体" w:hAnsi="宋体"/>
          <w:sz w:val="24"/>
        </w:rPr>
        <w:lastRenderedPageBreak/>
        <w:t>《中国基金报》“2018年度最佳基金托管银行”奖；6月荣获《财资》“中国最佳托管机构”“中国最佳养老金托管机构”“中国最佳零售基金行政外包”三项大奖；12月荣获2019东方财富风云榜“2019年度最佳托管银行”奖。2020年1月，荣获中央国债登记结算有限责任公司“2019年度优秀资产托管机构”奖项；6月荣获《财资》“中国境内最佳托管机构”“最佳公募基金托管机构”“最佳公募基金行政外包机构”三项大奖；10月荣获《中国基金报》第二届中国公募基金英华奖“2019年度最佳基金托管银行”奖。2021年1月，荣获中央国债登记结算有限责任公司“2020年度优秀资产托管机构”奖项；同月荣获2020东方财富风云榜“2020年度最受欢迎托管银行”奖项；2021年10月，《证券时报》“2021年度杰出资产托管银行天玑奖”；2021年12月，荣获《中国基金报》第三届中国公募基金英华奖“2020年度最佳基金托管银行”；2022年1月荣获中央国债登记结算有限责任公司“2021年度优秀资产托管机构、估值业务杰出机构”奖项；9月荣获《财资》“中国最佳托管银行”“最佳公募基金托管银行”“最佳理财托管银行”三项大奖；12月荣获《证券时报》“2022年度杰出资产托管银行天玑奖”；2023年1月荣获中央国债登记结算有限责任公司“2022年度优秀资产托管机构”、银行间市场清算所股份有限公司“2022年度优秀托管机构”、全国银行间同业拆借中心“2022年度银行间本币市场托管业务市场创新奖”三项大奖；2023年4月，荣获《中国基金报》第二届中国基金业创新英华奖“托管创新奖”；2023年9月，荣获《中国基金报》中国基金业英华奖“公募基金25年基金托管示范银行（全国性股份行）”；2023年12月，荣获《东方财富风云榜》“2023年度托管银行风云奖”。2024年1月，荣获中央国债登记结算有限责任公司“2023年度优秀资产托管机构”、“2023年度估值业务杰出机构”、“2023年度债市领军机构”、“2023年度中债绿债指数优秀承销机构”四项大奖；2024年2月，荣获泰康养老保险股份有限公司“2023年度最佳年金托管合作伙伴”奖。2024年4月，荣获中国基金报“中国基金业英华奖-ETF20周年特别评选“优秀ETF托管人””奖。2024年6月，荣获上海清算所“2023年度优秀托管机构”奖。</w:t>
      </w:r>
    </w:p>
    <w:p w14:paraId="752E9F2D"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（二）主要人员情况</w:t>
      </w:r>
    </w:p>
    <w:p w14:paraId="189D6B3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缪建民先生，本行董事长、非执行董事，2020年9月起担任本行董事、董事长。中央财经大学经济学博士，高级经济师。中国共产党第十九届、二十届中央委员会候补委员。招商局集团有限公司董事长。曾任中国人寿保险（集团）公司副董</w:t>
      </w:r>
      <w:r>
        <w:rPr>
          <w:rFonts w:ascii="宋体" w:hAnsi="宋体"/>
          <w:sz w:val="24"/>
        </w:rPr>
        <w:lastRenderedPageBreak/>
        <w:t>事长、总裁，中国人民保险 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6A27368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良先生，本行党委书记、执行董事、行长。中国人民大学经济学硕士，高级经济师。1995年6月加入本行，历任本行北京分行行长助理、副行长、行长，2012年6月起历任本行行长助理、副行长、常务副行长，2022年4月18日起全面主持本行工作，2022年5月19日起任本行党委书记，2022年6月15日起任本行行长。兼任本行香港上市相关事宜之授权代表、招银国际金融控股有限公司董事长、招银国际金融有限公司董事长、招商永隆银行董事长、招联消费金融有限公司副董事长、招商局金融控股有限公司董事、中国支付清算协会副会长、中国银行业协会中间业务专业委员会第四届主任、中国金融会计学会第六届常务理事、广东省第十四届人大代表。</w:t>
      </w:r>
    </w:p>
    <w:p w14:paraId="7D62FA0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王颖女士，本行副行长，南京大学政治经济学专业硕士，经济师。王颖女士1997年1月加入本行，历任本行北京分行行长助理、副行长，天津分行行长，深圳分行行长，本行行长助理。2023年11月起任本行副行长。</w:t>
      </w:r>
    </w:p>
    <w:p w14:paraId="591EF8D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孙乐女士，招商银行资产托管部总经理，硕士研究生毕业，2001年8月加入招商银行至今，历任招商银行合肥分行风险控制部副经理、经理、信贷管理部总经理助理、副总经理、总经理、公司银行部总经理、中小企业金融部总经理、投行与金融市场部总经理；无锡分行行长助理、副行长；南京分行副行长，具有20余年银行从业经验，在风险管理、信贷管理、公司金融、资产托管等领域有深入的研究和丰富的实务经验。</w:t>
      </w:r>
    </w:p>
    <w:p w14:paraId="143C6A22"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（三）基金托管业务经营情况</w:t>
      </w:r>
    </w:p>
    <w:p w14:paraId="6CC045A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截至2024年6月30日，招商银行股份有限公司累计托管1484只证券投资基金。</w:t>
      </w:r>
    </w:p>
    <w:p w14:paraId="273D3DC9"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（四）托管人的内部控制制度</w:t>
      </w:r>
    </w:p>
    <w:p w14:paraId="7378165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 内部控制目标</w:t>
      </w:r>
    </w:p>
    <w:p w14:paraId="60FD1A8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w:t>
      </w:r>
      <w:r>
        <w:rPr>
          <w:rFonts w:ascii="宋体" w:hAnsi="宋体"/>
          <w:sz w:val="24"/>
        </w:rPr>
        <w:lastRenderedPageBreak/>
        <w:t>防弊、堵塞漏洞、消除隐患，保证业务稳健运行的风险控制制度，确保托管业务信息真实、准确、完整、及时；确保内控机制、体制的不断改进和各项业务制度、流程的不断完善。</w:t>
      </w:r>
    </w:p>
    <w:p w14:paraId="68EEDB7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内部控制组织结构</w:t>
      </w:r>
    </w:p>
    <w:p w14:paraId="2E6585A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招商银行资产托管业务建立三级内部控制及风险防范体系：</w:t>
      </w:r>
    </w:p>
    <w:p w14:paraId="07C5E87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一级内部控制及风险防范是在招商银行总行风险管控层面对风险进行预防和控制；总行风险管理部、法律合规部、审计部独立对资产托管业务进行评估监督，并提出内控提升管理建议。</w:t>
      </w:r>
    </w:p>
    <w:p w14:paraId="4E749E1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二级内部控制及风险防范是招商银行资产托管部设立风险合规管理相关团队，负责部门内部风险预防和控制，及时发现内部控制缺陷，提出整改方案，跟踪整改情况，并直接向部门总经理室报告。</w:t>
      </w:r>
    </w:p>
    <w:p w14:paraId="6AE17EF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三级内部控制及风险防范是招商银行资产托管部在设置专业岗位时，遵循内控制衡原则，视业务的风险程度制定相应监督制衡机制。</w:t>
      </w:r>
    </w:p>
    <w:p w14:paraId="67CFD24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 内部控制原则</w:t>
      </w:r>
    </w:p>
    <w:p w14:paraId="2AC3731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（1）全面性原则。内部控制覆盖各项业务过程和操作环节、覆盖所有团队和岗位，并由全部人员参与。</w:t>
      </w:r>
    </w:p>
    <w:p w14:paraId="27223BA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（2）审慎性原则。托管组织体系的构成、内部管理制度的建立均以防范风险、审慎经营为出发点，体现“内控优先”的要求。</w:t>
      </w:r>
    </w:p>
    <w:p w14:paraId="67564AE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（3）独立性原则。招商银行资产托管部各团队、各岗位职责保持相对独立，不同托管资产之间、托管资产和自有资产之间相互分离。内部控制的检查、评价部门独立于内部控制的建立和执行部门。</w:t>
      </w:r>
    </w:p>
    <w:p w14:paraId="748481B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1A70543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（5）适应性原则。内部控制适应招商银行托管业务风险管理的需要，并能够随着托管业务经营战略、经营方针、经营理念等内部环境的变化和国家法律、法规、政策制度等外部环境的改变及时进行修订和完善。</w:t>
      </w:r>
    </w:p>
    <w:p w14:paraId="625BB7F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（6）防火墙原则。招商银行资产托管部办公场地与我行其他业务场地隔离，办公网和业务网物理分离，部门业务网和全行业务网防火墙策略分离，以达到风险</w:t>
      </w:r>
      <w:r>
        <w:rPr>
          <w:rFonts w:ascii="宋体" w:hAnsi="宋体"/>
          <w:sz w:val="24"/>
        </w:rPr>
        <w:lastRenderedPageBreak/>
        <w:t>防范的目的。</w:t>
      </w:r>
    </w:p>
    <w:p w14:paraId="73AE685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（7）重要性原则。内部控制在实现全面控制的基础上，关注重要托管业务重要事项和高风险环节。</w:t>
      </w:r>
    </w:p>
    <w:p w14:paraId="04E575A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（8）制衡性原则。内部控制能够实现在托管组织体系、机构设置、权责分配及业务流程等方面相互制约、相互监督，同时兼顾运营效率。</w:t>
      </w:r>
    </w:p>
    <w:p w14:paraId="71DF230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 内部控制措施</w:t>
      </w:r>
    </w:p>
    <w:p w14:paraId="184F35C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完善的制度建设。招商银行资产托管部从资产托管业务内控管理、产品受理、会计核算、资金清算、岗位管理、档案管理和信息管理等方面制定一系列规章制度，建立了三层制度体系，即：基本规定、业务管理办法和业务操作规程。制度结构层次清晰、管理要求明确，满足风险管理全覆盖的要求，保证资产托管业务科学化、制度化、规范化运作。</w:t>
      </w:r>
    </w:p>
    <w:p w14:paraId="31CE1D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（2）业务信息风险控制。招商银行资产托管部在数据传输和保存方面有严格的加密和备份措施，采用加密、直连方式传输数据，数据执行异地实时备份，所有的业务信息须经过严格的授权方能进行访问。</w:t>
      </w:r>
    </w:p>
    <w:p w14:paraId="4B406A0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（3）客户资料风险控制。招商银行资产托管部对业务办理过程中获取的客户资料严格保密，除法律法规和其他有关规定、监管机构及审计要求外，不向任何机构、部门或个人泄露。</w:t>
      </w:r>
    </w:p>
    <w:p w14:paraId="0130961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信息技术系统风险控制。招商银行对信息技术系统机房、权限管理实行双人双岗双责，电脑机房24小时值班并设置门禁，所有电脑设置密码及相应权限。业务网和办公网、托管业务网与全行业务网双分离制度，与外部业务机构实行防火墙保护，对信息技术系统采取两地三中心的应急备份管理措施等，保证信息技术系统的安全。</w:t>
      </w:r>
    </w:p>
    <w:p w14:paraId="3FFABA6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（5）人力资源控制。招商银行资产托管部通过建立良好的企业文化和员工培训、激励机制、加强人力资源管理及建立人才梯级队伍及人才储备机制，有效地进行人力资源管理。</w:t>
      </w:r>
    </w:p>
    <w:p w14:paraId="10CD2D21"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（五）基金托管人对基金管理人运作基金进行监督的方法和程序</w:t>
      </w:r>
    </w:p>
    <w:p w14:paraId="2A48FCA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中华人民共和国证券投资基金法》《公开募集证券投资基金运作管理办法》等有关法律法规的规定及基金合同、托管协议的约定，对基金投资范围、投资比例、投资组合等情况的合法性、合规性进行监督和核查。</w:t>
      </w:r>
    </w:p>
    <w:p w14:paraId="4D11F00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在为基金投资运作所提供的基金清算和核算服务环节中，基金托管人对基金管</w:t>
      </w:r>
      <w:r>
        <w:rPr>
          <w:rFonts w:ascii="宋体" w:hAnsi="宋体"/>
          <w:sz w:val="24"/>
        </w:rPr>
        <w:lastRenderedPageBreak/>
        <w:t>理人发送的投资指令、基金管理人对各基金费用的提取与支付情况进行检查监督，对违反法律法规、基金合同的指令拒绝执行，并立即通知基金管理人。</w:t>
      </w:r>
    </w:p>
    <w:p w14:paraId="443145E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14:paraId="3154A70F"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799BDFF" w14:textId="77777777" w:rsidR="00877B87" w:rsidRDefault="008116FB">
      <w:pPr>
        <w:pStyle w:val="1"/>
        <w:snapToGrid w:val="0"/>
        <w:spacing w:beforeLines="0" w:before="240" w:after="240"/>
        <w:rPr>
          <w:rFonts w:ascii="宋体" w:hAnsi="宋体"/>
          <w:szCs w:val="30"/>
        </w:rPr>
      </w:pPr>
      <w:bookmarkStart w:id="8" w:name="_Toc177999554"/>
      <w:r>
        <w:rPr>
          <w:rFonts w:ascii="Times New Roman" w:hAnsi="Times New Roman"/>
          <w:sz w:val="30"/>
        </w:rPr>
        <w:lastRenderedPageBreak/>
        <w:t>五、相关服务机构</w:t>
      </w:r>
      <w:bookmarkEnd w:id="8"/>
    </w:p>
    <w:p w14:paraId="001AA76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14:paraId="19958E2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14:paraId="197B900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本基金直销机构为基金管理人直销柜台以及基金管理人的网上直销交易平台（网站及手机APP，下同）。</w:t>
      </w:r>
    </w:p>
    <w:p w14:paraId="3450B87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机构名称：交银施罗德基金管理有限公司</w:t>
      </w:r>
    </w:p>
    <w:p w14:paraId="17C2409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1234170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73652AC8" w14:textId="44822806"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sidR="00F41A2F">
        <w:rPr>
          <w:rFonts w:ascii="宋体" w:hAnsi="宋体" w:hint="eastAsia"/>
          <w:sz w:val="24"/>
        </w:rPr>
        <w:t>张宏良</w:t>
      </w:r>
    </w:p>
    <w:p w14:paraId="0B272B6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78B9B64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0793DA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4E1F220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1B68E28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21C6035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447A2AD1" w14:textId="16FD14D9"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w:t>
      </w:r>
      <w:r w:rsidR="00F012EA">
        <w:rPr>
          <w:rFonts w:ascii="宋体" w:hAnsi="宋体" w:hint="eastAsia"/>
          <w:sz w:val="24"/>
        </w:rPr>
        <w:t>A类基金份额和C类基金份额</w:t>
      </w:r>
      <w:r>
        <w:rPr>
          <w:rFonts w:ascii="宋体" w:hAnsi="宋体"/>
          <w:sz w:val="24"/>
        </w:rPr>
        <w:t>的申购、赎回、定期定额投资、转换等业务，具体交易细则请参阅本公司网站。</w:t>
      </w:r>
    </w:p>
    <w:p w14:paraId="1DC97F7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网上直销交易平台网址：www.fund001.com。</w:t>
      </w:r>
    </w:p>
    <w:p w14:paraId="562B2B5A" w14:textId="504650EF"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sidR="00F41A2F">
        <w:rPr>
          <w:rFonts w:ascii="宋体" w:hAnsi="宋体" w:hint="eastAsia"/>
          <w:sz w:val="24"/>
        </w:rPr>
        <w:t>除基金管理人之外的其他</w:t>
      </w:r>
      <w:r w:rsidR="001A18DF">
        <w:rPr>
          <w:rFonts w:ascii="宋体" w:hAnsi="宋体" w:hint="eastAsia"/>
          <w:sz w:val="24"/>
        </w:rPr>
        <w:t>销售</w:t>
      </w:r>
      <w:r>
        <w:rPr>
          <w:rFonts w:ascii="宋体" w:hAnsi="宋体"/>
          <w:sz w:val="24"/>
        </w:rPr>
        <w:t>机构</w:t>
      </w:r>
    </w:p>
    <w:p w14:paraId="1F383DEE" w14:textId="349BCA19" w:rsidR="001A18DF" w:rsidRDefault="001A18DF">
      <w:pPr>
        <w:autoSpaceDE w:val="0"/>
        <w:autoSpaceDN w:val="0"/>
        <w:adjustRightInd w:val="0"/>
        <w:snapToGrid w:val="0"/>
        <w:spacing w:line="360" w:lineRule="auto"/>
        <w:ind w:firstLineChars="200" w:firstLine="480"/>
        <w:jc w:val="left"/>
        <w:rPr>
          <w:rFonts w:ascii="宋体" w:hAnsi="宋体"/>
          <w:sz w:val="24"/>
        </w:rPr>
      </w:pPr>
      <w:r w:rsidRPr="001A18DF">
        <w:rPr>
          <w:rFonts w:ascii="宋体" w:hAnsi="宋体" w:hint="eastAsia"/>
          <w:sz w:val="24"/>
        </w:rPr>
        <w:t>本基金A类基金份额</w:t>
      </w:r>
      <w:r>
        <w:rPr>
          <w:rFonts w:ascii="宋体" w:hAnsi="宋体" w:hint="eastAsia"/>
          <w:sz w:val="24"/>
        </w:rPr>
        <w:t>和C类基金份额</w:t>
      </w:r>
      <w:r w:rsidR="00F41A2F" w:rsidRPr="001A18DF">
        <w:rPr>
          <w:rFonts w:ascii="宋体" w:hAnsi="宋体" w:hint="eastAsia"/>
          <w:sz w:val="24"/>
        </w:rPr>
        <w:t>除</w:t>
      </w:r>
      <w:r w:rsidRPr="001A18DF">
        <w:rPr>
          <w:rFonts w:ascii="宋体" w:hAnsi="宋体" w:hint="eastAsia"/>
          <w:sz w:val="24"/>
        </w:rPr>
        <w:t>直销机构外的其他销售机构：</w:t>
      </w:r>
    </w:p>
    <w:p w14:paraId="512B0DF6" w14:textId="7C59E1CC"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（1）名称：交通银行股份有限公司</w:t>
      </w:r>
    </w:p>
    <w:p w14:paraId="7BC370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住所：上海市浦东新区银城中路188号</w:t>
      </w:r>
    </w:p>
    <w:p w14:paraId="13B752C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办公地址：上海市浦东新区银城中路188号</w:t>
      </w:r>
    </w:p>
    <w:p w14:paraId="7AF0317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14:paraId="6BA604B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电话：（021）58781234</w:t>
      </w:r>
    </w:p>
    <w:p w14:paraId="5B0F7E6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传真：（021）58408483</w:t>
      </w:r>
    </w:p>
    <w:p w14:paraId="7C7014F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14:paraId="72E2589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客户服务电话：95559</w:t>
      </w:r>
    </w:p>
    <w:p w14:paraId="706DB70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网址：www.bankcomm.com</w:t>
      </w:r>
    </w:p>
    <w:p w14:paraId="3C13727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（2）名称：上海浦东发展银行股份有限公司</w:t>
      </w:r>
    </w:p>
    <w:p w14:paraId="511B20D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住所：上海市中山东一路12 号</w:t>
      </w:r>
    </w:p>
    <w:p w14:paraId="18C88BC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办公地址：上海市中山东一路12 号</w:t>
      </w:r>
    </w:p>
    <w:p w14:paraId="60A68AA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法定代表人：郑杨</w:t>
      </w:r>
    </w:p>
    <w:p w14:paraId="70215E0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电话：（021）61618888</w:t>
      </w:r>
    </w:p>
    <w:p w14:paraId="4B2182C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传真：（021）61618888</w:t>
      </w:r>
    </w:p>
    <w:p w14:paraId="5FA291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联系人：朱瑛</w:t>
      </w:r>
    </w:p>
    <w:p w14:paraId="7AA20AE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客户服务电话：95528</w:t>
      </w:r>
    </w:p>
    <w:p w14:paraId="358A73C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网址：www.spdb.com.cn</w:t>
      </w:r>
    </w:p>
    <w:p w14:paraId="1B88640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（3）名称：招商银行股份有限公司</w:t>
      </w:r>
    </w:p>
    <w:p w14:paraId="5A710B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住所：深圳市福田区深南大道7088号</w:t>
      </w:r>
    </w:p>
    <w:p w14:paraId="3DC57EA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办公地址：深圳市福田区深南大道7088号</w:t>
      </w:r>
    </w:p>
    <w:p w14:paraId="5C98C24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14:paraId="6B630AE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电话：（0755）83198888</w:t>
      </w:r>
    </w:p>
    <w:p w14:paraId="51A6B86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传真：（0755）83195109</w:t>
      </w:r>
    </w:p>
    <w:p w14:paraId="03FC475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联系人：季平伟</w:t>
      </w:r>
    </w:p>
    <w:p w14:paraId="004AAAB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客户服务电话：95555</w:t>
      </w:r>
    </w:p>
    <w:p w14:paraId="4B8489A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网址：www.cmbchina.com</w:t>
      </w:r>
    </w:p>
    <w:p w14:paraId="36A1643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（4）名称：中国光大银行股份有限公司</w:t>
      </w:r>
    </w:p>
    <w:p w14:paraId="688F9CE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住所：北京市西城区太平桥大街25号、甲25号中国光大中心</w:t>
      </w:r>
    </w:p>
    <w:p w14:paraId="68841A5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办公地址：北京市西城区太平桥大街25号、甲25号中国光大中心</w:t>
      </w:r>
    </w:p>
    <w:p w14:paraId="2EF3918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法定代表人：李晓鹏</w:t>
      </w:r>
    </w:p>
    <w:p w14:paraId="5123205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电话：（010）63639681</w:t>
      </w:r>
    </w:p>
    <w:p w14:paraId="4B9D89B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传真：（010）63639709</w:t>
      </w:r>
    </w:p>
    <w:p w14:paraId="75B8397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联系人：刘昭宇</w:t>
      </w:r>
    </w:p>
    <w:p w14:paraId="3780A4B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客户服务电话：95595</w:t>
      </w:r>
    </w:p>
    <w:p w14:paraId="5D3B629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网址：www.cebbank.com</w:t>
      </w:r>
    </w:p>
    <w:p w14:paraId="4A41DC2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（5）名称：平安银行股份有限公司</w:t>
      </w:r>
    </w:p>
    <w:p w14:paraId="5BA683F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注册地址：深圳市罗湖区深南东路5047号</w:t>
      </w:r>
    </w:p>
    <w:p w14:paraId="1E21EB2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办公地址：深圳市深南东路5047号</w:t>
      </w:r>
    </w:p>
    <w:p w14:paraId="164829F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法定代表人：谢永林</w:t>
      </w:r>
    </w:p>
    <w:p w14:paraId="697FA66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电话：0755-22166574</w:t>
      </w:r>
    </w:p>
    <w:p w14:paraId="6120836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传真：0755-82080406</w:t>
      </w:r>
    </w:p>
    <w:p w14:paraId="375EF90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联系人：赵杨</w:t>
      </w:r>
    </w:p>
    <w:p w14:paraId="5183D11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客服电话：95511-3或95501</w:t>
      </w:r>
    </w:p>
    <w:p w14:paraId="48F83F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网址：bank.pingan.com</w:t>
      </w:r>
    </w:p>
    <w:p w14:paraId="769614A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（6）名称：宁波银行股份有限公司</w:t>
      </w:r>
    </w:p>
    <w:p w14:paraId="76A33E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住所：宁波市江东区中山东路294号</w:t>
      </w:r>
    </w:p>
    <w:p w14:paraId="6F9654B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法定代表人：陆华裕</w:t>
      </w:r>
    </w:p>
    <w:p w14:paraId="753BD14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电话：（021）63586210</w:t>
      </w:r>
    </w:p>
    <w:p w14:paraId="12D7AB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传真：（021）63586215</w:t>
      </w:r>
    </w:p>
    <w:p w14:paraId="76D7E4A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联系人：胡技勋</w:t>
      </w:r>
    </w:p>
    <w:p w14:paraId="536B26F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客户服务电话：96528（上海地区962528）</w:t>
      </w:r>
    </w:p>
    <w:p w14:paraId="50C2C55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网址：www.nbcb.com.cn</w:t>
      </w:r>
    </w:p>
    <w:p w14:paraId="5B19A53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（7）名称：国信证券股份有限公司</w:t>
      </w:r>
    </w:p>
    <w:p w14:paraId="01E456E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住所：深圳市罗湖区红岭中路1012号国信证券大厦16-26楼</w:t>
      </w:r>
    </w:p>
    <w:p w14:paraId="2FE66B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办公地址：深圳市罗湖区红岭中路1012号国信证券大厦16-26楼</w:t>
      </w:r>
    </w:p>
    <w:p w14:paraId="35AB85D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法定代表人：张纳沙</w:t>
      </w:r>
    </w:p>
    <w:p w14:paraId="103A01F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电话：（0755）82130833</w:t>
      </w:r>
    </w:p>
    <w:p w14:paraId="1C6B16F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传真：（0755）82133952</w:t>
      </w:r>
    </w:p>
    <w:p w14:paraId="535BA85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联系人：于智勇</w:t>
      </w:r>
    </w:p>
    <w:p w14:paraId="7E56D3F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客户服务电话：95536</w:t>
      </w:r>
    </w:p>
    <w:p w14:paraId="640DD4C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网址：www.guosen.com.cn</w:t>
      </w:r>
    </w:p>
    <w:p w14:paraId="01A9163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（8）名称：德邦证券有限责任公司</w:t>
      </w:r>
    </w:p>
    <w:p w14:paraId="4EC4E9E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住所：上海市普陀区曹杨路510号南半幢9楼</w:t>
      </w:r>
    </w:p>
    <w:p w14:paraId="734D50A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办公地址：上海市福山路500号城建大厦26楼</w:t>
      </w:r>
    </w:p>
    <w:p w14:paraId="781BFBE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法定代表人：姚文平</w:t>
      </w:r>
    </w:p>
    <w:p w14:paraId="649B695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电话：（021）68761616</w:t>
      </w:r>
    </w:p>
    <w:p w14:paraId="39241C4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传真：（021）68767981</w:t>
      </w:r>
    </w:p>
    <w:p w14:paraId="395D66B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客户服务电话：4008-888-128</w:t>
      </w:r>
    </w:p>
    <w:p w14:paraId="4F3A91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网址：www.tebon.com.cn</w:t>
      </w:r>
    </w:p>
    <w:p w14:paraId="14D9F6B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（9）名称：国投证券股份有限公司</w:t>
      </w:r>
    </w:p>
    <w:p w14:paraId="08DA56B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住所：深圳市福田区福田街道福华一路119号安信金融大厦</w:t>
      </w:r>
    </w:p>
    <w:p w14:paraId="3B3CB57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办公地址：深圳市福田区福田街道福华一路119号安信金融大厦</w:t>
      </w:r>
    </w:p>
    <w:p w14:paraId="2309948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法定代表人：段文务</w:t>
      </w:r>
    </w:p>
    <w:p w14:paraId="4193EF2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电话：（0755）81688000</w:t>
      </w:r>
    </w:p>
    <w:p w14:paraId="6349E15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传真：（0755）82558355</w:t>
      </w:r>
    </w:p>
    <w:p w14:paraId="245789D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联系人：陈剑虹</w:t>
      </w:r>
    </w:p>
    <w:p w14:paraId="4D50143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客户服务电话：95517</w:t>
      </w:r>
    </w:p>
    <w:p w14:paraId="142529C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网址：http://www.essence.com.cn/</w:t>
      </w:r>
    </w:p>
    <w:p w14:paraId="70C1557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（10）名称：中信建投证券股份有限公司</w:t>
      </w:r>
    </w:p>
    <w:p w14:paraId="43F7C43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住所：北京市朝阳区安立路66号4号楼</w:t>
      </w:r>
    </w:p>
    <w:p w14:paraId="132E54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办公地址：北京市朝阳门内大街188号</w:t>
      </w:r>
    </w:p>
    <w:p w14:paraId="7363344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法定代表人：王常青</w:t>
      </w:r>
    </w:p>
    <w:p w14:paraId="3FD878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电话：（010）85130588</w:t>
      </w:r>
    </w:p>
    <w:p w14:paraId="6E80A8D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传真：（010）65182261</w:t>
      </w:r>
    </w:p>
    <w:p w14:paraId="58D9F7D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联系人：魏明</w:t>
      </w:r>
    </w:p>
    <w:p w14:paraId="3D06456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客户服务电话：95587</w:t>
      </w:r>
    </w:p>
    <w:p w14:paraId="34A261A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网址：www.csc108.com</w:t>
      </w:r>
    </w:p>
    <w:p w14:paraId="5488411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（11）名称：中原证券股份有限公司</w:t>
      </w:r>
    </w:p>
    <w:p w14:paraId="0A35126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住所：郑州市郑东新区商务外环路10号</w:t>
      </w:r>
    </w:p>
    <w:p w14:paraId="310EC79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办公地址：郑州市郑东新区商务外环路10号</w:t>
      </w:r>
    </w:p>
    <w:p w14:paraId="1F0CAA9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法定代表人：菅明军</w:t>
      </w:r>
    </w:p>
    <w:p w14:paraId="43F9A43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联系人：程月艳 李盼盼</w:t>
      </w:r>
    </w:p>
    <w:p w14:paraId="5B1ED79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电话：0371-69099881/2</w:t>
      </w:r>
    </w:p>
    <w:p w14:paraId="4942438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客户服务电话：95377</w:t>
      </w:r>
    </w:p>
    <w:p w14:paraId="0E25734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网址：https://www.ccnew.com</w:t>
      </w:r>
    </w:p>
    <w:p w14:paraId="4DC521F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（12）名称：西部证券股份有限公司</w:t>
      </w:r>
    </w:p>
    <w:p w14:paraId="1EB50E7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住所：陕西省西安市新城区东新街 319 号 8 幢 10000 室</w:t>
      </w:r>
    </w:p>
    <w:p w14:paraId="22F9EB1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办公地址：陕西省西安市新城区东新街 319 号 8 幢 10000 室</w:t>
      </w:r>
    </w:p>
    <w:p w14:paraId="68BC99B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法定代表人：徐朝晖</w:t>
      </w:r>
    </w:p>
    <w:p w14:paraId="2662ACF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电话：029-87211668</w:t>
      </w:r>
    </w:p>
    <w:p w14:paraId="3292809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p>
    <w:p w14:paraId="395CA45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联系人：张吉安</w:t>
      </w:r>
    </w:p>
    <w:p w14:paraId="32192B8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客户服务电话：95582</w:t>
      </w:r>
    </w:p>
    <w:p w14:paraId="0AA845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网址：www.west95582.com</w:t>
      </w:r>
    </w:p>
    <w:p w14:paraId="746F7C2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（13）名称：国金证券股份有限公司</w:t>
      </w:r>
    </w:p>
    <w:p w14:paraId="73FA436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住所：四川省成都市东城根上街95号</w:t>
      </w:r>
    </w:p>
    <w:p w14:paraId="62F9780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办公地址：成都市东城根上街95号</w:t>
      </w:r>
    </w:p>
    <w:p w14:paraId="177F614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法定代表人：冉云</w:t>
      </w:r>
    </w:p>
    <w:p w14:paraId="0CC33FA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电话：（028）86690057，（028）86690058</w:t>
      </w:r>
    </w:p>
    <w:p w14:paraId="396E9E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传真：（028）86690126</w:t>
      </w:r>
    </w:p>
    <w:p w14:paraId="63CCE97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联系人：刘婧漪 贾鹏</w:t>
      </w:r>
    </w:p>
    <w:p w14:paraId="4726540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客户服务电话：95310</w:t>
      </w:r>
    </w:p>
    <w:p w14:paraId="24724E7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网址：www.gjzq.com.cn</w:t>
      </w:r>
    </w:p>
    <w:p w14:paraId="5037D38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（14）名称：方正证券股份有限公司</w:t>
      </w:r>
    </w:p>
    <w:p w14:paraId="08BA249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住所：湖南长沙芙蓉中路二段华侨国际大厦22-24层</w:t>
      </w:r>
    </w:p>
    <w:p w14:paraId="681B03E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办公地址：湖南长沙芙蓉中路二段华侨国际大厦22-24层</w:t>
      </w:r>
    </w:p>
    <w:p w14:paraId="6F70CA1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法定代表人：雷杰</w:t>
      </w:r>
    </w:p>
    <w:p w14:paraId="5504EDA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电话：（010）68546765</w:t>
      </w:r>
    </w:p>
    <w:p w14:paraId="391D12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传真：（010）68546792</w:t>
      </w:r>
    </w:p>
    <w:p w14:paraId="2B53110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联系人：徐锦福</w:t>
      </w:r>
    </w:p>
    <w:p w14:paraId="2CBFF35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客户服务电话：95571</w:t>
      </w:r>
    </w:p>
    <w:p w14:paraId="5AE7D96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网址：www.foundersc.com</w:t>
      </w:r>
    </w:p>
    <w:p w14:paraId="0B8C1B1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（15）名称：方正中期期货有限公司</w:t>
      </w:r>
    </w:p>
    <w:p w14:paraId="18F8E11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住所：北京市石景山区金府路32号院3号楼5层512室</w:t>
      </w:r>
    </w:p>
    <w:p w14:paraId="1EDFA94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办公地址：北京市朝阳区东三环北路38号院1号泰康金融大厦22层</w:t>
      </w:r>
    </w:p>
    <w:p w14:paraId="056E3A6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法定代表人：姜志军</w:t>
      </w:r>
    </w:p>
    <w:p w14:paraId="70C23B1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联系电话：010-85881211</w:t>
      </w:r>
    </w:p>
    <w:p w14:paraId="6661760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传真：010-85881394</w:t>
      </w:r>
    </w:p>
    <w:p w14:paraId="43FA16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联系人：罗雯</w:t>
      </w:r>
    </w:p>
    <w:p w14:paraId="6C32A80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客户服务电话：4008802277</w:t>
      </w:r>
    </w:p>
    <w:p w14:paraId="6E65C86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网址：www.founderfu.com</w:t>
      </w:r>
    </w:p>
    <w:p w14:paraId="51C6BF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（16）名称：广发证券股份有限公司</w:t>
      </w:r>
    </w:p>
    <w:p w14:paraId="509A9F9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住所：广州市黄埔区中新广州知识城腾飞一街2号618室</w:t>
      </w:r>
    </w:p>
    <w:p w14:paraId="56E96B5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办公地址：广州市天河区马场路26号广发证券大厦</w:t>
      </w:r>
    </w:p>
    <w:p w14:paraId="53C7389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法定代表人：孙树明</w:t>
      </w:r>
    </w:p>
    <w:p w14:paraId="1CD24F0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电话：（020）66338888</w:t>
      </w:r>
    </w:p>
    <w:p w14:paraId="4B2F4B9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传真：（020）87553600</w:t>
      </w:r>
    </w:p>
    <w:p w14:paraId="7072A2B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联系人：马梦洁</w:t>
      </w:r>
    </w:p>
    <w:p w14:paraId="78D9F4D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客户服务电话：95575</w:t>
      </w:r>
    </w:p>
    <w:p w14:paraId="5C91CCC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网址：www.gf.com.cn</w:t>
      </w:r>
    </w:p>
    <w:p w14:paraId="6069691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（17）名称：华宝证券股份有限公司</w:t>
      </w:r>
    </w:p>
    <w:p w14:paraId="46F2B6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住所：中国上海市陆家嘴环路166号未来资产大厦27楼</w:t>
      </w:r>
    </w:p>
    <w:p w14:paraId="683D4C3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办公地址：中国上海市浦东新区世纪大道100号上海环球金融中心57楼</w:t>
      </w:r>
    </w:p>
    <w:p w14:paraId="12A1732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陈林</w:t>
      </w:r>
    </w:p>
    <w:p w14:paraId="56CBA09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电话：（021）68777222</w:t>
      </w:r>
    </w:p>
    <w:p w14:paraId="5CDBCF1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传真：（021）68777822</w:t>
      </w:r>
    </w:p>
    <w:p w14:paraId="77A56FB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联系人：赵洁</w:t>
      </w:r>
    </w:p>
    <w:p w14:paraId="20BB93B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客户服务电话：400-820-9898</w:t>
      </w:r>
    </w:p>
    <w:p w14:paraId="571E1A2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网址：www.cnhbstock.com</w:t>
      </w:r>
    </w:p>
    <w:p w14:paraId="38DE727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（18）名称：中邮证券有限责任公司</w:t>
      </w:r>
    </w:p>
    <w:p w14:paraId="48D9CAF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注册地址：陕西省西安市唐延路5号（陕西邮政信息大厦9-11层）</w:t>
      </w:r>
    </w:p>
    <w:p w14:paraId="664D5FF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办公地址：北京市东城区珠市口东大街17号</w:t>
      </w:r>
    </w:p>
    <w:p w14:paraId="416783F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法定代表人：郭成林</w:t>
      </w:r>
    </w:p>
    <w:p w14:paraId="3B3D55A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电话：010-67017788-8914</w:t>
      </w:r>
    </w:p>
    <w:p w14:paraId="3B0C65E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传真：010-67017788</w:t>
      </w:r>
    </w:p>
    <w:p w14:paraId="65AE0E2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联系人：史蕾</w:t>
      </w:r>
    </w:p>
    <w:p w14:paraId="6161FA0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客户服务电话：4008-888-005</w:t>
      </w:r>
    </w:p>
    <w:p w14:paraId="06C2F0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网址：www.cnpsec.com</w:t>
      </w:r>
    </w:p>
    <w:p w14:paraId="7F7E5F6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（19）名称：开源证券股份有限公司</w:t>
      </w:r>
    </w:p>
    <w:p w14:paraId="2E1EFB1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注册地址：陕西省西安市高新区锦业路一号都市之门B座5层</w:t>
      </w:r>
    </w:p>
    <w:p w14:paraId="759360D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办公地址：陕西省西安市高新区锦业路一号都市之门B座5层</w:t>
      </w:r>
    </w:p>
    <w:p w14:paraId="31F62C5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法定代表人：李刚</w:t>
      </w:r>
    </w:p>
    <w:p w14:paraId="4C1097C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电话：13709210036</w:t>
      </w:r>
    </w:p>
    <w:p w14:paraId="339B2BF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联系人：赵东会</w:t>
      </w:r>
    </w:p>
    <w:p w14:paraId="62F1B26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网址：www.kysec.cn</w:t>
      </w:r>
    </w:p>
    <w:p w14:paraId="6D565BA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客户服务电话：95321</w:t>
      </w:r>
    </w:p>
    <w:p w14:paraId="2506288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（20）名称：平安证券股份有限公司</w:t>
      </w:r>
    </w:p>
    <w:p w14:paraId="784C777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住所：深圳市福田区金田路大中华国际交易广场裙楼8楼</w:t>
      </w:r>
    </w:p>
    <w:p w14:paraId="288FD63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办公地址：深圳市福田区金田路大中华国际交易广场裙楼8楼(518048)</w:t>
      </w:r>
    </w:p>
    <w:p w14:paraId="3119C8A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法定代表人：杨宇翔</w:t>
      </w:r>
    </w:p>
    <w:p w14:paraId="4532C1B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电话：（0755）22627802</w:t>
      </w:r>
    </w:p>
    <w:p w14:paraId="473EAC0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传真：（0755）82400862</w:t>
      </w:r>
    </w:p>
    <w:p w14:paraId="4A59550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联系人：郑舒丽</w:t>
      </w:r>
    </w:p>
    <w:p w14:paraId="601F4C3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客户服务电话：95511-8</w:t>
      </w:r>
    </w:p>
    <w:p w14:paraId="2BBB20E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网址：www.pingan.com</w:t>
      </w:r>
    </w:p>
    <w:p w14:paraId="44E96E9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（21）名称：华西证券股份有限公司</w:t>
      </w:r>
    </w:p>
    <w:p w14:paraId="4A43A32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住所：四川省成都市高新区天府二街198号华西证券大厦</w:t>
      </w:r>
    </w:p>
    <w:p w14:paraId="1FD7711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办公地址：四川省成都市高新区天府二街198号华西证券大厦</w:t>
      </w:r>
    </w:p>
    <w:p w14:paraId="2719D88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法定代表人：杨炯洋</w:t>
      </w:r>
    </w:p>
    <w:p w14:paraId="259522E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电话：（028）86135991</w:t>
      </w:r>
    </w:p>
    <w:p w14:paraId="656848D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传真：（028）86150400</w:t>
      </w:r>
    </w:p>
    <w:p w14:paraId="6CC01D6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联系人：周志茹</w:t>
      </w:r>
    </w:p>
    <w:p w14:paraId="2135C1F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客户服务电话：95584</w:t>
      </w:r>
    </w:p>
    <w:p w14:paraId="265E821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网址：www.hx168.com.cn</w:t>
      </w:r>
    </w:p>
    <w:p w14:paraId="12B154A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（22）名称：中国中金财富证券有限公司</w:t>
      </w:r>
    </w:p>
    <w:p w14:paraId="3809F35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住所：深圳市福田区益田路与福中路交界处荣超商务中心A栋第18层-21层及第04层01.02.03.05.11.12.13.15.16.18.19.20.21.22.23单元</w:t>
      </w:r>
    </w:p>
    <w:p w14:paraId="70C86A6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办公地址：深圳市福田区益田路6003号荣超商务中心A栋第04、18层至21层</w:t>
      </w:r>
    </w:p>
    <w:p w14:paraId="53A6D48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法定代表人：高涛</w:t>
      </w:r>
    </w:p>
    <w:p w14:paraId="4234E4B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电话：（0755）88320851</w:t>
      </w:r>
    </w:p>
    <w:p w14:paraId="023608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联系人：胡芷境</w:t>
      </w:r>
    </w:p>
    <w:p w14:paraId="6DDE06E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客户服务电话：95532/400-600-8008</w:t>
      </w:r>
    </w:p>
    <w:p w14:paraId="79BC6F8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网址：www.ciccwm.com</w:t>
      </w:r>
    </w:p>
    <w:p w14:paraId="4D0FEFF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（23）名称：南京证券股份有限公司</w:t>
      </w:r>
    </w:p>
    <w:p w14:paraId="77752FF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住所：南京市江东中路389号</w:t>
      </w:r>
    </w:p>
    <w:p w14:paraId="65BF00A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办公地址：南京市江东中路389号</w:t>
      </w:r>
    </w:p>
    <w:p w14:paraId="6B882D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法定代表人：李剑锋</w:t>
      </w:r>
    </w:p>
    <w:p w14:paraId="623DE23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电话：（025）58519529</w:t>
      </w:r>
    </w:p>
    <w:p w14:paraId="7B1D62A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传真：（025）83369725</w:t>
      </w:r>
    </w:p>
    <w:p w14:paraId="315D88D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联系人：曹梦媛</w:t>
      </w:r>
    </w:p>
    <w:p w14:paraId="6C58601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客户服务电话：95386</w:t>
      </w:r>
    </w:p>
    <w:p w14:paraId="156C7D4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网址：www.nizq.com.cn</w:t>
      </w:r>
    </w:p>
    <w:p w14:paraId="7E0FA6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（24）名称：财通证券股份有限公司</w:t>
      </w:r>
    </w:p>
    <w:p w14:paraId="3965DBF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注册地址：杭州市杭大路15号嘉华国际商务中心201、501、502、1103、1601-1615、1701-1716</w:t>
      </w:r>
    </w:p>
    <w:p w14:paraId="13B47CC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办公地址：杭州市杭大路15号嘉华国际商务中心201、501、502、1103、1601-1615、1701-1716</w:t>
      </w:r>
    </w:p>
    <w:p w14:paraId="0E22D2C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沈继宁</w:t>
      </w:r>
    </w:p>
    <w:p w14:paraId="68FCEDE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电话：0571-87789160</w:t>
      </w:r>
    </w:p>
    <w:p w14:paraId="4A3F164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陶志华</w:t>
      </w:r>
    </w:p>
    <w:p w14:paraId="7145679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客户服务电话：95336,40086-96336</w:t>
      </w:r>
    </w:p>
    <w:p w14:paraId="0EA423F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网址：www.ctsec.com</w:t>
      </w:r>
    </w:p>
    <w:p w14:paraId="4A04640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（25）名称：东莞证券股份有限公司</w:t>
      </w:r>
    </w:p>
    <w:p w14:paraId="257DCA8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住所：广东省东莞市莞城区可园南路一号</w:t>
      </w:r>
    </w:p>
    <w:p w14:paraId="65CEF45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办公地址：广东省东莞市莞城区可园南路一号</w:t>
      </w:r>
    </w:p>
    <w:p w14:paraId="4F812F0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电话：（0769）22115712</w:t>
      </w:r>
    </w:p>
    <w:p w14:paraId="29F730C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传真：（0769）22115712</w:t>
      </w:r>
    </w:p>
    <w:p w14:paraId="0B175CC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联系人：李荣</w:t>
      </w:r>
    </w:p>
    <w:p w14:paraId="1A4FC6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客户服务电话：95328</w:t>
      </w:r>
    </w:p>
    <w:p w14:paraId="017BB53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网址：www.dgzq.com</w:t>
      </w:r>
    </w:p>
    <w:p w14:paraId="01E3B74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（26）名称：申万宏源证券有限公司</w:t>
      </w:r>
    </w:p>
    <w:p w14:paraId="17F9FBE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住所：上海市徐汇区长乐路989号世纪商贸广场45层</w:t>
      </w:r>
    </w:p>
    <w:p w14:paraId="6C41903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办公地址：上海市徐汇区长乐路989号世纪商贸广场45层</w:t>
      </w:r>
    </w:p>
    <w:p w14:paraId="2A4752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法定代表人：杨玉成</w:t>
      </w:r>
    </w:p>
    <w:p w14:paraId="0D21F0D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电话：（021）33389888</w:t>
      </w:r>
    </w:p>
    <w:p w14:paraId="6A223BD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联系人：李清怡</w:t>
      </w:r>
    </w:p>
    <w:p w14:paraId="3E5E234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客户服务电话：95523或4008895523</w:t>
      </w:r>
    </w:p>
    <w:p w14:paraId="3C7C773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网址：www.sywg.com</w:t>
      </w:r>
    </w:p>
    <w:p w14:paraId="0DF7698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（27）名称：申万宏源西部证券有限公司</w:t>
      </w:r>
    </w:p>
    <w:p w14:paraId="679932D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住所：新疆乌鲁木齐市建设路2号</w:t>
      </w:r>
    </w:p>
    <w:p w14:paraId="7B41570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办公地址：北京市西城区太平桥大街19号宏源证券</w:t>
      </w:r>
    </w:p>
    <w:p w14:paraId="14B45BF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法定代表人：冯戎</w:t>
      </w:r>
    </w:p>
    <w:p w14:paraId="6639FEC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电话：（010）88085858</w:t>
      </w:r>
    </w:p>
    <w:p w14:paraId="59F1156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传真：（010）88085195</w:t>
      </w:r>
    </w:p>
    <w:p w14:paraId="10CDFD5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联系人：李巍</w:t>
      </w:r>
    </w:p>
    <w:p w14:paraId="497C909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客户服务电话：4008-000-562</w:t>
      </w:r>
    </w:p>
    <w:p w14:paraId="4AC34A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网址：www.hysec.com</w:t>
      </w:r>
    </w:p>
    <w:p w14:paraId="410ABDB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（28）名称：中信证券（山东）有限责任公司</w:t>
      </w:r>
    </w:p>
    <w:p w14:paraId="541DF7D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住所：青岛市崂山区深圳路222号1号楼2001</w:t>
      </w:r>
    </w:p>
    <w:p w14:paraId="1CB8E5F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办公地址：青岛市市南区东海西路28号龙翔广场东座5层</w:t>
      </w:r>
    </w:p>
    <w:p w14:paraId="7C5A204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法定代表人：姜晓林</w:t>
      </w:r>
    </w:p>
    <w:p w14:paraId="2895E3F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电话：0531-89606166</w:t>
      </w:r>
    </w:p>
    <w:p w14:paraId="19576B5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传真：0532-85022605</w:t>
      </w:r>
    </w:p>
    <w:p w14:paraId="49BE0F6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联系人：焦刚</w:t>
      </w:r>
    </w:p>
    <w:p w14:paraId="1B617C4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客户服务电话：95548</w:t>
      </w:r>
    </w:p>
    <w:p w14:paraId="05E930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网址：sd.citics.com</w:t>
      </w:r>
    </w:p>
    <w:p w14:paraId="5DE6D81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（29）名称：中信证券华南股份有限公司</w:t>
      </w:r>
    </w:p>
    <w:p w14:paraId="7BFBEBB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住所：广州市天河区珠江西路5号广州国际金融中心主塔19层、20层</w:t>
      </w:r>
    </w:p>
    <w:p w14:paraId="0A8F197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办公地址：广州市天河区珠江西路5号广州国际金融中心主塔19层、20层</w:t>
      </w:r>
    </w:p>
    <w:p w14:paraId="2ED0841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法定代表人：胡伏云</w:t>
      </w:r>
    </w:p>
    <w:p w14:paraId="1067E6A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电话：020-88836999</w:t>
      </w:r>
    </w:p>
    <w:p w14:paraId="7D088A6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传真：020-88836984</w:t>
      </w:r>
    </w:p>
    <w:p w14:paraId="4BB192C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联系人：陈靖</w:t>
      </w:r>
    </w:p>
    <w:p w14:paraId="76592A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客服电话：（020）95396</w:t>
      </w:r>
    </w:p>
    <w:p w14:paraId="55BD3F4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网址：www.gzs.com.cn</w:t>
      </w:r>
    </w:p>
    <w:p w14:paraId="58329E0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（30）名称：中信证券股份有限公司</w:t>
      </w:r>
    </w:p>
    <w:p w14:paraId="28E554B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住所：广东省深圳市福田区中心三路8号卓越时代广场（二期）北座</w:t>
      </w:r>
    </w:p>
    <w:p w14:paraId="00EF2EE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办公地址：北京市朝阳区亮马桥路48号中信证券大厦</w:t>
      </w:r>
    </w:p>
    <w:p w14:paraId="72E7C9A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法定代表人：张佑君</w:t>
      </w:r>
    </w:p>
    <w:p w14:paraId="4131100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电话：010-60838888</w:t>
      </w:r>
    </w:p>
    <w:p w14:paraId="1240864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客服电话：95548</w:t>
      </w:r>
    </w:p>
    <w:p w14:paraId="506C324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网址：www.cs.ecitic.com</w:t>
      </w:r>
    </w:p>
    <w:p w14:paraId="61D28C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（31）名称：深圳市新兰德证券投资咨询有限公司</w:t>
      </w:r>
    </w:p>
    <w:p w14:paraId="6552395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住所：深圳市福田区华强北路赛格科技园4栋10层1006#</w:t>
      </w:r>
    </w:p>
    <w:p w14:paraId="1E6E87D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办公地址：北京市西城区金融大街35号国际企业大厦C座9层</w:t>
      </w:r>
    </w:p>
    <w:p w14:paraId="115CFBC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法定代表人：陈操</w:t>
      </w:r>
    </w:p>
    <w:p w14:paraId="373494A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电话：（010）58325395</w:t>
      </w:r>
    </w:p>
    <w:p w14:paraId="7737B8C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传真：（010）58325282</w:t>
      </w:r>
    </w:p>
    <w:p w14:paraId="2FB9DDD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联系人：刘宝文</w:t>
      </w:r>
    </w:p>
    <w:p w14:paraId="0880C96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客户服务电话：400-850-7771</w:t>
      </w:r>
    </w:p>
    <w:p w14:paraId="4FBAC8F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网址：http://8.jrj.com.cn/</w:t>
      </w:r>
    </w:p>
    <w:p w14:paraId="4BBC51B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（32）名称：大连网金基金销售有限公司</w:t>
      </w:r>
    </w:p>
    <w:p w14:paraId="1297DD3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辽宁省大连市沙河口区体坛路22号诺德大厦2层202室</w:t>
      </w:r>
    </w:p>
    <w:p w14:paraId="670DFA2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辽宁省大连市沙河口区体坛路22号诺德大厦2层202室</w:t>
      </w:r>
    </w:p>
    <w:p w14:paraId="1E431B2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樊怀东</w:t>
      </w:r>
    </w:p>
    <w:p w14:paraId="0F74ED8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电话：（0411-39027810）</w:t>
      </w:r>
    </w:p>
    <w:p w14:paraId="13C9F9E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传真：（0411-39027835）</w:t>
      </w:r>
    </w:p>
    <w:p w14:paraId="4685489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 于秀</w:t>
      </w:r>
    </w:p>
    <w:p w14:paraId="023FC19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4000-899-100</w:t>
      </w:r>
    </w:p>
    <w:p w14:paraId="62F2C9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网址：http://www.yibaijin.com/</w:t>
      </w:r>
    </w:p>
    <w:p w14:paraId="171B83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（33）名称：阳光人寿保险股份有限公司</w:t>
      </w:r>
    </w:p>
    <w:p w14:paraId="15A3287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住所：海南省三亚市迎宾路360-1号三亚阳光金融广场16层</w:t>
      </w:r>
    </w:p>
    <w:p w14:paraId="2F54803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办公地址：北京市朝阳区朝阳门外大街乙12号院1号昆泰国际大厦12层</w:t>
      </w:r>
    </w:p>
    <w:p w14:paraId="57C700F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法定代表人：李科</w:t>
      </w:r>
    </w:p>
    <w:p w14:paraId="087DC94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电话：（010）85632771</w:t>
      </w:r>
    </w:p>
    <w:p w14:paraId="5CA024D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传真：（010）85632773</w:t>
      </w:r>
    </w:p>
    <w:p w14:paraId="06B29A8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联系人：王超</w:t>
      </w:r>
    </w:p>
    <w:p w14:paraId="0CDF3D5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客户服务电话：95510</w:t>
      </w:r>
    </w:p>
    <w:p w14:paraId="6B419FC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网址：http://fund.sinosig.com/</w:t>
      </w:r>
    </w:p>
    <w:p w14:paraId="4F9A84D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（34）名称：玄元保险代理有限公司</w:t>
      </w:r>
    </w:p>
    <w:p w14:paraId="75E6B16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住所：中国(上海)自由贸易试验区张杨路707号1105室</w:t>
      </w:r>
    </w:p>
    <w:p w14:paraId="2E31787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办公地址：中国(上海)自由贸易试验区张杨路707号1105室</w:t>
      </w:r>
    </w:p>
    <w:p w14:paraId="3AE74D5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法定代表人：马永谙</w:t>
      </w:r>
    </w:p>
    <w:p w14:paraId="568FC45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电话：（021）50701053</w:t>
      </w:r>
    </w:p>
    <w:p w14:paraId="646C62D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传真：（021）50701053</w:t>
      </w:r>
    </w:p>
    <w:p w14:paraId="2D17FF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客户服务电话：400-080-8208</w:t>
      </w:r>
    </w:p>
    <w:p w14:paraId="0CC43D6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网址：www.licaimofang.cn</w:t>
      </w:r>
    </w:p>
    <w:p w14:paraId="5F73ECC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（35）名称：京东肯特瑞基金销售有限公司</w:t>
      </w:r>
    </w:p>
    <w:p w14:paraId="7D50A5F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北京市海淀区西三旗建材城中路12号17号平房157</w:t>
      </w:r>
    </w:p>
    <w:p w14:paraId="19FC4D6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办公地址：北京市通州区亦庄经济技术开发区科创十一街18号院京东集团总部A座17层</w:t>
      </w:r>
    </w:p>
    <w:p w14:paraId="7F330DC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法定代表人：王苏宁</w:t>
      </w:r>
    </w:p>
    <w:p w14:paraId="64A3D06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电话：95118</w:t>
      </w:r>
    </w:p>
    <w:p w14:paraId="7B7EBBE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传真：010-89189566</w:t>
      </w:r>
    </w:p>
    <w:p w14:paraId="47FABD5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联系人：李丹</w:t>
      </w:r>
    </w:p>
    <w:p w14:paraId="793EB6B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客服热线：95118</w:t>
      </w:r>
    </w:p>
    <w:p w14:paraId="75F3FA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网址：kenterui.jd.com</w:t>
      </w:r>
    </w:p>
    <w:p w14:paraId="2BD046D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（36）名称：上海大智慧基金销售有限公司</w:t>
      </w:r>
    </w:p>
    <w:p w14:paraId="703B7C0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住所：上海市浦东新区杨高南路428号1号楼10-11层</w:t>
      </w:r>
    </w:p>
    <w:p w14:paraId="3511058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办公地址：上海市浦东新区杨高南路428号1号楼10-11层</w:t>
      </w:r>
    </w:p>
    <w:p w14:paraId="690E243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法定代表人：申健</w:t>
      </w:r>
    </w:p>
    <w:p w14:paraId="5E90752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电话：021-0219988-35374</w:t>
      </w:r>
    </w:p>
    <w:p w14:paraId="66EC0A5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传真：021-20219923</w:t>
      </w:r>
    </w:p>
    <w:p w14:paraId="0855F1B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联系人：张蜓</w:t>
      </w:r>
    </w:p>
    <w:p w14:paraId="6426DD3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客户服务电话：021-20292031</w:t>
      </w:r>
    </w:p>
    <w:p w14:paraId="4201316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网址：https://www.wg.com.cn</w:t>
      </w:r>
    </w:p>
    <w:p w14:paraId="42D09BD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（37）名称：珠海盈米基金销售有限公司</w:t>
      </w:r>
    </w:p>
    <w:p w14:paraId="57F6C6F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住所：珠海市横琴新区宝华路6号105室-3491</w:t>
      </w:r>
    </w:p>
    <w:p w14:paraId="313BDF5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办公地址：广州市海珠区琶洲大道东1号保利国际广场南塔12楼B1201-1203</w:t>
      </w:r>
    </w:p>
    <w:p w14:paraId="60F44F9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法定代表人：肖雯</w:t>
      </w:r>
    </w:p>
    <w:p w14:paraId="179D5FA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电话：（020）89629099</w:t>
      </w:r>
    </w:p>
    <w:p w14:paraId="0B6AFA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传真：（020）89629011</w:t>
      </w:r>
    </w:p>
    <w:p w14:paraId="222B584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联系人：黄敏嫦</w:t>
      </w:r>
    </w:p>
    <w:p w14:paraId="73E7A27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客户服务电话：（020）89629066</w:t>
      </w:r>
    </w:p>
    <w:p w14:paraId="1850B24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网址：www.yingmi.com</w:t>
      </w:r>
    </w:p>
    <w:p w14:paraId="6AD4422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（38）名称：上海华夏财富投资管理有限公司</w:t>
      </w:r>
    </w:p>
    <w:p w14:paraId="6BFAD5B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住所：上海市虹口区东大名路687号1幢2楼268室</w:t>
      </w:r>
    </w:p>
    <w:p w14:paraId="10E6B25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北京市西城区金融大街33号通泰大厦B座8层</w:t>
      </w:r>
    </w:p>
    <w:p w14:paraId="7D55799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毛淮平</w:t>
      </w:r>
    </w:p>
    <w:p w14:paraId="5327887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电话：010-88066632</w:t>
      </w:r>
    </w:p>
    <w:p w14:paraId="2EAA8CE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传真：010-63136184</w:t>
      </w:r>
    </w:p>
    <w:p w14:paraId="5FEC4DB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张静怡</w:t>
      </w:r>
    </w:p>
    <w:p w14:paraId="076D35A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客户服务电话：400-817-5666</w:t>
      </w:r>
    </w:p>
    <w:p w14:paraId="03AF090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www.amcfortune.com</w:t>
      </w:r>
    </w:p>
    <w:p w14:paraId="6CFB0DF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（39）名称：北京度小满基金销售有限公司</w:t>
      </w:r>
    </w:p>
    <w:p w14:paraId="7653993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注册地址：北京市海淀区西北旺东路10号院西区4号楼1层103室</w:t>
      </w:r>
    </w:p>
    <w:p w14:paraId="0028CC5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法定代表人：葛新</w:t>
      </w:r>
    </w:p>
    <w:p w14:paraId="3833C97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办公地址：北京市海淀区西北旺东路10号院西区4号楼</w:t>
      </w:r>
    </w:p>
    <w:p w14:paraId="35C5E7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机构联系人：王笑宇</w:t>
      </w:r>
    </w:p>
    <w:p w14:paraId="0443847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联系人电话：010-59403028</w:t>
      </w:r>
    </w:p>
    <w:p w14:paraId="2D3E9E0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联系人传真：010-59403027</w:t>
      </w:r>
    </w:p>
    <w:p w14:paraId="56406A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客户服务电话：95055-4</w:t>
      </w:r>
    </w:p>
    <w:p w14:paraId="003323D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公司网址：www.baiyingfund.com</w:t>
      </w:r>
    </w:p>
    <w:p w14:paraId="44F2B20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（40）名称：南京苏宁基金销售有限公司</w:t>
      </w:r>
    </w:p>
    <w:p w14:paraId="2DA4252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住所：南京市玄武区苏宁大道1-5号</w:t>
      </w:r>
    </w:p>
    <w:p w14:paraId="0D3278B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办公地址：南京市玄武区苏宁大道1-5号</w:t>
      </w:r>
    </w:p>
    <w:p w14:paraId="644E417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法定代表人：王锋</w:t>
      </w:r>
    </w:p>
    <w:p w14:paraId="2931B65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电话：025-66996699</w:t>
      </w:r>
    </w:p>
    <w:p w14:paraId="732DE29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传真：025-66996699</w:t>
      </w:r>
    </w:p>
    <w:p w14:paraId="425B1F7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联系人：冯鹏鹏</w:t>
      </w:r>
    </w:p>
    <w:p w14:paraId="3CD2D2E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客户服务电话：95177</w:t>
      </w:r>
    </w:p>
    <w:p w14:paraId="7EF1A4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网址：www.snjijin.com</w:t>
      </w:r>
    </w:p>
    <w:p w14:paraId="172DD4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（41）名称：嘉实财富管理有限公司</w:t>
      </w:r>
    </w:p>
    <w:p w14:paraId="543DB1A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住所：海南省三亚市天涯区三亚湾路国际客运港区国际养生度假中心酒店B座(2＃楼)27楼2714室</w:t>
      </w:r>
    </w:p>
    <w:p w14:paraId="5DD613C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办公地址及其联系方式：北京市朝阳区建国门外大街21号北京国际俱乐部C座</w:t>
      </w:r>
    </w:p>
    <w:p w14:paraId="78C0F87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张峰</w:t>
      </w:r>
    </w:p>
    <w:p w14:paraId="1E095BF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 010-85097302</w:t>
      </w:r>
    </w:p>
    <w:p w14:paraId="68196E6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联系人：闫欢</w:t>
      </w:r>
    </w:p>
    <w:p w14:paraId="32ACC87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客户服务电话：400-021-8850</w:t>
      </w:r>
    </w:p>
    <w:p w14:paraId="299485A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公司网址：http://www.harvestwm.cn</w:t>
      </w:r>
    </w:p>
    <w:p w14:paraId="41D754F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（42）名称：北京汇成基金销售有限公司</w:t>
      </w:r>
    </w:p>
    <w:p w14:paraId="7CE4768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住所：北京市西城区宣武门外大街甲1号4层401-2</w:t>
      </w:r>
    </w:p>
    <w:p w14:paraId="63A311B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办公地址：北京市西城区宣武门外大街甲1号环球财讯中心D座4层401-2</w:t>
      </w:r>
    </w:p>
    <w:p w14:paraId="01EBBE8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法定代表人：王伟刚</w:t>
      </w:r>
    </w:p>
    <w:p w14:paraId="4BF9E09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电话：（010）56282140</w:t>
      </w:r>
    </w:p>
    <w:p w14:paraId="4C2AEC7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传真：（010）62680827</w:t>
      </w:r>
    </w:p>
    <w:p w14:paraId="25BF2EC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联系人：张林</w:t>
      </w:r>
    </w:p>
    <w:p w14:paraId="3272916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客户服务电话：400-619-9059</w:t>
      </w:r>
    </w:p>
    <w:p w14:paraId="704152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网址：www.hcfunds.co</w:t>
      </w:r>
    </w:p>
    <w:p w14:paraId="1503B49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（43）名称：上海利得基金销售有限公司</w:t>
      </w:r>
    </w:p>
    <w:p w14:paraId="4A33663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上海浦东新区峨山路91弄61号陆家嘴软件园10号楼12楼</w:t>
      </w:r>
    </w:p>
    <w:p w14:paraId="30E4F44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办公地址：上海市虹口区东大名路1098号浦江国际金融广场53层</w:t>
      </w:r>
    </w:p>
    <w:p w14:paraId="5A7CB07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法定代表人：李兴春</w:t>
      </w:r>
    </w:p>
    <w:p w14:paraId="7C89DF0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电话：021-50583533</w:t>
      </w:r>
    </w:p>
    <w:p w14:paraId="503DF2A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传真：021-50583633</w:t>
      </w:r>
    </w:p>
    <w:p w14:paraId="7393964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伍豪</w:t>
      </w:r>
    </w:p>
    <w:p w14:paraId="7FFA4F2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客服电话：400-032-5885</w:t>
      </w:r>
    </w:p>
    <w:p w14:paraId="40BA9DB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网址：www.leadfund.com.cn</w:t>
      </w:r>
    </w:p>
    <w:p w14:paraId="5240A77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（44）名称：北京虹点基金销售有限公司</w:t>
      </w:r>
    </w:p>
    <w:p w14:paraId="1565F02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住所：北京市朝阳区工人体育场北路甲2号裙房2层222单元</w:t>
      </w:r>
    </w:p>
    <w:p w14:paraId="02BAD32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办公地址：北京市朝阳区工人体育场北路甲2号裙房2层222单元</w:t>
      </w:r>
    </w:p>
    <w:p w14:paraId="5444120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法定代表人：胡伟</w:t>
      </w:r>
    </w:p>
    <w:p w14:paraId="5273941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电话：（010）65951887</w:t>
      </w:r>
    </w:p>
    <w:p w14:paraId="3705447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传真：（010）65951887</w:t>
      </w:r>
    </w:p>
    <w:p w14:paraId="6021859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联系人：姜颖</w:t>
      </w:r>
    </w:p>
    <w:p w14:paraId="010DE5D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客户服务电话：400-618-0707</w:t>
      </w:r>
    </w:p>
    <w:p w14:paraId="0D364A1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网址：www.hongdianfund.com/</w:t>
      </w:r>
    </w:p>
    <w:p w14:paraId="76C5DD1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（45）名称：上海陆金所基金销售有限公司</w:t>
      </w:r>
    </w:p>
    <w:p w14:paraId="1FBF23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住所：上海市浦东新区陆家嘴环路1333号14楼09单元</w:t>
      </w:r>
    </w:p>
    <w:p w14:paraId="02C1652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办公地址：上海市浦东新区陆家嘴环路1333号</w:t>
      </w:r>
    </w:p>
    <w:p w14:paraId="505159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法定代表人：王之光</w:t>
      </w:r>
    </w:p>
    <w:p w14:paraId="5BF5FED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电话：（021）20665952</w:t>
      </w:r>
    </w:p>
    <w:p w14:paraId="073DD32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传真：（021）22066653</w:t>
      </w:r>
    </w:p>
    <w:p w14:paraId="69DB15C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联系人：宁博宇</w:t>
      </w:r>
    </w:p>
    <w:p w14:paraId="14DE4DA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客户服务电话：4008219031</w:t>
      </w:r>
    </w:p>
    <w:p w14:paraId="2F54DC0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网址：www.lufunds.com</w:t>
      </w:r>
    </w:p>
    <w:p w14:paraId="6589B76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（46）名称：上海挖财基金销售有限公司</w:t>
      </w:r>
    </w:p>
    <w:p w14:paraId="6F4DF9D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注册地址：中国(上海)自由贸易试验区杨高南路759号18层03单元</w:t>
      </w:r>
    </w:p>
    <w:p w14:paraId="1D762D2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办公地址：中国(上海)自由贸易试验区杨高南路759号18层03单元</w:t>
      </w:r>
    </w:p>
    <w:p w14:paraId="59B01E9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法定代表人：吕柳霞</w:t>
      </w:r>
    </w:p>
    <w:p w14:paraId="549281B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电话：021-50810673</w:t>
      </w:r>
    </w:p>
    <w:p w14:paraId="1388054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传真：021-50810687</w:t>
      </w:r>
    </w:p>
    <w:p w14:paraId="64404C6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邮编：200120</w:t>
      </w:r>
    </w:p>
    <w:p w14:paraId="11C0588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联系人：毛善波</w:t>
      </w:r>
    </w:p>
    <w:p w14:paraId="1B0FDF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客服电话：400-711-8718</w:t>
      </w:r>
    </w:p>
    <w:p w14:paraId="4B07738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网址：www.wacaijijin.com</w:t>
      </w:r>
    </w:p>
    <w:p w14:paraId="77E81DB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（47）名称：上海万得基金销售有限公司</w:t>
      </w:r>
    </w:p>
    <w:p w14:paraId="1EC9ED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住所：中国（上海）自由贸易试验区福山路33号11楼B座</w:t>
      </w:r>
    </w:p>
    <w:p w14:paraId="4399A14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办公地址：上海市浦东新区浦明路1500号万得大厦11楼</w:t>
      </w:r>
    </w:p>
    <w:p w14:paraId="77CD591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宋晓言</w:t>
      </w:r>
    </w:p>
    <w:p w14:paraId="1BE0A77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电话：021-50712782</w:t>
      </w:r>
    </w:p>
    <w:p w14:paraId="1484884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传真：021-50710161</w:t>
      </w:r>
    </w:p>
    <w:p w14:paraId="3B6CA05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马烨莹</w:t>
      </w:r>
    </w:p>
    <w:p w14:paraId="514F612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客户服务电话：400-799-1888</w:t>
      </w:r>
    </w:p>
    <w:p w14:paraId="6D4ED6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www.520fund.com.cn</w:t>
      </w:r>
    </w:p>
    <w:p w14:paraId="047C7C3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（48）名称：格上富信投资顾问有限公司</w:t>
      </w:r>
    </w:p>
    <w:p w14:paraId="36B5C5B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住所：北京市朝阳区东三环北路19号楼701内09室</w:t>
      </w:r>
    </w:p>
    <w:p w14:paraId="766EA36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办公地址：北京市朝阳区东三环北路19号楼701内09室</w:t>
      </w:r>
    </w:p>
    <w:p w14:paraId="0D7F301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法定代表人：李悦章</w:t>
      </w:r>
    </w:p>
    <w:p w14:paraId="6364801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电话：（010）85594745</w:t>
      </w:r>
    </w:p>
    <w:p w14:paraId="2193438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传真：（010）65983333</w:t>
      </w:r>
    </w:p>
    <w:p w14:paraId="29937DD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联系人：张林</w:t>
      </w:r>
    </w:p>
    <w:p w14:paraId="1A4EB5F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客户服务电话：400-066-8586</w:t>
      </w:r>
    </w:p>
    <w:p w14:paraId="58A75B9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网址：www.igesafe.com</w:t>
      </w:r>
    </w:p>
    <w:p w14:paraId="27714C5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（49）名称：北京雪球基金销售有限公司</w:t>
      </w:r>
    </w:p>
    <w:p w14:paraId="408A0D4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住所：北京市朝阳区创远路 34 号院6号楼15层1501室</w:t>
      </w:r>
    </w:p>
    <w:p w14:paraId="0B2B4F2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办公地址：北京市朝阳区创远路 34 号院融新科技中心 C 座 17 层</w:t>
      </w:r>
    </w:p>
    <w:p w14:paraId="1789660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法定代表人：李楠</w:t>
      </w:r>
    </w:p>
    <w:p w14:paraId="0D1B53D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电话：（010）61840688</w:t>
      </w:r>
    </w:p>
    <w:p w14:paraId="6C6B1A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传真：（010）84997571</w:t>
      </w:r>
    </w:p>
    <w:p w14:paraId="63E15C2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联系人：武安广</w:t>
      </w:r>
    </w:p>
    <w:p w14:paraId="57982F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客户服务电话：400-1599-288</w:t>
      </w:r>
    </w:p>
    <w:p w14:paraId="045520B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网址：danjuanfunds.com</w:t>
      </w:r>
    </w:p>
    <w:p w14:paraId="50D3EB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（50）名称：北京新浪仓石基金销售有限公司</w:t>
      </w:r>
    </w:p>
    <w:p w14:paraId="6CEB9B3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注册地址：北京市海淀区东北旺西路中关村软件园二期（西扩）N-1、N-2地块新浪总部科研楼5层518室</w:t>
      </w:r>
    </w:p>
    <w:p w14:paraId="25AE97F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办公地址：北京市海淀区东北旺西路中关村软件园二期（西扩）N-1、N-2地块新浪总部科研楼5层518室</w:t>
      </w:r>
    </w:p>
    <w:p w14:paraId="3609033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法定代表人：穆飞虎</w:t>
      </w:r>
    </w:p>
    <w:p w14:paraId="12CC89E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电话：010-58982465</w:t>
      </w:r>
    </w:p>
    <w:p w14:paraId="4BD33C9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联系人：穆飞虎</w:t>
      </w:r>
    </w:p>
    <w:p w14:paraId="01C8F06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客服电话：010-6267 5369</w:t>
      </w:r>
    </w:p>
    <w:p w14:paraId="14BBA76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网址：www.xincai.com</w:t>
      </w:r>
    </w:p>
    <w:p w14:paraId="7E125A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（51）名称：中证金牛（北京）基金销售有限公司</w:t>
      </w:r>
    </w:p>
    <w:p w14:paraId="21395F5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北京市丰台区东管头1号2号楼2-45室</w:t>
      </w:r>
    </w:p>
    <w:p w14:paraId="310B9F1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北京市西城区宣武门外大街甲一号环球财讯中心A座5层</w:t>
      </w:r>
    </w:p>
    <w:p w14:paraId="25E3135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钱昊旻</w:t>
      </w:r>
    </w:p>
    <w:p w14:paraId="1368DBB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电话：（010）59336512</w:t>
      </w:r>
    </w:p>
    <w:p w14:paraId="38C2251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传真：（010）59336586</w:t>
      </w:r>
    </w:p>
    <w:p w14:paraId="0B16D2B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沈晨</w:t>
      </w:r>
    </w:p>
    <w:p w14:paraId="059F19D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客户服务电话：4008-909-998</w:t>
      </w:r>
    </w:p>
    <w:p w14:paraId="43AE1E2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www.jnlc.com</w:t>
      </w:r>
    </w:p>
    <w:p w14:paraId="09C76CA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（52）名称：奕丰基金销售有限公司</w:t>
      </w:r>
    </w:p>
    <w:p w14:paraId="429F01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住所：深圳市前海深港合作区前湾一路1号A栋201室（入住深圳市前海商务秘书有限公司）</w:t>
      </w:r>
    </w:p>
    <w:p w14:paraId="6900E1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办公地址：深圳市南山区海德三道航天科技广场A座17楼1704室</w:t>
      </w:r>
    </w:p>
    <w:p w14:paraId="61E15E3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法定代表人：TEO WEE HOWE</w:t>
      </w:r>
    </w:p>
    <w:p w14:paraId="1DE91BA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电话：（0755）89460500</w:t>
      </w:r>
    </w:p>
    <w:p w14:paraId="12D7D40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传真：（0755）21674453</w:t>
      </w:r>
    </w:p>
    <w:p w14:paraId="7CEDE7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联系人：叶健</w:t>
      </w:r>
    </w:p>
    <w:p w14:paraId="4DC4291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客户服务电话：400-684-0500</w:t>
      </w:r>
    </w:p>
    <w:p w14:paraId="796950D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网址：www.ifastps.com.cn</w:t>
      </w:r>
    </w:p>
    <w:p w14:paraId="584E26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（53）名称：上海天天基金销售有限公司</w:t>
      </w:r>
    </w:p>
    <w:p w14:paraId="491EA4F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住所：上海市徐汇区龙田路190号2号楼2层</w:t>
      </w:r>
    </w:p>
    <w:p w14:paraId="37AC77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办公地址：上海市徐汇区宛平南路88号金座东方财富大厦</w:t>
      </w:r>
    </w:p>
    <w:p w14:paraId="6E639C3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14:paraId="7E6D82C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电话：（021）54509998</w:t>
      </w:r>
    </w:p>
    <w:p w14:paraId="4A40374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传真：（021）64385308</w:t>
      </w:r>
    </w:p>
    <w:p w14:paraId="1C96B2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联系人：屠彦洋</w:t>
      </w:r>
    </w:p>
    <w:p w14:paraId="5C3C936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客户服务电话：400-1818-188</w:t>
      </w:r>
    </w:p>
    <w:p w14:paraId="1AF0849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网址：www.1234567.com.cn</w:t>
      </w:r>
    </w:p>
    <w:p w14:paraId="181BF72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（54）名称：和讯信息科技有限公司</w:t>
      </w:r>
    </w:p>
    <w:p w14:paraId="03E4E8D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住所：北京市朝阳区朝外大街22号泛利大厦10层</w:t>
      </w:r>
    </w:p>
    <w:p w14:paraId="7FC51B8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办公地址：北京市朝阳区朝外大街22号泛利大厦10层</w:t>
      </w:r>
    </w:p>
    <w:p w14:paraId="47BDF65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法定代表人：王莉</w:t>
      </w:r>
    </w:p>
    <w:p w14:paraId="5D9F470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电话：（021）20835789</w:t>
      </w:r>
    </w:p>
    <w:p w14:paraId="4274F44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传真：（021）20835879</w:t>
      </w:r>
    </w:p>
    <w:p w14:paraId="1BCCBAC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联系人：周轶</w:t>
      </w:r>
    </w:p>
    <w:p w14:paraId="18268D2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客户服务电话：4009200022</w:t>
      </w:r>
    </w:p>
    <w:p w14:paraId="1A03079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网址：http://licaike.hexun.com/</w:t>
      </w:r>
    </w:p>
    <w:p w14:paraId="0146D23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（55）名称：诺亚正行基金销售有限公司</w:t>
      </w:r>
    </w:p>
    <w:p w14:paraId="14FB883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住所:上海市虹口区飞虹路360弄9号3724室</w:t>
      </w:r>
    </w:p>
    <w:p w14:paraId="10A444C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办公地址:上海市杨浦区长阳路1687号长阳谷2号楼</w:t>
      </w:r>
    </w:p>
    <w:p w14:paraId="08EE384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法定代表：汪静波</w:t>
      </w:r>
    </w:p>
    <w:p w14:paraId="35F1D8A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电话：（021）80358523</w:t>
      </w:r>
    </w:p>
    <w:p w14:paraId="1A11E44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传真：（021）80358749</w:t>
      </w:r>
    </w:p>
    <w:p w14:paraId="3B6FA3A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联系人：李娟</w:t>
      </w:r>
    </w:p>
    <w:p w14:paraId="44E717E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客户服务电话：4008215399</w:t>
      </w:r>
    </w:p>
    <w:p w14:paraId="708D2D5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网址：www.noah-fund.com</w:t>
      </w:r>
    </w:p>
    <w:p w14:paraId="731171C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（56）名称：上海好买基金销售有限公司</w:t>
      </w:r>
    </w:p>
    <w:p w14:paraId="7F47571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住所：上海市虹口区场中路685弄37号4号楼449室</w:t>
      </w:r>
    </w:p>
    <w:p w14:paraId="6EE48E7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办公地址：上海市浦东新区浦东南路1118号鄂尔多斯国际大厦903-906室</w:t>
      </w:r>
    </w:p>
    <w:p w14:paraId="513AD40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法定代表人：杨文斌</w:t>
      </w:r>
    </w:p>
    <w:p w14:paraId="58E51E8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传真：（021）68596916</w:t>
      </w:r>
    </w:p>
    <w:p w14:paraId="68D1294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联系人：薛年</w:t>
      </w:r>
    </w:p>
    <w:p w14:paraId="3B28D1B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客户服务电话：400-700-9665</w:t>
      </w:r>
    </w:p>
    <w:p w14:paraId="28026CA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网址：www.howbuy.com</w:t>
      </w:r>
    </w:p>
    <w:p w14:paraId="000E9F8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（57）名称：上海长量基金销售有限公司</w:t>
      </w:r>
    </w:p>
    <w:p w14:paraId="4C0AD09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住所：上海市浦东新区高翔路526号2幢220室</w:t>
      </w:r>
    </w:p>
    <w:p w14:paraId="55F1F75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办公地址：上海市浦东新区浦东大道555号裕景国际B座16层</w:t>
      </w:r>
    </w:p>
    <w:p w14:paraId="3EA9D59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法定代表人：张跃伟</w:t>
      </w:r>
    </w:p>
    <w:p w14:paraId="1472C7D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电话：（021）20691832</w:t>
      </w:r>
    </w:p>
    <w:p w14:paraId="1268298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传真：（021）20691861</w:t>
      </w:r>
    </w:p>
    <w:p w14:paraId="410D743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联系人：单丙烨</w:t>
      </w:r>
    </w:p>
    <w:p w14:paraId="3C300B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客户服务电话：400-820-2899</w:t>
      </w:r>
    </w:p>
    <w:p w14:paraId="1A35AC6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网址：www.erichfund.com</w:t>
      </w:r>
    </w:p>
    <w:p w14:paraId="1822C34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（58）名称：深圳众禄基金销售股份有限公司</w:t>
      </w:r>
    </w:p>
    <w:p w14:paraId="08AA63E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住所：深圳市罗湖区梨园路物资控股置地大厦8楼</w:t>
      </w:r>
    </w:p>
    <w:p w14:paraId="0BC802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办公地址：深圳市罗湖区梨园路物资控股置地大厦8楼</w:t>
      </w:r>
    </w:p>
    <w:p w14:paraId="1306FBC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法定代表人：薛峰</w:t>
      </w:r>
    </w:p>
    <w:p w14:paraId="0DF55C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电话：（0755）33227953</w:t>
      </w:r>
    </w:p>
    <w:p w14:paraId="18DC343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传真：（0755）33227951</w:t>
      </w:r>
    </w:p>
    <w:p w14:paraId="52CC97E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联系人：汤素娅</w:t>
      </w:r>
    </w:p>
    <w:p w14:paraId="0DEC0B9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客户服务电话：4006-788-887</w:t>
      </w:r>
    </w:p>
    <w:p w14:paraId="3384E9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网址：www.zlfund.cn，www.jjmmw.com</w:t>
      </w:r>
    </w:p>
    <w:p w14:paraId="0CEBCD1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（59）名称：蚂蚁（杭州）基金销售有限公司</w:t>
      </w:r>
    </w:p>
    <w:p w14:paraId="4D26C8C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住所：浙江省杭州市余杭区五常街道文一西路969号3幢5层599室</w:t>
      </w:r>
    </w:p>
    <w:p w14:paraId="63F0B48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办公地址：浙江省杭州市西湖区西溪路556号</w:t>
      </w:r>
    </w:p>
    <w:p w14:paraId="244AC17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法定代表人：王珺</w:t>
      </w:r>
    </w:p>
    <w:p w14:paraId="62EDAA7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电话：（0571）28829790，（021）60897869</w:t>
      </w:r>
    </w:p>
    <w:p w14:paraId="52B1205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传真：（0571）26698533</w:t>
      </w:r>
    </w:p>
    <w:p w14:paraId="7033BC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联系人：韩爱彬</w:t>
      </w:r>
    </w:p>
    <w:p w14:paraId="0BD321C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客户服务电话：95188-8</w:t>
      </w:r>
    </w:p>
    <w:p w14:paraId="3DC3169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网址：www.fund123.cn</w:t>
      </w:r>
    </w:p>
    <w:p w14:paraId="0045CBF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（60）名称：上海基煜基金销售有限公司</w:t>
      </w:r>
    </w:p>
    <w:p w14:paraId="10AF606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住所：上海市崇明县长兴镇路潘园公路1800号2号楼6153室（上海泰和经济发展区）</w:t>
      </w:r>
    </w:p>
    <w:p w14:paraId="33134CA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办公地址：上海市杨浦区昆明路518号A1002室</w:t>
      </w:r>
    </w:p>
    <w:p w14:paraId="0670921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法定代表人：王翔</w:t>
      </w:r>
    </w:p>
    <w:p w14:paraId="27A07BB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电话：（021）65370077</w:t>
      </w:r>
    </w:p>
    <w:p w14:paraId="52B686F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传真：（021）55085991</w:t>
      </w:r>
    </w:p>
    <w:p w14:paraId="3F63FAF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联系人：俞申莉</w:t>
      </w:r>
    </w:p>
    <w:p w14:paraId="799F6B4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客户服务电话：（021）65370077</w:t>
      </w:r>
    </w:p>
    <w:p w14:paraId="73E49B8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网址：www.fofund.com.cn</w:t>
      </w:r>
    </w:p>
    <w:p w14:paraId="242F5E3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（61）名称：浙江同花顺基金销售有限公司</w:t>
      </w:r>
    </w:p>
    <w:p w14:paraId="483D30A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住所：浙江省杭州市文二西路1号元茂大厦903</w:t>
      </w:r>
    </w:p>
    <w:p w14:paraId="6E81437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办公地址：浙江杭州余杭区五常街道同顺街18号</w:t>
      </w:r>
    </w:p>
    <w:p w14:paraId="700759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法定代表人：吴强</w:t>
      </w:r>
    </w:p>
    <w:p w14:paraId="6501287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电话：（0571）88911818</w:t>
      </w:r>
    </w:p>
    <w:p w14:paraId="78793FA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传真：（0571）86800423</w:t>
      </w:r>
    </w:p>
    <w:p w14:paraId="5E8BEA3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联系人：吴强</w:t>
      </w:r>
    </w:p>
    <w:p w14:paraId="38A6410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客户服务电话：952555</w:t>
      </w:r>
    </w:p>
    <w:p w14:paraId="5D19E16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网址：https://fund.10jqka.com.cn/</w:t>
      </w:r>
    </w:p>
    <w:p w14:paraId="44E995F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（62）名称：宜信普泽投资顾问（北京）有限公司</w:t>
      </w:r>
    </w:p>
    <w:p w14:paraId="502B2B9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住所：北京市朝阳区建国路88号9号楼15层1809</w:t>
      </w:r>
    </w:p>
    <w:p w14:paraId="23348AF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办公地址：北京市朝阳区建国路88号SOHO现代城C座1809</w:t>
      </w:r>
    </w:p>
    <w:p w14:paraId="31C4CFC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法定代表人：沈伟桦</w:t>
      </w:r>
    </w:p>
    <w:p w14:paraId="66648E5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电话：010-52855713</w:t>
      </w:r>
    </w:p>
    <w:p w14:paraId="3AB47EA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传真：010-85894285</w:t>
      </w:r>
    </w:p>
    <w:p w14:paraId="396BECF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联系人：程刚</w:t>
      </w:r>
    </w:p>
    <w:p w14:paraId="7C6DA15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客户服务电话：400-6099-200</w:t>
      </w:r>
    </w:p>
    <w:p w14:paraId="14D3142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网址：www.yixinfund.com</w:t>
      </w:r>
    </w:p>
    <w:p w14:paraId="00B98AD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（63）名称：上海联泰基金销售有限公司</w:t>
      </w:r>
    </w:p>
    <w:p w14:paraId="690F3B8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住所：上海市普陀区兰溪路900弄15号526室</w:t>
      </w:r>
    </w:p>
    <w:p w14:paraId="086CA94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办公地址：上海市虹口区临潼路188号</w:t>
      </w:r>
    </w:p>
    <w:p w14:paraId="4BA7D7C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法定代表人：尹彬彬</w:t>
      </w:r>
    </w:p>
    <w:p w14:paraId="010E8B6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电话：021-52822063</w:t>
      </w:r>
    </w:p>
    <w:p w14:paraId="2605825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传真：021-52975270</w:t>
      </w:r>
    </w:p>
    <w:p w14:paraId="3C65503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联系人：兰敏</w:t>
      </w:r>
    </w:p>
    <w:p w14:paraId="15C33DD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客户服务电话：400-118-1188</w:t>
      </w:r>
    </w:p>
    <w:p w14:paraId="7E271F0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网址：www.66liantai.com</w:t>
      </w:r>
    </w:p>
    <w:p w14:paraId="3DDEB19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（64）名称：泛华普益基金销售有限公司</w:t>
      </w:r>
    </w:p>
    <w:p w14:paraId="23503B3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住所：成都市成华区建设路9号高地中心1101室</w:t>
      </w:r>
    </w:p>
    <w:p w14:paraId="57FD41E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办公地址：成都市金牛区花照壁西顺街399号1栋1单元龙湖西宸天街B座1201号</w:t>
      </w:r>
    </w:p>
    <w:p w14:paraId="29D6950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法定代表人：于海锋</w:t>
      </w:r>
    </w:p>
    <w:p w14:paraId="28204A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电话：028-8661-6229</w:t>
      </w:r>
    </w:p>
    <w:p w14:paraId="79E038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传真：无</w:t>
      </w:r>
    </w:p>
    <w:p w14:paraId="29D18E8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联系人：隋亚方</w:t>
      </w:r>
    </w:p>
    <w:p w14:paraId="675596C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客户服务电话：400-080-3388</w:t>
      </w:r>
    </w:p>
    <w:p w14:paraId="5987146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网址：https://www.puyifund.com/</w:t>
      </w:r>
    </w:p>
    <w:p w14:paraId="2E27B79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（65）名称：北京展恒基金销售股份有限公司</w:t>
      </w:r>
    </w:p>
    <w:p w14:paraId="44BC2BA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住所：北京市顺义区后沙峪镇安富街6号</w:t>
      </w:r>
    </w:p>
    <w:p w14:paraId="01E4485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办公地址：北京市朝阳区安苑路15-1号邮电新闻大厦2层</w:t>
      </w:r>
    </w:p>
    <w:p w14:paraId="2DB7154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法定代表人：闫振杰</w:t>
      </w:r>
    </w:p>
    <w:p w14:paraId="63B92EE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电话：（010）59601366-7024</w:t>
      </w:r>
    </w:p>
    <w:p w14:paraId="5249FF8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传真：（010）62020355</w:t>
      </w:r>
    </w:p>
    <w:p w14:paraId="7BDDD30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 马林</w:t>
      </w:r>
    </w:p>
    <w:p w14:paraId="07F5E20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客户服务电话：400-888-6661</w:t>
      </w:r>
    </w:p>
    <w:p w14:paraId="7EEDE83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网址：www.myfund.com</w:t>
      </w:r>
    </w:p>
    <w:p w14:paraId="07F231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（66）名称：和耕传承基金销售有限公司</w:t>
      </w:r>
    </w:p>
    <w:p w14:paraId="7153FD8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住所：河南自贸试验区郑州片区（郑东）东风南路东康宁街北6号楼5楼503</w:t>
      </w:r>
    </w:p>
    <w:p w14:paraId="3E3220E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办公地址：河南自贸试验区郑州片区（郑东）东风南路东康宁街北6号楼5楼503</w:t>
      </w:r>
    </w:p>
    <w:p w14:paraId="2423FC8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法定代表人：温丽燕</w:t>
      </w:r>
    </w:p>
    <w:p w14:paraId="139BA80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电话：0371-85518395</w:t>
      </w:r>
    </w:p>
    <w:p w14:paraId="5588E37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传真：0371-85518397</w:t>
      </w:r>
    </w:p>
    <w:p w14:paraId="7F8C03E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联系人：胡静华</w:t>
      </w:r>
    </w:p>
    <w:p w14:paraId="397FB3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客户服务电话：4000555671</w:t>
      </w:r>
    </w:p>
    <w:p w14:paraId="730D815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网址：www.hgccpb.com</w:t>
      </w:r>
    </w:p>
    <w:p w14:paraId="6827923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（67）名称：腾安基金销售（深圳）有限公司</w:t>
      </w:r>
    </w:p>
    <w:p w14:paraId="5121170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住所：深圳市前海深港合作区前湾一路1号A栋201室（入驻深圳市前海商务秘书有限公司）</w:t>
      </w:r>
    </w:p>
    <w:p w14:paraId="7D7D599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办公地址：深圳市南山区海天二路33号腾讯滨海大厦</w:t>
      </w:r>
    </w:p>
    <w:p w14:paraId="4CE2948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法定代表人：刘明军</w:t>
      </w:r>
    </w:p>
    <w:p w14:paraId="2B67D79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电话：95017（拨通后转1转8）</w:t>
      </w:r>
    </w:p>
    <w:p w14:paraId="49C623E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联系人：谭广峰</w:t>
      </w:r>
    </w:p>
    <w:p w14:paraId="515B43C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客户服务电话：95017（拨通后转1转8）</w:t>
      </w:r>
    </w:p>
    <w:p w14:paraId="35442FB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网址：http://www.tenganxinxi.com/</w:t>
      </w:r>
    </w:p>
    <w:p w14:paraId="13E7541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（68）名称：北京创金启富基金销售有限公司</w:t>
      </w:r>
    </w:p>
    <w:p w14:paraId="2C91398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北京市西城区白纸坊东街2号院6号楼712室</w:t>
      </w:r>
    </w:p>
    <w:p w14:paraId="5A5843E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北京市西城区白纸坊东街2号院6号楼712室</w:t>
      </w:r>
    </w:p>
    <w:p w14:paraId="07321C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梁蓉</w:t>
      </w:r>
    </w:p>
    <w:p w14:paraId="286954D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电话：010-66154828-8047</w:t>
      </w:r>
    </w:p>
    <w:p w14:paraId="6BE7927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传真：010-63583991</w:t>
      </w:r>
    </w:p>
    <w:p w14:paraId="2DEAD67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魏素清</w:t>
      </w:r>
    </w:p>
    <w:p w14:paraId="2531869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客户服务电话：010-66154828</w:t>
      </w:r>
    </w:p>
    <w:p w14:paraId="78052B0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 https://www.5irich.com</w:t>
      </w:r>
    </w:p>
    <w:p w14:paraId="7950225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（69）名称：济安财富（北京）基金销售有限公司</w:t>
      </w:r>
    </w:p>
    <w:p w14:paraId="1241BD5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住所：北京市朝阳区太阳宫中路16号院1号楼10层1005</w:t>
      </w:r>
    </w:p>
    <w:p w14:paraId="7F08AD4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办公地址：北京市朝阳区太阳宫中路16号院1号楼11层1105</w:t>
      </w:r>
    </w:p>
    <w:p w14:paraId="0AED843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法定代表人：杨健</w:t>
      </w:r>
    </w:p>
    <w:p w14:paraId="54F62D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电话：010-65309516</w:t>
      </w:r>
    </w:p>
    <w:p w14:paraId="034F0DF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传真：010-65330699</w:t>
      </w:r>
    </w:p>
    <w:p w14:paraId="0AD87CE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联系人：宋静</w:t>
      </w:r>
    </w:p>
    <w:p w14:paraId="2E3C632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客户服务电话：400-673-7010</w:t>
      </w:r>
    </w:p>
    <w:p w14:paraId="5DB52A6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网址：www.jianfortune.com</w:t>
      </w:r>
    </w:p>
    <w:p w14:paraId="0A28681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（70）名称：博时财富基金销售有限公司</w:t>
      </w:r>
    </w:p>
    <w:p w14:paraId="4B2DA15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住所：深圳市福田区莲花街道福新社区益田路5999号基金大厦19层</w:t>
      </w:r>
    </w:p>
    <w:p w14:paraId="3092FA1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办公地址：深圳市福田区莲花街道福新社区益田路5999号基金大厦19层</w:t>
      </w:r>
    </w:p>
    <w:p w14:paraId="119137C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法定代表人：王德英</w:t>
      </w:r>
    </w:p>
    <w:p w14:paraId="0B1469B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电话：0755-83169999</w:t>
      </w:r>
    </w:p>
    <w:p w14:paraId="292938D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传真：0755-83195220</w:t>
      </w:r>
    </w:p>
    <w:p w14:paraId="2D76B7B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联系人：崔丹</w:t>
      </w:r>
    </w:p>
    <w:p w14:paraId="3E72F45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客户服务电话：400-610-5568</w:t>
      </w:r>
    </w:p>
    <w:p w14:paraId="5B14C06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网址：www.boserawealth.com</w:t>
      </w:r>
    </w:p>
    <w:p w14:paraId="46258FC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（71）名称：深圳前海微众银行股份有限公司</w:t>
      </w:r>
    </w:p>
    <w:p w14:paraId="2A0A6C4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住所：深圳前海深港合作区前湾一路1号A栋201室（入驻深圳市前海商务秘书有限公司）</w:t>
      </w:r>
    </w:p>
    <w:p w14:paraId="6CE90AE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办公地址：广东省深圳市南山区沙河西路1819号深圳湾科技生态园7栋A座</w:t>
      </w:r>
    </w:p>
    <w:p w14:paraId="435521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法定代表人：顾敏</w:t>
      </w:r>
    </w:p>
    <w:p w14:paraId="33E7B28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电话：15112686889</w:t>
      </w:r>
    </w:p>
    <w:p w14:paraId="5AB837A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p>
    <w:p w14:paraId="683B3F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联系人：白冰</w:t>
      </w:r>
    </w:p>
    <w:p w14:paraId="43F4A9A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客户服务电话：95384</w:t>
      </w:r>
    </w:p>
    <w:p w14:paraId="1C1E080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网址：www.webank.com</w:t>
      </w:r>
    </w:p>
    <w:p w14:paraId="47268E2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（72）名称：上海中欧财富基金销售有限公司</w:t>
      </w:r>
    </w:p>
    <w:p w14:paraId="2D28E61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住所：中国（上海）自由贸易试验区陆家嘴环路479号1008-1室</w:t>
      </w:r>
    </w:p>
    <w:p w14:paraId="1510758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办公地址：上海市虹口区公平路18号嘉昱大厦6楼</w:t>
      </w:r>
    </w:p>
    <w:p w14:paraId="337955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法定代表人：许欣</w:t>
      </w:r>
    </w:p>
    <w:p w14:paraId="50DB3F7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电话：021-68609600</w:t>
      </w:r>
    </w:p>
    <w:p w14:paraId="061F02E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传真：021-33830351</w:t>
      </w:r>
    </w:p>
    <w:p w14:paraId="6EBF8B7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刘弘义</w:t>
      </w:r>
    </w:p>
    <w:p w14:paraId="4555765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客户服务电话：400-700-9700</w:t>
      </w:r>
    </w:p>
    <w:p w14:paraId="7AA9F76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公司网址：https://www.zocaifu.com</w:t>
      </w:r>
    </w:p>
    <w:p w14:paraId="6584A6F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（73）名称：中信期货有限公司</w:t>
      </w:r>
    </w:p>
    <w:p w14:paraId="2D066AC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住所：深圳市福田区中心三路8号卓越时代广场（二期）北座13层1301-1305室、14层</w:t>
      </w:r>
    </w:p>
    <w:p w14:paraId="6A3C648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办公地址：深圳市福田区中心三路8号卓越时代广场（二期）北座13层1301-1305室、14层</w:t>
      </w:r>
    </w:p>
    <w:p w14:paraId="29EAA83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法定代表人：张皓</w:t>
      </w:r>
    </w:p>
    <w:p w14:paraId="2A44909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电话：010-60833754</w:t>
      </w:r>
    </w:p>
    <w:p w14:paraId="236BAA5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传真：021-60819988</w:t>
      </w:r>
    </w:p>
    <w:p w14:paraId="747218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联系人：刘宏莹</w:t>
      </w:r>
    </w:p>
    <w:p w14:paraId="58176BD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客服电话：400-990-8826</w:t>
      </w:r>
    </w:p>
    <w:p w14:paraId="1591E98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网站：www.citicsf.com</w:t>
      </w:r>
    </w:p>
    <w:p w14:paraId="02ECB691" w14:textId="77777777" w:rsidR="001A18DF" w:rsidRDefault="001A18DF">
      <w:pPr>
        <w:autoSpaceDE w:val="0"/>
        <w:autoSpaceDN w:val="0"/>
        <w:adjustRightInd w:val="0"/>
        <w:snapToGrid w:val="0"/>
        <w:spacing w:line="360" w:lineRule="auto"/>
        <w:ind w:firstLineChars="200" w:firstLine="480"/>
        <w:jc w:val="left"/>
        <w:rPr>
          <w:rFonts w:ascii="宋体" w:hAnsi="宋体"/>
          <w:sz w:val="24"/>
        </w:rPr>
      </w:pPr>
      <w:r w:rsidRPr="001A18DF">
        <w:rPr>
          <w:rFonts w:ascii="宋体" w:hAnsi="宋体" w:hint="eastAsia"/>
          <w:sz w:val="24"/>
        </w:rPr>
        <w:t>本基金Y类基金份额的销售机构详见基金管理人网站公示或相关公告。</w:t>
      </w:r>
    </w:p>
    <w:p w14:paraId="19B9D87C" w14:textId="7873861B"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基金管理人可根据有关法律法规的要求，选择其它符合要求的机构销售本基金。</w:t>
      </w:r>
    </w:p>
    <w:p w14:paraId="09B2D61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14:paraId="2CCC811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名称：中国证券登记结算有限责任公司</w:t>
      </w:r>
    </w:p>
    <w:p w14:paraId="3C81C49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住所：北京市西城区太平桥大街17号</w:t>
      </w:r>
    </w:p>
    <w:p w14:paraId="595FE89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办公地址：北京市西城区太平桥大街17号</w:t>
      </w:r>
    </w:p>
    <w:p w14:paraId="4F6BB05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法定代表人：于文强</w:t>
      </w:r>
    </w:p>
    <w:p w14:paraId="7159DE1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电话：（010）50938782</w:t>
      </w:r>
    </w:p>
    <w:p w14:paraId="1FAAE1D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传真：（010）50938907</w:t>
      </w:r>
    </w:p>
    <w:p w14:paraId="79A5DC5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联系人：赵亦清</w:t>
      </w:r>
    </w:p>
    <w:p w14:paraId="6B024E5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（三）出具法律意见书的律师事务所</w:t>
      </w:r>
    </w:p>
    <w:p w14:paraId="528458E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名称：上海市通力律师事务所</w:t>
      </w:r>
    </w:p>
    <w:p w14:paraId="3A53E5D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住所：上海市银城中路68号时代金融中心19楼</w:t>
      </w:r>
    </w:p>
    <w:p w14:paraId="3FA56B5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办公地址：上海市银城中路68号时代金融中心19楼</w:t>
      </w:r>
    </w:p>
    <w:p w14:paraId="481369E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负责人：韩炯</w:t>
      </w:r>
    </w:p>
    <w:p w14:paraId="2BD1B9F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电话：（021）31358666</w:t>
      </w:r>
    </w:p>
    <w:p w14:paraId="27D7779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传真：（021）31358600</w:t>
      </w:r>
    </w:p>
    <w:p w14:paraId="1014C82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联系人：丁媛</w:t>
      </w:r>
    </w:p>
    <w:p w14:paraId="084F859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经办律师：黎明、丁媛</w:t>
      </w:r>
    </w:p>
    <w:p w14:paraId="6DC5C52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14:paraId="57286EC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名称：普华永道中天会计师事务所（特殊普通合伙）</w:t>
      </w:r>
    </w:p>
    <w:p w14:paraId="452FE3B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注册地址：中国(上海)自由贸易试验区陆家嘴环路1318号星展银行大厦507单元01室</w:t>
      </w:r>
    </w:p>
    <w:p w14:paraId="594018F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办公地址：中国上海市浦东新区东育路588号前滩中心42楼</w:t>
      </w:r>
    </w:p>
    <w:p w14:paraId="0B0A464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执行事务合伙人：李丹</w:t>
      </w:r>
    </w:p>
    <w:p w14:paraId="24379C8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电话：（021）23238888</w:t>
      </w:r>
    </w:p>
    <w:p w14:paraId="047D263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传真：（021）23238800</w:t>
      </w:r>
    </w:p>
    <w:p w14:paraId="502EC0E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联系人：金诗涛</w:t>
      </w:r>
    </w:p>
    <w:p w14:paraId="2CAC147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经办注册会计师：沈兆杰、金诗涛</w:t>
      </w:r>
    </w:p>
    <w:p w14:paraId="609B2227"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A7A2017" w14:textId="77777777" w:rsidR="00877B87" w:rsidRDefault="008116FB">
      <w:pPr>
        <w:pStyle w:val="1"/>
        <w:snapToGrid w:val="0"/>
        <w:spacing w:beforeLines="0" w:before="240" w:after="240"/>
        <w:rPr>
          <w:rFonts w:ascii="宋体" w:hAnsi="宋体"/>
          <w:szCs w:val="30"/>
        </w:rPr>
      </w:pPr>
      <w:bookmarkStart w:id="9" w:name="_Toc177999555"/>
      <w:r>
        <w:rPr>
          <w:rFonts w:ascii="Times New Roman" w:hAnsi="Times New Roman"/>
          <w:sz w:val="30"/>
        </w:rPr>
        <w:lastRenderedPageBreak/>
        <w:t>六、基金的募集</w:t>
      </w:r>
      <w:bookmarkEnd w:id="9"/>
    </w:p>
    <w:p w14:paraId="7A2DD7B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本基金由基金管理人依照《基金法》、《运作办法》、《销售办法》、基金合同及其他有关规定，并经中国证监会2019年4月28日证监许可【2019】 845号文准予募集注册。</w:t>
      </w:r>
    </w:p>
    <w:p w14:paraId="4BBA4F2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本基金为契约型开放式股票型证券投资基金。基金的存续期间为不定期。</w:t>
      </w:r>
    </w:p>
    <w:p w14:paraId="457AFE0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本基金募集期间基金份额净值为人民币1.00元，按初始面值发售。</w:t>
      </w:r>
    </w:p>
    <w:p w14:paraId="1A71411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本基金自2019年10月25日 至2019年11月15日进行发售，本基金设立募集期共募集1,369,589,735.40份基金份额，有效认购户数为12,185户。</w:t>
      </w:r>
    </w:p>
    <w:p w14:paraId="05DAFFAD"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D8F4E0A" w14:textId="77777777" w:rsidR="00877B87" w:rsidRDefault="008116FB">
      <w:pPr>
        <w:pStyle w:val="1"/>
        <w:snapToGrid w:val="0"/>
        <w:spacing w:beforeLines="0" w:before="240" w:after="240"/>
        <w:rPr>
          <w:rFonts w:ascii="宋体" w:hAnsi="宋体"/>
          <w:szCs w:val="30"/>
        </w:rPr>
      </w:pPr>
      <w:bookmarkStart w:id="10" w:name="_Toc177999556"/>
      <w:r>
        <w:rPr>
          <w:rFonts w:ascii="Times New Roman" w:hAnsi="Times New Roman"/>
          <w:sz w:val="30"/>
        </w:rPr>
        <w:lastRenderedPageBreak/>
        <w:t>七、基金合同的生效</w:t>
      </w:r>
      <w:bookmarkEnd w:id="10"/>
    </w:p>
    <w:p w14:paraId="3DB1A65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根据有关规定，本基金满足基金合同生效条件，基金合同已于2019年11月20日正式生效。自基金合同生效之日起，本基金管理人正式开始管理本基金。</w:t>
      </w:r>
    </w:p>
    <w:p w14:paraId="6346D66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连续20个工作日出现基金份额持有人数量不满200人或者基金资产净值低于5000万元情形的，基金管理人应当在定期报告中予以披露；连续60个工作日出现前述情形的，基金管理人提前终止《基金合同》，不需召开基金份额持有人大会。</w:t>
      </w:r>
    </w:p>
    <w:p w14:paraId="2F9C313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法律法规或中国证监会另有规定时，从其规定。</w:t>
      </w:r>
    </w:p>
    <w:p w14:paraId="1618F83B"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6F79C77" w14:textId="77777777" w:rsidR="00877B87" w:rsidRDefault="008116FB">
      <w:pPr>
        <w:pStyle w:val="1"/>
        <w:snapToGrid w:val="0"/>
        <w:spacing w:beforeLines="0" w:before="240" w:after="240"/>
        <w:rPr>
          <w:rFonts w:ascii="宋体" w:hAnsi="宋体"/>
          <w:szCs w:val="30"/>
        </w:rPr>
      </w:pPr>
      <w:bookmarkStart w:id="11" w:name="_Toc177999557"/>
      <w:r>
        <w:rPr>
          <w:rFonts w:ascii="Times New Roman" w:hAnsi="Times New Roman"/>
          <w:sz w:val="30"/>
        </w:rPr>
        <w:lastRenderedPageBreak/>
        <w:t>八、基金份额的申购与赎回</w:t>
      </w:r>
      <w:bookmarkEnd w:id="11"/>
    </w:p>
    <w:p w14:paraId="743A616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（一）申购和赎回的场所</w:t>
      </w:r>
    </w:p>
    <w:p w14:paraId="7EB8E83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投资人可通过下述场所按照规定的方式进行申购或赎回：</w:t>
      </w:r>
    </w:p>
    <w:p w14:paraId="16B180C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1、本基金管理人的直销机构</w:t>
      </w:r>
    </w:p>
    <w:p w14:paraId="32A694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w:t>
      </w:r>
    </w:p>
    <w:p w14:paraId="3B8DB28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46066DC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住所：上海市浦东新区银城中路188号交通银行大楼二层（裙）</w:t>
      </w:r>
    </w:p>
    <w:p w14:paraId="7FAF81B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0B0FB8A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752A8AB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7C17ADD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3374458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0E9B353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7355402A" w14:textId="731B9650"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w:t>
      </w:r>
      <w:r w:rsidR="007F4D46">
        <w:rPr>
          <w:rFonts w:ascii="宋体" w:hAnsi="宋体" w:hint="eastAsia"/>
          <w:sz w:val="24"/>
        </w:rPr>
        <w:t>A类基金份额和C类基金份额</w:t>
      </w:r>
      <w:r>
        <w:rPr>
          <w:rFonts w:ascii="宋体" w:hAnsi="宋体"/>
          <w:sz w:val="24"/>
        </w:rPr>
        <w:t>的申购、赎回、定期定额投资、转换等业务，具体交易细则请参阅基金管理人网站。</w:t>
      </w:r>
    </w:p>
    <w:p w14:paraId="288B8C8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网上直销交易平台网址：www.fund001.com</w:t>
      </w:r>
    </w:p>
    <w:p w14:paraId="0C9A3DC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2、除基金管理人之外的其他销售机构</w:t>
      </w:r>
    </w:p>
    <w:p w14:paraId="1441D4D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本基金除基金管理人之外的其他销售机构参见本招募说明书“五、相关服务机构”章节或拨打本公司客户服务电话进行咨询。</w:t>
      </w:r>
    </w:p>
    <w:p w14:paraId="3C8FF1A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投资人应当通过上述销售机构办理基金申购、赎回业务的营业场所或按上述销售机构提供的其他方式进行申购或赎回。本基金管理人可根据情况变更或增减基金销售机构，并在管理人网站公示。</w:t>
      </w:r>
    </w:p>
    <w:p w14:paraId="7935BB6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若基金管理人或其指定的销售机构开通电话、传真或网上等交易方式，投资人可以通过上述方式进行申购与赎回。</w:t>
      </w:r>
    </w:p>
    <w:p w14:paraId="1D63394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（二）申购和赎回的开放日及时间</w:t>
      </w:r>
    </w:p>
    <w:p w14:paraId="029A4BE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14:paraId="745F1D0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投资人在开放日办理基金份额的申购和赎回，具体办理时间为上海证券交易所、深圳证券交易所的正常交易日的交易时间，但基金管理人根据法律法规、中国</w:t>
      </w:r>
      <w:r>
        <w:rPr>
          <w:rFonts w:ascii="宋体" w:hAnsi="宋体"/>
          <w:sz w:val="24"/>
        </w:rPr>
        <w:lastRenderedPageBreak/>
        <w:t>证监会的要求或基金合同的规定公告暂停申购、赎回时除外。</w:t>
      </w:r>
    </w:p>
    <w:p w14:paraId="7FE9B19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434FF8F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2、申购、赎回开始日及业务办理时间</w:t>
      </w:r>
    </w:p>
    <w:p w14:paraId="6E0E7A89" w14:textId="1743D8D1"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sidR="001A18DF" w:rsidRPr="001A18DF">
        <w:rPr>
          <w:rFonts w:ascii="宋体" w:hAnsi="宋体" w:hint="eastAsia"/>
          <w:sz w:val="24"/>
        </w:rPr>
        <w:t>A类基金份额</w:t>
      </w:r>
      <w:r w:rsidR="001A18DF">
        <w:rPr>
          <w:rFonts w:ascii="宋体" w:hAnsi="宋体" w:hint="eastAsia"/>
          <w:sz w:val="24"/>
        </w:rPr>
        <w:t>和C类基金份额</w:t>
      </w:r>
      <w:r>
        <w:rPr>
          <w:rFonts w:ascii="宋体" w:hAnsi="宋体"/>
          <w:sz w:val="24"/>
        </w:rPr>
        <w:t>已于2020年1月6日起开放申购、赎回业务。</w:t>
      </w:r>
    </w:p>
    <w:p w14:paraId="076549DA" w14:textId="3FE24C7B" w:rsidR="001A18DF" w:rsidRPr="003E746D" w:rsidRDefault="001A18DF" w:rsidP="001A18DF">
      <w:pPr>
        <w:autoSpaceDE w:val="0"/>
        <w:autoSpaceDN w:val="0"/>
        <w:adjustRightInd w:val="0"/>
        <w:snapToGrid w:val="0"/>
        <w:spacing w:line="360" w:lineRule="auto"/>
        <w:ind w:firstLineChars="200" w:firstLine="480"/>
        <w:jc w:val="left"/>
        <w:rPr>
          <w:rFonts w:ascii="宋体" w:hAnsi="宋体"/>
          <w:sz w:val="24"/>
        </w:rPr>
      </w:pPr>
      <w:r w:rsidRPr="003E746D">
        <w:rPr>
          <w:rFonts w:ascii="宋体" w:hAnsi="宋体" w:hint="eastAsia"/>
          <w:sz w:val="24"/>
        </w:rPr>
        <w:t>本基金Y类基金份额开放申购</w:t>
      </w:r>
      <w:r>
        <w:rPr>
          <w:rFonts w:ascii="宋体" w:hAnsi="宋体" w:hint="eastAsia"/>
          <w:sz w:val="24"/>
        </w:rPr>
        <w:t>、赎回</w:t>
      </w:r>
      <w:r w:rsidRPr="003E746D">
        <w:rPr>
          <w:rFonts w:ascii="宋体" w:hAnsi="宋体" w:hint="eastAsia"/>
          <w:sz w:val="24"/>
        </w:rPr>
        <w:t>业务的时间另行公告。</w:t>
      </w:r>
    </w:p>
    <w:p w14:paraId="0D2AF60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14:paraId="442DAA8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（三）申购与赎回的原则</w:t>
      </w:r>
    </w:p>
    <w:p w14:paraId="26F3250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1、“未知价”原则，即申购、赎回价格以申请当日收市后计算的基金份额净值为基准进行计算；</w:t>
      </w:r>
    </w:p>
    <w:p w14:paraId="58DF60C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14:paraId="0C9125E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3、当日的申购与赎回申请可以在基金管理人规定的时间以内撤销，但申请经登记机构受理的不得撤销；</w:t>
      </w:r>
    </w:p>
    <w:p w14:paraId="37673CA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0E8E753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5、办理申购、赎回业务时，应当遵循基金份额持有人利益优先原则，确保投资者的合法权益不受损害并得到公平对待。</w:t>
      </w:r>
    </w:p>
    <w:p w14:paraId="0A33685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基金管理人可在法律法规允许的情况下，对上述原则进行调整。基金管理人必须在新规则开始实施前依照《信息披露办法》的有关规定在规定媒介上公告。</w:t>
      </w:r>
    </w:p>
    <w:p w14:paraId="7136B5A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（四）申购和赎回的数额限定</w:t>
      </w:r>
    </w:p>
    <w:p w14:paraId="5AE2F47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1、申购金额的限制</w:t>
      </w:r>
    </w:p>
    <w:p w14:paraId="4FCA94A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100万元，追加申购的最低金额为单笔10万元；已在直销机构有认购或申购过本基金管理人管理的任一基金（包括本基金）记录的投资人不受首次申购最低金额的限制。通过基金管理人网上直销交易平台办</w:t>
      </w:r>
      <w:r>
        <w:rPr>
          <w:rFonts w:ascii="宋体" w:hAnsi="宋体"/>
          <w:sz w:val="24"/>
        </w:rPr>
        <w:lastRenderedPageBreak/>
        <w:t>理基金申购业务的不受直销机构单笔申购最低金额的限制，申购最低金额为单笔1元。本基金直销机构单笔申购最低金额可由基金管理人酌情调整。其他销售机构接受申购申请的最低金额为单笔1元，如果销售机构业务规则规定的最低单笔申购金额高于1元，以该销售机构的规定为准。</w:t>
      </w:r>
    </w:p>
    <w:p w14:paraId="7C65C7E8" w14:textId="77777777" w:rsidR="001A18DF" w:rsidRDefault="001A18DF">
      <w:pPr>
        <w:autoSpaceDE w:val="0"/>
        <w:autoSpaceDN w:val="0"/>
        <w:adjustRightInd w:val="0"/>
        <w:snapToGrid w:val="0"/>
        <w:spacing w:line="360" w:lineRule="auto"/>
        <w:ind w:firstLineChars="200" w:firstLine="480"/>
        <w:jc w:val="left"/>
        <w:rPr>
          <w:rFonts w:ascii="宋体" w:hAnsi="宋体"/>
          <w:sz w:val="24"/>
        </w:rPr>
      </w:pPr>
      <w:r w:rsidRPr="001A18DF">
        <w:rPr>
          <w:rFonts w:ascii="宋体" w:hAnsi="宋体" w:hint="eastAsia"/>
          <w:sz w:val="24"/>
        </w:rPr>
        <w:t>基金管理人可对Y类基金份额实施不同的申购金额限制或豁免申购限制，敬请投资者留意本基金管理人的有关公告。</w:t>
      </w:r>
    </w:p>
    <w:p w14:paraId="29B60025" w14:textId="1E63F975"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2、赎回份额的限制</w:t>
      </w:r>
    </w:p>
    <w:p w14:paraId="463062B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赎回的最低份额为1份基金份额，如果销售机构业务规则规定的最低单笔赎回份额高于1份，以该销售机构的规定为准。</w:t>
      </w:r>
    </w:p>
    <w:p w14:paraId="4948913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3、最低保留余额的限制</w:t>
      </w:r>
    </w:p>
    <w:p w14:paraId="7FF82A1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投资人在单个交易账户保留的本基金份额余额少于1份时，若当日该账户同时有基金份额减少类业务（如赎回、转换出等）被确认，则基金管理人有权将投资人在该账户保留的本基金份额一次性全部赎回。</w:t>
      </w:r>
    </w:p>
    <w:p w14:paraId="6E74CF1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123A5C16" w14:textId="40AB1616"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5、基金管理人可在法律法规允许的情况下，调整上述规定申购金额和赎回份额的数量限制。基金管理人必须在调整实施前依照《信息披露办法》的有关规定在规定媒介上公告并报中国证监会备案。</w:t>
      </w:r>
    </w:p>
    <w:p w14:paraId="63EB75A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（五）申购和赎回的程序</w:t>
      </w:r>
    </w:p>
    <w:p w14:paraId="5B0D9AA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1、申购和赎回的申请方式</w:t>
      </w:r>
    </w:p>
    <w:p w14:paraId="33F3C73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2A2EB08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2、申购和赎回的款项支付</w:t>
      </w:r>
    </w:p>
    <w:p w14:paraId="5C36BDD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投资人申购基金份额时，必须全额交付申购款项，若申购资金在规定时间内未全额到账则申购不成立。投资人全额交付申购款项，申购成立；基金登记机构确认</w:t>
      </w:r>
      <w:r>
        <w:rPr>
          <w:rFonts w:ascii="宋体" w:hAnsi="宋体"/>
          <w:sz w:val="24"/>
        </w:rPr>
        <w:lastRenderedPageBreak/>
        <w:t>基金份额时，申购生效。</w:t>
      </w:r>
    </w:p>
    <w:p w14:paraId="3B1E1E6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递交赎回申请，赎回成立；基金登记机构确认赎回时，赎回生效。投资者赎回申请生效后，基金管理人将在T＋7日（包括该日）内支付赎回款项。在发生巨额赎回或基金合同载明的其他暂停赎回或延缓支付赎回款项的情形时，款项的支付办法参照基金合同有关条款处理。</w:t>
      </w:r>
    </w:p>
    <w:p w14:paraId="0D801BF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3、申购和赎回申请的确认</w:t>
      </w:r>
    </w:p>
    <w:p w14:paraId="06BDE3C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本金退还给投资人。</w:t>
      </w:r>
    </w:p>
    <w:p w14:paraId="3DD8AF66" w14:textId="5FE5F73C"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基金管理人可在法律法规允许的范围内，依法对上述申购和赎回申请的确认时间进行调整，并必须在调整实施日前按照《信息披露办法》的有关规定在规定媒介上公告并报中国证监会备案。</w:t>
      </w:r>
    </w:p>
    <w:p w14:paraId="3CCDAEE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39BC8FE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4、申购和赎回的登记</w:t>
      </w:r>
    </w:p>
    <w:p w14:paraId="11E8F6D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（1）投资人T日申购基金成功后，正常情况下，登记机构在T＋1日为投资人增加权益并办理登记手续，投资人自T＋2日起（包括该日）有权赎回该部分基金份额。投资人应及时查询有关申请的确认情况。</w:t>
      </w:r>
    </w:p>
    <w:p w14:paraId="31528E3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（2）投资人T日赎回基金成功后，正常情况下，登记机构在T＋1日为投资人扣除权益并办理相应的登记手续。</w:t>
      </w:r>
    </w:p>
    <w:p w14:paraId="4726B457" w14:textId="283C7B26"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（3）基金管理人可在法律法规允许的范围内，对上述登记办理时间进行调整，并于开始实施前按照《信息披露办法》的有关规定在规定媒介上公告并报中国证监会备案。</w:t>
      </w:r>
    </w:p>
    <w:p w14:paraId="32E137B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（六）基金的申购费和赎回费</w:t>
      </w:r>
    </w:p>
    <w:p w14:paraId="05230D4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1、申购费用</w:t>
      </w:r>
    </w:p>
    <w:p w14:paraId="2CBFF258" w14:textId="7068D3D3"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本基金基金份额分为A类基金份额</w:t>
      </w:r>
      <w:r w:rsidR="001A18DF">
        <w:rPr>
          <w:rFonts w:ascii="宋体" w:hAnsi="宋体" w:hint="eastAsia"/>
          <w:sz w:val="24"/>
        </w:rPr>
        <w:t>、</w:t>
      </w:r>
      <w:r>
        <w:rPr>
          <w:rFonts w:ascii="宋体" w:hAnsi="宋体"/>
          <w:sz w:val="24"/>
        </w:rPr>
        <w:t>C类基金份额</w:t>
      </w:r>
      <w:r w:rsidR="001A18DF">
        <w:rPr>
          <w:rFonts w:ascii="宋体" w:hAnsi="宋体" w:hint="eastAsia"/>
          <w:sz w:val="24"/>
        </w:rPr>
        <w:t>和Y类基金份额</w:t>
      </w:r>
      <w:r>
        <w:rPr>
          <w:rFonts w:ascii="宋体" w:hAnsi="宋体"/>
          <w:sz w:val="24"/>
        </w:rPr>
        <w:t>，投资人申购A类基金份额</w:t>
      </w:r>
      <w:r w:rsidR="001A18DF">
        <w:rPr>
          <w:rFonts w:ascii="宋体" w:hAnsi="宋体" w:hint="eastAsia"/>
          <w:sz w:val="24"/>
        </w:rPr>
        <w:t>和Y类基金份额</w:t>
      </w:r>
      <w:r>
        <w:rPr>
          <w:rFonts w:ascii="宋体" w:hAnsi="宋体"/>
          <w:sz w:val="24"/>
        </w:rPr>
        <w:t>在申购时支付申购费用，申购C类基金份额不支付申购费</w:t>
      </w:r>
      <w:r>
        <w:rPr>
          <w:rFonts w:ascii="宋体" w:hAnsi="宋体"/>
          <w:sz w:val="24"/>
        </w:rPr>
        <w:lastRenderedPageBreak/>
        <w:t>用，而是从该类别基金资产中计提销售服务费。</w:t>
      </w:r>
    </w:p>
    <w:p w14:paraId="5AC0E63F" w14:textId="00933AB2"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w:t>
      </w:r>
      <w:r w:rsidR="001A18DF">
        <w:rPr>
          <w:rFonts w:ascii="宋体" w:hAnsi="宋体" w:hint="eastAsia"/>
          <w:sz w:val="24"/>
        </w:rPr>
        <w:t>和Y类基金份额</w:t>
      </w:r>
      <w:r>
        <w:rPr>
          <w:rFonts w:ascii="宋体" w:hAnsi="宋体"/>
          <w:sz w:val="24"/>
        </w:rPr>
        <w:t>的申购费用由</w:t>
      </w:r>
      <w:r w:rsidR="001A18DF">
        <w:rPr>
          <w:rFonts w:ascii="宋体" w:hAnsi="宋体" w:hint="eastAsia"/>
          <w:sz w:val="24"/>
        </w:rPr>
        <w:t>该</w:t>
      </w:r>
      <w:r>
        <w:rPr>
          <w:rFonts w:ascii="宋体" w:hAnsi="宋体"/>
          <w:sz w:val="24"/>
        </w:rPr>
        <w:t>类基金份额申购人承担，不列入基金财产，主要用于本基金的市场推广、销售、登记结算等各项费用。</w:t>
      </w:r>
    </w:p>
    <w:p w14:paraId="354DD54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投资人可以多次申购本基金，申购费用按每笔申购申请单独计算。</w:t>
      </w:r>
    </w:p>
    <w:p w14:paraId="05FBEF32" w14:textId="2B3F67A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w:t>
      </w:r>
      <w:r w:rsidR="001A18DF" w:rsidRPr="003E746D">
        <w:rPr>
          <w:rFonts w:ascii="宋体" w:hAnsi="宋体" w:hint="eastAsia"/>
          <w:sz w:val="24"/>
        </w:rPr>
        <w:t>和Y类基金份额</w:t>
      </w:r>
      <w:r>
        <w:rPr>
          <w:rFonts w:ascii="宋体" w:hAnsi="宋体"/>
          <w:sz w:val="24"/>
        </w:rPr>
        <w:t>的申购费率如下：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877B87" w14:paraId="67A22B94" w14:textId="77777777">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14:paraId="2D1401F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申购费率</w:t>
            </w:r>
          </w:p>
        </w:tc>
        <w:tc>
          <w:tcPr>
            <w:tcW w:w="750" w:type="pct"/>
            <w:tcBorders>
              <w:top w:val="single" w:sz="4" w:space="0" w:color="auto"/>
              <w:left w:val="single" w:sz="4" w:space="0" w:color="auto"/>
              <w:bottom w:val="single" w:sz="4" w:space="0" w:color="auto"/>
              <w:right w:val="single" w:sz="4" w:space="0" w:color="auto"/>
            </w:tcBorders>
            <w:vAlign w:val="center"/>
          </w:tcPr>
          <w:p w14:paraId="739B5DE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14:paraId="2A6E6194" w14:textId="572521FA"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w:t>
            </w:r>
            <w:r w:rsidR="000E537C">
              <w:rPr>
                <w:rFonts w:ascii="Times New Roman" w:hAnsi="Times New Roman" w:hint="eastAsia"/>
                <w:color w:val="000000"/>
                <w:kern w:val="0"/>
                <w:sz w:val="25"/>
                <w:szCs w:val="24"/>
              </w:rPr>
              <w:t>/</w:t>
            </w:r>
            <w:r w:rsidR="000E537C">
              <w:rPr>
                <w:rFonts w:ascii="Times New Roman" w:hAnsi="Times New Roman"/>
                <w:color w:val="000000"/>
                <w:kern w:val="0"/>
                <w:sz w:val="25"/>
                <w:szCs w:val="24"/>
              </w:rPr>
              <w:t>Y</w:t>
            </w:r>
            <w:r w:rsidR="000E537C">
              <w:rPr>
                <w:rFonts w:ascii="Times New Roman" w:hAnsi="Times New Roman" w:hint="eastAsia"/>
                <w:color w:val="000000"/>
                <w:kern w:val="0"/>
                <w:sz w:val="25"/>
                <w:szCs w:val="24"/>
              </w:rPr>
              <w:t>类</w:t>
            </w:r>
            <w:r>
              <w:rPr>
                <w:rFonts w:ascii="Times New Roman" w:hAnsi="Times New Roman"/>
                <w:color w:val="000000"/>
                <w:kern w:val="0"/>
                <w:sz w:val="25"/>
                <w:szCs w:val="24"/>
              </w:rPr>
              <w:t>基金份额申购费率</w:t>
            </w:r>
          </w:p>
        </w:tc>
      </w:tr>
      <w:tr w:rsidR="00877B87" w14:paraId="486FB0FF"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536EAB2D" w14:textId="77777777" w:rsidR="00877B87" w:rsidRDefault="00877B87">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57A9B21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14:paraId="242206E8"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1.2%</w:t>
            </w:r>
          </w:p>
        </w:tc>
      </w:tr>
      <w:tr w:rsidR="00877B87" w14:paraId="5AACC14D"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7FE601BF" w14:textId="77777777" w:rsidR="00877B87" w:rsidRDefault="00877B87">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35DDF7C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1F7806E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0.8%</w:t>
            </w:r>
          </w:p>
        </w:tc>
      </w:tr>
      <w:tr w:rsidR="00877B87" w14:paraId="5D649C03"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30807F77" w14:textId="77777777" w:rsidR="00877B87" w:rsidRDefault="00877B87">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4CA6BF9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340FCE28"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877B87" w14:paraId="6D20C5DA"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77C203DE" w14:textId="77777777" w:rsidR="00877B87" w:rsidRDefault="00877B87">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691B414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55A319C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1D531EE1" w14:textId="2BD12095"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因红利自动再投资而产生的</w:t>
      </w:r>
      <w:r w:rsidR="001A18DF">
        <w:rPr>
          <w:rFonts w:ascii="宋体" w:hAnsi="宋体" w:hint="eastAsia"/>
          <w:sz w:val="24"/>
        </w:rPr>
        <w:t>该</w:t>
      </w:r>
      <w:r>
        <w:rPr>
          <w:rFonts w:ascii="宋体" w:hAnsi="宋体"/>
          <w:sz w:val="24"/>
        </w:rPr>
        <w:t>类基金份额，不收取相应的申购费用。</w:t>
      </w:r>
    </w:p>
    <w:p w14:paraId="33445DD1" w14:textId="77777777" w:rsidR="001A18DF" w:rsidRDefault="001A18DF">
      <w:pPr>
        <w:autoSpaceDE w:val="0"/>
        <w:autoSpaceDN w:val="0"/>
        <w:adjustRightInd w:val="0"/>
        <w:snapToGrid w:val="0"/>
        <w:spacing w:line="360" w:lineRule="auto"/>
        <w:ind w:firstLineChars="200" w:firstLine="480"/>
        <w:jc w:val="left"/>
        <w:rPr>
          <w:rFonts w:ascii="宋体" w:hAnsi="宋体"/>
          <w:sz w:val="24"/>
        </w:rPr>
      </w:pPr>
      <w:r w:rsidRPr="001A18DF">
        <w:rPr>
          <w:rFonts w:ascii="宋体" w:hAnsi="宋体" w:hint="eastAsia"/>
          <w:sz w:val="24"/>
        </w:rPr>
        <w:t>基金管理人可对Y类基金份额实施费率优惠或豁免申购费用，敬请投资者留意本基金管理人的有关公告。</w:t>
      </w:r>
    </w:p>
    <w:p w14:paraId="18D459C2" w14:textId="4C3897D3"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本基金对通过基金管理人直销柜台申购A类基金份额的</w:t>
      </w:r>
      <w:r w:rsidR="001A18DF" w:rsidRPr="003E746D">
        <w:rPr>
          <w:rFonts w:ascii="宋体" w:hAnsi="宋体" w:hint="eastAsia"/>
          <w:sz w:val="24"/>
        </w:rPr>
        <w:t>非个人</w:t>
      </w:r>
      <w:r>
        <w:rPr>
          <w:rFonts w:ascii="宋体" w:hAnsi="宋体"/>
          <w:sz w:val="24"/>
        </w:rPr>
        <w:t>养老金客户实施特定申购费率。</w:t>
      </w:r>
    </w:p>
    <w:p w14:paraId="25842DE9" w14:textId="69DAB1DA" w:rsidR="00877B87" w:rsidRDefault="001A18DF">
      <w:pPr>
        <w:autoSpaceDE w:val="0"/>
        <w:autoSpaceDN w:val="0"/>
        <w:adjustRightInd w:val="0"/>
        <w:snapToGrid w:val="0"/>
        <w:spacing w:line="360" w:lineRule="auto"/>
        <w:ind w:firstLineChars="200" w:firstLine="480"/>
        <w:jc w:val="left"/>
        <w:rPr>
          <w:rFonts w:ascii="宋体" w:hAnsi="宋体"/>
          <w:szCs w:val="24"/>
        </w:rPr>
      </w:pPr>
      <w:r w:rsidRPr="003E746D">
        <w:rPr>
          <w:rFonts w:ascii="宋体" w:hAnsi="宋体" w:hint="eastAsia"/>
          <w:sz w:val="24"/>
        </w:rPr>
        <w:t>非个人</w:t>
      </w:r>
      <w:r w:rsidR="008116FB">
        <w:rPr>
          <w:rFonts w:ascii="宋体" w:hAnsi="宋体"/>
          <w:sz w:val="24"/>
        </w:rPr>
        <w:t>养老金客户指基本养老基金与依法成立的养老计划筹集的资金及其投资运营收益形成的补充养老基金等，具体包括：</w:t>
      </w:r>
    </w:p>
    <w:p w14:paraId="5AE2139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1）全国社会保障基金；</w:t>
      </w:r>
    </w:p>
    <w:p w14:paraId="2E1680C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2）可以投资基金的地方社会保障基金；</w:t>
      </w:r>
    </w:p>
    <w:p w14:paraId="3057A5A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3）企业年金单一计划以及集合计划；</w:t>
      </w:r>
    </w:p>
    <w:p w14:paraId="2D7B54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4）企业年金理事会委托的特定客户资产管理计划；</w:t>
      </w:r>
    </w:p>
    <w:p w14:paraId="6F5C383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5）企业年金养老金产品。</w:t>
      </w:r>
    </w:p>
    <w:p w14:paraId="3FE5D127" w14:textId="392DD18E"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如将来出现经养老基金监管部门认可的新的养老基金类型，基金管理人可在招募说明书更新或发布临时公告将其纳入</w:t>
      </w:r>
      <w:r w:rsidR="001A18DF" w:rsidRPr="003E746D">
        <w:rPr>
          <w:rFonts w:ascii="宋体" w:hAnsi="宋体" w:hint="eastAsia"/>
          <w:sz w:val="24"/>
        </w:rPr>
        <w:t>非个人</w:t>
      </w:r>
      <w:r>
        <w:rPr>
          <w:rFonts w:ascii="宋体" w:hAnsi="宋体"/>
          <w:sz w:val="24"/>
        </w:rPr>
        <w:t>养老金客户范围，并按规定向中国证监会备案。</w:t>
      </w:r>
    </w:p>
    <w:p w14:paraId="6E95951D" w14:textId="4C5E83C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通过基金管理人直销柜台申购本基金A类基金份额的</w:t>
      </w:r>
      <w:r w:rsidR="001A18DF" w:rsidRPr="003E746D">
        <w:rPr>
          <w:rFonts w:ascii="宋体" w:hAnsi="宋体" w:hint="eastAsia"/>
          <w:sz w:val="24"/>
        </w:rPr>
        <w:t>非个人</w:t>
      </w:r>
      <w:r>
        <w:rPr>
          <w:rFonts w:ascii="宋体" w:hAnsi="宋体"/>
          <w:sz w:val="24"/>
        </w:rPr>
        <w:t>养老金客户特定申购费率如下表：</w:t>
      </w:r>
    </w:p>
    <w:tbl>
      <w:tblPr>
        <w:tblW w:w="5000" w:type="pct"/>
        <w:tblCellMar>
          <w:left w:w="0" w:type="dxa"/>
          <w:right w:w="0" w:type="dxa"/>
        </w:tblCellMar>
        <w:tblLook w:val="0000" w:firstRow="0" w:lastRow="0" w:firstColumn="0" w:lastColumn="0" w:noHBand="0" w:noVBand="0"/>
      </w:tblPr>
      <w:tblGrid>
        <w:gridCol w:w="1236"/>
        <w:gridCol w:w="3707"/>
        <w:gridCol w:w="3707"/>
      </w:tblGrid>
      <w:tr w:rsidR="00877B87" w14:paraId="1E55945A" w14:textId="77777777">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14:paraId="7B86727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申购费率</w:t>
            </w:r>
          </w:p>
        </w:tc>
        <w:tc>
          <w:tcPr>
            <w:tcW w:w="750" w:type="pct"/>
            <w:tcBorders>
              <w:top w:val="single" w:sz="4" w:space="0" w:color="auto"/>
              <w:left w:val="single" w:sz="4" w:space="0" w:color="auto"/>
              <w:bottom w:val="single" w:sz="4" w:space="0" w:color="auto"/>
              <w:right w:val="single" w:sz="4" w:space="0" w:color="auto"/>
            </w:tcBorders>
            <w:vAlign w:val="center"/>
          </w:tcPr>
          <w:p w14:paraId="6FE2460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14:paraId="56A54BB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类基金份额特定申购费率</w:t>
            </w:r>
          </w:p>
        </w:tc>
      </w:tr>
      <w:tr w:rsidR="00877B87" w14:paraId="734991F3"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54290C5F" w14:textId="77777777" w:rsidR="00877B87" w:rsidRDefault="00877B87">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45CC83E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14:paraId="51EC5A1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0.24%</w:t>
            </w:r>
          </w:p>
        </w:tc>
      </w:tr>
      <w:tr w:rsidR="00877B87" w14:paraId="17F9CAF6"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687116CE" w14:textId="77777777" w:rsidR="00877B87" w:rsidRDefault="00877B87">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5584BCA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6046D22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0.16%</w:t>
            </w:r>
          </w:p>
        </w:tc>
      </w:tr>
      <w:tr w:rsidR="00877B87" w14:paraId="14927B80"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64EC0533" w14:textId="77777777" w:rsidR="00877B87" w:rsidRDefault="00877B87">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4D905A7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35EB07A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rsidR="00877B87" w14:paraId="4B3C3F49"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52989672" w14:textId="77777777" w:rsidR="00877B87" w:rsidRDefault="00877B87">
            <w:pPr>
              <w:widowControl/>
              <w:snapToGrid w:val="0"/>
              <w:jc w:val="left"/>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42D06F0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5141252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6154AAB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投资者通过直销机构交易享有的交易费率优惠情况请见本基金管理人的有关公告或本基金管理人网站。本基金管理人基金网上直销业务已开通的银行卡及各银行卡交易金额限额请参阅本基金管理人网站。</w:t>
      </w:r>
    </w:p>
    <w:p w14:paraId="0826D8A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2、赎回费用</w:t>
      </w:r>
    </w:p>
    <w:p w14:paraId="55511BEF" w14:textId="521A9A88"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投资者赎回A类基金份额</w:t>
      </w:r>
      <w:r w:rsidR="001A18DF">
        <w:rPr>
          <w:rFonts w:ascii="宋体" w:hAnsi="宋体" w:hint="eastAsia"/>
          <w:sz w:val="24"/>
        </w:rPr>
        <w:t>、</w:t>
      </w:r>
      <w:r>
        <w:rPr>
          <w:rFonts w:ascii="宋体" w:hAnsi="宋体"/>
          <w:sz w:val="24"/>
        </w:rPr>
        <w:t>C类基金份额</w:t>
      </w:r>
      <w:r w:rsidR="001A18DF">
        <w:rPr>
          <w:rFonts w:ascii="宋体" w:hAnsi="宋体" w:hint="eastAsia"/>
          <w:sz w:val="24"/>
        </w:rPr>
        <w:t>或Y类基金份额</w:t>
      </w:r>
      <w:r>
        <w:rPr>
          <w:rFonts w:ascii="宋体" w:hAnsi="宋体"/>
          <w:sz w:val="24"/>
        </w:rPr>
        <w:t>收取赎回费用，该费用随基金份额的持有时间递减。本基金</w:t>
      </w:r>
      <w:r w:rsidR="001A18DF">
        <w:rPr>
          <w:rFonts w:ascii="宋体" w:hAnsi="宋体" w:hint="eastAsia"/>
          <w:sz w:val="24"/>
        </w:rPr>
        <w:t>各</w:t>
      </w:r>
      <w:r>
        <w:rPr>
          <w:rFonts w:ascii="宋体" w:hAnsi="宋体"/>
          <w:sz w:val="24"/>
        </w:rPr>
        <w:t>类基金份额的赎回费用由赎回该类基金份额的基金份额持有人承担，在基金份额持有人赎回基金份额时收取。对于持续持有期间少于7日的投资者收取的赎回费全额计入基金财产，对于持续持有期间大于等于7日的投资人收取的赎回费总额的25%应归基金财产，其余用于支付登记费和其他必要的手续费。</w:t>
      </w:r>
    </w:p>
    <w:p w14:paraId="23A9874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877B87" w14:paraId="1E3D25CC" w14:textId="77777777">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14:paraId="39B868E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类基金份额的赎回费率</w:t>
            </w:r>
          </w:p>
        </w:tc>
        <w:tc>
          <w:tcPr>
            <w:tcW w:w="750" w:type="pct"/>
            <w:tcBorders>
              <w:top w:val="single" w:sz="4" w:space="0" w:color="auto"/>
              <w:left w:val="single" w:sz="4" w:space="0" w:color="auto"/>
              <w:bottom w:val="single" w:sz="4" w:space="0" w:color="auto"/>
              <w:right w:val="single" w:sz="4" w:space="0" w:color="auto"/>
            </w:tcBorders>
            <w:vAlign w:val="center"/>
          </w:tcPr>
          <w:p w14:paraId="729CDD73"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14:paraId="06E870D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877B87" w14:paraId="1BAEC649"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2ADFC01A" w14:textId="77777777" w:rsidR="00877B87" w:rsidRDefault="00877B87">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64D979B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14:paraId="06202EC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877B87" w14:paraId="75693AF1"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1AF99106" w14:textId="77777777" w:rsidR="00877B87" w:rsidRDefault="00877B87">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733D56F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日（含）</w:t>
            </w:r>
          </w:p>
        </w:tc>
        <w:tc>
          <w:tcPr>
            <w:tcW w:w="750" w:type="pct"/>
            <w:tcBorders>
              <w:top w:val="single" w:sz="4" w:space="0" w:color="auto"/>
              <w:left w:val="single" w:sz="4" w:space="0" w:color="auto"/>
              <w:bottom w:val="single" w:sz="4" w:space="0" w:color="auto"/>
              <w:right w:val="single" w:sz="4" w:space="0" w:color="auto"/>
            </w:tcBorders>
            <w:vAlign w:val="center"/>
          </w:tcPr>
          <w:p w14:paraId="133F1083"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0.3%</w:t>
            </w:r>
          </w:p>
        </w:tc>
      </w:tr>
      <w:tr w:rsidR="00877B87" w14:paraId="77B7E41A"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61072915" w14:textId="77777777" w:rsidR="00877B87" w:rsidRDefault="00877B87">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6ABFFC7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w:t>
            </w:r>
            <w:r>
              <w:rPr>
                <w:rFonts w:ascii="Times New Roman" w:hAnsi="Times New Roman"/>
                <w:color w:val="000000"/>
                <w:kern w:val="0"/>
                <w:sz w:val="25"/>
                <w:szCs w:val="24"/>
              </w:rPr>
              <w:t>-180</w:t>
            </w:r>
            <w:r>
              <w:rPr>
                <w:rFonts w:ascii="Times New Roman" w:hAnsi="Times New Roman"/>
                <w:color w:val="000000"/>
                <w:kern w:val="0"/>
                <w:sz w:val="25"/>
                <w:szCs w:val="24"/>
              </w:rPr>
              <w:t>日（含）</w:t>
            </w:r>
          </w:p>
        </w:tc>
        <w:tc>
          <w:tcPr>
            <w:tcW w:w="750" w:type="pct"/>
            <w:tcBorders>
              <w:top w:val="single" w:sz="4" w:space="0" w:color="auto"/>
              <w:left w:val="single" w:sz="4" w:space="0" w:color="auto"/>
              <w:bottom w:val="single" w:sz="4" w:space="0" w:color="auto"/>
              <w:right w:val="single" w:sz="4" w:space="0" w:color="auto"/>
            </w:tcBorders>
            <w:vAlign w:val="center"/>
          </w:tcPr>
          <w:p w14:paraId="624477E1"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rsidR="00877B87" w14:paraId="2E7A0964"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64B6B2D4" w14:textId="77777777" w:rsidR="00877B87" w:rsidRDefault="00877B87">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4FF752B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180</w:t>
            </w:r>
            <w:r>
              <w:rPr>
                <w:rFonts w:ascii="Times New Roman" w:hAnsi="Times New Roman"/>
                <w:color w:val="000000"/>
                <w:kern w:val="0"/>
                <w:sz w:val="25"/>
                <w:szCs w:val="24"/>
              </w:rPr>
              <w:t>日以上</w:t>
            </w:r>
          </w:p>
        </w:tc>
        <w:tc>
          <w:tcPr>
            <w:tcW w:w="750" w:type="pct"/>
            <w:tcBorders>
              <w:top w:val="single" w:sz="4" w:space="0" w:color="auto"/>
              <w:left w:val="single" w:sz="4" w:space="0" w:color="auto"/>
              <w:bottom w:val="single" w:sz="4" w:space="0" w:color="auto"/>
              <w:right w:val="single" w:sz="4" w:space="0" w:color="auto"/>
            </w:tcBorders>
            <w:vAlign w:val="center"/>
          </w:tcPr>
          <w:p w14:paraId="5E2E3A28"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14:paraId="1AC71AA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本基金C类基金份额的赎回费率如下：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877B87" w14:paraId="6D49E64B" w14:textId="77777777" w:rsidTr="001A18DF">
        <w:trPr>
          <w:cantSplit/>
          <w:trHeight w:val="375"/>
        </w:trPr>
        <w:tc>
          <w:tcPr>
            <w:tcW w:w="714" w:type="pct"/>
            <w:vMerge w:val="restart"/>
            <w:tcBorders>
              <w:top w:val="single" w:sz="4" w:space="0" w:color="auto"/>
              <w:left w:val="single" w:sz="4" w:space="0" w:color="auto"/>
              <w:bottom w:val="single" w:sz="4" w:space="0" w:color="auto"/>
              <w:right w:val="single" w:sz="4" w:space="0" w:color="auto"/>
            </w:tcBorders>
            <w:vAlign w:val="center"/>
          </w:tcPr>
          <w:p w14:paraId="6355F33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类基金份额的赎回费率</w:t>
            </w:r>
          </w:p>
        </w:tc>
        <w:tc>
          <w:tcPr>
            <w:tcW w:w="2143" w:type="pct"/>
            <w:tcBorders>
              <w:top w:val="single" w:sz="4" w:space="0" w:color="auto"/>
              <w:left w:val="single" w:sz="4" w:space="0" w:color="auto"/>
              <w:bottom w:val="single" w:sz="4" w:space="0" w:color="auto"/>
              <w:right w:val="single" w:sz="4" w:space="0" w:color="auto"/>
            </w:tcBorders>
            <w:vAlign w:val="center"/>
          </w:tcPr>
          <w:p w14:paraId="735FBB6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2143" w:type="pct"/>
            <w:tcBorders>
              <w:top w:val="single" w:sz="4" w:space="0" w:color="auto"/>
              <w:left w:val="single" w:sz="4" w:space="0" w:color="auto"/>
              <w:bottom w:val="single" w:sz="4" w:space="0" w:color="auto"/>
              <w:right w:val="single" w:sz="4" w:space="0" w:color="auto"/>
            </w:tcBorders>
            <w:vAlign w:val="center"/>
          </w:tcPr>
          <w:p w14:paraId="3AA52A0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877B87" w14:paraId="4738B141" w14:textId="77777777" w:rsidTr="001A18DF">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4714BB57" w14:textId="77777777" w:rsidR="00877B87" w:rsidRDefault="00877B87">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0163C84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2143" w:type="pct"/>
            <w:tcBorders>
              <w:top w:val="single" w:sz="4" w:space="0" w:color="auto"/>
              <w:left w:val="single" w:sz="4" w:space="0" w:color="auto"/>
              <w:bottom w:val="single" w:sz="4" w:space="0" w:color="auto"/>
              <w:right w:val="single" w:sz="4" w:space="0" w:color="auto"/>
            </w:tcBorders>
            <w:vAlign w:val="center"/>
          </w:tcPr>
          <w:p w14:paraId="6C0642A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877B87" w14:paraId="32F7AFCD" w14:textId="77777777" w:rsidTr="001A18DF">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64F4D7DD" w14:textId="77777777" w:rsidR="00877B87" w:rsidRDefault="00877B87">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200A1D8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日（含）</w:t>
            </w:r>
          </w:p>
        </w:tc>
        <w:tc>
          <w:tcPr>
            <w:tcW w:w="2143" w:type="pct"/>
            <w:tcBorders>
              <w:top w:val="single" w:sz="4" w:space="0" w:color="auto"/>
              <w:left w:val="single" w:sz="4" w:space="0" w:color="auto"/>
              <w:bottom w:val="single" w:sz="4" w:space="0" w:color="auto"/>
              <w:right w:val="single" w:sz="4" w:space="0" w:color="auto"/>
            </w:tcBorders>
            <w:vAlign w:val="center"/>
          </w:tcPr>
          <w:p w14:paraId="3F1C125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rsidR="00877B87" w14:paraId="403D3BD7" w14:textId="77777777" w:rsidTr="001A18DF">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63202768" w14:textId="77777777" w:rsidR="00877B87" w:rsidRDefault="00877B87">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6394BC1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日以上</w:t>
            </w:r>
          </w:p>
        </w:tc>
        <w:tc>
          <w:tcPr>
            <w:tcW w:w="2143" w:type="pct"/>
            <w:tcBorders>
              <w:top w:val="single" w:sz="4" w:space="0" w:color="auto"/>
              <w:left w:val="single" w:sz="4" w:space="0" w:color="auto"/>
              <w:bottom w:val="single" w:sz="4" w:space="0" w:color="auto"/>
              <w:right w:val="single" w:sz="4" w:space="0" w:color="auto"/>
            </w:tcBorders>
            <w:vAlign w:val="center"/>
          </w:tcPr>
          <w:p w14:paraId="5C017DA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14:paraId="3398C542" w14:textId="37B1AFCF" w:rsidR="001A18DF" w:rsidRDefault="001A18DF" w:rsidP="001A18DF">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Pr>
          <w:rFonts w:ascii="宋体" w:hAnsi="宋体" w:hint="eastAsia"/>
          <w:sz w:val="24"/>
        </w:rPr>
        <w:t>Y</w:t>
      </w:r>
      <w:r>
        <w:rPr>
          <w:rFonts w:ascii="宋体" w:hAnsi="宋体"/>
          <w:sz w:val="24"/>
        </w:rPr>
        <w:t>类基金份额的赎回费率如下：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1A18DF" w14:paraId="37184F53" w14:textId="77777777" w:rsidTr="001A18DF">
        <w:trPr>
          <w:cantSplit/>
          <w:trHeight w:val="375"/>
        </w:trPr>
        <w:tc>
          <w:tcPr>
            <w:tcW w:w="714" w:type="pct"/>
            <w:vMerge w:val="restart"/>
            <w:tcBorders>
              <w:top w:val="single" w:sz="4" w:space="0" w:color="auto"/>
              <w:left w:val="single" w:sz="4" w:space="0" w:color="auto"/>
              <w:bottom w:val="single" w:sz="4" w:space="0" w:color="auto"/>
              <w:right w:val="single" w:sz="4" w:space="0" w:color="auto"/>
            </w:tcBorders>
            <w:vAlign w:val="center"/>
          </w:tcPr>
          <w:p w14:paraId="06D45557" w14:textId="4F280C10" w:rsidR="001A18DF" w:rsidRDefault="001A18DF" w:rsidP="00F41A2F">
            <w:pPr>
              <w:widowControl/>
              <w:snapToGrid w:val="0"/>
              <w:jc w:val="center"/>
              <w:rPr>
                <w:rFonts w:ascii="宋体" w:hAnsi="宋体"/>
                <w:color w:val="000000"/>
                <w:kern w:val="0"/>
                <w:sz w:val="25"/>
                <w:szCs w:val="24"/>
              </w:rPr>
            </w:pPr>
            <w:r>
              <w:rPr>
                <w:rFonts w:ascii="Times New Roman" w:hAnsi="Times New Roman" w:hint="eastAsia"/>
                <w:color w:val="000000"/>
                <w:kern w:val="0"/>
                <w:sz w:val="25"/>
                <w:szCs w:val="24"/>
              </w:rPr>
              <w:t>Y</w:t>
            </w:r>
            <w:r>
              <w:rPr>
                <w:rFonts w:ascii="Times New Roman" w:hAnsi="Times New Roman"/>
                <w:color w:val="000000"/>
                <w:kern w:val="0"/>
                <w:sz w:val="25"/>
                <w:szCs w:val="24"/>
              </w:rPr>
              <w:t>类基金份额的赎回费率</w:t>
            </w:r>
          </w:p>
        </w:tc>
        <w:tc>
          <w:tcPr>
            <w:tcW w:w="2143" w:type="pct"/>
            <w:tcBorders>
              <w:top w:val="single" w:sz="4" w:space="0" w:color="auto"/>
              <w:left w:val="single" w:sz="4" w:space="0" w:color="auto"/>
              <w:bottom w:val="single" w:sz="4" w:space="0" w:color="auto"/>
              <w:right w:val="single" w:sz="4" w:space="0" w:color="auto"/>
            </w:tcBorders>
            <w:vAlign w:val="center"/>
          </w:tcPr>
          <w:p w14:paraId="1ADA8E59" w14:textId="77777777" w:rsidR="001A18DF" w:rsidRDefault="001A18DF" w:rsidP="00F41A2F">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2143" w:type="pct"/>
            <w:tcBorders>
              <w:top w:val="single" w:sz="4" w:space="0" w:color="auto"/>
              <w:left w:val="single" w:sz="4" w:space="0" w:color="auto"/>
              <w:bottom w:val="single" w:sz="4" w:space="0" w:color="auto"/>
              <w:right w:val="single" w:sz="4" w:space="0" w:color="auto"/>
            </w:tcBorders>
            <w:vAlign w:val="center"/>
          </w:tcPr>
          <w:p w14:paraId="4D93B875" w14:textId="77777777" w:rsidR="001A18DF" w:rsidRDefault="001A18DF" w:rsidP="00F41A2F">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1A18DF" w14:paraId="5180E7DC" w14:textId="77777777" w:rsidTr="001A18DF">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3AA7EF6E" w14:textId="77777777" w:rsidR="001A18DF" w:rsidRDefault="001A18DF" w:rsidP="00F41A2F">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5799255A" w14:textId="77777777" w:rsidR="001A18DF" w:rsidRDefault="001A18DF" w:rsidP="00F41A2F">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2143" w:type="pct"/>
            <w:tcBorders>
              <w:top w:val="single" w:sz="4" w:space="0" w:color="auto"/>
              <w:left w:val="single" w:sz="4" w:space="0" w:color="auto"/>
              <w:bottom w:val="single" w:sz="4" w:space="0" w:color="auto"/>
              <w:right w:val="single" w:sz="4" w:space="0" w:color="auto"/>
            </w:tcBorders>
            <w:vAlign w:val="center"/>
          </w:tcPr>
          <w:p w14:paraId="293AD818" w14:textId="77777777" w:rsidR="001A18DF" w:rsidRDefault="001A18DF" w:rsidP="00F41A2F">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1A18DF" w14:paraId="1BB50D2A" w14:textId="77777777" w:rsidTr="001A18DF">
        <w:trPr>
          <w:cantSplit/>
          <w:trHeight w:val="375"/>
        </w:trPr>
        <w:tc>
          <w:tcPr>
            <w:tcW w:w="714" w:type="pct"/>
            <w:vMerge/>
            <w:tcBorders>
              <w:top w:val="single" w:sz="4" w:space="0" w:color="auto"/>
              <w:left w:val="single" w:sz="4" w:space="0" w:color="auto"/>
              <w:bottom w:val="single" w:sz="4" w:space="0" w:color="auto"/>
              <w:right w:val="single" w:sz="4" w:space="0" w:color="auto"/>
            </w:tcBorders>
            <w:vAlign w:val="center"/>
          </w:tcPr>
          <w:p w14:paraId="594BC647" w14:textId="77777777" w:rsidR="001A18DF" w:rsidRDefault="001A18DF" w:rsidP="00F41A2F">
            <w:pPr>
              <w:widowControl/>
              <w:snapToGrid w:val="0"/>
              <w:jc w:val="center"/>
              <w:rPr>
                <w:rFonts w:ascii="宋体" w:hAnsi="宋体"/>
                <w:color w:val="000000"/>
                <w:kern w:val="0"/>
                <w:sz w:val="25"/>
                <w:szCs w:val="24"/>
              </w:rPr>
            </w:pPr>
          </w:p>
        </w:tc>
        <w:tc>
          <w:tcPr>
            <w:tcW w:w="2143" w:type="pct"/>
            <w:tcBorders>
              <w:top w:val="single" w:sz="4" w:space="0" w:color="auto"/>
              <w:left w:val="single" w:sz="4" w:space="0" w:color="auto"/>
              <w:bottom w:val="single" w:sz="4" w:space="0" w:color="auto"/>
              <w:right w:val="single" w:sz="4" w:space="0" w:color="auto"/>
            </w:tcBorders>
            <w:vAlign w:val="center"/>
          </w:tcPr>
          <w:p w14:paraId="4B026616" w14:textId="2DA5C7D3" w:rsidR="001A18DF" w:rsidRDefault="001A18DF" w:rsidP="00F41A2F">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日（含）以上</w:t>
            </w:r>
          </w:p>
        </w:tc>
        <w:tc>
          <w:tcPr>
            <w:tcW w:w="2143" w:type="pct"/>
            <w:tcBorders>
              <w:top w:val="single" w:sz="4" w:space="0" w:color="auto"/>
              <w:left w:val="single" w:sz="4" w:space="0" w:color="auto"/>
              <w:bottom w:val="single" w:sz="4" w:space="0" w:color="auto"/>
              <w:right w:val="single" w:sz="4" w:space="0" w:color="auto"/>
            </w:tcBorders>
            <w:vAlign w:val="center"/>
          </w:tcPr>
          <w:p w14:paraId="36134118" w14:textId="177E3047" w:rsidR="001A18DF" w:rsidRDefault="001A18DF" w:rsidP="001A18DF">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14:paraId="082D835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3、基金管理人可以在基金合同约定的范围内调整费率或收费方式，并最迟应于新的费率或收费方式实施日前依照《信息披露办法》的有关规定在规定媒介上公告。</w:t>
      </w:r>
    </w:p>
    <w:p w14:paraId="5514917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4、当本基金发生大额申购或赎回情形时，基金管理人可以采用摆动定价机制，以确保基金估值的公平性。具体处理原则与操作规范遵循相关法律法规以及监管部门、自律规则的规定。</w:t>
      </w:r>
    </w:p>
    <w:p w14:paraId="111CB16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14:paraId="14CDD6D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（七）申购和赎回的数额和价格</w:t>
      </w:r>
    </w:p>
    <w:p w14:paraId="37B6DE1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14:paraId="7D726A0C" w14:textId="3652D403"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（1）申购的</w:t>
      </w:r>
      <w:r w:rsidR="001A18DF">
        <w:rPr>
          <w:rFonts w:ascii="宋体" w:hAnsi="宋体" w:hint="eastAsia"/>
          <w:sz w:val="24"/>
        </w:rPr>
        <w:t>各</w:t>
      </w:r>
      <w:r>
        <w:rPr>
          <w:rFonts w:ascii="宋体" w:hAnsi="宋体"/>
          <w:sz w:val="24"/>
        </w:rPr>
        <w:t>类基金份额的有效份额为净申购金额除以当日该类基金份额的基金份额净值，有效份额单位为份，申购份额计算结果按四舍五入方法，保留到小数点后2位，由此产生的收益或损失由基金财产承担。</w:t>
      </w:r>
    </w:p>
    <w:p w14:paraId="295B44D3" w14:textId="235FE50D"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sidR="001A18DF">
        <w:rPr>
          <w:rFonts w:ascii="宋体" w:hAnsi="宋体" w:hint="eastAsia"/>
          <w:sz w:val="24"/>
        </w:rPr>
        <w:t>各</w:t>
      </w:r>
      <w:r>
        <w:rPr>
          <w:rFonts w:ascii="宋体" w:hAnsi="宋体"/>
          <w:sz w:val="24"/>
        </w:rPr>
        <w:t>类基金份额的赎回金额为按实际确认的有效赎回份额乘以当日该类基金份额的基金份额净值并扣除相应的费用，赎回金额单位为元。赎回金额计算结果按四舍五入方法，保留到小数点后2位，由此产生的收益或损失由基金财产承担。</w:t>
      </w:r>
    </w:p>
    <w:p w14:paraId="2D6C0CE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2、申购份额的计算</w:t>
      </w:r>
    </w:p>
    <w:p w14:paraId="2536A606" w14:textId="4A7DCCF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w:t>
      </w:r>
      <w:r w:rsidR="001A18DF">
        <w:rPr>
          <w:rFonts w:ascii="宋体" w:hAnsi="宋体" w:hint="eastAsia"/>
          <w:sz w:val="24"/>
        </w:rPr>
        <w:t>和Y类基金份额</w:t>
      </w:r>
      <w:r>
        <w:rPr>
          <w:rFonts w:ascii="宋体" w:hAnsi="宋体"/>
          <w:sz w:val="24"/>
        </w:rPr>
        <w:t>的申购</w:t>
      </w:r>
    </w:p>
    <w:p w14:paraId="3C8BF3F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14:paraId="601A54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14:paraId="6D284DD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14:paraId="3E3F632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申购费用=申购总金额-净申购金额</w:t>
      </w:r>
    </w:p>
    <w:p w14:paraId="20CAFF5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14:paraId="26B3A832" w14:textId="6C0F4FCB"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申购份额=（申购总金额-申购费用）/ T日A类</w:t>
      </w:r>
      <w:r w:rsidR="001A18DF">
        <w:rPr>
          <w:rFonts w:ascii="宋体" w:hAnsi="宋体" w:hint="eastAsia"/>
          <w:sz w:val="24"/>
        </w:rPr>
        <w:t>或Y类</w:t>
      </w:r>
      <w:r>
        <w:rPr>
          <w:rFonts w:ascii="宋体" w:hAnsi="宋体"/>
          <w:sz w:val="24"/>
        </w:rPr>
        <w:t>基金份额净值</w:t>
      </w:r>
    </w:p>
    <w:p w14:paraId="554840FB" w14:textId="30E2E3DD"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例四：某投资者投资100,000元申购本基金的A类基金份额，假设申购当日A类基金份额净值为1.0400元，申购费率为1.2%，则其可得到的申购份额为：</w:t>
      </w:r>
    </w:p>
    <w:p w14:paraId="4FF1CD9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14:paraId="0A686BE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净申购金额=100,000/（1+1.2%）=98,814.23元</w:t>
      </w:r>
    </w:p>
    <w:p w14:paraId="63012FA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申购费用=100,000-98,814.23=1185.77元</w:t>
      </w:r>
    </w:p>
    <w:p w14:paraId="3F8ECBC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申购份额=（100,000-1185.77）/1.0400=95,013.68份</w:t>
      </w:r>
    </w:p>
    <w:p w14:paraId="642B5EA9" w14:textId="0B4C5B59"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即：某投资者投资100,000元申购本基金A类基金份额，假设申购当日A类基金份额净值为1.0400元，则其可得到95,013.68份A类基金份额。</w:t>
      </w:r>
    </w:p>
    <w:p w14:paraId="6EDB7865" w14:textId="6AC581C2"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w:t>
      </w:r>
      <w:r w:rsidR="000E537C">
        <w:rPr>
          <w:rFonts w:ascii="宋体" w:hAnsi="宋体" w:hint="eastAsia"/>
          <w:sz w:val="24"/>
        </w:rPr>
        <w:t>非个人</w:t>
      </w:r>
      <w:r>
        <w:rPr>
          <w:rFonts w:ascii="宋体" w:hAnsi="宋体"/>
          <w:sz w:val="24"/>
        </w:rPr>
        <w:t>养老金客户投资100,000元通过基金管理人的直销柜台申购本</w:t>
      </w:r>
      <w:r>
        <w:rPr>
          <w:rFonts w:ascii="宋体" w:hAnsi="宋体"/>
          <w:sz w:val="24"/>
        </w:rPr>
        <w:lastRenderedPageBreak/>
        <w:t>基金的A类基金份额，假设申购当日A类基金份额净值为1.0400元，申购费率为0.24%，则其可得到的申购份额为：</w:t>
      </w:r>
    </w:p>
    <w:p w14:paraId="74A6B652" w14:textId="547F1449"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14:paraId="3AAD5CE7" w14:textId="7C032614"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净申购金额=100,000/（1+0.24%）=99,760.57元</w:t>
      </w:r>
    </w:p>
    <w:p w14:paraId="27D1E02A" w14:textId="0C047DE3"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申购费用=100,000-99,760.57=239.43元</w:t>
      </w:r>
    </w:p>
    <w:p w14:paraId="3991615B" w14:textId="3EAC7EDA"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申购份额=（100,000-239.43）/1.0400=95,923.63份</w:t>
      </w:r>
    </w:p>
    <w:p w14:paraId="1950BF72" w14:textId="5CACA3BF"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w:t>
      </w:r>
      <w:r w:rsidR="000E537C">
        <w:rPr>
          <w:rFonts w:ascii="宋体" w:hAnsi="宋体" w:hint="eastAsia"/>
          <w:sz w:val="24"/>
        </w:rPr>
        <w:t>非个人</w:t>
      </w:r>
      <w:r>
        <w:rPr>
          <w:rFonts w:ascii="宋体" w:hAnsi="宋体"/>
          <w:sz w:val="24"/>
        </w:rPr>
        <w:t>养老金客户投资100,000元通过基金管理人的直销柜台申购本基金的A类基金份额，假设申购当日A类基金份额净值为1.0400元，则其可得到95,923.63份A类基金份额。</w:t>
      </w:r>
    </w:p>
    <w:p w14:paraId="49CD34A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（2）C类基金份额的申购</w:t>
      </w:r>
    </w:p>
    <w:p w14:paraId="6069EC5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如果投资者选择申购C类基金份额，则申购份额的计算方法如下：</w:t>
      </w:r>
    </w:p>
    <w:p w14:paraId="5A9DBC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14:paraId="7045DEC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申购份额=申购总金额/T日C类基金份额净值</w:t>
      </w:r>
    </w:p>
    <w:p w14:paraId="43804E03" w14:textId="6C7EA838"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例六：某投资者投资100,000元申购本基金的C类基金份额，假设申购当日C类基金份额净值为1.0400元，则其可得到的申购份额为：</w:t>
      </w:r>
    </w:p>
    <w:p w14:paraId="2C3D9B2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申购份额＝100,000/1.0400＝96,153.85份</w:t>
      </w:r>
    </w:p>
    <w:p w14:paraId="5275639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即：投资者投资100,000元申购本基金的C类基金份额，假设申购当日C类基金份额净值为1.0400元，则其可得到96,153.85份C类基金份额。</w:t>
      </w:r>
    </w:p>
    <w:p w14:paraId="7C7A2B1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14:paraId="75D4C528" w14:textId="1B41DFC4"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（1）A类基金份额的赎回</w:t>
      </w:r>
    </w:p>
    <w:p w14:paraId="7E9C96A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如果投资者赎回A类基金份额，则赎回金额的计算方法如下：</w:t>
      </w:r>
    </w:p>
    <w:p w14:paraId="584B65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赎回费用=赎回份额×T日A类基金份额净值×赎回费率</w:t>
      </w:r>
    </w:p>
    <w:p w14:paraId="5F74215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赎回金额=赎回份额×T日A类基金份额净值-赎回费用</w:t>
      </w:r>
    </w:p>
    <w:p w14:paraId="053106B1" w14:textId="1E8724C9"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例七：某投资者赎回100,000份A类基金份额，持有20日，对应的赎回费率为0.3%，假设赎回当日A类基金份额净值是1.0160元，则其可得到的赎回金额为：</w:t>
      </w:r>
    </w:p>
    <w:p w14:paraId="44DA6B3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赎回费用=100,000×1.0160×0.3%＝304.80元</w:t>
      </w:r>
    </w:p>
    <w:p w14:paraId="0A50490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赎回金额=100,000×1.0160-304.80＝101,295.20元</w:t>
      </w:r>
    </w:p>
    <w:p w14:paraId="450DFA1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即：投资者赎回100,000份A类基金份额，对应的赎回费率为0.3%，假设赎回当日A类基金份额净值是1.0160元，则其可得到的赎回金额为101,295.20元。</w:t>
      </w:r>
    </w:p>
    <w:p w14:paraId="444023D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（2）C类基金份额的赎回</w:t>
      </w:r>
    </w:p>
    <w:p w14:paraId="6BAACC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投资者赎回C类基金份额，赎回金额的计算方法如下：</w:t>
      </w:r>
    </w:p>
    <w:p w14:paraId="126631E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赎回费用=赎回份额×T日C类基金份额净值×赎回费率</w:t>
      </w:r>
    </w:p>
    <w:p w14:paraId="759661C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赎回金额=赎回份额×T日C类基金份额净值-赎回费用</w:t>
      </w:r>
    </w:p>
    <w:p w14:paraId="25322C3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例八：某投资者赎回100,000份C类基金份额，持有20日，对应的赎回费率为0.1%，假设赎回当日C类基金份额净值是1.0160元，则其可得到的赎回金额为：</w:t>
      </w:r>
    </w:p>
    <w:p w14:paraId="10D63B6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赎回费用=100,000×1.0160×0.1%＝101.60元</w:t>
      </w:r>
    </w:p>
    <w:p w14:paraId="05B2A67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赎回金额=100,000×1.0160-101.60＝101,498.40元</w:t>
      </w:r>
    </w:p>
    <w:p w14:paraId="31A8928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即：投资者赎回100,000份C类基金份额，对应的赎回费率为0.1%，假设赎回当日C类基金份额净值是1.0160元，则其可得到的赎回金额为101,498.40元。</w:t>
      </w:r>
    </w:p>
    <w:p w14:paraId="6D90A2DC" w14:textId="71E5DD83" w:rsidR="000E537C" w:rsidRPr="000E537C" w:rsidRDefault="000E537C" w:rsidP="000E537C">
      <w:pPr>
        <w:autoSpaceDE w:val="0"/>
        <w:autoSpaceDN w:val="0"/>
        <w:adjustRightInd w:val="0"/>
        <w:snapToGrid w:val="0"/>
        <w:spacing w:line="360" w:lineRule="auto"/>
        <w:ind w:firstLineChars="200" w:firstLine="480"/>
        <w:jc w:val="left"/>
        <w:rPr>
          <w:rFonts w:ascii="宋体" w:hAnsi="宋体"/>
          <w:sz w:val="24"/>
        </w:rPr>
      </w:pPr>
      <w:r w:rsidRPr="000E537C">
        <w:rPr>
          <w:rFonts w:ascii="宋体" w:hAnsi="宋体" w:hint="eastAsia"/>
          <w:sz w:val="24"/>
        </w:rPr>
        <w:t>（</w:t>
      </w:r>
      <w:r>
        <w:rPr>
          <w:rFonts w:ascii="宋体" w:hAnsi="宋体"/>
          <w:sz w:val="24"/>
        </w:rPr>
        <w:t>3</w:t>
      </w:r>
      <w:r w:rsidRPr="000E537C">
        <w:rPr>
          <w:rFonts w:ascii="宋体" w:hAnsi="宋体" w:hint="eastAsia"/>
          <w:sz w:val="24"/>
        </w:rPr>
        <w:t>）</w:t>
      </w:r>
      <w:r>
        <w:rPr>
          <w:rFonts w:ascii="宋体" w:hAnsi="宋体" w:hint="eastAsia"/>
          <w:sz w:val="24"/>
        </w:rPr>
        <w:t>Y</w:t>
      </w:r>
      <w:r w:rsidRPr="000E537C">
        <w:rPr>
          <w:rFonts w:ascii="宋体" w:hAnsi="宋体" w:hint="eastAsia"/>
          <w:sz w:val="24"/>
        </w:rPr>
        <w:t>类基金份额的赎回</w:t>
      </w:r>
    </w:p>
    <w:p w14:paraId="60C4CC21" w14:textId="528EF3B4" w:rsidR="000E537C" w:rsidRPr="000E537C" w:rsidRDefault="000E537C" w:rsidP="000E537C">
      <w:pPr>
        <w:autoSpaceDE w:val="0"/>
        <w:autoSpaceDN w:val="0"/>
        <w:adjustRightInd w:val="0"/>
        <w:snapToGrid w:val="0"/>
        <w:spacing w:line="360" w:lineRule="auto"/>
        <w:ind w:firstLineChars="200" w:firstLine="480"/>
        <w:jc w:val="left"/>
        <w:rPr>
          <w:rFonts w:ascii="宋体" w:hAnsi="宋体"/>
          <w:sz w:val="24"/>
        </w:rPr>
      </w:pPr>
      <w:r w:rsidRPr="000E537C">
        <w:rPr>
          <w:rFonts w:ascii="宋体" w:hAnsi="宋体" w:hint="eastAsia"/>
          <w:sz w:val="24"/>
        </w:rPr>
        <w:t>如果投资者赎回</w:t>
      </w:r>
      <w:r>
        <w:rPr>
          <w:rFonts w:ascii="宋体" w:hAnsi="宋体" w:hint="eastAsia"/>
          <w:sz w:val="24"/>
        </w:rPr>
        <w:t>Y</w:t>
      </w:r>
      <w:r w:rsidRPr="000E537C">
        <w:rPr>
          <w:rFonts w:ascii="宋体" w:hAnsi="宋体" w:hint="eastAsia"/>
          <w:sz w:val="24"/>
        </w:rPr>
        <w:t>类基金份额，则赎回金额的计算方法如下：</w:t>
      </w:r>
    </w:p>
    <w:p w14:paraId="78D7F1B7" w14:textId="71A0F8DD" w:rsidR="000E537C" w:rsidRPr="000E537C" w:rsidRDefault="000E537C" w:rsidP="000E537C">
      <w:pPr>
        <w:autoSpaceDE w:val="0"/>
        <w:autoSpaceDN w:val="0"/>
        <w:adjustRightInd w:val="0"/>
        <w:snapToGrid w:val="0"/>
        <w:spacing w:line="360" w:lineRule="auto"/>
        <w:ind w:firstLineChars="200" w:firstLine="480"/>
        <w:jc w:val="left"/>
        <w:rPr>
          <w:rFonts w:ascii="宋体" w:hAnsi="宋体"/>
          <w:sz w:val="24"/>
        </w:rPr>
      </w:pPr>
      <w:r w:rsidRPr="000E537C">
        <w:rPr>
          <w:rFonts w:ascii="宋体" w:hAnsi="宋体" w:hint="eastAsia"/>
          <w:sz w:val="24"/>
        </w:rPr>
        <w:t>赎回费用=赎回份额×T日</w:t>
      </w:r>
      <w:r>
        <w:rPr>
          <w:rFonts w:ascii="宋体" w:hAnsi="宋体" w:hint="eastAsia"/>
          <w:sz w:val="24"/>
        </w:rPr>
        <w:t>Y</w:t>
      </w:r>
      <w:r w:rsidRPr="000E537C">
        <w:rPr>
          <w:rFonts w:ascii="宋体" w:hAnsi="宋体" w:hint="eastAsia"/>
          <w:sz w:val="24"/>
        </w:rPr>
        <w:t>类基金份额净值×赎回费率</w:t>
      </w:r>
    </w:p>
    <w:p w14:paraId="0F60F09F" w14:textId="7D4D5128" w:rsidR="000E537C" w:rsidRPr="000E537C" w:rsidRDefault="000E537C" w:rsidP="000E537C">
      <w:pPr>
        <w:autoSpaceDE w:val="0"/>
        <w:autoSpaceDN w:val="0"/>
        <w:adjustRightInd w:val="0"/>
        <w:snapToGrid w:val="0"/>
        <w:spacing w:line="360" w:lineRule="auto"/>
        <w:ind w:firstLineChars="200" w:firstLine="480"/>
        <w:jc w:val="left"/>
        <w:rPr>
          <w:rFonts w:ascii="宋体" w:hAnsi="宋体"/>
          <w:sz w:val="24"/>
        </w:rPr>
      </w:pPr>
      <w:r w:rsidRPr="000E537C">
        <w:rPr>
          <w:rFonts w:ascii="宋体" w:hAnsi="宋体" w:hint="eastAsia"/>
          <w:sz w:val="24"/>
        </w:rPr>
        <w:t>赎回金额=赎回份额×T日</w:t>
      </w:r>
      <w:r>
        <w:rPr>
          <w:rFonts w:ascii="宋体" w:hAnsi="宋体" w:hint="eastAsia"/>
          <w:sz w:val="24"/>
        </w:rPr>
        <w:t>Y</w:t>
      </w:r>
      <w:r w:rsidRPr="000E537C">
        <w:rPr>
          <w:rFonts w:ascii="宋体" w:hAnsi="宋体" w:hint="eastAsia"/>
          <w:sz w:val="24"/>
        </w:rPr>
        <w:t>类基金份额净值-赎回费用</w:t>
      </w:r>
    </w:p>
    <w:p w14:paraId="14FBB00C" w14:textId="732539DC" w:rsidR="000E537C" w:rsidRPr="000E537C" w:rsidRDefault="000E537C" w:rsidP="000E537C">
      <w:pPr>
        <w:autoSpaceDE w:val="0"/>
        <w:autoSpaceDN w:val="0"/>
        <w:adjustRightInd w:val="0"/>
        <w:snapToGrid w:val="0"/>
        <w:spacing w:line="360" w:lineRule="auto"/>
        <w:ind w:firstLineChars="200" w:firstLine="480"/>
        <w:jc w:val="left"/>
        <w:rPr>
          <w:rFonts w:ascii="宋体" w:hAnsi="宋体"/>
          <w:sz w:val="24"/>
        </w:rPr>
      </w:pPr>
      <w:r w:rsidRPr="000E537C">
        <w:rPr>
          <w:rFonts w:ascii="宋体" w:hAnsi="宋体" w:hint="eastAsia"/>
          <w:sz w:val="24"/>
        </w:rPr>
        <w:t>例</w:t>
      </w:r>
      <w:r w:rsidR="00F41A2F">
        <w:rPr>
          <w:rFonts w:ascii="宋体" w:hAnsi="宋体" w:hint="eastAsia"/>
          <w:sz w:val="24"/>
        </w:rPr>
        <w:t>九</w:t>
      </w:r>
      <w:r w:rsidRPr="000E537C">
        <w:rPr>
          <w:rFonts w:ascii="宋体" w:hAnsi="宋体" w:hint="eastAsia"/>
          <w:sz w:val="24"/>
        </w:rPr>
        <w:t>：某投资者赎回100,000份</w:t>
      </w:r>
      <w:r w:rsidR="00F41A2F">
        <w:rPr>
          <w:rFonts w:ascii="宋体" w:hAnsi="宋体" w:hint="eastAsia"/>
          <w:sz w:val="24"/>
        </w:rPr>
        <w:t>Y</w:t>
      </w:r>
      <w:r w:rsidRPr="000E537C">
        <w:rPr>
          <w:rFonts w:ascii="宋体" w:hAnsi="宋体" w:hint="eastAsia"/>
          <w:sz w:val="24"/>
        </w:rPr>
        <w:t>类基金份额，持有20日，对应的赎回费率为0，假设赎回当日</w:t>
      </w:r>
      <w:r>
        <w:rPr>
          <w:rFonts w:ascii="宋体" w:hAnsi="宋体" w:hint="eastAsia"/>
          <w:sz w:val="24"/>
        </w:rPr>
        <w:t>Y</w:t>
      </w:r>
      <w:r w:rsidRPr="000E537C">
        <w:rPr>
          <w:rFonts w:ascii="宋体" w:hAnsi="宋体" w:hint="eastAsia"/>
          <w:sz w:val="24"/>
        </w:rPr>
        <w:t>类基金份额净值是1.0160元，则其可得到的赎回金额为：</w:t>
      </w:r>
    </w:p>
    <w:p w14:paraId="169D7D40" w14:textId="006AD7F3" w:rsidR="000E537C" w:rsidRPr="000E537C" w:rsidRDefault="000E537C" w:rsidP="000E537C">
      <w:pPr>
        <w:autoSpaceDE w:val="0"/>
        <w:autoSpaceDN w:val="0"/>
        <w:adjustRightInd w:val="0"/>
        <w:snapToGrid w:val="0"/>
        <w:spacing w:line="360" w:lineRule="auto"/>
        <w:ind w:firstLineChars="200" w:firstLine="480"/>
        <w:jc w:val="left"/>
        <w:rPr>
          <w:rFonts w:ascii="宋体" w:hAnsi="宋体"/>
          <w:sz w:val="24"/>
        </w:rPr>
      </w:pPr>
      <w:r w:rsidRPr="000E537C">
        <w:rPr>
          <w:rFonts w:ascii="宋体" w:hAnsi="宋体" w:hint="eastAsia"/>
          <w:sz w:val="24"/>
        </w:rPr>
        <w:t>赎回费用=100,000×1.0160×0＝0元</w:t>
      </w:r>
    </w:p>
    <w:p w14:paraId="32DABF44" w14:textId="385DB21A" w:rsidR="000E537C" w:rsidRPr="000E537C" w:rsidRDefault="000E537C" w:rsidP="000E537C">
      <w:pPr>
        <w:autoSpaceDE w:val="0"/>
        <w:autoSpaceDN w:val="0"/>
        <w:adjustRightInd w:val="0"/>
        <w:snapToGrid w:val="0"/>
        <w:spacing w:line="360" w:lineRule="auto"/>
        <w:ind w:firstLineChars="200" w:firstLine="480"/>
        <w:jc w:val="left"/>
        <w:rPr>
          <w:rFonts w:ascii="宋体" w:hAnsi="宋体"/>
          <w:sz w:val="24"/>
        </w:rPr>
      </w:pPr>
      <w:r w:rsidRPr="000E537C">
        <w:rPr>
          <w:rFonts w:ascii="宋体" w:hAnsi="宋体" w:hint="eastAsia"/>
          <w:sz w:val="24"/>
        </w:rPr>
        <w:t>赎回金额=100,000×1.0160-0＝101,</w:t>
      </w:r>
      <w:r>
        <w:rPr>
          <w:rFonts w:ascii="宋体" w:hAnsi="宋体"/>
          <w:sz w:val="24"/>
        </w:rPr>
        <w:t>600</w:t>
      </w:r>
      <w:r w:rsidRPr="000E537C">
        <w:rPr>
          <w:rFonts w:ascii="宋体" w:hAnsi="宋体" w:hint="eastAsia"/>
          <w:sz w:val="24"/>
        </w:rPr>
        <w:t>.</w:t>
      </w:r>
      <w:r>
        <w:rPr>
          <w:rFonts w:ascii="宋体" w:hAnsi="宋体"/>
          <w:sz w:val="24"/>
        </w:rPr>
        <w:t>0</w:t>
      </w:r>
      <w:r w:rsidRPr="000E537C">
        <w:rPr>
          <w:rFonts w:ascii="宋体" w:hAnsi="宋体" w:hint="eastAsia"/>
          <w:sz w:val="24"/>
        </w:rPr>
        <w:t>0元</w:t>
      </w:r>
    </w:p>
    <w:p w14:paraId="4EBE2D0C" w14:textId="3892CE69" w:rsidR="000E537C" w:rsidRDefault="000E537C" w:rsidP="000E537C">
      <w:pPr>
        <w:autoSpaceDE w:val="0"/>
        <w:autoSpaceDN w:val="0"/>
        <w:adjustRightInd w:val="0"/>
        <w:snapToGrid w:val="0"/>
        <w:spacing w:line="360" w:lineRule="auto"/>
        <w:ind w:firstLineChars="200" w:firstLine="480"/>
        <w:jc w:val="left"/>
        <w:rPr>
          <w:rFonts w:ascii="宋体" w:hAnsi="宋体"/>
          <w:sz w:val="24"/>
        </w:rPr>
      </w:pPr>
      <w:r w:rsidRPr="000E537C">
        <w:rPr>
          <w:rFonts w:ascii="宋体" w:hAnsi="宋体" w:hint="eastAsia"/>
          <w:sz w:val="24"/>
        </w:rPr>
        <w:t>即：投资者赎回100,000份</w:t>
      </w:r>
      <w:r w:rsidR="00F41A2F">
        <w:rPr>
          <w:rFonts w:ascii="宋体" w:hAnsi="宋体" w:hint="eastAsia"/>
          <w:sz w:val="24"/>
        </w:rPr>
        <w:t>Y</w:t>
      </w:r>
      <w:r w:rsidRPr="000E537C">
        <w:rPr>
          <w:rFonts w:ascii="宋体" w:hAnsi="宋体" w:hint="eastAsia"/>
          <w:sz w:val="24"/>
        </w:rPr>
        <w:t>类基金份额，对应的赎回费率为0，假设赎回当日</w:t>
      </w:r>
      <w:r w:rsidR="00F41A2F">
        <w:rPr>
          <w:rFonts w:ascii="宋体" w:hAnsi="宋体" w:hint="eastAsia"/>
          <w:sz w:val="24"/>
        </w:rPr>
        <w:t>Y</w:t>
      </w:r>
      <w:r w:rsidRPr="000E537C">
        <w:rPr>
          <w:rFonts w:ascii="宋体" w:hAnsi="宋体" w:hint="eastAsia"/>
          <w:sz w:val="24"/>
        </w:rPr>
        <w:t>类基金份额净值是1.0160元，则其可得到的赎回金额为101,</w:t>
      </w:r>
      <w:r>
        <w:rPr>
          <w:rFonts w:ascii="宋体" w:hAnsi="宋体"/>
          <w:sz w:val="24"/>
        </w:rPr>
        <w:t>600</w:t>
      </w:r>
      <w:r w:rsidRPr="000E537C">
        <w:rPr>
          <w:rFonts w:ascii="宋体" w:hAnsi="宋体" w:hint="eastAsia"/>
          <w:sz w:val="24"/>
        </w:rPr>
        <w:t>.</w:t>
      </w:r>
      <w:r>
        <w:rPr>
          <w:rFonts w:ascii="宋体" w:hAnsi="宋体"/>
          <w:sz w:val="24"/>
        </w:rPr>
        <w:t>0</w:t>
      </w:r>
      <w:r w:rsidRPr="000E537C">
        <w:rPr>
          <w:rFonts w:ascii="宋体" w:hAnsi="宋体" w:hint="eastAsia"/>
          <w:sz w:val="24"/>
        </w:rPr>
        <w:t>0元。</w:t>
      </w:r>
    </w:p>
    <w:p w14:paraId="2B09E51D" w14:textId="5F796254" w:rsidR="00877B87" w:rsidRDefault="008116FB" w:rsidP="000E537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4、基金份额净值的计算公式</w:t>
      </w:r>
    </w:p>
    <w:p w14:paraId="35A7597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A类基金份额净值＝A类基金份额的基金资产净值总额/发行在外的A类基金份额总数</w:t>
      </w:r>
    </w:p>
    <w:p w14:paraId="7020BC9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C类基金份额净值＝C类基金份额的基金资产净值总额/发行在外的C类基金份额总数</w:t>
      </w:r>
    </w:p>
    <w:p w14:paraId="5C452C94" w14:textId="36918BC7" w:rsidR="000E537C" w:rsidRDefault="000E537C">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Y</w:t>
      </w:r>
      <w:r w:rsidRPr="000E537C">
        <w:rPr>
          <w:rFonts w:ascii="宋体" w:hAnsi="宋体" w:hint="eastAsia"/>
          <w:sz w:val="24"/>
        </w:rPr>
        <w:t>类基金份额净值＝</w:t>
      </w:r>
      <w:r>
        <w:rPr>
          <w:rFonts w:ascii="宋体" w:hAnsi="宋体" w:hint="eastAsia"/>
          <w:sz w:val="24"/>
        </w:rPr>
        <w:t>Y</w:t>
      </w:r>
      <w:r w:rsidRPr="000E537C">
        <w:rPr>
          <w:rFonts w:ascii="宋体" w:hAnsi="宋体" w:hint="eastAsia"/>
          <w:sz w:val="24"/>
        </w:rPr>
        <w:t>类基金份额的基金资产净值总额/发行在外的</w:t>
      </w:r>
      <w:r>
        <w:rPr>
          <w:rFonts w:ascii="宋体" w:hAnsi="宋体" w:hint="eastAsia"/>
          <w:sz w:val="24"/>
        </w:rPr>
        <w:t>Y</w:t>
      </w:r>
      <w:r w:rsidRPr="000E537C">
        <w:rPr>
          <w:rFonts w:ascii="宋体" w:hAnsi="宋体" w:hint="eastAsia"/>
          <w:sz w:val="24"/>
        </w:rPr>
        <w:t>类基金份额总数</w:t>
      </w:r>
    </w:p>
    <w:p w14:paraId="32F0D9AF" w14:textId="139C4160"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本基金T日的基金份额净值在当天收市后计算，并在T+1日（包括该日）内公告。遇特殊情况，经履行适当程序，可以适当延迟计算或公告。本基金</w:t>
      </w:r>
      <w:r w:rsidR="000E537C">
        <w:rPr>
          <w:rFonts w:ascii="宋体" w:hAnsi="宋体" w:hint="eastAsia"/>
          <w:sz w:val="24"/>
        </w:rPr>
        <w:t>各</w:t>
      </w:r>
      <w:r>
        <w:rPr>
          <w:rFonts w:ascii="宋体" w:hAnsi="宋体"/>
          <w:sz w:val="24"/>
        </w:rPr>
        <w:t>类基金份额的基金份额净值的计算，保留到小数点后4位，小数点后第5位四舍五入，由此产生的收益或损失由基金财产承担。</w:t>
      </w:r>
    </w:p>
    <w:p w14:paraId="5CDBD1C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（八）拒绝或暂停申购的情形</w:t>
      </w:r>
    </w:p>
    <w:p w14:paraId="780BE33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14:paraId="7B195F1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1、因不可抗力导致基金无法正常运作。</w:t>
      </w:r>
    </w:p>
    <w:p w14:paraId="1762F88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2、发生基金合同规定的暂停基金资产估值情况时，基金管理人可暂停接受投资人的申购申请。</w:t>
      </w:r>
    </w:p>
    <w:p w14:paraId="4AE481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3、证券/期货交易所交易时间非正常停市，导致基金管理人无法计算当日基金资产净值。</w:t>
      </w:r>
    </w:p>
    <w:p w14:paraId="3B52532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4、接受某笔或某些申购申请可能会影响或损害现有基金份额持有人利益时。</w:t>
      </w:r>
    </w:p>
    <w:p w14:paraId="604CE60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5、基金资产规模过大，使基金管理人无法找到合适的投资品种，或其他可能对基金业绩产生负面影响，或发生其他损害现有基金份额持有人利益的情形。</w:t>
      </w:r>
    </w:p>
    <w:p w14:paraId="01221CE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6、基金管理人、基金托管人、基金销售机构、基金销售支付结算机构或登记机构的异常情况导致基金销售系统、基金销售支付结算系统、基金注册登记系统或基金会计系统无法正常运行。</w:t>
      </w:r>
    </w:p>
    <w:p w14:paraId="14BB626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7、当前一估值日基金资产净值50%以上的资产出现无可参考的活跃市场价格且采用估值技术仍导致公允价值存在重大不确定性时，经与基金托管人协商确认后，基金管理人应当暂停接受基金申购申请。</w:t>
      </w:r>
    </w:p>
    <w:p w14:paraId="73BB8BE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8、基金管理人接受某笔或者某些申购申请有可能导致单一投资者持有基金份额的比例超过50%，或者变相规避50%集中度的。出现上述情形时，基金管理人有权将上述申购申请全部或部分确认失败。</w:t>
      </w:r>
    </w:p>
    <w:p w14:paraId="7CF3B50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9、法律法规规定、中国证监会认定或基金合同约定的其他情形。</w:t>
      </w:r>
    </w:p>
    <w:p w14:paraId="2C7509D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第1、2、3、5、6、7、9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210742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（九）暂停赎回或延缓支付赎回款项的情形</w:t>
      </w:r>
    </w:p>
    <w:p w14:paraId="2E8BB70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14:paraId="40F924D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1、因不可抗力导致基金管理人不能支付赎回款项。</w:t>
      </w:r>
    </w:p>
    <w:p w14:paraId="310726C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2、发生基金合同规定的暂停基金资产估值情况时，基金管理人可暂停接受投资人的赎回申请或延缓支付赎回款项。</w:t>
      </w:r>
    </w:p>
    <w:p w14:paraId="7A67252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3、证券/期货交易所交易时间非正常停市，导致基金管理人无法计算当日基金资产净值。</w:t>
      </w:r>
    </w:p>
    <w:p w14:paraId="62098EA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4、连续两个或两个以上开放日发生巨额赎回。</w:t>
      </w:r>
    </w:p>
    <w:p w14:paraId="23B37B8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5、发生继续接受赎回申请将损害现有基金份额持有人利益的情形时，基金管理人可暂停接受基金份额持有人的赎回申请。</w:t>
      </w:r>
    </w:p>
    <w:p w14:paraId="3797E85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6、指数编制单位或指数发布机构因异常情况使指数数据无法正常计算、计算错误或发布异常时。</w:t>
      </w:r>
    </w:p>
    <w:p w14:paraId="59B8AE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1CF89E9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8、法律法规规定、中国证监会认定或基金合同约定的其他情形。</w:t>
      </w:r>
    </w:p>
    <w:p w14:paraId="08E8666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情形之一且基金管理人决定暂停接受基金份额持有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56ADB16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（十）巨额赎回的情形及处理方式</w:t>
      </w:r>
    </w:p>
    <w:p w14:paraId="607B551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1、巨额赎回的认定</w:t>
      </w:r>
    </w:p>
    <w:p w14:paraId="767B642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76BE63D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2、巨额赎回的处理方式</w:t>
      </w:r>
    </w:p>
    <w:p w14:paraId="01082A9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31557D8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37BC7144" w14:textId="1E472F40"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w:t>
      </w:r>
      <w:r>
        <w:rPr>
          <w:rFonts w:ascii="宋体" w:hAnsi="宋体"/>
          <w:sz w:val="24"/>
        </w:rPr>
        <w:lastRenderedPageBreak/>
        <w:t>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FC61E5">
        <w:rPr>
          <w:rFonts w:ascii="宋体" w:hAnsi="宋体" w:hint="eastAsia"/>
          <w:sz w:val="24"/>
        </w:rPr>
        <w:t>该类</w:t>
      </w:r>
      <w:r>
        <w:rPr>
          <w:rFonts w:ascii="宋体" w:hAnsi="宋体"/>
          <w:sz w:val="24"/>
        </w:rPr>
        <w:t>基金份额净值为基础计算赎回金额，以此类推，直到全部赎回为止。如投资人在提交赎回申请时未作明确选择，投资人未能赎回部分作自动延期赎回处理。</w:t>
      </w:r>
    </w:p>
    <w:p w14:paraId="535213E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（3）本基金如发生巨额赎回且单个开放日内单个基金份额持有人申请赎回的基金份额超过前一开放日的基金总份额的20%时，本基金管理人有权采取如下措施：</w:t>
      </w:r>
    </w:p>
    <w:p w14:paraId="0ED2977B" w14:textId="6C84BCDD"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FC61E5">
        <w:rPr>
          <w:rFonts w:ascii="宋体" w:hAnsi="宋体" w:hint="eastAsia"/>
          <w:sz w:val="24"/>
        </w:rPr>
        <w:t>该类</w:t>
      </w:r>
      <w:r>
        <w:rPr>
          <w:rFonts w:ascii="宋体" w:hAnsi="宋体"/>
          <w:sz w:val="24"/>
        </w:rPr>
        <w:t>基金份额净值为基础计算赎回金额，以此类推，直到全部赎回为止。</w:t>
      </w:r>
    </w:p>
    <w:p w14:paraId="400A0840" w14:textId="498358BA"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14:paraId="5BEB4C6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6CDFCEE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3、巨额赎回的公告</w:t>
      </w:r>
    </w:p>
    <w:p w14:paraId="6110936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当发生上述巨额赎回并延期办理时，基金管理人应当通过邮寄、传真、刊登公告或者通知销售机构代为告知等方式在3个交易日内通知基金份额持有人，说明有关处理方法，并在2日内在规定媒介上刊登公告。</w:t>
      </w:r>
    </w:p>
    <w:p w14:paraId="53F3FEC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（十一）暂停申购或赎回的公告和重新开放申购或赎回的公告</w:t>
      </w:r>
    </w:p>
    <w:p w14:paraId="52821E1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1、发生上述暂停申购或赎回情况的，基金管理人应在规定期限内在规定媒介上刊登暂停公告。</w:t>
      </w:r>
    </w:p>
    <w:p w14:paraId="64CA281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2、如发生暂停的时间为1日，基金管理人应于重新开放日，在规定媒介上刊登基金重新开放申购或赎回公告，并公布最近1个开放日的各类基金份额净值。</w:t>
      </w:r>
    </w:p>
    <w:p w14:paraId="3A71916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31E36D4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（十二）基金的非交易过户</w:t>
      </w:r>
    </w:p>
    <w:p w14:paraId="7CE4800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6511808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45C8115" w14:textId="77777777" w:rsidR="000E537C" w:rsidRDefault="000E537C">
      <w:pPr>
        <w:autoSpaceDE w:val="0"/>
        <w:autoSpaceDN w:val="0"/>
        <w:adjustRightInd w:val="0"/>
        <w:snapToGrid w:val="0"/>
        <w:spacing w:line="360" w:lineRule="auto"/>
        <w:ind w:firstLineChars="200" w:firstLine="480"/>
        <w:jc w:val="left"/>
        <w:rPr>
          <w:rFonts w:ascii="宋体" w:hAnsi="宋体"/>
          <w:sz w:val="24"/>
        </w:rPr>
      </w:pPr>
      <w:r w:rsidRPr="000E537C">
        <w:rPr>
          <w:rFonts w:ascii="宋体" w:hAnsi="宋体" w:hint="eastAsia"/>
          <w:sz w:val="24"/>
        </w:rPr>
        <w:t>法律法规对Y类基金份额的继承等事项另有规定的，按法律法规的规定执行。</w:t>
      </w:r>
    </w:p>
    <w:p w14:paraId="6B7DE84E" w14:textId="53A67828"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（十三）基金的转托管</w:t>
      </w:r>
    </w:p>
    <w:p w14:paraId="5845E9E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14:paraId="0D2C110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（十四）定期定额投资计划</w:t>
      </w:r>
    </w:p>
    <w:p w14:paraId="6E95EA8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853CEC2" w14:textId="3906EC86"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本基金2020年1月3日刊登公告自2020年1月6日起开通</w:t>
      </w:r>
      <w:r w:rsidR="00557626">
        <w:rPr>
          <w:rFonts w:ascii="宋体" w:hAnsi="宋体" w:hint="eastAsia"/>
          <w:sz w:val="24"/>
        </w:rPr>
        <w:t>A类基金份额和C类基金份额</w:t>
      </w:r>
      <w:r>
        <w:rPr>
          <w:rFonts w:ascii="宋体" w:hAnsi="宋体"/>
          <w:sz w:val="24"/>
        </w:rPr>
        <w:t>定期定额投资计划业务，具体开通销售机构名单和业务规则参见相关公告。</w:t>
      </w:r>
    </w:p>
    <w:p w14:paraId="122FB07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（十五）基金份额的冻结和解冻</w:t>
      </w:r>
    </w:p>
    <w:p w14:paraId="4A924DE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基金登记机构只受理国家有权机关依法要求的基金份额的冻结与解冻，以及登记机构认可、符合法律法规的其他情况下的冻结与解冻。</w:t>
      </w:r>
    </w:p>
    <w:p w14:paraId="69C279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（十六）基金份额的转让</w:t>
      </w:r>
    </w:p>
    <w:p w14:paraId="64BBBEE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19850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（十七）其他业务</w:t>
      </w:r>
    </w:p>
    <w:p w14:paraId="1B42224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53292D65"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DBF5959" w14:textId="77777777" w:rsidR="00877B87" w:rsidRDefault="008116FB">
      <w:pPr>
        <w:pStyle w:val="1"/>
        <w:snapToGrid w:val="0"/>
        <w:spacing w:beforeLines="0" w:before="240" w:after="240"/>
        <w:rPr>
          <w:rFonts w:ascii="宋体" w:hAnsi="宋体"/>
          <w:szCs w:val="30"/>
        </w:rPr>
      </w:pPr>
      <w:bookmarkStart w:id="12" w:name="_Toc177999558"/>
      <w:r>
        <w:rPr>
          <w:rFonts w:ascii="Times New Roman" w:hAnsi="Times New Roman"/>
          <w:sz w:val="30"/>
        </w:rPr>
        <w:lastRenderedPageBreak/>
        <w:t>九、基金的转换</w:t>
      </w:r>
      <w:bookmarkEnd w:id="12"/>
    </w:p>
    <w:p w14:paraId="60D3AD7B"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（一）基金转换</w:t>
      </w:r>
    </w:p>
    <w:p w14:paraId="33B3352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14:paraId="7D0B0177"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（二）转换业务办理时间</w:t>
      </w:r>
    </w:p>
    <w:p w14:paraId="2A442C71" w14:textId="51EDD59E"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本基金2020年1月10日刊登公告自2020年1月13日起开放</w:t>
      </w:r>
      <w:r w:rsidR="002F6265">
        <w:rPr>
          <w:rFonts w:ascii="宋体" w:hAnsi="宋体"/>
          <w:sz w:val="24"/>
        </w:rPr>
        <w:t>A</w:t>
      </w:r>
      <w:r w:rsidR="002F6265">
        <w:rPr>
          <w:rFonts w:ascii="宋体" w:hAnsi="宋体" w:hint="eastAsia"/>
          <w:sz w:val="24"/>
        </w:rPr>
        <w:t>类基金份额、C类基金份额的</w:t>
      </w:r>
      <w:r>
        <w:rPr>
          <w:rFonts w:ascii="宋体" w:hAnsi="宋体"/>
          <w:sz w:val="24"/>
        </w:rPr>
        <w:t>日常转换业务。办理基金间转换的时间为上海证券交易所、深圳证券交易所交易日。若出现新的证券交易市场或交易所交易时间更改或其它原因，基金管理人将视情况进行相应的调整并公告。</w:t>
      </w:r>
    </w:p>
    <w:p w14:paraId="1469A86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346EE1A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本基金转换业务具体开通销售机构名单参见相关公告。</w:t>
      </w:r>
    </w:p>
    <w:p w14:paraId="1CD34971"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（三）基金转换的程序</w:t>
      </w:r>
    </w:p>
    <w:p w14:paraId="70B5270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1、申请方式：书面申请或销售机构公布的其他方式。</w:t>
      </w:r>
    </w:p>
    <w:p w14:paraId="70A6189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2、基金转换申请的确认</w:t>
      </w:r>
    </w:p>
    <w:p w14:paraId="2F0B5BB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正常情况下，T日规定时间受理的申请，注册登记机构在T＋1日内为投资人对该交易的有效性进行确认，在T＋2日后(包括该日)投资人可向销售机构查询转换的确认情况。</w:t>
      </w:r>
    </w:p>
    <w:p w14:paraId="61CA27C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3、基金转换的注册登记</w:t>
      </w:r>
    </w:p>
    <w:p w14:paraId="23644B1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登记机构以收到有效转换申请的当天作为转换申请日（T日）。投资人转换基金成功的，注册登记机构将在T＋1日对投资人T日的基金转换业务申请进行有效性确认，办理转出基金的权益扣除以及转入基金的权益登记，在T＋2日后（包括该日）投资人可向销售机构查询基金转换的成交情况，并有权转换或赎回该部分基金份额。</w:t>
      </w:r>
    </w:p>
    <w:p w14:paraId="59A196BB"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（四）基金转换的数额限制</w:t>
      </w:r>
    </w:p>
    <w:p w14:paraId="27207AE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基金转换以份额为单位进行申请，申请转换份额精确到小数点后两位，小数点</w:t>
      </w:r>
      <w:r>
        <w:rPr>
          <w:rFonts w:ascii="宋体" w:hAnsi="宋体"/>
          <w:sz w:val="24"/>
        </w:rPr>
        <w:lastRenderedPageBreak/>
        <w:t>后两位以后的部分四舍五入，误差部分归基金财产。</w:t>
      </w:r>
    </w:p>
    <w:p w14:paraId="2418744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本基金遵循“份额转换”的原则，单笔转换份额不得低于1份。基金持有人可将其全部或部分基金份额转换成其它基金，单笔转换申请不受转入基金最低申购限额限制。</w:t>
      </w:r>
    </w:p>
    <w:p w14:paraId="593242C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14:paraId="78399F57"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（五）基金转换费用</w:t>
      </w:r>
    </w:p>
    <w:p w14:paraId="55A2C9E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1、每笔基金转换视为一笔赎回和一笔申购，基金转换费用相应由转出基金的赎回费用及转出、转入基金的申购补差费用构成。</w:t>
      </w:r>
    </w:p>
    <w:p w14:paraId="6127D7E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2、转出基金的赎回费用</w:t>
      </w:r>
    </w:p>
    <w:p w14:paraId="50930CA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14:paraId="3459BBB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3、前端收费模式下转出与转入基金的申购补差费用</w:t>
      </w:r>
    </w:p>
    <w:p w14:paraId="7183FD4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14:paraId="6F99634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4、后端收费模式下转出与转入基金的申购补差费用</w:t>
      </w:r>
    </w:p>
    <w:p w14:paraId="6A82F28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w:t>
      </w:r>
      <w:r>
        <w:rPr>
          <w:rFonts w:ascii="宋体" w:hAnsi="宋体"/>
          <w:sz w:val="24"/>
        </w:rPr>
        <w:lastRenderedPageBreak/>
        <w:t>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3C9E635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5、网上直销的申购补差费率优惠</w:t>
      </w:r>
    </w:p>
    <w:p w14:paraId="235582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2272D14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6、本基金管理人可以根据法律法规及基金合同的规定对上述转换费用收费方式和费率进行调整，并应于调整后的收费方式和费率实施前依照《信息披露办法》的有关规定在中国证监会指定媒介上公告。</w:t>
      </w:r>
    </w:p>
    <w:p w14:paraId="29D46113"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（六）基金转换份额的计算公式</w:t>
      </w:r>
    </w:p>
    <w:p w14:paraId="539CD12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1、前端收费模式下基金转换份额的计算公式及举例</w:t>
      </w:r>
    </w:p>
    <w:p w14:paraId="4211527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14:paraId="2D954BA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14:paraId="5384879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14:paraId="1E523C4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转出与转入基金的申购补差费=转入确认金额×对应的转出与转入基金的申购补差费率/（1+对应的转出与转入基金的申购补差费率）</w:t>
      </w:r>
    </w:p>
    <w:p w14:paraId="53DECE1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（注：若转出基金申购费率不低于转入基金申购费率，转出与转入基金的申购补差费为零）</w:t>
      </w:r>
    </w:p>
    <w:p w14:paraId="259492C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对于涉及固定费用的，转出与转入基金的申购补差费＝MAX（0，转出基金和转入基金申购费用之差）</w:t>
      </w:r>
    </w:p>
    <w:p w14:paraId="4FCFE15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14:paraId="75059D6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14:paraId="7374527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14:paraId="508D1F6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14:paraId="50FADA2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例一：某投资者持有交银趋势前端收费模式的A类基金份额100,000份，持有期半年，转换申请当日交银趋势的A类基金份额净值为1.0100元，交银成长的基金份额净值为2.2700元。若该投资者将100,000份交银趋势前端A类基金份额转换为交银成长前端基金份额，则转入交银成长确认的基金份额为：</w:t>
      </w:r>
    </w:p>
    <w:p w14:paraId="42910B2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转出确认金额=100,000×1.0100=101,000元</w:t>
      </w:r>
    </w:p>
    <w:p w14:paraId="516594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转出基金的赎回费=101,000×0.5%=505元</w:t>
      </w:r>
    </w:p>
    <w:p w14:paraId="41115BC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转入确认金额=101,000-505=100,495元</w:t>
      </w:r>
    </w:p>
    <w:p w14:paraId="51FA4E5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转出与转入基金的申购补差费=100,495×0/（1+0）=0元</w:t>
      </w:r>
    </w:p>
    <w:p w14:paraId="0A9C14C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转入基金确认份额=（100,495-0）/2.2700=44,270.93份</w:t>
      </w:r>
    </w:p>
    <w:p w14:paraId="20D6FB5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投资者持有交银增利A类基金份额1,000,000份，持有期一年半，转换申请当日交银增利A类基金份额的基金份额净值为1.0200元，交银趋势的A类基金份额净值为1.0100元。若该投资者将1,000,000份交银增利A类基金份额转换为交银趋势前端A类基金份额，则转入交银趋势确认的A类基金份额为：</w:t>
      </w:r>
    </w:p>
    <w:p w14:paraId="72748CD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转出确认金额=1,000,000×1.0200=1,020,000元</w:t>
      </w:r>
    </w:p>
    <w:p w14:paraId="7C4C37A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转出基金的赎回费=1,020,000×0.05%=510元</w:t>
      </w:r>
    </w:p>
    <w:p w14:paraId="1300AF6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转入确认金额=1,020,000-510=1,019,490元</w:t>
      </w:r>
    </w:p>
    <w:p w14:paraId="1C55EE3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转出与转入基金的申购补差费=1,019,490×0.5%/（1+0.5%）=5,072.09元</w:t>
      </w:r>
    </w:p>
    <w:p w14:paraId="27A1829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转入基金确认份额=（1,019,490-5,072.09）/1.0100=1,004,374.17份</w:t>
      </w:r>
    </w:p>
    <w:p w14:paraId="7A1C7C7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持有交银增利C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14:paraId="31DF498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5E15972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7D540FA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转入确认金额=125,000-0=125,000元</w:t>
      </w:r>
    </w:p>
    <w:p w14:paraId="1CE94FC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转出与转入基金的申购补差费=125,000×1.5%/（1+1.5%）=1,847.29元</w:t>
      </w:r>
    </w:p>
    <w:p w14:paraId="3DA5BA7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转入基金确认份额=（125,000-1,847.29）/2.2700=54,252.30份</w:t>
      </w:r>
    </w:p>
    <w:p w14:paraId="19EE494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持有交银货币A级基金份额100,000份，该100,000份基金份额未结转的待支付收益为61.52元，转换申请当日交银增利A类基金份额净值为1.2700元，交银货币的基金份额净值为1.00元。若该投资者将100,000份交银货币A级基金</w:t>
      </w:r>
      <w:r>
        <w:rPr>
          <w:rFonts w:ascii="宋体" w:hAnsi="宋体"/>
          <w:sz w:val="24"/>
        </w:rPr>
        <w:lastRenderedPageBreak/>
        <w:t>份额转换为交银增利A类基金份额，则转入确认的交银增利A类基金份额为：</w:t>
      </w:r>
    </w:p>
    <w:p w14:paraId="657E2CE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14:paraId="348D099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21B5826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14:paraId="4B588B2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转出与转入基金的申购补差费=100,000×0.8%/（1+0.8%）=793.65元</w:t>
      </w:r>
    </w:p>
    <w:p w14:paraId="1EDE1F1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转入基金确认份额=（100,000-793.65+61.52）/1.2700=78,163.68份</w:t>
      </w:r>
    </w:p>
    <w:p w14:paraId="4A5AC43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2、后端收费模式下基金转换份额的计算公式及举例</w:t>
      </w:r>
    </w:p>
    <w:p w14:paraId="1726412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14:paraId="319F5B5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14:paraId="497F624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14:paraId="36EA49E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w:t>
      </w:r>
    </w:p>
    <w:p w14:paraId="55223C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14:paraId="1D8141B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14:paraId="02C279D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14:paraId="79C8488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14:paraId="13942C3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持有交银主题后端收费模式的A类基金份额100,000份，持有期一年半，转换申请当日交银主题的A类基金份额净值为1.2500元，交银稳健的基金份额净值为2.2700元。若该投资者将100,000份交银主题后端A类基金份额转换为交银稳健后端基金份额，则转入交银稳健确认的基金份额为：</w:t>
      </w:r>
    </w:p>
    <w:p w14:paraId="3670B5B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1CF7D36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14:paraId="6A75A01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14:paraId="3D8B300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转出与转入基金的申购补差费=124,750×0=0元</w:t>
      </w:r>
    </w:p>
    <w:p w14:paraId="1FBE53B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转入基金确认份额=（124,750-0）/2.2700=54,955.95份</w:t>
      </w:r>
    </w:p>
    <w:p w14:paraId="639D43E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例六：某投资者持有交银先锋后端收费模式的A类基金份额100,000份，持有期一年半，转换申请当日交银先锋的A类基金份额净值为1.2500元，交银货币的基金</w:t>
      </w:r>
      <w:r>
        <w:rPr>
          <w:rFonts w:ascii="宋体" w:hAnsi="宋体"/>
          <w:sz w:val="24"/>
        </w:rPr>
        <w:lastRenderedPageBreak/>
        <w:t>份额净值为1.00元。若该投资者将100,000份交银先锋后端A类基金份额转换为交银货币，则转入交银货币的基金份额为：</w:t>
      </w:r>
    </w:p>
    <w:p w14:paraId="2343D5C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7C6C343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14:paraId="5E1BF96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14:paraId="723C7D2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转出与转入基金的申购补差费=124,750×1.2%=1497元</w:t>
      </w:r>
    </w:p>
    <w:p w14:paraId="159AF22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转入基金确认份额=（124,750-1497）/1.00=123,253.00份</w:t>
      </w:r>
    </w:p>
    <w:p w14:paraId="74479A4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14:paraId="79F587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转出确认金额=100,000×0.8500=85,000元</w:t>
      </w:r>
    </w:p>
    <w:p w14:paraId="5B539CB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转出基金的赎回费=85,000×0=0元</w:t>
      </w:r>
    </w:p>
    <w:p w14:paraId="31AFDDF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转入确认金额=85,000-0=85,000元</w:t>
      </w:r>
    </w:p>
    <w:p w14:paraId="42E228A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转出与转入基金的申购补差费=85,000×0.2%=170元</w:t>
      </w:r>
    </w:p>
    <w:p w14:paraId="793DD6F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转入基金确认份额=（85,000-170）/1.0500=80,790.48份</w:t>
      </w:r>
    </w:p>
    <w:p w14:paraId="546DD00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14:paraId="13D34D4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14:paraId="2C486C5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7172283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14:paraId="437EA10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转出与转入基金的申购补差费=100,000×0=0元</w:t>
      </w:r>
    </w:p>
    <w:p w14:paraId="6BF530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转入基金确认份额=（100,000-0+61.52）/1.2700=78,788.60份</w:t>
      </w:r>
    </w:p>
    <w:p w14:paraId="38651567"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（七）业务规则</w:t>
      </w:r>
    </w:p>
    <w:p w14:paraId="18F2F2F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转换只能在同一销售机构进行。转换的两只基金必须都是该销售机构销售的同一基金管理人管理的、在同一注册登记机构处注册登记的基金。投资人办理基金转换业务时，转出方的基金必须处于可赎回状态，转入方的基金必须处于可申购状态。</w:t>
      </w:r>
    </w:p>
    <w:p w14:paraId="3B5F28A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投资人只能在相同收费模式下进行基金转换。前端收费模式的开放式基金只能转换到前端收费模式的其他基金，后端收费模式的基金只能转换到后端收费模式的其他基金。交银货币、债券基金C类基金份额与其他基金之间的转换不受上述收费模式的限制。</w:t>
      </w:r>
    </w:p>
    <w:p w14:paraId="4CA730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3、基金转换采取未知价法，即基金的转换价格以申请受理当日各转出、转入基金的基金份额净值为基础进行计算。（货币市场基金的基金份额净值为固定价1.00元）。</w:t>
      </w:r>
    </w:p>
    <w:p w14:paraId="44E9B66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4、投资人申请转出其账户内货币市场基金的基金份额时，注册登记机构将自动结转该转出份额对应的待支付收益，该收益将一并计入转出金额并折算为转入基金的基金份额，但收益部分不收取转换费用。</w:t>
      </w:r>
    </w:p>
    <w:p w14:paraId="5507B36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5、转换后，转入基金份额的持有时间将重新计算，即转入基金份额的持有期将自转入基金份额被确认日起重新开始计算。</w:t>
      </w:r>
    </w:p>
    <w:p w14:paraId="23799D41"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（八）暂停基金转换</w:t>
      </w:r>
    </w:p>
    <w:p w14:paraId="0B929A9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有关规定也一般适用于暂停基金转换。具体暂停或恢复基金转换的相关业务请详见届时本基金管理人发布的相关公告。</w:t>
      </w:r>
    </w:p>
    <w:p w14:paraId="12421DE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单个开放日，基金净赎回申请份额（该基金赎回申请总份额加上基金转换中转出申请总份额扣除申购申请总份额及基金转换中转入申请总份额后的余额）超过上一日基金总份额的10%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0D81E87C"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BC08E0D" w14:textId="77777777" w:rsidR="00877B87" w:rsidRDefault="008116FB">
      <w:pPr>
        <w:pStyle w:val="1"/>
        <w:snapToGrid w:val="0"/>
        <w:spacing w:beforeLines="0" w:before="240" w:after="240"/>
        <w:rPr>
          <w:rFonts w:ascii="宋体" w:hAnsi="宋体"/>
          <w:szCs w:val="30"/>
        </w:rPr>
      </w:pPr>
      <w:bookmarkStart w:id="13" w:name="_Toc177999559"/>
      <w:r>
        <w:rPr>
          <w:rFonts w:ascii="Times New Roman" w:hAnsi="Times New Roman"/>
          <w:sz w:val="30"/>
        </w:rPr>
        <w:lastRenderedPageBreak/>
        <w:t>十、基金的投资</w:t>
      </w:r>
      <w:bookmarkEnd w:id="13"/>
    </w:p>
    <w:p w14:paraId="35165A9F"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（一）投资目标</w:t>
      </w:r>
    </w:p>
    <w:p w14:paraId="359F4DB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本基金采用指数化投资策略，紧密跟踪创业板50指数，追求跟踪偏离度与跟踪误差最小化。</w:t>
      </w:r>
    </w:p>
    <w:p w14:paraId="3B746787"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（二）投资范围</w:t>
      </w:r>
    </w:p>
    <w:p w14:paraId="7BB472E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创业板50指数的成份股（含存托凭证）及其备选成份股（含存托凭证）、其他股票（含中小板、创业板及其他经中国证监会核准上市的股票、存托凭证）、债券（含国债、央行票据、金融债券、政府支持债券、政府支持机构债券、地方政府债券、企业债券、公司债券、可转换债券（含可分离交易可转换债券的纯债部分）、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w:t>
      </w:r>
    </w:p>
    <w:p w14:paraId="54A989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06FF405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本基金投资于创业板50指数成份股（含存托凭证）及其备选成份股（含存托凭证）的比例不低于基金资产净值的90%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0952F7C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4EF98342"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（三）投资策略</w:t>
      </w:r>
    </w:p>
    <w:p w14:paraId="552D6A9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要采用组合复制策略及适当的替代性策略以更好的跟踪标的指数，实现基金投资目标。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14:paraId="4A6021F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1、组合复制策略</w:t>
      </w:r>
    </w:p>
    <w:p w14:paraId="6503D02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本基金主要采取复制法，即按照标的指数成份股及其权重构建基金的股票投资</w:t>
      </w:r>
      <w:r>
        <w:rPr>
          <w:rFonts w:ascii="宋体" w:hAnsi="宋体"/>
          <w:sz w:val="24"/>
        </w:rPr>
        <w:lastRenderedPageBreak/>
        <w:t>组合，并根据标的指数成份股及其权重的变动对股票投资组合进行相应地调整。</w:t>
      </w:r>
    </w:p>
    <w:p w14:paraId="5E5556B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2、替代性策略</w:t>
      </w:r>
    </w:p>
    <w:p w14:paraId="0AEB74B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对于出现市场流动性不足、因法律法规原因个别成份股被限制投资等情况，导致本基金无法获得足够数量的股票时，基金管理人将通过投资成份股、非成份股、成份股个股衍生品等进行替代。</w:t>
      </w:r>
    </w:p>
    <w:p w14:paraId="05E9044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3、股指期货投资策略</w:t>
      </w:r>
    </w:p>
    <w:p w14:paraId="57558D9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14:paraId="0826322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正常市场情况下，力争控制本基金日均跟踪偏离度的绝对值不超过0.35%，年跟踪误差不超过4%。在条件允许的情况下，本基金也可以适当参与创业板50指数所包含指数成份股以外的其他个股（非标的指数成份股及其备选成份股），以更好地跟踪指数。如因指数编制规则调整或其他因素导致跟踪偏离度和跟踪误差超过上述范围，基金管理人应采取合理措施避免跟踪偏离度、跟踪误差进一步扩大。</w:t>
      </w:r>
    </w:p>
    <w:p w14:paraId="3C5FAB0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4、资产支持证券投资策略</w:t>
      </w:r>
    </w:p>
    <w:p w14:paraId="3D31451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2633A45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5、存托凭证投资策略</w:t>
      </w:r>
    </w:p>
    <w:p w14:paraId="2634B7E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本基金投资存托凭证的策略依照境内上市交易的股票投资策略执行。</w:t>
      </w:r>
    </w:p>
    <w:p w14:paraId="4F7F32D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未来，随着投资工具的发展和丰富，基金管理人可以在不改变投资目标的前提下，相应调整和更新相关投资策略，并在招募说明书中更新，而无需召开基金份额持有人大会。</w:t>
      </w:r>
    </w:p>
    <w:p w14:paraId="5DCF395A"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（四）投资限制</w:t>
      </w:r>
    </w:p>
    <w:p w14:paraId="71D80F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14:paraId="08CC321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14:paraId="1CAB052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（1）本基金投资于创业板50指数成份股（含存托凭证）及其备选成份股（含</w:t>
      </w:r>
      <w:r>
        <w:rPr>
          <w:rFonts w:ascii="宋体" w:hAnsi="宋体"/>
          <w:sz w:val="24"/>
        </w:rPr>
        <w:lastRenderedPageBreak/>
        <w:t>存托凭证）的比例不低于基金资产净值的90%；</w:t>
      </w:r>
    </w:p>
    <w:p w14:paraId="67F1B71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3F097B8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（3）本基金投资于同一原始权益人的各类资产支持证券的比例，不得超过基金资产净值的10％；</w:t>
      </w:r>
    </w:p>
    <w:p w14:paraId="69D45D7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（4）本基金持有的全部资产支持证券，其市值不得超过基金资产净值的20％；</w:t>
      </w:r>
    </w:p>
    <w:p w14:paraId="1312179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（5）本基金持有的同一（指同一信用级别）资产支持证券的比例，不得超过该资产支持证券规模的10％；</w:t>
      </w:r>
    </w:p>
    <w:p w14:paraId="381EC2C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（6）本基金管理人管理的全部基金投资于同一原始权益人的各类资产支持证券，不得超过其各类资产支持证券合计规模的10％；</w:t>
      </w:r>
    </w:p>
    <w:p w14:paraId="0F2359D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（7）本基金应投资于信用级别评级为BBB以上（含BBB）的资产支持证券。基金持有资产支持证券期间，如果其信用等级下降、不再符合投资标准，应在评级报告发布之日起3个月内予以全部卖出；</w:t>
      </w:r>
    </w:p>
    <w:p w14:paraId="5A3A1EC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（8）基金财产参与股票发行申购，本基金所申报的金额不超过本基金的总资产，本基金所申报的股票数量不超过拟发行股票公司本次发行股票的总量；</w:t>
      </w:r>
    </w:p>
    <w:p w14:paraId="02BC002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（9）本基金进入全国银行间同业市场进行债券回购的资金余额不得超过基金资产净值的40%，进入全国银行间同业市场进行债券回购的最长期限为1年，债券回购到期后不得展期；</w:t>
      </w:r>
    </w:p>
    <w:p w14:paraId="015DB62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03229B1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（11）本基金与私募类证券资管产品及中国证监会认定的其他主体为交易对手开展逆回购交易的，可接受质押品的资质要求应当与基金合同约定的投资范围保持一致；</w:t>
      </w:r>
    </w:p>
    <w:p w14:paraId="61A3A6E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（12）本基金资产总值不超过基金资产净值的140%；</w:t>
      </w:r>
    </w:p>
    <w:p w14:paraId="5E478AF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（13）本基金参与股指期货交易，则：</w:t>
      </w:r>
    </w:p>
    <w:p w14:paraId="79AA7FD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1）本基金在任何交易日日终，持有的买入股指期货合约价值，不得超过基金</w:t>
      </w:r>
      <w:r>
        <w:rPr>
          <w:rFonts w:ascii="宋体" w:hAnsi="宋体"/>
          <w:sz w:val="24"/>
        </w:rPr>
        <w:lastRenderedPageBreak/>
        <w:t>资产净值的10%；</w:t>
      </w:r>
    </w:p>
    <w:p w14:paraId="1CF6523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30BCC10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3）本基金在任何交易日日终，持有的卖出股指期货合约价值不得超过基金持有的股票总市值的20%；</w:t>
      </w:r>
    </w:p>
    <w:p w14:paraId="5444FF9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4）本基金所持有的股票市值和买入、卖出股指期货合约价值，合计（轧差计算）应当符合基金合同关于股票投资比例的有关约定；</w:t>
      </w:r>
    </w:p>
    <w:p w14:paraId="760EB8A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14:paraId="2DCE7BE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（14）本基金投资存托凭证的比例限制依照境内上市交易的股票执行；</w:t>
      </w:r>
    </w:p>
    <w:p w14:paraId="6573ADA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（15）法律法规及中国证监会规定的和《基金合同》约定的其他投资限制。</w:t>
      </w:r>
    </w:p>
    <w:p w14:paraId="21DA832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2）、（7）、（10）、（11）情形之外，因证券、期货市场波动、证券发行人合并、基金规模变动、标的指数成份股及/或权重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14:paraId="56E5C5E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47E545B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14:paraId="41B07CC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14:paraId="2AAFF5C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14:paraId="3B75779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14:paraId="2479A59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14:paraId="69D23B2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14:paraId="4133B12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14:paraId="771F7C7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（5）向其基金管理人、基金托管人出资；</w:t>
      </w:r>
    </w:p>
    <w:p w14:paraId="0DF762B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14:paraId="6691B1E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14:paraId="7E6305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7D3C88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14:paraId="52C13AE9"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（五）业绩比较基准</w:t>
      </w:r>
    </w:p>
    <w:p w14:paraId="59FDE23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本基金业绩比较基准：创业板50指数收益率×95%＋人民币银行活期存款利率（税后）×5%</w:t>
      </w:r>
    </w:p>
    <w:p w14:paraId="7BDD706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w:t>
      </w:r>
    </w:p>
    <w:p w14:paraId="792E711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05B47C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若基金标的指数发生变更，基金业绩比较基准随之变更，由基金管理人根据标的指数变更情形履行对应适当程序，并在调整实施前依照《信息披露办法》的有关规定在中国证监会指定媒介上刊登公告。</w:t>
      </w:r>
    </w:p>
    <w:p w14:paraId="780622AD"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（六）风险收益特征</w:t>
      </w:r>
    </w:p>
    <w:p w14:paraId="1E6D51C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本基金是一只股票型基金，其预期风险和预期收益高于混合型基金、债券型基金和货币市场基金。</w:t>
      </w:r>
    </w:p>
    <w:p w14:paraId="62E69D0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本基金为指数型基金，主要采用组合复制策略及适当的替代性策略跟踪创业板50指数，具有与标的指数以及标的指数所代表的股票市场相似的风险收益特征。</w:t>
      </w:r>
    </w:p>
    <w:p w14:paraId="4423D530"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（七）基金管理人代表基金行使股东或债权人权利的处理原则及方法</w:t>
      </w:r>
    </w:p>
    <w:p w14:paraId="2DB667A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1、基金管理人按照国家有关规定代表基金独立行使股东或债权人权利，保护基金份额持有人的利益；</w:t>
      </w:r>
    </w:p>
    <w:p w14:paraId="49B2797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2、不谋求对上市公司的控股；</w:t>
      </w:r>
    </w:p>
    <w:p w14:paraId="5EEB566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3、有利于基金财产的安全与增值；</w:t>
      </w:r>
    </w:p>
    <w:p w14:paraId="055E64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4、不通过关联交易为自身、雇员、授权代理人或任何存在利害关系的第三人牟取任何不当利益。</w:t>
      </w:r>
    </w:p>
    <w:p w14:paraId="113F1CCA"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（八）基金投资组合报告</w:t>
      </w:r>
    </w:p>
    <w:p w14:paraId="3D40228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本基金托管人招商银行股份有限公司根据本基金合同规定，于2024年07月17日复核了本报告中的财务指标、净值表现和投资组合报告等内容，保证复核内容不存在虚假记载、误导性陈述或者重大遗漏。</w:t>
      </w:r>
    </w:p>
    <w:p w14:paraId="6079C19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本报告期自2024年04月01日起至06月30日。本报告财务资料未经审计师审计。</w:t>
      </w:r>
    </w:p>
    <w:p w14:paraId="3A05170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1、报告期末基金资产组合情况</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877B87" w14:paraId="3EAD26D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70501D9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C8CD5D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1F58A93"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53D21CF1"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877B87" w14:paraId="7DFB2E4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3B7BF0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0B29315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14:paraId="465775E1"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2,975,322,602.85</w:t>
            </w:r>
          </w:p>
        </w:tc>
        <w:tc>
          <w:tcPr>
            <w:tcW w:w="400" w:type="pct"/>
            <w:tcBorders>
              <w:top w:val="single" w:sz="4" w:space="0" w:color="auto"/>
              <w:left w:val="single" w:sz="4" w:space="0" w:color="auto"/>
              <w:bottom w:val="single" w:sz="4" w:space="0" w:color="auto"/>
              <w:right w:val="single" w:sz="4" w:space="0" w:color="auto"/>
            </w:tcBorders>
            <w:vAlign w:val="center"/>
          </w:tcPr>
          <w:p w14:paraId="2452225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91.67</w:t>
            </w:r>
          </w:p>
        </w:tc>
      </w:tr>
      <w:tr w:rsidR="00877B87" w14:paraId="7825095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82B441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1EE1032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14:paraId="394290E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2,975,322,602.85</w:t>
            </w:r>
          </w:p>
        </w:tc>
        <w:tc>
          <w:tcPr>
            <w:tcW w:w="400" w:type="pct"/>
            <w:tcBorders>
              <w:top w:val="single" w:sz="4" w:space="0" w:color="auto"/>
              <w:left w:val="single" w:sz="4" w:space="0" w:color="auto"/>
              <w:bottom w:val="single" w:sz="4" w:space="0" w:color="auto"/>
              <w:right w:val="single" w:sz="4" w:space="0" w:color="auto"/>
            </w:tcBorders>
            <w:vAlign w:val="center"/>
          </w:tcPr>
          <w:p w14:paraId="49BD244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91.67</w:t>
            </w:r>
          </w:p>
        </w:tc>
      </w:tr>
      <w:tr w:rsidR="00877B87" w14:paraId="61E1A95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FE410C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2B64180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14:paraId="39FAA2CE"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F447FA4"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21FF23C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92B5F7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7FFAAD7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14:paraId="4EDDF93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15,742,033.56</w:t>
            </w:r>
          </w:p>
        </w:tc>
        <w:tc>
          <w:tcPr>
            <w:tcW w:w="400" w:type="pct"/>
            <w:tcBorders>
              <w:top w:val="single" w:sz="4" w:space="0" w:color="auto"/>
              <w:left w:val="single" w:sz="4" w:space="0" w:color="auto"/>
              <w:bottom w:val="single" w:sz="4" w:space="0" w:color="auto"/>
              <w:right w:val="single" w:sz="4" w:space="0" w:color="auto"/>
            </w:tcBorders>
            <w:vAlign w:val="center"/>
          </w:tcPr>
          <w:p w14:paraId="34AE6901"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0.49</w:t>
            </w:r>
          </w:p>
        </w:tc>
      </w:tr>
      <w:tr w:rsidR="00877B87" w14:paraId="53A77EC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40C700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7C324AC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14:paraId="306BA1C4"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15,742,033.56</w:t>
            </w:r>
          </w:p>
        </w:tc>
        <w:tc>
          <w:tcPr>
            <w:tcW w:w="400" w:type="pct"/>
            <w:tcBorders>
              <w:top w:val="single" w:sz="4" w:space="0" w:color="auto"/>
              <w:left w:val="single" w:sz="4" w:space="0" w:color="auto"/>
              <w:bottom w:val="single" w:sz="4" w:space="0" w:color="auto"/>
              <w:right w:val="single" w:sz="4" w:space="0" w:color="auto"/>
            </w:tcBorders>
            <w:vAlign w:val="center"/>
          </w:tcPr>
          <w:p w14:paraId="2C299E37"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0.49</w:t>
            </w:r>
          </w:p>
        </w:tc>
      </w:tr>
      <w:tr w:rsidR="00877B87" w14:paraId="53BF0E3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BB8114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3F7BC15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14:paraId="09B4D357"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91C74F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7FB0986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390B3D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414FF58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14:paraId="338A2AC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697269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138CAEA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4D41CB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485F267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sz="4" w:space="0" w:color="auto"/>
              <w:left w:val="single" w:sz="4" w:space="0" w:color="auto"/>
              <w:bottom w:val="single" w:sz="4" w:space="0" w:color="auto"/>
              <w:right w:val="single" w:sz="4" w:space="0" w:color="auto"/>
            </w:tcBorders>
            <w:vAlign w:val="center"/>
          </w:tcPr>
          <w:p w14:paraId="0552CE91"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4CB3A6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16C5CBF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71514B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1EC84E0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0565459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92AB747"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674256B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D2EFD9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4EC3D73C"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4A24EDEA"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5C8110A"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497CD39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706940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5268FA8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14:paraId="205FD2CE"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250,689,296.25</w:t>
            </w:r>
          </w:p>
        </w:tc>
        <w:tc>
          <w:tcPr>
            <w:tcW w:w="400" w:type="pct"/>
            <w:tcBorders>
              <w:top w:val="single" w:sz="4" w:space="0" w:color="auto"/>
              <w:left w:val="single" w:sz="4" w:space="0" w:color="auto"/>
              <w:bottom w:val="single" w:sz="4" w:space="0" w:color="auto"/>
              <w:right w:val="single" w:sz="4" w:space="0" w:color="auto"/>
            </w:tcBorders>
            <w:vAlign w:val="center"/>
          </w:tcPr>
          <w:p w14:paraId="1726E07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7.72</w:t>
            </w:r>
          </w:p>
        </w:tc>
      </w:tr>
      <w:tr w:rsidR="00877B87" w14:paraId="28A4D48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4CF57A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3163445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14:paraId="4840A14E"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3,886,134.72</w:t>
            </w:r>
          </w:p>
        </w:tc>
        <w:tc>
          <w:tcPr>
            <w:tcW w:w="400" w:type="pct"/>
            <w:tcBorders>
              <w:top w:val="single" w:sz="4" w:space="0" w:color="auto"/>
              <w:left w:val="single" w:sz="4" w:space="0" w:color="auto"/>
              <w:bottom w:val="single" w:sz="4" w:space="0" w:color="auto"/>
              <w:right w:val="single" w:sz="4" w:space="0" w:color="auto"/>
            </w:tcBorders>
            <w:vAlign w:val="center"/>
          </w:tcPr>
          <w:p w14:paraId="72790AEB"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0.12</w:t>
            </w:r>
          </w:p>
        </w:tc>
      </w:tr>
      <w:tr w:rsidR="00877B87" w14:paraId="4FE7D35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67B16BD"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4B24319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469055E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3,245,640,067.38</w:t>
            </w:r>
          </w:p>
        </w:tc>
        <w:tc>
          <w:tcPr>
            <w:tcW w:w="400" w:type="pct"/>
            <w:tcBorders>
              <w:top w:val="single" w:sz="4" w:space="0" w:color="auto"/>
              <w:left w:val="single" w:sz="4" w:space="0" w:color="auto"/>
              <w:bottom w:val="single" w:sz="4" w:space="0" w:color="auto"/>
              <w:right w:val="single" w:sz="4" w:space="0" w:color="auto"/>
            </w:tcBorders>
            <w:vAlign w:val="center"/>
          </w:tcPr>
          <w:p w14:paraId="2A3BB6FD"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14:paraId="0BA46D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2、报告期末按行业分类的股票投资组合</w:t>
      </w:r>
    </w:p>
    <w:p w14:paraId="3E00219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 报告期末指数投资按行业分类的境内股票投资组合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877B87" w14:paraId="4ADE40E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26167D6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7D6559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049EC5B9"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5A13F65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p>
        </w:tc>
      </w:tr>
      <w:tr w:rsidR="00877B87" w14:paraId="57DE6F3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B6D64F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sz="4" w:space="0" w:color="auto"/>
              <w:left w:val="single" w:sz="4" w:space="0" w:color="auto"/>
              <w:bottom w:val="single" w:sz="4" w:space="0" w:color="auto"/>
              <w:right w:val="single" w:sz="4" w:space="0" w:color="auto"/>
            </w:tcBorders>
            <w:vAlign w:val="center"/>
          </w:tcPr>
          <w:p w14:paraId="3EC8342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sz="4" w:space="0" w:color="auto"/>
              <w:left w:val="single" w:sz="4" w:space="0" w:color="auto"/>
              <w:bottom w:val="single" w:sz="4" w:space="0" w:color="auto"/>
              <w:right w:val="single" w:sz="4" w:space="0" w:color="auto"/>
            </w:tcBorders>
            <w:vAlign w:val="center"/>
          </w:tcPr>
          <w:p w14:paraId="2185616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4F6B73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5134008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B5CCB4D"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sz="4" w:space="0" w:color="auto"/>
              <w:left w:val="single" w:sz="4" w:space="0" w:color="auto"/>
              <w:bottom w:val="single" w:sz="4" w:space="0" w:color="auto"/>
              <w:right w:val="single" w:sz="4" w:space="0" w:color="auto"/>
            </w:tcBorders>
            <w:vAlign w:val="center"/>
          </w:tcPr>
          <w:p w14:paraId="01EFFF4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sz="4" w:space="0" w:color="auto"/>
              <w:left w:val="single" w:sz="4" w:space="0" w:color="auto"/>
              <w:bottom w:val="single" w:sz="4" w:space="0" w:color="auto"/>
              <w:right w:val="single" w:sz="4" w:space="0" w:color="auto"/>
            </w:tcBorders>
            <w:vAlign w:val="center"/>
          </w:tcPr>
          <w:p w14:paraId="6F21D488"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FE3620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4B01C0B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3061DF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sz="4" w:space="0" w:color="auto"/>
              <w:left w:val="single" w:sz="4" w:space="0" w:color="auto"/>
              <w:bottom w:val="single" w:sz="4" w:space="0" w:color="auto"/>
              <w:right w:val="single" w:sz="4" w:space="0" w:color="auto"/>
            </w:tcBorders>
            <w:vAlign w:val="center"/>
          </w:tcPr>
          <w:p w14:paraId="2CB8EA3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sz="4" w:space="0" w:color="auto"/>
              <w:left w:val="single" w:sz="4" w:space="0" w:color="auto"/>
              <w:bottom w:val="single" w:sz="4" w:space="0" w:color="auto"/>
              <w:right w:val="single" w:sz="4" w:space="0" w:color="auto"/>
            </w:tcBorders>
            <w:vAlign w:val="center"/>
          </w:tcPr>
          <w:p w14:paraId="4CFE3D7C"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2,388,362,534.54</w:t>
            </w:r>
          </w:p>
        </w:tc>
        <w:tc>
          <w:tcPr>
            <w:tcW w:w="400" w:type="pct"/>
            <w:tcBorders>
              <w:top w:val="single" w:sz="4" w:space="0" w:color="auto"/>
              <w:left w:val="single" w:sz="4" w:space="0" w:color="auto"/>
              <w:bottom w:val="single" w:sz="4" w:space="0" w:color="auto"/>
              <w:right w:val="single" w:sz="4" w:space="0" w:color="auto"/>
            </w:tcBorders>
            <w:vAlign w:val="center"/>
          </w:tcPr>
          <w:p w14:paraId="5089A167"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74.59</w:t>
            </w:r>
          </w:p>
        </w:tc>
      </w:tr>
      <w:tr w:rsidR="00877B87" w14:paraId="30E5A10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D4AED39"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sz="4" w:space="0" w:color="auto"/>
              <w:left w:val="single" w:sz="4" w:space="0" w:color="auto"/>
              <w:bottom w:val="single" w:sz="4" w:space="0" w:color="auto"/>
              <w:right w:val="single" w:sz="4" w:space="0" w:color="auto"/>
            </w:tcBorders>
            <w:vAlign w:val="center"/>
          </w:tcPr>
          <w:p w14:paraId="5E7B54C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sz="4" w:space="0" w:color="auto"/>
              <w:left w:val="single" w:sz="4" w:space="0" w:color="auto"/>
              <w:bottom w:val="single" w:sz="4" w:space="0" w:color="auto"/>
              <w:right w:val="single" w:sz="4" w:space="0" w:color="auto"/>
            </w:tcBorders>
            <w:vAlign w:val="center"/>
          </w:tcPr>
          <w:p w14:paraId="3C707BE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24D774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3C735B6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45F794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E</w:t>
            </w:r>
          </w:p>
        </w:tc>
        <w:tc>
          <w:tcPr>
            <w:tcW w:w="750" w:type="pct"/>
            <w:tcBorders>
              <w:top w:val="single" w:sz="4" w:space="0" w:color="auto"/>
              <w:left w:val="single" w:sz="4" w:space="0" w:color="auto"/>
              <w:bottom w:val="single" w:sz="4" w:space="0" w:color="auto"/>
              <w:right w:val="single" w:sz="4" w:space="0" w:color="auto"/>
            </w:tcBorders>
            <w:vAlign w:val="center"/>
          </w:tcPr>
          <w:p w14:paraId="0DBBD283"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sz="4" w:space="0" w:color="auto"/>
              <w:left w:val="single" w:sz="4" w:space="0" w:color="auto"/>
              <w:bottom w:val="single" w:sz="4" w:space="0" w:color="auto"/>
              <w:right w:val="single" w:sz="4" w:space="0" w:color="auto"/>
            </w:tcBorders>
            <w:vAlign w:val="center"/>
          </w:tcPr>
          <w:p w14:paraId="7987B70A"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685F77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520B261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0859F8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sz="4" w:space="0" w:color="auto"/>
              <w:left w:val="single" w:sz="4" w:space="0" w:color="auto"/>
              <w:bottom w:val="single" w:sz="4" w:space="0" w:color="auto"/>
              <w:right w:val="single" w:sz="4" w:space="0" w:color="auto"/>
            </w:tcBorders>
            <w:vAlign w:val="center"/>
          </w:tcPr>
          <w:p w14:paraId="11470C7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sz="4" w:space="0" w:color="auto"/>
              <w:left w:val="single" w:sz="4" w:space="0" w:color="auto"/>
              <w:bottom w:val="single" w:sz="4" w:space="0" w:color="auto"/>
              <w:right w:val="single" w:sz="4" w:space="0" w:color="auto"/>
            </w:tcBorders>
            <w:vAlign w:val="center"/>
          </w:tcPr>
          <w:p w14:paraId="6DB4F635"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256411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536EFFE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0C0C59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sz="4" w:space="0" w:color="auto"/>
              <w:left w:val="single" w:sz="4" w:space="0" w:color="auto"/>
              <w:bottom w:val="single" w:sz="4" w:space="0" w:color="auto"/>
              <w:right w:val="single" w:sz="4" w:space="0" w:color="auto"/>
            </w:tcBorders>
            <w:vAlign w:val="center"/>
          </w:tcPr>
          <w:p w14:paraId="4E6973D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sz="4" w:space="0" w:color="auto"/>
              <w:left w:val="single" w:sz="4" w:space="0" w:color="auto"/>
              <w:bottom w:val="single" w:sz="4" w:space="0" w:color="auto"/>
              <w:right w:val="single" w:sz="4" w:space="0" w:color="auto"/>
            </w:tcBorders>
            <w:vAlign w:val="center"/>
          </w:tcPr>
          <w:p w14:paraId="3E8E099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A1219A7"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47430A5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45CDBE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H</w:t>
            </w:r>
          </w:p>
        </w:tc>
        <w:tc>
          <w:tcPr>
            <w:tcW w:w="750" w:type="pct"/>
            <w:tcBorders>
              <w:top w:val="single" w:sz="4" w:space="0" w:color="auto"/>
              <w:left w:val="single" w:sz="4" w:space="0" w:color="auto"/>
              <w:bottom w:val="single" w:sz="4" w:space="0" w:color="auto"/>
              <w:right w:val="single" w:sz="4" w:space="0" w:color="auto"/>
            </w:tcBorders>
            <w:vAlign w:val="center"/>
          </w:tcPr>
          <w:p w14:paraId="596DC8B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sz="4" w:space="0" w:color="auto"/>
              <w:left w:val="single" w:sz="4" w:space="0" w:color="auto"/>
              <w:bottom w:val="single" w:sz="4" w:space="0" w:color="auto"/>
              <w:right w:val="single" w:sz="4" w:space="0" w:color="auto"/>
            </w:tcBorders>
            <w:vAlign w:val="center"/>
          </w:tcPr>
          <w:p w14:paraId="63BB235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D46FC2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528820E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1F0F768"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I</w:t>
            </w:r>
          </w:p>
        </w:tc>
        <w:tc>
          <w:tcPr>
            <w:tcW w:w="750" w:type="pct"/>
            <w:tcBorders>
              <w:top w:val="single" w:sz="4" w:space="0" w:color="auto"/>
              <w:left w:val="single" w:sz="4" w:space="0" w:color="auto"/>
              <w:bottom w:val="single" w:sz="4" w:space="0" w:color="auto"/>
              <w:right w:val="single" w:sz="4" w:space="0" w:color="auto"/>
            </w:tcBorders>
            <w:vAlign w:val="center"/>
          </w:tcPr>
          <w:p w14:paraId="4450536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589BA127"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198,418,826.15</w:t>
            </w:r>
          </w:p>
        </w:tc>
        <w:tc>
          <w:tcPr>
            <w:tcW w:w="400" w:type="pct"/>
            <w:tcBorders>
              <w:top w:val="single" w:sz="4" w:space="0" w:color="auto"/>
              <w:left w:val="single" w:sz="4" w:space="0" w:color="auto"/>
              <w:bottom w:val="single" w:sz="4" w:space="0" w:color="auto"/>
              <w:right w:val="single" w:sz="4" w:space="0" w:color="auto"/>
            </w:tcBorders>
            <w:vAlign w:val="center"/>
          </w:tcPr>
          <w:p w14:paraId="65824B1A"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6.20</w:t>
            </w:r>
          </w:p>
        </w:tc>
      </w:tr>
      <w:tr w:rsidR="00877B87" w14:paraId="2B2AB95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B630C71"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sz="4" w:space="0" w:color="auto"/>
              <w:left w:val="single" w:sz="4" w:space="0" w:color="auto"/>
              <w:bottom w:val="single" w:sz="4" w:space="0" w:color="auto"/>
              <w:right w:val="single" w:sz="4" w:space="0" w:color="auto"/>
            </w:tcBorders>
            <w:vAlign w:val="center"/>
          </w:tcPr>
          <w:p w14:paraId="31E132A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sz="4" w:space="0" w:color="auto"/>
              <w:left w:val="single" w:sz="4" w:space="0" w:color="auto"/>
              <w:bottom w:val="single" w:sz="4" w:space="0" w:color="auto"/>
              <w:right w:val="single" w:sz="4" w:space="0" w:color="auto"/>
            </w:tcBorders>
            <w:vAlign w:val="center"/>
          </w:tcPr>
          <w:p w14:paraId="2761F8B5"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251,673,323.36</w:t>
            </w:r>
          </w:p>
        </w:tc>
        <w:tc>
          <w:tcPr>
            <w:tcW w:w="400" w:type="pct"/>
            <w:tcBorders>
              <w:top w:val="single" w:sz="4" w:space="0" w:color="auto"/>
              <w:left w:val="single" w:sz="4" w:space="0" w:color="auto"/>
              <w:bottom w:val="single" w:sz="4" w:space="0" w:color="auto"/>
              <w:right w:val="single" w:sz="4" w:space="0" w:color="auto"/>
            </w:tcBorders>
            <w:vAlign w:val="center"/>
          </w:tcPr>
          <w:p w14:paraId="748EF3C5"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7.86</w:t>
            </w:r>
          </w:p>
        </w:tc>
      </w:tr>
      <w:tr w:rsidR="00877B87" w14:paraId="35CC829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115F4B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sz="4" w:space="0" w:color="auto"/>
              <w:left w:val="single" w:sz="4" w:space="0" w:color="auto"/>
              <w:bottom w:val="single" w:sz="4" w:space="0" w:color="auto"/>
              <w:right w:val="single" w:sz="4" w:space="0" w:color="auto"/>
            </w:tcBorders>
            <w:vAlign w:val="center"/>
          </w:tcPr>
          <w:p w14:paraId="625AA2D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sz="4" w:space="0" w:color="auto"/>
              <w:left w:val="single" w:sz="4" w:space="0" w:color="auto"/>
              <w:bottom w:val="single" w:sz="4" w:space="0" w:color="auto"/>
              <w:right w:val="single" w:sz="4" w:space="0" w:color="auto"/>
            </w:tcBorders>
            <w:vAlign w:val="center"/>
          </w:tcPr>
          <w:p w14:paraId="4A26FEEE"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50ED9F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7407B25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1BBAF7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sz="4" w:space="0" w:color="auto"/>
              <w:left w:val="single" w:sz="4" w:space="0" w:color="auto"/>
              <w:bottom w:val="single" w:sz="4" w:space="0" w:color="auto"/>
              <w:right w:val="single" w:sz="4" w:space="0" w:color="auto"/>
            </w:tcBorders>
            <w:vAlign w:val="center"/>
          </w:tcPr>
          <w:p w14:paraId="1847D17C"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sz="4" w:space="0" w:color="auto"/>
              <w:left w:val="single" w:sz="4" w:space="0" w:color="auto"/>
              <w:bottom w:val="single" w:sz="4" w:space="0" w:color="auto"/>
              <w:right w:val="single" w:sz="4" w:space="0" w:color="auto"/>
            </w:tcBorders>
            <w:vAlign w:val="center"/>
          </w:tcPr>
          <w:p w14:paraId="163C46B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17080BE"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394D0A3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651B21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sz="4" w:space="0" w:color="auto"/>
              <w:left w:val="single" w:sz="4" w:space="0" w:color="auto"/>
              <w:bottom w:val="single" w:sz="4" w:space="0" w:color="auto"/>
              <w:right w:val="single" w:sz="4" w:space="0" w:color="auto"/>
            </w:tcBorders>
            <w:vAlign w:val="center"/>
          </w:tcPr>
          <w:p w14:paraId="6729C0D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47D809EA"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67,085,428.30</w:t>
            </w:r>
          </w:p>
        </w:tc>
        <w:tc>
          <w:tcPr>
            <w:tcW w:w="400" w:type="pct"/>
            <w:tcBorders>
              <w:top w:val="single" w:sz="4" w:space="0" w:color="auto"/>
              <w:left w:val="single" w:sz="4" w:space="0" w:color="auto"/>
              <w:bottom w:val="single" w:sz="4" w:space="0" w:color="auto"/>
              <w:right w:val="single" w:sz="4" w:space="0" w:color="auto"/>
            </w:tcBorders>
            <w:vAlign w:val="center"/>
          </w:tcPr>
          <w:p w14:paraId="460141FB"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2.09</w:t>
            </w:r>
          </w:p>
        </w:tc>
      </w:tr>
      <w:tr w:rsidR="00877B87" w14:paraId="1A2BA9D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B8D6CC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p>
        </w:tc>
        <w:tc>
          <w:tcPr>
            <w:tcW w:w="750" w:type="pct"/>
            <w:tcBorders>
              <w:top w:val="single" w:sz="4" w:space="0" w:color="auto"/>
              <w:left w:val="single" w:sz="4" w:space="0" w:color="auto"/>
              <w:bottom w:val="single" w:sz="4" w:space="0" w:color="auto"/>
              <w:right w:val="single" w:sz="4" w:space="0" w:color="auto"/>
            </w:tcBorders>
            <w:vAlign w:val="center"/>
          </w:tcPr>
          <w:p w14:paraId="5B9383E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sz="4" w:space="0" w:color="auto"/>
              <w:left w:val="single" w:sz="4" w:space="0" w:color="auto"/>
              <w:bottom w:val="single" w:sz="4" w:space="0" w:color="auto"/>
              <w:right w:val="single" w:sz="4" w:space="0" w:color="auto"/>
            </w:tcBorders>
            <w:vAlign w:val="center"/>
          </w:tcPr>
          <w:p w14:paraId="45384528"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AC1DC4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258BA77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81E889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sz="4" w:space="0" w:color="auto"/>
              <w:left w:val="single" w:sz="4" w:space="0" w:color="auto"/>
              <w:bottom w:val="single" w:sz="4" w:space="0" w:color="auto"/>
              <w:right w:val="single" w:sz="4" w:space="0" w:color="auto"/>
            </w:tcBorders>
            <w:vAlign w:val="center"/>
          </w:tcPr>
          <w:p w14:paraId="666B2EF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sz="4" w:space="0" w:color="auto"/>
              <w:left w:val="single" w:sz="4" w:space="0" w:color="auto"/>
              <w:bottom w:val="single" w:sz="4" w:space="0" w:color="auto"/>
              <w:right w:val="single" w:sz="4" w:space="0" w:color="auto"/>
            </w:tcBorders>
            <w:vAlign w:val="center"/>
          </w:tcPr>
          <w:p w14:paraId="38F5D4AF"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9ED0954"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45D5548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9A56DA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sz="4" w:space="0" w:color="auto"/>
              <w:left w:val="single" w:sz="4" w:space="0" w:color="auto"/>
              <w:bottom w:val="single" w:sz="4" w:space="0" w:color="auto"/>
              <w:right w:val="single" w:sz="4" w:space="0" w:color="auto"/>
            </w:tcBorders>
            <w:vAlign w:val="center"/>
          </w:tcPr>
          <w:p w14:paraId="5A6C9A8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sz="4" w:space="0" w:color="auto"/>
              <w:left w:val="single" w:sz="4" w:space="0" w:color="auto"/>
              <w:bottom w:val="single" w:sz="4" w:space="0" w:color="auto"/>
              <w:right w:val="single" w:sz="4" w:space="0" w:color="auto"/>
            </w:tcBorders>
            <w:vAlign w:val="center"/>
          </w:tcPr>
          <w:p w14:paraId="1371E8DE"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3FF57BB"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4702BC0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419D18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sz="4" w:space="0" w:color="auto"/>
              <w:left w:val="single" w:sz="4" w:space="0" w:color="auto"/>
              <w:bottom w:val="single" w:sz="4" w:space="0" w:color="auto"/>
              <w:right w:val="single" w:sz="4" w:space="0" w:color="auto"/>
            </w:tcBorders>
            <w:vAlign w:val="center"/>
          </w:tcPr>
          <w:p w14:paraId="0D892C1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sz="4" w:space="0" w:color="auto"/>
              <w:left w:val="single" w:sz="4" w:space="0" w:color="auto"/>
              <w:bottom w:val="single" w:sz="4" w:space="0" w:color="auto"/>
              <w:right w:val="single" w:sz="4" w:space="0" w:color="auto"/>
            </w:tcBorders>
            <w:vAlign w:val="center"/>
          </w:tcPr>
          <w:p w14:paraId="626D8A0E"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69,300,946.56</w:t>
            </w:r>
          </w:p>
        </w:tc>
        <w:tc>
          <w:tcPr>
            <w:tcW w:w="400" w:type="pct"/>
            <w:tcBorders>
              <w:top w:val="single" w:sz="4" w:space="0" w:color="auto"/>
              <w:left w:val="single" w:sz="4" w:space="0" w:color="auto"/>
              <w:bottom w:val="single" w:sz="4" w:space="0" w:color="auto"/>
              <w:right w:val="single" w:sz="4" w:space="0" w:color="auto"/>
            </w:tcBorders>
            <w:vAlign w:val="center"/>
          </w:tcPr>
          <w:p w14:paraId="1F56262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2.16</w:t>
            </w:r>
          </w:p>
        </w:tc>
      </w:tr>
      <w:tr w:rsidR="00877B87" w14:paraId="7C0146E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EF416C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R</w:t>
            </w:r>
          </w:p>
        </w:tc>
        <w:tc>
          <w:tcPr>
            <w:tcW w:w="750" w:type="pct"/>
            <w:tcBorders>
              <w:top w:val="single" w:sz="4" w:space="0" w:color="auto"/>
              <w:left w:val="single" w:sz="4" w:space="0" w:color="auto"/>
              <w:bottom w:val="single" w:sz="4" w:space="0" w:color="auto"/>
              <w:right w:val="single" w:sz="4" w:space="0" w:color="auto"/>
            </w:tcBorders>
            <w:vAlign w:val="center"/>
          </w:tcPr>
          <w:p w14:paraId="051BDAD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sz="4" w:space="0" w:color="auto"/>
              <w:left w:val="single" w:sz="4" w:space="0" w:color="auto"/>
              <w:bottom w:val="single" w:sz="4" w:space="0" w:color="auto"/>
              <w:right w:val="single" w:sz="4" w:space="0" w:color="auto"/>
            </w:tcBorders>
            <w:vAlign w:val="center"/>
          </w:tcPr>
          <w:p w14:paraId="18A83E0F"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9617CE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799DCFF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80A6429"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S</w:t>
            </w:r>
          </w:p>
        </w:tc>
        <w:tc>
          <w:tcPr>
            <w:tcW w:w="750" w:type="pct"/>
            <w:tcBorders>
              <w:top w:val="single" w:sz="4" w:space="0" w:color="auto"/>
              <w:left w:val="single" w:sz="4" w:space="0" w:color="auto"/>
              <w:bottom w:val="single" w:sz="4" w:space="0" w:color="auto"/>
              <w:right w:val="single" w:sz="4" w:space="0" w:color="auto"/>
            </w:tcBorders>
            <w:vAlign w:val="center"/>
          </w:tcPr>
          <w:p w14:paraId="21B15B2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sz="4" w:space="0" w:color="auto"/>
              <w:left w:val="single" w:sz="4" w:space="0" w:color="auto"/>
              <w:bottom w:val="single" w:sz="4" w:space="0" w:color="auto"/>
              <w:right w:val="single" w:sz="4" w:space="0" w:color="auto"/>
            </w:tcBorders>
            <w:vAlign w:val="center"/>
          </w:tcPr>
          <w:p w14:paraId="2C01B97C"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935A23C"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6FB105F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640B783" w14:textId="77777777" w:rsidR="00877B87" w:rsidRDefault="00877B8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6BCCE2A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2E1FCDC7"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2,974,841,058.91</w:t>
            </w:r>
          </w:p>
        </w:tc>
        <w:tc>
          <w:tcPr>
            <w:tcW w:w="400" w:type="pct"/>
            <w:tcBorders>
              <w:top w:val="single" w:sz="4" w:space="0" w:color="auto"/>
              <w:left w:val="single" w:sz="4" w:space="0" w:color="auto"/>
              <w:bottom w:val="single" w:sz="4" w:space="0" w:color="auto"/>
              <w:right w:val="single" w:sz="4" w:space="0" w:color="auto"/>
            </w:tcBorders>
            <w:vAlign w:val="center"/>
          </w:tcPr>
          <w:p w14:paraId="15260C4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92.90</w:t>
            </w:r>
          </w:p>
        </w:tc>
      </w:tr>
    </w:tbl>
    <w:p w14:paraId="753E7AD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 报告期末积极投资按行业分类的境内股票投资组合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877B87" w14:paraId="7E66062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78FC820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0A14DEE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DB7D261"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700EAF3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p>
        </w:tc>
      </w:tr>
      <w:tr w:rsidR="00877B87" w14:paraId="6092DAF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B08347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sz="4" w:space="0" w:color="auto"/>
              <w:left w:val="single" w:sz="4" w:space="0" w:color="auto"/>
              <w:bottom w:val="single" w:sz="4" w:space="0" w:color="auto"/>
              <w:right w:val="single" w:sz="4" w:space="0" w:color="auto"/>
            </w:tcBorders>
            <w:vAlign w:val="center"/>
          </w:tcPr>
          <w:p w14:paraId="74D232D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sz="4" w:space="0" w:color="auto"/>
              <w:left w:val="single" w:sz="4" w:space="0" w:color="auto"/>
              <w:bottom w:val="single" w:sz="4" w:space="0" w:color="auto"/>
              <w:right w:val="single" w:sz="4" w:space="0" w:color="auto"/>
            </w:tcBorders>
            <w:vAlign w:val="center"/>
          </w:tcPr>
          <w:p w14:paraId="3EF4577D"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ECD2F0D"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65079BE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CE810D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sz="4" w:space="0" w:color="auto"/>
              <w:left w:val="single" w:sz="4" w:space="0" w:color="auto"/>
              <w:bottom w:val="single" w:sz="4" w:space="0" w:color="auto"/>
              <w:right w:val="single" w:sz="4" w:space="0" w:color="auto"/>
            </w:tcBorders>
            <w:vAlign w:val="center"/>
          </w:tcPr>
          <w:p w14:paraId="6DDC299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sz="4" w:space="0" w:color="auto"/>
              <w:left w:val="single" w:sz="4" w:space="0" w:color="auto"/>
              <w:bottom w:val="single" w:sz="4" w:space="0" w:color="auto"/>
              <w:right w:val="single" w:sz="4" w:space="0" w:color="auto"/>
            </w:tcBorders>
            <w:vAlign w:val="center"/>
          </w:tcPr>
          <w:p w14:paraId="3234FD0C"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5DC71D4"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346F37D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FF47DC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sz="4" w:space="0" w:color="auto"/>
              <w:left w:val="single" w:sz="4" w:space="0" w:color="auto"/>
              <w:bottom w:val="single" w:sz="4" w:space="0" w:color="auto"/>
              <w:right w:val="single" w:sz="4" w:space="0" w:color="auto"/>
            </w:tcBorders>
            <w:vAlign w:val="center"/>
          </w:tcPr>
          <w:p w14:paraId="118A101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sz="4" w:space="0" w:color="auto"/>
              <w:left w:val="single" w:sz="4" w:space="0" w:color="auto"/>
              <w:bottom w:val="single" w:sz="4" w:space="0" w:color="auto"/>
              <w:right w:val="single" w:sz="4" w:space="0" w:color="auto"/>
            </w:tcBorders>
            <w:vAlign w:val="center"/>
          </w:tcPr>
          <w:p w14:paraId="7898F3AF"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481,543.94</w:t>
            </w:r>
          </w:p>
        </w:tc>
        <w:tc>
          <w:tcPr>
            <w:tcW w:w="400" w:type="pct"/>
            <w:tcBorders>
              <w:top w:val="single" w:sz="4" w:space="0" w:color="auto"/>
              <w:left w:val="single" w:sz="4" w:space="0" w:color="auto"/>
              <w:bottom w:val="single" w:sz="4" w:space="0" w:color="auto"/>
              <w:right w:val="single" w:sz="4" w:space="0" w:color="auto"/>
            </w:tcBorders>
            <w:vAlign w:val="center"/>
          </w:tcPr>
          <w:p w14:paraId="1EC987E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0.02</w:t>
            </w:r>
          </w:p>
        </w:tc>
      </w:tr>
      <w:tr w:rsidR="00877B87" w14:paraId="1F05203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9BD9F7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sz="4" w:space="0" w:color="auto"/>
              <w:left w:val="single" w:sz="4" w:space="0" w:color="auto"/>
              <w:bottom w:val="single" w:sz="4" w:space="0" w:color="auto"/>
              <w:right w:val="single" w:sz="4" w:space="0" w:color="auto"/>
            </w:tcBorders>
            <w:vAlign w:val="center"/>
          </w:tcPr>
          <w:p w14:paraId="6A9BCE8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sz="4" w:space="0" w:color="auto"/>
              <w:left w:val="single" w:sz="4" w:space="0" w:color="auto"/>
              <w:bottom w:val="single" w:sz="4" w:space="0" w:color="auto"/>
              <w:right w:val="single" w:sz="4" w:space="0" w:color="auto"/>
            </w:tcBorders>
            <w:vAlign w:val="center"/>
          </w:tcPr>
          <w:p w14:paraId="764F0E9F"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1F0D41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3080A72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2B2B29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E</w:t>
            </w:r>
          </w:p>
        </w:tc>
        <w:tc>
          <w:tcPr>
            <w:tcW w:w="750" w:type="pct"/>
            <w:tcBorders>
              <w:top w:val="single" w:sz="4" w:space="0" w:color="auto"/>
              <w:left w:val="single" w:sz="4" w:space="0" w:color="auto"/>
              <w:bottom w:val="single" w:sz="4" w:space="0" w:color="auto"/>
              <w:right w:val="single" w:sz="4" w:space="0" w:color="auto"/>
            </w:tcBorders>
            <w:vAlign w:val="center"/>
          </w:tcPr>
          <w:p w14:paraId="3C7AB41C"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sz="4" w:space="0" w:color="auto"/>
              <w:left w:val="single" w:sz="4" w:space="0" w:color="auto"/>
              <w:bottom w:val="single" w:sz="4" w:space="0" w:color="auto"/>
              <w:right w:val="single" w:sz="4" w:space="0" w:color="auto"/>
            </w:tcBorders>
            <w:vAlign w:val="center"/>
          </w:tcPr>
          <w:p w14:paraId="4A5C5ACE"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414795C"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7C45015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29A1A4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sz="4" w:space="0" w:color="auto"/>
              <w:left w:val="single" w:sz="4" w:space="0" w:color="auto"/>
              <w:bottom w:val="single" w:sz="4" w:space="0" w:color="auto"/>
              <w:right w:val="single" w:sz="4" w:space="0" w:color="auto"/>
            </w:tcBorders>
            <w:vAlign w:val="center"/>
          </w:tcPr>
          <w:p w14:paraId="7CEEE0B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sz="4" w:space="0" w:color="auto"/>
              <w:left w:val="single" w:sz="4" w:space="0" w:color="auto"/>
              <w:bottom w:val="single" w:sz="4" w:space="0" w:color="auto"/>
              <w:right w:val="single" w:sz="4" w:space="0" w:color="auto"/>
            </w:tcBorders>
            <w:vAlign w:val="center"/>
          </w:tcPr>
          <w:p w14:paraId="732FE54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F7AFCE8"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4FF5950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E51FF49"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sz="4" w:space="0" w:color="auto"/>
              <w:left w:val="single" w:sz="4" w:space="0" w:color="auto"/>
              <w:bottom w:val="single" w:sz="4" w:space="0" w:color="auto"/>
              <w:right w:val="single" w:sz="4" w:space="0" w:color="auto"/>
            </w:tcBorders>
            <w:vAlign w:val="center"/>
          </w:tcPr>
          <w:p w14:paraId="2ABB7DD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sz="4" w:space="0" w:color="auto"/>
              <w:left w:val="single" w:sz="4" w:space="0" w:color="auto"/>
              <w:bottom w:val="single" w:sz="4" w:space="0" w:color="auto"/>
              <w:right w:val="single" w:sz="4" w:space="0" w:color="auto"/>
            </w:tcBorders>
            <w:vAlign w:val="center"/>
          </w:tcPr>
          <w:p w14:paraId="75D797B7"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AE435EC"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6D7EB0E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B63C00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H</w:t>
            </w:r>
          </w:p>
        </w:tc>
        <w:tc>
          <w:tcPr>
            <w:tcW w:w="750" w:type="pct"/>
            <w:tcBorders>
              <w:top w:val="single" w:sz="4" w:space="0" w:color="auto"/>
              <w:left w:val="single" w:sz="4" w:space="0" w:color="auto"/>
              <w:bottom w:val="single" w:sz="4" w:space="0" w:color="auto"/>
              <w:right w:val="single" w:sz="4" w:space="0" w:color="auto"/>
            </w:tcBorders>
            <w:vAlign w:val="center"/>
          </w:tcPr>
          <w:p w14:paraId="5CC9CD9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sz="4" w:space="0" w:color="auto"/>
              <w:left w:val="single" w:sz="4" w:space="0" w:color="auto"/>
              <w:bottom w:val="single" w:sz="4" w:space="0" w:color="auto"/>
              <w:right w:val="single" w:sz="4" w:space="0" w:color="auto"/>
            </w:tcBorders>
            <w:vAlign w:val="center"/>
          </w:tcPr>
          <w:p w14:paraId="44E1E56A"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92AE42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30B9D35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055BC3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I</w:t>
            </w:r>
          </w:p>
        </w:tc>
        <w:tc>
          <w:tcPr>
            <w:tcW w:w="750" w:type="pct"/>
            <w:tcBorders>
              <w:top w:val="single" w:sz="4" w:space="0" w:color="auto"/>
              <w:left w:val="single" w:sz="4" w:space="0" w:color="auto"/>
              <w:bottom w:val="single" w:sz="4" w:space="0" w:color="auto"/>
              <w:right w:val="single" w:sz="4" w:space="0" w:color="auto"/>
            </w:tcBorders>
            <w:vAlign w:val="center"/>
          </w:tcPr>
          <w:p w14:paraId="6421DD8C"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023D28B8"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F4FBAAF"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7D21436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3EDCCF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sz="4" w:space="0" w:color="auto"/>
              <w:left w:val="single" w:sz="4" w:space="0" w:color="auto"/>
              <w:bottom w:val="single" w:sz="4" w:space="0" w:color="auto"/>
              <w:right w:val="single" w:sz="4" w:space="0" w:color="auto"/>
            </w:tcBorders>
            <w:vAlign w:val="center"/>
          </w:tcPr>
          <w:p w14:paraId="34DD963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sz="4" w:space="0" w:color="auto"/>
              <w:left w:val="single" w:sz="4" w:space="0" w:color="auto"/>
              <w:bottom w:val="single" w:sz="4" w:space="0" w:color="auto"/>
              <w:right w:val="single" w:sz="4" w:space="0" w:color="auto"/>
            </w:tcBorders>
            <w:vAlign w:val="center"/>
          </w:tcPr>
          <w:p w14:paraId="33D9B94B"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2A633E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18E26C1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024ED78"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sz="4" w:space="0" w:color="auto"/>
              <w:left w:val="single" w:sz="4" w:space="0" w:color="auto"/>
              <w:bottom w:val="single" w:sz="4" w:space="0" w:color="auto"/>
              <w:right w:val="single" w:sz="4" w:space="0" w:color="auto"/>
            </w:tcBorders>
            <w:vAlign w:val="center"/>
          </w:tcPr>
          <w:p w14:paraId="23B6B6B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sz="4" w:space="0" w:color="auto"/>
              <w:left w:val="single" w:sz="4" w:space="0" w:color="auto"/>
              <w:bottom w:val="single" w:sz="4" w:space="0" w:color="auto"/>
              <w:right w:val="single" w:sz="4" w:space="0" w:color="auto"/>
            </w:tcBorders>
            <w:vAlign w:val="center"/>
          </w:tcPr>
          <w:p w14:paraId="338B4A38"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1AB04C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08F3D28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15920C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sz="4" w:space="0" w:color="auto"/>
              <w:left w:val="single" w:sz="4" w:space="0" w:color="auto"/>
              <w:bottom w:val="single" w:sz="4" w:space="0" w:color="auto"/>
              <w:right w:val="single" w:sz="4" w:space="0" w:color="auto"/>
            </w:tcBorders>
            <w:vAlign w:val="center"/>
          </w:tcPr>
          <w:p w14:paraId="134C015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sz="4" w:space="0" w:color="auto"/>
              <w:left w:val="single" w:sz="4" w:space="0" w:color="auto"/>
              <w:bottom w:val="single" w:sz="4" w:space="0" w:color="auto"/>
              <w:right w:val="single" w:sz="4" w:space="0" w:color="auto"/>
            </w:tcBorders>
            <w:vAlign w:val="center"/>
          </w:tcPr>
          <w:p w14:paraId="65DB0D5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F9A993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4BE6D91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CE15EB1"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sz="4" w:space="0" w:color="auto"/>
              <w:left w:val="single" w:sz="4" w:space="0" w:color="auto"/>
              <w:bottom w:val="single" w:sz="4" w:space="0" w:color="auto"/>
              <w:right w:val="single" w:sz="4" w:space="0" w:color="auto"/>
            </w:tcBorders>
            <w:vAlign w:val="center"/>
          </w:tcPr>
          <w:p w14:paraId="3CFA5C4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6BB20D0A"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8AB3A4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7384A7C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223C68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p>
        </w:tc>
        <w:tc>
          <w:tcPr>
            <w:tcW w:w="750" w:type="pct"/>
            <w:tcBorders>
              <w:top w:val="single" w:sz="4" w:space="0" w:color="auto"/>
              <w:left w:val="single" w:sz="4" w:space="0" w:color="auto"/>
              <w:bottom w:val="single" w:sz="4" w:space="0" w:color="auto"/>
              <w:right w:val="single" w:sz="4" w:space="0" w:color="auto"/>
            </w:tcBorders>
            <w:vAlign w:val="center"/>
          </w:tcPr>
          <w:p w14:paraId="61854F6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sz="4" w:space="0" w:color="auto"/>
              <w:left w:val="single" w:sz="4" w:space="0" w:color="auto"/>
              <w:bottom w:val="single" w:sz="4" w:space="0" w:color="auto"/>
              <w:right w:val="single" w:sz="4" w:space="0" w:color="auto"/>
            </w:tcBorders>
            <w:vAlign w:val="center"/>
          </w:tcPr>
          <w:p w14:paraId="52446BE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5EC40F4"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2F3154A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3258703"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sz="4" w:space="0" w:color="auto"/>
              <w:left w:val="single" w:sz="4" w:space="0" w:color="auto"/>
              <w:bottom w:val="single" w:sz="4" w:space="0" w:color="auto"/>
              <w:right w:val="single" w:sz="4" w:space="0" w:color="auto"/>
            </w:tcBorders>
            <w:vAlign w:val="center"/>
          </w:tcPr>
          <w:p w14:paraId="11B9528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sz="4" w:space="0" w:color="auto"/>
              <w:left w:val="single" w:sz="4" w:space="0" w:color="auto"/>
              <w:bottom w:val="single" w:sz="4" w:space="0" w:color="auto"/>
              <w:right w:val="single" w:sz="4" w:space="0" w:color="auto"/>
            </w:tcBorders>
            <w:vAlign w:val="center"/>
          </w:tcPr>
          <w:p w14:paraId="0DA0207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309849D"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7F693FA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289477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sz="4" w:space="0" w:color="auto"/>
              <w:left w:val="single" w:sz="4" w:space="0" w:color="auto"/>
              <w:bottom w:val="single" w:sz="4" w:space="0" w:color="auto"/>
              <w:right w:val="single" w:sz="4" w:space="0" w:color="auto"/>
            </w:tcBorders>
            <w:vAlign w:val="center"/>
          </w:tcPr>
          <w:p w14:paraId="3786531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sz="4" w:space="0" w:color="auto"/>
              <w:left w:val="single" w:sz="4" w:space="0" w:color="auto"/>
              <w:bottom w:val="single" w:sz="4" w:space="0" w:color="auto"/>
              <w:right w:val="single" w:sz="4" w:space="0" w:color="auto"/>
            </w:tcBorders>
            <w:vAlign w:val="center"/>
          </w:tcPr>
          <w:p w14:paraId="372DF35E"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8DE337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24C2D74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3BC11B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sz="4" w:space="0" w:color="auto"/>
              <w:left w:val="single" w:sz="4" w:space="0" w:color="auto"/>
              <w:bottom w:val="single" w:sz="4" w:space="0" w:color="auto"/>
              <w:right w:val="single" w:sz="4" w:space="0" w:color="auto"/>
            </w:tcBorders>
            <w:vAlign w:val="center"/>
          </w:tcPr>
          <w:p w14:paraId="61011CF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sz="4" w:space="0" w:color="auto"/>
              <w:left w:val="single" w:sz="4" w:space="0" w:color="auto"/>
              <w:bottom w:val="single" w:sz="4" w:space="0" w:color="auto"/>
              <w:right w:val="single" w:sz="4" w:space="0" w:color="auto"/>
            </w:tcBorders>
            <w:vAlign w:val="center"/>
          </w:tcPr>
          <w:p w14:paraId="02C0BDAC"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7391AB8"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3E95079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1C9350D"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R</w:t>
            </w:r>
          </w:p>
        </w:tc>
        <w:tc>
          <w:tcPr>
            <w:tcW w:w="750" w:type="pct"/>
            <w:tcBorders>
              <w:top w:val="single" w:sz="4" w:space="0" w:color="auto"/>
              <w:left w:val="single" w:sz="4" w:space="0" w:color="auto"/>
              <w:bottom w:val="single" w:sz="4" w:space="0" w:color="auto"/>
              <w:right w:val="single" w:sz="4" w:space="0" w:color="auto"/>
            </w:tcBorders>
            <w:vAlign w:val="center"/>
          </w:tcPr>
          <w:p w14:paraId="7F051C6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sz="4" w:space="0" w:color="auto"/>
              <w:left w:val="single" w:sz="4" w:space="0" w:color="auto"/>
              <w:bottom w:val="single" w:sz="4" w:space="0" w:color="auto"/>
              <w:right w:val="single" w:sz="4" w:space="0" w:color="auto"/>
            </w:tcBorders>
            <w:vAlign w:val="center"/>
          </w:tcPr>
          <w:p w14:paraId="021F456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4B5694B"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21AE5F0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64FFB5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S</w:t>
            </w:r>
          </w:p>
        </w:tc>
        <w:tc>
          <w:tcPr>
            <w:tcW w:w="750" w:type="pct"/>
            <w:tcBorders>
              <w:top w:val="single" w:sz="4" w:space="0" w:color="auto"/>
              <w:left w:val="single" w:sz="4" w:space="0" w:color="auto"/>
              <w:bottom w:val="single" w:sz="4" w:space="0" w:color="auto"/>
              <w:right w:val="single" w:sz="4" w:space="0" w:color="auto"/>
            </w:tcBorders>
            <w:vAlign w:val="center"/>
          </w:tcPr>
          <w:p w14:paraId="75691F13"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sz="4" w:space="0" w:color="auto"/>
              <w:left w:val="single" w:sz="4" w:space="0" w:color="auto"/>
              <w:bottom w:val="single" w:sz="4" w:space="0" w:color="auto"/>
              <w:right w:val="single" w:sz="4" w:space="0" w:color="auto"/>
            </w:tcBorders>
            <w:vAlign w:val="center"/>
          </w:tcPr>
          <w:p w14:paraId="5CDA153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56C9574"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28736C0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97F775D" w14:textId="77777777" w:rsidR="00877B87" w:rsidRDefault="00877B87">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14:paraId="6A1307F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772699F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481,543.94</w:t>
            </w:r>
          </w:p>
        </w:tc>
        <w:tc>
          <w:tcPr>
            <w:tcW w:w="400" w:type="pct"/>
            <w:tcBorders>
              <w:top w:val="single" w:sz="4" w:space="0" w:color="auto"/>
              <w:left w:val="single" w:sz="4" w:space="0" w:color="auto"/>
              <w:bottom w:val="single" w:sz="4" w:space="0" w:color="auto"/>
              <w:right w:val="single" w:sz="4" w:space="0" w:color="auto"/>
            </w:tcBorders>
            <w:vAlign w:val="center"/>
          </w:tcPr>
          <w:p w14:paraId="1EEDEB95"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0.02</w:t>
            </w:r>
          </w:p>
        </w:tc>
      </w:tr>
    </w:tbl>
    <w:p w14:paraId="6F0310A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 报告期末按行业分类的港股通投资股票投资组合</w:t>
      </w:r>
    </w:p>
    <w:p w14:paraId="63A353B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0BCEE34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3、期末按公允价值占基金资产净值比例大小排序的股票投资明细</w:t>
      </w:r>
    </w:p>
    <w:p w14:paraId="1AF2E2A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 报告期末指数投资按公允价值占基金资产净值比例大小排序的前十名股票投资明细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877B87" w14:paraId="1011EC2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72EF01A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61F58B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0B9AE71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0A0B7F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0BF8C8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0F7ED72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877B87" w14:paraId="40390DE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A9CA7D3"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06DF0A78"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300750</w:t>
            </w:r>
          </w:p>
        </w:tc>
        <w:tc>
          <w:tcPr>
            <w:tcW w:w="750" w:type="pct"/>
            <w:tcBorders>
              <w:top w:val="single" w:sz="4" w:space="0" w:color="auto"/>
              <w:left w:val="single" w:sz="4" w:space="0" w:color="auto"/>
              <w:bottom w:val="single" w:sz="4" w:space="0" w:color="auto"/>
              <w:right w:val="single" w:sz="4" w:space="0" w:color="auto"/>
            </w:tcBorders>
            <w:vAlign w:val="center"/>
          </w:tcPr>
          <w:p w14:paraId="35A155A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宁德时代</w:t>
            </w:r>
          </w:p>
        </w:tc>
        <w:tc>
          <w:tcPr>
            <w:tcW w:w="750" w:type="pct"/>
            <w:tcBorders>
              <w:top w:val="single" w:sz="4" w:space="0" w:color="auto"/>
              <w:left w:val="single" w:sz="4" w:space="0" w:color="auto"/>
              <w:bottom w:val="single" w:sz="4" w:space="0" w:color="auto"/>
              <w:right w:val="single" w:sz="4" w:space="0" w:color="auto"/>
            </w:tcBorders>
            <w:vAlign w:val="center"/>
          </w:tcPr>
          <w:p w14:paraId="095F495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3,991,060</w:t>
            </w:r>
          </w:p>
        </w:tc>
        <w:tc>
          <w:tcPr>
            <w:tcW w:w="750" w:type="pct"/>
            <w:tcBorders>
              <w:top w:val="single" w:sz="4" w:space="0" w:color="auto"/>
              <w:left w:val="single" w:sz="4" w:space="0" w:color="auto"/>
              <w:bottom w:val="single" w:sz="4" w:space="0" w:color="auto"/>
              <w:right w:val="single" w:sz="4" w:space="0" w:color="auto"/>
            </w:tcBorders>
            <w:vAlign w:val="center"/>
          </w:tcPr>
          <w:p w14:paraId="278CB957"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718,510,531.80</w:t>
            </w:r>
          </w:p>
        </w:tc>
        <w:tc>
          <w:tcPr>
            <w:tcW w:w="750" w:type="pct"/>
            <w:tcBorders>
              <w:top w:val="single" w:sz="4" w:space="0" w:color="auto"/>
              <w:left w:val="single" w:sz="4" w:space="0" w:color="auto"/>
              <w:bottom w:val="single" w:sz="4" w:space="0" w:color="auto"/>
              <w:right w:val="single" w:sz="4" w:space="0" w:color="auto"/>
            </w:tcBorders>
            <w:vAlign w:val="center"/>
          </w:tcPr>
          <w:p w14:paraId="5CAEFD5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22.44</w:t>
            </w:r>
          </w:p>
        </w:tc>
      </w:tr>
      <w:tr w:rsidR="00877B87" w14:paraId="4F11414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7D72BF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44BE5C6D"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300760</w:t>
            </w:r>
          </w:p>
        </w:tc>
        <w:tc>
          <w:tcPr>
            <w:tcW w:w="750" w:type="pct"/>
            <w:tcBorders>
              <w:top w:val="single" w:sz="4" w:space="0" w:color="auto"/>
              <w:left w:val="single" w:sz="4" w:space="0" w:color="auto"/>
              <w:bottom w:val="single" w:sz="4" w:space="0" w:color="auto"/>
              <w:right w:val="single" w:sz="4" w:space="0" w:color="auto"/>
            </w:tcBorders>
            <w:vAlign w:val="center"/>
          </w:tcPr>
          <w:p w14:paraId="55EC9631"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迈瑞医疗</w:t>
            </w:r>
          </w:p>
        </w:tc>
        <w:tc>
          <w:tcPr>
            <w:tcW w:w="750" w:type="pct"/>
            <w:tcBorders>
              <w:top w:val="single" w:sz="4" w:space="0" w:color="auto"/>
              <w:left w:val="single" w:sz="4" w:space="0" w:color="auto"/>
              <w:bottom w:val="single" w:sz="4" w:space="0" w:color="auto"/>
              <w:right w:val="single" w:sz="4" w:space="0" w:color="auto"/>
            </w:tcBorders>
            <w:vAlign w:val="center"/>
          </w:tcPr>
          <w:p w14:paraId="704AB26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823,643</w:t>
            </w:r>
          </w:p>
        </w:tc>
        <w:tc>
          <w:tcPr>
            <w:tcW w:w="750" w:type="pct"/>
            <w:tcBorders>
              <w:top w:val="single" w:sz="4" w:space="0" w:color="auto"/>
              <w:left w:val="single" w:sz="4" w:space="0" w:color="auto"/>
              <w:bottom w:val="single" w:sz="4" w:space="0" w:color="auto"/>
              <w:right w:val="single" w:sz="4" w:space="0" w:color="auto"/>
            </w:tcBorders>
            <w:vAlign w:val="center"/>
          </w:tcPr>
          <w:p w14:paraId="7CAB537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239,605,985.13</w:t>
            </w:r>
          </w:p>
        </w:tc>
        <w:tc>
          <w:tcPr>
            <w:tcW w:w="750" w:type="pct"/>
            <w:tcBorders>
              <w:top w:val="single" w:sz="4" w:space="0" w:color="auto"/>
              <w:left w:val="single" w:sz="4" w:space="0" w:color="auto"/>
              <w:bottom w:val="single" w:sz="4" w:space="0" w:color="auto"/>
              <w:right w:val="single" w:sz="4" w:space="0" w:color="auto"/>
            </w:tcBorders>
            <w:vAlign w:val="center"/>
          </w:tcPr>
          <w:p w14:paraId="53ADD6AB"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7.48</w:t>
            </w:r>
          </w:p>
        </w:tc>
      </w:tr>
      <w:tr w:rsidR="00877B87" w14:paraId="6336710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4011A0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194F6578"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300059</w:t>
            </w:r>
          </w:p>
        </w:tc>
        <w:tc>
          <w:tcPr>
            <w:tcW w:w="750" w:type="pct"/>
            <w:tcBorders>
              <w:top w:val="single" w:sz="4" w:space="0" w:color="auto"/>
              <w:left w:val="single" w:sz="4" w:space="0" w:color="auto"/>
              <w:bottom w:val="single" w:sz="4" w:space="0" w:color="auto"/>
              <w:right w:val="single" w:sz="4" w:space="0" w:color="auto"/>
            </w:tcBorders>
            <w:vAlign w:val="center"/>
          </w:tcPr>
          <w:p w14:paraId="15F45C8D"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东方财富</w:t>
            </w:r>
          </w:p>
        </w:tc>
        <w:tc>
          <w:tcPr>
            <w:tcW w:w="750" w:type="pct"/>
            <w:tcBorders>
              <w:top w:val="single" w:sz="4" w:space="0" w:color="auto"/>
              <w:left w:val="single" w:sz="4" w:space="0" w:color="auto"/>
              <w:bottom w:val="single" w:sz="4" w:space="0" w:color="auto"/>
              <w:right w:val="single" w:sz="4" w:space="0" w:color="auto"/>
            </w:tcBorders>
            <w:vAlign w:val="center"/>
          </w:tcPr>
          <w:p w14:paraId="5A8F4A4A"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19,454,651</w:t>
            </w:r>
          </w:p>
        </w:tc>
        <w:tc>
          <w:tcPr>
            <w:tcW w:w="750" w:type="pct"/>
            <w:tcBorders>
              <w:top w:val="single" w:sz="4" w:space="0" w:color="auto"/>
              <w:left w:val="single" w:sz="4" w:space="0" w:color="auto"/>
              <w:bottom w:val="single" w:sz="4" w:space="0" w:color="auto"/>
              <w:right w:val="single" w:sz="4" w:space="0" w:color="auto"/>
            </w:tcBorders>
            <w:vAlign w:val="center"/>
          </w:tcPr>
          <w:p w14:paraId="4621D425"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205,441,114.56</w:t>
            </w:r>
          </w:p>
        </w:tc>
        <w:tc>
          <w:tcPr>
            <w:tcW w:w="750" w:type="pct"/>
            <w:tcBorders>
              <w:top w:val="single" w:sz="4" w:space="0" w:color="auto"/>
              <w:left w:val="single" w:sz="4" w:space="0" w:color="auto"/>
              <w:bottom w:val="single" w:sz="4" w:space="0" w:color="auto"/>
              <w:right w:val="single" w:sz="4" w:space="0" w:color="auto"/>
            </w:tcBorders>
            <w:vAlign w:val="center"/>
          </w:tcPr>
          <w:p w14:paraId="1AD4726D"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6.42</w:t>
            </w:r>
          </w:p>
        </w:tc>
      </w:tr>
      <w:tr w:rsidR="00877B87" w14:paraId="74C33E0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A9BD511"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0749C2B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300308</w:t>
            </w:r>
          </w:p>
        </w:tc>
        <w:tc>
          <w:tcPr>
            <w:tcW w:w="750" w:type="pct"/>
            <w:tcBorders>
              <w:top w:val="single" w:sz="4" w:space="0" w:color="auto"/>
              <w:left w:val="single" w:sz="4" w:space="0" w:color="auto"/>
              <w:bottom w:val="single" w:sz="4" w:space="0" w:color="auto"/>
              <w:right w:val="single" w:sz="4" w:space="0" w:color="auto"/>
            </w:tcBorders>
            <w:vAlign w:val="center"/>
          </w:tcPr>
          <w:p w14:paraId="33C0DD7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中际旭创</w:t>
            </w:r>
          </w:p>
        </w:tc>
        <w:tc>
          <w:tcPr>
            <w:tcW w:w="750" w:type="pct"/>
            <w:tcBorders>
              <w:top w:val="single" w:sz="4" w:space="0" w:color="auto"/>
              <w:left w:val="single" w:sz="4" w:space="0" w:color="auto"/>
              <w:bottom w:val="single" w:sz="4" w:space="0" w:color="auto"/>
              <w:right w:val="single" w:sz="4" w:space="0" w:color="auto"/>
            </w:tcBorders>
            <w:vAlign w:val="center"/>
          </w:tcPr>
          <w:p w14:paraId="08FE2F4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1,349,779</w:t>
            </w:r>
          </w:p>
        </w:tc>
        <w:tc>
          <w:tcPr>
            <w:tcW w:w="750" w:type="pct"/>
            <w:tcBorders>
              <w:top w:val="single" w:sz="4" w:space="0" w:color="auto"/>
              <w:left w:val="single" w:sz="4" w:space="0" w:color="auto"/>
              <w:bottom w:val="single" w:sz="4" w:space="0" w:color="auto"/>
              <w:right w:val="single" w:sz="4" w:space="0" w:color="auto"/>
            </w:tcBorders>
            <w:vAlign w:val="center"/>
          </w:tcPr>
          <w:p w14:paraId="1A67632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186,107,528.52</w:t>
            </w:r>
          </w:p>
        </w:tc>
        <w:tc>
          <w:tcPr>
            <w:tcW w:w="750" w:type="pct"/>
            <w:tcBorders>
              <w:top w:val="single" w:sz="4" w:space="0" w:color="auto"/>
              <w:left w:val="single" w:sz="4" w:space="0" w:color="auto"/>
              <w:bottom w:val="single" w:sz="4" w:space="0" w:color="auto"/>
              <w:right w:val="single" w:sz="4" w:space="0" w:color="auto"/>
            </w:tcBorders>
            <w:vAlign w:val="center"/>
          </w:tcPr>
          <w:p w14:paraId="0B5270EF"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5.81</w:t>
            </w:r>
          </w:p>
        </w:tc>
      </w:tr>
      <w:tr w:rsidR="00877B87" w14:paraId="02402A3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12FEED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26EA3C1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300124</w:t>
            </w:r>
          </w:p>
        </w:tc>
        <w:tc>
          <w:tcPr>
            <w:tcW w:w="750" w:type="pct"/>
            <w:tcBorders>
              <w:top w:val="single" w:sz="4" w:space="0" w:color="auto"/>
              <w:left w:val="single" w:sz="4" w:space="0" w:color="auto"/>
              <w:bottom w:val="single" w:sz="4" w:space="0" w:color="auto"/>
              <w:right w:val="single" w:sz="4" w:space="0" w:color="auto"/>
            </w:tcBorders>
            <w:vAlign w:val="center"/>
          </w:tcPr>
          <w:p w14:paraId="03112378"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汇川技术</w:t>
            </w:r>
          </w:p>
        </w:tc>
        <w:tc>
          <w:tcPr>
            <w:tcW w:w="750" w:type="pct"/>
            <w:tcBorders>
              <w:top w:val="single" w:sz="4" w:space="0" w:color="auto"/>
              <w:left w:val="single" w:sz="4" w:space="0" w:color="auto"/>
              <w:bottom w:val="single" w:sz="4" w:space="0" w:color="auto"/>
              <w:right w:val="single" w:sz="4" w:space="0" w:color="auto"/>
            </w:tcBorders>
            <w:vAlign w:val="center"/>
          </w:tcPr>
          <w:p w14:paraId="438A6608"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3,002,219</w:t>
            </w:r>
          </w:p>
        </w:tc>
        <w:tc>
          <w:tcPr>
            <w:tcW w:w="750" w:type="pct"/>
            <w:tcBorders>
              <w:top w:val="single" w:sz="4" w:space="0" w:color="auto"/>
              <w:left w:val="single" w:sz="4" w:space="0" w:color="auto"/>
              <w:bottom w:val="single" w:sz="4" w:space="0" w:color="auto"/>
              <w:right w:val="single" w:sz="4" w:space="0" w:color="auto"/>
            </w:tcBorders>
            <w:vAlign w:val="center"/>
          </w:tcPr>
          <w:p w14:paraId="2F792247"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154,013,834.70</w:t>
            </w:r>
          </w:p>
        </w:tc>
        <w:tc>
          <w:tcPr>
            <w:tcW w:w="750" w:type="pct"/>
            <w:tcBorders>
              <w:top w:val="single" w:sz="4" w:space="0" w:color="auto"/>
              <w:left w:val="single" w:sz="4" w:space="0" w:color="auto"/>
              <w:bottom w:val="single" w:sz="4" w:space="0" w:color="auto"/>
              <w:right w:val="single" w:sz="4" w:space="0" w:color="auto"/>
            </w:tcBorders>
            <w:vAlign w:val="center"/>
          </w:tcPr>
          <w:p w14:paraId="5524DD07"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4.81</w:t>
            </w:r>
          </w:p>
        </w:tc>
      </w:tr>
      <w:tr w:rsidR="00877B87" w14:paraId="791CD06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2A03D3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0858905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300274</w:t>
            </w:r>
          </w:p>
        </w:tc>
        <w:tc>
          <w:tcPr>
            <w:tcW w:w="750" w:type="pct"/>
            <w:tcBorders>
              <w:top w:val="single" w:sz="4" w:space="0" w:color="auto"/>
              <w:left w:val="single" w:sz="4" w:space="0" w:color="auto"/>
              <w:bottom w:val="single" w:sz="4" w:space="0" w:color="auto"/>
              <w:right w:val="single" w:sz="4" w:space="0" w:color="auto"/>
            </w:tcBorders>
            <w:vAlign w:val="center"/>
          </w:tcPr>
          <w:p w14:paraId="48A7319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阳光电源</w:t>
            </w:r>
          </w:p>
        </w:tc>
        <w:tc>
          <w:tcPr>
            <w:tcW w:w="750" w:type="pct"/>
            <w:tcBorders>
              <w:top w:val="single" w:sz="4" w:space="0" w:color="auto"/>
              <w:left w:val="single" w:sz="4" w:space="0" w:color="auto"/>
              <w:bottom w:val="single" w:sz="4" w:space="0" w:color="auto"/>
              <w:right w:val="single" w:sz="4" w:space="0" w:color="auto"/>
            </w:tcBorders>
            <w:vAlign w:val="center"/>
          </w:tcPr>
          <w:p w14:paraId="5126B76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2,217,695</w:t>
            </w:r>
          </w:p>
        </w:tc>
        <w:tc>
          <w:tcPr>
            <w:tcW w:w="750" w:type="pct"/>
            <w:tcBorders>
              <w:top w:val="single" w:sz="4" w:space="0" w:color="auto"/>
              <w:left w:val="single" w:sz="4" w:space="0" w:color="auto"/>
              <w:bottom w:val="single" w:sz="4" w:space="0" w:color="auto"/>
              <w:right w:val="single" w:sz="4" w:space="0" w:color="auto"/>
            </w:tcBorders>
            <w:vAlign w:val="center"/>
          </w:tcPr>
          <w:p w14:paraId="5557288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137,563,620.85</w:t>
            </w:r>
          </w:p>
        </w:tc>
        <w:tc>
          <w:tcPr>
            <w:tcW w:w="750" w:type="pct"/>
            <w:tcBorders>
              <w:top w:val="single" w:sz="4" w:space="0" w:color="auto"/>
              <w:left w:val="single" w:sz="4" w:space="0" w:color="auto"/>
              <w:bottom w:val="single" w:sz="4" w:space="0" w:color="auto"/>
              <w:right w:val="single" w:sz="4" w:space="0" w:color="auto"/>
            </w:tcBorders>
            <w:vAlign w:val="center"/>
          </w:tcPr>
          <w:p w14:paraId="0BB9FC9D"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4.30</w:t>
            </w:r>
          </w:p>
        </w:tc>
      </w:tr>
      <w:tr w:rsidR="00877B87" w14:paraId="2BF092D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173D03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3306BA73"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300502</w:t>
            </w:r>
          </w:p>
        </w:tc>
        <w:tc>
          <w:tcPr>
            <w:tcW w:w="750" w:type="pct"/>
            <w:tcBorders>
              <w:top w:val="single" w:sz="4" w:space="0" w:color="auto"/>
              <w:left w:val="single" w:sz="4" w:space="0" w:color="auto"/>
              <w:bottom w:val="single" w:sz="4" w:space="0" w:color="auto"/>
              <w:right w:val="single" w:sz="4" w:space="0" w:color="auto"/>
            </w:tcBorders>
            <w:vAlign w:val="center"/>
          </w:tcPr>
          <w:p w14:paraId="242B8EA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新易盛</w:t>
            </w:r>
          </w:p>
        </w:tc>
        <w:tc>
          <w:tcPr>
            <w:tcW w:w="750" w:type="pct"/>
            <w:tcBorders>
              <w:top w:val="single" w:sz="4" w:space="0" w:color="auto"/>
              <w:left w:val="single" w:sz="4" w:space="0" w:color="auto"/>
              <w:bottom w:val="single" w:sz="4" w:space="0" w:color="auto"/>
              <w:right w:val="single" w:sz="4" w:space="0" w:color="auto"/>
            </w:tcBorders>
            <w:vAlign w:val="center"/>
          </w:tcPr>
          <w:p w14:paraId="360CF52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970,764</w:t>
            </w:r>
          </w:p>
        </w:tc>
        <w:tc>
          <w:tcPr>
            <w:tcW w:w="750" w:type="pct"/>
            <w:tcBorders>
              <w:top w:val="single" w:sz="4" w:space="0" w:color="auto"/>
              <w:left w:val="single" w:sz="4" w:space="0" w:color="auto"/>
              <w:bottom w:val="single" w:sz="4" w:space="0" w:color="auto"/>
              <w:right w:val="single" w:sz="4" w:space="0" w:color="auto"/>
            </w:tcBorders>
            <w:vAlign w:val="center"/>
          </w:tcPr>
          <w:p w14:paraId="2A251057"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102,464,140.20</w:t>
            </w:r>
          </w:p>
        </w:tc>
        <w:tc>
          <w:tcPr>
            <w:tcW w:w="750" w:type="pct"/>
            <w:tcBorders>
              <w:top w:val="single" w:sz="4" w:space="0" w:color="auto"/>
              <w:left w:val="single" w:sz="4" w:space="0" w:color="auto"/>
              <w:bottom w:val="single" w:sz="4" w:space="0" w:color="auto"/>
              <w:right w:val="single" w:sz="4" w:space="0" w:color="auto"/>
            </w:tcBorders>
            <w:vAlign w:val="center"/>
          </w:tcPr>
          <w:p w14:paraId="6AF09E2A"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3.20</w:t>
            </w:r>
          </w:p>
        </w:tc>
      </w:tr>
      <w:tr w:rsidR="00877B87" w14:paraId="669060D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73D229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0F6492F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300014</w:t>
            </w:r>
          </w:p>
        </w:tc>
        <w:tc>
          <w:tcPr>
            <w:tcW w:w="750" w:type="pct"/>
            <w:tcBorders>
              <w:top w:val="single" w:sz="4" w:space="0" w:color="auto"/>
              <w:left w:val="single" w:sz="4" w:space="0" w:color="auto"/>
              <w:bottom w:val="single" w:sz="4" w:space="0" w:color="auto"/>
              <w:right w:val="single" w:sz="4" w:space="0" w:color="auto"/>
            </w:tcBorders>
            <w:vAlign w:val="center"/>
          </w:tcPr>
          <w:p w14:paraId="206793C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亿纬锂能</w:t>
            </w:r>
          </w:p>
        </w:tc>
        <w:tc>
          <w:tcPr>
            <w:tcW w:w="750" w:type="pct"/>
            <w:tcBorders>
              <w:top w:val="single" w:sz="4" w:space="0" w:color="auto"/>
              <w:left w:val="single" w:sz="4" w:space="0" w:color="auto"/>
              <w:bottom w:val="single" w:sz="4" w:space="0" w:color="auto"/>
              <w:right w:val="single" w:sz="4" w:space="0" w:color="auto"/>
            </w:tcBorders>
            <w:vAlign w:val="center"/>
          </w:tcPr>
          <w:p w14:paraId="409C3485"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1,963,173</w:t>
            </w:r>
          </w:p>
        </w:tc>
        <w:tc>
          <w:tcPr>
            <w:tcW w:w="750" w:type="pct"/>
            <w:tcBorders>
              <w:top w:val="single" w:sz="4" w:space="0" w:color="auto"/>
              <w:left w:val="single" w:sz="4" w:space="0" w:color="auto"/>
              <w:bottom w:val="single" w:sz="4" w:space="0" w:color="auto"/>
              <w:right w:val="single" w:sz="4" w:space="0" w:color="auto"/>
            </w:tcBorders>
            <w:vAlign w:val="center"/>
          </w:tcPr>
          <w:p w14:paraId="4397B14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78,369,866.16</w:t>
            </w:r>
          </w:p>
        </w:tc>
        <w:tc>
          <w:tcPr>
            <w:tcW w:w="750" w:type="pct"/>
            <w:tcBorders>
              <w:top w:val="single" w:sz="4" w:space="0" w:color="auto"/>
              <w:left w:val="single" w:sz="4" w:space="0" w:color="auto"/>
              <w:bottom w:val="single" w:sz="4" w:space="0" w:color="auto"/>
              <w:right w:val="single" w:sz="4" w:space="0" w:color="auto"/>
            </w:tcBorders>
            <w:vAlign w:val="center"/>
          </w:tcPr>
          <w:p w14:paraId="2D77C36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2.45</w:t>
            </w:r>
          </w:p>
        </w:tc>
      </w:tr>
      <w:tr w:rsidR="00877B87" w14:paraId="361814F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BE0262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71252871"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300015</w:t>
            </w:r>
          </w:p>
        </w:tc>
        <w:tc>
          <w:tcPr>
            <w:tcW w:w="750" w:type="pct"/>
            <w:tcBorders>
              <w:top w:val="single" w:sz="4" w:space="0" w:color="auto"/>
              <w:left w:val="single" w:sz="4" w:space="0" w:color="auto"/>
              <w:bottom w:val="single" w:sz="4" w:space="0" w:color="auto"/>
              <w:right w:val="single" w:sz="4" w:space="0" w:color="auto"/>
            </w:tcBorders>
            <w:vAlign w:val="center"/>
          </w:tcPr>
          <w:p w14:paraId="398D7BAD"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爱尔眼科</w:t>
            </w:r>
          </w:p>
        </w:tc>
        <w:tc>
          <w:tcPr>
            <w:tcW w:w="750" w:type="pct"/>
            <w:tcBorders>
              <w:top w:val="single" w:sz="4" w:space="0" w:color="auto"/>
              <w:left w:val="single" w:sz="4" w:space="0" w:color="auto"/>
              <w:bottom w:val="single" w:sz="4" w:space="0" w:color="auto"/>
              <w:right w:val="single" w:sz="4" w:space="0" w:color="auto"/>
            </w:tcBorders>
            <w:vAlign w:val="center"/>
          </w:tcPr>
          <w:p w14:paraId="03CE62CF"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6,715,208</w:t>
            </w:r>
          </w:p>
        </w:tc>
        <w:tc>
          <w:tcPr>
            <w:tcW w:w="750" w:type="pct"/>
            <w:tcBorders>
              <w:top w:val="single" w:sz="4" w:space="0" w:color="auto"/>
              <w:left w:val="single" w:sz="4" w:space="0" w:color="auto"/>
              <w:bottom w:val="single" w:sz="4" w:space="0" w:color="auto"/>
              <w:right w:val="single" w:sz="4" w:space="0" w:color="auto"/>
            </w:tcBorders>
            <w:vAlign w:val="center"/>
          </w:tcPr>
          <w:p w14:paraId="1FB15334"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69,300,946.56</w:t>
            </w:r>
          </w:p>
        </w:tc>
        <w:tc>
          <w:tcPr>
            <w:tcW w:w="750" w:type="pct"/>
            <w:tcBorders>
              <w:top w:val="single" w:sz="4" w:space="0" w:color="auto"/>
              <w:left w:val="single" w:sz="4" w:space="0" w:color="auto"/>
              <w:bottom w:val="single" w:sz="4" w:space="0" w:color="auto"/>
              <w:right w:val="single" w:sz="4" w:space="0" w:color="auto"/>
            </w:tcBorders>
            <w:vAlign w:val="center"/>
          </w:tcPr>
          <w:p w14:paraId="70D1A79D"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2.16</w:t>
            </w:r>
          </w:p>
        </w:tc>
      </w:tr>
      <w:tr w:rsidR="00877B87" w14:paraId="034852A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4E8326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6AE24C8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300408</w:t>
            </w:r>
          </w:p>
        </w:tc>
        <w:tc>
          <w:tcPr>
            <w:tcW w:w="750" w:type="pct"/>
            <w:tcBorders>
              <w:top w:val="single" w:sz="4" w:space="0" w:color="auto"/>
              <w:left w:val="single" w:sz="4" w:space="0" w:color="auto"/>
              <w:bottom w:val="single" w:sz="4" w:space="0" w:color="auto"/>
              <w:right w:val="single" w:sz="4" w:space="0" w:color="auto"/>
            </w:tcBorders>
            <w:vAlign w:val="center"/>
          </w:tcPr>
          <w:p w14:paraId="069E5F8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三环集团</w:t>
            </w:r>
          </w:p>
        </w:tc>
        <w:tc>
          <w:tcPr>
            <w:tcW w:w="750" w:type="pct"/>
            <w:tcBorders>
              <w:top w:val="single" w:sz="4" w:space="0" w:color="auto"/>
              <w:left w:val="single" w:sz="4" w:space="0" w:color="auto"/>
              <w:bottom w:val="single" w:sz="4" w:space="0" w:color="auto"/>
              <w:right w:val="single" w:sz="4" w:space="0" w:color="auto"/>
            </w:tcBorders>
            <w:vAlign w:val="center"/>
          </w:tcPr>
          <w:p w14:paraId="04C2EC4D"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1,957,287</w:t>
            </w:r>
          </w:p>
        </w:tc>
        <w:tc>
          <w:tcPr>
            <w:tcW w:w="750" w:type="pct"/>
            <w:tcBorders>
              <w:top w:val="single" w:sz="4" w:space="0" w:color="auto"/>
              <w:left w:val="single" w:sz="4" w:space="0" w:color="auto"/>
              <w:bottom w:val="single" w:sz="4" w:space="0" w:color="auto"/>
              <w:right w:val="single" w:sz="4" w:space="0" w:color="auto"/>
            </w:tcBorders>
            <w:vAlign w:val="center"/>
          </w:tcPr>
          <w:p w14:paraId="44EFF2EE"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57,133,207.53</w:t>
            </w:r>
          </w:p>
        </w:tc>
        <w:tc>
          <w:tcPr>
            <w:tcW w:w="750" w:type="pct"/>
            <w:tcBorders>
              <w:top w:val="single" w:sz="4" w:space="0" w:color="auto"/>
              <w:left w:val="single" w:sz="4" w:space="0" w:color="auto"/>
              <w:bottom w:val="single" w:sz="4" w:space="0" w:color="auto"/>
              <w:right w:val="single" w:sz="4" w:space="0" w:color="auto"/>
            </w:tcBorders>
            <w:vAlign w:val="center"/>
          </w:tcPr>
          <w:p w14:paraId="44476DB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1.78</w:t>
            </w:r>
          </w:p>
        </w:tc>
      </w:tr>
    </w:tbl>
    <w:p w14:paraId="0898B13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 报告期末积极投资按公允价值占基金资产净值比例大小排序的前五名股票投资明细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877B87" w14:paraId="72C6A79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64D3097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0F1FB29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E13A353"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26D77C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C98D1D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2DB779C1"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877B87" w14:paraId="0022894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A1955A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1</w:t>
            </w:r>
          </w:p>
        </w:tc>
        <w:tc>
          <w:tcPr>
            <w:tcW w:w="750" w:type="pct"/>
            <w:tcBorders>
              <w:top w:val="single" w:sz="4" w:space="0" w:color="auto"/>
              <w:left w:val="single" w:sz="4" w:space="0" w:color="auto"/>
              <w:bottom w:val="single" w:sz="4" w:space="0" w:color="auto"/>
              <w:right w:val="single" w:sz="4" w:space="0" w:color="auto"/>
            </w:tcBorders>
            <w:vAlign w:val="center"/>
          </w:tcPr>
          <w:p w14:paraId="48F8C2A9"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301565</w:t>
            </w:r>
          </w:p>
        </w:tc>
        <w:tc>
          <w:tcPr>
            <w:tcW w:w="750" w:type="pct"/>
            <w:tcBorders>
              <w:top w:val="single" w:sz="4" w:space="0" w:color="auto"/>
              <w:left w:val="single" w:sz="4" w:space="0" w:color="auto"/>
              <w:bottom w:val="single" w:sz="4" w:space="0" w:color="auto"/>
              <w:right w:val="single" w:sz="4" w:space="0" w:color="auto"/>
            </w:tcBorders>
            <w:vAlign w:val="center"/>
          </w:tcPr>
          <w:p w14:paraId="0A50AE0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中仑新材</w:t>
            </w:r>
          </w:p>
        </w:tc>
        <w:tc>
          <w:tcPr>
            <w:tcW w:w="750" w:type="pct"/>
            <w:tcBorders>
              <w:top w:val="single" w:sz="4" w:space="0" w:color="auto"/>
              <w:left w:val="single" w:sz="4" w:space="0" w:color="auto"/>
              <w:bottom w:val="single" w:sz="4" w:space="0" w:color="auto"/>
              <w:right w:val="single" w:sz="4" w:space="0" w:color="auto"/>
            </w:tcBorders>
            <w:vAlign w:val="center"/>
          </w:tcPr>
          <w:p w14:paraId="54320EB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7,103</w:t>
            </w:r>
          </w:p>
        </w:tc>
        <w:tc>
          <w:tcPr>
            <w:tcW w:w="750" w:type="pct"/>
            <w:tcBorders>
              <w:top w:val="single" w:sz="4" w:space="0" w:color="auto"/>
              <w:left w:val="single" w:sz="4" w:space="0" w:color="auto"/>
              <w:bottom w:val="single" w:sz="4" w:space="0" w:color="auto"/>
              <w:right w:val="single" w:sz="4" w:space="0" w:color="auto"/>
            </w:tcBorders>
            <w:vAlign w:val="center"/>
          </w:tcPr>
          <w:p w14:paraId="1F6ACB0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174,381.42</w:t>
            </w:r>
          </w:p>
        </w:tc>
        <w:tc>
          <w:tcPr>
            <w:tcW w:w="750" w:type="pct"/>
            <w:tcBorders>
              <w:top w:val="single" w:sz="4" w:space="0" w:color="auto"/>
              <w:left w:val="single" w:sz="4" w:space="0" w:color="auto"/>
              <w:bottom w:val="single" w:sz="4" w:space="0" w:color="auto"/>
              <w:right w:val="single" w:sz="4" w:space="0" w:color="auto"/>
            </w:tcBorders>
            <w:vAlign w:val="center"/>
          </w:tcPr>
          <w:p w14:paraId="5EFBE23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0.01</w:t>
            </w:r>
          </w:p>
        </w:tc>
      </w:tr>
      <w:tr w:rsidR="00877B87" w14:paraId="76C1B58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7F8A00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28206B2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301580</w:t>
            </w:r>
          </w:p>
        </w:tc>
        <w:tc>
          <w:tcPr>
            <w:tcW w:w="750" w:type="pct"/>
            <w:tcBorders>
              <w:top w:val="single" w:sz="4" w:space="0" w:color="auto"/>
              <w:left w:val="single" w:sz="4" w:space="0" w:color="auto"/>
              <w:bottom w:val="single" w:sz="4" w:space="0" w:color="auto"/>
              <w:right w:val="single" w:sz="4" w:space="0" w:color="auto"/>
            </w:tcBorders>
            <w:vAlign w:val="center"/>
          </w:tcPr>
          <w:p w14:paraId="7EBBEFB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爱迪特</w:t>
            </w:r>
          </w:p>
        </w:tc>
        <w:tc>
          <w:tcPr>
            <w:tcW w:w="750" w:type="pct"/>
            <w:tcBorders>
              <w:top w:val="single" w:sz="4" w:space="0" w:color="auto"/>
              <w:left w:val="single" w:sz="4" w:space="0" w:color="auto"/>
              <w:bottom w:val="single" w:sz="4" w:space="0" w:color="auto"/>
              <w:right w:val="single" w:sz="4" w:space="0" w:color="auto"/>
            </w:tcBorders>
            <w:vAlign w:val="center"/>
          </w:tcPr>
          <w:p w14:paraId="0AE827EF"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2,018</w:t>
            </w:r>
          </w:p>
        </w:tc>
        <w:tc>
          <w:tcPr>
            <w:tcW w:w="750" w:type="pct"/>
            <w:tcBorders>
              <w:top w:val="single" w:sz="4" w:space="0" w:color="auto"/>
              <w:left w:val="single" w:sz="4" w:space="0" w:color="auto"/>
              <w:bottom w:val="single" w:sz="4" w:space="0" w:color="auto"/>
              <w:right w:val="single" w:sz="4" w:space="0" w:color="auto"/>
            </w:tcBorders>
            <w:vAlign w:val="center"/>
          </w:tcPr>
          <w:p w14:paraId="0750B765"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153,513.06</w:t>
            </w:r>
          </w:p>
        </w:tc>
        <w:tc>
          <w:tcPr>
            <w:tcW w:w="750" w:type="pct"/>
            <w:tcBorders>
              <w:top w:val="single" w:sz="4" w:space="0" w:color="auto"/>
              <w:left w:val="single" w:sz="4" w:space="0" w:color="auto"/>
              <w:bottom w:val="single" w:sz="4" w:space="0" w:color="auto"/>
              <w:right w:val="single" w:sz="4" w:space="0" w:color="auto"/>
            </w:tcBorders>
            <w:vAlign w:val="center"/>
          </w:tcPr>
          <w:p w14:paraId="3E9860AD"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877B87" w14:paraId="699F0F8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05DA60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23B6436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301526</w:t>
            </w:r>
          </w:p>
        </w:tc>
        <w:tc>
          <w:tcPr>
            <w:tcW w:w="750" w:type="pct"/>
            <w:tcBorders>
              <w:top w:val="single" w:sz="4" w:space="0" w:color="auto"/>
              <w:left w:val="single" w:sz="4" w:space="0" w:color="auto"/>
              <w:bottom w:val="single" w:sz="4" w:space="0" w:color="auto"/>
              <w:right w:val="single" w:sz="4" w:space="0" w:color="auto"/>
            </w:tcBorders>
            <w:vAlign w:val="center"/>
          </w:tcPr>
          <w:p w14:paraId="2245053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国际复材</w:t>
            </w:r>
          </w:p>
        </w:tc>
        <w:tc>
          <w:tcPr>
            <w:tcW w:w="750" w:type="pct"/>
            <w:tcBorders>
              <w:top w:val="single" w:sz="4" w:space="0" w:color="auto"/>
              <w:left w:val="single" w:sz="4" w:space="0" w:color="auto"/>
              <w:bottom w:val="single" w:sz="4" w:space="0" w:color="auto"/>
              <w:right w:val="single" w:sz="4" w:space="0" w:color="auto"/>
            </w:tcBorders>
            <w:vAlign w:val="center"/>
          </w:tcPr>
          <w:p w14:paraId="4CE4D5D5"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9,723</w:t>
            </w:r>
          </w:p>
        </w:tc>
        <w:tc>
          <w:tcPr>
            <w:tcW w:w="750" w:type="pct"/>
            <w:tcBorders>
              <w:top w:val="single" w:sz="4" w:space="0" w:color="auto"/>
              <w:left w:val="single" w:sz="4" w:space="0" w:color="auto"/>
              <w:bottom w:val="single" w:sz="4" w:space="0" w:color="auto"/>
              <w:right w:val="single" w:sz="4" w:space="0" w:color="auto"/>
            </w:tcBorders>
            <w:vAlign w:val="center"/>
          </w:tcPr>
          <w:p w14:paraId="01EC2C97"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32,377.59</w:t>
            </w:r>
          </w:p>
        </w:tc>
        <w:tc>
          <w:tcPr>
            <w:tcW w:w="750" w:type="pct"/>
            <w:tcBorders>
              <w:top w:val="single" w:sz="4" w:space="0" w:color="auto"/>
              <w:left w:val="single" w:sz="4" w:space="0" w:color="auto"/>
              <w:bottom w:val="single" w:sz="4" w:space="0" w:color="auto"/>
              <w:right w:val="single" w:sz="4" w:space="0" w:color="auto"/>
            </w:tcBorders>
            <w:vAlign w:val="center"/>
          </w:tcPr>
          <w:p w14:paraId="5C775905"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877B87" w14:paraId="1D6391D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62472E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0F5A051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301536</w:t>
            </w:r>
          </w:p>
        </w:tc>
        <w:tc>
          <w:tcPr>
            <w:tcW w:w="750" w:type="pct"/>
            <w:tcBorders>
              <w:top w:val="single" w:sz="4" w:space="0" w:color="auto"/>
              <w:left w:val="single" w:sz="4" w:space="0" w:color="auto"/>
              <w:bottom w:val="single" w:sz="4" w:space="0" w:color="auto"/>
              <w:right w:val="single" w:sz="4" w:space="0" w:color="auto"/>
            </w:tcBorders>
            <w:vAlign w:val="center"/>
          </w:tcPr>
          <w:p w14:paraId="0B81AA5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星宸科技</w:t>
            </w:r>
          </w:p>
        </w:tc>
        <w:tc>
          <w:tcPr>
            <w:tcW w:w="750" w:type="pct"/>
            <w:tcBorders>
              <w:top w:val="single" w:sz="4" w:space="0" w:color="auto"/>
              <w:left w:val="single" w:sz="4" w:space="0" w:color="auto"/>
              <w:bottom w:val="single" w:sz="4" w:space="0" w:color="auto"/>
              <w:right w:val="single" w:sz="4" w:space="0" w:color="auto"/>
            </w:tcBorders>
            <w:vAlign w:val="center"/>
          </w:tcPr>
          <w:p w14:paraId="08703F1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481</w:t>
            </w:r>
          </w:p>
        </w:tc>
        <w:tc>
          <w:tcPr>
            <w:tcW w:w="750" w:type="pct"/>
            <w:tcBorders>
              <w:top w:val="single" w:sz="4" w:space="0" w:color="auto"/>
              <w:left w:val="single" w:sz="4" w:space="0" w:color="auto"/>
              <w:bottom w:val="single" w:sz="4" w:space="0" w:color="auto"/>
              <w:right w:val="single" w:sz="4" w:space="0" w:color="auto"/>
            </w:tcBorders>
            <w:vAlign w:val="center"/>
          </w:tcPr>
          <w:p w14:paraId="553148BE"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15,521.87</w:t>
            </w:r>
          </w:p>
        </w:tc>
        <w:tc>
          <w:tcPr>
            <w:tcW w:w="750" w:type="pct"/>
            <w:tcBorders>
              <w:top w:val="single" w:sz="4" w:space="0" w:color="auto"/>
              <w:left w:val="single" w:sz="4" w:space="0" w:color="auto"/>
              <w:bottom w:val="single" w:sz="4" w:space="0" w:color="auto"/>
              <w:right w:val="single" w:sz="4" w:space="0" w:color="auto"/>
            </w:tcBorders>
            <w:vAlign w:val="center"/>
          </w:tcPr>
          <w:p w14:paraId="5EC096BC"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877B87" w14:paraId="50E1BE6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FDF0CB9"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7AF7D558"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301538</w:t>
            </w:r>
          </w:p>
        </w:tc>
        <w:tc>
          <w:tcPr>
            <w:tcW w:w="750" w:type="pct"/>
            <w:tcBorders>
              <w:top w:val="single" w:sz="4" w:space="0" w:color="auto"/>
              <w:left w:val="single" w:sz="4" w:space="0" w:color="auto"/>
              <w:bottom w:val="single" w:sz="4" w:space="0" w:color="auto"/>
              <w:right w:val="single" w:sz="4" w:space="0" w:color="auto"/>
            </w:tcBorders>
            <w:vAlign w:val="center"/>
          </w:tcPr>
          <w:p w14:paraId="10C07D6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骏鼎达</w:t>
            </w:r>
          </w:p>
        </w:tc>
        <w:tc>
          <w:tcPr>
            <w:tcW w:w="750" w:type="pct"/>
            <w:tcBorders>
              <w:top w:val="single" w:sz="4" w:space="0" w:color="auto"/>
              <w:left w:val="single" w:sz="4" w:space="0" w:color="auto"/>
              <w:bottom w:val="single" w:sz="4" w:space="0" w:color="auto"/>
              <w:right w:val="single" w:sz="4" w:space="0" w:color="auto"/>
            </w:tcBorders>
            <w:vAlign w:val="center"/>
          </w:tcPr>
          <w:p w14:paraId="439738E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150</w:t>
            </w:r>
          </w:p>
        </w:tc>
        <w:tc>
          <w:tcPr>
            <w:tcW w:w="750" w:type="pct"/>
            <w:tcBorders>
              <w:top w:val="single" w:sz="4" w:space="0" w:color="auto"/>
              <w:left w:val="single" w:sz="4" w:space="0" w:color="auto"/>
              <w:bottom w:val="single" w:sz="4" w:space="0" w:color="auto"/>
              <w:right w:val="single" w:sz="4" w:space="0" w:color="auto"/>
            </w:tcBorders>
            <w:vAlign w:val="center"/>
          </w:tcPr>
          <w:p w14:paraId="1B6DB12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13,686.00</w:t>
            </w:r>
          </w:p>
        </w:tc>
        <w:tc>
          <w:tcPr>
            <w:tcW w:w="750" w:type="pct"/>
            <w:tcBorders>
              <w:top w:val="single" w:sz="4" w:space="0" w:color="auto"/>
              <w:left w:val="single" w:sz="4" w:space="0" w:color="auto"/>
              <w:bottom w:val="single" w:sz="4" w:space="0" w:color="auto"/>
              <w:right w:val="single" w:sz="4" w:space="0" w:color="auto"/>
            </w:tcBorders>
            <w:vAlign w:val="center"/>
          </w:tcPr>
          <w:p w14:paraId="5A3225D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bl>
    <w:p w14:paraId="7F5282C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4、报告期末按债券品种分类的债券投资组合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877B87" w14:paraId="690C3D2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1B710FAD"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B73169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937A32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167A333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877B87" w14:paraId="7E8A72B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5927EB3"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30134CB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sz="4" w:space="0" w:color="auto"/>
              <w:left w:val="single" w:sz="4" w:space="0" w:color="auto"/>
              <w:bottom w:val="single" w:sz="4" w:space="0" w:color="auto"/>
              <w:right w:val="single" w:sz="4" w:space="0" w:color="auto"/>
            </w:tcBorders>
            <w:vAlign w:val="center"/>
          </w:tcPr>
          <w:p w14:paraId="6F736225"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15,742,033.56</w:t>
            </w:r>
          </w:p>
        </w:tc>
        <w:tc>
          <w:tcPr>
            <w:tcW w:w="400" w:type="pct"/>
            <w:tcBorders>
              <w:top w:val="single" w:sz="4" w:space="0" w:color="auto"/>
              <w:left w:val="single" w:sz="4" w:space="0" w:color="auto"/>
              <w:bottom w:val="single" w:sz="4" w:space="0" w:color="auto"/>
              <w:right w:val="single" w:sz="4" w:space="0" w:color="auto"/>
            </w:tcBorders>
            <w:vAlign w:val="center"/>
          </w:tcPr>
          <w:p w14:paraId="388918D5"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0.49</w:t>
            </w:r>
          </w:p>
        </w:tc>
      </w:tr>
      <w:tr w:rsidR="00877B87" w14:paraId="7A430B5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060312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25494D4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sz="4" w:space="0" w:color="auto"/>
              <w:left w:val="single" w:sz="4" w:space="0" w:color="auto"/>
              <w:bottom w:val="single" w:sz="4" w:space="0" w:color="auto"/>
              <w:right w:val="single" w:sz="4" w:space="0" w:color="auto"/>
            </w:tcBorders>
            <w:vAlign w:val="center"/>
          </w:tcPr>
          <w:p w14:paraId="0827510D"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75D1D8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4BC4A7A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9175BD3"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102AAFA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sz="4" w:space="0" w:color="auto"/>
              <w:left w:val="single" w:sz="4" w:space="0" w:color="auto"/>
              <w:bottom w:val="single" w:sz="4" w:space="0" w:color="auto"/>
              <w:right w:val="single" w:sz="4" w:space="0" w:color="auto"/>
            </w:tcBorders>
            <w:vAlign w:val="center"/>
          </w:tcPr>
          <w:p w14:paraId="50A1793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DB38A11"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257B1B3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25FDC8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429CD9E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sz="4" w:space="0" w:color="auto"/>
              <w:left w:val="single" w:sz="4" w:space="0" w:color="auto"/>
              <w:bottom w:val="single" w:sz="4" w:space="0" w:color="auto"/>
              <w:right w:val="single" w:sz="4" w:space="0" w:color="auto"/>
            </w:tcBorders>
            <w:vAlign w:val="center"/>
          </w:tcPr>
          <w:p w14:paraId="165F394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E23FBAE"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16EC6CD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ED051D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18DF9F4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sz="4" w:space="0" w:color="auto"/>
              <w:left w:val="single" w:sz="4" w:space="0" w:color="auto"/>
              <w:bottom w:val="single" w:sz="4" w:space="0" w:color="auto"/>
              <w:right w:val="single" w:sz="4" w:space="0" w:color="auto"/>
            </w:tcBorders>
            <w:vAlign w:val="center"/>
          </w:tcPr>
          <w:p w14:paraId="55EE7DC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95BEEFF"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7164A9F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718B43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59C6BE0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企业短期融资券</w:t>
            </w:r>
          </w:p>
        </w:tc>
        <w:tc>
          <w:tcPr>
            <w:tcW w:w="750" w:type="pct"/>
            <w:tcBorders>
              <w:top w:val="single" w:sz="4" w:space="0" w:color="auto"/>
              <w:left w:val="single" w:sz="4" w:space="0" w:color="auto"/>
              <w:bottom w:val="single" w:sz="4" w:space="0" w:color="auto"/>
              <w:right w:val="single" w:sz="4" w:space="0" w:color="auto"/>
            </w:tcBorders>
            <w:vAlign w:val="center"/>
          </w:tcPr>
          <w:p w14:paraId="387606A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2E9761B"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7A6FA8F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DD8955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38E5D7C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sz="4" w:space="0" w:color="auto"/>
              <w:left w:val="single" w:sz="4" w:space="0" w:color="auto"/>
              <w:bottom w:val="single" w:sz="4" w:space="0" w:color="auto"/>
              <w:right w:val="single" w:sz="4" w:space="0" w:color="auto"/>
            </w:tcBorders>
            <w:vAlign w:val="center"/>
          </w:tcPr>
          <w:p w14:paraId="6494282A"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2D5AD8C"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6F1B10D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8B265D9"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5EFA066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sz="4" w:space="0" w:color="auto"/>
              <w:left w:val="single" w:sz="4" w:space="0" w:color="auto"/>
              <w:bottom w:val="single" w:sz="4" w:space="0" w:color="auto"/>
              <w:right w:val="single" w:sz="4" w:space="0" w:color="auto"/>
            </w:tcBorders>
            <w:vAlign w:val="center"/>
          </w:tcPr>
          <w:p w14:paraId="38D39B3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8F58C7B"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11E72AC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C60FC5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2FBE5EE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sz="4" w:space="0" w:color="auto"/>
              <w:left w:val="single" w:sz="4" w:space="0" w:color="auto"/>
              <w:bottom w:val="single" w:sz="4" w:space="0" w:color="auto"/>
              <w:right w:val="single" w:sz="4" w:space="0" w:color="auto"/>
            </w:tcBorders>
            <w:vAlign w:val="center"/>
          </w:tcPr>
          <w:p w14:paraId="354C1CD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3FB11D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37F303C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C60384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425BF9E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sz="4" w:space="0" w:color="auto"/>
              <w:left w:val="single" w:sz="4" w:space="0" w:color="auto"/>
              <w:bottom w:val="single" w:sz="4" w:space="0" w:color="auto"/>
              <w:right w:val="single" w:sz="4" w:space="0" w:color="auto"/>
            </w:tcBorders>
            <w:vAlign w:val="center"/>
          </w:tcPr>
          <w:p w14:paraId="5D8EBB01"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7A8F605"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65CB9E7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0E564C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7B570A1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552A12BB"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15,742,033.56</w:t>
            </w:r>
          </w:p>
        </w:tc>
        <w:tc>
          <w:tcPr>
            <w:tcW w:w="400" w:type="pct"/>
            <w:tcBorders>
              <w:top w:val="single" w:sz="4" w:space="0" w:color="auto"/>
              <w:left w:val="single" w:sz="4" w:space="0" w:color="auto"/>
              <w:bottom w:val="single" w:sz="4" w:space="0" w:color="auto"/>
              <w:right w:val="single" w:sz="4" w:space="0" w:color="auto"/>
            </w:tcBorders>
            <w:vAlign w:val="center"/>
          </w:tcPr>
          <w:p w14:paraId="4A1D6C2C"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0.49</w:t>
            </w:r>
          </w:p>
        </w:tc>
      </w:tr>
    </w:tbl>
    <w:p w14:paraId="4F8B03D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5、报告期末按公允价值占基金资产净值比例大小排序的前五名债券投资明细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877B87" w14:paraId="4D6279C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231F02F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7C13F2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BA0A651"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D1941A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CF951ED"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03C8E76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877B87" w14:paraId="4CF1AD7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5E721A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1F02293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019709</w:t>
            </w:r>
          </w:p>
        </w:tc>
        <w:tc>
          <w:tcPr>
            <w:tcW w:w="750" w:type="pct"/>
            <w:tcBorders>
              <w:top w:val="single" w:sz="4" w:space="0" w:color="auto"/>
              <w:left w:val="single" w:sz="4" w:space="0" w:color="auto"/>
              <w:bottom w:val="single" w:sz="4" w:space="0" w:color="auto"/>
              <w:right w:val="single" w:sz="4" w:space="0" w:color="auto"/>
            </w:tcBorders>
            <w:vAlign w:val="center"/>
          </w:tcPr>
          <w:p w14:paraId="30F48D0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23</w:t>
            </w:r>
            <w:r>
              <w:rPr>
                <w:rFonts w:ascii="Times New Roman" w:hAnsi="Times New Roman"/>
                <w:color w:val="000000"/>
                <w:kern w:val="0"/>
                <w:sz w:val="25"/>
                <w:szCs w:val="24"/>
              </w:rPr>
              <w:t>国债</w:t>
            </w: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14:paraId="30D43D0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155,000</w:t>
            </w:r>
          </w:p>
        </w:tc>
        <w:tc>
          <w:tcPr>
            <w:tcW w:w="750" w:type="pct"/>
            <w:tcBorders>
              <w:top w:val="single" w:sz="4" w:space="0" w:color="auto"/>
              <w:left w:val="single" w:sz="4" w:space="0" w:color="auto"/>
              <w:bottom w:val="single" w:sz="4" w:space="0" w:color="auto"/>
              <w:right w:val="single" w:sz="4" w:space="0" w:color="auto"/>
            </w:tcBorders>
            <w:vAlign w:val="center"/>
          </w:tcPr>
          <w:p w14:paraId="59355748"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15,742,033.56</w:t>
            </w:r>
          </w:p>
        </w:tc>
        <w:tc>
          <w:tcPr>
            <w:tcW w:w="750" w:type="pct"/>
            <w:tcBorders>
              <w:top w:val="single" w:sz="4" w:space="0" w:color="auto"/>
              <w:left w:val="single" w:sz="4" w:space="0" w:color="auto"/>
              <w:bottom w:val="single" w:sz="4" w:space="0" w:color="auto"/>
              <w:right w:val="single" w:sz="4" w:space="0" w:color="auto"/>
            </w:tcBorders>
            <w:vAlign w:val="center"/>
          </w:tcPr>
          <w:p w14:paraId="6E62520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0.49</w:t>
            </w:r>
          </w:p>
        </w:tc>
      </w:tr>
    </w:tbl>
    <w:p w14:paraId="6E98565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6、报告期末按公允价值占基金资产净值比例大小排序的前十名资产支持证券投资明细</w:t>
      </w:r>
    </w:p>
    <w:p w14:paraId="6534421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20D805C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7、报告期末按公允价值占基金资产净值比例大小排序的前五名贵金属投资明细</w:t>
      </w:r>
    </w:p>
    <w:p w14:paraId="1A61AD0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3038DA2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8、报告期末按公允价值占基金资产净值比例大小排序的前五名权证投资明细</w:t>
      </w:r>
    </w:p>
    <w:p w14:paraId="10163C3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40103A2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9、报告期末本基金投资的股指期货交易情况说明</w:t>
      </w:r>
    </w:p>
    <w:p w14:paraId="4994E5C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 报告期末本基金投资的股指期货持仓和损益明细</w:t>
      </w:r>
    </w:p>
    <w:p w14:paraId="703EFE4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3BAE73A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9.2 本基金投资股指期货的投资政策</w:t>
      </w:r>
    </w:p>
    <w:p w14:paraId="2E971FB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6A9623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10、报告期末本基金投资的国债期货交易情况说明</w:t>
      </w:r>
    </w:p>
    <w:p w14:paraId="5B2A8A1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 本期国债期货投资政策</w:t>
      </w:r>
    </w:p>
    <w:p w14:paraId="09FF61C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2557D51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 报告期末本基金投资的国债期货持仓和损益明细</w:t>
      </w:r>
    </w:p>
    <w:p w14:paraId="359657C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63B23C4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 本期国债期货投资评价</w:t>
      </w:r>
    </w:p>
    <w:p w14:paraId="47BEE7C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01CE866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11、投资组合报告附注</w:t>
      </w:r>
    </w:p>
    <w:p w14:paraId="6B07C1D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14:paraId="23A512F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报告期内本基金投资的前十名证券的发行主体未被监管部门立案调查，在本报告编制日前一年内本基金投资的前十名证券的发行主体未受到公开谴责和处罚。</w:t>
      </w:r>
    </w:p>
    <w:p w14:paraId="0ED4F92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11.2 基金投资的前十名股票是否超出基金合同规定的备选股票库</w:t>
      </w:r>
    </w:p>
    <w:p w14:paraId="1B661C5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基金投资的前十名股票中，没有超出基金合同规定的备选股票库之外的股票。</w:t>
      </w:r>
    </w:p>
    <w:p w14:paraId="3759F5A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11.3 其他资产构成</w:t>
      </w:r>
    </w:p>
    <w:tbl>
      <w:tblPr>
        <w:tblW w:w="5000" w:type="pct"/>
        <w:tblCellMar>
          <w:left w:w="0" w:type="dxa"/>
          <w:right w:w="0" w:type="dxa"/>
        </w:tblCellMar>
        <w:tblLook w:val="0000" w:firstRow="0" w:lastRow="0" w:firstColumn="0" w:lastColumn="0" w:noHBand="0" w:noVBand="0"/>
      </w:tblPr>
      <w:tblGrid>
        <w:gridCol w:w="1544"/>
        <w:gridCol w:w="4634"/>
        <w:gridCol w:w="2472"/>
      </w:tblGrid>
      <w:tr w:rsidR="00877B87" w14:paraId="7C3061D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1132869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A618CF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6B6AD313"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rsidR="00877B87" w14:paraId="1C169AC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72611CD"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3A85D53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14:paraId="3B508BF9"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75,026.05</w:t>
            </w:r>
          </w:p>
        </w:tc>
      </w:tr>
      <w:tr w:rsidR="00877B87" w14:paraId="168EE42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A3BF35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58F456C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14:paraId="30B122C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50294F7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2D3CC8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1259B2B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14:paraId="1629799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0A25B07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BD9A2D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4749684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14:paraId="66313E08"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6DD9F31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2F0A7B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455EFE6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14:paraId="6853B1D4"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3,811,108.67</w:t>
            </w:r>
          </w:p>
        </w:tc>
      </w:tr>
      <w:tr w:rsidR="00877B87" w14:paraId="5F3AFE2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D50D5A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01228A4C"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14:paraId="2520326B"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20A8559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535D86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2DBAE31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14:paraId="75A6F23F"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877B87" w14:paraId="3F8DE3B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4E97C9D"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3C5E9AA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14:paraId="145FF02E"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3,886,134.72</w:t>
            </w:r>
          </w:p>
        </w:tc>
      </w:tr>
    </w:tbl>
    <w:p w14:paraId="41649BA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 报告期末持有的处于转股期的可转换债券明细</w:t>
      </w:r>
    </w:p>
    <w:p w14:paraId="4BB3F86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524E9EF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 报告期末股票中存在流通受限情况的说明</w:t>
      </w:r>
    </w:p>
    <w:p w14:paraId="2D34CE4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报告期末指数投资前十名股票中存在流通受限情况的说明</w:t>
      </w:r>
    </w:p>
    <w:p w14:paraId="5DDB741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47020D9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报告期末积极投资前五名股票中存在流通受限情况的说明</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877B87" w14:paraId="4153FEF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4D1502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序号</w:t>
            </w:r>
          </w:p>
        </w:tc>
        <w:tc>
          <w:tcPr>
            <w:tcW w:w="750" w:type="pct"/>
            <w:tcBorders>
              <w:top w:val="single" w:sz="4" w:space="0" w:color="auto"/>
              <w:left w:val="single" w:sz="4" w:space="0" w:color="auto"/>
              <w:bottom w:val="single" w:sz="4" w:space="0" w:color="auto"/>
              <w:right w:val="single" w:sz="4" w:space="0" w:color="auto"/>
            </w:tcBorders>
            <w:vAlign w:val="center"/>
          </w:tcPr>
          <w:p w14:paraId="5CFB9A6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vAlign w:val="center"/>
          </w:tcPr>
          <w:p w14:paraId="3B5FB69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vAlign w:val="center"/>
          </w:tcPr>
          <w:p w14:paraId="61EC8FC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流通受限部分的公允价值（元）</w:t>
            </w:r>
          </w:p>
        </w:tc>
        <w:tc>
          <w:tcPr>
            <w:tcW w:w="750" w:type="pct"/>
            <w:tcBorders>
              <w:top w:val="single" w:sz="4" w:space="0" w:color="auto"/>
              <w:left w:val="single" w:sz="4" w:space="0" w:color="auto"/>
              <w:bottom w:val="single" w:sz="4" w:space="0" w:color="auto"/>
              <w:right w:val="single" w:sz="4" w:space="0" w:color="auto"/>
            </w:tcBorders>
            <w:vAlign w:val="center"/>
          </w:tcPr>
          <w:p w14:paraId="4B54A5B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0966A1A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流通受限情况说明</w:t>
            </w:r>
          </w:p>
        </w:tc>
      </w:tr>
      <w:tr w:rsidR="00877B87" w14:paraId="38B6EC0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E68791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18FAEFE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301536</w:t>
            </w:r>
          </w:p>
        </w:tc>
        <w:tc>
          <w:tcPr>
            <w:tcW w:w="750" w:type="pct"/>
            <w:tcBorders>
              <w:top w:val="single" w:sz="4" w:space="0" w:color="auto"/>
              <w:left w:val="single" w:sz="4" w:space="0" w:color="auto"/>
              <w:bottom w:val="single" w:sz="4" w:space="0" w:color="auto"/>
              <w:right w:val="single" w:sz="4" w:space="0" w:color="auto"/>
            </w:tcBorders>
            <w:vAlign w:val="center"/>
          </w:tcPr>
          <w:p w14:paraId="6DD33F3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星宸科技</w:t>
            </w:r>
          </w:p>
        </w:tc>
        <w:tc>
          <w:tcPr>
            <w:tcW w:w="750" w:type="pct"/>
            <w:tcBorders>
              <w:top w:val="single" w:sz="4" w:space="0" w:color="auto"/>
              <w:left w:val="single" w:sz="4" w:space="0" w:color="auto"/>
              <w:bottom w:val="single" w:sz="4" w:space="0" w:color="auto"/>
              <w:right w:val="single" w:sz="4" w:space="0" w:color="auto"/>
            </w:tcBorders>
            <w:vAlign w:val="center"/>
          </w:tcPr>
          <w:p w14:paraId="5C2E4028"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15,521.87</w:t>
            </w:r>
          </w:p>
        </w:tc>
        <w:tc>
          <w:tcPr>
            <w:tcW w:w="750" w:type="pct"/>
            <w:tcBorders>
              <w:top w:val="single" w:sz="4" w:space="0" w:color="auto"/>
              <w:left w:val="single" w:sz="4" w:space="0" w:color="auto"/>
              <w:bottom w:val="single" w:sz="4" w:space="0" w:color="auto"/>
              <w:right w:val="single" w:sz="4" w:space="0" w:color="auto"/>
            </w:tcBorders>
            <w:vAlign w:val="center"/>
          </w:tcPr>
          <w:p w14:paraId="75602A80"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c>
          <w:tcPr>
            <w:tcW w:w="750" w:type="pct"/>
            <w:tcBorders>
              <w:top w:val="single" w:sz="4" w:space="0" w:color="auto"/>
              <w:left w:val="single" w:sz="4" w:space="0" w:color="auto"/>
              <w:bottom w:val="single" w:sz="4" w:space="0" w:color="auto"/>
              <w:right w:val="single" w:sz="4" w:space="0" w:color="auto"/>
            </w:tcBorders>
            <w:vAlign w:val="center"/>
          </w:tcPr>
          <w:p w14:paraId="054B66E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限售股</w:t>
            </w:r>
          </w:p>
        </w:tc>
      </w:tr>
      <w:tr w:rsidR="00877B87" w14:paraId="6CA4ADE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C88BE8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0502048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301538</w:t>
            </w:r>
          </w:p>
        </w:tc>
        <w:tc>
          <w:tcPr>
            <w:tcW w:w="750" w:type="pct"/>
            <w:tcBorders>
              <w:top w:val="single" w:sz="4" w:space="0" w:color="auto"/>
              <w:left w:val="single" w:sz="4" w:space="0" w:color="auto"/>
              <w:bottom w:val="single" w:sz="4" w:space="0" w:color="auto"/>
              <w:right w:val="single" w:sz="4" w:space="0" w:color="auto"/>
            </w:tcBorders>
            <w:vAlign w:val="center"/>
          </w:tcPr>
          <w:p w14:paraId="3975885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骏鼎达</w:t>
            </w:r>
          </w:p>
        </w:tc>
        <w:tc>
          <w:tcPr>
            <w:tcW w:w="750" w:type="pct"/>
            <w:tcBorders>
              <w:top w:val="single" w:sz="4" w:space="0" w:color="auto"/>
              <w:left w:val="single" w:sz="4" w:space="0" w:color="auto"/>
              <w:bottom w:val="single" w:sz="4" w:space="0" w:color="auto"/>
              <w:right w:val="single" w:sz="4" w:space="0" w:color="auto"/>
            </w:tcBorders>
            <w:vAlign w:val="center"/>
          </w:tcPr>
          <w:p w14:paraId="6CFB3EE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13,686.00</w:t>
            </w:r>
          </w:p>
        </w:tc>
        <w:tc>
          <w:tcPr>
            <w:tcW w:w="750" w:type="pct"/>
            <w:tcBorders>
              <w:top w:val="single" w:sz="4" w:space="0" w:color="auto"/>
              <w:left w:val="single" w:sz="4" w:space="0" w:color="auto"/>
              <w:bottom w:val="single" w:sz="4" w:space="0" w:color="auto"/>
              <w:right w:val="single" w:sz="4" w:space="0" w:color="auto"/>
            </w:tcBorders>
            <w:vAlign w:val="center"/>
          </w:tcPr>
          <w:p w14:paraId="7DA8F596"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c>
          <w:tcPr>
            <w:tcW w:w="750" w:type="pct"/>
            <w:tcBorders>
              <w:top w:val="single" w:sz="4" w:space="0" w:color="auto"/>
              <w:left w:val="single" w:sz="4" w:space="0" w:color="auto"/>
              <w:bottom w:val="single" w:sz="4" w:space="0" w:color="auto"/>
              <w:right w:val="single" w:sz="4" w:space="0" w:color="auto"/>
            </w:tcBorders>
            <w:vAlign w:val="center"/>
          </w:tcPr>
          <w:p w14:paraId="55E27B6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限售股</w:t>
            </w:r>
          </w:p>
        </w:tc>
      </w:tr>
      <w:tr w:rsidR="00877B87" w14:paraId="13235AE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4B14DF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2107DF4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301565</w:t>
            </w:r>
          </w:p>
        </w:tc>
        <w:tc>
          <w:tcPr>
            <w:tcW w:w="750" w:type="pct"/>
            <w:tcBorders>
              <w:top w:val="single" w:sz="4" w:space="0" w:color="auto"/>
              <w:left w:val="single" w:sz="4" w:space="0" w:color="auto"/>
              <w:bottom w:val="single" w:sz="4" w:space="0" w:color="auto"/>
              <w:right w:val="single" w:sz="4" w:space="0" w:color="auto"/>
            </w:tcBorders>
            <w:vAlign w:val="center"/>
          </w:tcPr>
          <w:p w14:paraId="460E9B7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中仑新材</w:t>
            </w:r>
          </w:p>
        </w:tc>
        <w:tc>
          <w:tcPr>
            <w:tcW w:w="750" w:type="pct"/>
            <w:tcBorders>
              <w:top w:val="single" w:sz="4" w:space="0" w:color="auto"/>
              <w:left w:val="single" w:sz="4" w:space="0" w:color="auto"/>
              <w:bottom w:val="single" w:sz="4" w:space="0" w:color="auto"/>
              <w:right w:val="single" w:sz="4" w:space="0" w:color="auto"/>
            </w:tcBorders>
            <w:vAlign w:val="center"/>
          </w:tcPr>
          <w:p w14:paraId="396FD05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13,494.78</w:t>
            </w:r>
          </w:p>
        </w:tc>
        <w:tc>
          <w:tcPr>
            <w:tcW w:w="750" w:type="pct"/>
            <w:tcBorders>
              <w:top w:val="single" w:sz="4" w:space="0" w:color="auto"/>
              <w:left w:val="single" w:sz="4" w:space="0" w:color="auto"/>
              <w:bottom w:val="single" w:sz="4" w:space="0" w:color="auto"/>
              <w:right w:val="single" w:sz="4" w:space="0" w:color="auto"/>
            </w:tcBorders>
            <w:vAlign w:val="center"/>
          </w:tcPr>
          <w:p w14:paraId="11979F53"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c>
          <w:tcPr>
            <w:tcW w:w="750" w:type="pct"/>
            <w:tcBorders>
              <w:top w:val="single" w:sz="4" w:space="0" w:color="auto"/>
              <w:left w:val="single" w:sz="4" w:space="0" w:color="auto"/>
              <w:bottom w:val="single" w:sz="4" w:space="0" w:color="auto"/>
              <w:right w:val="single" w:sz="4" w:space="0" w:color="auto"/>
            </w:tcBorders>
            <w:vAlign w:val="center"/>
          </w:tcPr>
          <w:p w14:paraId="00C7FC3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限售股</w:t>
            </w:r>
          </w:p>
        </w:tc>
      </w:tr>
      <w:tr w:rsidR="00877B87" w14:paraId="11D6DFE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E639EC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5ECFCAA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301580</w:t>
            </w:r>
          </w:p>
        </w:tc>
        <w:tc>
          <w:tcPr>
            <w:tcW w:w="750" w:type="pct"/>
            <w:tcBorders>
              <w:top w:val="single" w:sz="4" w:space="0" w:color="auto"/>
              <w:left w:val="single" w:sz="4" w:space="0" w:color="auto"/>
              <w:bottom w:val="single" w:sz="4" w:space="0" w:color="auto"/>
              <w:right w:val="single" w:sz="4" w:space="0" w:color="auto"/>
            </w:tcBorders>
            <w:vAlign w:val="center"/>
          </w:tcPr>
          <w:p w14:paraId="649DE58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爱迪特</w:t>
            </w:r>
          </w:p>
        </w:tc>
        <w:tc>
          <w:tcPr>
            <w:tcW w:w="750" w:type="pct"/>
            <w:tcBorders>
              <w:top w:val="single" w:sz="4" w:space="0" w:color="auto"/>
              <w:left w:val="single" w:sz="4" w:space="0" w:color="auto"/>
              <w:bottom w:val="single" w:sz="4" w:space="0" w:color="auto"/>
              <w:right w:val="single" w:sz="4" w:space="0" w:color="auto"/>
            </w:tcBorders>
            <w:vAlign w:val="center"/>
          </w:tcPr>
          <w:p w14:paraId="187B0765"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13,317.86</w:t>
            </w:r>
          </w:p>
        </w:tc>
        <w:tc>
          <w:tcPr>
            <w:tcW w:w="750" w:type="pct"/>
            <w:tcBorders>
              <w:top w:val="single" w:sz="4" w:space="0" w:color="auto"/>
              <w:left w:val="single" w:sz="4" w:space="0" w:color="auto"/>
              <w:bottom w:val="single" w:sz="4" w:space="0" w:color="auto"/>
              <w:right w:val="single" w:sz="4" w:space="0" w:color="auto"/>
            </w:tcBorders>
            <w:vAlign w:val="center"/>
          </w:tcPr>
          <w:p w14:paraId="42D76CA2" w14:textId="77777777" w:rsidR="00877B87" w:rsidRDefault="008116FB">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c>
          <w:tcPr>
            <w:tcW w:w="750" w:type="pct"/>
            <w:tcBorders>
              <w:top w:val="single" w:sz="4" w:space="0" w:color="auto"/>
              <w:left w:val="single" w:sz="4" w:space="0" w:color="auto"/>
              <w:bottom w:val="single" w:sz="4" w:space="0" w:color="auto"/>
              <w:right w:val="single" w:sz="4" w:space="0" w:color="auto"/>
            </w:tcBorders>
            <w:vAlign w:val="center"/>
          </w:tcPr>
          <w:p w14:paraId="5D6F4C81"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限售股</w:t>
            </w:r>
          </w:p>
        </w:tc>
      </w:tr>
    </w:tbl>
    <w:p w14:paraId="7B58A87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 投资组合报告附注的其他文字描述部分</w:t>
      </w:r>
    </w:p>
    <w:p w14:paraId="1343A74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由于四舍五入的原因，分项之和与合计项之间可能存在尾差。</w:t>
      </w:r>
    </w:p>
    <w:p w14:paraId="25747A80"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08C4D15" w14:textId="77777777" w:rsidR="00877B87" w:rsidRDefault="008116FB">
      <w:pPr>
        <w:pStyle w:val="1"/>
        <w:snapToGrid w:val="0"/>
        <w:spacing w:beforeLines="0" w:before="240" w:after="240"/>
        <w:rPr>
          <w:rFonts w:ascii="宋体" w:hAnsi="宋体"/>
          <w:szCs w:val="30"/>
        </w:rPr>
      </w:pPr>
      <w:bookmarkStart w:id="14" w:name="_Toc177999560"/>
      <w:r>
        <w:rPr>
          <w:rFonts w:ascii="Times New Roman" w:hAnsi="Times New Roman"/>
          <w:sz w:val="30"/>
        </w:rPr>
        <w:lastRenderedPageBreak/>
        <w:t>十一、基金的业绩</w:t>
      </w:r>
      <w:bookmarkEnd w:id="14"/>
    </w:p>
    <w:p w14:paraId="2175C42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基金业绩截止日为2024年06月30日，所载财务数据未经审计师审计。</w:t>
      </w:r>
    </w:p>
    <w:p w14:paraId="3DF37F8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者在做出投资决策前应仔细阅读本基金的招募说明书。</w:t>
      </w:r>
    </w:p>
    <w:p w14:paraId="41708EE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1、基金份额净值增长率及其与同期业绩比较基准收益率的比较</w:t>
      </w:r>
    </w:p>
    <w:p w14:paraId="1627649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（1）交银创业板50指数A</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877B87" w14:paraId="5BDE01F6"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04B274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14:paraId="5E2DFB79"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14:paraId="25152B6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14:paraId="382EB32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729AF95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14:paraId="3E5C5E3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w:t>
            </w:r>
            <w:r>
              <w:rPr>
                <w:rFonts w:ascii="Times New Roman" w:hAnsi="Times New Roman"/>
                <w:color w:val="000000"/>
                <w:kern w:val="0"/>
                <w:sz w:val="25"/>
                <w:szCs w:val="24"/>
              </w:rPr>
              <w:t>－</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7897352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w:t>
            </w:r>
            <w:r>
              <w:rPr>
                <w:rFonts w:ascii="Times New Roman" w:hAnsi="Times New Roman"/>
                <w:color w:val="000000"/>
                <w:kern w:val="0"/>
                <w:sz w:val="25"/>
                <w:szCs w:val="24"/>
              </w:rPr>
              <w:t>－</w:t>
            </w:r>
            <w:r>
              <w:rPr>
                <w:rFonts w:ascii="Times New Roman" w:hAnsi="Times New Roman"/>
                <w:color w:val="000000"/>
                <w:kern w:val="0"/>
                <w:sz w:val="25"/>
                <w:szCs w:val="24"/>
              </w:rPr>
              <w:t>④</w:t>
            </w:r>
          </w:p>
        </w:tc>
      </w:tr>
      <w:tr w:rsidR="00877B87" w14:paraId="0B856CBB"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6EFE259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14:paraId="26F4E8E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-6.05%</w:t>
            </w:r>
          </w:p>
        </w:tc>
        <w:tc>
          <w:tcPr>
            <w:tcW w:w="750" w:type="pct"/>
            <w:tcBorders>
              <w:top w:val="single" w:sz="4" w:space="0" w:color="auto"/>
              <w:left w:val="single" w:sz="4" w:space="0" w:color="auto"/>
              <w:bottom w:val="single" w:sz="4" w:space="0" w:color="auto"/>
              <w:right w:val="single" w:sz="4" w:space="0" w:color="auto"/>
            </w:tcBorders>
            <w:vAlign w:val="center"/>
          </w:tcPr>
          <w:p w14:paraId="1C98824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1.36%</w:t>
            </w:r>
          </w:p>
        </w:tc>
        <w:tc>
          <w:tcPr>
            <w:tcW w:w="750" w:type="pct"/>
            <w:tcBorders>
              <w:top w:val="single" w:sz="4" w:space="0" w:color="auto"/>
              <w:left w:val="single" w:sz="4" w:space="0" w:color="auto"/>
              <w:bottom w:val="single" w:sz="4" w:space="0" w:color="auto"/>
              <w:right w:val="single" w:sz="4" w:space="0" w:color="auto"/>
            </w:tcBorders>
            <w:vAlign w:val="center"/>
          </w:tcPr>
          <w:p w14:paraId="21CA776C"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-7.06%</w:t>
            </w:r>
          </w:p>
        </w:tc>
        <w:tc>
          <w:tcPr>
            <w:tcW w:w="750" w:type="pct"/>
            <w:tcBorders>
              <w:top w:val="single" w:sz="4" w:space="0" w:color="auto"/>
              <w:left w:val="single" w:sz="4" w:space="0" w:color="auto"/>
              <w:bottom w:val="single" w:sz="4" w:space="0" w:color="auto"/>
              <w:right w:val="single" w:sz="4" w:space="0" w:color="auto"/>
            </w:tcBorders>
            <w:vAlign w:val="center"/>
          </w:tcPr>
          <w:p w14:paraId="6F54225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1.40%</w:t>
            </w:r>
          </w:p>
        </w:tc>
        <w:tc>
          <w:tcPr>
            <w:tcW w:w="750" w:type="pct"/>
            <w:tcBorders>
              <w:top w:val="single" w:sz="4" w:space="0" w:color="auto"/>
              <w:left w:val="single" w:sz="4" w:space="0" w:color="auto"/>
              <w:bottom w:val="single" w:sz="4" w:space="0" w:color="auto"/>
              <w:right w:val="single" w:sz="4" w:space="0" w:color="auto"/>
            </w:tcBorders>
            <w:vAlign w:val="center"/>
          </w:tcPr>
          <w:p w14:paraId="09B6D8C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1.01%</w:t>
            </w:r>
          </w:p>
        </w:tc>
        <w:tc>
          <w:tcPr>
            <w:tcW w:w="750" w:type="pct"/>
            <w:tcBorders>
              <w:top w:val="single" w:sz="4" w:space="0" w:color="auto"/>
              <w:left w:val="single" w:sz="4" w:space="0" w:color="auto"/>
              <w:bottom w:val="single" w:sz="4" w:space="0" w:color="auto"/>
              <w:right w:val="single" w:sz="4" w:space="0" w:color="auto"/>
            </w:tcBorders>
            <w:vAlign w:val="center"/>
          </w:tcPr>
          <w:p w14:paraId="46A6E3F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r w:rsidR="00877B87" w14:paraId="3D317254"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18A8F32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2024</w:t>
            </w:r>
            <w:r>
              <w:rPr>
                <w:rFonts w:ascii="Times New Roman" w:hAnsi="Times New Roman"/>
                <w:color w:val="000000"/>
                <w:kern w:val="0"/>
                <w:sz w:val="25"/>
                <w:szCs w:val="24"/>
              </w:rPr>
              <w:t>上半年</w:t>
            </w:r>
          </w:p>
        </w:tc>
        <w:tc>
          <w:tcPr>
            <w:tcW w:w="750" w:type="pct"/>
            <w:tcBorders>
              <w:top w:val="single" w:sz="4" w:space="0" w:color="auto"/>
              <w:left w:val="single" w:sz="4" w:space="0" w:color="auto"/>
              <w:bottom w:val="single" w:sz="4" w:space="0" w:color="auto"/>
              <w:right w:val="single" w:sz="4" w:space="0" w:color="auto"/>
            </w:tcBorders>
            <w:vAlign w:val="center"/>
          </w:tcPr>
          <w:p w14:paraId="248552B3"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-7.53%</w:t>
            </w:r>
          </w:p>
        </w:tc>
        <w:tc>
          <w:tcPr>
            <w:tcW w:w="750" w:type="pct"/>
            <w:tcBorders>
              <w:top w:val="single" w:sz="4" w:space="0" w:color="auto"/>
              <w:left w:val="single" w:sz="4" w:space="0" w:color="auto"/>
              <w:bottom w:val="single" w:sz="4" w:space="0" w:color="auto"/>
              <w:right w:val="single" w:sz="4" w:space="0" w:color="auto"/>
            </w:tcBorders>
            <w:vAlign w:val="center"/>
          </w:tcPr>
          <w:p w14:paraId="29C2589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1.61%</w:t>
            </w:r>
          </w:p>
        </w:tc>
        <w:tc>
          <w:tcPr>
            <w:tcW w:w="750" w:type="pct"/>
            <w:tcBorders>
              <w:top w:val="single" w:sz="4" w:space="0" w:color="auto"/>
              <w:left w:val="single" w:sz="4" w:space="0" w:color="auto"/>
              <w:bottom w:val="single" w:sz="4" w:space="0" w:color="auto"/>
              <w:right w:val="single" w:sz="4" w:space="0" w:color="auto"/>
            </w:tcBorders>
            <w:vAlign w:val="center"/>
          </w:tcPr>
          <w:p w14:paraId="1FCDA89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-8.57%</w:t>
            </w:r>
          </w:p>
        </w:tc>
        <w:tc>
          <w:tcPr>
            <w:tcW w:w="750" w:type="pct"/>
            <w:tcBorders>
              <w:top w:val="single" w:sz="4" w:space="0" w:color="auto"/>
              <w:left w:val="single" w:sz="4" w:space="0" w:color="auto"/>
              <w:bottom w:val="single" w:sz="4" w:space="0" w:color="auto"/>
              <w:right w:val="single" w:sz="4" w:space="0" w:color="auto"/>
            </w:tcBorders>
            <w:vAlign w:val="center"/>
          </w:tcPr>
          <w:p w14:paraId="2FC8AB5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1.64%</w:t>
            </w:r>
          </w:p>
        </w:tc>
        <w:tc>
          <w:tcPr>
            <w:tcW w:w="750" w:type="pct"/>
            <w:tcBorders>
              <w:top w:val="single" w:sz="4" w:space="0" w:color="auto"/>
              <w:left w:val="single" w:sz="4" w:space="0" w:color="auto"/>
              <w:bottom w:val="single" w:sz="4" w:space="0" w:color="auto"/>
              <w:right w:val="single" w:sz="4" w:space="0" w:color="auto"/>
            </w:tcBorders>
            <w:vAlign w:val="center"/>
          </w:tcPr>
          <w:p w14:paraId="40626C0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1.04%</w:t>
            </w:r>
          </w:p>
        </w:tc>
        <w:tc>
          <w:tcPr>
            <w:tcW w:w="750" w:type="pct"/>
            <w:tcBorders>
              <w:top w:val="single" w:sz="4" w:space="0" w:color="auto"/>
              <w:left w:val="single" w:sz="4" w:space="0" w:color="auto"/>
              <w:bottom w:val="single" w:sz="4" w:space="0" w:color="auto"/>
              <w:right w:val="single" w:sz="4" w:space="0" w:color="auto"/>
            </w:tcBorders>
            <w:vAlign w:val="center"/>
          </w:tcPr>
          <w:p w14:paraId="1AD6CAD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r w:rsidR="00877B87" w14:paraId="00756341"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2CFBC58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2023</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51D58AA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-21.87%</w:t>
            </w:r>
          </w:p>
        </w:tc>
        <w:tc>
          <w:tcPr>
            <w:tcW w:w="750" w:type="pct"/>
            <w:tcBorders>
              <w:top w:val="single" w:sz="4" w:space="0" w:color="auto"/>
              <w:left w:val="single" w:sz="4" w:space="0" w:color="auto"/>
              <w:bottom w:val="single" w:sz="4" w:space="0" w:color="auto"/>
              <w:right w:val="single" w:sz="4" w:space="0" w:color="auto"/>
            </w:tcBorders>
            <w:vAlign w:val="center"/>
          </w:tcPr>
          <w:p w14:paraId="08362FB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1.17%</w:t>
            </w:r>
          </w:p>
        </w:tc>
        <w:tc>
          <w:tcPr>
            <w:tcW w:w="750" w:type="pct"/>
            <w:tcBorders>
              <w:top w:val="single" w:sz="4" w:space="0" w:color="auto"/>
              <w:left w:val="single" w:sz="4" w:space="0" w:color="auto"/>
              <w:bottom w:val="single" w:sz="4" w:space="0" w:color="auto"/>
              <w:right w:val="single" w:sz="4" w:space="0" w:color="auto"/>
            </w:tcBorders>
            <w:vAlign w:val="center"/>
          </w:tcPr>
          <w:p w14:paraId="21D17F03"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-22.86%</w:t>
            </w:r>
          </w:p>
        </w:tc>
        <w:tc>
          <w:tcPr>
            <w:tcW w:w="750" w:type="pct"/>
            <w:tcBorders>
              <w:top w:val="single" w:sz="4" w:space="0" w:color="auto"/>
              <w:left w:val="single" w:sz="4" w:space="0" w:color="auto"/>
              <w:bottom w:val="single" w:sz="4" w:space="0" w:color="auto"/>
              <w:right w:val="single" w:sz="4" w:space="0" w:color="auto"/>
            </w:tcBorders>
            <w:vAlign w:val="center"/>
          </w:tcPr>
          <w:p w14:paraId="7D024F6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1.18%</w:t>
            </w:r>
          </w:p>
        </w:tc>
        <w:tc>
          <w:tcPr>
            <w:tcW w:w="750" w:type="pct"/>
            <w:tcBorders>
              <w:top w:val="single" w:sz="4" w:space="0" w:color="auto"/>
              <w:left w:val="single" w:sz="4" w:space="0" w:color="auto"/>
              <w:bottom w:val="single" w:sz="4" w:space="0" w:color="auto"/>
              <w:right w:val="single" w:sz="4" w:space="0" w:color="auto"/>
            </w:tcBorders>
            <w:vAlign w:val="center"/>
          </w:tcPr>
          <w:p w14:paraId="5CAD474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0.99%</w:t>
            </w:r>
          </w:p>
        </w:tc>
        <w:tc>
          <w:tcPr>
            <w:tcW w:w="750" w:type="pct"/>
            <w:tcBorders>
              <w:top w:val="single" w:sz="4" w:space="0" w:color="auto"/>
              <w:left w:val="single" w:sz="4" w:space="0" w:color="auto"/>
              <w:bottom w:val="single" w:sz="4" w:space="0" w:color="auto"/>
              <w:right w:val="single" w:sz="4" w:space="0" w:color="auto"/>
            </w:tcBorders>
            <w:vAlign w:val="center"/>
          </w:tcPr>
          <w:p w14:paraId="7E93A03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877B87" w14:paraId="0DCABF17"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326D540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273CAEB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-28.15%</w:t>
            </w:r>
          </w:p>
        </w:tc>
        <w:tc>
          <w:tcPr>
            <w:tcW w:w="750" w:type="pct"/>
            <w:tcBorders>
              <w:top w:val="single" w:sz="4" w:space="0" w:color="auto"/>
              <w:left w:val="single" w:sz="4" w:space="0" w:color="auto"/>
              <w:bottom w:val="single" w:sz="4" w:space="0" w:color="auto"/>
              <w:right w:val="single" w:sz="4" w:space="0" w:color="auto"/>
            </w:tcBorders>
            <w:vAlign w:val="center"/>
          </w:tcPr>
          <w:p w14:paraId="5E0672BC"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1.81%</w:t>
            </w:r>
          </w:p>
        </w:tc>
        <w:tc>
          <w:tcPr>
            <w:tcW w:w="750" w:type="pct"/>
            <w:tcBorders>
              <w:top w:val="single" w:sz="4" w:space="0" w:color="auto"/>
              <w:left w:val="single" w:sz="4" w:space="0" w:color="auto"/>
              <w:bottom w:val="single" w:sz="4" w:space="0" w:color="auto"/>
              <w:right w:val="single" w:sz="4" w:space="0" w:color="auto"/>
            </w:tcBorders>
            <w:vAlign w:val="center"/>
          </w:tcPr>
          <w:p w14:paraId="386C81D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-28.41%</w:t>
            </w:r>
          </w:p>
        </w:tc>
        <w:tc>
          <w:tcPr>
            <w:tcW w:w="750" w:type="pct"/>
            <w:tcBorders>
              <w:top w:val="single" w:sz="4" w:space="0" w:color="auto"/>
              <w:left w:val="single" w:sz="4" w:space="0" w:color="auto"/>
              <w:bottom w:val="single" w:sz="4" w:space="0" w:color="auto"/>
              <w:right w:val="single" w:sz="4" w:space="0" w:color="auto"/>
            </w:tcBorders>
            <w:vAlign w:val="center"/>
          </w:tcPr>
          <w:p w14:paraId="35BE91C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1.84%</w:t>
            </w:r>
          </w:p>
        </w:tc>
        <w:tc>
          <w:tcPr>
            <w:tcW w:w="750" w:type="pct"/>
            <w:tcBorders>
              <w:top w:val="single" w:sz="4" w:space="0" w:color="auto"/>
              <w:left w:val="single" w:sz="4" w:space="0" w:color="auto"/>
              <w:bottom w:val="single" w:sz="4" w:space="0" w:color="auto"/>
              <w:right w:val="single" w:sz="4" w:space="0" w:color="auto"/>
            </w:tcBorders>
            <w:vAlign w:val="center"/>
          </w:tcPr>
          <w:p w14:paraId="6AEAD28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0.26%</w:t>
            </w:r>
          </w:p>
        </w:tc>
        <w:tc>
          <w:tcPr>
            <w:tcW w:w="750" w:type="pct"/>
            <w:tcBorders>
              <w:top w:val="single" w:sz="4" w:space="0" w:color="auto"/>
              <w:left w:val="single" w:sz="4" w:space="0" w:color="auto"/>
              <w:bottom w:val="single" w:sz="4" w:space="0" w:color="auto"/>
              <w:right w:val="single" w:sz="4" w:space="0" w:color="auto"/>
            </w:tcBorders>
            <w:vAlign w:val="center"/>
          </w:tcPr>
          <w:p w14:paraId="4D9CA74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r w:rsidR="00877B87" w14:paraId="06BFCC8E"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36119CD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5CBAA28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16.17%</w:t>
            </w:r>
          </w:p>
        </w:tc>
        <w:tc>
          <w:tcPr>
            <w:tcW w:w="750" w:type="pct"/>
            <w:tcBorders>
              <w:top w:val="single" w:sz="4" w:space="0" w:color="auto"/>
              <w:left w:val="single" w:sz="4" w:space="0" w:color="auto"/>
              <w:bottom w:val="single" w:sz="4" w:space="0" w:color="auto"/>
              <w:right w:val="single" w:sz="4" w:space="0" w:color="auto"/>
            </w:tcBorders>
            <w:vAlign w:val="center"/>
          </w:tcPr>
          <w:p w14:paraId="7EF9ADE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1.83%</w:t>
            </w:r>
          </w:p>
        </w:tc>
        <w:tc>
          <w:tcPr>
            <w:tcW w:w="750" w:type="pct"/>
            <w:tcBorders>
              <w:top w:val="single" w:sz="4" w:space="0" w:color="auto"/>
              <w:left w:val="single" w:sz="4" w:space="0" w:color="auto"/>
              <w:bottom w:val="single" w:sz="4" w:space="0" w:color="auto"/>
              <w:right w:val="single" w:sz="4" w:space="0" w:color="auto"/>
            </w:tcBorders>
            <w:vAlign w:val="center"/>
          </w:tcPr>
          <w:p w14:paraId="4B91F5E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16.25%</w:t>
            </w:r>
          </w:p>
        </w:tc>
        <w:tc>
          <w:tcPr>
            <w:tcW w:w="750" w:type="pct"/>
            <w:tcBorders>
              <w:top w:val="single" w:sz="4" w:space="0" w:color="auto"/>
              <w:left w:val="single" w:sz="4" w:space="0" w:color="auto"/>
              <w:bottom w:val="single" w:sz="4" w:space="0" w:color="auto"/>
              <w:right w:val="single" w:sz="4" w:space="0" w:color="auto"/>
            </w:tcBorders>
            <w:vAlign w:val="center"/>
          </w:tcPr>
          <w:p w14:paraId="3993573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1.85%</w:t>
            </w:r>
          </w:p>
        </w:tc>
        <w:tc>
          <w:tcPr>
            <w:tcW w:w="750" w:type="pct"/>
            <w:tcBorders>
              <w:top w:val="single" w:sz="4" w:space="0" w:color="auto"/>
              <w:left w:val="single" w:sz="4" w:space="0" w:color="auto"/>
              <w:bottom w:val="single" w:sz="4" w:space="0" w:color="auto"/>
              <w:right w:val="single" w:sz="4" w:space="0" w:color="auto"/>
            </w:tcBorders>
            <w:vAlign w:val="center"/>
          </w:tcPr>
          <w:p w14:paraId="6484B61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sz="4" w:space="0" w:color="auto"/>
              <w:left w:val="single" w:sz="4" w:space="0" w:color="auto"/>
              <w:bottom w:val="single" w:sz="4" w:space="0" w:color="auto"/>
              <w:right w:val="single" w:sz="4" w:space="0" w:color="auto"/>
            </w:tcBorders>
            <w:vAlign w:val="center"/>
          </w:tcPr>
          <w:p w14:paraId="524A482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rsidR="00877B87" w14:paraId="4B5B3F41"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7170DC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1A78228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85.71%</w:t>
            </w:r>
          </w:p>
        </w:tc>
        <w:tc>
          <w:tcPr>
            <w:tcW w:w="750" w:type="pct"/>
            <w:tcBorders>
              <w:top w:val="single" w:sz="4" w:space="0" w:color="auto"/>
              <w:left w:val="single" w:sz="4" w:space="0" w:color="auto"/>
              <w:bottom w:val="single" w:sz="4" w:space="0" w:color="auto"/>
              <w:right w:val="single" w:sz="4" w:space="0" w:color="auto"/>
            </w:tcBorders>
            <w:vAlign w:val="center"/>
          </w:tcPr>
          <w:p w14:paraId="0DD12DF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1.98%</w:t>
            </w:r>
          </w:p>
        </w:tc>
        <w:tc>
          <w:tcPr>
            <w:tcW w:w="750" w:type="pct"/>
            <w:tcBorders>
              <w:top w:val="single" w:sz="4" w:space="0" w:color="auto"/>
              <w:left w:val="single" w:sz="4" w:space="0" w:color="auto"/>
              <w:bottom w:val="single" w:sz="4" w:space="0" w:color="auto"/>
              <w:right w:val="single" w:sz="4" w:space="0" w:color="auto"/>
            </w:tcBorders>
            <w:vAlign w:val="center"/>
          </w:tcPr>
          <w:p w14:paraId="2CDE55C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83.34%</w:t>
            </w:r>
          </w:p>
        </w:tc>
        <w:tc>
          <w:tcPr>
            <w:tcW w:w="750" w:type="pct"/>
            <w:tcBorders>
              <w:top w:val="single" w:sz="4" w:space="0" w:color="auto"/>
              <w:left w:val="single" w:sz="4" w:space="0" w:color="auto"/>
              <w:bottom w:val="single" w:sz="4" w:space="0" w:color="auto"/>
              <w:right w:val="single" w:sz="4" w:space="0" w:color="auto"/>
            </w:tcBorders>
            <w:vAlign w:val="center"/>
          </w:tcPr>
          <w:p w14:paraId="688D410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1.99%</w:t>
            </w:r>
          </w:p>
        </w:tc>
        <w:tc>
          <w:tcPr>
            <w:tcW w:w="750" w:type="pct"/>
            <w:tcBorders>
              <w:top w:val="single" w:sz="4" w:space="0" w:color="auto"/>
              <w:left w:val="single" w:sz="4" w:space="0" w:color="auto"/>
              <w:bottom w:val="single" w:sz="4" w:space="0" w:color="auto"/>
              <w:right w:val="single" w:sz="4" w:space="0" w:color="auto"/>
            </w:tcBorders>
            <w:vAlign w:val="center"/>
          </w:tcPr>
          <w:p w14:paraId="0E03A66C"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2.37%</w:t>
            </w:r>
          </w:p>
        </w:tc>
        <w:tc>
          <w:tcPr>
            <w:tcW w:w="750" w:type="pct"/>
            <w:tcBorders>
              <w:top w:val="single" w:sz="4" w:space="0" w:color="auto"/>
              <w:left w:val="single" w:sz="4" w:space="0" w:color="auto"/>
              <w:bottom w:val="single" w:sz="4" w:space="0" w:color="auto"/>
              <w:right w:val="single" w:sz="4" w:space="0" w:color="auto"/>
            </w:tcBorders>
            <w:vAlign w:val="center"/>
          </w:tcPr>
          <w:p w14:paraId="3D1435A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877B87" w14:paraId="62E2E4FE"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696768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2019</w:t>
            </w:r>
            <w:r>
              <w:rPr>
                <w:rFonts w:ascii="Times New Roman" w:hAnsi="Times New Roman"/>
                <w:color w:val="000000"/>
                <w:kern w:val="0"/>
                <w:sz w:val="25"/>
                <w:szCs w:val="24"/>
              </w:rPr>
              <w:t>年度（自基金合同生效日起至</w:t>
            </w:r>
            <w:r>
              <w:rPr>
                <w:rFonts w:ascii="Times New Roman" w:hAnsi="Times New Roman"/>
                <w:color w:val="000000"/>
                <w:kern w:val="0"/>
                <w:sz w:val="25"/>
                <w:szCs w:val="24"/>
              </w:rPr>
              <w:t>2019</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14:paraId="554F0C8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2.76%</w:t>
            </w:r>
          </w:p>
        </w:tc>
        <w:tc>
          <w:tcPr>
            <w:tcW w:w="750" w:type="pct"/>
            <w:tcBorders>
              <w:top w:val="single" w:sz="4" w:space="0" w:color="auto"/>
              <w:left w:val="single" w:sz="4" w:space="0" w:color="auto"/>
              <w:bottom w:val="single" w:sz="4" w:space="0" w:color="auto"/>
              <w:right w:val="single" w:sz="4" w:space="0" w:color="auto"/>
            </w:tcBorders>
            <w:vAlign w:val="center"/>
          </w:tcPr>
          <w:p w14:paraId="54A0D3A3"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0.50%</w:t>
            </w:r>
          </w:p>
        </w:tc>
        <w:tc>
          <w:tcPr>
            <w:tcW w:w="750" w:type="pct"/>
            <w:tcBorders>
              <w:top w:val="single" w:sz="4" w:space="0" w:color="auto"/>
              <w:left w:val="single" w:sz="4" w:space="0" w:color="auto"/>
              <w:bottom w:val="single" w:sz="4" w:space="0" w:color="auto"/>
              <w:right w:val="single" w:sz="4" w:space="0" w:color="auto"/>
            </w:tcBorders>
            <w:vAlign w:val="center"/>
          </w:tcPr>
          <w:p w14:paraId="38E3F553"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6.14%</w:t>
            </w:r>
          </w:p>
        </w:tc>
        <w:tc>
          <w:tcPr>
            <w:tcW w:w="750" w:type="pct"/>
            <w:tcBorders>
              <w:top w:val="single" w:sz="4" w:space="0" w:color="auto"/>
              <w:left w:val="single" w:sz="4" w:space="0" w:color="auto"/>
              <w:bottom w:val="single" w:sz="4" w:space="0" w:color="auto"/>
              <w:right w:val="single" w:sz="4" w:space="0" w:color="auto"/>
            </w:tcBorders>
            <w:vAlign w:val="center"/>
          </w:tcPr>
          <w:p w14:paraId="1C47343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1.19%</w:t>
            </w:r>
          </w:p>
        </w:tc>
        <w:tc>
          <w:tcPr>
            <w:tcW w:w="750" w:type="pct"/>
            <w:tcBorders>
              <w:top w:val="single" w:sz="4" w:space="0" w:color="auto"/>
              <w:left w:val="single" w:sz="4" w:space="0" w:color="auto"/>
              <w:bottom w:val="single" w:sz="4" w:space="0" w:color="auto"/>
              <w:right w:val="single" w:sz="4" w:space="0" w:color="auto"/>
            </w:tcBorders>
            <w:vAlign w:val="center"/>
          </w:tcPr>
          <w:p w14:paraId="72AAEB4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-3.38%</w:t>
            </w:r>
          </w:p>
        </w:tc>
        <w:tc>
          <w:tcPr>
            <w:tcW w:w="750" w:type="pct"/>
            <w:tcBorders>
              <w:top w:val="single" w:sz="4" w:space="0" w:color="auto"/>
              <w:left w:val="single" w:sz="4" w:space="0" w:color="auto"/>
              <w:bottom w:val="single" w:sz="4" w:space="0" w:color="auto"/>
              <w:right w:val="single" w:sz="4" w:space="0" w:color="auto"/>
            </w:tcBorders>
            <w:vAlign w:val="center"/>
          </w:tcPr>
          <w:p w14:paraId="2210358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-0.69%</w:t>
            </w:r>
          </w:p>
        </w:tc>
      </w:tr>
    </w:tbl>
    <w:p w14:paraId="3577D9C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（2）交银创业板50指数C</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877B87" w14:paraId="4FBE0823"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51E9E07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14:paraId="1455DC4D"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14:paraId="3CF134FD"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14:paraId="0C8A9E89"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3CF0B25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14:paraId="78F6221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w:t>
            </w:r>
            <w:r>
              <w:rPr>
                <w:rFonts w:ascii="Times New Roman" w:hAnsi="Times New Roman"/>
                <w:color w:val="000000"/>
                <w:kern w:val="0"/>
                <w:sz w:val="25"/>
                <w:szCs w:val="24"/>
              </w:rPr>
              <w:t>－</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1585F96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w:t>
            </w:r>
            <w:r>
              <w:rPr>
                <w:rFonts w:ascii="Times New Roman" w:hAnsi="Times New Roman"/>
                <w:color w:val="000000"/>
                <w:kern w:val="0"/>
                <w:sz w:val="25"/>
                <w:szCs w:val="24"/>
              </w:rPr>
              <w:t>－</w:t>
            </w:r>
            <w:r>
              <w:rPr>
                <w:rFonts w:ascii="Times New Roman" w:hAnsi="Times New Roman"/>
                <w:color w:val="000000"/>
                <w:kern w:val="0"/>
                <w:sz w:val="25"/>
                <w:szCs w:val="24"/>
              </w:rPr>
              <w:t>④</w:t>
            </w:r>
          </w:p>
        </w:tc>
      </w:tr>
      <w:tr w:rsidR="00877B87" w14:paraId="32EABF47"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484AFC2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14:paraId="7FB780E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-6.15%</w:t>
            </w:r>
          </w:p>
        </w:tc>
        <w:tc>
          <w:tcPr>
            <w:tcW w:w="750" w:type="pct"/>
            <w:tcBorders>
              <w:top w:val="single" w:sz="4" w:space="0" w:color="auto"/>
              <w:left w:val="single" w:sz="4" w:space="0" w:color="auto"/>
              <w:bottom w:val="single" w:sz="4" w:space="0" w:color="auto"/>
              <w:right w:val="single" w:sz="4" w:space="0" w:color="auto"/>
            </w:tcBorders>
            <w:vAlign w:val="center"/>
          </w:tcPr>
          <w:p w14:paraId="3DD86AD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1.36%</w:t>
            </w:r>
          </w:p>
        </w:tc>
        <w:tc>
          <w:tcPr>
            <w:tcW w:w="750" w:type="pct"/>
            <w:tcBorders>
              <w:top w:val="single" w:sz="4" w:space="0" w:color="auto"/>
              <w:left w:val="single" w:sz="4" w:space="0" w:color="auto"/>
              <w:bottom w:val="single" w:sz="4" w:space="0" w:color="auto"/>
              <w:right w:val="single" w:sz="4" w:space="0" w:color="auto"/>
            </w:tcBorders>
            <w:vAlign w:val="center"/>
          </w:tcPr>
          <w:p w14:paraId="3286B29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-7.06%</w:t>
            </w:r>
          </w:p>
        </w:tc>
        <w:tc>
          <w:tcPr>
            <w:tcW w:w="750" w:type="pct"/>
            <w:tcBorders>
              <w:top w:val="single" w:sz="4" w:space="0" w:color="auto"/>
              <w:left w:val="single" w:sz="4" w:space="0" w:color="auto"/>
              <w:bottom w:val="single" w:sz="4" w:space="0" w:color="auto"/>
              <w:right w:val="single" w:sz="4" w:space="0" w:color="auto"/>
            </w:tcBorders>
            <w:vAlign w:val="center"/>
          </w:tcPr>
          <w:p w14:paraId="747D019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1.40%</w:t>
            </w:r>
          </w:p>
        </w:tc>
        <w:tc>
          <w:tcPr>
            <w:tcW w:w="750" w:type="pct"/>
            <w:tcBorders>
              <w:top w:val="single" w:sz="4" w:space="0" w:color="auto"/>
              <w:left w:val="single" w:sz="4" w:space="0" w:color="auto"/>
              <w:bottom w:val="single" w:sz="4" w:space="0" w:color="auto"/>
              <w:right w:val="single" w:sz="4" w:space="0" w:color="auto"/>
            </w:tcBorders>
            <w:vAlign w:val="center"/>
          </w:tcPr>
          <w:p w14:paraId="7AB328C3"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0.91%</w:t>
            </w:r>
          </w:p>
        </w:tc>
        <w:tc>
          <w:tcPr>
            <w:tcW w:w="750" w:type="pct"/>
            <w:tcBorders>
              <w:top w:val="single" w:sz="4" w:space="0" w:color="auto"/>
              <w:left w:val="single" w:sz="4" w:space="0" w:color="auto"/>
              <w:bottom w:val="single" w:sz="4" w:space="0" w:color="auto"/>
              <w:right w:val="single" w:sz="4" w:space="0" w:color="auto"/>
            </w:tcBorders>
            <w:vAlign w:val="center"/>
          </w:tcPr>
          <w:p w14:paraId="462FCD7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r w:rsidR="00877B87" w14:paraId="7610DEAB"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72B8C73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2024</w:t>
            </w:r>
            <w:r>
              <w:rPr>
                <w:rFonts w:ascii="Times New Roman" w:hAnsi="Times New Roman"/>
                <w:color w:val="000000"/>
                <w:kern w:val="0"/>
                <w:sz w:val="25"/>
                <w:szCs w:val="24"/>
              </w:rPr>
              <w:t>上半年</w:t>
            </w:r>
          </w:p>
        </w:tc>
        <w:tc>
          <w:tcPr>
            <w:tcW w:w="750" w:type="pct"/>
            <w:tcBorders>
              <w:top w:val="single" w:sz="4" w:space="0" w:color="auto"/>
              <w:left w:val="single" w:sz="4" w:space="0" w:color="auto"/>
              <w:bottom w:val="single" w:sz="4" w:space="0" w:color="auto"/>
              <w:right w:val="single" w:sz="4" w:space="0" w:color="auto"/>
            </w:tcBorders>
            <w:vAlign w:val="center"/>
          </w:tcPr>
          <w:p w14:paraId="35C0045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-7.71%</w:t>
            </w:r>
          </w:p>
        </w:tc>
        <w:tc>
          <w:tcPr>
            <w:tcW w:w="750" w:type="pct"/>
            <w:tcBorders>
              <w:top w:val="single" w:sz="4" w:space="0" w:color="auto"/>
              <w:left w:val="single" w:sz="4" w:space="0" w:color="auto"/>
              <w:bottom w:val="single" w:sz="4" w:space="0" w:color="auto"/>
              <w:right w:val="single" w:sz="4" w:space="0" w:color="auto"/>
            </w:tcBorders>
            <w:vAlign w:val="center"/>
          </w:tcPr>
          <w:p w14:paraId="22744D3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1.61%</w:t>
            </w:r>
          </w:p>
        </w:tc>
        <w:tc>
          <w:tcPr>
            <w:tcW w:w="750" w:type="pct"/>
            <w:tcBorders>
              <w:top w:val="single" w:sz="4" w:space="0" w:color="auto"/>
              <w:left w:val="single" w:sz="4" w:space="0" w:color="auto"/>
              <w:bottom w:val="single" w:sz="4" w:space="0" w:color="auto"/>
              <w:right w:val="single" w:sz="4" w:space="0" w:color="auto"/>
            </w:tcBorders>
            <w:vAlign w:val="center"/>
          </w:tcPr>
          <w:p w14:paraId="62C2D9E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-8.57%</w:t>
            </w:r>
          </w:p>
        </w:tc>
        <w:tc>
          <w:tcPr>
            <w:tcW w:w="750" w:type="pct"/>
            <w:tcBorders>
              <w:top w:val="single" w:sz="4" w:space="0" w:color="auto"/>
              <w:left w:val="single" w:sz="4" w:space="0" w:color="auto"/>
              <w:bottom w:val="single" w:sz="4" w:space="0" w:color="auto"/>
              <w:right w:val="single" w:sz="4" w:space="0" w:color="auto"/>
            </w:tcBorders>
            <w:vAlign w:val="center"/>
          </w:tcPr>
          <w:p w14:paraId="682E18C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1.64%</w:t>
            </w:r>
          </w:p>
        </w:tc>
        <w:tc>
          <w:tcPr>
            <w:tcW w:w="750" w:type="pct"/>
            <w:tcBorders>
              <w:top w:val="single" w:sz="4" w:space="0" w:color="auto"/>
              <w:left w:val="single" w:sz="4" w:space="0" w:color="auto"/>
              <w:bottom w:val="single" w:sz="4" w:space="0" w:color="auto"/>
              <w:right w:val="single" w:sz="4" w:space="0" w:color="auto"/>
            </w:tcBorders>
            <w:vAlign w:val="center"/>
          </w:tcPr>
          <w:p w14:paraId="4B7899E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0.86%</w:t>
            </w:r>
          </w:p>
        </w:tc>
        <w:tc>
          <w:tcPr>
            <w:tcW w:w="750" w:type="pct"/>
            <w:tcBorders>
              <w:top w:val="single" w:sz="4" w:space="0" w:color="auto"/>
              <w:left w:val="single" w:sz="4" w:space="0" w:color="auto"/>
              <w:bottom w:val="single" w:sz="4" w:space="0" w:color="auto"/>
              <w:right w:val="single" w:sz="4" w:space="0" w:color="auto"/>
            </w:tcBorders>
            <w:vAlign w:val="center"/>
          </w:tcPr>
          <w:p w14:paraId="6CB4FB1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r w:rsidR="00877B87" w14:paraId="0D23E00F"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03B2D2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2023</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793FDB5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-22.23%</w:t>
            </w:r>
          </w:p>
        </w:tc>
        <w:tc>
          <w:tcPr>
            <w:tcW w:w="750" w:type="pct"/>
            <w:tcBorders>
              <w:top w:val="single" w:sz="4" w:space="0" w:color="auto"/>
              <w:left w:val="single" w:sz="4" w:space="0" w:color="auto"/>
              <w:bottom w:val="single" w:sz="4" w:space="0" w:color="auto"/>
              <w:right w:val="single" w:sz="4" w:space="0" w:color="auto"/>
            </w:tcBorders>
            <w:vAlign w:val="center"/>
          </w:tcPr>
          <w:p w14:paraId="21CEEFA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1.17%</w:t>
            </w:r>
          </w:p>
        </w:tc>
        <w:tc>
          <w:tcPr>
            <w:tcW w:w="750" w:type="pct"/>
            <w:tcBorders>
              <w:top w:val="single" w:sz="4" w:space="0" w:color="auto"/>
              <w:left w:val="single" w:sz="4" w:space="0" w:color="auto"/>
              <w:bottom w:val="single" w:sz="4" w:space="0" w:color="auto"/>
              <w:right w:val="single" w:sz="4" w:space="0" w:color="auto"/>
            </w:tcBorders>
            <w:vAlign w:val="center"/>
          </w:tcPr>
          <w:p w14:paraId="1ACCA75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-22.86%</w:t>
            </w:r>
          </w:p>
        </w:tc>
        <w:tc>
          <w:tcPr>
            <w:tcW w:w="750" w:type="pct"/>
            <w:tcBorders>
              <w:top w:val="single" w:sz="4" w:space="0" w:color="auto"/>
              <w:left w:val="single" w:sz="4" w:space="0" w:color="auto"/>
              <w:bottom w:val="single" w:sz="4" w:space="0" w:color="auto"/>
              <w:right w:val="single" w:sz="4" w:space="0" w:color="auto"/>
            </w:tcBorders>
            <w:vAlign w:val="center"/>
          </w:tcPr>
          <w:p w14:paraId="383DA8D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1.18%</w:t>
            </w:r>
          </w:p>
        </w:tc>
        <w:tc>
          <w:tcPr>
            <w:tcW w:w="750" w:type="pct"/>
            <w:tcBorders>
              <w:top w:val="single" w:sz="4" w:space="0" w:color="auto"/>
              <w:left w:val="single" w:sz="4" w:space="0" w:color="auto"/>
              <w:bottom w:val="single" w:sz="4" w:space="0" w:color="auto"/>
              <w:right w:val="single" w:sz="4" w:space="0" w:color="auto"/>
            </w:tcBorders>
            <w:vAlign w:val="center"/>
          </w:tcPr>
          <w:p w14:paraId="308375A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0.63%</w:t>
            </w:r>
          </w:p>
        </w:tc>
        <w:tc>
          <w:tcPr>
            <w:tcW w:w="750" w:type="pct"/>
            <w:tcBorders>
              <w:top w:val="single" w:sz="4" w:space="0" w:color="auto"/>
              <w:left w:val="single" w:sz="4" w:space="0" w:color="auto"/>
              <w:bottom w:val="single" w:sz="4" w:space="0" w:color="auto"/>
              <w:right w:val="single" w:sz="4" w:space="0" w:color="auto"/>
            </w:tcBorders>
            <w:vAlign w:val="center"/>
          </w:tcPr>
          <w:p w14:paraId="3E458C4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877B87" w14:paraId="073B349E"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3457458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131296EC"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-28.44%</w:t>
            </w:r>
          </w:p>
        </w:tc>
        <w:tc>
          <w:tcPr>
            <w:tcW w:w="750" w:type="pct"/>
            <w:tcBorders>
              <w:top w:val="single" w:sz="4" w:space="0" w:color="auto"/>
              <w:left w:val="single" w:sz="4" w:space="0" w:color="auto"/>
              <w:bottom w:val="single" w:sz="4" w:space="0" w:color="auto"/>
              <w:right w:val="single" w:sz="4" w:space="0" w:color="auto"/>
            </w:tcBorders>
            <w:vAlign w:val="center"/>
          </w:tcPr>
          <w:p w14:paraId="4B34978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1.81%</w:t>
            </w:r>
          </w:p>
        </w:tc>
        <w:tc>
          <w:tcPr>
            <w:tcW w:w="750" w:type="pct"/>
            <w:tcBorders>
              <w:top w:val="single" w:sz="4" w:space="0" w:color="auto"/>
              <w:left w:val="single" w:sz="4" w:space="0" w:color="auto"/>
              <w:bottom w:val="single" w:sz="4" w:space="0" w:color="auto"/>
              <w:right w:val="single" w:sz="4" w:space="0" w:color="auto"/>
            </w:tcBorders>
            <w:vAlign w:val="center"/>
          </w:tcPr>
          <w:p w14:paraId="3BA5EDE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-28.41%</w:t>
            </w:r>
          </w:p>
        </w:tc>
        <w:tc>
          <w:tcPr>
            <w:tcW w:w="750" w:type="pct"/>
            <w:tcBorders>
              <w:top w:val="single" w:sz="4" w:space="0" w:color="auto"/>
              <w:left w:val="single" w:sz="4" w:space="0" w:color="auto"/>
              <w:bottom w:val="single" w:sz="4" w:space="0" w:color="auto"/>
              <w:right w:val="single" w:sz="4" w:space="0" w:color="auto"/>
            </w:tcBorders>
            <w:vAlign w:val="center"/>
          </w:tcPr>
          <w:p w14:paraId="67A5C62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1.84%</w:t>
            </w:r>
          </w:p>
        </w:tc>
        <w:tc>
          <w:tcPr>
            <w:tcW w:w="750" w:type="pct"/>
            <w:tcBorders>
              <w:top w:val="single" w:sz="4" w:space="0" w:color="auto"/>
              <w:left w:val="single" w:sz="4" w:space="0" w:color="auto"/>
              <w:bottom w:val="single" w:sz="4" w:space="0" w:color="auto"/>
              <w:right w:val="single" w:sz="4" w:space="0" w:color="auto"/>
            </w:tcBorders>
            <w:vAlign w:val="center"/>
          </w:tcPr>
          <w:p w14:paraId="5DAEFE2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14:paraId="1D5955B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r w:rsidR="00877B87" w14:paraId="2FCB2498"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55E35A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0A3D914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15.70%</w:t>
            </w:r>
          </w:p>
        </w:tc>
        <w:tc>
          <w:tcPr>
            <w:tcW w:w="750" w:type="pct"/>
            <w:tcBorders>
              <w:top w:val="single" w:sz="4" w:space="0" w:color="auto"/>
              <w:left w:val="single" w:sz="4" w:space="0" w:color="auto"/>
              <w:bottom w:val="single" w:sz="4" w:space="0" w:color="auto"/>
              <w:right w:val="single" w:sz="4" w:space="0" w:color="auto"/>
            </w:tcBorders>
            <w:vAlign w:val="center"/>
          </w:tcPr>
          <w:p w14:paraId="76FC08F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1.83%</w:t>
            </w:r>
          </w:p>
        </w:tc>
        <w:tc>
          <w:tcPr>
            <w:tcW w:w="750" w:type="pct"/>
            <w:tcBorders>
              <w:top w:val="single" w:sz="4" w:space="0" w:color="auto"/>
              <w:left w:val="single" w:sz="4" w:space="0" w:color="auto"/>
              <w:bottom w:val="single" w:sz="4" w:space="0" w:color="auto"/>
              <w:right w:val="single" w:sz="4" w:space="0" w:color="auto"/>
            </w:tcBorders>
            <w:vAlign w:val="center"/>
          </w:tcPr>
          <w:p w14:paraId="3DEFFAD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16.25%</w:t>
            </w:r>
          </w:p>
        </w:tc>
        <w:tc>
          <w:tcPr>
            <w:tcW w:w="750" w:type="pct"/>
            <w:tcBorders>
              <w:top w:val="single" w:sz="4" w:space="0" w:color="auto"/>
              <w:left w:val="single" w:sz="4" w:space="0" w:color="auto"/>
              <w:bottom w:val="single" w:sz="4" w:space="0" w:color="auto"/>
              <w:right w:val="single" w:sz="4" w:space="0" w:color="auto"/>
            </w:tcBorders>
            <w:vAlign w:val="center"/>
          </w:tcPr>
          <w:p w14:paraId="3A75E1B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1.85%</w:t>
            </w:r>
          </w:p>
        </w:tc>
        <w:tc>
          <w:tcPr>
            <w:tcW w:w="750" w:type="pct"/>
            <w:tcBorders>
              <w:top w:val="single" w:sz="4" w:space="0" w:color="auto"/>
              <w:left w:val="single" w:sz="4" w:space="0" w:color="auto"/>
              <w:bottom w:val="single" w:sz="4" w:space="0" w:color="auto"/>
              <w:right w:val="single" w:sz="4" w:space="0" w:color="auto"/>
            </w:tcBorders>
            <w:vAlign w:val="center"/>
          </w:tcPr>
          <w:p w14:paraId="57620A3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-0.55%</w:t>
            </w:r>
          </w:p>
        </w:tc>
        <w:tc>
          <w:tcPr>
            <w:tcW w:w="750" w:type="pct"/>
            <w:tcBorders>
              <w:top w:val="single" w:sz="4" w:space="0" w:color="auto"/>
              <w:left w:val="single" w:sz="4" w:space="0" w:color="auto"/>
              <w:bottom w:val="single" w:sz="4" w:space="0" w:color="auto"/>
              <w:right w:val="single" w:sz="4" w:space="0" w:color="auto"/>
            </w:tcBorders>
            <w:vAlign w:val="center"/>
          </w:tcPr>
          <w:p w14:paraId="672FCCA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rsidR="00877B87" w14:paraId="39B0206D"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1F47B3B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1CC6147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85.00%</w:t>
            </w:r>
          </w:p>
        </w:tc>
        <w:tc>
          <w:tcPr>
            <w:tcW w:w="750" w:type="pct"/>
            <w:tcBorders>
              <w:top w:val="single" w:sz="4" w:space="0" w:color="auto"/>
              <w:left w:val="single" w:sz="4" w:space="0" w:color="auto"/>
              <w:bottom w:val="single" w:sz="4" w:space="0" w:color="auto"/>
              <w:right w:val="single" w:sz="4" w:space="0" w:color="auto"/>
            </w:tcBorders>
            <w:vAlign w:val="center"/>
          </w:tcPr>
          <w:p w14:paraId="760B569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1.98%</w:t>
            </w:r>
          </w:p>
        </w:tc>
        <w:tc>
          <w:tcPr>
            <w:tcW w:w="750" w:type="pct"/>
            <w:tcBorders>
              <w:top w:val="single" w:sz="4" w:space="0" w:color="auto"/>
              <w:left w:val="single" w:sz="4" w:space="0" w:color="auto"/>
              <w:bottom w:val="single" w:sz="4" w:space="0" w:color="auto"/>
              <w:right w:val="single" w:sz="4" w:space="0" w:color="auto"/>
            </w:tcBorders>
            <w:vAlign w:val="center"/>
          </w:tcPr>
          <w:p w14:paraId="2C06D93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83.34%</w:t>
            </w:r>
          </w:p>
        </w:tc>
        <w:tc>
          <w:tcPr>
            <w:tcW w:w="750" w:type="pct"/>
            <w:tcBorders>
              <w:top w:val="single" w:sz="4" w:space="0" w:color="auto"/>
              <w:left w:val="single" w:sz="4" w:space="0" w:color="auto"/>
              <w:bottom w:val="single" w:sz="4" w:space="0" w:color="auto"/>
              <w:right w:val="single" w:sz="4" w:space="0" w:color="auto"/>
            </w:tcBorders>
            <w:vAlign w:val="center"/>
          </w:tcPr>
          <w:p w14:paraId="1DC9047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1.99%</w:t>
            </w:r>
          </w:p>
        </w:tc>
        <w:tc>
          <w:tcPr>
            <w:tcW w:w="750" w:type="pct"/>
            <w:tcBorders>
              <w:top w:val="single" w:sz="4" w:space="0" w:color="auto"/>
              <w:left w:val="single" w:sz="4" w:space="0" w:color="auto"/>
              <w:bottom w:val="single" w:sz="4" w:space="0" w:color="auto"/>
              <w:right w:val="single" w:sz="4" w:space="0" w:color="auto"/>
            </w:tcBorders>
            <w:vAlign w:val="center"/>
          </w:tcPr>
          <w:p w14:paraId="43BCA35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1.66%</w:t>
            </w:r>
          </w:p>
        </w:tc>
        <w:tc>
          <w:tcPr>
            <w:tcW w:w="750" w:type="pct"/>
            <w:tcBorders>
              <w:top w:val="single" w:sz="4" w:space="0" w:color="auto"/>
              <w:left w:val="single" w:sz="4" w:space="0" w:color="auto"/>
              <w:bottom w:val="single" w:sz="4" w:space="0" w:color="auto"/>
              <w:right w:val="single" w:sz="4" w:space="0" w:color="auto"/>
            </w:tcBorders>
            <w:vAlign w:val="center"/>
          </w:tcPr>
          <w:p w14:paraId="36D237B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877B87" w14:paraId="4FD5CF1E"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34D8D13C"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2019</w:t>
            </w:r>
            <w:r>
              <w:rPr>
                <w:rFonts w:ascii="Times New Roman" w:hAnsi="Times New Roman"/>
                <w:color w:val="000000"/>
                <w:kern w:val="0"/>
                <w:sz w:val="25"/>
                <w:szCs w:val="24"/>
              </w:rPr>
              <w:t>年度（自基金合同生效日起至</w:t>
            </w:r>
            <w:r>
              <w:rPr>
                <w:rFonts w:ascii="Times New Roman" w:hAnsi="Times New Roman"/>
                <w:color w:val="000000"/>
                <w:kern w:val="0"/>
                <w:sz w:val="25"/>
                <w:szCs w:val="24"/>
              </w:rPr>
              <w:t>2019</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14:paraId="7CDFCA4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2.71%</w:t>
            </w:r>
          </w:p>
        </w:tc>
        <w:tc>
          <w:tcPr>
            <w:tcW w:w="750" w:type="pct"/>
            <w:tcBorders>
              <w:top w:val="single" w:sz="4" w:space="0" w:color="auto"/>
              <w:left w:val="single" w:sz="4" w:space="0" w:color="auto"/>
              <w:bottom w:val="single" w:sz="4" w:space="0" w:color="auto"/>
              <w:right w:val="single" w:sz="4" w:space="0" w:color="auto"/>
            </w:tcBorders>
            <w:vAlign w:val="center"/>
          </w:tcPr>
          <w:p w14:paraId="305F093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sz="4" w:space="0" w:color="auto"/>
              <w:left w:val="single" w:sz="4" w:space="0" w:color="auto"/>
              <w:bottom w:val="single" w:sz="4" w:space="0" w:color="auto"/>
              <w:right w:val="single" w:sz="4" w:space="0" w:color="auto"/>
            </w:tcBorders>
            <w:vAlign w:val="center"/>
          </w:tcPr>
          <w:p w14:paraId="48F04DB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6.14%</w:t>
            </w:r>
          </w:p>
        </w:tc>
        <w:tc>
          <w:tcPr>
            <w:tcW w:w="750" w:type="pct"/>
            <w:tcBorders>
              <w:top w:val="single" w:sz="4" w:space="0" w:color="auto"/>
              <w:left w:val="single" w:sz="4" w:space="0" w:color="auto"/>
              <w:bottom w:val="single" w:sz="4" w:space="0" w:color="auto"/>
              <w:right w:val="single" w:sz="4" w:space="0" w:color="auto"/>
            </w:tcBorders>
            <w:vAlign w:val="center"/>
          </w:tcPr>
          <w:p w14:paraId="45E2C9D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1.19%</w:t>
            </w:r>
          </w:p>
        </w:tc>
        <w:tc>
          <w:tcPr>
            <w:tcW w:w="750" w:type="pct"/>
            <w:tcBorders>
              <w:top w:val="single" w:sz="4" w:space="0" w:color="auto"/>
              <w:left w:val="single" w:sz="4" w:space="0" w:color="auto"/>
              <w:bottom w:val="single" w:sz="4" w:space="0" w:color="auto"/>
              <w:right w:val="single" w:sz="4" w:space="0" w:color="auto"/>
            </w:tcBorders>
            <w:vAlign w:val="center"/>
          </w:tcPr>
          <w:p w14:paraId="2866EF5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-3.43%</w:t>
            </w:r>
          </w:p>
        </w:tc>
        <w:tc>
          <w:tcPr>
            <w:tcW w:w="750" w:type="pct"/>
            <w:tcBorders>
              <w:top w:val="single" w:sz="4" w:space="0" w:color="auto"/>
              <w:left w:val="single" w:sz="4" w:space="0" w:color="auto"/>
              <w:bottom w:val="single" w:sz="4" w:space="0" w:color="auto"/>
              <w:right w:val="single" w:sz="4" w:space="0" w:color="auto"/>
            </w:tcBorders>
            <w:vAlign w:val="center"/>
          </w:tcPr>
          <w:p w14:paraId="0FF89E1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-0.68%</w:t>
            </w:r>
          </w:p>
        </w:tc>
      </w:tr>
    </w:tbl>
    <w:p w14:paraId="587787E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注：本基金的业绩比较基准为创业板50指数收益率×95%＋人民币银行活期存款利率（税后）×5%，每日进行再平衡过程。</w:t>
      </w:r>
    </w:p>
    <w:p w14:paraId="7CA609E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2、自基金合同生效以来基金份额累计净值增长率变动及其与同期业绩比较基准收益率变动的比较</w:t>
      </w:r>
    </w:p>
    <w:p w14:paraId="08D7B4D9" w14:textId="77777777" w:rsidR="00877B87" w:rsidRDefault="008116FB">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交银施罗德创业板50指数型证券投资基金</w:t>
      </w:r>
    </w:p>
    <w:p w14:paraId="5641A419" w14:textId="77777777" w:rsidR="00877B87" w:rsidRDefault="008116FB">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份额累计份额净值增长率与业绩比较基准收益率的历史走势对比图</w:t>
      </w:r>
    </w:p>
    <w:p w14:paraId="2F4146EC" w14:textId="77777777" w:rsidR="00877B87" w:rsidRDefault="008116FB">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（2019年11月20日至2024年06月30日）</w:t>
      </w:r>
    </w:p>
    <w:p w14:paraId="764A9E8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（1）交银创业板50指数A</w:t>
      </w:r>
    </w:p>
    <w:p w14:paraId="27B0963C" w14:textId="02E72E44" w:rsidR="00877B87" w:rsidRDefault="004610D8">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drawing>
          <wp:inline distT="0" distB="0" distL="0" distR="0" wp14:anchorId="2EAF5FAA" wp14:editId="454BAAE0">
            <wp:extent cx="5575300" cy="4419600"/>
            <wp:effectExtent l="0" t="0" r="0" b="0"/>
            <wp:docPr id="3" name="图片 3"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212566102420208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75300" cy="4419600"/>
                    </a:xfrm>
                    <a:prstGeom prst="rect">
                      <a:avLst/>
                    </a:prstGeom>
                    <a:noFill/>
                    <a:ln>
                      <a:noFill/>
                    </a:ln>
                  </pic:spPr>
                </pic:pic>
              </a:graphicData>
            </a:graphic>
          </wp:inline>
        </w:drawing>
      </w:r>
    </w:p>
    <w:p w14:paraId="3C80329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（2）交银创业板50指数C</w:t>
      </w:r>
    </w:p>
    <w:p w14:paraId="1D20DC6A" w14:textId="588B1E35" w:rsidR="00877B87" w:rsidRDefault="004610D8">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lastRenderedPageBreak/>
        <w:drawing>
          <wp:inline distT="0" distB="0" distL="0" distR="0" wp14:anchorId="18F5B8B4" wp14:editId="1F5D4775">
            <wp:extent cx="5575300" cy="4419600"/>
            <wp:effectExtent l="0" t="0" r="0" b="0"/>
            <wp:docPr id="4" name="图片 4"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212566102420208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5300" cy="4419600"/>
                    </a:xfrm>
                    <a:prstGeom prst="rect">
                      <a:avLst/>
                    </a:prstGeom>
                    <a:noFill/>
                    <a:ln>
                      <a:noFill/>
                    </a:ln>
                  </pic:spPr>
                </pic:pic>
              </a:graphicData>
            </a:graphic>
          </wp:inline>
        </w:drawing>
      </w:r>
    </w:p>
    <w:p w14:paraId="10B48C0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注：本基金建仓期为自基金合同生效日起的6个月。截至建仓期结束，本基金各项资产配置比例符合基金合同及招募说明书有关投资比例的约定。</w:t>
      </w:r>
    </w:p>
    <w:p w14:paraId="796CA0E3"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7651515" w14:textId="77777777" w:rsidR="00877B87" w:rsidRDefault="008116FB">
      <w:pPr>
        <w:pStyle w:val="1"/>
        <w:snapToGrid w:val="0"/>
        <w:spacing w:beforeLines="0" w:before="240" w:after="240"/>
        <w:rPr>
          <w:rFonts w:ascii="宋体" w:hAnsi="宋体"/>
          <w:szCs w:val="30"/>
        </w:rPr>
      </w:pPr>
      <w:bookmarkStart w:id="15" w:name="_Toc177999561"/>
      <w:r>
        <w:rPr>
          <w:rFonts w:ascii="Times New Roman" w:hAnsi="Times New Roman"/>
          <w:sz w:val="30"/>
        </w:rPr>
        <w:lastRenderedPageBreak/>
        <w:t>十二、基金的财产</w:t>
      </w:r>
      <w:bookmarkEnd w:id="15"/>
    </w:p>
    <w:p w14:paraId="5BE6A0C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（一）基金资产总值</w:t>
      </w:r>
    </w:p>
    <w:p w14:paraId="39B26CC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基金资产总值是指基金拥有的各类有价证券、银行存款本息、基金应收申购款及其他资产的价值总和。</w:t>
      </w:r>
    </w:p>
    <w:p w14:paraId="0D02CAA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（二）基金资产净值</w:t>
      </w:r>
    </w:p>
    <w:p w14:paraId="3F255EC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14:paraId="17B0F6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（三）基金财产的账户</w:t>
      </w:r>
    </w:p>
    <w:p w14:paraId="7ADFAFB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期货结算账户以及投资所需的其他专用账户。开立的基金专用账户与基金管理人、基金托管人、基金销售机构和基金登记机构自有的财产账户以及其他基金财产账户相独立。</w:t>
      </w:r>
    </w:p>
    <w:p w14:paraId="7265349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（四）基金财产的保管和处分</w:t>
      </w:r>
    </w:p>
    <w:p w14:paraId="2F9F130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4A9670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71E26AEE"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62D222D" w14:textId="77777777" w:rsidR="00877B87" w:rsidRDefault="008116FB">
      <w:pPr>
        <w:pStyle w:val="1"/>
        <w:snapToGrid w:val="0"/>
        <w:spacing w:beforeLines="0" w:before="240" w:after="240"/>
        <w:rPr>
          <w:rFonts w:ascii="宋体" w:hAnsi="宋体"/>
          <w:szCs w:val="30"/>
        </w:rPr>
      </w:pPr>
      <w:bookmarkStart w:id="16" w:name="_Toc177999562"/>
      <w:r>
        <w:rPr>
          <w:rFonts w:ascii="Times New Roman" w:hAnsi="Times New Roman"/>
          <w:sz w:val="30"/>
        </w:rPr>
        <w:lastRenderedPageBreak/>
        <w:t>十三、基金资产的估值</w:t>
      </w:r>
      <w:bookmarkEnd w:id="16"/>
    </w:p>
    <w:p w14:paraId="5C84D99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（一）估值日</w:t>
      </w:r>
    </w:p>
    <w:p w14:paraId="6F9D178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本基金的估值日为本基金相关的证券交易场所的交易日以及国家法律法规规定需要对外披露基金净值的非交易日。</w:t>
      </w:r>
    </w:p>
    <w:p w14:paraId="789C786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（二）估值对象</w:t>
      </w:r>
    </w:p>
    <w:p w14:paraId="25C4B41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基金所拥有的股票、债券、股指期货合约和其他投资等持续以公允价值计量的金融资产及负债。</w:t>
      </w:r>
    </w:p>
    <w:p w14:paraId="063E46C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（三）估值原则</w:t>
      </w:r>
    </w:p>
    <w:p w14:paraId="1E2EFBE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基金管理人在确定相关金融资产和金融负债的公允价值时，应符合《企业会计准则》、监管部门有关规定。</w:t>
      </w:r>
    </w:p>
    <w:p w14:paraId="0B82365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D6C742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4B0413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8C21D3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3、如经济环境发生重大变化或证券发行人发生影响证券价格的重大事件，使潜在估值调整对前一估值日的基金资产净值的影响在0.25%以上的，应对估值进行调整并确定公允价值。</w:t>
      </w:r>
    </w:p>
    <w:p w14:paraId="29E8939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（四）估值方法</w:t>
      </w:r>
    </w:p>
    <w:p w14:paraId="5A72C6F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14:paraId="0047098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04480A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（2）交易所上市交易或挂牌转让的不含权固定收益品种（另有规定的除外），选取估值日第三方估值机构提供的相应品种当日的估值净价进行估值；</w:t>
      </w:r>
    </w:p>
    <w:p w14:paraId="1F08DBB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（3）交易所上市交易或挂牌转让的含权固定收益品种（另有规定的除外），选取估值日第三方估值机构提供的相应品种当日的唯一估值净价或推荐估值净价进行估值；</w:t>
      </w:r>
    </w:p>
    <w:p w14:paraId="31E0E6A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易所上市交易的可转换债券以每日收盘价作为估值全价；交易所上市实行全价交易的债券（可转债除外），选取第三方估值机构提供的估值全价减去估值全价中所含的债券（税后）应收利息得到的净价进行估值；</w:t>
      </w:r>
    </w:p>
    <w:p w14:paraId="1BFE385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（5）交易所上市不存在活跃市场的有价证券，采用估值技术确定公允价值。交易所市场挂牌转让的资产支持证券，采用估值技术确定公允价值；</w:t>
      </w:r>
    </w:p>
    <w:p w14:paraId="02C5268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062A06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2、处于未上市期间的有价证券应区分如下情况处理：</w:t>
      </w:r>
    </w:p>
    <w:p w14:paraId="42AFF66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（1）送股、转增股、配股和公开增发的新股，按估值日在证券交易所挂牌的同一股票的估值方法估值；该日无交易的，以最近一日的市价（收盘价）估值；</w:t>
      </w:r>
    </w:p>
    <w:p w14:paraId="738C57E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（2）首次公开发行未上市的股票、债券，采用估值技术确定公允价值，在估值技术难以可靠计量公允价值的情况下，按成本估值。</w:t>
      </w:r>
    </w:p>
    <w:p w14:paraId="6A15499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DB58F8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951290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4、本基金投资股指期货合约，一般以估值当日结算价进行估值，估值当日无结算价的，且最近交易日后经济环境未发生重大变化的，采用最近交易日结算价估值。</w:t>
      </w:r>
    </w:p>
    <w:p w14:paraId="499FE7B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5、如有确凿证据表明按上述方法进行估值不能客观反映其公允价值的，基金管理人可根据具体情况与基金托管人商定后，按最能反映公允价值的价格估值。</w:t>
      </w:r>
    </w:p>
    <w:p w14:paraId="1688CF6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6、当发生大额申购或赎回情形时，基金管理人可以采用摆动定价机制，以确保基金估值的公平性。</w:t>
      </w:r>
    </w:p>
    <w:p w14:paraId="1988F1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7、本基金投资存托凭证的估值核算依照境内上市交易的股票执行。</w:t>
      </w:r>
    </w:p>
    <w:p w14:paraId="35A5312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8、相关法律法规以及监管部门有强制规定的，从其规定。如有新增事项，按国家最新规定估值。</w:t>
      </w:r>
    </w:p>
    <w:p w14:paraId="1D5BC93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542015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03B3F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（五）估值程序</w:t>
      </w:r>
    </w:p>
    <w:p w14:paraId="6BF46F6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各类基金份额的基金份额净值是按照每个工作日闭市后，该类基金份额的基金资产净值除以当日基金份额的余额数量计算，精确到0.0001元，小数点后第5位四舍五入。基金管理人可以设立大额赎回情形下的净值精度应急调整机制，具体可参见相关公告。国家另有规定的，从其规定。</w:t>
      </w:r>
    </w:p>
    <w:p w14:paraId="1B61ACA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基金管理人于每个工作日计算各类基金份额的基金资产净值及基金份额净值，</w:t>
      </w:r>
      <w:r>
        <w:rPr>
          <w:rFonts w:ascii="宋体" w:hAnsi="宋体"/>
          <w:sz w:val="24"/>
        </w:rPr>
        <w:lastRenderedPageBreak/>
        <w:t>并按规定公告。如遇特殊情况，经中国证监会同意，可以适当延迟计算或公告。</w:t>
      </w:r>
    </w:p>
    <w:p w14:paraId="0D28BF5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依据基金合同和相关法律法规的规定对外公布。</w:t>
      </w:r>
    </w:p>
    <w:p w14:paraId="6F40083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（六）估值错误的处理</w:t>
      </w:r>
    </w:p>
    <w:p w14:paraId="06885A5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基金管理人和基金托管人将采取必要、适当、合理的措施确保基金资产估值的准确性、及时性。当基金份额净值小数点后4位以内（含第4位） 发生估值错误时，视为基金份额净值错误。</w:t>
      </w:r>
    </w:p>
    <w:p w14:paraId="37FE50D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14:paraId="326EFE8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1、估值错误类型</w:t>
      </w:r>
    </w:p>
    <w:p w14:paraId="6728298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ACE3D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14:paraId="250A90C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2、估值错误处理原则</w:t>
      </w:r>
    </w:p>
    <w:p w14:paraId="2160A13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316B2E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14:paraId="68D9E03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w:t>
      </w:r>
      <w:r>
        <w:rPr>
          <w:rFonts w:ascii="宋体" w:hAnsi="宋体"/>
          <w:sz w:val="24"/>
        </w:rPr>
        <w:lastRenderedPageBreak/>
        <w:t>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97AB25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（4）估值错误调整采用尽量恢复至假设未发生估值错误的正确情形的方式。</w:t>
      </w:r>
    </w:p>
    <w:p w14:paraId="431759D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（5）按法律法规规定的其他原则处理估值错误。</w:t>
      </w:r>
    </w:p>
    <w:p w14:paraId="71DF52F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3、估值错误处理程序</w:t>
      </w:r>
    </w:p>
    <w:p w14:paraId="1F7ECC3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14:paraId="5E6CFE7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（1）查明估值错误发生的原因，列明所有的当事人，并根据估值错误发生的原因确定估值错误的责任方；</w:t>
      </w:r>
    </w:p>
    <w:p w14:paraId="166B2D0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（2）根据估值错误处理原则或当事人协商的方法对因估值错误造成的损失进行评估；</w:t>
      </w:r>
    </w:p>
    <w:p w14:paraId="28ABC49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（3）根据估值错误处理原则或当事人协商的方法由估值错误的责任方进行更正和赔偿损失；</w:t>
      </w:r>
    </w:p>
    <w:p w14:paraId="60A23E5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14:paraId="4B3E1C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4、基金份额净值估值错误处理的方法如下：</w:t>
      </w:r>
    </w:p>
    <w:p w14:paraId="28D5110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14:paraId="10FB49C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（2）错误偏差达到基金份额净值的0.25%时，基金管理人应当通报基金托管人并报中国证监会备案；错误偏差达到基金份额净值的0.5%时，基金管理人应当公告，并报中国证监会备案。</w:t>
      </w:r>
    </w:p>
    <w:p w14:paraId="134A4A6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（3）当基金份额净值计算差错给基金和基金份额持有人造成损失需要进行赔偿时，基金管理人和基金托管人应根据实际情况界定双方承担的责任，经确认后按以下条款进行赔偿：</w:t>
      </w:r>
    </w:p>
    <w:p w14:paraId="24146B7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E6A9FB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w:t>
      </w:r>
      <w:r>
        <w:rPr>
          <w:rFonts w:ascii="宋体" w:hAnsi="宋体"/>
          <w:sz w:val="24"/>
        </w:rPr>
        <w:lastRenderedPageBreak/>
        <w:t>自承担相应的责任。</w:t>
      </w:r>
    </w:p>
    <w:p w14:paraId="1B7E559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8A69CC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④由于基金管理人提供的信息错误（包括但不限于基金申购或赎回金额等），进而导致基金份额净值计算错误而引起的基金份额持有人和基金财产的损失，由基金管理人负责赔付。</w:t>
      </w:r>
    </w:p>
    <w:p w14:paraId="0ADA7CF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（4）前述内容如法律法规或者监管部门另有规定的，从其规定。如果行业另有通行做法，双方当事人应本着平等和保护基金份额持有人利益的原则进行协商。</w:t>
      </w:r>
    </w:p>
    <w:p w14:paraId="7AF8689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（七）暂停估值的情形</w:t>
      </w:r>
    </w:p>
    <w:p w14:paraId="26D2564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1、基金投资所涉及的证券/期货交易市场遇法定节假日或因其他原因暂停营业时；</w:t>
      </w:r>
    </w:p>
    <w:p w14:paraId="6E44DC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14:paraId="62D58E5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3、当前一估值日基金资产净值 50%以上的资产出现无可参考的活跃市场价格且采用估值技术仍导致公允价值存在重大不确定性时，经与基金托管人协商确认后，基金管理人应当暂停估值；</w:t>
      </w:r>
    </w:p>
    <w:p w14:paraId="35C34CB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4、法律法规、中国证监会和基金合同认定的其它情形。</w:t>
      </w:r>
    </w:p>
    <w:p w14:paraId="2063EF6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（八）基金净值的确认</w:t>
      </w:r>
    </w:p>
    <w:p w14:paraId="34E3850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用于基金信息披露的各类基金份额的基金资产净值和基金份额净值由基金管理人负责计算，基金托管人负责进行复核。基金管理人应于每个开放日交易结束后计算当日的各类基金份额的基金资产净值和基金份额净值并发送给基金托管人。基金托管人对净值计算结果复核确认后发送给基金管理人，由基金管理人依据基金合同和相关法律法规的规定对基金净值予以公布。</w:t>
      </w:r>
    </w:p>
    <w:p w14:paraId="177426A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（九）特殊情形的处理</w:t>
      </w:r>
    </w:p>
    <w:p w14:paraId="5DFABF5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1、基金管理人或基金托管人按估值方法的第5项进行估值时，所造成的误差不作为基金资产估值错误处理。</w:t>
      </w:r>
    </w:p>
    <w:p w14:paraId="778B1FB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2、对于因税收规定调整或其他原因导致基金实际交纳税金与基金按照权责发生制进行估值的应交税金有差异的，相关估值调整不作为基金资产估值错误处理。</w:t>
      </w:r>
    </w:p>
    <w:p w14:paraId="2F4C37F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3、由于不可抗力原因，或由于证券/期货交易所、证券/期货经纪机构、登记</w:t>
      </w:r>
      <w:r>
        <w:rPr>
          <w:rFonts w:ascii="宋体" w:hAnsi="宋体"/>
          <w:sz w:val="24"/>
        </w:rPr>
        <w:lastRenderedPageBreak/>
        <w:t>结算公司及存款银行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1A0B2CFD"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9C992DE" w14:textId="77777777" w:rsidR="00877B87" w:rsidRDefault="008116FB">
      <w:pPr>
        <w:pStyle w:val="1"/>
        <w:snapToGrid w:val="0"/>
        <w:spacing w:beforeLines="0" w:before="240" w:after="240"/>
        <w:rPr>
          <w:rFonts w:ascii="宋体" w:hAnsi="宋体"/>
          <w:szCs w:val="30"/>
        </w:rPr>
      </w:pPr>
      <w:bookmarkStart w:id="17" w:name="_Toc177999563"/>
      <w:r>
        <w:rPr>
          <w:rFonts w:ascii="Times New Roman" w:hAnsi="Times New Roman"/>
          <w:sz w:val="30"/>
        </w:rPr>
        <w:lastRenderedPageBreak/>
        <w:t>十四、基金收益与分配</w:t>
      </w:r>
      <w:bookmarkEnd w:id="17"/>
    </w:p>
    <w:p w14:paraId="051427E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（一）基金利润的构成</w:t>
      </w:r>
    </w:p>
    <w:p w14:paraId="714B161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14:paraId="689C50E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（二）基金可供分配利润</w:t>
      </w:r>
    </w:p>
    <w:p w14:paraId="4FD82C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14:paraId="332FCCA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（三）基金收益分配原则</w:t>
      </w:r>
    </w:p>
    <w:p w14:paraId="4BCB8F5E" w14:textId="321ECC7D"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1、由于本基金A类基金份额</w:t>
      </w:r>
      <w:r w:rsidR="00FC61E5" w:rsidRPr="00130E5F">
        <w:rPr>
          <w:rFonts w:ascii="宋体" w:hAnsi="宋体" w:hint="eastAsia"/>
          <w:sz w:val="24"/>
        </w:rPr>
        <w:t>、</w:t>
      </w:r>
      <w:r w:rsidR="00FC61E5" w:rsidRPr="00130E5F">
        <w:rPr>
          <w:rFonts w:ascii="宋体" w:hAnsi="宋体"/>
          <w:sz w:val="24"/>
        </w:rPr>
        <w:t>Y</w:t>
      </w:r>
      <w:r w:rsidR="00FC61E5" w:rsidRPr="00130E5F">
        <w:rPr>
          <w:rFonts w:ascii="宋体" w:hAnsi="宋体" w:hint="eastAsia"/>
          <w:sz w:val="24"/>
        </w:rPr>
        <w:t>类基</w:t>
      </w:r>
      <w:r w:rsidR="00FC61E5">
        <w:rPr>
          <w:rFonts w:hint="eastAsia"/>
          <w:bCs/>
          <w:sz w:val="24"/>
        </w:rPr>
        <w:t>金份额</w:t>
      </w:r>
      <w:r>
        <w:rPr>
          <w:rFonts w:ascii="宋体" w:hAnsi="宋体"/>
          <w:sz w:val="24"/>
        </w:rPr>
        <w:t>不收取销售服务费，C类基金份额收取销售服务费，各基金份额类别对应的可供分配利润将有所不同；</w:t>
      </w:r>
    </w:p>
    <w:p w14:paraId="5B47DB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2、在符合有关基金分红条件的前提下，本基金管理人可以根据实际情况进行收益分配，具体分配方案以公告为准，若《基金合同》生效不满3个月可不进行收益分配；</w:t>
      </w:r>
    </w:p>
    <w:p w14:paraId="6EB982A4" w14:textId="771F98A5"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3、本基金收益分配方式分两种：现金分红与红利再投资，投资者可选择现金红利或将现金红利自动转为相应类别的基金份额进行再投资；若投资者不选择，本基金</w:t>
      </w:r>
      <w:r w:rsidR="00557626" w:rsidRPr="00B075D2">
        <w:rPr>
          <w:rFonts w:hint="eastAsia"/>
          <w:bCs/>
          <w:sz w:val="24"/>
        </w:rPr>
        <w:t>A</w:t>
      </w:r>
      <w:r w:rsidR="00557626" w:rsidRPr="00B075D2">
        <w:rPr>
          <w:rFonts w:hint="eastAsia"/>
          <w:bCs/>
          <w:sz w:val="24"/>
        </w:rPr>
        <w:t>类基金份额</w:t>
      </w:r>
      <w:r w:rsidR="00557626">
        <w:rPr>
          <w:rFonts w:hint="eastAsia"/>
          <w:bCs/>
          <w:sz w:val="24"/>
        </w:rPr>
        <w:t>和</w:t>
      </w:r>
      <w:r w:rsidR="00557626">
        <w:rPr>
          <w:rFonts w:hint="eastAsia"/>
          <w:bCs/>
          <w:sz w:val="24"/>
        </w:rPr>
        <w:t>C</w:t>
      </w:r>
      <w:r w:rsidR="00557626">
        <w:rPr>
          <w:rFonts w:hint="eastAsia"/>
          <w:bCs/>
          <w:sz w:val="24"/>
        </w:rPr>
        <w:t>类基金份额</w:t>
      </w:r>
      <w:r>
        <w:rPr>
          <w:rFonts w:ascii="宋体" w:hAnsi="宋体"/>
          <w:sz w:val="24"/>
        </w:rPr>
        <w:t>默认的收益分配方式是现金分红</w:t>
      </w:r>
      <w:r w:rsidR="00557626" w:rsidRPr="00557626">
        <w:rPr>
          <w:rFonts w:ascii="宋体" w:hAnsi="宋体" w:hint="eastAsia"/>
          <w:sz w:val="24"/>
        </w:rPr>
        <w:t>，Y类基金份额默认的收益分配方式为红利再投资</w:t>
      </w:r>
      <w:r>
        <w:rPr>
          <w:rFonts w:ascii="宋体" w:hAnsi="宋体"/>
          <w:sz w:val="24"/>
        </w:rPr>
        <w:t>；基金份额持有人可对其持有的</w:t>
      </w:r>
      <w:r w:rsidR="00557626">
        <w:rPr>
          <w:rFonts w:ascii="宋体" w:hAnsi="宋体" w:hint="eastAsia"/>
          <w:sz w:val="24"/>
        </w:rPr>
        <w:t>各</w:t>
      </w:r>
      <w:r>
        <w:rPr>
          <w:rFonts w:ascii="宋体" w:hAnsi="宋体"/>
          <w:sz w:val="24"/>
        </w:rPr>
        <w:t>类基金份额分别选择不同的收益分配方式；</w:t>
      </w:r>
    </w:p>
    <w:p w14:paraId="5DD5C78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4、本基金同一基金份额类别的每一基金份额享有同等分配权；</w:t>
      </w:r>
    </w:p>
    <w:p w14:paraId="6D55AE0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5、法律法规或监管机关另有规定的，从其规定。</w:t>
      </w:r>
    </w:p>
    <w:p w14:paraId="0B0371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（四）收益分配方案</w:t>
      </w:r>
    </w:p>
    <w:p w14:paraId="1E387FD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14:paraId="788CB31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（五）收益分配方案的确定、公告与实施</w:t>
      </w:r>
    </w:p>
    <w:p w14:paraId="48BF79B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本基金收益分配方案由基金管理人拟定，并由基金托管人复核，依照《信息披露办法》的规定在规定媒介公告。</w:t>
      </w:r>
    </w:p>
    <w:p w14:paraId="74ACF46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法律法规或监管机关另有规定的，从其规定。</w:t>
      </w:r>
    </w:p>
    <w:p w14:paraId="2A2A44C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（六）基金收益分配中发生的费用</w:t>
      </w:r>
    </w:p>
    <w:p w14:paraId="329E5DB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基金收益分配时所发生的银行转账或其他手续费用由投资者自行承担。当投资</w:t>
      </w:r>
      <w:r>
        <w:rPr>
          <w:rFonts w:ascii="宋体" w:hAnsi="宋体"/>
          <w:sz w:val="24"/>
        </w:rPr>
        <w:lastRenderedPageBreak/>
        <w:t>者的现金红利小于一定金额，不足以支付银行转账或其他手续费用时，基金登记机构可将基金份额持有人的现金红利自动转为相应类别的基金份额。红利再投资的计算方法，依照《业务规则》执行。</w:t>
      </w:r>
    </w:p>
    <w:p w14:paraId="007D146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（七）收益分配方式的修改</w:t>
      </w:r>
    </w:p>
    <w:p w14:paraId="5983DF9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14:paraId="3324DA6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14:paraId="27DC6C9A"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E3F2417" w14:textId="77777777" w:rsidR="00877B87" w:rsidRDefault="008116FB">
      <w:pPr>
        <w:pStyle w:val="1"/>
        <w:snapToGrid w:val="0"/>
        <w:spacing w:beforeLines="0" w:before="240" w:after="240"/>
        <w:rPr>
          <w:rFonts w:ascii="宋体" w:hAnsi="宋体"/>
          <w:szCs w:val="30"/>
        </w:rPr>
      </w:pPr>
      <w:bookmarkStart w:id="18" w:name="_Toc177999564"/>
      <w:r>
        <w:rPr>
          <w:rFonts w:ascii="Times New Roman" w:hAnsi="Times New Roman"/>
          <w:sz w:val="30"/>
        </w:rPr>
        <w:lastRenderedPageBreak/>
        <w:t>十五、基金的费用与税收</w:t>
      </w:r>
      <w:bookmarkEnd w:id="18"/>
    </w:p>
    <w:p w14:paraId="67585F8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（一）基金费用的种类</w:t>
      </w:r>
    </w:p>
    <w:p w14:paraId="4455510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1811451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14:paraId="69955AC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3、《基金合同》生效后与基金相关的信息披露费用；</w:t>
      </w:r>
    </w:p>
    <w:p w14:paraId="21C7633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4、《基金合同》生效后与基金相关的会计师费、律师费、仲裁费和诉讼费；</w:t>
      </w:r>
    </w:p>
    <w:p w14:paraId="793561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14:paraId="0FDC4BB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6、基金的证券/期货交易费用；</w:t>
      </w:r>
    </w:p>
    <w:p w14:paraId="11526B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7、基金的银行汇划费用；</w:t>
      </w:r>
    </w:p>
    <w:p w14:paraId="21E75FB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8、基金的开户费用、账户维护费用；</w:t>
      </w:r>
    </w:p>
    <w:p w14:paraId="444ECCD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9、本基金从C类基金份额的基金财产中计提的销售服务费；</w:t>
      </w:r>
    </w:p>
    <w:p w14:paraId="1E14144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10、基金标的指数许可使用费；</w:t>
      </w:r>
    </w:p>
    <w:p w14:paraId="035B34B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11、按照国家有关规定和《基金合同》约定，可以在基金财产中列支的其他费用。</w:t>
      </w:r>
    </w:p>
    <w:p w14:paraId="5D026EE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（二）基金费用计提方法、计提标准和支付方式</w:t>
      </w:r>
    </w:p>
    <w:p w14:paraId="4164872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1、与基金运作有关的费用</w:t>
      </w:r>
    </w:p>
    <w:p w14:paraId="48A0CB3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0254152C" w14:textId="04453C9E" w:rsidR="00557626" w:rsidRPr="00557626" w:rsidRDefault="00557626" w:rsidP="00557626">
      <w:pPr>
        <w:autoSpaceDE w:val="0"/>
        <w:autoSpaceDN w:val="0"/>
        <w:adjustRightInd w:val="0"/>
        <w:snapToGrid w:val="0"/>
        <w:spacing w:line="360" w:lineRule="auto"/>
        <w:ind w:firstLineChars="200" w:firstLine="480"/>
        <w:jc w:val="left"/>
        <w:rPr>
          <w:rFonts w:ascii="宋体" w:hAnsi="宋体"/>
          <w:sz w:val="24"/>
        </w:rPr>
      </w:pPr>
      <w:r w:rsidRPr="00557626">
        <w:rPr>
          <w:rFonts w:ascii="宋体" w:hAnsi="宋体" w:hint="eastAsia"/>
          <w:sz w:val="24"/>
        </w:rPr>
        <w:t>本基金各类基金份额按照不同的年费率计提管理费，各类基金份额的管理费按前一日</w:t>
      </w:r>
      <w:r w:rsidR="00FC61E5">
        <w:rPr>
          <w:rFonts w:ascii="宋体" w:hAnsi="宋体" w:hint="eastAsia"/>
          <w:sz w:val="24"/>
        </w:rPr>
        <w:t>该类基金份额</w:t>
      </w:r>
      <w:r w:rsidRPr="00557626">
        <w:rPr>
          <w:rFonts w:ascii="宋体" w:hAnsi="宋体" w:hint="eastAsia"/>
          <w:sz w:val="24"/>
        </w:rPr>
        <w:t>基金资产净值的年管理费率计提。</w:t>
      </w:r>
    </w:p>
    <w:p w14:paraId="6EBCF60C" w14:textId="77777777" w:rsidR="00557626" w:rsidRPr="00557626" w:rsidRDefault="00557626" w:rsidP="00557626">
      <w:pPr>
        <w:autoSpaceDE w:val="0"/>
        <w:autoSpaceDN w:val="0"/>
        <w:adjustRightInd w:val="0"/>
        <w:snapToGrid w:val="0"/>
        <w:spacing w:line="360" w:lineRule="auto"/>
        <w:ind w:firstLineChars="200" w:firstLine="480"/>
        <w:jc w:val="left"/>
        <w:rPr>
          <w:rFonts w:ascii="宋体" w:hAnsi="宋体"/>
          <w:sz w:val="24"/>
        </w:rPr>
      </w:pPr>
      <w:r w:rsidRPr="00557626">
        <w:rPr>
          <w:rFonts w:ascii="宋体" w:hAnsi="宋体" w:hint="eastAsia"/>
          <w:sz w:val="24"/>
        </w:rPr>
        <w:t>本基金A类基金份额和C类基金份额的年管理费率为0.5%；本基金Y类基金份额的年管理费率为0.25%。</w:t>
      </w:r>
    </w:p>
    <w:p w14:paraId="62382BFC" w14:textId="77777777" w:rsidR="00557626" w:rsidRPr="00557626" w:rsidRDefault="00557626" w:rsidP="00557626">
      <w:pPr>
        <w:autoSpaceDE w:val="0"/>
        <w:autoSpaceDN w:val="0"/>
        <w:adjustRightInd w:val="0"/>
        <w:snapToGrid w:val="0"/>
        <w:spacing w:line="360" w:lineRule="auto"/>
        <w:ind w:firstLineChars="200" w:firstLine="480"/>
        <w:jc w:val="left"/>
        <w:rPr>
          <w:rFonts w:ascii="宋体" w:hAnsi="宋体"/>
          <w:sz w:val="24"/>
        </w:rPr>
      </w:pPr>
      <w:r w:rsidRPr="00557626">
        <w:rPr>
          <w:rFonts w:ascii="宋体" w:hAnsi="宋体" w:hint="eastAsia"/>
          <w:sz w:val="24"/>
        </w:rPr>
        <w:t>管理费的计算方法如下：</w:t>
      </w:r>
    </w:p>
    <w:p w14:paraId="1FFC5C9B" w14:textId="77777777" w:rsidR="00557626" w:rsidRPr="00557626" w:rsidRDefault="00557626" w:rsidP="00557626">
      <w:pPr>
        <w:autoSpaceDE w:val="0"/>
        <w:autoSpaceDN w:val="0"/>
        <w:adjustRightInd w:val="0"/>
        <w:snapToGrid w:val="0"/>
        <w:spacing w:line="360" w:lineRule="auto"/>
        <w:ind w:firstLineChars="200" w:firstLine="480"/>
        <w:jc w:val="left"/>
        <w:rPr>
          <w:rFonts w:ascii="宋体" w:hAnsi="宋体"/>
          <w:sz w:val="24"/>
        </w:rPr>
      </w:pPr>
      <w:r w:rsidRPr="00557626">
        <w:rPr>
          <w:rFonts w:ascii="宋体" w:hAnsi="宋体" w:hint="eastAsia"/>
          <w:sz w:val="24"/>
        </w:rPr>
        <w:t>H＝E×年管理费率÷当年天数</w:t>
      </w:r>
    </w:p>
    <w:p w14:paraId="2F797C07" w14:textId="77777777" w:rsidR="00557626" w:rsidRPr="00557626" w:rsidRDefault="00557626" w:rsidP="00557626">
      <w:pPr>
        <w:autoSpaceDE w:val="0"/>
        <w:autoSpaceDN w:val="0"/>
        <w:adjustRightInd w:val="0"/>
        <w:snapToGrid w:val="0"/>
        <w:spacing w:line="360" w:lineRule="auto"/>
        <w:ind w:firstLineChars="200" w:firstLine="480"/>
        <w:jc w:val="left"/>
        <w:rPr>
          <w:rFonts w:ascii="宋体" w:hAnsi="宋体"/>
          <w:sz w:val="24"/>
        </w:rPr>
      </w:pPr>
      <w:r w:rsidRPr="00557626">
        <w:rPr>
          <w:rFonts w:ascii="宋体" w:hAnsi="宋体" w:hint="eastAsia"/>
          <w:sz w:val="24"/>
        </w:rPr>
        <w:t>H为各类基金份额每日应计提的基金管理费</w:t>
      </w:r>
    </w:p>
    <w:p w14:paraId="43309795" w14:textId="3DFBBAB1" w:rsidR="00877B87" w:rsidRDefault="00557626">
      <w:pPr>
        <w:autoSpaceDE w:val="0"/>
        <w:autoSpaceDN w:val="0"/>
        <w:adjustRightInd w:val="0"/>
        <w:snapToGrid w:val="0"/>
        <w:spacing w:line="360" w:lineRule="auto"/>
        <w:ind w:firstLineChars="200" w:firstLine="480"/>
        <w:jc w:val="left"/>
        <w:rPr>
          <w:rFonts w:ascii="宋体" w:hAnsi="宋体"/>
          <w:szCs w:val="24"/>
        </w:rPr>
      </w:pPr>
      <w:r w:rsidRPr="00557626">
        <w:rPr>
          <w:rFonts w:ascii="宋体" w:hAnsi="宋体" w:hint="eastAsia"/>
          <w:sz w:val="24"/>
        </w:rPr>
        <w:t>E为各类基金份额前一日的基金资产净值</w:t>
      </w:r>
    </w:p>
    <w:p w14:paraId="3A3404C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提，逐日累计至每月月末，按月支付。由基金管理人与基金托管人核对一致后，由基金托管人按照与基金管理人协商一致的方式于次月首日起5个工作日内从基金财产中一次性支付给基金管理人，若遇法定节假日、休息日或不可抗力致使无法按时支付的，支付日期顺延。</w:t>
      </w:r>
    </w:p>
    <w:p w14:paraId="78A7EB0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（2）基金托管人的托管费</w:t>
      </w:r>
    </w:p>
    <w:p w14:paraId="24B7DDA9" w14:textId="57BD7F9D" w:rsidR="00557626" w:rsidRPr="00557626" w:rsidRDefault="00557626" w:rsidP="00557626">
      <w:pPr>
        <w:autoSpaceDE w:val="0"/>
        <w:autoSpaceDN w:val="0"/>
        <w:adjustRightInd w:val="0"/>
        <w:snapToGrid w:val="0"/>
        <w:spacing w:line="360" w:lineRule="auto"/>
        <w:ind w:firstLineChars="200" w:firstLine="480"/>
        <w:jc w:val="left"/>
        <w:rPr>
          <w:rFonts w:ascii="宋体" w:hAnsi="宋体"/>
          <w:sz w:val="24"/>
        </w:rPr>
      </w:pPr>
      <w:r w:rsidRPr="00557626">
        <w:rPr>
          <w:rFonts w:ascii="宋体" w:hAnsi="宋体" w:hint="eastAsia"/>
          <w:sz w:val="24"/>
        </w:rPr>
        <w:t>本基金各类基金份额按照不同的年费率计提托管费，各类基金份额的托管费按前一日</w:t>
      </w:r>
      <w:r w:rsidR="00FC61E5">
        <w:rPr>
          <w:rFonts w:ascii="宋体" w:hAnsi="宋体" w:hint="eastAsia"/>
          <w:sz w:val="24"/>
        </w:rPr>
        <w:t>该类基金份额</w:t>
      </w:r>
      <w:r w:rsidRPr="00557626">
        <w:rPr>
          <w:rFonts w:ascii="宋体" w:hAnsi="宋体" w:hint="eastAsia"/>
          <w:sz w:val="24"/>
        </w:rPr>
        <w:t>基金资产净值的年托管费率计提。</w:t>
      </w:r>
    </w:p>
    <w:p w14:paraId="3CBF7389" w14:textId="77777777" w:rsidR="00557626" w:rsidRPr="00557626" w:rsidRDefault="00557626" w:rsidP="00557626">
      <w:pPr>
        <w:autoSpaceDE w:val="0"/>
        <w:autoSpaceDN w:val="0"/>
        <w:adjustRightInd w:val="0"/>
        <w:snapToGrid w:val="0"/>
        <w:spacing w:line="360" w:lineRule="auto"/>
        <w:ind w:firstLineChars="200" w:firstLine="480"/>
        <w:jc w:val="left"/>
        <w:rPr>
          <w:rFonts w:ascii="宋体" w:hAnsi="宋体"/>
          <w:sz w:val="24"/>
        </w:rPr>
      </w:pPr>
      <w:r w:rsidRPr="00557626">
        <w:rPr>
          <w:rFonts w:ascii="宋体" w:hAnsi="宋体" w:hint="eastAsia"/>
          <w:sz w:val="24"/>
        </w:rPr>
        <w:t>本基金A类基金份额和C类基金份额的年托管费率为0.15%；本基金Y类基金份额的年托管费率为0.075%。</w:t>
      </w:r>
    </w:p>
    <w:p w14:paraId="17C03221" w14:textId="77777777" w:rsidR="00557626" w:rsidRPr="00557626" w:rsidRDefault="00557626" w:rsidP="00557626">
      <w:pPr>
        <w:autoSpaceDE w:val="0"/>
        <w:autoSpaceDN w:val="0"/>
        <w:adjustRightInd w:val="0"/>
        <w:snapToGrid w:val="0"/>
        <w:spacing w:line="360" w:lineRule="auto"/>
        <w:ind w:firstLineChars="200" w:firstLine="480"/>
        <w:jc w:val="left"/>
        <w:rPr>
          <w:rFonts w:ascii="宋体" w:hAnsi="宋体"/>
          <w:sz w:val="24"/>
        </w:rPr>
      </w:pPr>
      <w:r w:rsidRPr="00557626">
        <w:rPr>
          <w:rFonts w:ascii="宋体" w:hAnsi="宋体" w:hint="eastAsia"/>
          <w:sz w:val="24"/>
        </w:rPr>
        <w:t>托管费的计算方法如下：</w:t>
      </w:r>
    </w:p>
    <w:p w14:paraId="434FC9EB" w14:textId="77777777" w:rsidR="00557626" w:rsidRPr="00557626" w:rsidRDefault="00557626" w:rsidP="00557626">
      <w:pPr>
        <w:autoSpaceDE w:val="0"/>
        <w:autoSpaceDN w:val="0"/>
        <w:adjustRightInd w:val="0"/>
        <w:snapToGrid w:val="0"/>
        <w:spacing w:line="360" w:lineRule="auto"/>
        <w:ind w:firstLineChars="200" w:firstLine="480"/>
        <w:jc w:val="left"/>
        <w:rPr>
          <w:rFonts w:ascii="宋体" w:hAnsi="宋体"/>
          <w:sz w:val="24"/>
        </w:rPr>
      </w:pPr>
      <w:r w:rsidRPr="00557626">
        <w:rPr>
          <w:rFonts w:ascii="宋体" w:hAnsi="宋体" w:hint="eastAsia"/>
          <w:sz w:val="24"/>
        </w:rPr>
        <w:t>H＝E×年托管费率÷当年天数</w:t>
      </w:r>
    </w:p>
    <w:p w14:paraId="67022378" w14:textId="77777777" w:rsidR="00557626" w:rsidRPr="00557626" w:rsidRDefault="00557626" w:rsidP="00557626">
      <w:pPr>
        <w:autoSpaceDE w:val="0"/>
        <w:autoSpaceDN w:val="0"/>
        <w:adjustRightInd w:val="0"/>
        <w:snapToGrid w:val="0"/>
        <w:spacing w:line="360" w:lineRule="auto"/>
        <w:ind w:firstLineChars="200" w:firstLine="480"/>
        <w:jc w:val="left"/>
        <w:rPr>
          <w:rFonts w:ascii="宋体" w:hAnsi="宋体"/>
          <w:sz w:val="24"/>
        </w:rPr>
      </w:pPr>
      <w:r w:rsidRPr="00557626">
        <w:rPr>
          <w:rFonts w:ascii="宋体" w:hAnsi="宋体" w:hint="eastAsia"/>
          <w:sz w:val="24"/>
        </w:rPr>
        <w:t>H为各类基金份额每日应计提的基金托管费</w:t>
      </w:r>
    </w:p>
    <w:p w14:paraId="1E9629BB" w14:textId="5DA3670C" w:rsidR="00877B87" w:rsidRDefault="00557626">
      <w:pPr>
        <w:autoSpaceDE w:val="0"/>
        <w:autoSpaceDN w:val="0"/>
        <w:adjustRightInd w:val="0"/>
        <w:snapToGrid w:val="0"/>
        <w:spacing w:line="360" w:lineRule="auto"/>
        <w:ind w:firstLineChars="200" w:firstLine="480"/>
        <w:jc w:val="left"/>
        <w:rPr>
          <w:rFonts w:ascii="宋体" w:hAnsi="宋体"/>
          <w:szCs w:val="24"/>
        </w:rPr>
      </w:pPr>
      <w:r w:rsidRPr="00557626">
        <w:rPr>
          <w:rFonts w:ascii="宋体" w:hAnsi="宋体" w:hint="eastAsia"/>
          <w:sz w:val="24"/>
        </w:rPr>
        <w:t>E为各类基金份额前一日的基金资产净值</w:t>
      </w:r>
    </w:p>
    <w:p w14:paraId="01CBB0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提，逐日累计至每月月末，按月支付。由基金管理人与基金托管人核对一致后，由基金托管人按照与基金管理人协商一致的方式于次月首日起5个工作日内从基金财产中一次性支付给基金托管人，若遇法定节假日、休息日或不可抗力致使无法按时支付的，支付日期顺延。</w:t>
      </w:r>
    </w:p>
    <w:p w14:paraId="7E2F554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（3）C类基金份额的销售服务费</w:t>
      </w:r>
    </w:p>
    <w:p w14:paraId="78E81083" w14:textId="0799845F"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w:t>
      </w:r>
      <w:r w:rsidR="00FC61E5">
        <w:rPr>
          <w:rFonts w:ascii="宋体" w:hAnsi="宋体" w:hint="eastAsia"/>
          <w:sz w:val="24"/>
        </w:rPr>
        <w:t>、Y类基金份额</w:t>
      </w:r>
      <w:r>
        <w:rPr>
          <w:rFonts w:ascii="宋体" w:hAnsi="宋体"/>
          <w:sz w:val="24"/>
        </w:rPr>
        <w:t>不收取销售服务费，C类基金份额的销售服务费按前一日C类基金资产净值的0.4%年费率计提。计算方法如下：</w:t>
      </w:r>
    </w:p>
    <w:p w14:paraId="79CE628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H＝E×0.4%÷当年天数</w:t>
      </w:r>
    </w:p>
    <w:p w14:paraId="7DA5E4D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H为C类基金份额每日应计提的销售服务费</w:t>
      </w:r>
    </w:p>
    <w:p w14:paraId="604A428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E为C类基金份额前一日基金资产净值</w:t>
      </w:r>
    </w:p>
    <w:p w14:paraId="1BE66D0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销售服务费每日计提，逐日累计至每月月末，按月支付。由基金管理人与基金托管人核对一致后，由基金托管人按照与基金管理人协商一致的方式于次月首日起5个工作日内从基金财产中一次性支付给基金管理人，由基金管理人代付给销售机构，若遇法定节假日、休息日或不可抗力致使无法按时支付的，支付日期顺延。</w:t>
      </w:r>
    </w:p>
    <w:p w14:paraId="71F1DD1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C类基金份额的销售服务费将专门用于本基金的推广、销售与基金份额持有人服务。</w:t>
      </w:r>
    </w:p>
    <w:p w14:paraId="66BCA27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（4）基金标的指数许可使用费</w:t>
      </w:r>
    </w:p>
    <w:p w14:paraId="6DB2601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本基金指数许可使用费按前一日的基金资产净值的万分之二（2个基点）的年费率计提。指数许可使用基点费每日计算，逐日累计，按季度（自然季度）支付。计算方法如下：</w:t>
      </w:r>
    </w:p>
    <w:p w14:paraId="6F1E160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H=E×0.02%÷当年天数</w:t>
      </w:r>
    </w:p>
    <w:p w14:paraId="7040983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H为基金产品每日应付的指数许可使用费；</w:t>
      </w:r>
    </w:p>
    <w:p w14:paraId="791C1EF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E为前一日基金产品的资产净值；</w:t>
      </w:r>
    </w:p>
    <w:p w14:paraId="46DCD15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指数使用许可费收取下限为每季度5万元（基金合同生效当季按实际计提金额收取，不设下限）。指数使用许可费的支付由基金管理人向基金托管人发送划付指令，经基金托管人复核后于每年1月、4月、7月、10月的前10个工作日内从基金财产中一次性支付。若遇法定节假日、公休日等，支付日期顺延。</w:t>
      </w:r>
    </w:p>
    <w:p w14:paraId="19346593" w14:textId="77777777" w:rsidR="004062DD" w:rsidRPr="004062DD" w:rsidRDefault="008116FB" w:rsidP="004062DD">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w:t>
      </w:r>
      <w:r w:rsidR="004062DD" w:rsidRPr="004062DD">
        <w:rPr>
          <w:rFonts w:ascii="宋体" w:hAnsi="宋体" w:hint="eastAsia"/>
          <w:sz w:val="24"/>
        </w:rPr>
        <w:t>本基金Y类基金份额可对基金管理费和基金托管费实施一定的费率优惠，具体优惠请参看招募说明书或相关公告。</w:t>
      </w:r>
    </w:p>
    <w:p w14:paraId="205871FE" w14:textId="20B47CEC" w:rsidR="00877B87" w:rsidRDefault="002F6265" w:rsidP="004062DD">
      <w:pPr>
        <w:autoSpaceDE w:val="0"/>
        <w:autoSpaceDN w:val="0"/>
        <w:adjustRightInd w:val="0"/>
        <w:snapToGrid w:val="0"/>
        <w:spacing w:line="360" w:lineRule="auto"/>
        <w:ind w:firstLineChars="200" w:firstLine="480"/>
        <w:jc w:val="left"/>
        <w:rPr>
          <w:rFonts w:ascii="宋体" w:hAnsi="宋体"/>
          <w:szCs w:val="24"/>
        </w:rPr>
      </w:pPr>
      <w:r>
        <w:rPr>
          <w:rFonts w:ascii="宋体" w:hAnsi="宋体" w:hint="eastAsia"/>
          <w:sz w:val="24"/>
        </w:rPr>
        <w:t>（6）</w:t>
      </w:r>
      <w:r w:rsidR="008116FB">
        <w:rPr>
          <w:rFonts w:ascii="宋体" w:hAnsi="宋体"/>
          <w:sz w:val="24"/>
        </w:rPr>
        <w:t>上述“（一）基金费用的种类”中第3－8项、第10－11项费用，根据有关法规及相应协议规定，按费用实际支出金额列入当期费用，由基金托管人从基金财产中支付。</w:t>
      </w:r>
    </w:p>
    <w:p w14:paraId="7C19E0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2、与基金销售有关的费用</w:t>
      </w:r>
    </w:p>
    <w:p w14:paraId="07BD2CA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w:t>
      </w:r>
    </w:p>
    <w:p w14:paraId="7F66D31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本基金申购费的费率水平、计算公式和收取方式详见“基金份额的申购与赎回”一章。</w:t>
      </w:r>
    </w:p>
    <w:p w14:paraId="26BC093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w:t>
      </w:r>
    </w:p>
    <w:p w14:paraId="16B98AB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本基金赎回费的费率水平、计算公式和收取方式详见“基金份额的申购与赎回”一章。</w:t>
      </w:r>
    </w:p>
    <w:p w14:paraId="670BA09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（三）不列入基金费用的项目</w:t>
      </w:r>
    </w:p>
    <w:p w14:paraId="441CA25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下列费用不列入基金费用：</w:t>
      </w:r>
    </w:p>
    <w:p w14:paraId="198CA32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1、基金管理人和基金托管人因未履行或未完全履行义务导致的费用支出或基金财产的损失；</w:t>
      </w:r>
    </w:p>
    <w:p w14:paraId="435B9D7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2、基金管理人和基金托管人处理与基金运作无关的事项发生的费用；</w:t>
      </w:r>
    </w:p>
    <w:p w14:paraId="2CB545C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3、《基金合同》生效前的相关费用；</w:t>
      </w:r>
    </w:p>
    <w:p w14:paraId="414207A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4、其他根据相关法律法规及中国证监会的有关规定不得列入基金费用的项目。</w:t>
      </w:r>
    </w:p>
    <w:p w14:paraId="1D2C8C4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（四）基金税收</w:t>
      </w:r>
    </w:p>
    <w:p w14:paraId="510D536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本基金运作过程中涉及的各纳税主体，其纳税义务按国家税收法律、法规执行。</w:t>
      </w:r>
    </w:p>
    <w:p w14:paraId="0744B22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基金财产投资的相关税收，由基金份额持有人承担，基金管理人或者其他扣缴义务人按照国家有关税收征收的规定代扣代缴。</w:t>
      </w:r>
    </w:p>
    <w:p w14:paraId="7173CDBF"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2A90616" w14:textId="77777777" w:rsidR="00877B87" w:rsidRDefault="008116FB">
      <w:pPr>
        <w:pStyle w:val="1"/>
        <w:snapToGrid w:val="0"/>
        <w:spacing w:beforeLines="0" w:before="240" w:after="240"/>
        <w:rPr>
          <w:rFonts w:ascii="宋体" w:hAnsi="宋体"/>
          <w:szCs w:val="30"/>
        </w:rPr>
      </w:pPr>
      <w:bookmarkStart w:id="19" w:name="_Toc177999565"/>
      <w:r>
        <w:rPr>
          <w:rFonts w:ascii="Times New Roman" w:hAnsi="Times New Roman"/>
          <w:sz w:val="30"/>
        </w:rPr>
        <w:lastRenderedPageBreak/>
        <w:t>十六、基金的会计与审计</w:t>
      </w:r>
      <w:bookmarkEnd w:id="19"/>
    </w:p>
    <w:p w14:paraId="295B2A7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（一）基金会计政策</w:t>
      </w:r>
    </w:p>
    <w:p w14:paraId="29792B7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1、基金管理人为本基金的基金会计责任方；</w:t>
      </w:r>
    </w:p>
    <w:p w14:paraId="2884637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2、基金的会计年度为公历年度的1月1日至12月31日；基金首次募集的会计年度按如下原则：如果《基金合同》生效少于2个月，可以并入下一个会计年度披露；</w:t>
      </w:r>
    </w:p>
    <w:p w14:paraId="79E8CF2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3、基金核算以人民币为记账本位币，以人民币元为记账单位；</w:t>
      </w:r>
    </w:p>
    <w:p w14:paraId="735F0B5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4、会计制度执行国家有关会计制度；</w:t>
      </w:r>
    </w:p>
    <w:p w14:paraId="2042E73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14:paraId="41ADF8E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14:paraId="4A31DB4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7、基金托管人每月与基金管理人就基金的会计核算、报表编制等进行核对并以书面方式确认。</w:t>
      </w:r>
    </w:p>
    <w:p w14:paraId="75B52EB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（二）基金的年度审计</w:t>
      </w:r>
    </w:p>
    <w:p w14:paraId="42CD339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1、基金管理人聘请与基金管理人、基金托管人相互独立的符合《中华人民共和国证券法》规定的会计师事务所及其注册会计师对本基金的年度财务报表进行审计。</w:t>
      </w:r>
    </w:p>
    <w:p w14:paraId="5540E1E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2、会计师事务所更换经办注册会计师，应事先征得基金管理人同意。</w:t>
      </w:r>
    </w:p>
    <w:p w14:paraId="3528122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3、基金管理人认为有充足理由更换会计师事务所，须通报基金托管人。更换会计师事务所需按照《信息披露办法》的有关规定在规定媒介公告。</w:t>
      </w:r>
    </w:p>
    <w:p w14:paraId="5D4DE9FD"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1167E1B" w14:textId="77777777" w:rsidR="00877B87" w:rsidRDefault="008116FB">
      <w:pPr>
        <w:pStyle w:val="1"/>
        <w:snapToGrid w:val="0"/>
        <w:spacing w:beforeLines="0" w:before="240" w:after="240"/>
        <w:rPr>
          <w:rFonts w:ascii="宋体" w:hAnsi="宋体"/>
          <w:szCs w:val="30"/>
        </w:rPr>
      </w:pPr>
      <w:bookmarkStart w:id="20" w:name="_Toc177999566"/>
      <w:r>
        <w:rPr>
          <w:rFonts w:ascii="Times New Roman" w:hAnsi="Times New Roman"/>
          <w:sz w:val="30"/>
        </w:rPr>
        <w:lastRenderedPageBreak/>
        <w:t>十七、基金的信息披露</w:t>
      </w:r>
      <w:bookmarkEnd w:id="20"/>
    </w:p>
    <w:p w14:paraId="26F09A9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（一）本基金的信息披露应符合《基金法》、《运作办法》、《信息披露办法》、《流动性风险管理规定》、《基金合同》及其他有关规定。</w:t>
      </w:r>
    </w:p>
    <w:p w14:paraId="77666E7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（二）信息披露义务人</w:t>
      </w:r>
    </w:p>
    <w:p w14:paraId="2FA8912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本基金信息披露义务人包括基金管理人、基金托管人、召集基金份额持有人大会的基金份额持有人等法律、行政法规和中国证监会规定的自然人、法人和非法人组织。</w:t>
      </w:r>
    </w:p>
    <w:p w14:paraId="70D4D7A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14:paraId="30634AF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6C3F98E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（三）本基金信息披露义务人承诺公开披露的基金信息，不得有下列行为：</w:t>
      </w:r>
    </w:p>
    <w:p w14:paraId="5ED9D87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14:paraId="6651511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14:paraId="58A0209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14:paraId="120E2C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14:paraId="44C54BD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14:paraId="5FFBBC8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6、中国证监会禁止的其他行为。</w:t>
      </w:r>
    </w:p>
    <w:p w14:paraId="577CEBD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（四）本基金公开披露的信息应采用中文文本。如同时采用外文文本的，基金信息披露义务人应保证不同文本的内容一致。不同文本之间发生歧义的，以中文文本为准。</w:t>
      </w:r>
    </w:p>
    <w:p w14:paraId="6E71BFD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14:paraId="1CDAC38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（五）公开披露的基金信息</w:t>
      </w:r>
    </w:p>
    <w:p w14:paraId="0F8AD82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14:paraId="5C92EAB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1、基金招募说明书、《基金合同》、基金托管协议、基金产品资料概要</w:t>
      </w:r>
    </w:p>
    <w:p w14:paraId="0B426DA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（1）《基金合同》是界定《基金合同》当事人的各项权利、义务关系，明确基金份额持有人大会召开的规则及具体程序，说明基金产品的特性等涉及基金投资者重大利益的事项的法律文件。</w:t>
      </w:r>
    </w:p>
    <w:p w14:paraId="0E767CD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29FE24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14:paraId="7AB9858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A44791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基金募集申请经中国证监会注册后，基金管理人在基金份额发售的3日前，将基金招募说明书、《基金合同》摘要登载在规定媒介上；基金管理人、基金托管人应当将《基金合同》、基金托管协议登载在网站上。</w:t>
      </w:r>
    </w:p>
    <w:p w14:paraId="6FE53FB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2、基金份额发售公告</w:t>
      </w:r>
    </w:p>
    <w:p w14:paraId="48CB293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基金管理人应当就基金份额发售的具体事宜编制基金份额发售公告，并在披露招募说明书的当日登载于规定媒介上。</w:t>
      </w:r>
    </w:p>
    <w:p w14:paraId="34F866F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3、《基金合同》生效公告</w:t>
      </w:r>
    </w:p>
    <w:p w14:paraId="3892D89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基金管理人应当在收到中国证监会确认文件的次日在规定媒介上登载《基金合同》生效公告。</w:t>
      </w:r>
    </w:p>
    <w:p w14:paraId="748CD26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4、基金净值信息</w:t>
      </w:r>
    </w:p>
    <w:p w14:paraId="5971A62B" w14:textId="1FEBE38F"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《基金合同》生效后，在开始办理基金份额申购或者赎回前，基金管理人应当至少每周分别公告一次</w:t>
      </w:r>
      <w:r w:rsidR="004062DD">
        <w:rPr>
          <w:rFonts w:ascii="宋体" w:hAnsi="宋体" w:hint="eastAsia"/>
          <w:sz w:val="24"/>
        </w:rPr>
        <w:t>各</w:t>
      </w:r>
      <w:r>
        <w:rPr>
          <w:rFonts w:ascii="宋体" w:hAnsi="宋体"/>
          <w:sz w:val="24"/>
        </w:rPr>
        <w:t>类基金份额所对应的基金资产净值和基金份额净值。</w:t>
      </w:r>
    </w:p>
    <w:p w14:paraId="7800A226" w14:textId="37B944D4"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w:t>
      </w:r>
      <w:r>
        <w:rPr>
          <w:rFonts w:ascii="宋体" w:hAnsi="宋体"/>
          <w:sz w:val="24"/>
        </w:rPr>
        <w:lastRenderedPageBreak/>
        <w:t>次日，通过规定网站、基金销售机构网站或者营业网点分别披露开放日的</w:t>
      </w:r>
      <w:r w:rsidR="004062DD">
        <w:rPr>
          <w:rFonts w:ascii="宋体" w:hAnsi="宋体" w:hint="eastAsia"/>
          <w:sz w:val="24"/>
        </w:rPr>
        <w:t>各</w:t>
      </w:r>
      <w:r>
        <w:rPr>
          <w:rFonts w:ascii="宋体" w:hAnsi="宋体"/>
          <w:sz w:val="24"/>
        </w:rPr>
        <w:t>类基金份额所对应的基金份额净值和基金份额累计净值。</w:t>
      </w:r>
    </w:p>
    <w:p w14:paraId="4B598689" w14:textId="64E1AB92"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基金管理人应当在不晚于半年度和年度最后一日的次日，在规定网站披露半年度和年度最后一日的</w:t>
      </w:r>
      <w:r w:rsidR="004062DD">
        <w:rPr>
          <w:rFonts w:ascii="宋体" w:hAnsi="宋体" w:hint="eastAsia"/>
          <w:sz w:val="24"/>
        </w:rPr>
        <w:t>各</w:t>
      </w:r>
      <w:r>
        <w:rPr>
          <w:rFonts w:ascii="宋体" w:hAnsi="宋体"/>
          <w:sz w:val="24"/>
        </w:rPr>
        <w:t>类基金份额所对应的基金份额净值和基金份额累计净值。</w:t>
      </w:r>
    </w:p>
    <w:p w14:paraId="448B23F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5、基金份额申购、赎回价格</w:t>
      </w:r>
    </w:p>
    <w:p w14:paraId="28F0822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2DBE7C9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6、基金定期报告，包括基金年度报告、基金中期报告和基金季度报告</w:t>
      </w:r>
    </w:p>
    <w:p w14:paraId="7FBFA0C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规定网站上，并将年度报告提示性公告登载在规定报刊上。基金年度报告中的财务会计报告应当经符合《中华人民共和国证券法》规定的会计师事务所审计。</w:t>
      </w:r>
    </w:p>
    <w:p w14:paraId="7588A56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基金管理人应当在上半年结束之日起两个月内，编制完成基金中期报告，将中期报告登载在规定网站上，并将中期报告提示性公告登载在规定报刊上。</w:t>
      </w:r>
    </w:p>
    <w:p w14:paraId="163F0F0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基金管理人应当在季度结束之日起15个工作日内，编制完成基金季度报告，将季度报告登载在规定网站上，并将季度报告提示性公告登载在规定报刊上。</w:t>
      </w:r>
    </w:p>
    <w:p w14:paraId="0C31587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《基金合同》生效不足2个月的，基金管理人可以不编制当期季度报告、中期报告或者年度报告。</w:t>
      </w:r>
    </w:p>
    <w:p w14:paraId="5C1A9E0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042E18A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基金管理人应当在基金年度报告和中期报告中披露基金组合资产情况及其流动性风险分析等。</w:t>
      </w:r>
    </w:p>
    <w:p w14:paraId="7773FCB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7、临时报告</w:t>
      </w:r>
    </w:p>
    <w:p w14:paraId="37B371C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本基金发生重大事件，有关信息披露义务人应当依照《信息披露办法》的规定编制临时报告书，并登载在规定报刊和规定网站上。</w:t>
      </w:r>
    </w:p>
    <w:p w14:paraId="7A20525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前款所称重大事件，是指可能对基金份额持有人权益或者基金份额的价格产生重大影响的下列事件：</w:t>
      </w:r>
    </w:p>
    <w:p w14:paraId="4503507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（1）基金份额持有人大会的召开及决定的事项；</w:t>
      </w:r>
    </w:p>
    <w:p w14:paraId="2B3280B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（2）《基金合同》终止、基金清算；</w:t>
      </w:r>
    </w:p>
    <w:p w14:paraId="4B8152C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14:paraId="3B52B6F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14:paraId="6F425E3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14:paraId="6026976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14:paraId="438A9E9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14:paraId="37F2B05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（8）基金募集期延长或提前结束募集；</w:t>
      </w:r>
    </w:p>
    <w:p w14:paraId="7464D1C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14:paraId="5ACF972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14:paraId="68E69C4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14:paraId="7206BD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078E1F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24D761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14:paraId="20B7BA7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（15）管理费、托管费、标的指数许可使用费、销售服务费、申购费、赎回费等费用计提标准、计提方式和费率发生变更；</w:t>
      </w:r>
    </w:p>
    <w:p w14:paraId="4379B2A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（16）任一类基金份额净值计价错误达该类基金份额净值百分之零点五；</w:t>
      </w:r>
    </w:p>
    <w:p w14:paraId="2EC7DD2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（17）本基金开始办理申购、赎回；</w:t>
      </w:r>
    </w:p>
    <w:p w14:paraId="447C004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（18）本基金发生巨额赎回并延期办理；</w:t>
      </w:r>
    </w:p>
    <w:p w14:paraId="6422845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14:paraId="1B3C0FC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（20）本基金暂停接受申购、赎回申请或重新接受申购、赎回申请；</w:t>
      </w:r>
    </w:p>
    <w:p w14:paraId="6A36A0D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（21）发生涉及基金申购、赎回事项调整或潜在影响投资者赎回等重大事项时；</w:t>
      </w:r>
    </w:p>
    <w:p w14:paraId="4CC4ED2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（22）基金管理人采用摆动定价机制进行估值；</w:t>
      </w:r>
    </w:p>
    <w:p w14:paraId="39CB194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（23）本基金增加或调整基金份额类别；</w:t>
      </w:r>
    </w:p>
    <w:p w14:paraId="3F96B64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（24）本基金变更标的指数；</w:t>
      </w:r>
    </w:p>
    <w:p w14:paraId="13DAAB3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（25）《基金合同》生效后，连续40个工作日、50个工作日、55个工作日出现基金份额持有人数量不满200人或者基金资产净值低于5000万元情形的，基金管理人应当发布提示性公告；</w:t>
      </w:r>
    </w:p>
    <w:p w14:paraId="46E6268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（26）基金信息披露义务人认为可能对基金份额持有人权益或者基金份额的价格产生重大影响的其他事项或中国证监会规定的其他事项。</w:t>
      </w:r>
    </w:p>
    <w:p w14:paraId="0660FDE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8、澄清公告</w:t>
      </w:r>
    </w:p>
    <w:p w14:paraId="51FA7B1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1150DCD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9、基金份额持有人大会决议</w:t>
      </w:r>
    </w:p>
    <w:p w14:paraId="6635533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14:paraId="26C62B6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14:paraId="1B7C517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10、基金投资资产支持证券情况</w:t>
      </w:r>
    </w:p>
    <w:p w14:paraId="0B4DC81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资产支持证券，基金管理人应在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201612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11、基金投资股指期货情况</w:t>
      </w:r>
    </w:p>
    <w:p w14:paraId="49FA319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本基金投资股指期货，基金管理人需按照法规要求在季度报告、中期报告、年度报告等定期报告和招募说明书（更新）等文件中披露股指期货交易情况，包括投</w:t>
      </w:r>
      <w:r>
        <w:rPr>
          <w:rFonts w:ascii="宋体" w:hAnsi="宋体"/>
          <w:sz w:val="24"/>
        </w:rPr>
        <w:lastRenderedPageBreak/>
        <w:t>资政策、持仓情况、损益情况、风险指标等，并充分揭示股指期货交易对基金总体风险的影响以及是否符合既定的投资政策和投资目标等。</w:t>
      </w:r>
    </w:p>
    <w:p w14:paraId="1E4CA4A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12、清算报告</w:t>
      </w:r>
    </w:p>
    <w:p w14:paraId="7D5562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的，基金管理人应当依法组织清算组对基金财产进行清算并作出清算报告。清算报告应当经符合《中华人民共和国证券法》规定的会计师事务所审计，并由律师事务所出具法律意见书。清算组应当将清算报告登载在规定网站上，并将清算报告提示性公告登载在规定报刊上。</w:t>
      </w:r>
    </w:p>
    <w:p w14:paraId="4FBA2F8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13、中国证监会规定的其他信息。</w:t>
      </w:r>
    </w:p>
    <w:p w14:paraId="34BEF8E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（六）信息披露事务管理</w:t>
      </w:r>
    </w:p>
    <w:p w14:paraId="1D60B1F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14:paraId="2197C24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基金信息披露义务人公开披露基金信息，应当符合中国证监会相关基金信息披露内容与格式准则等法律法规规定。</w:t>
      </w:r>
    </w:p>
    <w:p w14:paraId="5604A8B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0BC9FBB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5ECA063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075CBC4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14:paraId="0BAEC86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4B4AF98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（七）信息披露文件的存放与查阅</w:t>
      </w:r>
    </w:p>
    <w:p w14:paraId="1652746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依法必须披露的信息发布后，基金管理人、基金托管人应当按照相关法律法规规定将信息置备于各自住所，供社会公众查阅、复制。</w:t>
      </w:r>
    </w:p>
    <w:p w14:paraId="744933A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（八）本基金信息披露事项以法律法规规定及本章节约定的内容为准。</w:t>
      </w:r>
    </w:p>
    <w:p w14:paraId="374FF832"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1F15E53" w14:textId="77777777" w:rsidR="00877B87" w:rsidRDefault="008116FB">
      <w:pPr>
        <w:pStyle w:val="1"/>
        <w:snapToGrid w:val="0"/>
        <w:spacing w:beforeLines="0" w:before="240" w:after="240"/>
        <w:rPr>
          <w:rFonts w:ascii="宋体" w:hAnsi="宋体"/>
          <w:szCs w:val="30"/>
        </w:rPr>
      </w:pPr>
      <w:bookmarkStart w:id="21" w:name="_Toc177999567"/>
      <w:r>
        <w:rPr>
          <w:rFonts w:ascii="Times New Roman" w:hAnsi="Times New Roman"/>
          <w:sz w:val="30"/>
        </w:rPr>
        <w:lastRenderedPageBreak/>
        <w:t>十八、风险揭示</w:t>
      </w:r>
      <w:bookmarkEnd w:id="21"/>
    </w:p>
    <w:p w14:paraId="73BC468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18EB9C7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扣除申购申请份额总数及基金转换中转入申请份额总数后的余额）超过上一开放日基金总份额的百分之十时，投资人将可能无法及时赎回持有的全部基金份额。</w:t>
      </w:r>
    </w:p>
    <w:p w14:paraId="21DE43D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14:paraId="66DD7B4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基金产品资料概要等基金法律文件，了解基金的风险收益特征，并根据自身的投资目的、投资期限、投资经验、资产状况等判断基金是否和投资人的风险承受能力相适应。</w:t>
      </w:r>
    </w:p>
    <w:p w14:paraId="59D01DE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2017F4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14:paraId="51FC1A0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w:t>
      </w:r>
      <w:r>
        <w:rPr>
          <w:rFonts w:ascii="宋体" w:hAnsi="宋体"/>
          <w:sz w:val="24"/>
        </w:rPr>
        <w:lastRenderedPageBreak/>
        <w:t>担。</w:t>
      </w:r>
    </w:p>
    <w:p w14:paraId="4F7E77A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基金份额持有人须了解并承受以下风险：</w:t>
      </w:r>
    </w:p>
    <w:p w14:paraId="41C1DD1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（一）市场风险</w:t>
      </w:r>
    </w:p>
    <w:p w14:paraId="454CCDB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14:paraId="2E7CF5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14:paraId="0ADFE11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14:paraId="49CAF35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09E53A9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3A05E70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14:paraId="0F7DFE5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（二）管理风险</w:t>
      </w:r>
    </w:p>
    <w:p w14:paraId="6F9446C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266BDF9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（三）流动性风险</w:t>
      </w:r>
    </w:p>
    <w:p w14:paraId="136E612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w:t>
      </w:r>
      <w:r>
        <w:rPr>
          <w:rFonts w:ascii="宋体" w:hAnsi="宋体"/>
          <w:sz w:val="24"/>
        </w:rPr>
        <w:lastRenderedPageBreak/>
        <w:t>资产变现能力差，可能会产生基金仓位调整的困难，导致流动性风险，可能影响基金份额净值。</w:t>
      </w:r>
    </w:p>
    <w:p w14:paraId="0C92DEB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1、本基金的申购、赎回安排</w:t>
      </w:r>
    </w:p>
    <w:p w14:paraId="797673A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基金管理人自基金合同生效之日起不超过3个月开始办理申购和赎回业务，具体业务办理时间在申购赎回开始公告中规定。</w:t>
      </w:r>
    </w:p>
    <w:p w14:paraId="5040E7A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2、投资市场、行业及资产的流动性风险评估</w:t>
      </w:r>
    </w:p>
    <w:p w14:paraId="6504AF4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7FC582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3、巨额赎回情形下的流动性风险管理措施</w:t>
      </w:r>
    </w:p>
    <w:p w14:paraId="5735C38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449C2DA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368F237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2C4FC1D4" w14:textId="0688EB59"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FC61E5">
        <w:rPr>
          <w:rFonts w:ascii="宋体" w:hAnsi="宋体" w:hint="eastAsia"/>
          <w:sz w:val="24"/>
        </w:rPr>
        <w:t>该类</w:t>
      </w:r>
      <w:r>
        <w:rPr>
          <w:rFonts w:ascii="宋体" w:hAnsi="宋体"/>
          <w:sz w:val="24"/>
        </w:rPr>
        <w:t>基金份额净值为基础计算赎回金额，以此类推，直到全部赎回</w:t>
      </w:r>
      <w:r>
        <w:rPr>
          <w:rFonts w:ascii="宋体" w:hAnsi="宋体"/>
          <w:sz w:val="24"/>
        </w:rPr>
        <w:lastRenderedPageBreak/>
        <w:t>为止。如投资人在提交赎回申请时未作明确选择，投资人未能赎回部分作自动延期赎回处理。</w:t>
      </w:r>
    </w:p>
    <w:p w14:paraId="0ACBADB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（3）本基金如发生巨额赎回且单个开放日内单个基金份额持有人申请赎回的基金份额超过前一开放日的基金总份额的20%时，本基金管理人有权采取如下措施：</w:t>
      </w:r>
    </w:p>
    <w:p w14:paraId="42D34AAC" w14:textId="407FEEA2"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FC61E5">
        <w:rPr>
          <w:rFonts w:ascii="宋体" w:hAnsi="宋体" w:hint="eastAsia"/>
          <w:sz w:val="24"/>
        </w:rPr>
        <w:t>该类</w:t>
      </w:r>
      <w:r>
        <w:rPr>
          <w:rFonts w:ascii="宋体" w:hAnsi="宋体"/>
          <w:sz w:val="24"/>
        </w:rPr>
        <w:t>基金份额净值为基础计算赎回金额，以此类推，直到全部赎回为止。</w:t>
      </w:r>
    </w:p>
    <w:p w14:paraId="3EE48D7D" w14:textId="24214F40"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14:paraId="6114C88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755EC8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4、实施备用的流动性风险管理工具的情形、程序及对投资者的潜在影响</w:t>
      </w:r>
    </w:p>
    <w:p w14:paraId="50484D6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14:paraId="00CF738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暂停接受赎回申请、部分延期赎回、收取短期赎回费、摆动定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318F60C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（1）延期办理巨额赎回申请。基金份额持有人的赎回申请可能被延期办理，部分或全部赎回申请可能被拒绝，同时投资人完成基金赎回时的基金份额净值可能与其提交赎回申请时的基金份额净值不同。</w:t>
      </w:r>
    </w:p>
    <w:p w14:paraId="6480734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（2）暂停接受赎回申请。基金份额持有人可能存在当日无法赎回其持有的基</w:t>
      </w:r>
      <w:r>
        <w:rPr>
          <w:rFonts w:ascii="宋体" w:hAnsi="宋体"/>
          <w:sz w:val="24"/>
        </w:rPr>
        <w:lastRenderedPageBreak/>
        <w:t>金份额的风险。</w:t>
      </w:r>
    </w:p>
    <w:p w14:paraId="2ED27C7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（3）延缓支付赎回款项。赎回款支付时间将后延，基金份额持有人可能存在不能及时取得赎回款项的风险，可能对投资者的资金安排带来不利影响。</w:t>
      </w:r>
    </w:p>
    <w:p w14:paraId="5BFD95F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（4）收取短期赎回费。本基金对持续持有期少于7日的投资人，收取1.5%的赎回费，并将上述赎回费全额计入基金财产。短期赎回费的收取将使得投资者在持续持有期限少于 7 日时会承担较高的赎回费。</w:t>
      </w:r>
    </w:p>
    <w:p w14:paraId="2A6F933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摆动定价。在巨额赎回情形下，如果管理人采用摆动定价工具，基金份额持有人当日赎回的基金份额净值可能会被调减。当日参与申购和赎回交易的投资者存在承担申购或者赎回产生的交易及其他成本的风险。</w:t>
      </w:r>
    </w:p>
    <w:p w14:paraId="156FF8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暂停基金估值。在此情形下，投资人没有可供参考的基金份额净值，一方面投资者将无法知晓本基金的基金份额净值，另一方面基金将延缓支付赎回款项或暂停接受投资者的申购赎回申请，延缓支付赎回款项可能影响投资者的资金安排，暂停接受基金申购赎回申请将导致投资者无法申购或赎回本基金。</w:t>
      </w:r>
    </w:p>
    <w:p w14:paraId="038EDE9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（四）信用风险</w:t>
      </w:r>
    </w:p>
    <w:p w14:paraId="1AFDD6B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基金在交易过程发生交收违约，或者基金所投资债券之发行人出现违约、拒绝支付到期本息，都可能导致基金资产损失和收益变化，从而产生风险。</w:t>
      </w:r>
    </w:p>
    <w:p w14:paraId="1723FD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（五）本基金投资策略所特有的指数化投资风险</w:t>
      </w:r>
    </w:p>
    <w:p w14:paraId="5AD3608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1、标的指数回报与股票市场平均回报偏离的风险</w:t>
      </w:r>
    </w:p>
    <w:p w14:paraId="7A2BB6F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标的指数并不能完全代表整个股票市场。标的指数成份股的平均回报率与整个股票市场的平均回报率可能存在偏离。</w:t>
      </w:r>
    </w:p>
    <w:p w14:paraId="7A1644D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2、标的指数波动的风险</w:t>
      </w:r>
    </w:p>
    <w:p w14:paraId="435AFD2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标的指数成份股的价格可能受到政治因素、经济因素、上市公司经营状况、投资人心理和交易制度等各种因素的影响而波动，导致指数波动，从而使基金收益水平发生变化，产生风险。</w:t>
      </w:r>
    </w:p>
    <w:p w14:paraId="14AE01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3、基金投资组合回报与标的指数回报偏离的风险</w:t>
      </w:r>
    </w:p>
    <w:p w14:paraId="7272F6C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以下因素可能使基金投资组合的收益率与标的指数的收益率发生偏离：</w:t>
      </w:r>
    </w:p>
    <w:p w14:paraId="3F71F3C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（1）由于标的指数调整成份股或变更编制方法，使本基金在相应的组合调整中产生跟踪偏离度与跟踪误差。</w:t>
      </w:r>
    </w:p>
    <w:p w14:paraId="11A2F2A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（2）由于标的指数成份股发生配股、增发等行为导致成份股在标的指数中的权重发生变化，使本基金在相应的组合调整中产生跟踪偏离度和跟踪误差。</w:t>
      </w:r>
    </w:p>
    <w:p w14:paraId="3343380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（3）标的指数成份股派发现金红利、新股市值配售收益将导致基金收益率超过标的指数收益率，产生正的跟踪偏离度。</w:t>
      </w:r>
    </w:p>
    <w:p w14:paraId="34C90BB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（4）由于标的指数成份股停牌、摘牌或流动性差等原因使本基金无法及时调整投资组合或承担冲击成本而产生跟踪偏离度和跟踪误差。</w:t>
      </w:r>
    </w:p>
    <w:p w14:paraId="1FD3DEB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（5）因法律法规的限制或其他限制，本基金可能不能投资于部分标的指数成分股。在使用替代方法，如投资同行业中相关性较高的股票以替代上述投资受限股票时，会产生一定的跟踪偏离度和跟踪误差。</w:t>
      </w:r>
    </w:p>
    <w:p w14:paraId="1E1343B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（6）基金有投资成本、各种费用及税收，而指数编制不考虑费用和税收，这将导致基金收益率落后于标的指数收益率，产生负的跟踪偏离度。</w:t>
      </w:r>
    </w:p>
    <w:p w14:paraId="641A3A7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（7）在本基金指数化投资过程中，基金管理人的管理能力，例如跟踪指数的水平、技术手段、买入卖出的时机选择等，都会对本基金的收益产生影响，从而影响本基金对标的指数的跟踪程度。</w:t>
      </w:r>
    </w:p>
    <w:p w14:paraId="5D40F54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14:paraId="200E00F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4、标的指数变更的风险</w:t>
      </w:r>
    </w:p>
    <w:p w14:paraId="5448576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尽管可能性很小，但根据基金合同规定，如出现变更标的指数的情形，本基金将变更标的指数。基于原标的指数的投资政策将会改变，投资组合将随之调整，基金的收益风险特征将与新的标的指数保持一致，投资人须承担此项调整带来的风险与成本。</w:t>
      </w:r>
    </w:p>
    <w:p w14:paraId="764DE96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5、跟踪误差控制未达约定目标的风险</w:t>
      </w:r>
    </w:p>
    <w:p w14:paraId="2600E0B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本基金力争控制本基金日均跟踪偏离度的绝对值不超过0.35%，年跟踪误差不超过4%。但因标的指数编制规则调整或其他因素可能导致跟踪误差超过上述范围，本基金净值表现与指数价格走势可能发生较大偏离。</w:t>
      </w:r>
    </w:p>
    <w:p w14:paraId="0ABA093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6、指数编制机构停止服务的风险</w:t>
      </w:r>
    </w:p>
    <w:p w14:paraId="1E00BEC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标的指数由指数编制机构发布并管理和维护，未来指数编制机构可能由于各种原因停止对指数的管理和维护，本基金将根据基金合同的约定自该情形发生之日起十个工作日内向中国证监会报告并提出解决方案，如更换基金标的指数、转换运作方式，与其他基金合并或者终止基金合同等，并在6个月内召集基金份额</w:t>
      </w:r>
      <w:r>
        <w:rPr>
          <w:rFonts w:ascii="宋体" w:hAnsi="宋体"/>
          <w:sz w:val="24"/>
        </w:rPr>
        <w:lastRenderedPageBreak/>
        <w:t>持有人大会进行表决，基金份额持有人大会未成功召开或就上述事项表决未通过的，基金合同终止。投资人将面临更换基金标的指数、转换运作方式，与其他基金合并或者终止基金合同等风险。</w:t>
      </w:r>
    </w:p>
    <w:p w14:paraId="1DA2ACE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04D116D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7、成份股停牌的风险</w:t>
      </w:r>
    </w:p>
    <w:p w14:paraId="646694B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标的指数成份股可能因各种原因临时或长期停牌，发生成份股停牌时可能面临如下风险：</w:t>
      </w:r>
    </w:p>
    <w:p w14:paraId="4E6423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（1）基金可能因无法及时调整投资组合而导致跟踪偏离度和跟踪误差扩大。</w:t>
      </w:r>
    </w:p>
    <w:p w14:paraId="72AFB2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（2）若成份股停牌时间较长，在约定时间内仍未能及时买入或卖出的，由此可能影响投资者的投资损益并使基金产生跟踪偏离度和跟踪误差。</w:t>
      </w:r>
    </w:p>
    <w:p w14:paraId="5951C2A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极端情况下，标的指数成份股可能大面积停牌，基金可能无法及时卖出成份股以获取足额的符合要求的赎回款项，由此基金管理人可能采取暂停赎回的措施，投资者将面临无法赎回全部或部分基金份额的风险。</w:t>
      </w:r>
    </w:p>
    <w:p w14:paraId="30A4732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当标的指数成份股发生明显负面事件面临退市，且指数编制机构暂未作出调整的，基金管理人应当按照持有人利益优先的原则，履行内部决策程序后及时对相关成份股进行调整，可能影响投资者的投资损益并使基金产生跟踪偏离度和跟踪误差。</w:t>
      </w:r>
    </w:p>
    <w:p w14:paraId="2FE18E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（六）本基金的特有风险</w:t>
      </w:r>
    </w:p>
    <w:p w14:paraId="7B1B489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1、本基金为股票型基金，投资于创业板50指数成份股及其备选成份股的比例不低于基金资产净值的90%，因投资权益类资产而面临权益类资产市场的系统性风险和个股风险；</w:t>
      </w:r>
    </w:p>
    <w:p w14:paraId="60BC1DF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2BD79D6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3、基金合同提前终止风险。连续六十个工作日出现基金份额持有人数量不满200人或者基金资产净值低于5000万元情形的，基金管理人提前终止基金合同，不</w:t>
      </w:r>
      <w:r>
        <w:rPr>
          <w:rFonts w:ascii="宋体" w:hAnsi="宋体"/>
          <w:sz w:val="24"/>
        </w:rPr>
        <w:lastRenderedPageBreak/>
        <w:t>需召开基金份额持有人大会。</w:t>
      </w:r>
    </w:p>
    <w:p w14:paraId="740CD516" w14:textId="77777777" w:rsidR="00D97FB7" w:rsidRDefault="008116F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4、本基金可投资创业板股票，创业板个股上市后的前五个交易日不设价格涨跌幅限制，第六个交易日开始涨跌幅限制比例为20%。</w:t>
      </w:r>
    </w:p>
    <w:p w14:paraId="09BD2845" w14:textId="1060FE6A" w:rsidR="00877B87" w:rsidRDefault="00D97FB7">
      <w:pPr>
        <w:autoSpaceDE w:val="0"/>
        <w:autoSpaceDN w:val="0"/>
        <w:adjustRightInd w:val="0"/>
        <w:snapToGrid w:val="0"/>
        <w:spacing w:line="360" w:lineRule="auto"/>
        <w:ind w:firstLineChars="200" w:firstLine="480"/>
        <w:jc w:val="left"/>
        <w:rPr>
          <w:rFonts w:ascii="宋体" w:hAnsi="宋体"/>
          <w:szCs w:val="24"/>
        </w:rPr>
      </w:pPr>
      <w:r w:rsidRPr="00D97FB7">
        <w:rPr>
          <w:rFonts w:ascii="宋体" w:hAnsi="宋体" w:hint="eastAsia"/>
          <w:sz w:val="24"/>
        </w:rPr>
        <w:t>5、本基金的Y类基金份额为针对个人养老金投资基金业务设立的单独的基金份额类别，投资者仅能通过个人养老金资金账户购买Y类基金份额参与个人养老金投资基金业务。根据个人养老金账户要求，个人养老金投资基金的基金份额申购赎回等款项将在个人养老金账户内流转，投资者未达到领取基本养老金年龄或者政策规定的其他领取条件时不可领取个人养老金。具体业务规则请关注基金管理人届时发布的相关公告。</w:t>
      </w:r>
    </w:p>
    <w:p w14:paraId="38BEA1FA"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（七）投资股指期货的特定风险</w:t>
      </w:r>
    </w:p>
    <w:p w14:paraId="0458D58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5F04707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（1）市场风险是指由于股指期货价格变动而给投资者带来的风险。市场风险是股指期货投资中最主要的风险。</w:t>
      </w:r>
    </w:p>
    <w:p w14:paraId="485C3A1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（2）流动性风险是指由于股指期货合约无法及时变现所带来的风险。</w:t>
      </w:r>
    </w:p>
    <w:p w14:paraId="152D2D3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（3）基差风险是指股指期货合约价格和指数价格之间的价格差的波动所造成的风险，以及不同股指期货合约价格之间价格差的波动所造成的期现价差风险。</w:t>
      </w:r>
    </w:p>
    <w:p w14:paraId="012B8A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（4）保证金风险是指由于无法及时筹措资金满足建立或者维持股指期货合约头寸所要求的保证金而带来的风险。</w:t>
      </w:r>
    </w:p>
    <w:p w14:paraId="7E69E7A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（5）信用风险是指期货经纪公司违约而产生损失的风险。</w:t>
      </w:r>
    </w:p>
    <w:p w14:paraId="3FE83DF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（6）操作风险是指由于内部流程的不完善，业务人员出现差错或者疏漏，或者系统出现故障等原因造成损失的风险。</w:t>
      </w:r>
    </w:p>
    <w:p w14:paraId="4B9E2BB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此外，由于衍生品通常具有杠杆效应，价格波动比标的工具更为剧烈，并且其定价相当复杂，不适当的估值也有可能使基金资产面临损失风险。</w:t>
      </w:r>
    </w:p>
    <w:p w14:paraId="0E00A092"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（八）投资存托凭证的特定风险</w:t>
      </w:r>
    </w:p>
    <w:p w14:paraId="491CA94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6B96D10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13DDB0E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本基金可根据投资策略需要或市场环境的变化，选择将部分基金资产投资于存托凭证或选择不将基金资产投资于存托凭证，基金资产并非必然投资存托凭证。</w:t>
      </w:r>
    </w:p>
    <w:p w14:paraId="3AD8E3D7" w14:textId="4C0B89D3" w:rsidR="00877B87" w:rsidRDefault="008116FB" w:rsidP="00130E5F">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（九）其他风险</w:t>
      </w:r>
    </w:p>
    <w:p w14:paraId="2DA978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1、因技术因素而产生的风险，如电脑系统不可靠产生的风险；</w:t>
      </w:r>
    </w:p>
    <w:p w14:paraId="599339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2、因基金业务快速发展，在制度建设、人员配备、内控制度建立等方面的不完善产生的风险；</w:t>
      </w:r>
    </w:p>
    <w:p w14:paraId="0003A22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3、因人为因素而产生的风险、如内幕交易、欺诈行为等产生的风险；</w:t>
      </w:r>
    </w:p>
    <w:p w14:paraId="26713D2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4、对主要业务人员如基金经理的依赖而可能产生的风险；</w:t>
      </w:r>
    </w:p>
    <w:p w14:paraId="614348A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5、因业务竞争压力可能产生的风险；</w:t>
      </w:r>
    </w:p>
    <w:p w14:paraId="6D47D7C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6、战争、自然灾害等不可抗力可能导致基金财产的损失，影响基金收益水平，从而带来风险；</w:t>
      </w:r>
    </w:p>
    <w:p w14:paraId="782E7F1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7、其他意外导致的风险。</w:t>
      </w:r>
    </w:p>
    <w:p w14:paraId="2ACE17AE"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F6F39F7" w14:textId="77777777" w:rsidR="00877B87" w:rsidRDefault="008116FB">
      <w:pPr>
        <w:pStyle w:val="1"/>
        <w:snapToGrid w:val="0"/>
        <w:spacing w:beforeLines="0" w:before="240" w:after="240"/>
        <w:rPr>
          <w:rFonts w:ascii="宋体" w:hAnsi="宋体"/>
          <w:szCs w:val="30"/>
        </w:rPr>
      </w:pPr>
      <w:bookmarkStart w:id="22" w:name="_Toc177999568"/>
      <w:r>
        <w:rPr>
          <w:rFonts w:ascii="Times New Roman" w:hAnsi="Times New Roman"/>
          <w:sz w:val="30"/>
        </w:rPr>
        <w:lastRenderedPageBreak/>
        <w:t>十九、基金合同的变更、终止与基金财产的清算</w:t>
      </w:r>
      <w:bookmarkEnd w:id="22"/>
    </w:p>
    <w:p w14:paraId="290F84B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（一）《基金合同》的变更</w:t>
      </w:r>
    </w:p>
    <w:p w14:paraId="5362F4A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164FE5B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2、关于《基金合同》变更的基金份额持有人大会决议自生效后方可执行，并自决议生效后依照《信息披露办法》的规定在规定媒介公告。</w:t>
      </w:r>
    </w:p>
    <w:p w14:paraId="122D32F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（二）《基金合同》的终止事由</w:t>
      </w:r>
    </w:p>
    <w:p w14:paraId="6B0812A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14:paraId="2FBF847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614A1C0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73212A7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14:paraId="5A677B8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4、连续60个工作日出现基金份额持有人数量不满200人或者基金资产净值低于5000万元情形的，基金管理人提前终止基金合同，不需召开基金份额持有人大会；</w:t>
      </w:r>
    </w:p>
    <w:p w14:paraId="4EFB224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5、《基金合同》约定的其他情形；</w:t>
      </w:r>
    </w:p>
    <w:p w14:paraId="135F63D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6、相关法律法规和中国证监会规定的其他情况。</w:t>
      </w:r>
    </w:p>
    <w:p w14:paraId="4D85618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（三）基金财产的清算</w:t>
      </w:r>
    </w:p>
    <w:p w14:paraId="10FC5E8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3CC22D2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04A935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w:t>
      </w:r>
      <w:r>
        <w:rPr>
          <w:rFonts w:ascii="宋体" w:hAnsi="宋体"/>
          <w:sz w:val="24"/>
        </w:rPr>
        <w:lastRenderedPageBreak/>
        <w:t>估价、变现和分配。基金财产清算小组可以依法进行必要的民事活动。</w:t>
      </w:r>
    </w:p>
    <w:p w14:paraId="48038BE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4B1C180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w:t>
      </w:r>
    </w:p>
    <w:p w14:paraId="0FD3BD3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14:paraId="490E783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14:paraId="4B26A7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14:paraId="24EC2BB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14:paraId="13557B3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5165039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2B476F1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14:paraId="6E7D271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（四）清算费用</w:t>
      </w:r>
    </w:p>
    <w:p w14:paraId="525142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1263667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（五）基金财产清算剩余资产的分配</w:t>
      </w:r>
    </w:p>
    <w:p w14:paraId="0A5F12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7C5239E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（六）基金财产清算的公告</w:t>
      </w:r>
    </w:p>
    <w:p w14:paraId="79846B7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681BD3E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（七）基金财产清算账册及文件的保存</w:t>
      </w:r>
    </w:p>
    <w:p w14:paraId="0E9D21C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14:paraId="3D24C4FA"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6A578D2" w14:textId="77777777" w:rsidR="00877B87" w:rsidRDefault="008116FB">
      <w:pPr>
        <w:pStyle w:val="1"/>
        <w:snapToGrid w:val="0"/>
        <w:spacing w:beforeLines="0" w:before="240" w:after="240"/>
        <w:rPr>
          <w:rFonts w:ascii="宋体" w:hAnsi="宋体"/>
          <w:szCs w:val="30"/>
        </w:rPr>
      </w:pPr>
      <w:bookmarkStart w:id="23" w:name="_Toc177999569"/>
      <w:r>
        <w:rPr>
          <w:rFonts w:ascii="Times New Roman" w:hAnsi="Times New Roman"/>
          <w:sz w:val="30"/>
        </w:rPr>
        <w:lastRenderedPageBreak/>
        <w:t>二十、基金合同内容摘要</w:t>
      </w:r>
      <w:bookmarkEnd w:id="23"/>
    </w:p>
    <w:p w14:paraId="5518ED8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（一）基金份额持有人、基金管理人和基金托管人的权利与义务</w:t>
      </w:r>
    </w:p>
    <w:p w14:paraId="385C1FD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14:paraId="413E5AD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（1）根据《基金法》、《运作办法》及其他有关规定，基金管理人的权利包括但不限于：</w:t>
      </w:r>
    </w:p>
    <w:p w14:paraId="1030AF5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14:paraId="36C4963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14:paraId="2EC4B45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14:paraId="4B477C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14:paraId="107CF6A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14:paraId="250F401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14:paraId="551A302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14:paraId="68B74AA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14:paraId="5AB7986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14:paraId="505E4F9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14:paraId="4D1FC86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11）在《基金合同》约定的范围内，拒绝或暂停受理申购与赎回申请；</w:t>
      </w:r>
    </w:p>
    <w:p w14:paraId="5757862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12）依照法律法规为基金的利益对被投资公司行使股东权利，为基金的利益行使因基金财产投资于证券所产生的权利；</w:t>
      </w:r>
    </w:p>
    <w:p w14:paraId="53C39B7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w:t>
      </w:r>
    </w:p>
    <w:p w14:paraId="122F9DF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14:paraId="47CAD02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15）选择、更换律师事务所、会计师事务所、证券经纪商或其他为基金提供服务的外部机构；</w:t>
      </w:r>
    </w:p>
    <w:p w14:paraId="4A9FA14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16）在符合有关法律、法规的前提下，制定和调整有关基金认购、申购、赎</w:t>
      </w:r>
      <w:r>
        <w:rPr>
          <w:rFonts w:ascii="宋体" w:hAnsi="宋体"/>
          <w:sz w:val="24"/>
        </w:rPr>
        <w:lastRenderedPageBreak/>
        <w:t>回、转换等的业务规则；</w:t>
      </w:r>
    </w:p>
    <w:p w14:paraId="68FB4DC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17）法律法规及中国证监会规定的和《基金合同》约定的其他权利。</w:t>
      </w:r>
    </w:p>
    <w:p w14:paraId="0BE49AF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（2）根据《基金法》、《运作办法》及其他有关规定，基金管理人的义务包括但不限于：</w:t>
      </w:r>
    </w:p>
    <w:p w14:paraId="5C1A12B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14:paraId="6F4C71D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62B7EE8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14:paraId="45470F3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14:paraId="521F2D6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14:paraId="111CED3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14:paraId="1DC5C81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14:paraId="479A54D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14:paraId="06B60D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14:paraId="111DC91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14:paraId="3EB836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14:paraId="3C020B8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w:t>
      </w:r>
    </w:p>
    <w:p w14:paraId="3580E49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13）按《基金合同》的约定确定基金收益分配方案，及时向基金份额持有人分配基金收益；</w:t>
      </w:r>
    </w:p>
    <w:p w14:paraId="2CCEC86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14）按规定受理申购与赎回申请，及时、足额支付赎回款项；</w:t>
      </w:r>
    </w:p>
    <w:p w14:paraId="13EA025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15）依据《基金法》、《基金合同》及其他有关规定召集基金份额持有人大会或配合基金托管人、基金份额持有人依法召集基金份额持有人大会；</w:t>
      </w:r>
    </w:p>
    <w:p w14:paraId="13677F1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16）按规定保存基金财产管理业务活动的会计账册、报表、记录和其他相关资料15年以上；</w:t>
      </w:r>
    </w:p>
    <w:p w14:paraId="04829E6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2026B4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14:paraId="51D9F7D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14:paraId="3206527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14:paraId="37968B2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14:paraId="25643A0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14:paraId="111395A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14:paraId="376129D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14:paraId="258E245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14:paraId="59143F1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14:paraId="78C6603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27）法律法规及中国证监会规定的和《基金合同》约定的其他义务。</w:t>
      </w:r>
    </w:p>
    <w:p w14:paraId="6D66745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14:paraId="0E8A6E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（1）根据《基金法》、《运作办法》及其他有关规定，基金托管人的权利包括但不限于：</w:t>
      </w:r>
    </w:p>
    <w:p w14:paraId="6FAE80F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1）自《基金合同》生效之日起，依法律法规和《基金合同》的规定安全保管</w:t>
      </w:r>
      <w:r>
        <w:rPr>
          <w:rFonts w:ascii="宋体" w:hAnsi="宋体"/>
          <w:sz w:val="24"/>
        </w:rPr>
        <w:lastRenderedPageBreak/>
        <w:t>基金财产；</w:t>
      </w:r>
    </w:p>
    <w:p w14:paraId="14971D7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2）依《基金合同》约定获得基金托管费以及法律法规规定或监管部门批准的其他费用；</w:t>
      </w:r>
    </w:p>
    <w:p w14:paraId="0452108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B5020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4）根据相关市场规则，为基金开设资金账户、证券账户、期货结算账户等投资所需账户，为基金办理证券交易资金清算；</w:t>
      </w:r>
    </w:p>
    <w:p w14:paraId="2BFB76B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5）提议召开或召集基金份额持有人大会；</w:t>
      </w:r>
    </w:p>
    <w:p w14:paraId="6906F8E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6）在基金管理人更换时，提名新的基金管理人；</w:t>
      </w:r>
    </w:p>
    <w:p w14:paraId="4B87209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7）法律法规及中国证监会规定的和《基金合同》约定的其他权利。</w:t>
      </w:r>
    </w:p>
    <w:p w14:paraId="19F9171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（2）根据《基金法》、《运作办法》及其他有关规定，基金托管人的义务包括但不限于：</w:t>
      </w:r>
    </w:p>
    <w:p w14:paraId="03F6D07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1）以诚实信用、勤勉尽责的原则持有并安全保管基金财产；</w:t>
      </w:r>
    </w:p>
    <w:p w14:paraId="2EA7AD7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14:paraId="71B7427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7EAA7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14:paraId="7C5DCD2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5）保管由基金管理人代表基金签订的与基金有关的重大合同及有关凭证；</w:t>
      </w:r>
    </w:p>
    <w:p w14:paraId="35932C2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6）按规定开设基金财产的资金账户、证券账户和期货结算账户等投资所需账户，按照《基金合同》的约定，根据基金管理人的投资指令，及时办理清算、交割事宜；</w:t>
      </w:r>
    </w:p>
    <w:p w14:paraId="6A12956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7）保守基金商业秘密，除《基金法》、《基金合同》及其他有关规定另有规定外，在基金信息公开披露前予以保密，不得向他人泄露；</w:t>
      </w:r>
    </w:p>
    <w:p w14:paraId="65F9C50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8）复核、审查基金管理人计算的基金资产净值、基金份额净值、基金份额申购、赎回价格；</w:t>
      </w:r>
    </w:p>
    <w:p w14:paraId="3A08F4D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9）办理与基金托管业务活动有关的信息披露事项；</w:t>
      </w:r>
    </w:p>
    <w:p w14:paraId="04A4A3C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B2C0FC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11）保存基金托管业务活动的记录、账册、报表和其他相关资料15年以上；</w:t>
      </w:r>
    </w:p>
    <w:p w14:paraId="246693F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12）保存基金份额持有人名册；</w:t>
      </w:r>
    </w:p>
    <w:p w14:paraId="0E46836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13）按规定制作相关账册并与基金管理人核对；</w:t>
      </w:r>
    </w:p>
    <w:p w14:paraId="422BF41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14）依据基金管理人的指令或有关规定向基金份额持有人支付基金收益和赎回款项；</w:t>
      </w:r>
    </w:p>
    <w:p w14:paraId="2B40D36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14:paraId="70F9F7B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16）按照法律法规和《基金合同》的规定监督基金管理人的投资运作；</w:t>
      </w:r>
    </w:p>
    <w:p w14:paraId="40A1329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17）参加基金财产清算小组，参与基金财产的保管、清理、估价、变现和分配；</w:t>
      </w:r>
    </w:p>
    <w:p w14:paraId="031FE37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14:paraId="79652C2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19）因违反《基金合同》导致基金财产损失时，应承担赔偿责任，其赔偿责任不因其退任而免除；</w:t>
      </w:r>
    </w:p>
    <w:p w14:paraId="395CE18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14:paraId="3B4458A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21）执行生效的基金份额持有人大会的决议；</w:t>
      </w:r>
    </w:p>
    <w:p w14:paraId="4809AE0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22）法律法规及中国证监会规定的和《基金合同》约定的其他义务。</w:t>
      </w:r>
    </w:p>
    <w:p w14:paraId="3665EE3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14:paraId="7F70FCE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基金基金份额的行为即视为对《基金合同》的承认和接受，基金投资者自依据《基金合同》取得本基金基金份额，即成为本基金份额持有人和《基金合同》的当事人，直至其不再持有本基金的基金份额。基金份额持有人作为《基金合同》当事人并不以在《基金合同》上书面签章或签字为必要条件。</w:t>
      </w:r>
    </w:p>
    <w:p w14:paraId="2CA4632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同一类别每份基金份额具有同等的合法权益。</w:t>
      </w:r>
    </w:p>
    <w:p w14:paraId="397D5CB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（1）根据《基金法》、《运作办法》及其他有关规定，基金份额持有人的权利包括但不限于：</w:t>
      </w:r>
    </w:p>
    <w:p w14:paraId="19598D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1）分享基金财产收益；</w:t>
      </w:r>
    </w:p>
    <w:p w14:paraId="1B8D9F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14:paraId="23235EE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3）依法并按照基金合同和招募说明书的规定转让或者申请赎回其持有的基金份额；</w:t>
      </w:r>
    </w:p>
    <w:p w14:paraId="1EFB7E2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4）按照规定要求召开基金份额持有人大会或者召集基金份额持有人大会；</w:t>
      </w:r>
    </w:p>
    <w:p w14:paraId="31249D8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14:paraId="64BB1BD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14:paraId="7927762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14:paraId="79ED4DD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8）对基金管理人、基金托管人、基金服务机构损害其合法权益的行为依法提起诉讼或仲裁；</w:t>
      </w:r>
    </w:p>
    <w:p w14:paraId="1FD166C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9）法律法规及中国证监会规定的和《基金合同》约定的其他权利。</w:t>
      </w:r>
    </w:p>
    <w:p w14:paraId="3F601F5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（2）根据《基金法》、《运作办法》及其他有关规定，基金份额持有人的义务包括但不限于：</w:t>
      </w:r>
    </w:p>
    <w:p w14:paraId="659EC73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1）认真阅读并遵守《基金合同》、招募说明书等信息披露文件；</w:t>
      </w:r>
    </w:p>
    <w:p w14:paraId="174D397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14:paraId="08A22B5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3）关注基金信息披露，及时行使权利和履行义务；</w:t>
      </w:r>
    </w:p>
    <w:p w14:paraId="5065DA1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4）交纳基金认购、申购款项及法律法规和《基金合同》所规定的费用；</w:t>
      </w:r>
    </w:p>
    <w:p w14:paraId="6E6D49C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5）在其持有的基金份额范围内，承担基金亏损或者《基金合同》终止的有限责任；</w:t>
      </w:r>
    </w:p>
    <w:p w14:paraId="71B4167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6）不从事任何有损基金及其他《基金合同》当事人合法权益的活动；</w:t>
      </w:r>
    </w:p>
    <w:p w14:paraId="24CE652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7）执行生效的基金份额持有人大会的决议；</w:t>
      </w:r>
    </w:p>
    <w:p w14:paraId="1D0AD97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8）返还在基金交易过程中因任何原因获得的不当得利；</w:t>
      </w:r>
    </w:p>
    <w:p w14:paraId="444482D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9）遵守基金管理人、基金托管人、销售机构和登记机构的相关交易及业务规则；</w:t>
      </w:r>
    </w:p>
    <w:p w14:paraId="135C543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10）提供基金管理人和监管机构依法要求提供的信息，以及不时的更新和补充，并保证其真实性；</w:t>
      </w:r>
    </w:p>
    <w:p w14:paraId="5816865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11）法律法规及中国证监会规定的和《基金合同》约定的其他义务。</w:t>
      </w:r>
    </w:p>
    <w:p w14:paraId="732D57D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（二）基金份额持有人大会召集、议事及表决的程序和规则</w:t>
      </w:r>
    </w:p>
    <w:p w14:paraId="2D903DA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14:paraId="1199380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本基金份额持有人大会不设日常机构。</w:t>
      </w:r>
    </w:p>
    <w:p w14:paraId="3E067B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1、召开事由</w:t>
      </w:r>
    </w:p>
    <w:p w14:paraId="19BC77A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（1）当出现或需要决定下列事由之一的，应当召开基金份额持有人大会，法律法规、基金合同和中国证监会另有规定的除外：</w:t>
      </w:r>
    </w:p>
    <w:p w14:paraId="6E4704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w:t>
      </w:r>
    </w:p>
    <w:p w14:paraId="3579241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2）更换基金管理人；</w:t>
      </w:r>
    </w:p>
    <w:p w14:paraId="036B7C0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3）更换基金托管人；</w:t>
      </w:r>
    </w:p>
    <w:p w14:paraId="4D81C5F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4）转换基金运作方式；</w:t>
      </w:r>
    </w:p>
    <w:p w14:paraId="0693D7F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5）调整基金管理人、基金托管人的报酬标准和提高销售服务费；</w:t>
      </w:r>
    </w:p>
    <w:p w14:paraId="70D0ECA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6）变更基金类别；</w:t>
      </w:r>
    </w:p>
    <w:p w14:paraId="1A13BF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7）本基金与其他基金的合并；</w:t>
      </w:r>
    </w:p>
    <w:p w14:paraId="029DBCF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8）变更基金投资目标、范围或策略；</w:t>
      </w:r>
    </w:p>
    <w:p w14:paraId="7867361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9）变更基金份额持有人大会程序；</w:t>
      </w:r>
    </w:p>
    <w:p w14:paraId="2A92A21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10）基金管理人或基金托管人要求召开基金份额持有人大会；</w:t>
      </w:r>
    </w:p>
    <w:p w14:paraId="5662254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14:paraId="0E3BE59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12）对基金合同当事人权利和义务产生重大影响的其他事项；</w:t>
      </w:r>
    </w:p>
    <w:p w14:paraId="2AE477F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13）法律法规、《基金合同》或中国证监会规定的其他应当召开基金份额持有人大会的事项。</w:t>
      </w:r>
    </w:p>
    <w:p w14:paraId="19DA7CC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（2）在法律法规规定和《基金合同》约定的范围内且对基金份额持有人利益无实质性不利影响的前提下，以下情况可由基金管理人和基金托管人协商后修改，不需召开基金份额持有人大会：</w:t>
      </w:r>
    </w:p>
    <w:p w14:paraId="6DF2579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1）调低基金销售服务费；</w:t>
      </w:r>
    </w:p>
    <w:p w14:paraId="0516AED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2）法律法规要求增加的基金费用的收取；</w:t>
      </w:r>
    </w:p>
    <w:p w14:paraId="523D710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3）在法律法规和《基金合同》规定的范围内调整本基金的申购费率、调低赎回费率、在对现有基金份额持有人利益无实质性不利影响的前提下变更收费方式；</w:t>
      </w:r>
    </w:p>
    <w:p w14:paraId="022679DF" w14:textId="77777777" w:rsidR="00B10699" w:rsidRPr="00B10699" w:rsidRDefault="008116FB" w:rsidP="00B10699">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w:t>
      </w:r>
      <w:r w:rsidR="00B10699" w:rsidRPr="00B10699">
        <w:rPr>
          <w:rFonts w:ascii="宋体" w:hAnsi="宋体" w:hint="eastAsia"/>
          <w:sz w:val="24"/>
        </w:rPr>
        <w:t>在符合法律法规及本基金合同规定、并且对基金份额持有人利益无实质不利影响的前提下，对基金份额分类办法及规则进行调整或者停止现有基金份额类别的销售；</w:t>
      </w:r>
    </w:p>
    <w:p w14:paraId="1A26D37F" w14:textId="40A04A85" w:rsidR="00877B87" w:rsidRDefault="00B10699" w:rsidP="00B10699">
      <w:pPr>
        <w:autoSpaceDE w:val="0"/>
        <w:autoSpaceDN w:val="0"/>
        <w:adjustRightInd w:val="0"/>
        <w:snapToGrid w:val="0"/>
        <w:spacing w:line="360" w:lineRule="auto"/>
        <w:ind w:firstLineChars="200" w:firstLine="480"/>
        <w:jc w:val="left"/>
        <w:rPr>
          <w:rFonts w:ascii="宋体" w:hAnsi="宋体"/>
          <w:szCs w:val="24"/>
        </w:rPr>
      </w:pPr>
      <w:r w:rsidRPr="00B10699">
        <w:rPr>
          <w:rFonts w:ascii="宋体" w:hAnsi="宋体" w:hint="eastAsia"/>
          <w:sz w:val="24"/>
        </w:rPr>
        <w:t>5）</w:t>
      </w:r>
      <w:r w:rsidR="008116FB">
        <w:rPr>
          <w:rFonts w:ascii="宋体" w:hAnsi="宋体"/>
          <w:sz w:val="24"/>
        </w:rPr>
        <w:t>根据基金管理人与标的指数供应商签订的相应指数使用许可协议变更标的指数许可使用费费率和计费方式；</w:t>
      </w:r>
    </w:p>
    <w:p w14:paraId="5E8C6575" w14:textId="71B330C0" w:rsidR="00877B87" w:rsidRDefault="009773B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sidR="008116FB">
        <w:rPr>
          <w:rFonts w:ascii="宋体" w:hAnsi="宋体"/>
          <w:sz w:val="24"/>
        </w:rPr>
        <w:t>）因相应的法律法规、登记机构的相关业务规则发生变动而应当对《基金合同》进行修改；</w:t>
      </w:r>
    </w:p>
    <w:p w14:paraId="4B1D2DCB" w14:textId="0262326F" w:rsidR="00877B87" w:rsidRDefault="009773B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sidR="008116FB">
        <w:rPr>
          <w:rFonts w:ascii="宋体" w:hAnsi="宋体"/>
          <w:sz w:val="24"/>
        </w:rPr>
        <w:t>）对《基金合同》的修改对基金份额持有人利益无实质性不利影响或修改不涉及《基金合同》当事人权利义务关系发生重大变化；</w:t>
      </w:r>
    </w:p>
    <w:p w14:paraId="39729AFD" w14:textId="0C358965" w:rsidR="00877B87" w:rsidRDefault="009773B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sidR="008116FB">
        <w:rPr>
          <w:rFonts w:ascii="宋体" w:hAnsi="宋体"/>
          <w:sz w:val="24"/>
        </w:rPr>
        <w:t>）在法律法规允许的情况下，且在对现有基金份额持有人利益无实质性不利影响的前提下，基金推出新业务或服务；</w:t>
      </w:r>
    </w:p>
    <w:p w14:paraId="7CB0B85E" w14:textId="7CE49C97" w:rsidR="00877B87" w:rsidRDefault="009773B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sidR="008116FB">
        <w:rPr>
          <w:rFonts w:ascii="宋体" w:hAnsi="宋体"/>
          <w:sz w:val="24"/>
        </w:rPr>
        <w:t>）在符合法律法规及本基金合同规定、并且对基金份额持有人利益无实质不利影响的前提下，调整本基金份额类别的设置；</w:t>
      </w:r>
    </w:p>
    <w:p w14:paraId="229DF3E6" w14:textId="695846D4" w:rsidR="00877B87" w:rsidRDefault="009773B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sidR="008116FB">
        <w:rPr>
          <w:rFonts w:ascii="宋体" w:hAnsi="宋体"/>
          <w:sz w:val="24"/>
        </w:rPr>
        <w:t>）在不违反法律法规及对基金份额持有人利益无实质性不利影响的前提下，变更标的指数对基金投资范围和投资策略无实质性影响（包括但不限于指数编制单位变更、指数更名等事项）；</w:t>
      </w:r>
    </w:p>
    <w:p w14:paraId="20A27AE0" w14:textId="7AA218FD" w:rsidR="00877B87" w:rsidRDefault="009773B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sidR="008116FB">
        <w:rPr>
          <w:rFonts w:ascii="宋体" w:hAnsi="宋体"/>
          <w:sz w:val="24"/>
        </w:rPr>
        <w:t>）在不违反法律法规及对基金份额持有人利益无实质性不利影响的前提下，基金管理人、登记机构、销售机构调整有关基金认购、申购、赎回、转换、收益分配、非交易过户、转托管等业务的规则；</w:t>
      </w:r>
    </w:p>
    <w:p w14:paraId="14509F52" w14:textId="37A5AA48" w:rsidR="00877B87" w:rsidRDefault="009773B6">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sidR="008116FB">
        <w:rPr>
          <w:rFonts w:ascii="宋体" w:hAnsi="宋体"/>
          <w:sz w:val="24"/>
        </w:rPr>
        <w:t>）按照法律法规和《基金合同》规定不需召开基金份额持有人大会的其他情形。</w:t>
      </w:r>
    </w:p>
    <w:p w14:paraId="73FCCC4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2、会议召集人及召集方式</w:t>
      </w:r>
    </w:p>
    <w:p w14:paraId="4434ADA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（1）除法律法规规定或《基金合同》另有约定外，基金份额持有人大会由基金管理人召集；</w:t>
      </w:r>
    </w:p>
    <w:p w14:paraId="33F7E4E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（2）基金管理人未按规定召集或不能召开时，由基金托管人召集；</w:t>
      </w:r>
    </w:p>
    <w:p w14:paraId="4815FD1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w:t>
      </w:r>
      <w:r>
        <w:rPr>
          <w:rFonts w:ascii="宋体" w:hAnsi="宋体"/>
          <w:sz w:val="24"/>
        </w:rPr>
        <w:lastRenderedPageBreak/>
        <w:t>开；基金管理人决定不召集，基金托管人仍认为有必要召开的，应当由基金托管人自行召集，并自出具书面决定之日起60日内召开并告知基金管理人，基金管理人应当配合；</w:t>
      </w:r>
    </w:p>
    <w:p w14:paraId="0E9C110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1446556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946D65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（6）基金份额持有人会议的召集人负责选择确定开会时间、地点、方式和权益登记日。</w:t>
      </w:r>
    </w:p>
    <w:p w14:paraId="5D9988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3、召开基金份额持有人大会的通知时间、通知内容、通知方式</w:t>
      </w:r>
    </w:p>
    <w:p w14:paraId="66162F2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（1）召开基金份额持有人大会，召集人应于会议召开前30日，在规定媒介公告。基金份额持有人大会通知应至少载明以下内容：</w:t>
      </w:r>
    </w:p>
    <w:p w14:paraId="7C1BBBC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1）会议召开的时间、地点和会议形式；</w:t>
      </w:r>
    </w:p>
    <w:p w14:paraId="4F001F4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2）会议拟审议的事项、议事程序和表决方式；</w:t>
      </w:r>
    </w:p>
    <w:p w14:paraId="52BDD4F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3）有权出席基金份额持有人大会的基金份额持有人的权益登记日；</w:t>
      </w:r>
    </w:p>
    <w:p w14:paraId="579FFB9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4）授权委托证明的内容要求（包括但不限于代理人身份，代理权限和代理有效期限等）、送达时间和地点；</w:t>
      </w:r>
    </w:p>
    <w:p w14:paraId="2F82E2D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5）会务常设联系人姓名及联系电话；</w:t>
      </w:r>
    </w:p>
    <w:p w14:paraId="4B44FA9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6）出席会议者必须准备的文件和必须履行的手续；</w:t>
      </w:r>
    </w:p>
    <w:p w14:paraId="304D69D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7）召集人需要通知的其他事项。</w:t>
      </w:r>
    </w:p>
    <w:p w14:paraId="24E121F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BDFB1B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FB125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4、基金份额持有人出席会议的方式</w:t>
      </w:r>
    </w:p>
    <w:p w14:paraId="49E920B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基金份额持有人大会可通过现场开会方式、通讯开会方式或法律法规和监管机构允许的其他方式召开，会议的召开方式由会议召集人确定。</w:t>
      </w:r>
    </w:p>
    <w:p w14:paraId="0F984D2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0D531C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DE474B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05F6C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（2）通讯开会。通讯开会系指基金份额持有人将其对表决事项的投票以会议通知载明的形式或基金合同约定的其他方式在表决截止日以前送达至召集人指定的地址或系统。</w:t>
      </w:r>
    </w:p>
    <w:p w14:paraId="17DBBF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14:paraId="644B323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1）会议召集人按《基金合同》约定公布会议通知后，在2个工作日内连续公布相关提示性公告；</w:t>
      </w:r>
    </w:p>
    <w:p w14:paraId="33D2CA6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8AC1B3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3D9C537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139B65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0E1532D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5、议事内容与程序</w:t>
      </w:r>
    </w:p>
    <w:p w14:paraId="5E4B8ED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14:paraId="13B46F5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w:t>
      </w:r>
      <w:r>
        <w:rPr>
          <w:rFonts w:ascii="宋体" w:hAnsi="宋体"/>
          <w:sz w:val="24"/>
        </w:rPr>
        <w:lastRenderedPageBreak/>
        <w:t>项。</w:t>
      </w:r>
    </w:p>
    <w:p w14:paraId="0C1FC87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14:paraId="3A59C2F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14:paraId="20983EE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14:paraId="0BB1722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14:paraId="31759E1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14:paraId="083E69E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14:paraId="5D7116A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567E37A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14:paraId="432972E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6、表决</w:t>
      </w:r>
    </w:p>
    <w:p w14:paraId="282A107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14:paraId="70C5709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14:paraId="617CBA1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8FB62B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w:t>
      </w:r>
      <w:r>
        <w:rPr>
          <w:rFonts w:ascii="宋体" w:hAnsi="宋体"/>
          <w:sz w:val="24"/>
        </w:rPr>
        <w:lastRenderedPageBreak/>
        <w:t>规、基金合同和中国证监会另有规定的除外）以特别决议通过方为有效。</w:t>
      </w:r>
    </w:p>
    <w:p w14:paraId="2F06CAF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14:paraId="32A5405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8A1546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14:paraId="3030636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7、计票</w:t>
      </w:r>
    </w:p>
    <w:p w14:paraId="4B62AB7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14:paraId="23595C9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3641A43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2）监票人应当在基金份额持有人表决后立即进行清点并由大会主持人当场公布计票结果。</w:t>
      </w:r>
    </w:p>
    <w:p w14:paraId="0F465F0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9B9339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4）计票过程应由公证机关予以公证，基金管理人或基金托管人拒不出席大会的，不影响计票的效力。</w:t>
      </w:r>
    </w:p>
    <w:p w14:paraId="70FDE93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57E90BB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2736DC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8、生效与公告</w:t>
      </w:r>
    </w:p>
    <w:p w14:paraId="414766A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基金份额持有人大会的决议，召集人应当自通过之日起5日内报中国证监会备案。基金份额持有人大会的决议自表决通过之日起生效。法律法规另有规定的，从其规定。</w:t>
      </w:r>
    </w:p>
    <w:p w14:paraId="6B38E13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0024D3B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14:paraId="1FDA2FE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部分对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106C7B6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（三）基金合同解除和终止的事由、程序</w:t>
      </w:r>
    </w:p>
    <w:p w14:paraId="2CC6CF0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1、《基金合同》的变更</w:t>
      </w:r>
    </w:p>
    <w:p w14:paraId="6201D4C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7B4CB2D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（2）关于《基金合同》变更的基金份额持有人大会决议自生效后方可执行，并自决议生效后依照《信息披露办法》的规定在规定媒介公告。</w:t>
      </w:r>
    </w:p>
    <w:p w14:paraId="4875555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2、《基金合同》的终止事由</w:t>
      </w:r>
    </w:p>
    <w:p w14:paraId="5858D5C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14:paraId="630E434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3538E58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62CA058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14:paraId="7B428FD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（4）连续60个工作日出现基金份额持有人数量不满200人或者基金资产净值低于5000万元情形的，基金管理人提前终止基金合同，不需召开基金份额持有人大会；</w:t>
      </w:r>
    </w:p>
    <w:p w14:paraId="4395F53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（5）《基金合同》约定的其他情形；</w:t>
      </w:r>
    </w:p>
    <w:p w14:paraId="6AEE0A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（6）相关法律法规和中国证监会规定的其他情况。</w:t>
      </w:r>
    </w:p>
    <w:p w14:paraId="49285FF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14:paraId="2CF6F28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18C316C9" w14:textId="6F2BF445"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sidR="006E5DCB" w:rsidRPr="006E5DCB">
        <w:rPr>
          <w:rFonts w:ascii="宋体" w:hAnsi="宋体" w:hint="eastAsia"/>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F4DEC8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14:paraId="3B77797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717AB6B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w:t>
      </w:r>
    </w:p>
    <w:p w14:paraId="0BBFB1E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14:paraId="5419438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14:paraId="6840BD5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14:paraId="16AC223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14:paraId="64A8BA7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3806736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6A86CA4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14:paraId="500BE48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4、清算费用</w:t>
      </w:r>
    </w:p>
    <w:p w14:paraId="734B193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2313045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5、基金财产清算剩余资产的分配</w:t>
      </w:r>
    </w:p>
    <w:p w14:paraId="2B9B0BE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w:t>
      </w:r>
      <w:r>
        <w:rPr>
          <w:rFonts w:ascii="宋体" w:hAnsi="宋体"/>
          <w:sz w:val="24"/>
        </w:rPr>
        <w:lastRenderedPageBreak/>
        <w:t>产清算费用、交纳所欠税款并清偿基金债务后，按基金份额持有人持有的基金份额比例进行分配。</w:t>
      </w:r>
    </w:p>
    <w:p w14:paraId="76234AA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6、基金财产清算的公告</w:t>
      </w:r>
    </w:p>
    <w:p w14:paraId="42F468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354A692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7、基金财产清算账册及文件的保存</w:t>
      </w:r>
    </w:p>
    <w:p w14:paraId="02B1412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14:paraId="651E622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（四）争议解决方式</w:t>
      </w:r>
    </w:p>
    <w:p w14:paraId="59A7F68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各方当事人均有约束力，除非仲裁裁决另有规定，仲裁费由败诉方承担。</w:t>
      </w:r>
    </w:p>
    <w:p w14:paraId="1BA904F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14:paraId="3E30377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《基金合同》受中国法律（不含港澳台立法）管辖。</w:t>
      </w:r>
    </w:p>
    <w:p w14:paraId="5ACDCCB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（五）基金合同存放及投资者取得基金合同的方式</w:t>
      </w:r>
    </w:p>
    <w:p w14:paraId="2433708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《基金合同》正本一式三份，除上报有关监管机构一份外，基金管理人、基金托管人各持有一份，每份具有同等的法律效力。</w:t>
      </w:r>
    </w:p>
    <w:p w14:paraId="6471DCE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《基金合同》可印制成册，供投资者在基金管理人、基金托管人、销售机构的办公场所和营业场所查阅。</w:t>
      </w:r>
    </w:p>
    <w:p w14:paraId="7F33E07B"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437BDBB" w14:textId="77777777" w:rsidR="00877B87" w:rsidRDefault="008116FB">
      <w:pPr>
        <w:pStyle w:val="1"/>
        <w:snapToGrid w:val="0"/>
        <w:spacing w:beforeLines="0" w:before="240" w:after="240"/>
        <w:rPr>
          <w:rFonts w:ascii="宋体" w:hAnsi="宋体"/>
          <w:szCs w:val="30"/>
        </w:rPr>
      </w:pPr>
      <w:bookmarkStart w:id="24" w:name="_Toc177999570"/>
      <w:r>
        <w:rPr>
          <w:rFonts w:ascii="Times New Roman" w:hAnsi="Times New Roman"/>
          <w:sz w:val="30"/>
        </w:rPr>
        <w:lastRenderedPageBreak/>
        <w:t>二十一、托管协议的内容摘要</w:t>
      </w:r>
      <w:bookmarkEnd w:id="24"/>
    </w:p>
    <w:p w14:paraId="697669E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（一）托管协议当事人</w:t>
      </w:r>
    </w:p>
    <w:p w14:paraId="7EC99AE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14:paraId="1747B36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34B9840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4C09E63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32D0B8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14:paraId="0C4C5427" w14:textId="6982561C"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sidR="004062DD">
        <w:rPr>
          <w:rFonts w:ascii="宋体" w:hAnsi="宋体" w:hint="eastAsia"/>
          <w:sz w:val="24"/>
        </w:rPr>
        <w:t>张宏良</w:t>
      </w:r>
    </w:p>
    <w:p w14:paraId="67450AB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 2005年8月4日</w:t>
      </w:r>
    </w:p>
    <w:p w14:paraId="5EB8472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批准设立机关：中国证券监督管理委员会</w:t>
      </w:r>
    </w:p>
    <w:p w14:paraId="5E8E59A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批准设立文号：中国证监会证监基金字[2005]128号</w:t>
      </w:r>
    </w:p>
    <w:p w14:paraId="1611C47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14:paraId="42A9F10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 2亿元人民币</w:t>
      </w:r>
    </w:p>
    <w:p w14:paraId="0C915CF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3FA7152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经营范围：基金募集、基金销售、资产管理和中国证监会许可的其他业务。</w:t>
      </w:r>
    </w:p>
    <w:p w14:paraId="07E3CC0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14:paraId="4916948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名称：招商银行股份有限公司(简称：招商银行)</w:t>
      </w:r>
    </w:p>
    <w:p w14:paraId="024D38D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住所：深圳市深南大道7088号招商银行大厦</w:t>
      </w:r>
    </w:p>
    <w:p w14:paraId="678B621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办公地址：深圳市深南大道7088号招商银行大厦</w:t>
      </w:r>
    </w:p>
    <w:p w14:paraId="693F8E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邮政编码：518040</w:t>
      </w:r>
    </w:p>
    <w:p w14:paraId="464172C3" w14:textId="482E54BA"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sidR="00A53FB1" w:rsidRPr="00A53FB1">
        <w:rPr>
          <w:rFonts w:ascii="宋体" w:hAnsi="宋体" w:hint="eastAsia"/>
          <w:sz w:val="24"/>
        </w:rPr>
        <w:t>缪建民</w:t>
      </w:r>
    </w:p>
    <w:p w14:paraId="57DC752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成立时间：1987年4月8日</w:t>
      </w:r>
    </w:p>
    <w:p w14:paraId="3F887DD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基金托管业务批准文号：证监基金字[2002]83号</w:t>
      </w:r>
    </w:p>
    <w:p w14:paraId="724F8A6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14:paraId="707E46B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注册资本：人民币252.20亿元</w:t>
      </w:r>
    </w:p>
    <w:p w14:paraId="376BF9D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445D078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（二）基金托管人对基金管理人的业务监督和核查</w:t>
      </w:r>
    </w:p>
    <w:p w14:paraId="3FF665A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1、基金托管人根据有关法律法规的规定以及《基金合同》的约定，对基金投资范围、投资比例、投资限制、关联方交易等进行监督。《基金合同》明确约定基</w:t>
      </w:r>
      <w:r>
        <w:rPr>
          <w:rFonts w:ascii="宋体" w:hAnsi="宋体"/>
          <w:sz w:val="24"/>
        </w:rPr>
        <w:lastRenderedPageBreak/>
        <w:t>金投资证券选择标准的，基金管理人应事先或定期向基金托管人提供投资品种池，以便基金托管人对基金实际投资是否符合基金合同关于证券选择标准的约定进行监督。</w:t>
      </w:r>
    </w:p>
    <w:p w14:paraId="6AA6F7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（1）本基金的投资范围为：</w:t>
      </w:r>
    </w:p>
    <w:p w14:paraId="22688A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创业板50指数的成份股（含存托凭证）及其备选成份股（含存托凭证）、其他股票（含中小板、创业板及其他经中国证监会核准上市的股票、存托凭证）、债券（含国债、央行票据、金融债券、政府支持债券、政府支持机构债券、地方政府债券、企业债券、公司债券、可转换债券（含可分离交易可转换债券的纯债部分）、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w:t>
      </w:r>
    </w:p>
    <w:p w14:paraId="1F8D7D7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1213168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（2）本基金各类品种的投资比例、投资限制为：</w:t>
      </w:r>
    </w:p>
    <w:p w14:paraId="0152DEE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本基金投资于创业板50指数成份股（含存托凭证）及其备选成份股（含存托凭证）的比例不低于基金资产净值的90%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633F0D4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04EE2FB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14:paraId="40A8941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1）本基金投资于创业板50指数成份股（含存托凭证）及其备选成份股（含存托凭证）的比例不低于基金资产净值的90%；</w:t>
      </w:r>
    </w:p>
    <w:p w14:paraId="1E46C4D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1BFA880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3）本基金投资于同一原始权益人的各类资产支持证券的比例，不得超过基金资产净值的10％；</w:t>
      </w:r>
    </w:p>
    <w:p w14:paraId="7541748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4）本基金持有的全部资产支持证券，其市值不得超过基金资产净值的20％；</w:t>
      </w:r>
    </w:p>
    <w:p w14:paraId="6B1FF57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5）本基金持有的同一（指同一信用级别）资产支持证券的比例，不得超过该资产支持证券规模的10％；</w:t>
      </w:r>
    </w:p>
    <w:p w14:paraId="4417FC3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6）本基金管理人管理的全部基金投资于同一原始权益人的各类资产支持证券，不得超过其各类资产支持证券合计规模的10％；</w:t>
      </w:r>
    </w:p>
    <w:p w14:paraId="6734AAA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7）本基金应投资于信用级别评级为BBB以上（含BBB）的资产支持证券。基金持有资产支持证券期间，如果其信用等级下降、不再符合投资标准，应在评级报告发布之日起3个月内予以全部卖出；</w:t>
      </w:r>
    </w:p>
    <w:p w14:paraId="6A843B4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8）基金财产参与股票发行申购，本基金所申报的金额不超过本基金的总资产，本基金所申报的股票数量不超过拟发行股票公司本次发行股票的总量；</w:t>
      </w:r>
    </w:p>
    <w:p w14:paraId="6DE33F3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9）本基金进入全国银行间同业市场进行债券回购的资金余额不得超过基金资产净值的40%，进入全国银行间同业市场进行债券回购的最长期限为1年，债券回购到期后不得展期；</w:t>
      </w:r>
    </w:p>
    <w:p w14:paraId="41FC86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0FADC59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11）本基金与私募类证券资管产品及中国证监会认定的其他主体为交易对手开展逆回购交易的，可接受质押品的资质要求应当与本基金合同约定的投资范围保持一致；</w:t>
      </w:r>
    </w:p>
    <w:p w14:paraId="1881AA3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12）本基金资产总值不超过基金资产净值的140%；</w:t>
      </w:r>
    </w:p>
    <w:p w14:paraId="416BC59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13）本基金参与股指期货交易，则：</w:t>
      </w:r>
    </w:p>
    <w:p w14:paraId="5E8801E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①本基金在任何交易日日终，持有的买入股指期货合约价值，不得超过基金资产净值的10%；</w:t>
      </w:r>
    </w:p>
    <w:p w14:paraId="22BCEE4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450DF5F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③本基金在任何交易日日终，持有的卖出股指期货合约价值不得超过基金持有的股票总市值的20%；</w:t>
      </w:r>
    </w:p>
    <w:p w14:paraId="43A17B8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④本基金所持有的股票市值和买入、卖出股指期货合约价值，合计（轧差计算）应当符合基金合同关于股票投资比例的有关约定；</w:t>
      </w:r>
    </w:p>
    <w:p w14:paraId="250C43A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⑤本基金在任何交易日内交易（不包括平仓）的股指期货合约的成交金额不得超过上一交易日基金资产净值的20%；</w:t>
      </w:r>
    </w:p>
    <w:p w14:paraId="628D440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14）本基金投资存托凭证的比例限制依照境内上市交易的股票执行；</w:t>
      </w:r>
    </w:p>
    <w:p w14:paraId="6078786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15）法律法规及中国证监会规定的和《基金合同》约定的其他投资限制。</w:t>
      </w:r>
    </w:p>
    <w:p w14:paraId="08AF941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（3）本基金财产不得用于以下投资或者活动：</w:t>
      </w:r>
    </w:p>
    <w:p w14:paraId="52D0B7D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14:paraId="2C2A185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14:paraId="65F3810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14:paraId="49AA3D8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14:paraId="2306C57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14:paraId="55D2889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14:paraId="08CF470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14:paraId="12E48B2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如法律、行政法规或监管部门取消上述禁止性规定，如适用于本基金，基金管理人在履行适当程序后，本基金可不受上述规定的限制。</w:t>
      </w:r>
    </w:p>
    <w:p w14:paraId="64BBD03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430389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14:paraId="18F77B1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（5）基金管理人应当自基金合同生效日起6个月内使基金的投资组合比例符合基金合同的有关约定。在上述期间内，本基金的投资范围、投资策略应当符合基金合同的约定。</w:t>
      </w:r>
    </w:p>
    <w:p w14:paraId="693A7F8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基金托管人对基金的投资的监督与检查自本基金合同生效之日起开始。除上述2）、7）、10）、11）情形之外，因证券、期货市场波动、证券发行人合并或基金规</w:t>
      </w:r>
      <w:r>
        <w:rPr>
          <w:rFonts w:ascii="宋体" w:hAnsi="宋体"/>
          <w:sz w:val="24"/>
        </w:rPr>
        <w:lastRenderedPageBreak/>
        <w:t>模变动、标的指数成份股及/或权重调整、标的指数股流动性限制等基金管理人之外的原因导致投资比例不符合上述规定的，基金管理人应在10个交易日内进行调整，但中国证监会规定的特殊情形除外。法律法规另有规定的，从其规定。</w:t>
      </w:r>
    </w:p>
    <w:p w14:paraId="043ADA7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如果法律法规及监管政策等对基金合同约定的投资禁止行为和投资组合比例限制进行变更的，本基金可相应调整禁止行为和投资比例限制规定。《基金法》及其他有关法律法规或监管部门取消上述限制的，履行适当程序后，基金不受上述限制。</w:t>
      </w:r>
    </w:p>
    <w:p w14:paraId="60DB2C0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533579A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本基金投资银行存款应符合如下规定：</w:t>
      </w:r>
    </w:p>
    <w:p w14:paraId="4589362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3BEFC71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有关法律法规或监管部门制定或修改新的定期存款投资政策，基金管理人履行适当程序后，可相应调整投资组合限制的规定。</w:t>
      </w:r>
    </w:p>
    <w:p w14:paraId="78B4C0E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49591CB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1）基金管理人负责控制信用风险。信用风险主要包括存款银行的信用等级、存款银行的支付能力等涉及到存款银行选择方面的风险。因选择存款银行不当造成基金财产损失的，由基金管理人承担责任。</w:t>
      </w:r>
    </w:p>
    <w:p w14:paraId="7AAF2DF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2）基金管理人负责控制流动性风险，并承担因控制不力而造成的损失。流动性风险主要包括基金管理人要求全部提前支取、部分提前支取或到期支取而存款银</w:t>
      </w:r>
      <w:r>
        <w:rPr>
          <w:rFonts w:ascii="宋体" w:hAnsi="宋体"/>
          <w:sz w:val="24"/>
        </w:rPr>
        <w:lastRenderedPageBreak/>
        <w:t>行未能及时兑付的风险、基金投资银行存款不能满足基金正常结算业务的风险、因全部提前支取或部分提前支取而涉及的利息损失影响估值等涉及到基金流动性方面的风险。</w:t>
      </w:r>
    </w:p>
    <w:p w14:paraId="2D83FB6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3）基金管理人须加强内部风险控制制度的建设。如因基金管理人员工职务行为导致基金财产受到损失的，需由基金管理人承担由此造成的损失。</w:t>
      </w:r>
    </w:p>
    <w:p w14:paraId="3B509D1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4）基金管理人与基金托管人在开展基金存款业务时，应严格遵守《基金法》、《运作办法》等有关法律法规，以及国家有关账户管理、利率管理、支付结算等的各项规定。</w:t>
      </w:r>
    </w:p>
    <w:p w14:paraId="1EA88E0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3、基金投资银行存款协议的签订、账户开设与管理、投资指令与资金划付、账目核对、到期兑付、提前支取</w:t>
      </w:r>
    </w:p>
    <w:p w14:paraId="435D34E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（1）基金投资银行存款协议的签订</w:t>
      </w:r>
    </w:p>
    <w:p w14:paraId="69C348A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03C6F42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2）基金托管人依据相关法规对《总体合作协议》和《存款协议书》的内容进行复核，审查存款银行资格等。</w:t>
      </w:r>
    </w:p>
    <w:p w14:paraId="0290581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3）基金管理人应在《存款协议书》中明确存款证实书或其他有效存款凭证的办理方式、邮寄地址、联系人和联系电话，以及存款证实书或其他有效凭证在邮寄过程中遗失后，存款余额的确认及兑付办法等。</w:t>
      </w:r>
    </w:p>
    <w:p w14:paraId="768FB2A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由存款银行指定的存放存款的分支机构（以下简称“存款分支机构”）寄送、上门交付或双方约定方式送达存款证实书或其他有效存款凭证的，基金托管人可向存款分支机构的上级行发出存款余额询证函，存款分支机构及其上级行应予配合。</w:t>
      </w:r>
    </w:p>
    <w:p w14:paraId="01C6BEF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5）基金管理人应在《存款协议书》中规定，基金存放到期或提前兑付的资金应全部划转到指定的基金托管账户，并在《存款协议书》写明账户名称和账号，未划入指定账户的，由存款银行承担一切责任。</w:t>
      </w:r>
    </w:p>
    <w:p w14:paraId="4099D18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w:t>
      </w:r>
      <w:r>
        <w:rPr>
          <w:rFonts w:ascii="宋体" w:hAnsi="宋体"/>
          <w:sz w:val="24"/>
        </w:rPr>
        <w:lastRenderedPageBreak/>
        <w:t>确认书。变更通知的送达方式同开户手续。在存期内，存款分支机构和基金托管人的指定联系人变更，应及时加盖公章书面通知对方。</w:t>
      </w:r>
    </w:p>
    <w:p w14:paraId="68088EF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7）基金管理人应在《存款协议书》中规定，因定期存款产生的存单不得被质押或以任何方式被抵押，不得用于转让和背书。</w:t>
      </w:r>
    </w:p>
    <w:p w14:paraId="2B61D0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（2）基金投资银行存款时的账户开设与管理</w:t>
      </w:r>
    </w:p>
    <w:p w14:paraId="627F39B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1）基金投资于银行存款时，基金管理人应当依据基金管理人与存款银行签订的《总体合作协议》、《存款协议书》等，以基金的名义在存款银行总行或授权分行指定的分支机构开立银行账户。</w:t>
      </w:r>
    </w:p>
    <w:p w14:paraId="45D6BF4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2）基金投资于银行存款时的预留印鉴由基金托管人保管和使用。</w:t>
      </w:r>
    </w:p>
    <w:p w14:paraId="5A74184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（3）存款凭证传递、账目核对及到期兑付</w:t>
      </w:r>
    </w:p>
    <w:p w14:paraId="32D4125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1）存款证实书等存款凭证传递</w:t>
      </w:r>
    </w:p>
    <w:p w14:paraId="0CD0767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345C709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2）存款凭证的遗失补办</w:t>
      </w:r>
    </w:p>
    <w:p w14:paraId="5957484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存款凭证在邮寄过程中遗失的，由基金管理人向存款银行提出补办申请，基金管理人应督促存款银行尽快补办存款凭证，并按以上1）的方式快递或上门交付至托管人，原存款凭证自动作废。</w:t>
      </w:r>
    </w:p>
    <w:p w14:paraId="047C072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3）账目核对</w:t>
      </w:r>
    </w:p>
    <w:p w14:paraId="252B7B0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基金管理人应与基金托管人核对各项银行存款投资余额及应计利息。基金管理人应在《存款协议书》中规定，对于存期超过3个月的定期存款，存款银行应于每季末后5个工作日内向基金托管人指定人员寄送对账单。因存款银行未寄送对账单造成的资金被挪用、盗取的责任由存款银行承担。</w:t>
      </w:r>
    </w:p>
    <w:p w14:paraId="101C5C5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存款银行应配合基金托管人对存款凭证的询证，并在询证函上加盖存款银行公章寄送至基金托管人指定联系人。</w:t>
      </w:r>
    </w:p>
    <w:p w14:paraId="2B0E6AE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4）到期兑付</w:t>
      </w:r>
    </w:p>
    <w:p w14:paraId="6328648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提前通知基金托管人通过快递或双方约定方式将存款凭证原件寄给存款银行分支机构指定的会计主管。存款银行未收到存款凭证原件的，应向基金托管人电话询问。存款到期前基金管理人与存款银行确认存款凭证收到并于到期日兑付存款本息事宜。</w:t>
      </w:r>
    </w:p>
    <w:p w14:paraId="1FA580D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2B4D4E6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4FC51D5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如果存款到期日为法定节假日，存款银行顺延至到期后第一个工作日支付，存款银行需按原协议约定利率和实际延期天数支付延期利息。</w:t>
      </w:r>
    </w:p>
    <w:p w14:paraId="580318E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（4）提前支取</w:t>
      </w:r>
    </w:p>
    <w:p w14:paraId="09DF134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如果在存款期限内，由于基金规模发生缩减的原因或者出于流动性管理的需要等原因，基金管理人可以提前支取全部或部分资金。</w:t>
      </w:r>
    </w:p>
    <w:p w14:paraId="4DF3A84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提前支取的具体事项按照基金管理人与存款银行签订的《存款协议书》执行。</w:t>
      </w:r>
    </w:p>
    <w:p w14:paraId="178C17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（5）基金投资银行存款的监督</w:t>
      </w:r>
    </w:p>
    <w:p w14:paraId="7477AD5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基金托管人发现基金管理人在进行存款投资时有违反有关法律法规的规定及《基金合同》的约定的行为，应及时以书面形式通知基金管理人在10 个工作日内纠正。基金管理人对基金托管人通知的违规事项未能在10 个工作日内纠正的，基金托管人应报告中国证监会。基金托管人发现基金管理人有重大违规行为，应立即报告中国证监会，同时通知基金管理人在10 个工作日内纠正或拒绝结算，若因基金管理人拒不执行造成基金财产损失的，相关损失由基金管理人承担，基金托管人不承担任何责任。</w:t>
      </w:r>
    </w:p>
    <w:p w14:paraId="2E41A9D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w:t>
      </w:r>
      <w:r>
        <w:rPr>
          <w:rFonts w:ascii="宋体" w:hAnsi="宋体"/>
          <w:sz w:val="24"/>
        </w:rPr>
        <w:lastRenderedPageBreak/>
        <w:t>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14:paraId="281E533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负责对交易对手的资信风险防范，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2E6BF75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5、本基金投资流通受限证券，应遵守《关于基金投资非公开发行股票等流通受限证券有关问题的通知》等有关监管规定。</w:t>
      </w:r>
    </w:p>
    <w:p w14:paraId="7EFDB16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658CB27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61A7291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本基金不得投资未经中国证监会批准的非公开发行证券。</w:t>
      </w:r>
    </w:p>
    <w:p w14:paraId="64E12BF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本基金不得投资有锁定期但锁定期不明确的证券。</w:t>
      </w:r>
    </w:p>
    <w:p w14:paraId="2D610BF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w:t>
      </w:r>
      <w:r>
        <w:rPr>
          <w:rFonts w:ascii="宋体" w:hAnsi="宋体"/>
          <w:sz w:val="24"/>
        </w:rPr>
        <w:lastRenderedPageBreak/>
        <w:t>资比例控制情况。</w:t>
      </w:r>
    </w:p>
    <w:p w14:paraId="7F15872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77EFD83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47475E9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1805D81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由于基金管理人未及时提供有关证券的具体的必要的信息，致使托管人无法审核认购指令而影响认购款项划拨的，基金托管人免于承担责任。</w:t>
      </w:r>
    </w:p>
    <w:p w14:paraId="334004D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3A07343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 基金管理人应在基金投资非公开发行股票后两个交易日内,在中国证监会规定媒介披露所投资非公开发行股票的名称、数量、总成本、账面价值,以及总成本和账面价值占基金资产净值的比例、锁定期等信息。</w:t>
      </w:r>
    </w:p>
    <w:p w14:paraId="416B79C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6、基金管理人应当对投资中期票据业务进行研究，认真评估中期票据投资业务的风险，本着审慎、勤勉尽责的原则进行中期票据的投资业务，并应符合法律法规及监管机构的相关规定。</w:t>
      </w:r>
    </w:p>
    <w:p w14:paraId="532B7F9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7、基金托管人根据有关法律法规的规定及《基金合同》的约定，对各类基金份额的基金资产净值计算及基金份额净值计算、基金费用开支及收入确定、基金收益分配、相关信息披露、基金宣传推介材料中登载基金业绩表现数据等进行监督和核查。</w:t>
      </w:r>
    </w:p>
    <w:p w14:paraId="46C9A0F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托管人发现基金管理人的上述事项及投资指令或实际投资运作违反法律法规、《基金合同》和本托管协议的规定，应及时以电话提醒、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4030DB8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D63966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608EA4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11、基金托管人发现基金管理人有重大违规行为，应及时报告中国证监会，同时通知基金管理人限期纠正。</w:t>
      </w:r>
    </w:p>
    <w:p w14:paraId="5B3C036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（三）基金管理人对基金托管人的业务核查</w:t>
      </w:r>
    </w:p>
    <w:p w14:paraId="285B1F5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对基金托管人履行托管职责情况进行核查，核查事项包括基金托管人安全保管基金财产、开设基金财产的资金账户、证券账户、期货结算账户等投资所需账户、复核基金管理人计算的各类基金份额的基金资产净值和基金份额净值、根据基金管理人指令办理清算交收、相关信息披露和监督基金投资运作等行为。</w:t>
      </w:r>
    </w:p>
    <w:p w14:paraId="4ACF45A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2、基金管理人发现基金托管人擅自挪用基金财产、未对基金财产实行分账管</w:t>
      </w:r>
      <w:r>
        <w:rPr>
          <w:rFonts w:ascii="宋体" w:hAnsi="宋体"/>
          <w:sz w:val="24"/>
        </w:rPr>
        <w:lastRenderedPageBreak/>
        <w:t>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0CAFA56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49685D4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4、基金管理人发现基金托管人有重大违规行为，应及时报告中国证监会，同时通知基金托管人限期纠正，并将纠正结果报告中国证监会。</w:t>
      </w:r>
    </w:p>
    <w:p w14:paraId="43CFE50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（四）基金财产的保管</w:t>
      </w:r>
    </w:p>
    <w:p w14:paraId="199235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1、基金财产保管的原则</w:t>
      </w:r>
    </w:p>
    <w:p w14:paraId="190D08E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（1）基金财产应独立于基金管理人、基金托管人的固有财产。</w:t>
      </w:r>
    </w:p>
    <w:p w14:paraId="241C796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（2）基金托管人应安全保管基金财产。</w:t>
      </w:r>
    </w:p>
    <w:p w14:paraId="736AA10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（3）基金托管人按照规定开设基金财产的资金账户、证券账户和期货结算账户等投资所需的相关账户。</w:t>
      </w:r>
    </w:p>
    <w:p w14:paraId="5CAFD13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（4）基金托管人对所托管的不同基金财产分别设置账户，确保基金财产的完整与独立。</w:t>
      </w:r>
    </w:p>
    <w:p w14:paraId="5FF9549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7B2EEE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527280E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（7）基金托管人对因为基金管理人投资产生的存放或存管在基金托管人以外机构的基金资产，或交由证券公司负责清算交收的基金资产及其收益，由于该等机</w:t>
      </w:r>
      <w:r>
        <w:rPr>
          <w:rFonts w:ascii="宋体" w:hAnsi="宋体"/>
          <w:sz w:val="24"/>
        </w:rPr>
        <w:lastRenderedPageBreak/>
        <w:t>构或该机构会员单位等本协议当事人外第三方的欺诈、疏忽、过失或破产等原因给基金资产造成的损失等不承担责任。</w:t>
      </w:r>
    </w:p>
    <w:p w14:paraId="0DC886E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（8）除依据法律法规和基金合同的规定外，基金托管人不得委托第三人托管基金财产。</w:t>
      </w:r>
    </w:p>
    <w:p w14:paraId="60EAE8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2、基金募集期间及募集资金的验资</w:t>
      </w:r>
    </w:p>
    <w:p w14:paraId="2ED8595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（1）基金募集期间募集认购款项应开立“基金募集专户”。该账户由基金管理人或基金管理人委托的登记机构开立并管理。</w:t>
      </w:r>
    </w:p>
    <w:p w14:paraId="3CE905A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具有从事证券相关业务资格的会计师事务所进行验资，出具验资报告。出具的验资报告由参加验资的2名或2名以上中国注册会计师签字方为有效。</w:t>
      </w:r>
    </w:p>
    <w:p w14:paraId="528B7CD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（3）若基金募集期限届满，未能达到基金合同生效的条件，由基金管理人按规定办理退款等事宜。</w:t>
      </w:r>
    </w:p>
    <w:p w14:paraId="4C41FAE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3、基金资金账户的开立和管理</w:t>
      </w:r>
    </w:p>
    <w:p w14:paraId="1A43813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以本基金的名义在其营业机构开立基金的资金账户（也可称为“托管账户”），保管基金的银行存款，并根据基金管理人的指令办理资金收付。托管账户名称应为“交银施罗德创业板50指数型证券投资基金”，预留印鉴为基金托管人印章。</w:t>
      </w:r>
    </w:p>
    <w:p w14:paraId="2AC0897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（2）基金资金账户的开立和使用，限于满足开展本基金业务的需要。基金托管人和基金管理人不得假借本基金的名义开立任何其他银行账户；亦不得使用基金的任何账户进行本基金业务以外的活动。</w:t>
      </w:r>
    </w:p>
    <w:p w14:paraId="3765C74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（3）基金资金账户的开立和管理应符合法律法规及银行业监督管理机构的有关规定。</w:t>
      </w:r>
    </w:p>
    <w:p w14:paraId="569B126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4、基金证券账户和结算备付金账户的开立和管理</w:t>
      </w:r>
    </w:p>
    <w:p w14:paraId="161F212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（1）基金托管人在中国证券登记结算有限责任公司上海分公司、深圳分公司为基金开立基金托管人与基金联名的证券账户。</w:t>
      </w:r>
    </w:p>
    <w:p w14:paraId="43471C5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（2）基金证券账户的开立和使用，仅限于满足开展本基金业务的需要。基金托管人和基金管理人不得出借或未经对方同意擅自转让基金的任何证券账户，亦不</w:t>
      </w:r>
      <w:r>
        <w:rPr>
          <w:rFonts w:ascii="宋体" w:hAnsi="宋体"/>
          <w:sz w:val="24"/>
        </w:rPr>
        <w:lastRenderedPageBreak/>
        <w:t>得使用基金的任何账户进行本基金业务以外的活动。</w:t>
      </w:r>
    </w:p>
    <w:p w14:paraId="1A184E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（3）基金证券账户的开立和证券账户卡的保管由基金托管人负责，账户资产的管理和运用由基金管理人负责。</w:t>
      </w:r>
    </w:p>
    <w:p w14:paraId="3187F36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479219D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4AF5983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5、债券托管账户的开设和管理</w:t>
      </w:r>
    </w:p>
    <w:p w14:paraId="4ADCF9F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1A6DD12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6、其他账户的开立和管理</w:t>
      </w:r>
    </w:p>
    <w:p w14:paraId="01FE3C1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1152D25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315BDA4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（2）因业务发展需要而开立的其他账户，可以根据法律法规和基金合同的规定，由基金管理人协助基金托管人按照有关法律法规和本协议的约定协商后开立。新账户按有关规定使用并管理。</w:t>
      </w:r>
    </w:p>
    <w:p w14:paraId="2BD1A6A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（3）法律法规等有关规定对相关账户的开立和管理另有规定的，从其规定办理。</w:t>
      </w:r>
    </w:p>
    <w:p w14:paraId="24F2BB0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7、基金财产投资的有关有价凭证等的保管</w:t>
      </w:r>
    </w:p>
    <w:p w14:paraId="0EFE6A3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基金财产投资的有关实物证券等有价凭证按约定由基金托管人存放于基金托管</w:t>
      </w:r>
      <w:r>
        <w:rPr>
          <w:rFonts w:ascii="宋体" w:hAnsi="宋体"/>
          <w:sz w:val="24"/>
        </w:rPr>
        <w:lastRenderedPageBreak/>
        <w:t>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513CA16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8、与基金财产有关的重大合同的保管</w:t>
      </w:r>
    </w:p>
    <w:p w14:paraId="1E09EBA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15年。</w:t>
      </w:r>
    </w:p>
    <w:p w14:paraId="7DA3293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7770BC8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（五）基金资产净值计算、估值和会计核算</w:t>
      </w:r>
    </w:p>
    <w:p w14:paraId="3AFD850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1、基金资产净值的计算、复核与完成的时间及程序</w:t>
      </w:r>
    </w:p>
    <w:p w14:paraId="2AE4118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w:t>
      </w:r>
    </w:p>
    <w:p w14:paraId="0A80B77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14:paraId="070C1BA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类基金份额的基金份额净值是指估值日该类基金份额的基金资产净值除以估值日该类基金份额总数，基金份额净值的计算，精确到0.0001元，小数点后第五位四舍五入。基金管理人可以设立大额赎回情形下的净值精度应急调整机制，具体可参见相关公告。国家另有规定的，从其规定。</w:t>
      </w:r>
    </w:p>
    <w:p w14:paraId="768D254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基金管理人每个工作日计算各类基金份额的基金资产净值、基金份额净值，经基金托管人复核，按规定公告，但基金管理人根据法律法规或基金合同的规定暂停估值时除外。</w:t>
      </w:r>
    </w:p>
    <w:p w14:paraId="1FDB6E8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（2）复核程序</w:t>
      </w:r>
    </w:p>
    <w:p w14:paraId="402B2BB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基金管理人每个工作日对基金资产进行估值后，将各类基金份额的基金资产净值、基金份额净值发送基金托管人，经基金托管人复核无误后，由基金管理人对外</w:t>
      </w:r>
      <w:r>
        <w:rPr>
          <w:rFonts w:ascii="宋体" w:hAnsi="宋体"/>
          <w:sz w:val="24"/>
        </w:rPr>
        <w:lastRenderedPageBreak/>
        <w:t>公布。</w:t>
      </w:r>
    </w:p>
    <w:p w14:paraId="533A12E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75F423E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2、基金资产的估值</w:t>
      </w:r>
    </w:p>
    <w:p w14:paraId="3213062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基金管理人及基金托管人应当按照《基金合同》的约定进行估值。</w:t>
      </w:r>
    </w:p>
    <w:p w14:paraId="1EE0C67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3、基金份额净值错误的处理方式</w:t>
      </w:r>
    </w:p>
    <w:p w14:paraId="302B709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基金管理人及基金托管人应当按照《基金合同》的约定处理份额净值错误。</w:t>
      </w:r>
    </w:p>
    <w:p w14:paraId="0D8B402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4、基金会计制度</w:t>
      </w:r>
    </w:p>
    <w:p w14:paraId="3227DB5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按国家有关部门规定的会计制度执行。</w:t>
      </w:r>
    </w:p>
    <w:p w14:paraId="3E16C95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5、基金账册的建立</w:t>
      </w:r>
    </w:p>
    <w:p w14:paraId="0B37BB1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7410638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6、基金财务报表与报告的编制和复核</w:t>
      </w:r>
    </w:p>
    <w:p w14:paraId="33C7F30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（1）财务报表的编制</w:t>
      </w:r>
    </w:p>
    <w:p w14:paraId="18C37FC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基金财务报表由基金管理人编制，基金托管人复核。</w:t>
      </w:r>
    </w:p>
    <w:p w14:paraId="1F0ACC0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（2）报表复核</w:t>
      </w:r>
    </w:p>
    <w:p w14:paraId="7C41888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基金托管人在收到基金管理人编制的基金财务报表后，进行独立的复核。核对不符时，应及时通知基金管理人共同查出原因，进行调整，直至双方数据完全一致。</w:t>
      </w:r>
    </w:p>
    <w:p w14:paraId="79204D8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（3）财务报表的编制与复核时间安排</w:t>
      </w:r>
    </w:p>
    <w:p w14:paraId="674C339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每月结束后5个工作日内完成月度报表的编制及复核；在每个季度结束之日起15个工作日内完成基金季度报告的编制及复核；在上半年结束之日起60日内完成基金半年度报告的编制及复核；在每年结束之日起90日内完成基金年度报告的编制及复核。基金托管人在复核过程中，发现双方的报表存在不符时，基金管理人和基金托管人应共同查明原因，进行调整，调整以国家有关规定为准。基金年度报告的财务会计报告应当经过审计。基金合同生效不足两个月的，基金管理人可以不编制当期季度报告、半年度报告或者年度报告。</w:t>
      </w:r>
    </w:p>
    <w:p w14:paraId="71646DE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7、在有需要时，基金管理人应每季度向基金托管人提供基金业绩比较基准的基础数据和编制结果。</w:t>
      </w:r>
    </w:p>
    <w:p w14:paraId="34D8A09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（六）基金份额持有人名册的保管</w:t>
      </w:r>
    </w:p>
    <w:p w14:paraId="759595E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15年。如不能妥善保管，则按相关法律法规承担责任。</w:t>
      </w:r>
    </w:p>
    <w:p w14:paraId="06A4789E"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托管人要求或编制半年报和年报前，基金管理人应将有关资料送交基金托管人，不得无故拒绝或延误提供，并保证其真实性、准确性和完整性。基金管理人和托管人不得将所保管的基金份额持有人名册用于基金托管业务以外的其他用途，并应遵守保密义务。</w:t>
      </w:r>
    </w:p>
    <w:p w14:paraId="6EB3F3C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（七）争议解决方式</w:t>
      </w:r>
    </w:p>
    <w:p w14:paraId="089C03D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双方当事人同意，因本协议而产生的或与本协议有关的一切争议，如经友好协商未能解决的，任何一方均有权将争议提交深圳国际仲裁院，按照深圳国际仲裁院届时有效的仲裁规则进行仲裁。仲裁地点为深圳市。仲裁裁决是终局的，对双方当事人均有约束力，除非仲裁裁决另有规定，仲裁费用由败诉方承担。</w:t>
      </w:r>
    </w:p>
    <w:p w14:paraId="644C345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14:paraId="5A8089E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本协议受中华人民共和国法律（不含港澳台立法）管辖。</w:t>
      </w:r>
    </w:p>
    <w:p w14:paraId="10383C4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（八）托管协议的变更、终止与基金财产的清算</w:t>
      </w:r>
    </w:p>
    <w:p w14:paraId="586CB72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1、托管协议的变更程序</w:t>
      </w:r>
    </w:p>
    <w:p w14:paraId="5DBAFA5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本协议双方当事人经协商一致，可以对协议进行修改。修改后的新协议，其内容不得与基金合同的规定有任何冲突。基金托管协议的变更应报中国证监会备案。</w:t>
      </w:r>
    </w:p>
    <w:p w14:paraId="69234ED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2、基金托管协议终止的情形</w:t>
      </w:r>
    </w:p>
    <w:p w14:paraId="0A93BF5C"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w:t>
      </w:r>
    </w:p>
    <w:p w14:paraId="6120E39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（2）基金托管人因解散、破产、撤销等事由，不能继续担任基金托管人的职务，而在6个月内无其他适当的托管机构承接其原有权利义务；</w:t>
      </w:r>
    </w:p>
    <w:p w14:paraId="45C725E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（3）基金管理人因解散、破产、撤销等事由，不能继续担任基金管理人的职务，而在6个月内无其他适当的基金管理机构承接其原有权利义务；</w:t>
      </w:r>
    </w:p>
    <w:p w14:paraId="04056B1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（4）发生法律法规或《基金合同》规定的其他终止事项。</w:t>
      </w:r>
    </w:p>
    <w:p w14:paraId="5EEAA507"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14:paraId="6AC9DC8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基金管理人与基金托管人按照《基金合同》的约定处理基金财产的清算。</w:t>
      </w:r>
    </w:p>
    <w:p w14:paraId="5D1EF359"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76A8D5B" w14:textId="77777777" w:rsidR="00877B87" w:rsidRDefault="008116FB">
      <w:pPr>
        <w:pStyle w:val="1"/>
        <w:snapToGrid w:val="0"/>
        <w:spacing w:beforeLines="0" w:before="240" w:after="240"/>
        <w:rPr>
          <w:rFonts w:ascii="宋体" w:hAnsi="宋体"/>
          <w:szCs w:val="30"/>
        </w:rPr>
      </w:pPr>
      <w:bookmarkStart w:id="25" w:name="_Toc177999571"/>
      <w:r>
        <w:rPr>
          <w:rFonts w:ascii="Times New Roman" w:hAnsi="Times New Roman"/>
          <w:sz w:val="30"/>
        </w:rPr>
        <w:lastRenderedPageBreak/>
        <w:t>二十二、对基金份额持有人的服务</w:t>
      </w:r>
      <w:bookmarkEnd w:id="25"/>
    </w:p>
    <w:p w14:paraId="1DBD7E6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基金管理人承诺为基金份额持有人提供一系列的服务。基金管理人根据基金份额持有人的需要和市场的变化，有权增加或变更服务项目。主要服务内容如下：</w:t>
      </w:r>
    </w:p>
    <w:p w14:paraId="09A60A10"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（一）持有人交易资料的寄送服务</w:t>
      </w:r>
    </w:p>
    <w:p w14:paraId="41DCAB7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每次交易结束后，可在T+2个工作日后通过销售机构的网点查询和打印确认单。</w:t>
      </w:r>
    </w:p>
    <w:p w14:paraId="49AB52D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本基金管理人将向持有人提供电子或纸质对账单，需要订阅或取消的客户可与本基金管理人客户服务中心（400-700-5000，021-61055000）联系。</w:t>
      </w:r>
    </w:p>
    <w:p w14:paraId="4C95F50C"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（二）网上直销服务</w:t>
      </w:r>
    </w:p>
    <w:p w14:paraId="2FE6994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业务，个人投资者可以直接通过本基金管理人网站的网上直销交易平台办理开户和本基金的申购、赎回、定期定额投资和转换等业务。通过网上直销交易平台办理本基金A类基金份额的申购和定期定额投资业务的个人投资者将享受前端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14:paraId="3C92794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本公司基金网上直销业务已开通的银行卡及各银行卡交易金额限额请参阅本公司网站。</w:t>
      </w:r>
    </w:p>
    <w:p w14:paraId="5A428B4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在条件成熟的时候，本基金管理人将根据基金网上直销业务的发展状况，适时调整可用于基金网上直销交易平台的银行卡种类，敬请投资人留意相关公告。</w:t>
      </w:r>
    </w:p>
    <w:p w14:paraId="45E511E2"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（三）信息咨询、查询服务</w:t>
      </w:r>
    </w:p>
    <w:p w14:paraId="7FEBD9B3"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投资人如果想查询基金账户余额、基金产品与服务等信息，请拨打本基金管理人客户服务电话（400-700-5000，021-61055000）或登录本基金管理人网站（www.fund001.com）进行咨询、查询。</w:t>
      </w:r>
    </w:p>
    <w:p w14:paraId="160B96A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晓基金账号后，及时拨打本基金管理人客户服务电话修改基金查询密码。</w:t>
      </w:r>
    </w:p>
    <w:p w14:paraId="559E2F7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投资人可以拨打本基金管理人客户服务电话投诉直销机构的人员和服务。</w:t>
      </w:r>
    </w:p>
    <w:p w14:paraId="3090FDE5"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（四）基金红利再投资</w:t>
      </w:r>
    </w:p>
    <w:p w14:paraId="4568FD1A" w14:textId="6500D2A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本基金收益分配时，基金份额持有人持有的基金份额可选择现金红利或选择红利再投将现金红利自动转为基金份额进行再投资，若投资人不选择，本基金</w:t>
      </w:r>
      <w:r w:rsidR="004062DD" w:rsidRPr="004062DD">
        <w:rPr>
          <w:rFonts w:ascii="宋体" w:hAnsi="宋体" w:hint="eastAsia"/>
          <w:sz w:val="24"/>
        </w:rPr>
        <w:t>A类基金份额和C类基金份额</w:t>
      </w:r>
      <w:r>
        <w:rPr>
          <w:rFonts w:ascii="宋体" w:hAnsi="宋体"/>
          <w:sz w:val="24"/>
        </w:rPr>
        <w:t>默认的收益分配方式是现金分红</w:t>
      </w:r>
      <w:r w:rsidR="004062DD" w:rsidRPr="004062DD">
        <w:rPr>
          <w:rFonts w:ascii="宋体" w:hAnsi="宋体" w:hint="eastAsia"/>
          <w:sz w:val="24"/>
        </w:rPr>
        <w:t>，Y类基金份额默认的收益分配方式为红利再投资</w:t>
      </w:r>
      <w:r>
        <w:rPr>
          <w:rFonts w:ascii="宋体" w:hAnsi="宋体"/>
          <w:sz w:val="24"/>
        </w:rPr>
        <w:t>；基金份额持有人可对其持有的</w:t>
      </w:r>
      <w:r w:rsidR="004062DD">
        <w:rPr>
          <w:rFonts w:ascii="宋体" w:hAnsi="宋体" w:hint="eastAsia"/>
          <w:sz w:val="24"/>
        </w:rPr>
        <w:t>各</w:t>
      </w:r>
      <w:r>
        <w:rPr>
          <w:rFonts w:ascii="宋体" w:hAnsi="宋体"/>
          <w:sz w:val="24"/>
        </w:rPr>
        <w:t>类基金份额分别选择不同的收益分配方式。再投资红利按红利再投日（即除息日）除息后的基金份额净值自动转为基金份额，并免收申购费用。</w:t>
      </w:r>
    </w:p>
    <w:p w14:paraId="67C2B026"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（五）定期定额投资计划</w:t>
      </w:r>
    </w:p>
    <w:p w14:paraId="32EC9C9D"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本基金已开通定期定额投资计划，具体实施方法请参见相关公告。</w:t>
      </w:r>
    </w:p>
    <w:p w14:paraId="3A4101B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14:paraId="6AEB7250"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14:paraId="658D670A"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7CB6CDC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电子信箱：services@jysld.com</w:t>
      </w:r>
    </w:p>
    <w:p w14:paraId="0C009799"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投资者也可登录本基金管理人网站，直接提出有关本基金的问题和建议。</w:t>
      </w:r>
    </w:p>
    <w:p w14:paraId="0DC46F79" w14:textId="77777777" w:rsidR="00877B87" w:rsidRDefault="008116FB">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（六）如本招募说明书存在任何您/贵机构无法理解的内容，请通过上述方式联系基金管理人。请确保投资前，您/贵机构已经全面理解了本招募说明书。</w:t>
      </w:r>
    </w:p>
    <w:p w14:paraId="43F532D9"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0AC8A05" w14:textId="77777777" w:rsidR="00877B87" w:rsidRDefault="008116FB">
      <w:pPr>
        <w:pStyle w:val="1"/>
        <w:snapToGrid w:val="0"/>
        <w:spacing w:beforeLines="0" w:before="240" w:after="240"/>
        <w:rPr>
          <w:rFonts w:ascii="宋体" w:hAnsi="宋体"/>
          <w:szCs w:val="30"/>
        </w:rPr>
      </w:pPr>
      <w:bookmarkStart w:id="26" w:name="_Toc177999572"/>
      <w:r>
        <w:rPr>
          <w:rFonts w:ascii="Times New Roman" w:hAnsi="Times New Roman"/>
          <w:sz w:val="30"/>
        </w:rPr>
        <w:lastRenderedPageBreak/>
        <w:t>二十三、其他应披露事项</w:t>
      </w:r>
      <w:bookmarkEnd w:id="26"/>
    </w:p>
    <w:p w14:paraId="6637BDD4"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p w14:paraId="037A49F5"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本招募说明书更新期间基金披露的其他重要事项</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877B87" w14:paraId="3F5EA02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573EA9D"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14:paraId="4AFC3BC3"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14:paraId="498D808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14:paraId="5489A3D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877B87" w14:paraId="5CA560F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C3200F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155B913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交银施罗德创业板</w:t>
            </w:r>
            <w:r>
              <w:rPr>
                <w:rFonts w:ascii="Times New Roman" w:hAnsi="Times New Roman"/>
                <w:color w:val="000000"/>
                <w:kern w:val="0"/>
                <w:sz w:val="25"/>
                <w:szCs w:val="24"/>
              </w:rPr>
              <w:t>50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74DEDF7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530CFE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2023-10-13</w:t>
            </w:r>
          </w:p>
        </w:tc>
      </w:tr>
      <w:tr w:rsidR="00877B87" w14:paraId="2C8C1F2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F866BA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72DBCF4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交银施罗德创业板</w:t>
            </w:r>
            <w:r>
              <w:rPr>
                <w:rFonts w:ascii="Times New Roman" w:hAnsi="Times New Roman"/>
                <w:color w:val="000000"/>
                <w:kern w:val="0"/>
                <w:sz w:val="25"/>
                <w:szCs w:val="24"/>
              </w:rPr>
              <w:t>50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A</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75AC0E8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4B5C67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2023-10-13</w:t>
            </w:r>
          </w:p>
        </w:tc>
      </w:tr>
      <w:tr w:rsidR="00877B87" w14:paraId="6BA74C5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693ACB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3A553C33"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交银施罗德创业板</w:t>
            </w:r>
            <w:r>
              <w:rPr>
                <w:rFonts w:ascii="Times New Roman" w:hAnsi="Times New Roman"/>
                <w:color w:val="000000"/>
                <w:kern w:val="0"/>
                <w:sz w:val="25"/>
                <w:szCs w:val="24"/>
              </w:rPr>
              <w:t>50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72F33CF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87640F7"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2023-10-13</w:t>
            </w:r>
          </w:p>
        </w:tc>
      </w:tr>
      <w:tr w:rsidR="00877B87" w14:paraId="6F3B8A1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C27EB1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72728A3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交银施罗德创业板</w:t>
            </w:r>
            <w:r>
              <w:rPr>
                <w:rFonts w:ascii="Times New Roman" w:hAnsi="Times New Roman"/>
                <w:color w:val="000000"/>
                <w:kern w:val="0"/>
                <w:sz w:val="25"/>
                <w:szCs w:val="24"/>
              </w:rPr>
              <w:t>50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2F2DA7B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588E165"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2023-10-24</w:t>
            </w:r>
          </w:p>
        </w:tc>
      </w:tr>
      <w:tr w:rsidR="00877B87" w14:paraId="54C7785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A2DD9F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2C0ECBF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交银施罗德基金管理有限公司关于增加上海中欧财富基金销售有限公司为旗下基金销售机构的公告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4EB2AAC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74E600C"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2023-11-23</w:t>
            </w:r>
          </w:p>
        </w:tc>
      </w:tr>
      <w:tr w:rsidR="00877B87" w14:paraId="38644CA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3605C2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22BB0C2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交银施罗德基金管理有限公司关于交银施罗德创业板</w:t>
            </w:r>
            <w:r>
              <w:rPr>
                <w:rFonts w:ascii="Times New Roman" w:hAnsi="Times New Roman"/>
                <w:color w:val="000000"/>
                <w:kern w:val="0"/>
                <w:sz w:val="25"/>
                <w:szCs w:val="24"/>
              </w:rPr>
              <w:t>50</w:t>
            </w:r>
            <w:r>
              <w:rPr>
                <w:rFonts w:ascii="Times New Roman" w:hAnsi="Times New Roman"/>
                <w:color w:val="000000"/>
                <w:kern w:val="0"/>
                <w:sz w:val="25"/>
                <w:szCs w:val="24"/>
              </w:rPr>
              <w:t>指数型证券投资基金暂停及恢复大额申购（转换转入、定期定额投资）业务的公告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7CCDBD1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BDBC011"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2023-12-21</w:t>
            </w:r>
          </w:p>
        </w:tc>
      </w:tr>
      <w:tr w:rsidR="00877B87" w14:paraId="4A029D9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ADE767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4373A97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交银施罗德基金管理有限公司关于交银施罗德创业板</w:t>
            </w:r>
            <w:r>
              <w:rPr>
                <w:rFonts w:ascii="Times New Roman" w:hAnsi="Times New Roman"/>
                <w:color w:val="000000"/>
                <w:kern w:val="0"/>
                <w:sz w:val="25"/>
                <w:szCs w:val="24"/>
              </w:rPr>
              <w:t>50</w:t>
            </w:r>
            <w:r>
              <w:rPr>
                <w:rFonts w:ascii="Times New Roman" w:hAnsi="Times New Roman"/>
                <w:color w:val="000000"/>
                <w:kern w:val="0"/>
                <w:sz w:val="25"/>
                <w:szCs w:val="24"/>
              </w:rPr>
              <w:t>指数型证券投资基金分红公告</w:t>
            </w:r>
          </w:p>
        </w:tc>
        <w:tc>
          <w:tcPr>
            <w:tcW w:w="750" w:type="pct"/>
            <w:tcBorders>
              <w:top w:val="single" w:sz="4" w:space="0" w:color="auto"/>
              <w:left w:val="single" w:sz="4" w:space="0" w:color="auto"/>
              <w:bottom w:val="single" w:sz="4" w:space="0" w:color="auto"/>
              <w:right w:val="single" w:sz="4" w:space="0" w:color="auto"/>
            </w:tcBorders>
            <w:vAlign w:val="center"/>
          </w:tcPr>
          <w:p w14:paraId="47392C5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7671E4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2023-12-25</w:t>
            </w:r>
          </w:p>
        </w:tc>
      </w:tr>
      <w:tr w:rsidR="00877B87" w14:paraId="4048137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16431B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5BD462D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交银施罗德基金管理有限公司关于交银施罗德资产管理（香港）有限公司解散的公告</w:t>
            </w:r>
          </w:p>
        </w:tc>
        <w:tc>
          <w:tcPr>
            <w:tcW w:w="750" w:type="pct"/>
            <w:tcBorders>
              <w:top w:val="single" w:sz="4" w:space="0" w:color="auto"/>
              <w:left w:val="single" w:sz="4" w:space="0" w:color="auto"/>
              <w:bottom w:val="single" w:sz="4" w:space="0" w:color="auto"/>
              <w:right w:val="single" w:sz="4" w:space="0" w:color="auto"/>
            </w:tcBorders>
            <w:vAlign w:val="center"/>
          </w:tcPr>
          <w:p w14:paraId="7DDFD93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F9E2041"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2023-12-29</w:t>
            </w:r>
          </w:p>
        </w:tc>
      </w:tr>
      <w:tr w:rsidR="00877B87" w14:paraId="4E0B086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8206CE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7EFE2F6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交银施罗德基金管理有限公司关于增加东莞证券股份有限公司为旗下基金的销售机构的公告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786E8F8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4856F48"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2024-01-19</w:t>
            </w:r>
          </w:p>
        </w:tc>
      </w:tr>
      <w:tr w:rsidR="00877B87" w14:paraId="67E4857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84D484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10</w:t>
            </w:r>
          </w:p>
        </w:tc>
        <w:tc>
          <w:tcPr>
            <w:tcW w:w="750" w:type="pct"/>
            <w:tcBorders>
              <w:top w:val="single" w:sz="4" w:space="0" w:color="auto"/>
              <w:left w:val="single" w:sz="4" w:space="0" w:color="auto"/>
              <w:bottom w:val="single" w:sz="4" w:space="0" w:color="auto"/>
              <w:right w:val="single" w:sz="4" w:space="0" w:color="auto"/>
            </w:tcBorders>
            <w:vAlign w:val="center"/>
          </w:tcPr>
          <w:p w14:paraId="67DBB4B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交银施罗德创业板</w:t>
            </w:r>
            <w:r>
              <w:rPr>
                <w:rFonts w:ascii="Times New Roman" w:hAnsi="Times New Roman"/>
                <w:color w:val="000000"/>
                <w:kern w:val="0"/>
                <w:sz w:val="25"/>
                <w:szCs w:val="24"/>
              </w:rPr>
              <w:t>50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72B0F59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9CBBB7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2024-01-20</w:t>
            </w:r>
          </w:p>
        </w:tc>
      </w:tr>
      <w:tr w:rsidR="00877B87" w14:paraId="06ED92C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4E05AD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14:paraId="6E0A415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交银施罗德创业板</w:t>
            </w:r>
            <w:r>
              <w:rPr>
                <w:rFonts w:ascii="Times New Roman" w:hAnsi="Times New Roman"/>
                <w:color w:val="000000"/>
                <w:kern w:val="0"/>
                <w:sz w:val="25"/>
                <w:szCs w:val="24"/>
              </w:rPr>
              <w:t>50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14:paraId="1A7AD41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5277CD9"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2024-03-29</w:t>
            </w:r>
          </w:p>
        </w:tc>
      </w:tr>
      <w:tr w:rsidR="00877B87" w14:paraId="296067C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323F51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sz="4" w:space="0" w:color="auto"/>
              <w:left w:val="single" w:sz="4" w:space="0" w:color="auto"/>
              <w:bottom w:val="single" w:sz="4" w:space="0" w:color="auto"/>
              <w:right w:val="single" w:sz="4" w:space="0" w:color="auto"/>
            </w:tcBorders>
            <w:vAlign w:val="center"/>
          </w:tcPr>
          <w:p w14:paraId="757F552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交银施罗德基金管理有限公司高级管理人员任职公告</w:t>
            </w:r>
          </w:p>
        </w:tc>
        <w:tc>
          <w:tcPr>
            <w:tcW w:w="750" w:type="pct"/>
            <w:tcBorders>
              <w:top w:val="single" w:sz="4" w:space="0" w:color="auto"/>
              <w:left w:val="single" w:sz="4" w:space="0" w:color="auto"/>
              <w:bottom w:val="single" w:sz="4" w:space="0" w:color="auto"/>
              <w:right w:val="single" w:sz="4" w:space="0" w:color="auto"/>
            </w:tcBorders>
            <w:vAlign w:val="center"/>
          </w:tcPr>
          <w:p w14:paraId="30F3213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A4E500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2024-03-30</w:t>
            </w:r>
          </w:p>
        </w:tc>
      </w:tr>
      <w:tr w:rsidR="00877B87" w14:paraId="660D7E8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27AB56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14:paraId="688D33E3"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交银施罗德创业板</w:t>
            </w:r>
            <w:r>
              <w:rPr>
                <w:rFonts w:ascii="Times New Roman" w:hAnsi="Times New Roman"/>
                <w:color w:val="000000"/>
                <w:kern w:val="0"/>
                <w:sz w:val="25"/>
                <w:szCs w:val="24"/>
              </w:rPr>
              <w:t>50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0C0C69C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343AB3F"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2024-04-20</w:t>
            </w:r>
          </w:p>
        </w:tc>
      </w:tr>
      <w:tr w:rsidR="00877B87" w14:paraId="66E4163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EBCF24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14:paraId="21A7DF8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交银施罗德基金管理有限公司关于终止上海钜派钰茂基金销售有限公司办理相关销售业务的公告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4036B49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DBB562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2024-05-23</w:t>
            </w:r>
          </w:p>
        </w:tc>
      </w:tr>
      <w:tr w:rsidR="00877B87" w14:paraId="41B1DDD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734265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14:paraId="06B0084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交银施罗德创业板</w:t>
            </w:r>
            <w:r>
              <w:rPr>
                <w:rFonts w:ascii="Times New Roman" w:hAnsi="Times New Roman"/>
                <w:color w:val="000000"/>
                <w:kern w:val="0"/>
                <w:sz w:val="25"/>
                <w:szCs w:val="24"/>
              </w:rPr>
              <w:t>50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A</w:t>
            </w:r>
            <w:r>
              <w:rPr>
                <w:rFonts w:ascii="Times New Roman" w:hAnsi="Times New Roman"/>
                <w:color w:val="000000"/>
                <w:kern w:val="0"/>
                <w:sz w:val="25"/>
                <w:szCs w:val="24"/>
              </w:rPr>
              <w:t>类份额）基金产品资料概要更新</w:t>
            </w:r>
          </w:p>
        </w:tc>
        <w:tc>
          <w:tcPr>
            <w:tcW w:w="750" w:type="pct"/>
            <w:tcBorders>
              <w:top w:val="single" w:sz="4" w:space="0" w:color="auto"/>
              <w:left w:val="single" w:sz="4" w:space="0" w:color="auto"/>
              <w:bottom w:val="single" w:sz="4" w:space="0" w:color="auto"/>
              <w:right w:val="single" w:sz="4" w:space="0" w:color="auto"/>
            </w:tcBorders>
            <w:vAlign w:val="center"/>
          </w:tcPr>
          <w:p w14:paraId="2A3ABE33"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A9F70A9"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2024-06-27</w:t>
            </w:r>
          </w:p>
        </w:tc>
      </w:tr>
      <w:tr w:rsidR="00877B87" w14:paraId="2B77ECC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F98176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14:paraId="68C7DC1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交银施罗德创业板</w:t>
            </w:r>
            <w:r>
              <w:rPr>
                <w:rFonts w:ascii="Times New Roman" w:hAnsi="Times New Roman"/>
                <w:color w:val="000000"/>
                <w:kern w:val="0"/>
                <w:sz w:val="25"/>
                <w:szCs w:val="24"/>
              </w:rPr>
              <w:t>50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p>
        </w:tc>
        <w:tc>
          <w:tcPr>
            <w:tcW w:w="750" w:type="pct"/>
            <w:tcBorders>
              <w:top w:val="single" w:sz="4" w:space="0" w:color="auto"/>
              <w:left w:val="single" w:sz="4" w:space="0" w:color="auto"/>
              <w:bottom w:val="single" w:sz="4" w:space="0" w:color="auto"/>
              <w:right w:val="single" w:sz="4" w:space="0" w:color="auto"/>
            </w:tcBorders>
            <w:vAlign w:val="center"/>
          </w:tcPr>
          <w:p w14:paraId="5653EF6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D13CBA2"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2024-06-27</w:t>
            </w:r>
          </w:p>
        </w:tc>
      </w:tr>
      <w:tr w:rsidR="00877B87" w14:paraId="2A13733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2C4647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14:paraId="334FFE7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交银施罗德创业板</w:t>
            </w:r>
            <w:r>
              <w:rPr>
                <w:rFonts w:ascii="Times New Roman" w:hAnsi="Times New Roman"/>
                <w:color w:val="000000"/>
                <w:kern w:val="0"/>
                <w:sz w:val="25"/>
                <w:szCs w:val="24"/>
              </w:rPr>
              <w:t>50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1EE18953"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D5DFF2E"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rsidR="00877B87" w14:paraId="660C7E7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738916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sz="4" w:space="0" w:color="auto"/>
              <w:left w:val="single" w:sz="4" w:space="0" w:color="auto"/>
              <w:bottom w:val="single" w:sz="4" w:space="0" w:color="auto"/>
              <w:right w:val="single" w:sz="4" w:space="0" w:color="auto"/>
            </w:tcBorders>
            <w:vAlign w:val="center"/>
          </w:tcPr>
          <w:p w14:paraId="602DDBC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w:t>
            </w:r>
            <w:r>
              <w:rPr>
                <w:rFonts w:ascii="Times New Roman" w:hAnsi="Times New Roman"/>
                <w:color w:val="000000"/>
                <w:kern w:val="0"/>
                <w:sz w:val="25"/>
                <w:szCs w:val="24"/>
              </w:rPr>
              <w:t>2024</w:t>
            </w:r>
            <w:r>
              <w:rPr>
                <w:rFonts w:ascii="Times New Roman" w:hAnsi="Times New Roman"/>
                <w:color w:val="000000"/>
                <w:kern w:val="0"/>
                <w:sz w:val="25"/>
                <w:szCs w:val="24"/>
              </w:rPr>
              <w:t>年第二季度报告提示性公告</w:t>
            </w:r>
          </w:p>
        </w:tc>
        <w:tc>
          <w:tcPr>
            <w:tcW w:w="750" w:type="pct"/>
            <w:tcBorders>
              <w:top w:val="single" w:sz="4" w:space="0" w:color="auto"/>
              <w:left w:val="single" w:sz="4" w:space="0" w:color="auto"/>
              <w:bottom w:val="single" w:sz="4" w:space="0" w:color="auto"/>
              <w:right w:val="single" w:sz="4" w:space="0" w:color="auto"/>
            </w:tcBorders>
            <w:vAlign w:val="center"/>
          </w:tcPr>
          <w:p w14:paraId="5A553B35"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2CD38E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rsidR="00877B87" w14:paraId="5E3D321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85C437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sz="4" w:space="0" w:color="auto"/>
              <w:left w:val="single" w:sz="4" w:space="0" w:color="auto"/>
              <w:bottom w:val="single" w:sz="4" w:space="0" w:color="auto"/>
              <w:right w:val="single" w:sz="4" w:space="0" w:color="auto"/>
            </w:tcBorders>
            <w:vAlign w:val="center"/>
          </w:tcPr>
          <w:p w14:paraId="56951AD3"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交银施罗德基金管理有限公司关于增加申万宏源西部证券有限公司为旗下基金的销售机构的公告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3132EE6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9F02EB9"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2024-08-12</w:t>
            </w:r>
          </w:p>
        </w:tc>
      </w:tr>
      <w:tr w:rsidR="00877B87" w14:paraId="33F2B58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CB88A9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14:paraId="7EAA30C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交银施罗德基金管理有限公司关于增加申万宏源证券有限公司为旗下基金的销售机构的公告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621D2ADC"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4023688"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2024-08-12</w:t>
            </w:r>
          </w:p>
        </w:tc>
      </w:tr>
      <w:tr w:rsidR="00877B87" w14:paraId="0FB87A3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129F54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21</w:t>
            </w:r>
          </w:p>
        </w:tc>
        <w:tc>
          <w:tcPr>
            <w:tcW w:w="750" w:type="pct"/>
            <w:tcBorders>
              <w:top w:val="single" w:sz="4" w:space="0" w:color="auto"/>
              <w:left w:val="single" w:sz="4" w:space="0" w:color="auto"/>
              <w:bottom w:val="single" w:sz="4" w:space="0" w:color="auto"/>
              <w:right w:val="single" w:sz="4" w:space="0" w:color="auto"/>
            </w:tcBorders>
            <w:vAlign w:val="center"/>
          </w:tcPr>
          <w:p w14:paraId="41B2547E"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交银施罗德基金管理有限公司关于增加中信期货有限公司为旗下基金的销售机构的公告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7160411C"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4AEC496"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2024-08-16</w:t>
            </w:r>
          </w:p>
        </w:tc>
      </w:tr>
      <w:tr w:rsidR="00877B87" w14:paraId="02FD754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3368ED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22</w:t>
            </w:r>
          </w:p>
        </w:tc>
        <w:tc>
          <w:tcPr>
            <w:tcW w:w="750" w:type="pct"/>
            <w:tcBorders>
              <w:top w:val="single" w:sz="4" w:space="0" w:color="auto"/>
              <w:left w:val="single" w:sz="4" w:space="0" w:color="auto"/>
              <w:bottom w:val="single" w:sz="4" w:space="0" w:color="auto"/>
              <w:right w:val="single" w:sz="4" w:space="0" w:color="auto"/>
            </w:tcBorders>
            <w:vAlign w:val="center"/>
          </w:tcPr>
          <w:p w14:paraId="4F13952B"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交银施罗德基金管理有限公司关于增加中信证券华南股份有限公司为旗下基金的销售机构的公告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3D4E672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3D7A5B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2024-08-16</w:t>
            </w:r>
          </w:p>
        </w:tc>
      </w:tr>
      <w:tr w:rsidR="00877B87" w14:paraId="22EF83F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0894B8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23</w:t>
            </w:r>
          </w:p>
        </w:tc>
        <w:tc>
          <w:tcPr>
            <w:tcW w:w="750" w:type="pct"/>
            <w:tcBorders>
              <w:top w:val="single" w:sz="4" w:space="0" w:color="auto"/>
              <w:left w:val="single" w:sz="4" w:space="0" w:color="auto"/>
              <w:bottom w:val="single" w:sz="4" w:space="0" w:color="auto"/>
              <w:right w:val="single" w:sz="4" w:space="0" w:color="auto"/>
            </w:tcBorders>
            <w:vAlign w:val="center"/>
          </w:tcPr>
          <w:p w14:paraId="3E2299D6"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交银施罗德基金管理有限公司关于增加中信证券股份有限公司为旗下基金的销售机构的公告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50748EE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29AAD1A"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2024-08-16</w:t>
            </w:r>
          </w:p>
        </w:tc>
      </w:tr>
      <w:tr w:rsidR="00877B87" w14:paraId="0F6198D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9A6FD3D"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24</w:t>
            </w:r>
          </w:p>
        </w:tc>
        <w:tc>
          <w:tcPr>
            <w:tcW w:w="750" w:type="pct"/>
            <w:tcBorders>
              <w:top w:val="single" w:sz="4" w:space="0" w:color="auto"/>
              <w:left w:val="single" w:sz="4" w:space="0" w:color="auto"/>
              <w:bottom w:val="single" w:sz="4" w:space="0" w:color="auto"/>
              <w:right w:val="single" w:sz="4" w:space="0" w:color="auto"/>
            </w:tcBorders>
            <w:vAlign w:val="center"/>
          </w:tcPr>
          <w:p w14:paraId="764DEAD1"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交银施罗德基金管理有限公司关于增加中信证券（山东）有限责任公司为旗下基金的销售机构的公告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2636561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D91046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2024-08-16</w:t>
            </w:r>
          </w:p>
        </w:tc>
      </w:tr>
      <w:tr w:rsidR="00877B87" w14:paraId="3487934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E303769"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25</w:t>
            </w:r>
          </w:p>
        </w:tc>
        <w:tc>
          <w:tcPr>
            <w:tcW w:w="750" w:type="pct"/>
            <w:tcBorders>
              <w:top w:val="single" w:sz="4" w:space="0" w:color="auto"/>
              <w:left w:val="single" w:sz="4" w:space="0" w:color="auto"/>
              <w:bottom w:val="single" w:sz="4" w:space="0" w:color="auto"/>
              <w:right w:val="single" w:sz="4" w:space="0" w:color="auto"/>
            </w:tcBorders>
            <w:vAlign w:val="center"/>
          </w:tcPr>
          <w:p w14:paraId="0ACA7470"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交银施罗德基金管理有限公司关于董事长离任及代任董事长（法定代表人）的公告</w:t>
            </w:r>
          </w:p>
        </w:tc>
        <w:tc>
          <w:tcPr>
            <w:tcW w:w="750" w:type="pct"/>
            <w:tcBorders>
              <w:top w:val="single" w:sz="4" w:space="0" w:color="auto"/>
              <w:left w:val="single" w:sz="4" w:space="0" w:color="auto"/>
              <w:bottom w:val="single" w:sz="4" w:space="0" w:color="auto"/>
              <w:right w:val="single" w:sz="4" w:space="0" w:color="auto"/>
            </w:tcBorders>
            <w:vAlign w:val="center"/>
          </w:tcPr>
          <w:p w14:paraId="13E1B67F"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522D664"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2024-08-17</w:t>
            </w:r>
          </w:p>
        </w:tc>
      </w:tr>
      <w:tr w:rsidR="00877B87" w14:paraId="4B1E91F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02988D8"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26</w:t>
            </w:r>
          </w:p>
        </w:tc>
        <w:tc>
          <w:tcPr>
            <w:tcW w:w="750" w:type="pct"/>
            <w:tcBorders>
              <w:top w:val="single" w:sz="4" w:space="0" w:color="auto"/>
              <w:left w:val="single" w:sz="4" w:space="0" w:color="auto"/>
              <w:bottom w:val="single" w:sz="4" w:space="0" w:color="auto"/>
              <w:right w:val="single" w:sz="4" w:space="0" w:color="auto"/>
            </w:tcBorders>
            <w:vAlign w:val="center"/>
          </w:tcPr>
          <w:p w14:paraId="6473AAF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交银施罗德创业板</w:t>
            </w:r>
            <w:r>
              <w:rPr>
                <w:rFonts w:ascii="Times New Roman" w:hAnsi="Times New Roman"/>
                <w:color w:val="000000"/>
                <w:kern w:val="0"/>
                <w:sz w:val="25"/>
                <w:szCs w:val="24"/>
              </w:rPr>
              <w:t>50</w:t>
            </w:r>
            <w:r>
              <w:rPr>
                <w:rFonts w:ascii="Times New Roman" w:hAnsi="Times New Roman"/>
                <w:color w:val="000000"/>
                <w:kern w:val="0"/>
                <w:sz w:val="25"/>
                <w:szCs w:val="24"/>
              </w:rPr>
              <w:t>指数型证券投资基金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14:paraId="4471F602"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2F77A60"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r w:rsidR="00877B87" w14:paraId="7A06955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ED16E97"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27</w:t>
            </w:r>
          </w:p>
        </w:tc>
        <w:tc>
          <w:tcPr>
            <w:tcW w:w="750" w:type="pct"/>
            <w:tcBorders>
              <w:top w:val="single" w:sz="4" w:space="0" w:color="auto"/>
              <w:left w:val="single" w:sz="4" w:space="0" w:color="auto"/>
              <w:bottom w:val="single" w:sz="4" w:space="0" w:color="auto"/>
              <w:right w:val="single" w:sz="4" w:space="0" w:color="auto"/>
            </w:tcBorders>
            <w:vAlign w:val="center"/>
          </w:tcPr>
          <w:p w14:paraId="738C7EDA"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w:t>
            </w:r>
            <w:r>
              <w:rPr>
                <w:rFonts w:ascii="Times New Roman" w:hAnsi="Times New Roman"/>
                <w:color w:val="000000"/>
                <w:kern w:val="0"/>
                <w:sz w:val="25"/>
                <w:szCs w:val="24"/>
              </w:rPr>
              <w:t>2024</w:t>
            </w:r>
            <w:r>
              <w:rPr>
                <w:rFonts w:ascii="Times New Roman" w:hAnsi="Times New Roman"/>
                <w:color w:val="000000"/>
                <w:kern w:val="0"/>
                <w:sz w:val="25"/>
                <w:szCs w:val="24"/>
              </w:rPr>
              <w:t>年中期报告提示性公告</w:t>
            </w:r>
          </w:p>
        </w:tc>
        <w:tc>
          <w:tcPr>
            <w:tcW w:w="750" w:type="pct"/>
            <w:tcBorders>
              <w:top w:val="single" w:sz="4" w:space="0" w:color="auto"/>
              <w:left w:val="single" w:sz="4" w:space="0" w:color="auto"/>
              <w:bottom w:val="single" w:sz="4" w:space="0" w:color="auto"/>
              <w:right w:val="single" w:sz="4" w:space="0" w:color="auto"/>
            </w:tcBorders>
            <w:vAlign w:val="center"/>
          </w:tcPr>
          <w:p w14:paraId="6FEB75E4" w14:textId="77777777" w:rsidR="00877B87" w:rsidRDefault="008116FB">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716A00B" w14:textId="77777777" w:rsidR="00877B87" w:rsidRDefault="008116FB">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bl>
    <w:p w14:paraId="699C3884"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931215B" w14:textId="77777777" w:rsidR="00877B87" w:rsidRDefault="008116FB">
      <w:pPr>
        <w:pStyle w:val="1"/>
        <w:snapToGrid w:val="0"/>
        <w:spacing w:beforeLines="0" w:before="240" w:after="240"/>
        <w:rPr>
          <w:rFonts w:ascii="宋体" w:hAnsi="宋体"/>
          <w:szCs w:val="30"/>
        </w:rPr>
      </w:pPr>
      <w:bookmarkStart w:id="27" w:name="_Toc177999573"/>
      <w:r>
        <w:rPr>
          <w:rFonts w:ascii="Times New Roman" w:hAnsi="Times New Roman"/>
          <w:sz w:val="30"/>
        </w:rPr>
        <w:lastRenderedPageBreak/>
        <w:t>二十四、招募说明书的存放及查阅方式</w:t>
      </w:r>
      <w:bookmarkEnd w:id="27"/>
    </w:p>
    <w:p w14:paraId="5CD96E22"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办公场所和营业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14:paraId="1C62F28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投资人还可以直接登录基金管理人的网站(www.fund001.com)查阅和下载招募说明书。</w:t>
      </w:r>
    </w:p>
    <w:p w14:paraId="1AFF1FA1" w14:textId="77777777" w:rsidR="00E10ADF" w:rsidRDefault="008116FB" w:rsidP="00E10ADF">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86D1D42" w14:textId="77777777" w:rsidR="00877B87" w:rsidRDefault="008116FB">
      <w:pPr>
        <w:pStyle w:val="1"/>
        <w:snapToGrid w:val="0"/>
        <w:spacing w:beforeLines="0" w:before="240" w:after="240"/>
        <w:rPr>
          <w:rFonts w:ascii="宋体" w:hAnsi="宋体"/>
          <w:szCs w:val="30"/>
        </w:rPr>
      </w:pPr>
      <w:bookmarkStart w:id="28" w:name="_Toc177999574"/>
      <w:r>
        <w:rPr>
          <w:rFonts w:ascii="Times New Roman" w:hAnsi="Times New Roman"/>
          <w:sz w:val="30"/>
        </w:rPr>
        <w:lastRenderedPageBreak/>
        <w:t>二十五、备查文件</w:t>
      </w:r>
      <w:bookmarkEnd w:id="28"/>
    </w:p>
    <w:p w14:paraId="1D08488B"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14:paraId="61D3AE9F"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（一）中国证监会准予交银施罗德创业板50指数型证券投资基金募集注册的文件</w:t>
      </w:r>
    </w:p>
    <w:p w14:paraId="10DEF77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（二）《交银施罗德创业板50指数型证券投资基金基金合同》</w:t>
      </w:r>
    </w:p>
    <w:p w14:paraId="54C81A5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（三）《交银施罗德创业板50指数型证券投资基金托管协议》</w:t>
      </w:r>
    </w:p>
    <w:p w14:paraId="1BA78FD1"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14:paraId="06450358"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14:paraId="209E0636" w14:textId="77777777" w:rsidR="00877B87" w:rsidRDefault="008116F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（六）关于申请募集注册交银施罗德创业板50指数型证券投资基金的法律意见书</w:t>
      </w:r>
    </w:p>
    <w:sectPr w:rsidR="00877B87">
      <w:footerReference w:type="default" r:id="rId20"/>
      <w:pgSz w:w="11920" w:h="16840"/>
      <w:pgMar w:top="1360" w:right="1580" w:bottom="280" w:left="1680" w:header="0" w:footer="11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A135B" w14:textId="77777777" w:rsidR="00253A73" w:rsidRDefault="00253A73">
      <w:r>
        <w:separator/>
      </w:r>
    </w:p>
  </w:endnote>
  <w:endnote w:type="continuationSeparator" w:id="0">
    <w:p w14:paraId="591A4EC4" w14:textId="77777777" w:rsidR="00253A73" w:rsidRDefault="0025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37E99" w14:textId="77777777" w:rsidR="002F6265" w:rsidRDefault="002F626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CDF9" w14:textId="100D92E7" w:rsidR="002F6265" w:rsidRDefault="004610D8">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14:anchorId="132F75BF" wp14:editId="157DA41C">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47ACE" w14:textId="05B0DCA8" w:rsidR="002F6265" w:rsidRDefault="002F626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3952AA">
                            <w:rPr>
                              <w:rFonts w:ascii="Times New Roman" w:hAnsi="Times New Roman"/>
                              <w:noProof/>
                              <w:kern w:val="0"/>
                              <w:sz w:val="18"/>
                              <w:szCs w:val="18"/>
                            </w:rPr>
                            <w:t>4</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F75BF"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14:paraId="78747ACE" w14:textId="05B0DCA8" w:rsidR="002F6265" w:rsidRDefault="002F626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3952AA">
                      <w:rPr>
                        <w:rFonts w:ascii="Times New Roman" w:hAnsi="Times New Roman"/>
                        <w:noProof/>
                        <w:kern w:val="0"/>
                        <w:sz w:val="18"/>
                        <w:szCs w:val="18"/>
                      </w:rPr>
                      <w:t>4</w:t>
                    </w:r>
                    <w:r>
                      <w:rPr>
                        <w:rFonts w:ascii="Times New Roman" w:hAnsi="Times New Roman"/>
                        <w:kern w:val="0"/>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45BA1" w14:textId="77777777" w:rsidR="002F6265" w:rsidRDefault="002F6265">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A7B9" w14:textId="7BFB3268" w:rsidR="002F6265" w:rsidRDefault="004610D8">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14:anchorId="705B450A" wp14:editId="7429A065">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71F6B" w14:textId="5CE56D11" w:rsidR="002F6265" w:rsidRDefault="002F626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3952AA">
                            <w:rPr>
                              <w:rFonts w:ascii="Times New Roman" w:hAnsi="Times New Roman"/>
                              <w:noProof/>
                              <w:kern w:val="0"/>
                              <w:sz w:val="18"/>
                              <w:szCs w:val="18"/>
                            </w:rPr>
                            <w:t>24</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B450A"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14:paraId="14871F6B" w14:textId="5CE56D11" w:rsidR="002F6265" w:rsidRDefault="002F626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3952AA">
                      <w:rPr>
                        <w:rFonts w:ascii="Times New Roman" w:hAnsi="Times New Roman"/>
                        <w:noProof/>
                        <w:kern w:val="0"/>
                        <w:sz w:val="18"/>
                        <w:szCs w:val="18"/>
                      </w:rPr>
                      <w:t>24</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DDEE7" w14:textId="77777777" w:rsidR="00253A73" w:rsidRDefault="00253A73">
      <w:r>
        <w:separator/>
      </w:r>
    </w:p>
  </w:footnote>
  <w:footnote w:type="continuationSeparator" w:id="0">
    <w:p w14:paraId="06FA3414" w14:textId="77777777" w:rsidR="00253A73" w:rsidRDefault="0025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09EBB" w14:textId="77777777" w:rsidR="002F6265" w:rsidRDefault="002F62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E899E" w14:textId="1F2A62F0" w:rsidR="002F6265" w:rsidRDefault="004610D8">
    <w:pPr>
      <w:pStyle w:val="a3"/>
      <w:jc w:val="right"/>
    </w:pPr>
    <w:r>
      <w:rPr>
        <w:noProof/>
      </w:rPr>
      <w:drawing>
        <wp:anchor distT="0" distB="0" distL="114300" distR="114300" simplePos="0" relativeHeight="251655680" behindDoc="0" locked="0" layoutInCell="1" allowOverlap="1" wp14:anchorId="0D97CA10" wp14:editId="78C7AC50">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635244D1" w14:textId="77777777" w:rsidR="002F6265" w:rsidRDefault="002F6265">
    <w:pPr>
      <w:pStyle w:val="a3"/>
      <w:jc w:val="right"/>
      <w:rPr>
        <w:rFonts w:ascii="宋体" w:hAnsi="宋体"/>
      </w:rPr>
    </w:pPr>
    <w:r>
      <w:rPr>
        <w:rFonts w:ascii="宋体" w:hAnsi="宋体" w:hint="eastAsia"/>
      </w:rPr>
      <w:t>交银施罗德创业板50指数型证券投资基金招募说明书更新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366FE" w14:textId="77777777" w:rsidR="002F6265" w:rsidRDefault="002F6265">
    <w:pPr>
      <w:pStyle w:val="11"/>
      <w:jc w:val="right"/>
    </w:pPr>
  </w:p>
  <w:p w14:paraId="18031530" w14:textId="77777777" w:rsidR="002F6265" w:rsidRDefault="002F6265">
    <w:pPr>
      <w:pStyle w:val="11"/>
      <w:jc w:val="right"/>
    </w:pPr>
  </w:p>
  <w:p w14:paraId="49509007" w14:textId="77777777" w:rsidR="002F6265" w:rsidRDefault="002F6265">
    <w:pPr>
      <w:pStyle w:val="a3"/>
      <w:jc w:val="right"/>
    </w:pPr>
  </w:p>
  <w:p w14:paraId="32B24239" w14:textId="7FF4B2EB" w:rsidR="002F6265" w:rsidRDefault="004610D8">
    <w:pPr>
      <w:pStyle w:val="a3"/>
      <w:jc w:val="right"/>
    </w:pPr>
    <w:r>
      <w:rPr>
        <w:noProof/>
      </w:rPr>
      <w:drawing>
        <wp:anchor distT="0" distB="0" distL="114300" distR="114300" simplePos="0" relativeHeight="251656704" behindDoc="0" locked="0" layoutInCell="1" allowOverlap="1" wp14:anchorId="1EC4E121" wp14:editId="0106E10F">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7BA34AD6" w14:textId="77777777" w:rsidR="002F6265" w:rsidRDefault="002F6265">
    <w:pPr>
      <w:pStyle w:val="a3"/>
      <w:jc w:val="right"/>
      <w:rPr>
        <w:rFonts w:ascii="宋体" w:hAnsi="宋体"/>
      </w:rPr>
    </w:pPr>
    <w:r>
      <w:rPr>
        <w:rFonts w:ascii="宋体" w:hAnsi="宋体" w:hint="eastAsia"/>
      </w:rPr>
      <w:t>交银施罗德创业板50指数型证券投资基金招募说明书更新</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FAD8" w14:textId="77777777" w:rsidR="002F6265" w:rsidRDefault="002F6265">
    <w:pPr>
      <w:pStyle w:val="a3"/>
      <w:jc w:val="right"/>
    </w:pPr>
  </w:p>
  <w:p w14:paraId="3E6EF76D" w14:textId="77777777" w:rsidR="002F6265" w:rsidRDefault="002F6265">
    <w:pPr>
      <w:pStyle w:val="a3"/>
      <w:jc w:val="right"/>
    </w:pPr>
  </w:p>
  <w:p w14:paraId="4216EAF6" w14:textId="77777777" w:rsidR="002F6265" w:rsidRDefault="002F6265">
    <w:pPr>
      <w:pStyle w:val="a3"/>
      <w:jc w:val="right"/>
    </w:pPr>
  </w:p>
  <w:p w14:paraId="0440BB75" w14:textId="0711210F" w:rsidR="002F6265" w:rsidRDefault="004610D8">
    <w:pPr>
      <w:pStyle w:val="a3"/>
      <w:jc w:val="right"/>
    </w:pPr>
    <w:r>
      <w:rPr>
        <w:noProof/>
      </w:rPr>
      <w:drawing>
        <wp:anchor distT="0" distB="0" distL="114300" distR="114300" simplePos="0" relativeHeight="251657728" behindDoc="0" locked="0" layoutInCell="1" allowOverlap="1" wp14:anchorId="01FD6012" wp14:editId="76DC9370">
          <wp:simplePos x="0" y="0"/>
          <wp:positionH relativeFrom="column">
            <wp:posOffset>19050</wp:posOffset>
          </wp:positionH>
          <wp:positionV relativeFrom="paragraph">
            <wp:posOffset>-152400</wp:posOffset>
          </wp:positionV>
          <wp:extent cx="1714500" cy="238125"/>
          <wp:effectExtent l="0" t="0" r="0" b="0"/>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4264340C" w14:textId="77777777" w:rsidR="002F6265" w:rsidRDefault="002F6265">
    <w:pPr>
      <w:pStyle w:val="a3"/>
      <w:jc w:val="right"/>
      <w:rPr>
        <w:rFonts w:ascii="宋体" w:hAnsi="宋体"/>
      </w:rPr>
    </w:pPr>
    <w:r>
      <w:rPr>
        <w:rFonts w:ascii="宋体" w:hAnsi="宋体" w:hint="eastAsia"/>
      </w:rPr>
      <w:t>交银施罗德创业板50指数型证券投资基金招募说明书更新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0660F"/>
    <w:rsid w:val="0001266E"/>
    <w:rsid w:val="00024772"/>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0F0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1F3B"/>
    <w:rsid w:val="000E3AB4"/>
    <w:rsid w:val="000E537C"/>
    <w:rsid w:val="000E7544"/>
    <w:rsid w:val="000F0C17"/>
    <w:rsid w:val="000F2904"/>
    <w:rsid w:val="000F34A1"/>
    <w:rsid w:val="000F5226"/>
    <w:rsid w:val="000F5583"/>
    <w:rsid w:val="000F6050"/>
    <w:rsid w:val="000F66FF"/>
    <w:rsid w:val="000F698D"/>
    <w:rsid w:val="000F7D42"/>
    <w:rsid w:val="001008A5"/>
    <w:rsid w:val="00100BF3"/>
    <w:rsid w:val="00100C86"/>
    <w:rsid w:val="0011339C"/>
    <w:rsid w:val="001135B0"/>
    <w:rsid w:val="00113FAA"/>
    <w:rsid w:val="00115AE5"/>
    <w:rsid w:val="00116489"/>
    <w:rsid w:val="0011648B"/>
    <w:rsid w:val="001166C1"/>
    <w:rsid w:val="00116874"/>
    <w:rsid w:val="001177A3"/>
    <w:rsid w:val="001240EB"/>
    <w:rsid w:val="0012443D"/>
    <w:rsid w:val="00127053"/>
    <w:rsid w:val="00130E5F"/>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038D"/>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18DF"/>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6F2F"/>
    <w:rsid w:val="002477CB"/>
    <w:rsid w:val="00247BF6"/>
    <w:rsid w:val="00250A33"/>
    <w:rsid w:val="00251126"/>
    <w:rsid w:val="002524D2"/>
    <w:rsid w:val="00252802"/>
    <w:rsid w:val="00253A73"/>
    <w:rsid w:val="00261A50"/>
    <w:rsid w:val="002634C3"/>
    <w:rsid w:val="00265B3A"/>
    <w:rsid w:val="0027052E"/>
    <w:rsid w:val="00271E9D"/>
    <w:rsid w:val="00271F7D"/>
    <w:rsid w:val="00274E85"/>
    <w:rsid w:val="002777F6"/>
    <w:rsid w:val="00277907"/>
    <w:rsid w:val="00280C42"/>
    <w:rsid w:val="00281B73"/>
    <w:rsid w:val="002833C9"/>
    <w:rsid w:val="00285E5C"/>
    <w:rsid w:val="00290256"/>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597"/>
    <w:rsid w:val="002E4922"/>
    <w:rsid w:val="002E4B2C"/>
    <w:rsid w:val="002E5261"/>
    <w:rsid w:val="002F00BB"/>
    <w:rsid w:val="002F1DE7"/>
    <w:rsid w:val="002F2627"/>
    <w:rsid w:val="002F2748"/>
    <w:rsid w:val="002F6265"/>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6DC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1B38"/>
    <w:rsid w:val="0039213A"/>
    <w:rsid w:val="00393BF6"/>
    <w:rsid w:val="003952AA"/>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2DD"/>
    <w:rsid w:val="00406654"/>
    <w:rsid w:val="0041100B"/>
    <w:rsid w:val="004114F3"/>
    <w:rsid w:val="00412894"/>
    <w:rsid w:val="004130C3"/>
    <w:rsid w:val="00413E71"/>
    <w:rsid w:val="00421363"/>
    <w:rsid w:val="00421921"/>
    <w:rsid w:val="00422100"/>
    <w:rsid w:val="004254D3"/>
    <w:rsid w:val="0042746B"/>
    <w:rsid w:val="00433B69"/>
    <w:rsid w:val="004369AD"/>
    <w:rsid w:val="00436DD6"/>
    <w:rsid w:val="00444FB7"/>
    <w:rsid w:val="00450674"/>
    <w:rsid w:val="004533FE"/>
    <w:rsid w:val="00454207"/>
    <w:rsid w:val="00454715"/>
    <w:rsid w:val="00454D80"/>
    <w:rsid w:val="00456785"/>
    <w:rsid w:val="004610D8"/>
    <w:rsid w:val="0046172B"/>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62C3"/>
    <w:rsid w:val="004C0BC8"/>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57246"/>
    <w:rsid w:val="00557626"/>
    <w:rsid w:val="00560E11"/>
    <w:rsid w:val="00561147"/>
    <w:rsid w:val="00561463"/>
    <w:rsid w:val="00561F8F"/>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867"/>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4E13"/>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4A0F"/>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5DCB"/>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2A68"/>
    <w:rsid w:val="00794249"/>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D46"/>
    <w:rsid w:val="007F4E0F"/>
    <w:rsid w:val="007F6350"/>
    <w:rsid w:val="007F77CA"/>
    <w:rsid w:val="008011ED"/>
    <w:rsid w:val="00801636"/>
    <w:rsid w:val="00803935"/>
    <w:rsid w:val="008045D0"/>
    <w:rsid w:val="008059B8"/>
    <w:rsid w:val="00807F83"/>
    <w:rsid w:val="00810333"/>
    <w:rsid w:val="008116FB"/>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703C2"/>
    <w:rsid w:val="0087209F"/>
    <w:rsid w:val="00875759"/>
    <w:rsid w:val="00877B87"/>
    <w:rsid w:val="008806CC"/>
    <w:rsid w:val="008849E6"/>
    <w:rsid w:val="0088513E"/>
    <w:rsid w:val="00886300"/>
    <w:rsid w:val="0089082B"/>
    <w:rsid w:val="0089099F"/>
    <w:rsid w:val="00890AAF"/>
    <w:rsid w:val="00892F7A"/>
    <w:rsid w:val="00894CEB"/>
    <w:rsid w:val="00896A62"/>
    <w:rsid w:val="00897B88"/>
    <w:rsid w:val="008A063F"/>
    <w:rsid w:val="008A113D"/>
    <w:rsid w:val="008A678B"/>
    <w:rsid w:val="008B0034"/>
    <w:rsid w:val="008B0702"/>
    <w:rsid w:val="008B156D"/>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2C82"/>
    <w:rsid w:val="009649DC"/>
    <w:rsid w:val="00966EB2"/>
    <w:rsid w:val="00970C67"/>
    <w:rsid w:val="00974456"/>
    <w:rsid w:val="009773B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19"/>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3FB1"/>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0699"/>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3935"/>
    <w:rsid w:val="00BA5877"/>
    <w:rsid w:val="00BB124C"/>
    <w:rsid w:val="00BB17E3"/>
    <w:rsid w:val="00BB1CDB"/>
    <w:rsid w:val="00BB2110"/>
    <w:rsid w:val="00BB3645"/>
    <w:rsid w:val="00BB547E"/>
    <w:rsid w:val="00BB599C"/>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957FF"/>
    <w:rsid w:val="00CA1947"/>
    <w:rsid w:val="00CA1C91"/>
    <w:rsid w:val="00CA323D"/>
    <w:rsid w:val="00CA54A0"/>
    <w:rsid w:val="00CB5515"/>
    <w:rsid w:val="00CB76EF"/>
    <w:rsid w:val="00CB7840"/>
    <w:rsid w:val="00CC0E24"/>
    <w:rsid w:val="00CC2390"/>
    <w:rsid w:val="00CC34E2"/>
    <w:rsid w:val="00CC4A5C"/>
    <w:rsid w:val="00CC5BB7"/>
    <w:rsid w:val="00CC5CE8"/>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ABB"/>
    <w:rsid w:val="00CE1C10"/>
    <w:rsid w:val="00CE217C"/>
    <w:rsid w:val="00CE4AE9"/>
    <w:rsid w:val="00CF41D0"/>
    <w:rsid w:val="00D00CF9"/>
    <w:rsid w:val="00D012FF"/>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0C73"/>
    <w:rsid w:val="00D511C3"/>
    <w:rsid w:val="00D5481D"/>
    <w:rsid w:val="00D55B2D"/>
    <w:rsid w:val="00D60045"/>
    <w:rsid w:val="00D628AE"/>
    <w:rsid w:val="00D647C9"/>
    <w:rsid w:val="00D6632B"/>
    <w:rsid w:val="00D67995"/>
    <w:rsid w:val="00D712BD"/>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97FB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304"/>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0ADF"/>
    <w:rsid w:val="00E1238E"/>
    <w:rsid w:val="00E124B9"/>
    <w:rsid w:val="00E13F21"/>
    <w:rsid w:val="00E1612B"/>
    <w:rsid w:val="00E1639F"/>
    <w:rsid w:val="00E17515"/>
    <w:rsid w:val="00E20591"/>
    <w:rsid w:val="00E22766"/>
    <w:rsid w:val="00E2572E"/>
    <w:rsid w:val="00E25CCB"/>
    <w:rsid w:val="00E2692D"/>
    <w:rsid w:val="00E271C2"/>
    <w:rsid w:val="00E27AC2"/>
    <w:rsid w:val="00E30031"/>
    <w:rsid w:val="00E329A6"/>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A2C"/>
    <w:rsid w:val="00ED4EB4"/>
    <w:rsid w:val="00ED5D09"/>
    <w:rsid w:val="00ED7107"/>
    <w:rsid w:val="00EE2221"/>
    <w:rsid w:val="00EE276F"/>
    <w:rsid w:val="00EE2982"/>
    <w:rsid w:val="00EE634F"/>
    <w:rsid w:val="00EF369D"/>
    <w:rsid w:val="00EF38A7"/>
    <w:rsid w:val="00EF6A39"/>
    <w:rsid w:val="00F00B38"/>
    <w:rsid w:val="00F012EA"/>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1A2F"/>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1E5"/>
    <w:rsid w:val="00FC6F5E"/>
    <w:rsid w:val="00FC711A"/>
    <w:rsid w:val="00FC7D31"/>
    <w:rsid w:val="00FD035E"/>
    <w:rsid w:val="00FD13AC"/>
    <w:rsid w:val="00FD2D28"/>
    <w:rsid w:val="00FD6BFE"/>
    <w:rsid w:val="00FE3FF3"/>
    <w:rsid w:val="00FE6D8B"/>
    <w:rsid w:val="00FF459F"/>
    <w:rsid w:val="00FF4D4F"/>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F7361"/>
  <w15:docId w15:val="{3836D89E-052B-4D69-A94D-E1B351EB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kern w:val="0"/>
      <w:sz w:val="18"/>
      <w:szCs w:val="18"/>
    </w:rPr>
  </w:style>
  <w:style w:type="paragraph" w:styleId="a5">
    <w:name w:val="annotation subject"/>
    <w:basedOn w:val="a6"/>
    <w:next w:val="a6"/>
    <w:link w:val="a7"/>
    <w:uiPriority w:val="99"/>
    <w:unhideWhenUsed/>
    <w:rPr>
      <w:b/>
      <w:bCs/>
    </w:rPr>
  </w:style>
  <w:style w:type="paragraph" w:styleId="a6">
    <w:name w:val="annotation text"/>
    <w:basedOn w:val="a"/>
    <w:link w:val="a8"/>
    <w:unhideWhenUsed/>
    <w:pPr>
      <w:jc w:val="left"/>
    </w:pPr>
  </w:style>
  <w:style w:type="paragraph" w:styleId="a9">
    <w:name w:val="Document Map"/>
    <w:basedOn w:val="a"/>
    <w:link w:val="aa"/>
    <w:uiPriority w:val="99"/>
    <w:unhideWhenUsed/>
    <w:rPr>
      <w:rFonts w:ascii="宋体"/>
      <w:sz w:val="18"/>
      <w:szCs w:val="18"/>
    </w:rPr>
  </w:style>
  <w:style w:type="paragraph" w:styleId="ab">
    <w:name w:val="Balloon Text"/>
    <w:basedOn w:val="a"/>
    <w:semiHidden/>
    <w:rPr>
      <w:sz w:val="18"/>
      <w:szCs w:val="18"/>
    </w:rPr>
  </w:style>
  <w:style w:type="paragraph" w:styleId="ac">
    <w:name w:val="footer"/>
    <w:basedOn w:val="a"/>
    <w:link w:val="ad"/>
    <w:uiPriority w:val="99"/>
    <w:unhideWhenUsed/>
    <w:pPr>
      <w:tabs>
        <w:tab w:val="center" w:pos="4153"/>
        <w:tab w:val="right" w:pos="8306"/>
      </w:tabs>
      <w:snapToGrid w:val="0"/>
      <w:jc w:val="left"/>
    </w:pPr>
    <w:rPr>
      <w:kern w:val="0"/>
      <w:sz w:val="18"/>
      <w:szCs w:val="18"/>
    </w:rPr>
  </w:style>
  <w:style w:type="paragraph" w:styleId="11">
    <w:name w:val="toc 1"/>
    <w:basedOn w:val="a"/>
    <w:next w:val="a"/>
    <w:uiPriority w:val="39"/>
    <w:unhideWhenUsed/>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pPr>
      <w:ind w:leftChars="200" w:left="480"/>
    </w:pPr>
  </w:style>
  <w:style w:type="character" w:styleId="af0">
    <w:name w:val="Hyperlink"/>
    <w:uiPriority w:val="99"/>
    <w:unhideWhenUsed/>
    <w:rPr>
      <w:color w:val="0000FF"/>
      <w:u w:val="single"/>
    </w:rPr>
  </w:style>
  <w:style w:type="character" w:styleId="af1">
    <w:name w:val="annotation reference"/>
    <w:unhideWhenUsed/>
    <w:rPr>
      <w:sz w:val="21"/>
      <w:szCs w:val="21"/>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f3">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e"/>
    <w:next w:val="4"/>
    <w:qFormat/>
    <w:pPr>
      <w:keepNext/>
      <w:keepLines/>
      <w:numPr>
        <w:ilvl w:val="5"/>
        <w:numId w:val="1"/>
      </w:numPr>
      <w:ind w:left="0" w:firstLine="0"/>
      <w:jc w:val="left"/>
    </w:pPr>
    <w:rPr>
      <w:bCs w:val="0"/>
      <w:sz w:val="24"/>
    </w:rPr>
  </w:style>
  <w:style w:type="paragraph" w:customStyle="1" w:styleId="af4">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e"/>
    <w:next w:val="4"/>
    <w:qFormat/>
    <w:pPr>
      <w:keepNext/>
      <w:keepLines/>
      <w:numPr>
        <w:ilvl w:val="1"/>
        <w:numId w:val="1"/>
      </w:numPr>
      <w:jc w:val="left"/>
    </w:pPr>
    <w:rPr>
      <w:bCs w:val="0"/>
      <w:sz w:val="24"/>
    </w:rPr>
  </w:style>
  <w:style w:type="paragraph" w:customStyle="1" w:styleId="XBRLTitle3">
    <w:name w:val="XBRLTitle3"/>
    <w:basedOn w:val="ae"/>
    <w:next w:val="4"/>
    <w:qFormat/>
    <w:pPr>
      <w:keepNext/>
      <w:keepLines/>
      <w:numPr>
        <w:ilvl w:val="2"/>
        <w:numId w:val="1"/>
      </w:numPr>
      <w:ind w:left="0" w:firstLine="0"/>
      <w:jc w:val="left"/>
    </w:pPr>
    <w:rPr>
      <w:bCs w:val="0"/>
      <w:sz w:val="24"/>
    </w:rPr>
  </w:style>
  <w:style w:type="paragraph" w:customStyle="1" w:styleId="XBRLTitle5">
    <w:name w:val="XBRLTitle5"/>
    <w:basedOn w:val="ae"/>
    <w:next w:val="4"/>
    <w:qFormat/>
    <w:pPr>
      <w:keepNext/>
      <w:keepLines/>
      <w:numPr>
        <w:ilvl w:val="4"/>
        <w:numId w:val="1"/>
      </w:numPr>
      <w:ind w:left="0" w:firstLine="0"/>
      <w:jc w:val="left"/>
    </w:pPr>
    <w:rPr>
      <w:bCs w:val="0"/>
      <w:sz w:val="24"/>
    </w:rPr>
  </w:style>
  <w:style w:type="paragraph" w:customStyle="1" w:styleId="XBRLTitle4">
    <w:name w:val="XBRLTitle4"/>
    <w:basedOn w:val="ae"/>
    <w:next w:val="4"/>
    <w:qFormat/>
    <w:pPr>
      <w:keepNext/>
      <w:keepLines/>
      <w:numPr>
        <w:ilvl w:val="3"/>
        <w:numId w:val="1"/>
      </w:numPr>
      <w:ind w:left="0" w:firstLine="0"/>
      <w:jc w:val="left"/>
    </w:pPr>
    <w:rPr>
      <w:bCs w:val="0"/>
      <w:sz w:val="24"/>
    </w:rPr>
  </w:style>
  <w:style w:type="character" w:customStyle="1" w:styleId="Char1">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a8">
    <w:name w:val="批注文字 字符"/>
    <w:link w:val="a6"/>
    <w:rPr>
      <w:kern w:val="2"/>
      <w:sz w:val="21"/>
      <w:szCs w:val="22"/>
    </w:rPr>
  </w:style>
  <w:style w:type="character" w:customStyle="1" w:styleId="a7">
    <w:name w:val="批注主题 字符"/>
    <w:link w:val="a5"/>
    <w:uiPriority w:val="99"/>
    <w:semiHidden/>
    <w:rPr>
      <w:b/>
      <w:bCs/>
      <w:kern w:val="2"/>
      <w:sz w:val="21"/>
      <w:szCs w:val="22"/>
    </w:rPr>
  </w:style>
  <w:style w:type="character" w:customStyle="1" w:styleId="a4">
    <w:name w:val="页眉 字符"/>
    <w:link w:val="a3"/>
    <w:uiPriority w:val="99"/>
    <w:rPr>
      <w:sz w:val="18"/>
      <w:szCs w:val="18"/>
    </w:rPr>
  </w:style>
  <w:style w:type="character" w:customStyle="1" w:styleId="af">
    <w:name w:val="副标题 字符"/>
    <w:link w:val="ae"/>
    <w:rPr>
      <w:rFonts w:ascii="Cambria" w:hAnsi="Cambria" w:cs="Times New Roman"/>
      <w:b/>
      <w:bCs/>
      <w:kern w:val="28"/>
      <w:sz w:val="32"/>
      <w:szCs w:val="32"/>
    </w:rPr>
  </w:style>
  <w:style w:type="character" w:customStyle="1" w:styleId="aa">
    <w:name w:val="文档结构图 字符"/>
    <w:link w:val="a9"/>
    <w:uiPriority w:val="99"/>
    <w:semiHidden/>
    <w:rPr>
      <w:rFonts w:ascii="宋体"/>
      <w:kern w:val="2"/>
      <w:sz w:val="18"/>
      <w:szCs w:val="18"/>
    </w:rPr>
  </w:style>
  <w:style w:type="character" w:customStyle="1" w:styleId="ad">
    <w:name w:val="页脚 字符"/>
    <w:link w:val="ac"/>
    <w:uiPriority w:val="99"/>
    <w:rPr>
      <w:sz w:val="18"/>
      <w:szCs w:val="18"/>
    </w:rPr>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character" w:customStyle="1" w:styleId="10">
    <w:name w:val="标题 1 字符"/>
    <w:link w:val="1"/>
    <w:uiPriority w:val="9"/>
    <w:rPr>
      <w:b/>
      <w:bCs/>
      <w:kern w:val="44"/>
      <w:sz w:val="28"/>
      <w:szCs w:val="44"/>
    </w:rPr>
  </w:style>
  <w:style w:type="paragraph" w:styleId="af5">
    <w:name w:val="Revision"/>
    <w:hidden/>
    <w:uiPriority w:val="99"/>
    <w:semiHidden/>
    <w:rsid w:val="00C957F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EA530E-324F-411A-839D-DFFC5061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161</Pages>
  <Words>16941</Words>
  <Characters>96566</Characters>
  <Application>Microsoft Office Word</Application>
  <DocSecurity>0</DocSecurity>
  <Lines>804</Lines>
  <Paragraphs>226</Paragraphs>
  <ScaleCrop>false</ScaleCrop>
  <Company>Microsoft</Company>
  <LinksUpToDate>false</LinksUpToDate>
  <CharactersWithSpaces>113281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张婕茹</cp:lastModifiedBy>
  <cp:revision>25</cp:revision>
  <cp:lastPrinted>2013-02-18T03:10:00Z</cp:lastPrinted>
  <dcterms:created xsi:type="dcterms:W3CDTF">2024-12-11T02:03:00Z</dcterms:created>
  <dcterms:modified xsi:type="dcterms:W3CDTF">2024-12-12T01:52:00Z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