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spacing w:before="0" w:after="0"/>
        <w:jc w:val="center"/>
        <w:rPr>
          <w:rFonts w:asciiTheme="minorEastAsia" w:hAnsiTheme="minorEastAsia" w:eastAsiaTheme="minorEastAsia"/>
          <w:color w:val="auto"/>
          <w:sz w:val="30"/>
        </w:rPr>
      </w:pPr>
      <w:r>
        <w:rPr>
          <w:rFonts w:hint="eastAsia" w:asciiTheme="minorEastAsia" w:hAnsiTheme="minorEastAsia" w:eastAsiaTheme="minorEastAsia"/>
          <w:color w:val="auto"/>
          <w:sz w:val="30"/>
        </w:rPr>
        <w:t>交银施罗德</w:t>
      </w:r>
      <w:r>
        <w:rPr>
          <w:rFonts w:hint="eastAsia" w:asciiTheme="minorEastAsia" w:hAnsiTheme="minorEastAsia" w:eastAsiaTheme="minorEastAsia"/>
          <w:color w:val="auto"/>
          <w:sz w:val="30"/>
          <w:lang w:val="en-US" w:eastAsia="zh-CN"/>
        </w:rPr>
        <w:t>启合</w:t>
      </w:r>
      <w:r>
        <w:rPr>
          <w:rFonts w:hint="eastAsia" w:asciiTheme="minorEastAsia" w:hAnsiTheme="minorEastAsia" w:eastAsiaTheme="minorEastAsia"/>
          <w:color w:val="auto"/>
          <w:sz w:val="30"/>
        </w:rPr>
        <w:t>混合型证券投资基金基金合同摘要</w:t>
      </w:r>
    </w:p>
    <w:p>
      <w:pPr>
        <w:keepNext w:val="0"/>
        <w:keepLines w:val="0"/>
        <w:widowControl w:val="0"/>
        <w:suppressLineNumbers w:val="0"/>
        <w:spacing w:before="0" w:beforeAutospacing="0" w:after="0" w:afterAutospacing="0" w:line="360" w:lineRule="auto"/>
        <w:ind w:left="0" w:right="0" w:firstLine="482" w:firstLineChars="200"/>
        <w:jc w:val="both"/>
        <w:outlineLvl w:val="1"/>
        <w:rPr>
          <w:rFonts w:hint="eastAsia" w:ascii="宋体" w:hAnsi="宋体" w:eastAsia="宋体" w:cs="宋体"/>
          <w:b/>
          <w:bCs w:val="0"/>
          <w:kern w:val="2"/>
          <w:sz w:val="24"/>
          <w:szCs w:val="24"/>
          <w:lang w:val="en-US" w:eastAsia="zh-CN" w:bidi="ar"/>
        </w:rPr>
      </w:pPr>
    </w:p>
    <w:p>
      <w:pPr>
        <w:keepNext w:val="0"/>
        <w:keepLines w:val="0"/>
        <w:widowControl w:val="0"/>
        <w:suppressLineNumbers w:val="0"/>
        <w:spacing w:before="0" w:beforeAutospacing="0" w:after="0" w:afterAutospacing="0" w:line="360" w:lineRule="auto"/>
        <w:ind w:left="0" w:right="0" w:firstLine="482" w:firstLineChars="200"/>
        <w:jc w:val="both"/>
        <w:outlineLvl w:val="1"/>
        <w:rPr>
          <w:rFonts w:hint="default" w:ascii="Times New Roman" w:hAnsi="Times New Roman" w:cs="Times New Roman"/>
          <w:b/>
          <w:bCs w:val="0"/>
          <w:kern w:val="2"/>
          <w:sz w:val="24"/>
          <w:szCs w:val="24"/>
        </w:rPr>
      </w:pPr>
      <w:r>
        <w:rPr>
          <w:rFonts w:hint="eastAsia" w:ascii="宋体" w:hAnsi="宋体" w:eastAsia="宋体" w:cs="宋体"/>
          <w:b/>
          <w:bCs w:val="0"/>
          <w:kern w:val="2"/>
          <w:sz w:val="24"/>
          <w:szCs w:val="24"/>
          <w:lang w:val="en-US" w:eastAsia="zh-CN" w:bidi="ar"/>
        </w:rPr>
        <w:t>一、基金管理人、基金托管人和基金份额持有人的权利、义务</w:t>
      </w:r>
    </w:p>
    <w:p>
      <w:pPr>
        <w:keepNext w:val="0"/>
        <w:keepLines w:val="0"/>
        <w:widowControl w:val="0"/>
        <w:suppressLineNumbers w:val="0"/>
        <w:spacing w:before="0" w:beforeAutospacing="0" w:after="0" w:afterAutospacing="0" w:line="360" w:lineRule="auto"/>
        <w:ind w:left="0" w:right="0" w:firstLine="480" w:firstLineChars="200"/>
        <w:jc w:val="both"/>
        <w:outlineLvl w:val="2"/>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（一）基金管理人的权利</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宋体" w:cs="Times New Roman"/>
          <w:bCs/>
          <w:kern w:val="2"/>
          <w:sz w:val="24"/>
          <w:szCs w:val="24"/>
        </w:rPr>
      </w:pPr>
      <w:r>
        <w:rPr>
          <w:rFonts w:hint="eastAsia" w:ascii="宋体" w:hAnsi="宋体" w:eastAsia="宋体" w:cs="宋体"/>
          <w:bCs/>
          <w:kern w:val="2"/>
          <w:sz w:val="24"/>
          <w:szCs w:val="24"/>
          <w:lang w:val="en-US" w:eastAsia="zh-CN" w:bidi="ar"/>
        </w:rPr>
        <w:t>根据《基金法》、《运作办法》及其他有关规定，基金管理人的权利包括但不限于：</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）依法募集资金；</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）自《基金合同》生效之日起，根据法律法规和《基金合同》独立运用并管理基金财产；</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）依照《基金合同》收取基金管理费以及法律法规规定或中国证监会批准的其他费用；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）销售基金份额；</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）按照规定召集基金份额持有人大会；</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6</w:t>
      </w:r>
      <w:r>
        <w:rPr>
          <w:rFonts w:hint="eastAsia" w:ascii="宋体" w:hAnsi="宋体" w:eastAsia="宋体" w:cs="宋体"/>
          <w:bCs/>
          <w:kern w:val="2"/>
          <w:sz w:val="24"/>
          <w:szCs w:val="24"/>
          <w:lang w:val="en-US" w:eastAsia="zh-CN" w:bidi="ar"/>
        </w:rPr>
        <w:t>）依据《基金合同》及有关法律规定监督基金托管人，如认为基金托管人违反了《基金合同》及国家有关法律规定，应呈报中国证监会和其他监管部门，并采取必要措施保护基金投资者的利益；</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7</w:t>
      </w:r>
      <w:r>
        <w:rPr>
          <w:rFonts w:hint="eastAsia" w:ascii="宋体" w:hAnsi="宋体" w:eastAsia="宋体" w:cs="宋体"/>
          <w:bCs/>
          <w:kern w:val="2"/>
          <w:sz w:val="24"/>
          <w:szCs w:val="24"/>
          <w:lang w:val="en-US" w:eastAsia="zh-CN" w:bidi="ar"/>
        </w:rPr>
        <w:t>）在基金托管人更换时，提名新的基金托管人；</w:t>
      </w:r>
    </w:p>
    <w:p>
      <w:pPr>
        <w:keepNext w:val="0"/>
        <w:keepLines w:val="0"/>
        <w:widowControl w:val="0"/>
        <w:suppressLineNumbers w:val="0"/>
        <w:spacing w:before="0" w:beforeAutospacing="0" w:after="0" w:afterAutospacing="0" w:line="440" w:lineRule="atLeast"/>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8</w:t>
      </w:r>
      <w:r>
        <w:rPr>
          <w:rFonts w:hint="eastAsia" w:ascii="宋体" w:hAnsi="宋体" w:eastAsia="宋体" w:cs="宋体"/>
          <w:bCs/>
          <w:kern w:val="2"/>
          <w:sz w:val="24"/>
          <w:szCs w:val="24"/>
          <w:lang w:val="en-US" w:eastAsia="zh-CN" w:bidi="ar"/>
        </w:rPr>
        <w:t>）选择、更换基金销售机构，对基金销售机构的相关行为进行监督和处理；</w:t>
      </w:r>
    </w:p>
    <w:p>
      <w:pPr>
        <w:keepNext w:val="0"/>
        <w:keepLines w:val="0"/>
        <w:widowControl w:val="0"/>
        <w:suppressLineNumbers w:val="0"/>
        <w:spacing w:before="0" w:beforeAutospacing="0" w:after="0" w:afterAutospacing="0" w:line="440" w:lineRule="atLeast"/>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9</w:t>
      </w:r>
      <w:r>
        <w:rPr>
          <w:rFonts w:hint="eastAsia" w:ascii="宋体" w:hAnsi="宋体" w:eastAsia="宋体" w:cs="宋体"/>
          <w:bCs/>
          <w:kern w:val="2"/>
          <w:sz w:val="24"/>
          <w:szCs w:val="24"/>
          <w:lang w:val="en-US" w:eastAsia="zh-CN" w:bidi="ar"/>
        </w:rPr>
        <w:t>）担任或委托其他符合条件的机构担任基金登记机构办理基金登记业务并获得《基金合同》规定的费用；</w:t>
      </w:r>
    </w:p>
    <w:p>
      <w:pPr>
        <w:keepNext w:val="0"/>
        <w:keepLines w:val="0"/>
        <w:widowControl w:val="0"/>
        <w:suppressLineNumbers w:val="0"/>
        <w:spacing w:before="0" w:beforeAutospacing="0" w:after="0" w:afterAutospacing="0" w:line="440" w:lineRule="atLeast"/>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）依据《基金合同》及有关法律规定决定基金收益的分配方案；</w:t>
      </w:r>
    </w:p>
    <w:p>
      <w:pPr>
        <w:keepNext w:val="0"/>
        <w:keepLines w:val="0"/>
        <w:widowControl w:val="0"/>
        <w:suppressLineNumbers w:val="0"/>
        <w:spacing w:before="0" w:beforeAutospacing="0" w:after="0" w:afterAutospacing="0" w:line="440" w:lineRule="atLeast"/>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11</w:t>
      </w:r>
      <w:r>
        <w:rPr>
          <w:rFonts w:hint="eastAsia" w:ascii="宋体" w:hAnsi="宋体" w:eastAsia="宋体" w:cs="宋体"/>
          <w:bCs/>
          <w:kern w:val="2"/>
          <w:sz w:val="24"/>
          <w:szCs w:val="24"/>
          <w:lang w:val="en-US" w:eastAsia="zh-CN" w:bidi="ar"/>
        </w:rPr>
        <w:t>）在《基金合同》约定的范围内，拒绝或暂停受理申购与赎回申请；</w:t>
      </w:r>
    </w:p>
    <w:p>
      <w:pPr>
        <w:keepNext w:val="0"/>
        <w:keepLines w:val="0"/>
        <w:widowControl w:val="0"/>
        <w:suppressLineNumbers w:val="0"/>
        <w:spacing w:before="0" w:beforeAutospacing="0" w:after="0" w:afterAutospacing="0" w:line="440" w:lineRule="atLeast"/>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12</w:t>
      </w:r>
      <w:r>
        <w:rPr>
          <w:rFonts w:hint="eastAsia" w:ascii="宋体" w:hAnsi="宋体" w:eastAsia="宋体" w:cs="宋体"/>
          <w:bCs/>
          <w:kern w:val="2"/>
          <w:sz w:val="24"/>
          <w:szCs w:val="24"/>
          <w:lang w:val="en-US" w:eastAsia="zh-CN" w:bidi="ar"/>
        </w:rPr>
        <w:t>）依照法律法规为基金的利益对被投资公司行使股东权利，为基金的利益行使因基金财产投资于证券所产生的权利；</w:t>
      </w:r>
      <w:r>
        <w:rPr>
          <w:rFonts w:hint="default" w:ascii="Times New Roman" w:hAnsi="Times New Roman" w:eastAsia="宋体" w:cs="Times New Roman"/>
          <w:bCs/>
          <w:kern w:val="2"/>
          <w:sz w:val="24"/>
          <w:szCs w:val="24"/>
          <w:lang w:val="en-US" w:eastAsia="zh-CN" w:bidi="ar"/>
        </w:rPr>
        <w:tab/>
      </w:r>
    </w:p>
    <w:p>
      <w:pPr>
        <w:keepNext w:val="0"/>
        <w:keepLines w:val="0"/>
        <w:widowControl w:val="0"/>
        <w:suppressLineNumbers w:val="0"/>
        <w:spacing w:before="0" w:beforeAutospacing="0" w:after="0" w:afterAutospacing="0" w:line="440" w:lineRule="atLeast"/>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13</w:t>
      </w:r>
      <w:r>
        <w:rPr>
          <w:rFonts w:hint="eastAsia" w:ascii="宋体" w:hAnsi="宋体" w:eastAsia="宋体" w:cs="宋体"/>
          <w:bCs/>
          <w:kern w:val="2"/>
          <w:sz w:val="24"/>
          <w:szCs w:val="24"/>
          <w:lang w:val="en-US" w:eastAsia="zh-CN" w:bidi="ar"/>
        </w:rPr>
        <w:t>）在法律法规允许的前提下，为基金的利益依法为基金进行融资；</w:t>
      </w:r>
    </w:p>
    <w:p>
      <w:pPr>
        <w:keepNext w:val="0"/>
        <w:keepLines w:val="0"/>
        <w:widowControl w:val="0"/>
        <w:suppressLineNumbers w:val="0"/>
        <w:spacing w:before="0" w:beforeAutospacing="0" w:after="0" w:afterAutospacing="0" w:line="440" w:lineRule="atLeast"/>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14</w:t>
      </w:r>
      <w:r>
        <w:rPr>
          <w:rFonts w:hint="eastAsia" w:ascii="宋体" w:hAnsi="宋体" w:eastAsia="宋体" w:cs="宋体"/>
          <w:bCs/>
          <w:kern w:val="2"/>
          <w:sz w:val="24"/>
          <w:szCs w:val="24"/>
          <w:lang w:val="en-US" w:eastAsia="zh-CN" w:bidi="ar"/>
        </w:rPr>
        <w:t>）以基金管理人的名义，代表基金份额持有人的利益行使诉讼权利或者实施其他法律行为；</w:t>
      </w:r>
      <w:r>
        <w:rPr>
          <w:rFonts w:hint="default" w:ascii="Times New Roman" w:hAnsi="Times New Roman" w:eastAsia="宋体" w:cs="Times New Roman"/>
          <w:bCs/>
          <w:kern w:val="2"/>
          <w:sz w:val="24"/>
          <w:szCs w:val="24"/>
          <w:lang w:val="en-US" w:eastAsia="zh-CN" w:bidi="ar"/>
        </w:rPr>
        <w:tab/>
      </w:r>
    </w:p>
    <w:p>
      <w:pPr>
        <w:keepNext w:val="0"/>
        <w:keepLines w:val="0"/>
        <w:widowControl w:val="0"/>
        <w:suppressLineNumbers w:val="0"/>
        <w:spacing w:before="0" w:beforeAutospacing="0" w:after="0" w:afterAutospacing="0" w:line="440" w:lineRule="atLeast"/>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15</w:t>
      </w:r>
      <w:r>
        <w:rPr>
          <w:rFonts w:hint="eastAsia" w:ascii="宋体" w:hAnsi="宋体" w:eastAsia="宋体" w:cs="宋体"/>
          <w:bCs/>
          <w:kern w:val="2"/>
          <w:sz w:val="24"/>
          <w:szCs w:val="24"/>
          <w:lang w:val="en-US" w:eastAsia="zh-CN" w:bidi="ar"/>
        </w:rPr>
        <w:t>）选择、更换律师事务所、会计师事务所、证券经纪商、期货经纪机构或其他为基金提供服务的外部机构；</w:t>
      </w:r>
      <w:r>
        <w:rPr>
          <w:rFonts w:hint="default" w:ascii="Times New Roman" w:hAnsi="Times New Roman" w:eastAsia="宋体" w:cs="Times New Roman"/>
          <w:bCs/>
          <w:kern w:val="2"/>
          <w:sz w:val="24"/>
          <w:szCs w:val="24"/>
          <w:lang w:val="en-US" w:eastAsia="zh-CN" w:bidi="ar"/>
        </w:rPr>
        <w:tab/>
      </w:r>
    </w:p>
    <w:p>
      <w:pPr>
        <w:keepNext w:val="0"/>
        <w:keepLines w:val="0"/>
        <w:widowControl w:val="0"/>
        <w:suppressLineNumbers w:val="0"/>
        <w:spacing w:before="0" w:beforeAutospacing="0" w:after="0" w:afterAutospacing="0" w:line="440" w:lineRule="atLeast"/>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16</w:t>
      </w:r>
      <w:r>
        <w:rPr>
          <w:rFonts w:hint="eastAsia" w:ascii="宋体" w:hAnsi="宋体" w:eastAsia="宋体" w:cs="宋体"/>
          <w:bCs/>
          <w:kern w:val="2"/>
          <w:sz w:val="24"/>
          <w:szCs w:val="24"/>
          <w:lang w:val="en-US" w:eastAsia="zh-CN" w:bidi="ar"/>
        </w:rPr>
        <w:t>）在符合有关法律、法规的前提下，制定和调整有关基金认购、申购、赎回、转换等的业务规则；</w:t>
      </w:r>
    </w:p>
    <w:p>
      <w:pPr>
        <w:keepNext w:val="0"/>
        <w:keepLines w:val="0"/>
        <w:widowControl w:val="0"/>
        <w:suppressLineNumbers w:val="0"/>
        <w:spacing w:before="0" w:beforeAutospacing="0" w:after="0" w:afterAutospacing="0" w:line="440" w:lineRule="atLeast"/>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17</w:t>
      </w:r>
      <w:r>
        <w:rPr>
          <w:rFonts w:hint="eastAsia" w:ascii="宋体" w:hAnsi="宋体" w:eastAsia="宋体" w:cs="宋体"/>
          <w:bCs/>
          <w:kern w:val="2"/>
          <w:sz w:val="24"/>
          <w:szCs w:val="24"/>
          <w:lang w:val="en-US" w:eastAsia="zh-CN" w:bidi="ar"/>
        </w:rPr>
        <w:t>）法律法规及中国证监会规定的和《基金合同》约定的其他权利。</w:t>
      </w:r>
    </w:p>
    <w:p>
      <w:pPr>
        <w:keepNext w:val="0"/>
        <w:keepLines w:val="0"/>
        <w:widowControl w:val="0"/>
        <w:suppressLineNumbers w:val="0"/>
        <w:spacing w:before="0" w:beforeAutospacing="0" w:after="0" w:afterAutospacing="0" w:line="360" w:lineRule="auto"/>
        <w:ind w:left="0" w:right="0" w:firstLine="480" w:firstLineChars="200"/>
        <w:jc w:val="both"/>
        <w:outlineLvl w:val="2"/>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（二）基金管理人的义务</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根据《基金法》、《运作办法》及其他有关规定，基金管理人的义务包括但不限于：</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）依法募集资金，办理或者委托经中国证监会认定的其他机构办理基金份额的发售、申购、赎回和登记事宜；</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）办理基金备案手续；</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）自《基金合同》生效之日起，以诚实信用、谨慎勤勉的原则管理和运用基金财产；</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）配备足够的具有专业资格的人员进行基金投资分析、决策，以专业化的经营方式管理和运作基金财产；</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）建立健全内部风险控制、监察与稽核、财务管理及人事管理等制度，保证所管理的基金财产和基金管理人的财产相互独立，对所管理的不同基金分别管理，分别记账，进行证券投资；</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6</w:t>
      </w:r>
      <w:r>
        <w:rPr>
          <w:rFonts w:hint="eastAsia" w:ascii="宋体" w:hAnsi="宋体" w:eastAsia="宋体" w:cs="宋体"/>
          <w:bCs/>
          <w:kern w:val="2"/>
          <w:sz w:val="24"/>
          <w:szCs w:val="24"/>
          <w:lang w:val="en-US" w:eastAsia="zh-CN" w:bidi="ar"/>
        </w:rPr>
        <w:t>）除依据《基金法》、《基金合同》及其他有关规定外，不得利用基金财产为自己及任何第三人谋取利益，不得委托第三人运作基金财产；</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7</w:t>
      </w:r>
      <w:r>
        <w:rPr>
          <w:rFonts w:hint="eastAsia" w:ascii="宋体" w:hAnsi="宋体" w:eastAsia="宋体" w:cs="宋体"/>
          <w:bCs/>
          <w:kern w:val="2"/>
          <w:sz w:val="24"/>
          <w:szCs w:val="24"/>
          <w:lang w:val="en-US" w:eastAsia="zh-CN" w:bidi="ar"/>
        </w:rPr>
        <w:t>）依法接受基金托管人的监督；</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8</w:t>
      </w:r>
      <w:r>
        <w:rPr>
          <w:rFonts w:hint="eastAsia" w:ascii="宋体" w:hAnsi="宋体" w:eastAsia="宋体" w:cs="宋体"/>
          <w:bCs/>
          <w:kern w:val="2"/>
          <w:sz w:val="24"/>
          <w:szCs w:val="24"/>
          <w:lang w:val="en-US" w:eastAsia="zh-CN" w:bidi="ar"/>
        </w:rPr>
        <w:t>）采取适当合理的措施使计算基金份额认购、申购、赎回和注销价格的方法符合《基金合同》等法律文件的规定，按有关规定计算并公告基金净值信息，确定基金份额申购、赎回的价格；</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9</w:t>
      </w:r>
      <w:r>
        <w:rPr>
          <w:rFonts w:hint="eastAsia" w:ascii="宋体" w:hAnsi="宋体" w:eastAsia="宋体" w:cs="宋体"/>
          <w:bCs/>
          <w:kern w:val="2"/>
          <w:sz w:val="24"/>
          <w:szCs w:val="24"/>
          <w:lang w:val="en-US" w:eastAsia="zh-CN" w:bidi="ar"/>
        </w:rPr>
        <w:t>）进行基金会计核算并编制基金财务会计报告；</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）编制季度报告、中期报告和年度报告；</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11</w:t>
      </w:r>
      <w:r>
        <w:rPr>
          <w:rFonts w:hint="eastAsia" w:ascii="宋体" w:hAnsi="宋体" w:eastAsia="宋体" w:cs="宋体"/>
          <w:bCs/>
          <w:kern w:val="2"/>
          <w:sz w:val="24"/>
          <w:szCs w:val="24"/>
          <w:lang w:val="en-US" w:eastAsia="zh-CN" w:bidi="ar"/>
        </w:rPr>
        <w:t>）严格按照《基金法》、《基金合同》及其他有关规定，履行信息披露及报告义务；</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12</w:t>
      </w:r>
      <w:r>
        <w:rPr>
          <w:rFonts w:hint="eastAsia" w:ascii="宋体" w:hAnsi="宋体" w:eastAsia="宋体" w:cs="宋体"/>
          <w:bCs/>
          <w:kern w:val="2"/>
          <w:sz w:val="24"/>
          <w:szCs w:val="24"/>
          <w:lang w:val="en-US" w:eastAsia="zh-CN" w:bidi="ar"/>
        </w:rPr>
        <w:t>）保守基金商业秘密，不泄露基金投资计划、投资意向等。除《基金法》、《基金合同》及其他有关规定另有规定外，在基金信息公开披露前应予保密，不向他人泄露；</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13</w:t>
      </w:r>
      <w:r>
        <w:rPr>
          <w:rFonts w:hint="eastAsia" w:ascii="宋体" w:hAnsi="宋体" w:eastAsia="宋体" w:cs="宋体"/>
          <w:bCs/>
          <w:kern w:val="2"/>
          <w:sz w:val="24"/>
          <w:szCs w:val="24"/>
          <w:lang w:val="en-US" w:eastAsia="zh-CN" w:bidi="ar"/>
        </w:rPr>
        <w:t>）按《基金合同》的约定确定基金收益分配方案，及时向基金份额持有人分配基金收益；</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14</w:t>
      </w:r>
      <w:r>
        <w:rPr>
          <w:rFonts w:hint="eastAsia" w:ascii="宋体" w:hAnsi="宋体" w:eastAsia="宋体" w:cs="宋体"/>
          <w:bCs/>
          <w:kern w:val="2"/>
          <w:sz w:val="24"/>
          <w:szCs w:val="24"/>
          <w:lang w:val="en-US" w:eastAsia="zh-CN" w:bidi="ar"/>
        </w:rPr>
        <w:t>）按规定受理申购与赎回申请，及时、足额支付赎回款项；</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15</w:t>
      </w:r>
      <w:r>
        <w:rPr>
          <w:rFonts w:hint="eastAsia" w:ascii="宋体" w:hAnsi="宋体" w:eastAsia="宋体" w:cs="宋体"/>
          <w:bCs/>
          <w:kern w:val="2"/>
          <w:sz w:val="24"/>
          <w:szCs w:val="24"/>
          <w:lang w:val="en-US" w:eastAsia="zh-CN" w:bidi="ar"/>
        </w:rPr>
        <w:t>）依据《基金法》、《基金合同》及其他有关规定召集基金份额持有人大会或配合基金托管人、基金份额持有人依法召集基金份额持有人大会；</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16</w:t>
      </w:r>
      <w:r>
        <w:rPr>
          <w:rFonts w:hint="eastAsia" w:ascii="宋体" w:hAnsi="宋体" w:eastAsia="宋体" w:cs="宋体"/>
          <w:bCs/>
          <w:kern w:val="2"/>
          <w:sz w:val="24"/>
          <w:szCs w:val="24"/>
          <w:lang w:val="en-US" w:eastAsia="zh-CN" w:bidi="ar"/>
        </w:rPr>
        <w:t>）按规定保存基金财产管理业务活动的会计账册、报表、记录和其他相关资料不低于法律法规规定的最低期限；</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17</w:t>
      </w:r>
      <w:r>
        <w:rPr>
          <w:rFonts w:hint="eastAsia" w:ascii="宋体" w:hAnsi="宋体" w:eastAsia="宋体" w:cs="宋体"/>
          <w:bCs/>
          <w:kern w:val="2"/>
          <w:sz w:val="24"/>
          <w:szCs w:val="24"/>
          <w:lang w:val="en-US" w:eastAsia="zh-CN" w:bidi="ar"/>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18</w:t>
      </w:r>
      <w:r>
        <w:rPr>
          <w:rFonts w:hint="eastAsia" w:ascii="宋体" w:hAnsi="宋体" w:eastAsia="宋体" w:cs="宋体"/>
          <w:bCs/>
          <w:kern w:val="2"/>
          <w:sz w:val="24"/>
          <w:szCs w:val="24"/>
          <w:lang w:val="en-US" w:eastAsia="zh-CN" w:bidi="ar"/>
        </w:rPr>
        <w:t>）组织并参加基金财产清算小组，参与基金财产的保管、清理、估价、变现和分配；</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19</w:t>
      </w:r>
      <w:r>
        <w:rPr>
          <w:rFonts w:hint="eastAsia" w:ascii="宋体" w:hAnsi="宋体" w:eastAsia="宋体" w:cs="宋体"/>
          <w:bCs/>
          <w:kern w:val="2"/>
          <w:sz w:val="24"/>
          <w:szCs w:val="24"/>
          <w:lang w:val="en-US" w:eastAsia="zh-CN" w:bidi="ar"/>
        </w:rPr>
        <w:t>）面临解散、依法被撤销或者被依法宣告破产时，及时报告中国证监会并通知基金托管人；</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20</w:t>
      </w:r>
      <w:r>
        <w:rPr>
          <w:rFonts w:hint="eastAsia" w:ascii="宋体" w:hAnsi="宋体" w:eastAsia="宋体" w:cs="宋体"/>
          <w:bCs/>
          <w:kern w:val="2"/>
          <w:sz w:val="24"/>
          <w:szCs w:val="24"/>
          <w:lang w:val="en-US" w:eastAsia="zh-CN" w:bidi="ar"/>
        </w:rPr>
        <w:t>）因违反《基金合同》导致基金财产的损失或损害基金份额持有人合法权益时，应当承担赔偿责任，其赔偿责任不因其退任而免除；</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21</w:t>
      </w:r>
      <w:r>
        <w:rPr>
          <w:rFonts w:hint="eastAsia" w:ascii="宋体" w:hAnsi="宋体" w:eastAsia="宋体" w:cs="宋体"/>
          <w:bCs/>
          <w:kern w:val="2"/>
          <w:sz w:val="24"/>
          <w:szCs w:val="24"/>
          <w:lang w:val="en-US" w:eastAsia="zh-CN" w:bidi="ar"/>
        </w:rPr>
        <w:t>）监督基金托管人按法律法规和《基金合同》规定履行自己的义务，基金托管人违反《基金合同》造成基金财产损失时，基金管理人应为基金份额持有人利益向基金托管人追偿；</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22</w:t>
      </w:r>
      <w:r>
        <w:rPr>
          <w:rFonts w:hint="eastAsia" w:ascii="宋体" w:hAnsi="宋体" w:eastAsia="宋体" w:cs="宋体"/>
          <w:bCs/>
          <w:kern w:val="2"/>
          <w:sz w:val="24"/>
          <w:szCs w:val="24"/>
          <w:lang w:val="en-US" w:eastAsia="zh-CN" w:bidi="ar"/>
        </w:rPr>
        <w:t>）当基金管理人将其义务委托第三方处理时，应当对第三方处理有关基金事务的行为承担责任；</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23</w:t>
      </w:r>
      <w:r>
        <w:rPr>
          <w:rFonts w:hint="eastAsia" w:ascii="宋体" w:hAnsi="宋体" w:eastAsia="宋体" w:cs="宋体"/>
          <w:bCs/>
          <w:kern w:val="2"/>
          <w:sz w:val="24"/>
          <w:szCs w:val="24"/>
          <w:lang w:val="en-US" w:eastAsia="zh-CN" w:bidi="ar"/>
        </w:rPr>
        <w:t>）以基金管理人名义，代表基金份额持有人利益行使诉讼权利或实施其他法律行为；</w:t>
      </w:r>
      <w:r>
        <w:rPr>
          <w:rFonts w:hint="eastAsia" w:ascii="宋体" w:hAnsi="宋体" w:eastAsia="宋体" w:cs="宋体"/>
          <w:bCs/>
          <w:kern w:val="2"/>
          <w:sz w:val="24"/>
          <w:szCs w:val="24"/>
          <w:lang w:val="en-US" w:eastAsia="zh-CN" w:bidi="ar"/>
        </w:rPr>
        <w:tab/>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24</w:t>
      </w:r>
      <w:r>
        <w:rPr>
          <w:rFonts w:hint="eastAsia" w:ascii="宋体" w:hAnsi="宋体" w:eastAsia="宋体" w:cs="宋体"/>
          <w:bCs/>
          <w:kern w:val="2"/>
          <w:sz w:val="24"/>
          <w:szCs w:val="24"/>
          <w:lang w:val="en-US" w:eastAsia="zh-CN" w:bidi="ar"/>
        </w:rPr>
        <w:t>）基金管理人在募集期间未能达到基金的备案条件，《基金合同》不能生效，基金管理人承担因募集行为而产生的债务和费用，将已募集资金并加计银行同期活期存款利息在基金募集期结束后</w:t>
      </w:r>
      <w:r>
        <w:rPr>
          <w:rFonts w:hint="default" w:ascii="Times New Roman" w:hAnsi="Times New Roman" w:eastAsia="宋体" w:cs="Times New Roman"/>
          <w:bCs/>
          <w:kern w:val="2"/>
          <w:sz w:val="24"/>
          <w:szCs w:val="24"/>
          <w:lang w:val="en-US" w:eastAsia="zh-CN" w:bidi="ar"/>
        </w:rPr>
        <w:t>30</w:t>
      </w:r>
      <w:r>
        <w:rPr>
          <w:rFonts w:hint="eastAsia" w:ascii="宋体" w:hAnsi="宋体" w:eastAsia="宋体" w:cs="宋体"/>
          <w:bCs/>
          <w:kern w:val="2"/>
          <w:sz w:val="24"/>
          <w:szCs w:val="24"/>
          <w:lang w:val="en-US" w:eastAsia="zh-CN" w:bidi="ar"/>
        </w:rPr>
        <w:t>日内退还基金认购人；</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25</w:t>
      </w:r>
      <w:r>
        <w:rPr>
          <w:rFonts w:hint="eastAsia" w:ascii="宋体" w:hAnsi="宋体" w:eastAsia="宋体" w:cs="宋体"/>
          <w:bCs/>
          <w:kern w:val="2"/>
          <w:sz w:val="24"/>
          <w:szCs w:val="24"/>
          <w:lang w:val="en-US" w:eastAsia="zh-CN" w:bidi="ar"/>
        </w:rPr>
        <w:t>）执行生效的基金份额持有人大会的决议；</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26</w:t>
      </w:r>
      <w:r>
        <w:rPr>
          <w:rFonts w:hint="eastAsia" w:ascii="宋体" w:hAnsi="宋体" w:eastAsia="宋体" w:cs="宋体"/>
          <w:bCs/>
          <w:kern w:val="2"/>
          <w:sz w:val="24"/>
          <w:szCs w:val="24"/>
          <w:lang w:val="en-US" w:eastAsia="zh-CN" w:bidi="ar"/>
        </w:rPr>
        <w:t>）建立并保存基金份额持有人名册；</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27</w:t>
      </w:r>
      <w:r>
        <w:rPr>
          <w:rFonts w:hint="eastAsia" w:ascii="宋体" w:hAnsi="宋体" w:eastAsia="宋体" w:cs="宋体"/>
          <w:bCs/>
          <w:kern w:val="2"/>
          <w:sz w:val="24"/>
          <w:szCs w:val="24"/>
          <w:lang w:val="en-US" w:eastAsia="zh-CN" w:bidi="ar"/>
        </w:rPr>
        <w:t>）法律法规及中国证监会规定的和《基金合同》约定的其他义务。</w:t>
      </w:r>
    </w:p>
    <w:p>
      <w:pPr>
        <w:keepNext w:val="0"/>
        <w:keepLines w:val="0"/>
        <w:widowControl w:val="0"/>
        <w:suppressLineNumbers w:val="0"/>
        <w:spacing w:before="0" w:beforeAutospacing="0" w:after="0" w:afterAutospacing="0" w:line="360" w:lineRule="auto"/>
        <w:ind w:left="0" w:right="0" w:firstLine="480" w:firstLineChars="200"/>
        <w:jc w:val="both"/>
        <w:outlineLvl w:val="2"/>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（三）基金托管人的权利</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宋体" w:cs="Times New Roman"/>
          <w:bCs/>
          <w:kern w:val="2"/>
          <w:sz w:val="24"/>
          <w:szCs w:val="24"/>
        </w:rPr>
      </w:pPr>
      <w:r>
        <w:rPr>
          <w:rFonts w:hint="eastAsia" w:ascii="宋体" w:hAnsi="宋体" w:eastAsia="宋体" w:cs="宋体"/>
          <w:bCs/>
          <w:kern w:val="2"/>
          <w:sz w:val="24"/>
          <w:szCs w:val="24"/>
          <w:lang w:val="en-US" w:eastAsia="zh-CN" w:bidi="ar"/>
        </w:rPr>
        <w:t>根据《基金法》、《运作办法》及其他有关规定，基金托管人的权利包括但不限于：</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）自《基金合同》生效之日起，依法律法规和《基金合同》的规定安全保管基金财产；</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）依《基金合同》约定获得基金托管费以及法律法规规定或监管部门批准的其他费用；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）根据相关市场规则，为基金开设资金账户、证券账户、期货结算账户等投资所需账户，为基金办理证券交易资金清算；</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）提议召开或召集基金份额持有人大会；</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6</w:t>
      </w:r>
      <w:r>
        <w:rPr>
          <w:rFonts w:hint="eastAsia" w:ascii="宋体" w:hAnsi="宋体" w:eastAsia="宋体" w:cs="宋体"/>
          <w:bCs/>
          <w:kern w:val="2"/>
          <w:sz w:val="24"/>
          <w:szCs w:val="24"/>
          <w:lang w:val="en-US" w:eastAsia="zh-CN" w:bidi="ar"/>
        </w:rPr>
        <w:t>）在基金管理人更换时，提名新的基金管理人；</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7</w:t>
      </w:r>
      <w:r>
        <w:rPr>
          <w:rFonts w:hint="eastAsia" w:ascii="宋体" w:hAnsi="宋体" w:eastAsia="宋体" w:cs="宋体"/>
          <w:bCs/>
          <w:kern w:val="2"/>
          <w:sz w:val="24"/>
          <w:szCs w:val="24"/>
          <w:lang w:val="en-US" w:eastAsia="zh-CN" w:bidi="ar"/>
        </w:rPr>
        <w:t>）法律法规及中国证监会规定的和《基金合同》约定的其他权利。</w:t>
      </w:r>
    </w:p>
    <w:p>
      <w:pPr>
        <w:keepNext w:val="0"/>
        <w:keepLines w:val="0"/>
        <w:widowControl w:val="0"/>
        <w:suppressLineNumbers w:val="0"/>
        <w:spacing w:before="0" w:beforeAutospacing="0" w:after="0" w:afterAutospacing="0" w:line="360" w:lineRule="auto"/>
        <w:ind w:left="0" w:right="0" w:firstLine="480" w:firstLineChars="200"/>
        <w:jc w:val="both"/>
        <w:outlineLvl w:val="2"/>
        <w:rPr>
          <w:rFonts w:hint="default" w:ascii="Times New Roman" w:hAnsi="Times New Roman" w:cs="Times New Roman"/>
          <w:kern w:val="2"/>
          <w:sz w:val="24"/>
          <w:szCs w:val="24"/>
        </w:rPr>
      </w:pPr>
      <w:r>
        <w:rPr>
          <w:rFonts w:hint="eastAsia" w:ascii="宋体" w:hAnsi="宋体" w:eastAsia="宋体" w:cs="宋体"/>
          <w:bCs/>
          <w:kern w:val="2"/>
          <w:sz w:val="24"/>
          <w:szCs w:val="24"/>
          <w:lang w:val="en-US" w:eastAsia="zh-CN" w:bidi="ar"/>
        </w:rPr>
        <w:t>（四）</w:t>
      </w:r>
      <w:r>
        <w:rPr>
          <w:rFonts w:hint="eastAsia" w:ascii="宋体" w:hAnsi="宋体" w:eastAsia="宋体" w:cs="宋体"/>
          <w:kern w:val="2"/>
          <w:sz w:val="24"/>
          <w:szCs w:val="24"/>
          <w:lang w:val="en-US" w:eastAsia="zh-CN" w:bidi="ar"/>
        </w:rPr>
        <w:t>基金托管人的义务</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bCs/>
          <w:kern w:val="2"/>
          <w:sz w:val="24"/>
          <w:szCs w:val="24"/>
        </w:rPr>
      </w:pPr>
      <w:r>
        <w:rPr>
          <w:rFonts w:hint="eastAsia" w:ascii="宋体" w:hAnsi="宋体" w:eastAsia="宋体" w:cs="宋体"/>
          <w:bCs/>
          <w:kern w:val="2"/>
          <w:sz w:val="24"/>
          <w:szCs w:val="24"/>
          <w:lang w:val="en-US" w:eastAsia="zh-CN" w:bidi="ar"/>
        </w:rPr>
        <w:t>根据《基金法》、《运作办法》及其他有关规定，基金托管人的义务包括但不限于：</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）以诚实信用、勤勉尽责的原则持有并安全保管基金财产；</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）设立专门的基金托管部门，具有符合要求的营业场所，配备足够的、合格的熟悉基金托管业务的专职人员，负责基金财产托管事宜；</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）除依据《基金法》、《基金合同》及其他有关规定外，不得利用基金财产为自己及任何第三人谋取利益，不得委托第三人托管基金财产；</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）保管由基金管理人代表基金签订的与基金有关的重大合同及有关凭证；</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6</w:t>
      </w:r>
      <w:r>
        <w:rPr>
          <w:rFonts w:hint="eastAsia" w:ascii="宋体" w:hAnsi="宋体" w:eastAsia="宋体" w:cs="宋体"/>
          <w:bCs/>
          <w:kern w:val="2"/>
          <w:sz w:val="24"/>
          <w:szCs w:val="24"/>
          <w:lang w:val="en-US" w:eastAsia="zh-CN" w:bidi="ar"/>
        </w:rPr>
        <w:t>）按规定开设基金财产的资金账户、证券账户和期货结算账户等投资所需账户，按照《基金合同》的约定，根据基金管理人的投资指令，及时办理清算、交割事宜；</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7</w:t>
      </w:r>
      <w:r>
        <w:rPr>
          <w:rFonts w:hint="eastAsia" w:ascii="宋体" w:hAnsi="宋体" w:eastAsia="宋体" w:cs="宋体"/>
          <w:bCs/>
          <w:kern w:val="2"/>
          <w:sz w:val="24"/>
          <w:szCs w:val="24"/>
          <w:lang w:val="en-US" w:eastAsia="zh-CN" w:bidi="ar"/>
        </w:rPr>
        <w:t>）保守基金商业秘密，除《基金法》、《基金合同》及其他有关规定另有规定外，在基金信息公开披露前予以保密，不得向他人泄露；</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8</w:t>
      </w:r>
      <w:r>
        <w:rPr>
          <w:rFonts w:hint="eastAsia" w:ascii="宋体" w:hAnsi="宋体" w:eastAsia="宋体" w:cs="宋体"/>
          <w:bCs/>
          <w:kern w:val="2"/>
          <w:sz w:val="24"/>
          <w:szCs w:val="24"/>
          <w:lang w:val="en-US" w:eastAsia="zh-CN" w:bidi="ar"/>
        </w:rPr>
        <w:t>）复核、审查基金管理人计算的基金资产净值、基金份额净值、基金份额申购、赎回价格；</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9</w:t>
      </w:r>
      <w:r>
        <w:rPr>
          <w:rFonts w:hint="eastAsia" w:ascii="宋体" w:hAnsi="宋体" w:eastAsia="宋体" w:cs="宋体"/>
          <w:bCs/>
          <w:kern w:val="2"/>
          <w:sz w:val="24"/>
          <w:szCs w:val="24"/>
          <w:lang w:val="en-US" w:eastAsia="zh-CN" w:bidi="ar"/>
        </w:rPr>
        <w:t>）办理与基金托管业务活动有关的信息披露事项；</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11</w:t>
      </w:r>
      <w:r>
        <w:rPr>
          <w:rFonts w:hint="eastAsia" w:ascii="宋体" w:hAnsi="宋体" w:eastAsia="宋体" w:cs="宋体"/>
          <w:bCs/>
          <w:kern w:val="2"/>
          <w:sz w:val="24"/>
          <w:szCs w:val="24"/>
          <w:lang w:val="en-US" w:eastAsia="zh-CN" w:bidi="ar"/>
        </w:rPr>
        <w:t>）保存基金托管业务活动的记录、账册、报表和其他相关资料不低于法律法规规定的最低期限；</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12</w:t>
      </w:r>
      <w:r>
        <w:rPr>
          <w:rFonts w:hint="eastAsia" w:ascii="宋体" w:hAnsi="宋体" w:eastAsia="宋体" w:cs="宋体"/>
          <w:bCs/>
          <w:kern w:val="2"/>
          <w:sz w:val="24"/>
          <w:szCs w:val="24"/>
          <w:lang w:val="en-US" w:eastAsia="zh-CN" w:bidi="ar"/>
        </w:rPr>
        <w:t>）保存基金份额持有人名册；</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13</w:t>
      </w:r>
      <w:r>
        <w:rPr>
          <w:rFonts w:hint="eastAsia" w:ascii="宋体" w:hAnsi="宋体" w:eastAsia="宋体" w:cs="宋体"/>
          <w:bCs/>
          <w:kern w:val="2"/>
          <w:sz w:val="24"/>
          <w:szCs w:val="24"/>
          <w:lang w:val="en-US" w:eastAsia="zh-CN" w:bidi="ar"/>
        </w:rPr>
        <w:t>）按规定制作相关账册并与基金管理人核对；</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14</w:t>
      </w:r>
      <w:r>
        <w:rPr>
          <w:rFonts w:hint="eastAsia" w:ascii="宋体" w:hAnsi="宋体" w:eastAsia="宋体" w:cs="宋体"/>
          <w:bCs/>
          <w:kern w:val="2"/>
          <w:sz w:val="24"/>
          <w:szCs w:val="24"/>
          <w:lang w:val="en-US" w:eastAsia="zh-CN" w:bidi="ar"/>
        </w:rPr>
        <w:t>）依据基金管理人的指令或有关规定向基金份额持有人支付基金收益和赎回款项；</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15</w:t>
      </w:r>
      <w:r>
        <w:rPr>
          <w:rFonts w:hint="eastAsia" w:ascii="宋体" w:hAnsi="宋体" w:eastAsia="宋体" w:cs="宋体"/>
          <w:bCs/>
          <w:kern w:val="2"/>
          <w:sz w:val="24"/>
          <w:szCs w:val="24"/>
          <w:lang w:val="en-US" w:eastAsia="zh-CN" w:bidi="ar"/>
        </w:rPr>
        <w:t>）依据《基金法》、《基金合同》及其他有关规定，召集基金份额持有人大会或配合基金管理人、基金份额持有人依法召集基金份额持有人大会；</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16</w:t>
      </w:r>
      <w:r>
        <w:rPr>
          <w:rFonts w:hint="eastAsia" w:ascii="宋体" w:hAnsi="宋体" w:eastAsia="宋体" w:cs="宋体"/>
          <w:bCs/>
          <w:kern w:val="2"/>
          <w:sz w:val="24"/>
          <w:szCs w:val="24"/>
          <w:lang w:val="en-US" w:eastAsia="zh-CN" w:bidi="ar"/>
        </w:rPr>
        <w:t>）按照法律法规和《基金合同》的规定监督基金管理人的投资运作；</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17</w:t>
      </w:r>
      <w:r>
        <w:rPr>
          <w:rFonts w:hint="eastAsia" w:ascii="宋体" w:hAnsi="宋体" w:eastAsia="宋体" w:cs="宋体"/>
          <w:bCs/>
          <w:kern w:val="2"/>
          <w:sz w:val="24"/>
          <w:szCs w:val="24"/>
          <w:lang w:val="en-US" w:eastAsia="zh-CN" w:bidi="ar"/>
        </w:rPr>
        <w:t>）参加基金财产清算小组，参与基金财产的保管、清理、估价、变现和分配；</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18</w:t>
      </w:r>
      <w:r>
        <w:rPr>
          <w:rFonts w:hint="eastAsia" w:ascii="宋体" w:hAnsi="宋体" w:eastAsia="宋体" w:cs="宋体"/>
          <w:bCs/>
          <w:kern w:val="2"/>
          <w:sz w:val="24"/>
          <w:szCs w:val="24"/>
          <w:lang w:val="en-US" w:eastAsia="zh-CN" w:bidi="ar"/>
        </w:rPr>
        <w:t>）面临解散、依法被撤销或者被依法宣告破产时，及时报告中国证监会和银行业监督管理机构，并通知基金管理人；</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19</w:t>
      </w:r>
      <w:r>
        <w:rPr>
          <w:rFonts w:hint="eastAsia" w:ascii="宋体" w:hAnsi="宋体" w:eastAsia="宋体" w:cs="宋体"/>
          <w:bCs/>
          <w:kern w:val="2"/>
          <w:sz w:val="24"/>
          <w:szCs w:val="24"/>
          <w:lang w:val="en-US" w:eastAsia="zh-CN" w:bidi="ar"/>
        </w:rPr>
        <w:t>）因违反《基金合同》导致基金财产损失时，应承担赔偿责任，其赔偿责任不因其退任而免除；</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20</w:t>
      </w:r>
      <w:r>
        <w:rPr>
          <w:rFonts w:hint="eastAsia" w:ascii="宋体" w:hAnsi="宋体" w:eastAsia="宋体" w:cs="宋体"/>
          <w:bCs/>
          <w:kern w:val="2"/>
          <w:sz w:val="24"/>
          <w:szCs w:val="24"/>
          <w:lang w:val="en-US" w:eastAsia="zh-CN" w:bidi="ar"/>
        </w:rPr>
        <w:t>）按规定监督基金管理人按法律法规和《基金合同》规定履行自己的义务，基金管理人因违反《基金合同》造成基金财产损失时，应为基金份额持有人利益向基金管理人追偿；</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21</w:t>
      </w:r>
      <w:r>
        <w:rPr>
          <w:rFonts w:hint="eastAsia" w:ascii="宋体" w:hAnsi="宋体" w:eastAsia="宋体" w:cs="宋体"/>
          <w:bCs/>
          <w:kern w:val="2"/>
          <w:sz w:val="24"/>
          <w:szCs w:val="24"/>
          <w:lang w:val="en-US" w:eastAsia="zh-CN" w:bidi="ar"/>
        </w:rPr>
        <w:t>）执行生效的基金份额持有人大会的决议；</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22</w:t>
      </w:r>
      <w:r>
        <w:rPr>
          <w:rFonts w:hint="eastAsia" w:ascii="宋体" w:hAnsi="宋体" w:eastAsia="宋体" w:cs="宋体"/>
          <w:bCs/>
          <w:kern w:val="2"/>
          <w:sz w:val="24"/>
          <w:szCs w:val="24"/>
          <w:lang w:val="en-US" w:eastAsia="zh-CN" w:bidi="ar"/>
        </w:rPr>
        <w:t>）法律法规及中国证监会规定的和《基金合同》约定的其他义务。</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outlineLvl w:val="2"/>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（五）基金份额持有人的权利</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同一类别每份基金份额具有同等的合法权益。</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根据《基金法》、《运作办法》及其他有关规定，基金份额持有人的权利包括但不限于：</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）分享基金财产收益；</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）参与分配清算后的剩余基金财产；</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）依法并按照基金合同和招募说明书的规定转让或者申请赎回其持有的基金份额；</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）按照规定要求召开基金份额持有人大会或者召集基金份额持有人大会；</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）出席或者委派代表出席基金份额持有人大会，对基金份额持有人大会审议事项行使表决权；</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6</w:t>
      </w:r>
      <w:r>
        <w:rPr>
          <w:rFonts w:hint="eastAsia" w:ascii="宋体" w:hAnsi="宋体" w:eastAsia="宋体" w:cs="宋体"/>
          <w:bCs/>
          <w:kern w:val="2"/>
          <w:sz w:val="24"/>
          <w:szCs w:val="24"/>
          <w:lang w:val="en-US" w:eastAsia="zh-CN" w:bidi="ar"/>
        </w:rPr>
        <w:t>）查阅或者复制公开披露的基金信息资料；</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7</w:t>
      </w:r>
      <w:r>
        <w:rPr>
          <w:rFonts w:hint="eastAsia" w:ascii="宋体" w:hAnsi="宋体" w:eastAsia="宋体" w:cs="宋体"/>
          <w:bCs/>
          <w:kern w:val="2"/>
          <w:sz w:val="24"/>
          <w:szCs w:val="24"/>
          <w:lang w:val="en-US" w:eastAsia="zh-CN" w:bidi="ar"/>
        </w:rPr>
        <w:t>）监督基金管理人的投资运作；</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8</w:t>
      </w:r>
      <w:r>
        <w:rPr>
          <w:rFonts w:hint="eastAsia" w:ascii="宋体" w:hAnsi="宋体" w:eastAsia="宋体" w:cs="宋体"/>
          <w:bCs/>
          <w:kern w:val="2"/>
          <w:sz w:val="24"/>
          <w:szCs w:val="24"/>
          <w:lang w:val="en-US" w:eastAsia="zh-CN" w:bidi="ar"/>
        </w:rPr>
        <w:t>）对基金管理人、基金托管人、基金服务机构损害其合法权益的行为依法提起诉讼或仲裁；</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9</w:t>
      </w:r>
      <w:r>
        <w:rPr>
          <w:rFonts w:hint="eastAsia" w:ascii="宋体" w:hAnsi="宋体" w:eastAsia="宋体" w:cs="宋体"/>
          <w:bCs/>
          <w:kern w:val="2"/>
          <w:sz w:val="24"/>
          <w:szCs w:val="24"/>
          <w:lang w:val="en-US" w:eastAsia="zh-CN" w:bidi="ar"/>
        </w:rPr>
        <w:t>）法律法规及中国证监会规定的和《基金合同》约定的其他权利。</w:t>
      </w:r>
    </w:p>
    <w:p>
      <w:pPr>
        <w:keepNext w:val="0"/>
        <w:keepLines w:val="0"/>
        <w:widowControl w:val="0"/>
        <w:suppressLineNumbers w:val="0"/>
        <w:spacing w:before="0" w:beforeAutospacing="0" w:after="0" w:afterAutospacing="0" w:line="360" w:lineRule="auto"/>
        <w:ind w:left="0" w:right="0" w:firstLine="480" w:firstLineChars="200"/>
        <w:jc w:val="both"/>
        <w:outlineLvl w:val="2"/>
        <w:rPr>
          <w:rFonts w:hint="default" w:ascii="Times New Roman" w:hAnsi="Times New Roman" w:cs="Times New Roman"/>
          <w:kern w:val="2"/>
          <w:sz w:val="24"/>
          <w:szCs w:val="24"/>
        </w:rPr>
      </w:pPr>
      <w:r>
        <w:rPr>
          <w:rFonts w:hint="eastAsia" w:ascii="宋体" w:hAnsi="宋体" w:eastAsia="宋体" w:cs="宋体"/>
          <w:bCs/>
          <w:kern w:val="2"/>
          <w:sz w:val="24"/>
          <w:szCs w:val="24"/>
          <w:lang w:val="en-US" w:eastAsia="zh-CN" w:bidi="ar"/>
        </w:rPr>
        <w:t>（六）</w:t>
      </w:r>
      <w:r>
        <w:rPr>
          <w:rFonts w:hint="eastAsia" w:ascii="宋体" w:hAnsi="宋体" w:eastAsia="宋体" w:cs="宋体"/>
          <w:kern w:val="2"/>
          <w:sz w:val="24"/>
          <w:szCs w:val="24"/>
          <w:lang w:val="en-US" w:eastAsia="zh-CN" w:bidi="ar"/>
        </w:rPr>
        <w:t>基金份额持有人的义务</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bCs/>
          <w:kern w:val="2"/>
          <w:sz w:val="24"/>
          <w:szCs w:val="24"/>
        </w:rPr>
      </w:pPr>
      <w:r>
        <w:rPr>
          <w:rFonts w:hint="eastAsia" w:ascii="宋体" w:hAnsi="宋体" w:eastAsia="宋体" w:cs="宋体"/>
          <w:bCs/>
          <w:kern w:val="2"/>
          <w:sz w:val="24"/>
          <w:szCs w:val="24"/>
          <w:lang w:val="en-US" w:eastAsia="zh-CN" w:bidi="ar"/>
        </w:rPr>
        <w:t>根据《基金法》、《运作办法》及其他有关规定，基金份额持有人的义务包括但不限于：</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）认真阅读并遵守《基金合同》、招募说明书等信息披露文件；</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）了解所投资基金产品，了解自身风险承受能力，自主判断基金的投资价值，自主做出投资决策，自行承担投资风险；</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）关注基金信息披露，及时行使权利和履行义务；</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）交纳基金认购、申购款项及法律法规和《基金合同》所规定的费用；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）在其持有的基金份额范围内，承担基金亏损或者《基金合同》终止的有限责任；</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6</w:t>
      </w:r>
      <w:r>
        <w:rPr>
          <w:rFonts w:hint="eastAsia" w:ascii="宋体" w:hAnsi="宋体" w:eastAsia="宋体" w:cs="宋体"/>
          <w:bCs/>
          <w:kern w:val="2"/>
          <w:sz w:val="24"/>
          <w:szCs w:val="24"/>
          <w:lang w:val="en-US" w:eastAsia="zh-CN" w:bidi="ar"/>
        </w:rPr>
        <w:t>）不从事任何有损基金及其他《基金合同》当事人合法权益的活动；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7</w:t>
      </w:r>
      <w:r>
        <w:rPr>
          <w:rFonts w:hint="eastAsia" w:ascii="宋体" w:hAnsi="宋体" w:eastAsia="宋体" w:cs="宋体"/>
          <w:bCs/>
          <w:kern w:val="2"/>
          <w:sz w:val="24"/>
          <w:szCs w:val="24"/>
          <w:lang w:val="en-US" w:eastAsia="zh-CN" w:bidi="ar"/>
        </w:rPr>
        <w:t>）执行生效的基金份额持有人大会的决议；</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8</w:t>
      </w:r>
      <w:r>
        <w:rPr>
          <w:rFonts w:hint="eastAsia" w:ascii="宋体" w:hAnsi="宋体" w:eastAsia="宋体" w:cs="宋体"/>
          <w:bCs/>
          <w:kern w:val="2"/>
          <w:sz w:val="24"/>
          <w:szCs w:val="24"/>
          <w:lang w:val="en-US" w:eastAsia="zh-CN" w:bidi="ar"/>
        </w:rPr>
        <w:t>）返还在基金交易过程中因任何原因获得的不当得利；</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9</w:t>
      </w:r>
      <w:r>
        <w:rPr>
          <w:rFonts w:hint="eastAsia" w:ascii="宋体" w:hAnsi="宋体" w:eastAsia="宋体" w:cs="宋体"/>
          <w:bCs/>
          <w:kern w:val="2"/>
          <w:sz w:val="24"/>
          <w:szCs w:val="24"/>
          <w:lang w:val="en-US" w:eastAsia="zh-CN" w:bidi="ar"/>
        </w:rPr>
        <w:t>）遵守基金管理人、基金托管人、销售机构和登记机构的相关交易及业务规则；</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）提供基金管理人和监管机构依法要求提供的信息，以及不时的更新和补充，并保证其真实性；</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11</w:t>
      </w:r>
      <w:r>
        <w:rPr>
          <w:rFonts w:hint="eastAsia" w:ascii="宋体" w:hAnsi="宋体" w:eastAsia="宋体" w:cs="宋体"/>
          <w:bCs/>
          <w:kern w:val="2"/>
          <w:sz w:val="24"/>
          <w:szCs w:val="24"/>
          <w:lang w:val="en-US" w:eastAsia="zh-CN" w:bidi="ar"/>
        </w:rPr>
        <w:t>）法律法规及中国证监会规定的和《基金合同》约定的其他义务。</w:t>
      </w:r>
    </w:p>
    <w:p>
      <w:pPr>
        <w:keepNext w:val="0"/>
        <w:keepLines w:val="0"/>
        <w:widowControl w:val="0"/>
        <w:suppressLineNumbers w:val="0"/>
        <w:spacing w:before="0" w:beforeAutospacing="0" w:after="0" w:afterAutospacing="0" w:line="360" w:lineRule="auto"/>
        <w:ind w:left="0" w:right="0" w:firstLine="482" w:firstLineChars="200"/>
        <w:jc w:val="both"/>
        <w:outlineLvl w:val="1"/>
        <w:rPr>
          <w:rFonts w:hint="default" w:ascii="Times New Roman" w:hAnsi="Times New Roman" w:cs="Times New Roman"/>
          <w:b/>
          <w:bCs/>
          <w:kern w:val="2"/>
          <w:sz w:val="24"/>
          <w:szCs w:val="24"/>
        </w:rPr>
      </w:pPr>
      <w:r>
        <w:rPr>
          <w:rFonts w:hint="eastAsia" w:ascii="宋体" w:hAnsi="宋体" w:eastAsia="宋体" w:cs="宋体"/>
          <w:b/>
          <w:bCs/>
          <w:kern w:val="2"/>
          <w:sz w:val="24"/>
          <w:szCs w:val="24"/>
          <w:lang w:val="en-US" w:eastAsia="zh-CN" w:bidi="ar"/>
        </w:rPr>
        <w:t>二、基金份额持有人大会召集、议事及表决的程序和规则</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基金份额持有人大会由基金份额持有人组成，基金份额持有人的合法授权代表有权代表基金份额持有人出席会议并表决。基金份额持有人持有的每一基金份额拥有平等的投票权。</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本基金份额持有人大会不设日常机构。</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（一）召开事由</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、当出现或需要决定下列事由之一的，应当召开基金份额持有人大会，法律法规、基金合同和中国证监会另有规定的除外：</w:t>
      </w:r>
    </w:p>
    <w:p>
      <w:pPr>
        <w:keepNext w:val="0"/>
        <w:keepLines w:val="0"/>
        <w:widowControl w:val="0"/>
        <w:suppressLineNumbers w:val="0"/>
        <w:spacing w:before="0" w:beforeAutospacing="0" w:after="0" w:afterAutospacing="0" w:line="440" w:lineRule="atLeast"/>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）终止《基金合同》；</w:t>
      </w:r>
    </w:p>
    <w:p>
      <w:pPr>
        <w:keepNext w:val="0"/>
        <w:keepLines w:val="0"/>
        <w:widowControl w:val="0"/>
        <w:suppressLineNumbers w:val="0"/>
        <w:spacing w:before="0" w:beforeAutospacing="0" w:after="0" w:afterAutospacing="0" w:line="440" w:lineRule="atLeast"/>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）更换基金管理人；</w:t>
      </w:r>
    </w:p>
    <w:p>
      <w:pPr>
        <w:keepNext w:val="0"/>
        <w:keepLines w:val="0"/>
        <w:widowControl w:val="0"/>
        <w:suppressLineNumbers w:val="0"/>
        <w:spacing w:before="0" w:beforeAutospacing="0" w:after="0" w:afterAutospacing="0" w:line="440" w:lineRule="atLeast"/>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）更换基金托管人；</w:t>
      </w:r>
    </w:p>
    <w:p>
      <w:pPr>
        <w:keepNext w:val="0"/>
        <w:keepLines w:val="0"/>
        <w:widowControl w:val="0"/>
        <w:suppressLineNumbers w:val="0"/>
        <w:spacing w:before="0" w:beforeAutospacing="0" w:after="0" w:afterAutospacing="0" w:line="440" w:lineRule="atLeast"/>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）转换基金运作方式；</w:t>
      </w:r>
    </w:p>
    <w:p>
      <w:pPr>
        <w:keepNext w:val="0"/>
        <w:keepLines w:val="0"/>
        <w:widowControl w:val="0"/>
        <w:suppressLineNumbers w:val="0"/>
        <w:spacing w:before="0" w:beforeAutospacing="0" w:after="0" w:afterAutospacing="0" w:line="440" w:lineRule="atLeast"/>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）调整基金管理人、基金托管人的报酬标准或提高销售服务费率；</w:t>
      </w:r>
    </w:p>
    <w:p>
      <w:pPr>
        <w:keepNext w:val="0"/>
        <w:keepLines w:val="0"/>
        <w:widowControl w:val="0"/>
        <w:suppressLineNumbers w:val="0"/>
        <w:spacing w:before="0" w:beforeAutospacing="0" w:after="0" w:afterAutospacing="0" w:line="440" w:lineRule="atLeast"/>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6</w:t>
      </w:r>
      <w:r>
        <w:rPr>
          <w:rFonts w:hint="eastAsia" w:ascii="宋体" w:hAnsi="宋体" w:eastAsia="宋体" w:cs="宋体"/>
          <w:bCs/>
          <w:kern w:val="2"/>
          <w:sz w:val="24"/>
          <w:szCs w:val="24"/>
          <w:lang w:val="en-US" w:eastAsia="zh-CN" w:bidi="ar"/>
        </w:rPr>
        <w:t>）变更基金类别；</w:t>
      </w:r>
    </w:p>
    <w:p>
      <w:pPr>
        <w:keepNext w:val="0"/>
        <w:keepLines w:val="0"/>
        <w:widowControl w:val="0"/>
        <w:suppressLineNumbers w:val="0"/>
        <w:spacing w:before="0" w:beforeAutospacing="0" w:after="0" w:afterAutospacing="0" w:line="440" w:lineRule="atLeast"/>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7</w:t>
      </w:r>
      <w:r>
        <w:rPr>
          <w:rFonts w:hint="eastAsia" w:ascii="宋体" w:hAnsi="宋体" w:eastAsia="宋体" w:cs="宋体"/>
          <w:bCs/>
          <w:kern w:val="2"/>
          <w:sz w:val="24"/>
          <w:szCs w:val="24"/>
          <w:lang w:val="en-US" w:eastAsia="zh-CN" w:bidi="ar"/>
        </w:rPr>
        <w:t>）本基金与其他基金的合并；</w:t>
      </w:r>
    </w:p>
    <w:p>
      <w:pPr>
        <w:keepNext w:val="0"/>
        <w:keepLines w:val="0"/>
        <w:widowControl w:val="0"/>
        <w:suppressLineNumbers w:val="0"/>
        <w:spacing w:before="0" w:beforeAutospacing="0" w:after="0" w:afterAutospacing="0" w:line="440" w:lineRule="atLeast"/>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8</w:t>
      </w:r>
      <w:r>
        <w:rPr>
          <w:rFonts w:hint="eastAsia" w:ascii="宋体" w:hAnsi="宋体" w:eastAsia="宋体" w:cs="宋体"/>
          <w:bCs/>
          <w:kern w:val="2"/>
          <w:sz w:val="24"/>
          <w:szCs w:val="24"/>
          <w:lang w:val="en-US" w:eastAsia="zh-CN" w:bidi="ar"/>
        </w:rPr>
        <w:t>）变更基金投资目标、范围或策略；</w:t>
      </w:r>
    </w:p>
    <w:p>
      <w:pPr>
        <w:keepNext w:val="0"/>
        <w:keepLines w:val="0"/>
        <w:widowControl w:val="0"/>
        <w:suppressLineNumbers w:val="0"/>
        <w:spacing w:before="0" w:beforeAutospacing="0" w:after="0" w:afterAutospacing="0" w:line="440" w:lineRule="atLeast"/>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9</w:t>
      </w:r>
      <w:r>
        <w:rPr>
          <w:rFonts w:hint="eastAsia" w:ascii="宋体" w:hAnsi="宋体" w:eastAsia="宋体" w:cs="宋体"/>
          <w:bCs/>
          <w:kern w:val="2"/>
          <w:sz w:val="24"/>
          <w:szCs w:val="24"/>
          <w:lang w:val="en-US" w:eastAsia="zh-CN" w:bidi="ar"/>
        </w:rPr>
        <w:t>）变更基金份额持有人大会程序；</w:t>
      </w:r>
    </w:p>
    <w:p>
      <w:pPr>
        <w:keepNext w:val="0"/>
        <w:keepLines w:val="0"/>
        <w:widowControl w:val="0"/>
        <w:suppressLineNumbers w:val="0"/>
        <w:spacing w:before="0" w:beforeAutospacing="0" w:after="0" w:afterAutospacing="0" w:line="440" w:lineRule="atLeast"/>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）基金管理人或基金托管人要求召开基金份额持有人大会；</w:t>
      </w:r>
    </w:p>
    <w:p>
      <w:pPr>
        <w:keepNext w:val="0"/>
        <w:keepLines w:val="0"/>
        <w:widowControl w:val="0"/>
        <w:suppressLineNumbers w:val="0"/>
        <w:spacing w:before="0" w:beforeAutospacing="0" w:after="0" w:afterAutospacing="0" w:line="440" w:lineRule="atLeast"/>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11</w:t>
      </w:r>
      <w:r>
        <w:rPr>
          <w:rFonts w:hint="eastAsia" w:ascii="宋体" w:hAnsi="宋体" w:eastAsia="宋体" w:cs="宋体"/>
          <w:bCs/>
          <w:kern w:val="2"/>
          <w:sz w:val="24"/>
          <w:szCs w:val="24"/>
          <w:lang w:val="en-US" w:eastAsia="zh-CN" w:bidi="ar"/>
        </w:rPr>
        <w:t>）单独或合计持有本基金总份额</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以上（含</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）基金份额的基金份额持有人（以基金管理人收到提议当日的基金份额计算，下同）就同一事项书面要求召开基金份额持有人大会；</w:t>
      </w:r>
    </w:p>
    <w:p>
      <w:pPr>
        <w:keepNext w:val="0"/>
        <w:keepLines w:val="0"/>
        <w:widowControl w:val="0"/>
        <w:suppressLineNumbers w:val="0"/>
        <w:spacing w:before="0" w:beforeAutospacing="0" w:after="0" w:afterAutospacing="0" w:line="440" w:lineRule="atLeast"/>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12</w:t>
      </w:r>
      <w:r>
        <w:rPr>
          <w:rFonts w:hint="eastAsia" w:ascii="宋体" w:hAnsi="宋体" w:eastAsia="宋体" w:cs="宋体"/>
          <w:bCs/>
          <w:kern w:val="2"/>
          <w:sz w:val="24"/>
          <w:szCs w:val="24"/>
          <w:lang w:val="en-US" w:eastAsia="zh-CN" w:bidi="ar"/>
        </w:rPr>
        <w:t>）对基金合同当事人权利和义务产生重大影响的其他事项；</w:t>
      </w:r>
    </w:p>
    <w:p>
      <w:pPr>
        <w:keepNext w:val="0"/>
        <w:keepLines w:val="0"/>
        <w:widowControl w:val="0"/>
        <w:suppressLineNumbers w:val="0"/>
        <w:spacing w:before="0" w:beforeAutospacing="0" w:after="0" w:afterAutospacing="0" w:line="440" w:lineRule="atLeast"/>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13</w:t>
      </w:r>
      <w:r>
        <w:rPr>
          <w:rFonts w:hint="eastAsia" w:ascii="宋体" w:hAnsi="宋体" w:eastAsia="宋体" w:cs="宋体"/>
          <w:bCs/>
          <w:kern w:val="2"/>
          <w:sz w:val="24"/>
          <w:szCs w:val="24"/>
          <w:lang w:val="en-US" w:eastAsia="zh-CN" w:bidi="ar"/>
        </w:rPr>
        <w:t>）法律法规、《基金合同》或中国证监会规定的其他应当召开基金份额持有人大会的事项。</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、在法律法规规定和《基金合同》约定的范围内且对基金份额持有人利益无实质性不利影响的前提下，以下情况可由基金管理人和基金托管人协商后修改，不需召开基金份额持有人大会：</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）调低基金销售服务费率；</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）法律法规要求增加的基金费用的收取；</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）在法律法规和《基金合同》规定的范围内调整本基金的申购费率、在对现有基金份额持有人利益无实质性不利影响的前提下变更收费方式；</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）因相应的法律法规、登记机构的相关业务规则发生变动而应当对《基金合同》进行修改；</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）对《基金合同》的修改对基金份额持有人利益无实质性不利影响或修改不涉及《基金合同》当事人权利义务关系发生重大变化；</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6</w:t>
      </w:r>
      <w:r>
        <w:rPr>
          <w:rFonts w:hint="eastAsia" w:ascii="宋体" w:hAnsi="宋体" w:eastAsia="宋体" w:cs="宋体"/>
          <w:bCs/>
          <w:kern w:val="2"/>
          <w:sz w:val="24"/>
          <w:szCs w:val="24"/>
          <w:lang w:val="en-US" w:eastAsia="zh-CN" w:bidi="ar"/>
        </w:rPr>
        <w:t>）在法律法规允许的情况下，且在对现有基金份额持有人利益无实质性不利影响的前提下，基金推出新业务或服务；</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7</w:t>
      </w:r>
      <w:r>
        <w:rPr>
          <w:rFonts w:hint="eastAsia" w:ascii="宋体" w:hAnsi="宋体" w:eastAsia="宋体" w:cs="宋体"/>
          <w:bCs/>
          <w:kern w:val="2"/>
          <w:sz w:val="24"/>
          <w:szCs w:val="24"/>
          <w:lang w:val="en-US" w:eastAsia="zh-CN" w:bidi="ar"/>
        </w:rPr>
        <w:t>）在符合法律法规及本基金合同规定、并且对基金份额持有人利益无实质性不利影响的前提下，增加或调整本基金份额类别的设置、对基金份额分类办法及规则进行调整；</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8</w:t>
      </w:r>
      <w:r>
        <w:rPr>
          <w:rFonts w:hint="eastAsia" w:ascii="宋体" w:hAnsi="宋体" w:eastAsia="宋体" w:cs="宋体"/>
          <w:bCs/>
          <w:kern w:val="2"/>
          <w:sz w:val="24"/>
          <w:szCs w:val="24"/>
          <w:lang w:val="en-US" w:eastAsia="zh-CN" w:bidi="ar"/>
        </w:rPr>
        <w:t>）在不违反法律法规及对基金份额持有人利益无实质性不利影响的前提下，基金管理人、登记机构、销售机构调整有关基金认购、申购、赎回、转换、收益分配、非交易过户、转托管等业务的规则；</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9</w:t>
      </w:r>
      <w:r>
        <w:rPr>
          <w:rFonts w:hint="eastAsia" w:ascii="宋体" w:hAnsi="宋体" w:eastAsia="宋体" w:cs="宋体"/>
          <w:bCs/>
          <w:kern w:val="2"/>
          <w:sz w:val="24"/>
          <w:szCs w:val="24"/>
          <w:lang w:val="en-US" w:eastAsia="zh-CN" w:bidi="ar"/>
        </w:rPr>
        <w:t>）按照法律法规和《基金合同》规定不需召开基金份额持有人大会的其他情形。</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（二）会议召集人及召集方式</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、除法律法规规定或《基金合同》另有约定外，基金份额持有人大会由基金管理人召集；</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、基金管理人未按规定召集或不能召集时，由基金托管人召集；</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、基金托管人认为有必要召开基金份额持有人大会的，应当向基金管理人提出书面提议。基金管理人应当自收到书面提议之日起</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日内决定是否召集，并书面告知基金托管人。基金管理人决定召集的，应当自出具书面决定之日起</w:t>
      </w:r>
      <w:r>
        <w:rPr>
          <w:rFonts w:hint="default" w:ascii="Times New Roman" w:hAnsi="Times New Roman" w:eastAsia="宋体" w:cs="Times New Roman"/>
          <w:bCs/>
          <w:kern w:val="2"/>
          <w:sz w:val="24"/>
          <w:szCs w:val="24"/>
          <w:lang w:val="en-US" w:eastAsia="zh-CN" w:bidi="ar"/>
        </w:rPr>
        <w:t>60</w:t>
      </w:r>
      <w:r>
        <w:rPr>
          <w:rFonts w:hint="eastAsia" w:ascii="宋体" w:hAnsi="宋体" w:eastAsia="宋体" w:cs="宋体"/>
          <w:bCs/>
          <w:kern w:val="2"/>
          <w:sz w:val="24"/>
          <w:szCs w:val="24"/>
          <w:lang w:val="en-US" w:eastAsia="zh-CN" w:bidi="ar"/>
        </w:rPr>
        <w:t>日内召开；基金管理人决定不召集，基金托管人仍认为有必要召开的，应当由基金托管人自行召集，并自出具书面决定之日起</w:t>
      </w:r>
      <w:r>
        <w:rPr>
          <w:rFonts w:hint="default" w:ascii="Times New Roman" w:hAnsi="Times New Roman" w:eastAsia="宋体" w:cs="Times New Roman"/>
          <w:bCs/>
          <w:kern w:val="2"/>
          <w:sz w:val="24"/>
          <w:szCs w:val="24"/>
          <w:lang w:val="en-US" w:eastAsia="zh-CN" w:bidi="ar"/>
        </w:rPr>
        <w:t>60</w:t>
      </w:r>
      <w:r>
        <w:rPr>
          <w:rFonts w:hint="eastAsia" w:ascii="宋体" w:hAnsi="宋体" w:eastAsia="宋体" w:cs="宋体"/>
          <w:bCs/>
          <w:kern w:val="2"/>
          <w:sz w:val="24"/>
          <w:szCs w:val="24"/>
          <w:lang w:val="en-US" w:eastAsia="zh-CN" w:bidi="ar"/>
        </w:rPr>
        <w:t>日内召开并告知基金管理人，基金管理人应当配合；</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、代表基金份额</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以上（含</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）的基金份额持有人就同一事项书面要求召开基金份额持有人大会，应当向基金管理人提出书面提议。基金管理人应当自收到书面提议之日起</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日内决定是否召集，并书面告知提出提议的基金份额持有人代表和基金托管人。基金管理人决定召集的，应当自出具书面决定之日起</w:t>
      </w:r>
      <w:r>
        <w:rPr>
          <w:rFonts w:hint="default" w:ascii="Times New Roman" w:hAnsi="Times New Roman" w:eastAsia="宋体" w:cs="Times New Roman"/>
          <w:bCs/>
          <w:kern w:val="2"/>
          <w:sz w:val="24"/>
          <w:szCs w:val="24"/>
          <w:lang w:val="en-US" w:eastAsia="zh-CN" w:bidi="ar"/>
        </w:rPr>
        <w:t>60</w:t>
      </w:r>
      <w:r>
        <w:rPr>
          <w:rFonts w:hint="eastAsia" w:ascii="宋体" w:hAnsi="宋体" w:eastAsia="宋体" w:cs="宋体"/>
          <w:bCs/>
          <w:kern w:val="2"/>
          <w:sz w:val="24"/>
          <w:szCs w:val="24"/>
          <w:lang w:val="en-US" w:eastAsia="zh-CN" w:bidi="ar"/>
        </w:rPr>
        <w:t>日内召开；基金管理人决定不召集，代表基金份额</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以上（含</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）的基金份额持有人仍认为有必要召开的，应当向基金托管人提出书面提议。基金托管人应当自收到书面提议之日起</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日内决定是否召集，并书面告知提出提议的基金份额持有人代表和基金管理人；基金托管人决定召集的，应当自出具书面决定之日起</w:t>
      </w:r>
      <w:r>
        <w:rPr>
          <w:rFonts w:hint="default" w:ascii="Times New Roman" w:hAnsi="Times New Roman" w:eastAsia="宋体" w:cs="Times New Roman"/>
          <w:bCs/>
          <w:kern w:val="2"/>
          <w:sz w:val="24"/>
          <w:szCs w:val="24"/>
          <w:lang w:val="en-US" w:eastAsia="zh-CN" w:bidi="ar"/>
        </w:rPr>
        <w:t>60</w:t>
      </w:r>
      <w:r>
        <w:rPr>
          <w:rFonts w:hint="eastAsia" w:ascii="宋体" w:hAnsi="宋体" w:eastAsia="宋体" w:cs="宋体"/>
          <w:bCs/>
          <w:kern w:val="2"/>
          <w:sz w:val="24"/>
          <w:szCs w:val="24"/>
          <w:lang w:val="en-US" w:eastAsia="zh-CN" w:bidi="ar"/>
        </w:rPr>
        <w:t>日内召开并告知基金管理人，基金管理人应当配合；</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、代表基金份额</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以上（含</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）的基金份额持有人就同一事项要求召开基金份额持有人大会，而基金管理人、基金托管人都不召集的，单独或合计代表基金份额</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以上（含</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）的基金份额持有人有权自行召集，并至少提前</w:t>
      </w:r>
      <w:r>
        <w:rPr>
          <w:rFonts w:hint="default" w:ascii="Times New Roman" w:hAnsi="Times New Roman" w:eastAsia="宋体" w:cs="Times New Roman"/>
          <w:bCs/>
          <w:kern w:val="2"/>
          <w:sz w:val="24"/>
          <w:szCs w:val="24"/>
          <w:lang w:val="en-US" w:eastAsia="zh-CN" w:bidi="ar"/>
        </w:rPr>
        <w:t>30</w:t>
      </w:r>
      <w:r>
        <w:rPr>
          <w:rFonts w:hint="eastAsia" w:ascii="宋体" w:hAnsi="宋体" w:eastAsia="宋体" w:cs="宋体"/>
          <w:bCs/>
          <w:kern w:val="2"/>
          <w:sz w:val="24"/>
          <w:szCs w:val="24"/>
          <w:lang w:val="en-US" w:eastAsia="zh-CN" w:bidi="ar"/>
        </w:rPr>
        <w:t>日报中国证监会备案。基金份额持有人依法自行召集基金份额持有人大会的，基金管理人、基金托管人应当配合，不得阻碍、干扰；</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6</w:t>
      </w:r>
      <w:r>
        <w:rPr>
          <w:rFonts w:hint="eastAsia" w:ascii="宋体" w:hAnsi="宋体" w:eastAsia="宋体" w:cs="宋体"/>
          <w:bCs/>
          <w:kern w:val="2"/>
          <w:sz w:val="24"/>
          <w:szCs w:val="24"/>
          <w:lang w:val="en-US" w:eastAsia="zh-CN" w:bidi="ar"/>
        </w:rPr>
        <w:t>、基金份额持有人会议的召集人负责选择确定开会时间、地点、方式和权益登记日。</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（三）召开基金份额持有人大会的通知时间、通知内容、通知方式</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、召开基金份额持有人大会，召集人应于会议召开前</w:t>
      </w:r>
      <w:r>
        <w:rPr>
          <w:rFonts w:hint="default" w:ascii="Times New Roman" w:hAnsi="Times New Roman" w:eastAsia="宋体" w:cs="Times New Roman"/>
          <w:bCs/>
          <w:kern w:val="2"/>
          <w:sz w:val="24"/>
          <w:szCs w:val="24"/>
          <w:lang w:val="en-US" w:eastAsia="zh-CN" w:bidi="ar"/>
        </w:rPr>
        <w:t>30</w:t>
      </w:r>
      <w:r>
        <w:rPr>
          <w:rFonts w:hint="eastAsia" w:ascii="宋体" w:hAnsi="宋体" w:eastAsia="宋体" w:cs="宋体"/>
          <w:bCs/>
          <w:kern w:val="2"/>
          <w:sz w:val="24"/>
          <w:szCs w:val="24"/>
          <w:lang w:val="en-US" w:eastAsia="zh-CN" w:bidi="ar"/>
        </w:rPr>
        <w:t>日，在规定媒介公告。基金份额持有人大会通知应至少载明以下内容：</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）会议召开的时间、地点和会议形式；</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）会议拟审议的事项、议事程序和表决方式；</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）有权出席基金份额持有人大会的基金份额持有人的权益登记日；</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）授权委托证明的内容要求（包括但不限于代理人身份，代理权限和代理有效期限等）、送达时间和地点；</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）会务常设联系人姓名及联系电话；</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6</w:t>
      </w:r>
      <w:r>
        <w:rPr>
          <w:rFonts w:hint="eastAsia" w:ascii="宋体" w:hAnsi="宋体" w:eastAsia="宋体" w:cs="宋体"/>
          <w:bCs/>
          <w:kern w:val="2"/>
          <w:sz w:val="24"/>
          <w:szCs w:val="24"/>
          <w:lang w:val="en-US" w:eastAsia="zh-CN" w:bidi="ar"/>
        </w:rPr>
        <w:t>）出席会议者必须准备的文件和必须履行的手续；</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7</w:t>
      </w:r>
      <w:r>
        <w:rPr>
          <w:rFonts w:hint="eastAsia" w:ascii="宋体" w:hAnsi="宋体" w:eastAsia="宋体" w:cs="宋体"/>
          <w:bCs/>
          <w:kern w:val="2"/>
          <w:sz w:val="24"/>
          <w:szCs w:val="24"/>
          <w:lang w:val="en-US" w:eastAsia="zh-CN" w:bidi="ar"/>
        </w:rPr>
        <w:t>）召集人需要通知的其他事项。</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（四）基金份额持有人出席会议的方式</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基金份额持有人大会可通过现场开会方式、通讯开会方式或法律法规、监管机构允许的其他方式召开，会议的召开方式由会议召集人确定。</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个月以后、</w:t>
      </w:r>
      <w:r>
        <w:rPr>
          <w:rFonts w:hint="default" w:ascii="Times New Roman" w:hAnsi="Times New Roman" w:eastAsia="宋体" w:cs="Times New Roman"/>
          <w:bCs/>
          <w:kern w:val="2"/>
          <w:sz w:val="24"/>
          <w:szCs w:val="24"/>
          <w:lang w:val="en-US" w:eastAsia="zh-CN" w:bidi="ar"/>
        </w:rPr>
        <w:t>6</w:t>
      </w:r>
      <w:r>
        <w:rPr>
          <w:rFonts w:hint="eastAsia" w:ascii="宋体" w:hAnsi="宋体" w:eastAsia="宋体" w:cs="宋体"/>
          <w:bCs/>
          <w:kern w:val="2"/>
          <w:sz w:val="24"/>
          <w:szCs w:val="24"/>
          <w:lang w:val="en-US" w:eastAsia="zh-CN" w:bidi="ar"/>
        </w:rPr>
        <w:t>个月以内，就原定审议事项重新召集基金份额持有人大会。重新召集的基金份额持有人大会到会者在权益登记日代表的有效的基金份额应不少于本基金在权益登记日基金总份额的三分之一（含三分之一）。</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、通讯开会。通讯开会系指基金份额持有人将其对表决事项的投票以会议通知载明的形式或基金合同约定的其他方式在表决截止日以前送达至召集人指定的地址或系统。</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在同时符合以下条件时，通讯开会的方式视为有效：</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）会议召集人按《基金合同》约定公布会议通知后，在</w:t>
      </w: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个工作日内连续公布相关提示性公告；</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keepNext w:val="0"/>
        <w:keepLines w:val="0"/>
        <w:widowControl w:val="0"/>
        <w:suppressLineNumbers w:val="0"/>
        <w:spacing w:before="0" w:beforeAutospacing="0" w:after="0" w:afterAutospacing="0" w:line="360" w:lineRule="auto"/>
        <w:ind w:left="0" w:right="0" w:firstLine="540" w:firstLineChars="225"/>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个月以后、</w:t>
      </w:r>
      <w:r>
        <w:rPr>
          <w:rFonts w:hint="default" w:ascii="Times New Roman" w:hAnsi="Times New Roman" w:eastAsia="宋体" w:cs="Times New Roman"/>
          <w:bCs/>
          <w:kern w:val="2"/>
          <w:sz w:val="24"/>
          <w:szCs w:val="24"/>
          <w:lang w:val="en-US" w:eastAsia="zh-CN" w:bidi="ar"/>
        </w:rPr>
        <w:t>6</w:t>
      </w:r>
      <w:r>
        <w:rPr>
          <w:rFonts w:hint="eastAsia" w:ascii="宋体" w:hAnsi="宋体" w:eastAsia="宋体" w:cs="宋体"/>
          <w:bCs/>
          <w:kern w:val="2"/>
          <w:sz w:val="24"/>
          <w:szCs w:val="24"/>
          <w:lang w:val="en-US" w:eastAsia="zh-CN" w:bidi="ar"/>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）上述第（</w:t>
      </w: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（五）议事内容与程序</w:t>
      </w:r>
    </w:p>
    <w:p>
      <w:pPr>
        <w:keepNext w:val="0"/>
        <w:keepLines w:val="0"/>
        <w:widowControl w:val="0"/>
        <w:suppressLineNumbers w:val="0"/>
        <w:spacing w:before="0" w:beforeAutospacing="0" w:after="0" w:afterAutospacing="0" w:line="360" w:lineRule="auto"/>
        <w:ind w:left="0" w:right="0" w:firstLine="480" w:firstLineChars="200"/>
        <w:jc w:val="both"/>
        <w:outlineLvl w:val="2"/>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、议事内容及提案权</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基金份额持有人大会的召集人发出召集会议的通知后，对原有提案的修改应当在基金份额持有人大会召开前及时公告。</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基金份额持有人大会不得对未事先公告的议事内容进行表决。</w:t>
      </w:r>
    </w:p>
    <w:p>
      <w:pPr>
        <w:keepNext w:val="0"/>
        <w:keepLines w:val="0"/>
        <w:widowControl w:val="0"/>
        <w:suppressLineNumbers w:val="0"/>
        <w:spacing w:before="0" w:beforeAutospacing="0" w:after="0" w:afterAutospacing="0" w:line="360" w:lineRule="auto"/>
        <w:ind w:left="0" w:right="0" w:firstLine="480" w:firstLineChars="200"/>
        <w:jc w:val="both"/>
        <w:outlineLvl w:val="2"/>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、议事程序</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）现场开会</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default" w:ascii="Times New Roman" w:hAnsi="Times New Roman" w:eastAsia="宋体" w:cs="Times New Roman"/>
          <w:bCs/>
          <w:kern w:val="2"/>
          <w:sz w:val="24"/>
          <w:szCs w:val="24"/>
          <w:lang w:val="en-US" w:eastAsia="zh-CN" w:bidi="ar"/>
        </w:rPr>
        <w:t>50%</w:t>
      </w:r>
      <w:r>
        <w:rPr>
          <w:rFonts w:hint="eastAsia" w:ascii="宋体" w:hAnsi="宋体" w:eastAsia="宋体" w:cs="宋体"/>
          <w:bCs/>
          <w:kern w:val="2"/>
          <w:sz w:val="24"/>
          <w:szCs w:val="24"/>
          <w:lang w:val="en-US" w:eastAsia="zh-CN" w:bidi="ar"/>
        </w:rPr>
        <w:t>以上（含</w:t>
      </w:r>
      <w:r>
        <w:rPr>
          <w:rFonts w:hint="default" w:ascii="Times New Roman" w:hAnsi="Times New Roman" w:eastAsia="宋体" w:cs="Times New Roman"/>
          <w:bCs/>
          <w:kern w:val="2"/>
          <w:sz w:val="24"/>
          <w:szCs w:val="24"/>
          <w:lang w:val="en-US" w:eastAsia="zh-CN" w:bidi="ar"/>
        </w:rPr>
        <w:t>50%</w:t>
      </w:r>
      <w:r>
        <w:rPr>
          <w:rFonts w:hint="eastAsia" w:ascii="宋体" w:hAnsi="宋体" w:eastAsia="宋体" w:cs="宋体"/>
          <w:bCs/>
          <w:kern w:val="2"/>
          <w:sz w:val="24"/>
          <w:szCs w:val="24"/>
          <w:lang w:val="en-US" w:eastAsia="zh-CN" w:bidi="ar"/>
        </w:rPr>
        <w:t>）选举产生一名基金份额持有人或代理人作为该次基金份额持有人大会的主持人。基金管理人和基金托管人拒不出席或主持基金份额持有人大会，不影响基金份额持有人大会作出的决议的效力。</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会议召集人应当制作出席会议人员的签名册。签名册载明参加会议人员姓名（或单位名称）、身份证明文件号码、持有或代表有表决权的基金份额、委托人姓名（或单位名称）和联系方式等事项。</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）通讯开会</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在通讯开会的情况下，首先由召集人提前</w:t>
      </w:r>
      <w:r>
        <w:rPr>
          <w:rFonts w:hint="default" w:ascii="Times New Roman" w:hAnsi="Times New Roman" w:eastAsia="宋体" w:cs="Times New Roman"/>
          <w:bCs/>
          <w:kern w:val="2"/>
          <w:sz w:val="24"/>
          <w:szCs w:val="24"/>
          <w:lang w:val="en-US" w:eastAsia="zh-CN" w:bidi="ar"/>
        </w:rPr>
        <w:t>30</w:t>
      </w:r>
      <w:r>
        <w:rPr>
          <w:rFonts w:hint="eastAsia" w:ascii="宋体" w:hAnsi="宋体" w:eastAsia="宋体" w:cs="宋体"/>
          <w:bCs/>
          <w:kern w:val="2"/>
          <w:sz w:val="24"/>
          <w:szCs w:val="24"/>
          <w:lang w:val="en-US" w:eastAsia="zh-CN" w:bidi="ar"/>
        </w:rPr>
        <w:t>日公布提案，在所通知的表决截止日期后</w:t>
      </w: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个工作日内在公证机关监督下由召集人统计全部有效表决，在公证机关监督下形成决议。</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宋体" w:cs="Times New Roman"/>
          <w:bCs/>
          <w:kern w:val="2"/>
          <w:sz w:val="24"/>
          <w:szCs w:val="24"/>
        </w:rPr>
      </w:pPr>
      <w:r>
        <w:rPr>
          <w:rFonts w:hint="eastAsia" w:ascii="宋体" w:hAnsi="宋体" w:eastAsia="宋体" w:cs="宋体"/>
          <w:bCs/>
          <w:kern w:val="2"/>
          <w:sz w:val="24"/>
          <w:szCs w:val="24"/>
          <w:lang w:val="en-US" w:eastAsia="zh-CN" w:bidi="ar"/>
        </w:rPr>
        <w:t>（六）表决</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基金份额持有人所持每份基金份额有一票表决权。</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基金份额持有人大会决议分为一般决议和特别决议：</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、一般决议，一般决议须经参加大会的基金份额持有人或其代理人所持表决权的二分之一以上（含二分之一）通过方为有效；除下列第</w:t>
      </w: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项所规定的须以特别决议通过事项以外的其他事项均以一般决议的方式通过。</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基金份额持有人大会采取记名方式进行投票表决。</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基金份额持有人大会的各项提案或同一项提案内并列的各项议题应当分开审议、逐项表决。</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（七）计票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、现场开会</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）监票人应当在基金份额持有人表决后立即进行清点并由大会主持人当场公布计票结果。</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）计票过程应由公证机关予以公证，基金管理人或基金托管人拒不出席大会的，不影响计票的效力。</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、通讯开会</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（八）生效与公告</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基金份额持有人大会的决议，召集人应当自通过之日起</w:t>
      </w: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日内报中国证监会备案。</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基金份额持有人大会的决议自表决通过之日起生效。法律法规另有规定的，从其规定。</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基金份额持有人大会决议自生效之日起依照《信息披露办法》的规定在规定媒介上公告。如果采用通讯方式进行表决，在公告基金份额持有人大会决议时，必须将公证书全文、公证机构、公证员姓名等一同公告。</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基金管理人、基金托管人和基金份额持有人应当执行生效的基金份额持有人大会的决议。生效的基金份额持有人大会决议对全体基金份额持有人、基金管理人、基金托管人均有约束力。</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（九）实施侧袋机制期间基金份额持有人大会的特殊约定</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、基金份额持有人行使提议权、召集权、提名权所需单独或合计代表相关基金份额</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以上（含</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、现场开会的到会者在权益登记日代表的基金份额不少于本基金在权益登记日相关基金份额的二分之一（含二分之一）；</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、通讯开会的直接出具表决意见或授权他人代表出具表决意见的基金份额持有人所持有的基金份额不小于在权益登记日相关基金份额的二分之一（含二分之一）；</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、在参与基金份额持有人大会投票的基金份额持有人所持有的基金份额小于在权益登记日相关基金份额的二分之一、召集人在原公告的基金份额持有人大会召开时间的</w:t>
      </w: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个月以后、</w:t>
      </w:r>
      <w:r>
        <w:rPr>
          <w:rFonts w:hint="default" w:ascii="Times New Roman" w:hAnsi="Times New Roman" w:eastAsia="宋体" w:cs="Times New Roman"/>
          <w:bCs/>
          <w:kern w:val="2"/>
          <w:sz w:val="24"/>
          <w:szCs w:val="24"/>
          <w:lang w:val="en-US" w:eastAsia="zh-CN" w:bidi="ar"/>
        </w:rPr>
        <w:t>6</w:t>
      </w:r>
      <w:r>
        <w:rPr>
          <w:rFonts w:hint="eastAsia" w:ascii="宋体" w:hAnsi="宋体" w:eastAsia="宋体" w:cs="宋体"/>
          <w:bCs/>
          <w:kern w:val="2"/>
          <w:sz w:val="24"/>
          <w:szCs w:val="24"/>
          <w:lang w:val="en-US" w:eastAsia="zh-CN" w:bidi="ar"/>
        </w:rPr>
        <w:t>个月以内就原定审议事项重新召集的基金份额持有人大会应当有代表三分之一以上（含三分之一）相关基金份额的持有人参与或授权他人参与基金份额持有人大会投票；</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、现场开会由出席大会的基金份额持有人和代理人所持表决权的</w:t>
      </w:r>
      <w:r>
        <w:rPr>
          <w:rFonts w:hint="default" w:ascii="Times New Roman" w:hAnsi="Times New Roman" w:eastAsia="宋体" w:cs="Times New Roman"/>
          <w:bCs/>
          <w:kern w:val="2"/>
          <w:sz w:val="24"/>
          <w:szCs w:val="24"/>
          <w:lang w:val="en-US" w:eastAsia="zh-CN" w:bidi="ar"/>
        </w:rPr>
        <w:t>50%</w:t>
      </w:r>
      <w:r>
        <w:rPr>
          <w:rFonts w:hint="eastAsia" w:ascii="宋体" w:hAnsi="宋体" w:eastAsia="宋体" w:cs="宋体"/>
          <w:bCs/>
          <w:kern w:val="2"/>
          <w:sz w:val="24"/>
          <w:szCs w:val="24"/>
          <w:lang w:val="en-US" w:eastAsia="zh-CN" w:bidi="ar"/>
        </w:rPr>
        <w:t>以上（含</w:t>
      </w:r>
      <w:r>
        <w:rPr>
          <w:rFonts w:hint="default" w:ascii="Times New Roman" w:hAnsi="Times New Roman" w:eastAsia="宋体" w:cs="Times New Roman"/>
          <w:bCs/>
          <w:kern w:val="2"/>
          <w:sz w:val="24"/>
          <w:szCs w:val="24"/>
          <w:lang w:val="en-US" w:eastAsia="zh-CN" w:bidi="ar"/>
        </w:rPr>
        <w:t>50%</w:t>
      </w:r>
      <w:r>
        <w:rPr>
          <w:rFonts w:hint="eastAsia" w:ascii="宋体" w:hAnsi="宋体" w:eastAsia="宋体" w:cs="宋体"/>
          <w:bCs/>
          <w:kern w:val="2"/>
          <w:sz w:val="24"/>
          <w:szCs w:val="24"/>
          <w:lang w:val="en-US" w:eastAsia="zh-CN" w:bidi="ar"/>
        </w:rPr>
        <w:t>）选举产生一名基金份额持有人或代理人作为该次基金份额持有人大会的主持人；</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6</w:t>
      </w:r>
      <w:r>
        <w:rPr>
          <w:rFonts w:hint="eastAsia" w:ascii="宋体" w:hAnsi="宋体" w:eastAsia="宋体" w:cs="宋体"/>
          <w:bCs/>
          <w:kern w:val="2"/>
          <w:sz w:val="24"/>
          <w:szCs w:val="24"/>
          <w:lang w:val="en-US" w:eastAsia="zh-CN" w:bidi="ar"/>
        </w:rPr>
        <w:t>、一般决议须经参加大会的基金份额持有人或其代理人所持表决权的二分之一以上（含二分之一）通过；</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7</w:t>
      </w:r>
      <w:r>
        <w:rPr>
          <w:rFonts w:hint="eastAsia" w:ascii="宋体" w:hAnsi="宋体" w:eastAsia="宋体" w:cs="宋体"/>
          <w:bCs/>
          <w:kern w:val="2"/>
          <w:sz w:val="24"/>
          <w:szCs w:val="24"/>
          <w:lang w:val="en-US" w:eastAsia="zh-CN" w:bidi="ar"/>
        </w:rPr>
        <w:t>、特别决议应当经参加大会的基金份额持有人或其代理人所持表决权的三分之二以上（含三分之二）通过。</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同一主侧袋账户内的每份基金份额具有平等的表决权。</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十）本部分对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pPr>
        <w:keepNext w:val="0"/>
        <w:keepLines w:val="0"/>
        <w:widowControl w:val="0"/>
        <w:suppressLineNumbers w:val="0"/>
        <w:spacing w:before="0" w:beforeAutospacing="0" w:after="0" w:afterAutospacing="0" w:line="360" w:lineRule="auto"/>
        <w:ind w:left="0" w:right="0" w:firstLine="482" w:firstLineChars="200"/>
        <w:jc w:val="both"/>
        <w:outlineLvl w:val="1"/>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三、基金收益分配原则、执行方式</w:t>
      </w:r>
    </w:p>
    <w:p>
      <w:pPr>
        <w:keepNext w:val="0"/>
        <w:keepLines w:val="0"/>
        <w:widowControl w:val="0"/>
        <w:suppressLineNumbers w:val="0"/>
        <w:spacing w:before="0" w:beforeAutospacing="0" w:after="0" w:afterAutospacing="0" w:line="360" w:lineRule="auto"/>
        <w:ind w:left="0" w:right="0" w:firstLine="480" w:firstLineChars="200"/>
        <w:jc w:val="both"/>
        <w:outlineLvl w:val="2"/>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（一）基金收益分配原则</w:t>
      </w:r>
    </w:p>
    <w:p>
      <w:pPr>
        <w:keepNext w:val="0"/>
        <w:keepLines w:val="0"/>
        <w:widowControl w:val="0"/>
        <w:suppressLineNumbers w:val="0"/>
        <w:spacing w:before="0" w:beforeAutospacing="0" w:after="0" w:afterAutospacing="0" w:line="360" w:lineRule="auto"/>
        <w:ind w:left="0" w:right="0" w:firstLine="540" w:firstLineChars="225"/>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、由于本基金</w:t>
      </w:r>
      <w:r>
        <w:rPr>
          <w:rFonts w:hint="default" w:ascii="Times New Roman" w:hAnsi="Times New Roman" w:eastAsia="宋体" w:cs="Times New Roman"/>
          <w:bCs/>
          <w:kern w:val="2"/>
          <w:sz w:val="24"/>
          <w:szCs w:val="24"/>
          <w:lang w:val="en-US" w:eastAsia="zh-CN" w:bidi="ar"/>
        </w:rPr>
        <w:t>A</w:t>
      </w:r>
      <w:r>
        <w:rPr>
          <w:rFonts w:hint="eastAsia" w:ascii="宋体" w:hAnsi="宋体" w:eastAsia="宋体" w:cs="宋体"/>
          <w:bCs/>
          <w:kern w:val="2"/>
          <w:sz w:val="24"/>
          <w:szCs w:val="24"/>
          <w:lang w:val="en-US" w:eastAsia="zh-CN" w:bidi="ar"/>
        </w:rPr>
        <w:t>类基金份额不收取销售服务费，</w:t>
      </w:r>
      <w:r>
        <w:rPr>
          <w:rFonts w:hint="default" w:ascii="Times New Roman" w:hAnsi="Times New Roman" w:eastAsia="宋体" w:cs="Times New Roman"/>
          <w:bCs/>
          <w:kern w:val="2"/>
          <w:sz w:val="24"/>
          <w:szCs w:val="24"/>
          <w:lang w:val="en-US" w:eastAsia="zh-CN" w:bidi="ar"/>
        </w:rPr>
        <w:t>C</w:t>
      </w:r>
      <w:r>
        <w:rPr>
          <w:rFonts w:hint="eastAsia" w:ascii="宋体" w:hAnsi="宋体" w:eastAsia="宋体" w:cs="宋体"/>
          <w:bCs/>
          <w:kern w:val="2"/>
          <w:sz w:val="24"/>
          <w:szCs w:val="24"/>
          <w:lang w:val="en-US" w:eastAsia="zh-CN" w:bidi="ar"/>
        </w:rPr>
        <w:t>类基金份额收取销售服务费，各基金份额类别对应的可供分配利润将有所不同；</w:t>
      </w:r>
    </w:p>
    <w:p>
      <w:pPr>
        <w:keepNext w:val="0"/>
        <w:keepLines w:val="0"/>
        <w:widowControl w:val="0"/>
        <w:suppressLineNumbers w:val="0"/>
        <w:spacing w:before="0" w:beforeAutospacing="0" w:after="0" w:afterAutospacing="0" w:line="360" w:lineRule="auto"/>
        <w:ind w:left="0" w:right="0" w:firstLine="540" w:firstLineChars="225"/>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、在符合有关基金分红条件的前提下，本基金管理人可以根据实际情况进行收益分配，具体分配方案以公告为准，若《基金合同》生效不满</w:t>
      </w: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个月可不进行收益分配；</w:t>
      </w:r>
    </w:p>
    <w:p>
      <w:pPr>
        <w:keepNext w:val="0"/>
        <w:keepLines w:val="0"/>
        <w:widowControl w:val="0"/>
        <w:suppressLineNumbers w:val="0"/>
        <w:spacing w:before="0" w:beforeAutospacing="0" w:after="0" w:afterAutospacing="0" w:line="360" w:lineRule="auto"/>
        <w:ind w:left="0" w:right="0" w:firstLine="540" w:firstLineChars="225"/>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、本基金收益分配方式分两种：现金分红与红利再投资，投资者可选择现金红利或将现金红利自动转为相应类别的基金份额进行再投资；若投资者不选择，本基金默认的收益分配方式是现金分红；</w:t>
      </w:r>
      <w:r>
        <w:rPr>
          <w:rFonts w:hint="eastAsia" w:ascii="宋体" w:hAnsi="宋体" w:eastAsia="宋体" w:cs="宋体"/>
          <w:kern w:val="2"/>
          <w:sz w:val="24"/>
          <w:szCs w:val="24"/>
          <w:lang w:val="en-US" w:eastAsia="zh-CN" w:bidi="ar"/>
        </w:rPr>
        <w:t>基金份额持有人可对其持有的</w:t>
      </w:r>
      <w:r>
        <w:rPr>
          <w:rFonts w:hint="default" w:ascii="Times New Roman" w:hAnsi="Times New Roman" w:eastAsia="宋体" w:cs="Times New Roman"/>
          <w:kern w:val="2"/>
          <w:sz w:val="24"/>
          <w:szCs w:val="24"/>
          <w:lang w:val="en-US" w:eastAsia="zh-CN" w:bidi="ar"/>
        </w:rPr>
        <w:t>A</w:t>
      </w:r>
      <w:r>
        <w:rPr>
          <w:rFonts w:hint="eastAsia" w:ascii="宋体" w:hAnsi="宋体" w:eastAsia="宋体" w:cs="宋体"/>
          <w:kern w:val="2"/>
          <w:sz w:val="24"/>
          <w:szCs w:val="24"/>
          <w:lang w:val="en-US" w:eastAsia="zh-CN" w:bidi="ar"/>
        </w:rPr>
        <w:t>类</w:t>
      </w:r>
      <w:r>
        <w:rPr>
          <w:rFonts w:hint="eastAsia" w:ascii="宋体" w:hAnsi="宋体" w:eastAsia="宋体" w:cs="宋体"/>
          <w:bCs/>
          <w:kern w:val="2"/>
          <w:sz w:val="24"/>
          <w:szCs w:val="24"/>
          <w:lang w:val="en-US" w:eastAsia="zh-CN" w:bidi="ar"/>
        </w:rPr>
        <w:t>基金份额</w:t>
      </w:r>
      <w:r>
        <w:rPr>
          <w:rFonts w:hint="eastAsia" w:ascii="宋体" w:hAnsi="宋体" w:eastAsia="宋体" w:cs="宋体"/>
          <w:kern w:val="2"/>
          <w:sz w:val="24"/>
          <w:szCs w:val="24"/>
          <w:lang w:val="en-US" w:eastAsia="zh-CN" w:bidi="ar"/>
        </w:rPr>
        <w:t>和</w:t>
      </w:r>
      <w:r>
        <w:rPr>
          <w:rFonts w:hint="default" w:ascii="Times New Roman" w:hAnsi="Times New Roman" w:eastAsia="宋体" w:cs="Times New Roman"/>
          <w:kern w:val="2"/>
          <w:sz w:val="24"/>
          <w:szCs w:val="24"/>
          <w:lang w:val="en-US" w:eastAsia="zh-CN" w:bidi="ar"/>
        </w:rPr>
        <w:t>C</w:t>
      </w:r>
      <w:r>
        <w:rPr>
          <w:rFonts w:hint="eastAsia" w:ascii="宋体" w:hAnsi="宋体" w:eastAsia="宋体" w:cs="宋体"/>
          <w:kern w:val="2"/>
          <w:sz w:val="24"/>
          <w:szCs w:val="24"/>
          <w:lang w:val="en-US" w:eastAsia="zh-CN" w:bidi="ar"/>
        </w:rPr>
        <w:t>类基金份额分别选择不同的收益分配方式；</w:t>
      </w:r>
    </w:p>
    <w:p>
      <w:pPr>
        <w:keepNext w:val="0"/>
        <w:keepLines w:val="0"/>
        <w:widowControl w:val="0"/>
        <w:suppressLineNumbers w:val="0"/>
        <w:spacing w:before="0" w:beforeAutospacing="0" w:after="0" w:afterAutospacing="0" w:line="360" w:lineRule="auto"/>
        <w:ind w:left="0" w:right="0" w:firstLine="540" w:firstLineChars="225"/>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、基金收益分配后任一类基金份额净值不能低于面值；即基金收益分配基准日的任一类基金份额净值减去该类每单位基金份额收益分配金额后不能低于面值；</w:t>
      </w:r>
    </w:p>
    <w:p>
      <w:pPr>
        <w:keepNext w:val="0"/>
        <w:keepLines w:val="0"/>
        <w:widowControl w:val="0"/>
        <w:suppressLineNumbers w:val="0"/>
        <w:spacing w:before="0" w:beforeAutospacing="0" w:after="0" w:afterAutospacing="0" w:line="360" w:lineRule="auto"/>
        <w:ind w:left="0" w:right="0" w:firstLine="540" w:firstLineChars="225"/>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、本基金同一基金份额类别的每一基金份额享有同等分配权；</w:t>
      </w:r>
    </w:p>
    <w:p>
      <w:pPr>
        <w:keepNext w:val="0"/>
        <w:keepLines w:val="0"/>
        <w:widowControl w:val="0"/>
        <w:suppressLineNumbers w:val="0"/>
        <w:spacing w:before="0" w:beforeAutospacing="0" w:after="0" w:afterAutospacing="0" w:line="360" w:lineRule="auto"/>
        <w:ind w:left="0" w:right="0" w:firstLine="540" w:firstLineChars="225"/>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6</w:t>
      </w:r>
      <w:r>
        <w:rPr>
          <w:rFonts w:hint="eastAsia" w:ascii="宋体" w:hAnsi="宋体" w:eastAsia="宋体" w:cs="宋体"/>
          <w:bCs/>
          <w:kern w:val="2"/>
          <w:sz w:val="24"/>
          <w:szCs w:val="24"/>
          <w:lang w:val="en-US" w:eastAsia="zh-CN" w:bidi="ar"/>
        </w:rPr>
        <w:t>、法律法规或监管机关另有规定的，从其规定。</w:t>
      </w:r>
    </w:p>
    <w:p>
      <w:pPr>
        <w:keepNext w:val="0"/>
        <w:keepLines w:val="0"/>
        <w:widowControl w:val="0"/>
        <w:suppressLineNumbers w:val="0"/>
        <w:spacing w:before="0" w:beforeAutospacing="0" w:after="0" w:afterAutospacing="0" w:line="360" w:lineRule="auto"/>
        <w:ind w:left="0" w:right="0" w:firstLine="540" w:firstLineChars="225"/>
        <w:jc w:val="both"/>
        <w:outlineLvl w:val="2"/>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（二）收益分配方案</w:t>
      </w:r>
    </w:p>
    <w:p>
      <w:pPr>
        <w:keepNext w:val="0"/>
        <w:keepLines w:val="0"/>
        <w:widowControl w:val="0"/>
        <w:suppressLineNumbers w:val="0"/>
        <w:spacing w:before="0" w:beforeAutospacing="0" w:after="0" w:afterAutospacing="0" w:line="360" w:lineRule="auto"/>
        <w:ind w:left="0" w:right="0" w:firstLine="540" w:firstLineChars="225"/>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基金收益分配方案中应载明截止收益分配基准日的可供分配利润、基金收益分配对象、分配时间、分配数额及比例、分配方式等内容。</w:t>
      </w:r>
    </w:p>
    <w:p>
      <w:pPr>
        <w:keepNext w:val="0"/>
        <w:keepLines w:val="0"/>
        <w:widowControl w:val="0"/>
        <w:suppressLineNumbers w:val="0"/>
        <w:spacing w:before="0" w:beforeAutospacing="0" w:after="0" w:afterAutospacing="0" w:line="360" w:lineRule="auto"/>
        <w:ind w:left="0" w:right="0" w:firstLine="540" w:firstLineChars="225"/>
        <w:jc w:val="both"/>
        <w:outlineLvl w:val="2"/>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（三）收益分配方案的确定、公告与实施</w:t>
      </w:r>
    </w:p>
    <w:p>
      <w:pPr>
        <w:keepNext w:val="0"/>
        <w:keepLines w:val="0"/>
        <w:widowControl w:val="0"/>
        <w:suppressLineNumbers w:val="0"/>
        <w:spacing w:before="0" w:beforeAutospacing="0" w:after="0" w:afterAutospacing="0" w:line="360" w:lineRule="auto"/>
        <w:ind w:left="0" w:right="0" w:firstLine="540" w:firstLineChars="225"/>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本基金收益分配方案由基金管理人拟定，并由基金托管人复核，依照《信息披露办法》的规定在规定媒介公告。</w:t>
      </w:r>
    </w:p>
    <w:p>
      <w:pPr>
        <w:keepNext w:val="0"/>
        <w:keepLines w:val="0"/>
        <w:widowControl w:val="0"/>
        <w:suppressLineNumbers w:val="0"/>
        <w:spacing w:before="0" w:beforeAutospacing="0" w:after="0" w:afterAutospacing="0" w:line="360" w:lineRule="auto"/>
        <w:ind w:left="0" w:right="0" w:firstLine="540" w:firstLineChars="225"/>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法律法规或监管机关另有规定的，从其规定。</w:t>
      </w:r>
    </w:p>
    <w:p>
      <w:pPr>
        <w:keepNext w:val="0"/>
        <w:keepLines w:val="0"/>
        <w:widowControl w:val="0"/>
        <w:suppressLineNumbers w:val="0"/>
        <w:spacing w:before="0" w:beforeAutospacing="0" w:after="0" w:afterAutospacing="0" w:line="360" w:lineRule="auto"/>
        <w:ind w:left="0" w:right="0" w:firstLine="482" w:firstLineChars="200"/>
        <w:jc w:val="both"/>
        <w:outlineLvl w:val="1"/>
        <w:rPr>
          <w:rFonts w:hint="default" w:ascii="Times New Roman" w:hAnsi="Times New Roman" w:cs="Times New Roman"/>
          <w:b/>
          <w:bCs/>
          <w:kern w:val="2"/>
          <w:sz w:val="24"/>
          <w:szCs w:val="24"/>
        </w:rPr>
      </w:pPr>
      <w:r>
        <w:rPr>
          <w:rFonts w:hint="eastAsia" w:ascii="宋体" w:hAnsi="宋体" w:eastAsia="宋体" w:cs="宋体"/>
          <w:b/>
          <w:bCs/>
          <w:kern w:val="2"/>
          <w:sz w:val="24"/>
          <w:szCs w:val="24"/>
          <w:lang w:val="en-US" w:eastAsia="zh-CN" w:bidi="ar"/>
        </w:rPr>
        <w:t>四、与基金财产管理、运用有关费用的提取、支付方式与比例</w:t>
      </w:r>
    </w:p>
    <w:p>
      <w:pPr>
        <w:keepNext w:val="0"/>
        <w:keepLines w:val="0"/>
        <w:widowControl w:val="0"/>
        <w:suppressLineNumbers w:val="0"/>
        <w:spacing w:before="0" w:beforeAutospacing="0" w:after="0" w:afterAutospacing="0" w:line="360" w:lineRule="auto"/>
        <w:ind w:left="0" w:right="0" w:firstLine="480" w:firstLineChars="200"/>
        <w:jc w:val="both"/>
        <w:outlineLvl w:val="2"/>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（一）基金费用的种类</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、基金管理人的管理费；</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、基金托管人的托管费；</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、《基金合同》生效后与基金相关的信息披露费用；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、《基金合同》生效后与基金相关的会计师费、律师费、仲裁费和诉讼费；</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、基金份额持有人大会费用；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6</w:t>
      </w:r>
      <w:r>
        <w:rPr>
          <w:rFonts w:hint="eastAsia" w:ascii="宋体" w:hAnsi="宋体" w:eastAsia="宋体" w:cs="宋体"/>
          <w:bCs/>
          <w:kern w:val="2"/>
          <w:sz w:val="24"/>
          <w:szCs w:val="24"/>
          <w:lang w:val="en-US" w:eastAsia="zh-CN" w:bidi="ar"/>
        </w:rPr>
        <w:t>、基金的证券、期货交易费用；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7</w:t>
      </w:r>
      <w:r>
        <w:rPr>
          <w:rFonts w:hint="eastAsia" w:ascii="宋体" w:hAnsi="宋体" w:eastAsia="宋体" w:cs="宋体"/>
          <w:bCs/>
          <w:kern w:val="2"/>
          <w:sz w:val="24"/>
          <w:szCs w:val="24"/>
          <w:lang w:val="en-US" w:eastAsia="zh-CN" w:bidi="ar"/>
        </w:rPr>
        <w:t>、基金的银行汇划费用；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8</w:t>
      </w:r>
      <w:r>
        <w:rPr>
          <w:rFonts w:hint="eastAsia" w:ascii="宋体" w:hAnsi="宋体" w:eastAsia="宋体" w:cs="宋体"/>
          <w:bCs/>
          <w:kern w:val="2"/>
          <w:sz w:val="24"/>
          <w:szCs w:val="24"/>
          <w:lang w:val="en-US" w:eastAsia="zh-CN" w:bidi="ar"/>
        </w:rPr>
        <w:t>、基金的开户费用、账户维护费用；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9</w:t>
      </w:r>
      <w:r>
        <w:rPr>
          <w:rFonts w:hint="eastAsia" w:ascii="宋体" w:hAnsi="宋体" w:eastAsia="宋体" w:cs="宋体"/>
          <w:bCs/>
          <w:kern w:val="2"/>
          <w:sz w:val="24"/>
          <w:szCs w:val="24"/>
          <w:lang w:val="en-US" w:eastAsia="zh-CN" w:bidi="ar"/>
        </w:rPr>
        <w:t>、因投资港股通标的股票而产生的各项合理费用；</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、本基金从</w:t>
      </w:r>
      <w:r>
        <w:rPr>
          <w:rFonts w:hint="default" w:ascii="Times New Roman" w:hAnsi="Times New Roman" w:eastAsia="宋体" w:cs="Times New Roman"/>
          <w:bCs/>
          <w:kern w:val="2"/>
          <w:sz w:val="24"/>
          <w:szCs w:val="24"/>
          <w:lang w:val="en-US" w:eastAsia="zh-CN" w:bidi="ar"/>
        </w:rPr>
        <w:t>C</w:t>
      </w:r>
      <w:r>
        <w:rPr>
          <w:rFonts w:hint="eastAsia" w:ascii="宋体" w:hAnsi="宋体" w:eastAsia="宋体" w:cs="宋体"/>
          <w:bCs/>
          <w:kern w:val="2"/>
          <w:sz w:val="24"/>
          <w:szCs w:val="24"/>
          <w:lang w:val="en-US" w:eastAsia="zh-CN" w:bidi="ar"/>
        </w:rPr>
        <w:t>类基金份额的基金财产中计提的销售服务费；</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11</w:t>
      </w:r>
      <w:r>
        <w:rPr>
          <w:rFonts w:hint="eastAsia" w:ascii="宋体" w:hAnsi="宋体" w:eastAsia="宋体" w:cs="宋体"/>
          <w:bCs/>
          <w:kern w:val="2"/>
          <w:sz w:val="24"/>
          <w:szCs w:val="24"/>
          <w:lang w:val="en-US" w:eastAsia="zh-CN" w:bidi="ar"/>
        </w:rPr>
        <w:t>、按照国家有关规定和《基金合同》约定，可以在基金财产中列支的其他费用。</w:t>
      </w:r>
    </w:p>
    <w:p>
      <w:pPr>
        <w:keepNext w:val="0"/>
        <w:keepLines w:val="0"/>
        <w:widowControl w:val="0"/>
        <w:suppressLineNumbers w:val="0"/>
        <w:spacing w:before="0" w:beforeAutospacing="0" w:after="0" w:afterAutospacing="0" w:line="360" w:lineRule="auto"/>
        <w:ind w:left="0" w:right="0" w:firstLine="480" w:firstLineChars="200"/>
        <w:jc w:val="both"/>
        <w:outlineLvl w:val="2"/>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（二）基金费用计提方法、计提标准和支付方式</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、基金管理人的管理费</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本基金的管理费按前一日基金资产净值的</w:t>
      </w:r>
      <w:r>
        <w:rPr>
          <w:rFonts w:hint="default" w:ascii="Times New Roman" w:hAnsi="Times New Roman" w:eastAsia="宋体" w:cs="Times New Roman"/>
          <w:bCs/>
          <w:kern w:val="2"/>
          <w:sz w:val="24"/>
          <w:szCs w:val="24"/>
          <w:lang w:val="en-US" w:eastAsia="zh-CN" w:bidi="ar"/>
        </w:rPr>
        <w:t>1.2%</w:t>
      </w:r>
      <w:r>
        <w:rPr>
          <w:rFonts w:hint="eastAsia" w:ascii="宋体" w:hAnsi="宋体" w:eastAsia="宋体" w:cs="宋体"/>
          <w:bCs/>
          <w:kern w:val="2"/>
          <w:sz w:val="24"/>
          <w:szCs w:val="24"/>
          <w:lang w:val="en-US" w:eastAsia="zh-CN" w:bidi="ar"/>
        </w:rPr>
        <w:t>年费率计提。管理费的计算方法如下：</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H</w:t>
      </w: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E</w:t>
      </w:r>
      <w:r>
        <w:rPr>
          <w:rFonts w:hint="eastAsia" w:ascii="宋体" w:hAnsi="宋体" w:eastAsia="宋体" w:cs="宋体"/>
          <w:bCs/>
          <w:kern w:val="2"/>
          <w:sz w:val="24"/>
          <w:szCs w:val="24"/>
          <w:lang w:val="en-US" w:eastAsia="zh-CN" w:bidi="ar"/>
        </w:rPr>
        <w:t>×年管理费率÷当年天数</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H</w:t>
      </w:r>
      <w:r>
        <w:rPr>
          <w:rFonts w:hint="eastAsia" w:ascii="宋体" w:hAnsi="宋体" w:eastAsia="宋体" w:cs="宋体"/>
          <w:bCs/>
          <w:kern w:val="2"/>
          <w:sz w:val="24"/>
          <w:szCs w:val="24"/>
          <w:lang w:val="en-US" w:eastAsia="zh-CN" w:bidi="ar"/>
        </w:rPr>
        <w:t>为每日应计提的基金管理费</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E</w:t>
      </w:r>
      <w:r>
        <w:rPr>
          <w:rFonts w:hint="eastAsia" w:ascii="宋体" w:hAnsi="宋体" w:eastAsia="宋体" w:cs="宋体"/>
          <w:bCs/>
          <w:kern w:val="2"/>
          <w:sz w:val="24"/>
          <w:szCs w:val="24"/>
          <w:lang w:val="en-US" w:eastAsia="zh-CN" w:bidi="ar"/>
        </w:rPr>
        <w:t>为前一日的基金资产净值</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基金管理费每日计提，逐日累计至每月月末，按月支付。由基金管理人与基金托管人核对一致后，由基金托管人按照</w:t>
      </w:r>
      <w:r>
        <w:rPr>
          <w:rFonts w:hint="eastAsia" w:ascii="宋体" w:hAnsi="宋体" w:eastAsia="宋体" w:cs="宋体"/>
          <w:kern w:val="2"/>
          <w:sz w:val="24"/>
          <w:szCs w:val="24"/>
          <w:lang w:val="en-US" w:eastAsia="zh-CN" w:bidi="ar"/>
        </w:rPr>
        <w:t>与基金管理人协商一致的方式</w:t>
      </w:r>
      <w:r>
        <w:rPr>
          <w:rFonts w:hint="eastAsia" w:ascii="宋体" w:hAnsi="宋体" w:eastAsia="宋体" w:cs="宋体"/>
          <w:bCs/>
          <w:kern w:val="2"/>
          <w:sz w:val="24"/>
          <w:szCs w:val="24"/>
          <w:lang w:val="en-US" w:eastAsia="zh-CN" w:bidi="ar"/>
        </w:rPr>
        <w:t>于次月首日起</w:t>
      </w: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个工作日内从基金财产中一次性支付给基金管理人，若遇法定节假日、休息日或不可抗力致使无法按时支付的，支付日期顺延。</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、基金托管人的托管费</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本基金的托管费按前一日基金资产净值的</w:t>
      </w:r>
      <w:r>
        <w:rPr>
          <w:rFonts w:hint="default" w:ascii="Times New Roman" w:hAnsi="Times New Roman" w:eastAsia="宋体" w:cs="Times New Roman"/>
          <w:bCs/>
          <w:kern w:val="2"/>
          <w:sz w:val="24"/>
          <w:szCs w:val="24"/>
          <w:lang w:val="en-US" w:eastAsia="zh-CN" w:bidi="ar"/>
        </w:rPr>
        <w:t>0.2%</w:t>
      </w:r>
      <w:r>
        <w:rPr>
          <w:rFonts w:hint="eastAsia" w:ascii="宋体" w:hAnsi="宋体" w:eastAsia="宋体" w:cs="宋体"/>
          <w:bCs/>
          <w:kern w:val="2"/>
          <w:sz w:val="24"/>
          <w:szCs w:val="24"/>
          <w:lang w:val="en-US" w:eastAsia="zh-CN" w:bidi="ar"/>
        </w:rPr>
        <w:t>年费率计提。托管费的计算方法如下：</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H</w:t>
      </w: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E</w:t>
      </w:r>
      <w:r>
        <w:rPr>
          <w:rFonts w:hint="eastAsia" w:ascii="宋体" w:hAnsi="宋体" w:eastAsia="宋体" w:cs="宋体"/>
          <w:bCs/>
          <w:kern w:val="2"/>
          <w:sz w:val="24"/>
          <w:szCs w:val="24"/>
          <w:lang w:val="en-US" w:eastAsia="zh-CN" w:bidi="ar"/>
        </w:rPr>
        <w:t>×年托管费率÷当年天数</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H</w:t>
      </w:r>
      <w:r>
        <w:rPr>
          <w:rFonts w:hint="eastAsia" w:ascii="宋体" w:hAnsi="宋体" w:eastAsia="宋体" w:cs="宋体"/>
          <w:bCs/>
          <w:kern w:val="2"/>
          <w:sz w:val="24"/>
          <w:szCs w:val="24"/>
          <w:lang w:val="en-US" w:eastAsia="zh-CN" w:bidi="ar"/>
        </w:rPr>
        <w:t>为每日应计提的基金托管费</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E</w:t>
      </w:r>
      <w:r>
        <w:rPr>
          <w:rFonts w:hint="eastAsia" w:ascii="宋体" w:hAnsi="宋体" w:eastAsia="宋体" w:cs="宋体"/>
          <w:bCs/>
          <w:kern w:val="2"/>
          <w:sz w:val="24"/>
          <w:szCs w:val="24"/>
          <w:lang w:val="en-US" w:eastAsia="zh-CN" w:bidi="ar"/>
        </w:rPr>
        <w:t>为前一日的基金资产净值</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基金托管费每日计提，逐日累计至每月月末，按月支付。由基金管理人与基金托管人核对一致后，由基金托管人按照</w:t>
      </w:r>
      <w:r>
        <w:rPr>
          <w:rFonts w:hint="eastAsia" w:ascii="宋体" w:hAnsi="宋体" w:eastAsia="宋体" w:cs="宋体"/>
          <w:kern w:val="2"/>
          <w:sz w:val="24"/>
          <w:szCs w:val="24"/>
          <w:lang w:val="en-US" w:eastAsia="zh-CN" w:bidi="ar"/>
        </w:rPr>
        <w:t>与基金管理人协商一致的方式</w:t>
      </w:r>
      <w:r>
        <w:rPr>
          <w:rFonts w:hint="eastAsia" w:ascii="宋体" w:hAnsi="宋体" w:eastAsia="宋体" w:cs="宋体"/>
          <w:bCs/>
          <w:kern w:val="2"/>
          <w:sz w:val="24"/>
          <w:szCs w:val="24"/>
          <w:lang w:val="en-US" w:eastAsia="zh-CN" w:bidi="ar"/>
        </w:rPr>
        <w:t>于次月首日起</w:t>
      </w: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个工作日内从基金财产中一次性支付给基金托管人，若遇法定节假日、休息日或不可抗力致使无法按时支付的，支付日期顺延。</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C</w:t>
      </w:r>
      <w:r>
        <w:rPr>
          <w:rFonts w:hint="eastAsia" w:ascii="宋体" w:hAnsi="宋体" w:eastAsia="宋体" w:cs="宋体"/>
          <w:bCs/>
          <w:kern w:val="2"/>
          <w:sz w:val="24"/>
          <w:szCs w:val="24"/>
          <w:lang w:val="en-US" w:eastAsia="zh-CN" w:bidi="ar"/>
        </w:rPr>
        <w:t>类基金份额的销售服务费</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本基金</w:t>
      </w:r>
      <w:r>
        <w:rPr>
          <w:rFonts w:hint="default" w:ascii="Times New Roman" w:hAnsi="Times New Roman" w:eastAsia="宋体" w:cs="Times New Roman"/>
          <w:bCs/>
          <w:kern w:val="2"/>
          <w:sz w:val="24"/>
          <w:szCs w:val="24"/>
          <w:lang w:val="en-US" w:eastAsia="zh-CN" w:bidi="ar"/>
        </w:rPr>
        <w:t>A</w:t>
      </w:r>
      <w:r>
        <w:rPr>
          <w:rFonts w:hint="eastAsia" w:ascii="宋体" w:hAnsi="宋体" w:eastAsia="宋体" w:cs="宋体"/>
          <w:bCs/>
          <w:kern w:val="2"/>
          <w:sz w:val="24"/>
          <w:szCs w:val="24"/>
          <w:lang w:val="en-US" w:eastAsia="zh-CN" w:bidi="ar"/>
        </w:rPr>
        <w:t>类基金份额不收取销售服务费，</w:t>
      </w:r>
      <w:r>
        <w:rPr>
          <w:rFonts w:hint="default" w:ascii="Times New Roman" w:hAnsi="Times New Roman" w:eastAsia="宋体" w:cs="Times New Roman"/>
          <w:bCs/>
          <w:kern w:val="2"/>
          <w:sz w:val="24"/>
          <w:szCs w:val="24"/>
          <w:lang w:val="en-US" w:eastAsia="zh-CN" w:bidi="ar"/>
        </w:rPr>
        <w:t>C</w:t>
      </w:r>
      <w:r>
        <w:rPr>
          <w:rFonts w:hint="eastAsia" w:ascii="宋体" w:hAnsi="宋体" w:eastAsia="宋体" w:cs="宋体"/>
          <w:bCs/>
          <w:kern w:val="2"/>
          <w:sz w:val="24"/>
          <w:szCs w:val="24"/>
          <w:lang w:val="en-US" w:eastAsia="zh-CN" w:bidi="ar"/>
        </w:rPr>
        <w:t>类基金份额的销售服务费按前一日</w:t>
      </w:r>
      <w:r>
        <w:rPr>
          <w:rFonts w:hint="default" w:ascii="Times New Roman" w:hAnsi="Times New Roman" w:eastAsia="宋体" w:cs="Times New Roman"/>
          <w:bCs/>
          <w:kern w:val="2"/>
          <w:sz w:val="24"/>
          <w:szCs w:val="24"/>
          <w:lang w:val="en-US" w:eastAsia="zh-CN" w:bidi="ar"/>
        </w:rPr>
        <w:t>C</w:t>
      </w:r>
      <w:r>
        <w:rPr>
          <w:rFonts w:hint="eastAsia" w:ascii="宋体" w:hAnsi="宋体" w:eastAsia="宋体" w:cs="宋体"/>
          <w:bCs/>
          <w:kern w:val="2"/>
          <w:sz w:val="24"/>
          <w:szCs w:val="24"/>
          <w:lang w:val="en-US" w:eastAsia="zh-CN" w:bidi="ar"/>
        </w:rPr>
        <w:t>类基金资产净值的</w:t>
      </w:r>
      <w:r>
        <w:rPr>
          <w:rFonts w:hint="default" w:ascii="Times New Roman" w:hAnsi="Times New Roman" w:eastAsia="宋体" w:cs="Times New Roman"/>
          <w:bCs/>
          <w:kern w:val="2"/>
          <w:sz w:val="24"/>
          <w:szCs w:val="24"/>
          <w:lang w:val="en-US" w:eastAsia="zh-CN" w:bidi="ar"/>
        </w:rPr>
        <w:t>0.6%</w:t>
      </w:r>
      <w:r>
        <w:rPr>
          <w:rFonts w:hint="eastAsia" w:ascii="宋体" w:hAnsi="宋体" w:eastAsia="宋体" w:cs="宋体"/>
          <w:bCs/>
          <w:kern w:val="2"/>
          <w:sz w:val="24"/>
          <w:szCs w:val="24"/>
          <w:lang w:val="en-US" w:eastAsia="zh-CN" w:bidi="ar"/>
        </w:rPr>
        <w:t>年费率计提。计算方法如下：</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H</w:t>
      </w: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E</w:t>
      </w: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0.6%</w:t>
      </w:r>
      <w:r>
        <w:rPr>
          <w:rFonts w:hint="eastAsia" w:ascii="宋体" w:hAnsi="宋体" w:eastAsia="宋体" w:cs="宋体"/>
          <w:bCs/>
          <w:kern w:val="2"/>
          <w:sz w:val="24"/>
          <w:szCs w:val="24"/>
          <w:lang w:val="en-US" w:eastAsia="zh-CN" w:bidi="ar"/>
        </w:rPr>
        <w:t>÷当年天数</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H</w:t>
      </w:r>
      <w:r>
        <w:rPr>
          <w:rFonts w:hint="eastAsia" w:ascii="宋体" w:hAnsi="宋体" w:eastAsia="宋体" w:cs="宋体"/>
          <w:bCs/>
          <w:kern w:val="2"/>
          <w:sz w:val="24"/>
          <w:szCs w:val="24"/>
          <w:lang w:val="en-US" w:eastAsia="zh-CN" w:bidi="ar"/>
        </w:rPr>
        <w:t>为</w:t>
      </w:r>
      <w:r>
        <w:rPr>
          <w:rFonts w:hint="default" w:ascii="Times New Roman" w:hAnsi="Times New Roman" w:eastAsia="宋体" w:cs="Times New Roman"/>
          <w:bCs/>
          <w:kern w:val="2"/>
          <w:sz w:val="24"/>
          <w:szCs w:val="24"/>
          <w:lang w:val="en-US" w:eastAsia="zh-CN" w:bidi="ar"/>
        </w:rPr>
        <w:t>C</w:t>
      </w:r>
      <w:r>
        <w:rPr>
          <w:rFonts w:hint="eastAsia" w:ascii="宋体" w:hAnsi="宋体" w:eastAsia="宋体" w:cs="宋体"/>
          <w:bCs/>
          <w:kern w:val="2"/>
          <w:sz w:val="24"/>
          <w:szCs w:val="24"/>
          <w:lang w:val="en-US" w:eastAsia="zh-CN" w:bidi="ar"/>
        </w:rPr>
        <w:t>类基金份额每日应计提的销售服务费</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E</w:t>
      </w:r>
      <w:r>
        <w:rPr>
          <w:rFonts w:hint="eastAsia" w:ascii="宋体" w:hAnsi="宋体" w:eastAsia="宋体" w:cs="宋体"/>
          <w:bCs/>
          <w:kern w:val="2"/>
          <w:sz w:val="24"/>
          <w:szCs w:val="24"/>
          <w:lang w:val="en-US" w:eastAsia="zh-CN" w:bidi="ar"/>
        </w:rPr>
        <w:t>为</w:t>
      </w:r>
      <w:r>
        <w:rPr>
          <w:rFonts w:hint="default" w:ascii="Times New Roman" w:hAnsi="Times New Roman" w:eastAsia="宋体" w:cs="Times New Roman"/>
          <w:bCs/>
          <w:kern w:val="2"/>
          <w:sz w:val="24"/>
          <w:szCs w:val="24"/>
          <w:lang w:val="en-US" w:eastAsia="zh-CN" w:bidi="ar"/>
        </w:rPr>
        <w:t>C</w:t>
      </w:r>
      <w:r>
        <w:rPr>
          <w:rFonts w:hint="eastAsia" w:ascii="宋体" w:hAnsi="宋体" w:eastAsia="宋体" w:cs="宋体"/>
          <w:bCs/>
          <w:kern w:val="2"/>
          <w:sz w:val="24"/>
          <w:szCs w:val="24"/>
          <w:lang w:val="en-US" w:eastAsia="zh-CN" w:bidi="ar"/>
        </w:rPr>
        <w:t>类基金份额前一日基金资产净值</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C</w:t>
      </w:r>
      <w:r>
        <w:rPr>
          <w:rFonts w:hint="eastAsia" w:ascii="宋体" w:hAnsi="宋体" w:eastAsia="宋体" w:cs="宋体"/>
          <w:bCs/>
          <w:kern w:val="2"/>
          <w:sz w:val="24"/>
          <w:szCs w:val="24"/>
          <w:lang w:val="en-US" w:eastAsia="zh-CN" w:bidi="ar"/>
        </w:rPr>
        <w:t>类基金份额销售服务费每日计提，逐日累计至每月月末，按月支付。由基金管理人与基金托管人核对一致后，由基金托管人按照与基金管理人协商一致的方式自动于次月首日起</w:t>
      </w: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个工作日内从基金财产中一次性支付给基金管理人，由基金管理人代付给销售机构，若遇法定节假日、休息日或不可抗力致使无法按时支付的，支付日期顺延。</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C</w:t>
      </w:r>
      <w:r>
        <w:rPr>
          <w:rFonts w:hint="eastAsia" w:ascii="宋体" w:hAnsi="宋体" w:eastAsia="宋体" w:cs="宋体"/>
          <w:bCs/>
          <w:kern w:val="2"/>
          <w:sz w:val="24"/>
          <w:szCs w:val="24"/>
          <w:lang w:val="en-US" w:eastAsia="zh-CN" w:bidi="ar"/>
        </w:rPr>
        <w:t>类基金份额的销售服务费将专门用于本基金的市场推广、销售与基金份额持有人服务。</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、上述</w:t>
      </w:r>
      <w:r>
        <w:rPr>
          <w:rFonts w:hint="default" w:ascii="Times New Roman" w:hAnsi="Times New Roman" w:eastAsia="宋体" w:cs="Times New Roman"/>
          <w:bCs/>
          <w:kern w:val="2"/>
          <w:sz w:val="24"/>
          <w:szCs w:val="24"/>
          <w:lang w:val="en-US" w:eastAsia="zh-CN" w:bidi="ar"/>
        </w:rPr>
        <w:t>“</w:t>
      </w:r>
      <w:r>
        <w:rPr>
          <w:rFonts w:hint="eastAsia" w:ascii="宋体" w:hAnsi="宋体" w:eastAsia="宋体" w:cs="宋体"/>
          <w:bCs/>
          <w:kern w:val="2"/>
          <w:sz w:val="24"/>
          <w:szCs w:val="24"/>
          <w:lang w:val="en-US" w:eastAsia="zh-CN" w:bidi="ar"/>
        </w:rPr>
        <w:t>（一）基金费用的种类”中第</w:t>
      </w: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9</w:t>
      </w:r>
      <w:r>
        <w:rPr>
          <w:rFonts w:hint="eastAsia" w:ascii="宋体" w:hAnsi="宋体" w:eastAsia="宋体" w:cs="宋体"/>
          <w:bCs/>
          <w:kern w:val="2"/>
          <w:sz w:val="24"/>
          <w:szCs w:val="24"/>
          <w:lang w:val="en-US" w:eastAsia="zh-CN" w:bidi="ar"/>
        </w:rPr>
        <w:t>项、第</w:t>
      </w:r>
      <w:r>
        <w:rPr>
          <w:rFonts w:hint="default" w:ascii="Times New Roman" w:hAnsi="Times New Roman" w:eastAsia="宋体" w:cs="Times New Roman"/>
          <w:bCs/>
          <w:kern w:val="2"/>
          <w:sz w:val="24"/>
          <w:szCs w:val="24"/>
          <w:lang w:val="en-US" w:eastAsia="zh-CN" w:bidi="ar"/>
        </w:rPr>
        <w:t>11</w:t>
      </w:r>
      <w:r>
        <w:rPr>
          <w:rFonts w:hint="eastAsia" w:ascii="宋体" w:hAnsi="宋体" w:eastAsia="宋体" w:cs="宋体"/>
          <w:bCs/>
          <w:kern w:val="2"/>
          <w:sz w:val="24"/>
          <w:szCs w:val="24"/>
          <w:lang w:val="en-US" w:eastAsia="zh-CN" w:bidi="ar"/>
        </w:rPr>
        <w:t>项费用，根据有关法规及相应协议规定，按费用实际支出金额列入当期费用，由基金托管人从基金财产中支付。</w:t>
      </w:r>
    </w:p>
    <w:p>
      <w:pPr>
        <w:keepNext w:val="0"/>
        <w:keepLines w:val="0"/>
        <w:widowControl w:val="0"/>
        <w:suppressLineNumbers w:val="0"/>
        <w:spacing w:before="0" w:beforeAutospacing="0" w:after="0" w:afterAutospacing="0" w:line="360" w:lineRule="auto"/>
        <w:ind w:left="0" w:right="0" w:firstLine="480" w:firstLineChars="200"/>
        <w:jc w:val="both"/>
        <w:outlineLvl w:val="2"/>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（三）不列入基金费用的项目</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下列费用不列入基金费用：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、基金管理人和基金托管人因未履行或未完全履行义务导致的费用支出或基金财产的损失；</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、基金管理人和基金托管人处理与基金运作无关的事项发生的费用；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、《基金合同》生效前的相关费用；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、其他根据相关法律法规及中国证监会的有关规定不得列入基金费用的项目。</w:t>
      </w:r>
    </w:p>
    <w:p>
      <w:pPr>
        <w:keepNext w:val="0"/>
        <w:keepLines w:val="0"/>
        <w:widowControl w:val="0"/>
        <w:suppressLineNumbers w:val="0"/>
        <w:spacing w:before="0" w:beforeAutospacing="0" w:after="0" w:afterAutospacing="0" w:line="360" w:lineRule="auto"/>
        <w:ind w:left="0" w:right="0" w:firstLine="480" w:firstLineChars="200"/>
        <w:jc w:val="both"/>
        <w:outlineLvl w:val="2"/>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（四）实施侧袋机制期间的基金费用</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本基金实施侧袋机制的，与侧袋账户有关的费用可以从侧袋账户中列支，但应待侧袋账户资产变现后方可列支，有关费用可酌情收取或减免，但不得收取管理费，详见招募说明书的规定。</w:t>
      </w:r>
    </w:p>
    <w:p>
      <w:pPr>
        <w:keepNext w:val="0"/>
        <w:keepLines w:val="0"/>
        <w:widowControl w:val="0"/>
        <w:suppressLineNumbers w:val="0"/>
        <w:spacing w:before="0" w:beforeAutospacing="0" w:after="0" w:afterAutospacing="0" w:line="360" w:lineRule="auto"/>
        <w:ind w:left="0" w:right="0" w:firstLine="480" w:firstLineChars="200"/>
        <w:jc w:val="both"/>
        <w:outlineLvl w:val="2"/>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（五）基金税收</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本基金运作过程中涉及的各纳税主体，其纳税义务按国家税收法律、法规执行。基金财产投资的相关税收，由基金份额持有人承担，基金管理人或者其他扣缴义务人按照国家有关税收征收的规定代扣代缴。</w:t>
      </w:r>
    </w:p>
    <w:p>
      <w:pPr>
        <w:keepNext w:val="0"/>
        <w:keepLines w:val="0"/>
        <w:widowControl w:val="0"/>
        <w:suppressLineNumbers w:val="0"/>
        <w:spacing w:before="0" w:beforeAutospacing="0" w:after="0" w:afterAutospacing="0" w:line="360" w:lineRule="auto"/>
        <w:ind w:left="0" w:right="0" w:firstLine="482" w:firstLineChars="200"/>
        <w:jc w:val="both"/>
        <w:outlineLvl w:val="1"/>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五、基金财产的投资方向和投资限制</w:t>
      </w:r>
    </w:p>
    <w:p>
      <w:pPr>
        <w:keepNext w:val="0"/>
        <w:keepLines w:val="0"/>
        <w:widowControl w:val="0"/>
        <w:suppressLineNumbers w:val="0"/>
        <w:spacing w:before="0" w:beforeAutospacing="0" w:after="0" w:afterAutospacing="0" w:line="360" w:lineRule="auto"/>
        <w:ind w:left="0" w:right="0" w:firstLine="480" w:firstLineChars="200"/>
        <w:jc w:val="both"/>
        <w:outlineLvl w:val="2"/>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（一）投资目标</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本基金在严格控制风险的前提下，充分发挥专业研究与管理能力，力争为投资者提供长期稳健的投资回报。</w:t>
      </w:r>
    </w:p>
    <w:p>
      <w:pPr>
        <w:keepNext w:val="0"/>
        <w:keepLines w:val="0"/>
        <w:widowControl w:val="0"/>
        <w:suppressLineNumbers w:val="0"/>
        <w:spacing w:before="0" w:beforeAutospacing="0" w:after="0" w:afterAutospacing="0" w:line="360" w:lineRule="auto"/>
        <w:ind w:left="0" w:right="0" w:firstLine="480" w:firstLineChars="200"/>
        <w:jc w:val="both"/>
        <w:outlineLvl w:val="2"/>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（二）投资范围</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本基金的投资范围为具有良好流动性的金融工具，包括国内依法发行上市的股票（含创业板、科创板及其他经中国证监会核准或注册上市的股票、存托凭证）、港股通标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如法律法规或监管机构以后允许基金投资其他品种，基金管理人在履行适当程序后，可以将其纳入投资范围。</w:t>
      </w:r>
    </w:p>
    <w:p>
      <w:pPr>
        <w:keepNext w:val="0"/>
        <w:keepLines w:val="0"/>
        <w:widowControl w:val="0"/>
        <w:suppressLineNumbers w:val="0"/>
        <w:spacing w:before="0" w:beforeAutospacing="0" w:after="0" w:afterAutospacing="0" w:line="360" w:lineRule="auto"/>
        <w:ind w:left="0" w:right="0" w:firstLine="48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基金的投资组合比例为：股票投资（含存托凭证）占基金资产的比例为</w:t>
      </w:r>
      <w:r>
        <w:rPr>
          <w:rFonts w:hint="default" w:ascii="Times New Roman" w:hAnsi="Times New Roman" w:eastAsia="宋体" w:cs="Times New Roman"/>
          <w:bCs/>
          <w:kern w:val="2"/>
          <w:sz w:val="24"/>
          <w:szCs w:val="24"/>
          <w:lang w:val="en-US" w:eastAsia="zh-CN" w:bidi="ar"/>
        </w:rPr>
        <w:t>60%-95%</w:t>
      </w:r>
      <w:r>
        <w:rPr>
          <w:rFonts w:hint="eastAsia" w:ascii="宋体" w:hAnsi="宋体" w:eastAsia="宋体" w:cs="宋体"/>
          <w:bCs/>
          <w:kern w:val="2"/>
          <w:sz w:val="24"/>
          <w:szCs w:val="24"/>
          <w:lang w:val="en-US" w:eastAsia="zh-CN" w:bidi="ar"/>
        </w:rPr>
        <w:t>，其中投资于港股通标的股票的比例占股票资产的</w:t>
      </w:r>
      <w:r>
        <w:rPr>
          <w:rFonts w:hint="default" w:ascii="Times New Roman" w:hAnsi="Times New Roman" w:eastAsia="宋体" w:cs="Times New Roman"/>
          <w:bCs/>
          <w:kern w:val="2"/>
          <w:sz w:val="24"/>
          <w:szCs w:val="24"/>
          <w:lang w:val="en-US" w:eastAsia="zh-CN" w:bidi="ar"/>
        </w:rPr>
        <w:t>0%-50%</w:t>
      </w:r>
      <w:r>
        <w:rPr>
          <w:rFonts w:hint="eastAsia" w:ascii="宋体" w:hAnsi="宋体" w:eastAsia="宋体" w:cs="宋体"/>
          <w:bCs/>
          <w:kern w:val="2"/>
          <w:sz w:val="24"/>
          <w:szCs w:val="24"/>
          <w:lang w:val="en-US" w:eastAsia="zh-CN" w:bidi="ar"/>
        </w:rPr>
        <w:t>；每个交易日日终在扣除股指期货合约需缴纳的交易保证金后，本基金持有的现金或者到期日在一年以内的政府债券的比例合计不低于基金资产净值的</w:t>
      </w: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，其中现金不包括结算备付金、存出保证金、应收申购款等。</w:t>
      </w:r>
    </w:p>
    <w:p>
      <w:pPr>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如果法律法规或中国证监会变更投资品种的投资比例限制，基金管理人在履行适当程序后，可以调整上述投资品种的投资比例。</w:t>
      </w:r>
    </w:p>
    <w:p>
      <w:pPr>
        <w:keepNext w:val="0"/>
        <w:keepLines w:val="0"/>
        <w:widowControl w:val="0"/>
        <w:suppressLineNumbers w:val="0"/>
        <w:spacing w:before="0" w:beforeAutospacing="0" w:after="0" w:afterAutospacing="0" w:line="360" w:lineRule="auto"/>
        <w:ind w:left="0" w:right="0" w:firstLine="480"/>
        <w:jc w:val="both"/>
        <w:outlineLvl w:val="2"/>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（三）投资策略</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本基金充分发挥基金管理人的研究优势，在分析和判断宏观经济周期和金融市场运行趋势的基础上，运用修正后的投资时钟分析框架，自上而下调整基金大类资产配置；在严谨深入的股票和债券研究分析基础上，自下而上精选个股和个券；在保持总体风险水平相对稳定的基础上，力争获取投资组合的较高回报。</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、大类资产配置</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本基金利用经交银施罗德研究团队修正后的投资时钟分析框架，通过“自上而下”的定性分析和定量分析相结合形成对不同资产市场表现的预测和判断，确定基金资产在沪深</w:t>
      </w:r>
      <w:r>
        <w:rPr>
          <w:rFonts w:hint="default" w:ascii="Times New Roman" w:hAnsi="Times New Roman" w:eastAsia="宋体" w:cs="Times New Roman"/>
          <w:bCs/>
          <w:kern w:val="2"/>
          <w:sz w:val="24"/>
          <w:szCs w:val="24"/>
          <w:lang w:val="en-US" w:eastAsia="zh-CN" w:bidi="ar"/>
        </w:rPr>
        <w:t>A</w:t>
      </w:r>
      <w:r>
        <w:rPr>
          <w:rFonts w:hint="eastAsia" w:ascii="宋体" w:hAnsi="宋体" w:eastAsia="宋体" w:cs="宋体"/>
          <w:bCs/>
          <w:kern w:val="2"/>
          <w:sz w:val="24"/>
          <w:szCs w:val="24"/>
          <w:lang w:val="en-US" w:eastAsia="zh-CN" w:bidi="ar"/>
        </w:rPr>
        <w:t>股、港股、债券及货币市场工具等各类别资产间的分配比例，并随着各类证券风险收益特征的相对变化，在基金合同约定的范围内动态调整组合中各类资产的比例，以规避或控制市场风险，提高基金收益率。</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、股票投资策略</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）品质筛选</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筛选出在公司治理、财务及管理品质上符合基本品质要求的公司，构建备选股票池。主要筛选指标包括：</w:t>
      </w:r>
    </w:p>
    <w:p>
      <w:pPr>
        <w:keepNext w:val="0"/>
        <w:keepLines w:val="0"/>
        <w:widowControl w:val="0"/>
        <w:numPr>
          <w:ilvl w:val="0"/>
          <w:numId w:val="2"/>
        </w:numPr>
        <w:suppressLineNumbers w:val="0"/>
        <w:spacing w:before="0" w:beforeAutospacing="0" w:after="0" w:afterAutospacing="0" w:line="360" w:lineRule="auto"/>
        <w:ind w:left="840" w:right="0" w:hanging="42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盈利能力指标：如市盈率（P/E）、市现率（P/Cash Flow）、股价与每股自由现金流比率（P/FCF）、市销率（P/S）、股价与每股息税前利润比率（P/EBIT）等；</w:t>
      </w:r>
    </w:p>
    <w:p>
      <w:pPr>
        <w:keepNext w:val="0"/>
        <w:keepLines w:val="0"/>
        <w:widowControl w:val="0"/>
        <w:numPr>
          <w:ilvl w:val="0"/>
          <w:numId w:val="2"/>
        </w:numPr>
        <w:suppressLineNumbers w:val="0"/>
        <w:spacing w:before="0" w:beforeAutospacing="0" w:after="0" w:afterAutospacing="0" w:line="360" w:lineRule="auto"/>
        <w:ind w:left="840" w:right="0" w:hanging="42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经营效率指标：如净资产收益率（ROE）、资产收益率（ROA）、经营资产回报率（Return on operating assets）等；</w:t>
      </w:r>
    </w:p>
    <w:p>
      <w:pPr>
        <w:keepNext w:val="0"/>
        <w:keepLines w:val="0"/>
        <w:widowControl w:val="0"/>
        <w:numPr>
          <w:ilvl w:val="0"/>
          <w:numId w:val="2"/>
        </w:numPr>
        <w:suppressLineNumbers w:val="0"/>
        <w:spacing w:before="0" w:beforeAutospacing="0" w:after="0" w:afterAutospacing="0" w:line="360" w:lineRule="auto"/>
        <w:ind w:left="840" w:right="0" w:hanging="42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财务状况指标：如资产负债率（D/A）、流动比率等；</w:t>
      </w:r>
    </w:p>
    <w:p>
      <w:pPr>
        <w:keepNext w:val="0"/>
        <w:keepLines w:val="0"/>
        <w:widowControl w:val="0"/>
        <w:numPr>
          <w:ilvl w:val="0"/>
          <w:numId w:val="2"/>
        </w:numPr>
        <w:suppressLineNumbers w:val="0"/>
        <w:spacing w:before="0" w:beforeAutospacing="0" w:after="0" w:afterAutospacing="0" w:line="360" w:lineRule="auto"/>
        <w:ind w:left="840" w:right="0" w:hanging="42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研发投入指标：如研发投入与营业收入比率、科研人员数量及占比、专利数量及在同行业的占比等。</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）价值评估</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）港股通标的股票投资策略</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本基金可通过内地与香港股票市场交易互联互通机制投资于香港股票市场。本基金优先将基本面健康、业绩向上弹性较大、具有估值优势的港股纳入本基金的股票投资组合。</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本基金可根据投资策略需要或不同配置地市场环境的变化，选择将部分基金资产投资于港股或选择不将基金资产投资于港股，基金资产并非必然投资港股。</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）存托凭证的投资策略</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本基金投资存托凭证的策略依照境内上市交易的股票投资策略执行。</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、债券投资策略</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本基金的债券投资采取主动的投资管理方式，获得与风险相匹配的投资收益，以实现在一定程度上规避股票市场的系统性风险和保证基金资产的流动性。</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调整策略、类属配置策略、期限结构配置策略、回购策略、信用债券投资策略、可转换债券投资策略等多种策略，以期获取债券市场的长期稳定收益。</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、资产支持证券投资策略</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、股指期货投资策略</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pPr>
        <w:keepNext w:val="0"/>
        <w:keepLines w:val="0"/>
        <w:widowControl w:val="0"/>
        <w:suppressLineNumbers w:val="0"/>
        <w:spacing w:before="0" w:beforeAutospacing="0" w:after="0" w:afterAutospacing="0" w:line="360" w:lineRule="auto"/>
        <w:ind w:left="0" w:right="0" w:firstLine="480" w:firstLineChars="200"/>
        <w:jc w:val="both"/>
        <w:outlineLvl w:val="2"/>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（四）投资限制</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、组合限制</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基金的投资组合应遵循以下限制：</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）股票投资（含存托凭证）占基金资产的比例为</w:t>
      </w:r>
      <w:r>
        <w:rPr>
          <w:rFonts w:hint="default" w:ascii="Times New Roman" w:hAnsi="Times New Roman" w:eastAsia="宋体" w:cs="Times New Roman"/>
          <w:bCs/>
          <w:kern w:val="2"/>
          <w:sz w:val="24"/>
          <w:szCs w:val="24"/>
          <w:lang w:val="en-US" w:eastAsia="zh-CN" w:bidi="ar"/>
        </w:rPr>
        <w:t>60%-95%</w:t>
      </w:r>
      <w:r>
        <w:rPr>
          <w:rFonts w:hint="eastAsia" w:ascii="宋体" w:hAnsi="宋体" w:eastAsia="宋体" w:cs="宋体"/>
          <w:bCs/>
          <w:kern w:val="2"/>
          <w:sz w:val="24"/>
          <w:szCs w:val="24"/>
          <w:lang w:val="en-US" w:eastAsia="zh-CN" w:bidi="ar"/>
        </w:rPr>
        <w:t>，其中投资于港股通标的股票的比例占股票资产的</w:t>
      </w:r>
      <w:r>
        <w:rPr>
          <w:rFonts w:hint="default" w:ascii="Times New Roman" w:hAnsi="Times New Roman" w:eastAsia="宋体" w:cs="Times New Roman"/>
          <w:bCs/>
          <w:kern w:val="2"/>
          <w:sz w:val="24"/>
          <w:szCs w:val="24"/>
          <w:lang w:val="en-US" w:eastAsia="zh-CN" w:bidi="ar"/>
        </w:rPr>
        <w:t>0%-50%</w:t>
      </w:r>
      <w:r>
        <w:rPr>
          <w:rFonts w:hint="eastAsia" w:ascii="宋体" w:hAnsi="宋体" w:eastAsia="宋体" w:cs="宋体"/>
          <w:bCs/>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）每个交易日日终在扣除股指期货合约需缴纳的交易保证金后，本基金持有的现金或者到期日在一年以内的政府债券的比例合计不低于基金资产净值的</w:t>
      </w: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，其中现金不包括结算备付金、存出保证金、应收申购款等；</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）本基金持有一家公司发行的证券（同一家公司在内地和香港同时上市的</w:t>
      </w:r>
      <w:r>
        <w:rPr>
          <w:rFonts w:hint="default" w:ascii="Times New Roman" w:hAnsi="Times New Roman" w:eastAsia="宋体" w:cs="Times New Roman"/>
          <w:bCs/>
          <w:kern w:val="2"/>
          <w:sz w:val="24"/>
          <w:szCs w:val="24"/>
          <w:lang w:val="en-US" w:eastAsia="zh-CN" w:bidi="ar"/>
        </w:rPr>
        <w:t>A+H</w:t>
      </w:r>
      <w:r>
        <w:rPr>
          <w:rFonts w:hint="eastAsia" w:ascii="宋体" w:hAnsi="宋体" w:eastAsia="宋体" w:cs="宋体"/>
          <w:bCs/>
          <w:kern w:val="2"/>
          <w:sz w:val="24"/>
          <w:szCs w:val="24"/>
          <w:lang w:val="en-US" w:eastAsia="zh-CN" w:bidi="ar"/>
        </w:rPr>
        <w:t>股合计计算），其市值不超过基金资产净值的</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）本基金管理人管理的全部基金持有一家公司发行的证券（同一家公司在内地和香港同时上市的</w:t>
      </w:r>
      <w:r>
        <w:rPr>
          <w:rFonts w:hint="default" w:ascii="Times New Roman" w:hAnsi="Times New Roman" w:eastAsia="宋体" w:cs="Times New Roman"/>
          <w:bCs/>
          <w:kern w:val="2"/>
          <w:sz w:val="24"/>
          <w:szCs w:val="24"/>
          <w:lang w:val="en-US" w:eastAsia="zh-CN" w:bidi="ar"/>
        </w:rPr>
        <w:t>A+H</w:t>
      </w:r>
      <w:r>
        <w:rPr>
          <w:rFonts w:hint="eastAsia" w:ascii="宋体" w:hAnsi="宋体" w:eastAsia="宋体" w:cs="宋体"/>
          <w:bCs/>
          <w:kern w:val="2"/>
          <w:sz w:val="24"/>
          <w:szCs w:val="24"/>
          <w:lang w:val="en-US" w:eastAsia="zh-CN" w:bidi="ar"/>
        </w:rPr>
        <w:t>股合计计算），不超过该证券的</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％，完全按照有关指数的构成比例进行证券投资的基金品种可以不受此条款规定的比例限制；</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）本基金投资于同一原始权益人的各类资产支持证券的比例，不得超过基金资产净值的</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6</w:t>
      </w:r>
      <w:r>
        <w:rPr>
          <w:rFonts w:hint="eastAsia" w:ascii="宋体" w:hAnsi="宋体" w:eastAsia="宋体" w:cs="宋体"/>
          <w:bCs/>
          <w:kern w:val="2"/>
          <w:sz w:val="24"/>
          <w:szCs w:val="24"/>
          <w:lang w:val="en-US" w:eastAsia="zh-CN" w:bidi="ar"/>
        </w:rPr>
        <w:t>）本基金持有的全部资产支持证券，其市值不得超过基金资产净值的</w:t>
      </w:r>
      <w:r>
        <w:rPr>
          <w:rFonts w:hint="default" w:ascii="Times New Roman" w:hAnsi="Times New Roman" w:eastAsia="宋体" w:cs="Times New Roman"/>
          <w:bCs/>
          <w:kern w:val="2"/>
          <w:sz w:val="24"/>
          <w:szCs w:val="24"/>
          <w:lang w:val="en-US" w:eastAsia="zh-CN" w:bidi="ar"/>
        </w:rPr>
        <w:t>20</w:t>
      </w:r>
      <w:r>
        <w:rPr>
          <w:rFonts w:hint="eastAsia" w:ascii="宋体" w:hAnsi="宋体" w:eastAsia="宋体" w:cs="宋体"/>
          <w:bCs/>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7</w:t>
      </w:r>
      <w:r>
        <w:rPr>
          <w:rFonts w:hint="eastAsia" w:ascii="宋体" w:hAnsi="宋体" w:eastAsia="宋体" w:cs="宋体"/>
          <w:bCs/>
          <w:kern w:val="2"/>
          <w:sz w:val="24"/>
          <w:szCs w:val="24"/>
          <w:lang w:val="en-US" w:eastAsia="zh-CN" w:bidi="ar"/>
        </w:rPr>
        <w:t>）本基金持有的同一（指同一信用级别）资产支持证券的比例，不得超过该资产支持证券规模的</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8</w:t>
      </w:r>
      <w:r>
        <w:rPr>
          <w:rFonts w:hint="eastAsia" w:ascii="宋体" w:hAnsi="宋体" w:eastAsia="宋体" w:cs="宋体"/>
          <w:bCs/>
          <w:kern w:val="2"/>
          <w:sz w:val="24"/>
          <w:szCs w:val="24"/>
          <w:lang w:val="en-US" w:eastAsia="zh-CN" w:bidi="ar"/>
        </w:rPr>
        <w:t>）本基金管理人管理的全部基金投资于同一原始权益人的各类资产支持证券，不得超过其各类资产支持证券合计规模的</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9</w:t>
      </w:r>
      <w:r>
        <w:rPr>
          <w:rFonts w:hint="eastAsia" w:ascii="宋体" w:hAnsi="宋体" w:eastAsia="宋体" w:cs="宋体"/>
          <w:bCs/>
          <w:kern w:val="2"/>
          <w:sz w:val="24"/>
          <w:szCs w:val="24"/>
          <w:lang w:val="en-US" w:eastAsia="zh-CN" w:bidi="ar"/>
        </w:rPr>
        <w:t>）本基金应投资于信用级别评级为</w:t>
      </w:r>
      <w:r>
        <w:rPr>
          <w:rFonts w:hint="default" w:ascii="Times New Roman" w:hAnsi="Times New Roman" w:eastAsia="宋体" w:cs="Times New Roman"/>
          <w:bCs/>
          <w:kern w:val="2"/>
          <w:sz w:val="24"/>
          <w:szCs w:val="24"/>
          <w:lang w:val="en-US" w:eastAsia="zh-CN" w:bidi="ar"/>
        </w:rPr>
        <w:t>BBB</w:t>
      </w:r>
      <w:r>
        <w:rPr>
          <w:rFonts w:hint="eastAsia" w:ascii="宋体" w:hAnsi="宋体" w:eastAsia="宋体" w:cs="宋体"/>
          <w:bCs/>
          <w:kern w:val="2"/>
          <w:sz w:val="24"/>
          <w:szCs w:val="24"/>
          <w:lang w:val="en-US" w:eastAsia="zh-CN" w:bidi="ar"/>
        </w:rPr>
        <w:t>以上（含</w:t>
      </w:r>
      <w:r>
        <w:rPr>
          <w:rFonts w:hint="default" w:ascii="Times New Roman" w:hAnsi="Times New Roman" w:eastAsia="宋体" w:cs="Times New Roman"/>
          <w:bCs/>
          <w:kern w:val="2"/>
          <w:sz w:val="24"/>
          <w:szCs w:val="24"/>
          <w:lang w:val="en-US" w:eastAsia="zh-CN" w:bidi="ar"/>
        </w:rPr>
        <w:t>BBB</w:t>
      </w:r>
      <w:r>
        <w:rPr>
          <w:rFonts w:hint="eastAsia" w:ascii="宋体" w:hAnsi="宋体" w:eastAsia="宋体" w:cs="宋体"/>
          <w:bCs/>
          <w:kern w:val="2"/>
          <w:sz w:val="24"/>
          <w:szCs w:val="24"/>
          <w:lang w:val="en-US" w:eastAsia="zh-CN" w:bidi="ar"/>
        </w:rPr>
        <w:t>）的资产支持证券。基金持有资产支持证券期间，如果其信用等级下降、不再符合投资标准，应在评级报告发布之日起</w:t>
      </w: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个月内予以全部卖出；</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）基金财产参与股票发行申购，本基金所申报的金额不超过本基金的总资产，本基金所申报的股票数量不超过拟发行股票公司本次发行股票的总量；</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11</w:t>
      </w:r>
      <w:r>
        <w:rPr>
          <w:rFonts w:hint="eastAsia" w:ascii="宋体" w:hAnsi="宋体" w:eastAsia="宋体" w:cs="宋体"/>
          <w:bCs/>
          <w:kern w:val="2"/>
          <w:sz w:val="24"/>
          <w:szCs w:val="24"/>
          <w:lang w:val="en-US" w:eastAsia="zh-CN" w:bidi="ar"/>
        </w:rPr>
        <w:t>）本基金管理人管理的全部开放式基金（包括开放式基金以及处于开放期的定期开放基金）持有一家上市公司发行的可流通股票，不得超过该上市公司可流通股票的</w:t>
      </w:r>
      <w:r>
        <w:rPr>
          <w:rFonts w:hint="default" w:ascii="Times New Roman" w:hAnsi="Times New Roman" w:eastAsia="宋体" w:cs="Times New Roman"/>
          <w:bCs/>
          <w:kern w:val="2"/>
          <w:sz w:val="24"/>
          <w:szCs w:val="24"/>
          <w:lang w:val="en-US" w:eastAsia="zh-CN" w:bidi="ar"/>
        </w:rPr>
        <w:t>15%</w:t>
      </w:r>
      <w:r>
        <w:rPr>
          <w:rFonts w:hint="eastAsia" w:ascii="宋体" w:hAnsi="宋体" w:eastAsia="宋体" w:cs="宋体"/>
          <w:bCs/>
          <w:kern w:val="2"/>
          <w:sz w:val="24"/>
          <w:szCs w:val="24"/>
          <w:lang w:val="en-US" w:eastAsia="zh-CN" w:bidi="ar"/>
        </w:rPr>
        <w:t>；本基金管理人管理的全部投资组合持有一家上市公司发行的可流通股票，不得超过该上市公司可流通股票的</w:t>
      </w:r>
      <w:r>
        <w:rPr>
          <w:rFonts w:hint="default" w:ascii="Times New Roman" w:hAnsi="Times New Roman" w:eastAsia="宋体" w:cs="Times New Roman"/>
          <w:bCs/>
          <w:kern w:val="2"/>
          <w:sz w:val="24"/>
          <w:szCs w:val="24"/>
          <w:lang w:val="en-US" w:eastAsia="zh-CN" w:bidi="ar"/>
        </w:rPr>
        <w:t>30%</w:t>
      </w:r>
      <w:r>
        <w:rPr>
          <w:rFonts w:hint="eastAsia" w:ascii="宋体" w:hAnsi="宋体" w:eastAsia="宋体" w:cs="宋体"/>
          <w:bCs/>
          <w:kern w:val="2"/>
          <w:sz w:val="24"/>
          <w:szCs w:val="24"/>
          <w:lang w:val="en-US" w:eastAsia="zh-CN" w:bidi="ar"/>
        </w:rPr>
        <w:t>；完全按照有关指数的构成比例进行证券投资的开放式基金以及中国证监会认定的特殊投资组合可不受前述比例限制；</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12</w:t>
      </w:r>
      <w:r>
        <w:rPr>
          <w:rFonts w:hint="eastAsia" w:ascii="宋体" w:hAnsi="宋体" w:eastAsia="宋体" w:cs="宋体"/>
          <w:bCs/>
          <w:kern w:val="2"/>
          <w:sz w:val="24"/>
          <w:szCs w:val="24"/>
          <w:lang w:val="en-US" w:eastAsia="zh-CN" w:bidi="ar"/>
        </w:rPr>
        <w:t>）本基金主动投资于流动性受限资产的市值合计不得超过基金资产净值的</w:t>
      </w:r>
      <w:r>
        <w:rPr>
          <w:rFonts w:hint="default" w:ascii="Times New Roman" w:hAnsi="Times New Roman" w:eastAsia="宋体" w:cs="Times New Roman"/>
          <w:bCs/>
          <w:kern w:val="2"/>
          <w:sz w:val="24"/>
          <w:szCs w:val="24"/>
          <w:lang w:val="en-US" w:eastAsia="zh-CN" w:bidi="ar"/>
        </w:rPr>
        <w:t>15%</w:t>
      </w:r>
      <w:r>
        <w:rPr>
          <w:rFonts w:hint="eastAsia" w:ascii="宋体" w:hAnsi="宋体" w:eastAsia="宋体" w:cs="宋体"/>
          <w:bCs/>
          <w:kern w:val="2"/>
          <w:sz w:val="24"/>
          <w:szCs w:val="24"/>
          <w:lang w:val="en-US" w:eastAsia="zh-CN" w:bidi="ar"/>
        </w:rPr>
        <w:t>；因证券市场波动、上市公司股票停牌、基金规模变动等基金管理人之外的因素致使基金不符合该比例限制的，基金管理人不得主动新增流动性受限资产的投资；</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13</w:t>
      </w:r>
      <w:r>
        <w:rPr>
          <w:rFonts w:hint="eastAsia" w:ascii="宋体" w:hAnsi="宋体" w:eastAsia="宋体" w:cs="宋体"/>
          <w:bCs/>
          <w:kern w:val="2"/>
          <w:sz w:val="24"/>
          <w:szCs w:val="24"/>
          <w:lang w:val="en-US" w:eastAsia="zh-CN" w:bidi="ar"/>
        </w:rPr>
        <w:t>）本基金与私募类证券资管产品及中国证监会认定的其他主体为交易对手开展逆回购交易的，可接受质押品的资质要求应当与本基金合同约定的投资范围保持一致；</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14</w:t>
      </w:r>
      <w:r>
        <w:rPr>
          <w:rFonts w:hint="eastAsia" w:ascii="宋体" w:hAnsi="宋体" w:eastAsia="宋体" w:cs="宋体"/>
          <w:bCs/>
          <w:kern w:val="2"/>
          <w:sz w:val="24"/>
          <w:szCs w:val="24"/>
          <w:lang w:val="en-US" w:eastAsia="zh-CN" w:bidi="ar"/>
        </w:rPr>
        <w:t>）若本基金参与股指期货交易，则：</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）本基金在任何交易日日终，持有的买入股指期货合约价值，不得超过基金资产净值的</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）本基金在任何交易日日终，持有的买入股指期货合约价值与有价证券市值之和，不得超过基金资产净值的</w:t>
      </w:r>
      <w:r>
        <w:rPr>
          <w:rFonts w:hint="default" w:ascii="Times New Roman" w:hAnsi="Times New Roman" w:eastAsia="宋体" w:cs="Times New Roman"/>
          <w:bCs/>
          <w:kern w:val="2"/>
          <w:sz w:val="24"/>
          <w:szCs w:val="24"/>
          <w:lang w:val="en-US" w:eastAsia="zh-CN" w:bidi="ar"/>
        </w:rPr>
        <w:t>95%</w:t>
      </w:r>
      <w:r>
        <w:rPr>
          <w:rFonts w:hint="eastAsia" w:ascii="宋体" w:hAnsi="宋体" w:eastAsia="宋体" w:cs="宋体"/>
          <w:bCs/>
          <w:kern w:val="2"/>
          <w:sz w:val="24"/>
          <w:szCs w:val="24"/>
          <w:lang w:val="en-US" w:eastAsia="zh-CN" w:bidi="ar"/>
        </w:rPr>
        <w:t>。其中，有价证券指股票、债券（不含到期日在一年以内的政府债券）、资产支持证券、买入返售金融资产（不含质押式回购）等；</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）本基金在任何交易日日终，持有的卖出股指期货合约价值不得超过基金持有的股票总市值的</w:t>
      </w:r>
      <w:r>
        <w:rPr>
          <w:rFonts w:hint="default" w:ascii="Times New Roman" w:hAnsi="Times New Roman" w:eastAsia="宋体" w:cs="Times New Roman"/>
          <w:bCs/>
          <w:kern w:val="2"/>
          <w:sz w:val="24"/>
          <w:szCs w:val="24"/>
          <w:lang w:val="en-US" w:eastAsia="zh-CN" w:bidi="ar"/>
        </w:rPr>
        <w:t>20%</w:t>
      </w:r>
      <w:r>
        <w:rPr>
          <w:rFonts w:hint="eastAsia" w:ascii="宋体" w:hAnsi="宋体" w:eastAsia="宋体" w:cs="宋体"/>
          <w:bCs/>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）本基金所持有的股票市值和买入、卖出股指期货合约价值，合计（轧差计算）应当符合基金合同关于股票投资比例的有关约定；</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）本基金在任何交易日内交易（不包括平仓）的股指期货合约的成交金额不得超过上一交易日基金资产净值的</w:t>
      </w:r>
      <w:r>
        <w:rPr>
          <w:rFonts w:hint="default" w:ascii="Times New Roman" w:hAnsi="Times New Roman" w:eastAsia="宋体" w:cs="Times New Roman"/>
          <w:bCs/>
          <w:kern w:val="2"/>
          <w:sz w:val="24"/>
          <w:szCs w:val="24"/>
          <w:lang w:val="en-US" w:eastAsia="zh-CN" w:bidi="ar"/>
        </w:rPr>
        <w:t>20%</w:t>
      </w:r>
      <w:r>
        <w:rPr>
          <w:rFonts w:hint="eastAsia" w:ascii="宋体" w:hAnsi="宋体" w:eastAsia="宋体" w:cs="宋体"/>
          <w:bCs/>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15</w:t>
      </w:r>
      <w:r>
        <w:rPr>
          <w:rFonts w:hint="eastAsia" w:ascii="宋体" w:hAnsi="宋体" w:eastAsia="宋体" w:cs="宋体"/>
          <w:bCs/>
          <w:kern w:val="2"/>
          <w:sz w:val="24"/>
          <w:szCs w:val="24"/>
          <w:lang w:val="en-US" w:eastAsia="zh-CN" w:bidi="ar"/>
        </w:rPr>
        <w:t>）本基金资产总值不超过基金资产净值的</w:t>
      </w:r>
      <w:r>
        <w:rPr>
          <w:rFonts w:hint="default" w:ascii="Times New Roman" w:hAnsi="Times New Roman" w:eastAsia="宋体" w:cs="Times New Roman"/>
          <w:bCs/>
          <w:kern w:val="2"/>
          <w:sz w:val="24"/>
          <w:szCs w:val="24"/>
          <w:lang w:val="en-US" w:eastAsia="zh-CN" w:bidi="ar"/>
        </w:rPr>
        <w:t>140%</w:t>
      </w:r>
      <w:r>
        <w:rPr>
          <w:rFonts w:hint="eastAsia" w:ascii="宋体" w:hAnsi="宋体" w:eastAsia="宋体" w:cs="宋体"/>
          <w:bCs/>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16</w:t>
      </w:r>
      <w:r>
        <w:rPr>
          <w:rFonts w:hint="eastAsia" w:ascii="宋体" w:hAnsi="宋体" w:eastAsia="宋体" w:cs="宋体"/>
          <w:bCs/>
          <w:kern w:val="2"/>
          <w:sz w:val="24"/>
          <w:szCs w:val="24"/>
          <w:lang w:val="en-US" w:eastAsia="zh-CN" w:bidi="ar"/>
        </w:rPr>
        <w:t>）本基金投资存托凭证的比例限制依照境内上市交易的股票执行；</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17</w:t>
      </w:r>
      <w:r>
        <w:rPr>
          <w:rFonts w:hint="eastAsia" w:ascii="宋体" w:hAnsi="宋体" w:eastAsia="宋体" w:cs="宋体"/>
          <w:bCs/>
          <w:kern w:val="2"/>
          <w:sz w:val="24"/>
          <w:szCs w:val="24"/>
          <w:lang w:val="en-US" w:eastAsia="zh-CN" w:bidi="ar"/>
        </w:rPr>
        <w:t>）法律法规及中国证监会规定的和《基金合同》约定的其他投资限制。</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除上述（</w:t>
      </w: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9</w:t>
      </w: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12</w:t>
      </w: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13</w:t>
      </w:r>
      <w:r>
        <w:rPr>
          <w:rFonts w:hint="eastAsia" w:ascii="宋体" w:hAnsi="宋体" w:eastAsia="宋体" w:cs="宋体"/>
          <w:bCs/>
          <w:kern w:val="2"/>
          <w:sz w:val="24"/>
          <w:szCs w:val="24"/>
          <w:lang w:val="en-US" w:eastAsia="zh-CN" w:bidi="ar"/>
        </w:rPr>
        <w:t>）情形之外，因证券、期货市场波动、证券发行人合并、基金规模变动等基金管理人之外的因素致使基金投资比例不符合上述规定投资比例的，基金管理人应当在</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个交易日内进行调整，但中国证监会规定的特殊情形除外。法律法规另有规定的，从其规定。</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基金管理人应当自基金合同生效之日起</w:t>
      </w:r>
      <w:r>
        <w:rPr>
          <w:rFonts w:hint="default" w:ascii="Times New Roman" w:hAnsi="Times New Roman" w:eastAsia="宋体" w:cs="Times New Roman"/>
          <w:bCs/>
          <w:kern w:val="2"/>
          <w:sz w:val="24"/>
          <w:szCs w:val="24"/>
          <w:lang w:val="en-US" w:eastAsia="zh-CN" w:bidi="ar"/>
        </w:rPr>
        <w:t>6</w:t>
      </w:r>
      <w:r>
        <w:rPr>
          <w:rFonts w:hint="eastAsia" w:ascii="宋体" w:hAnsi="宋体" w:eastAsia="宋体" w:cs="宋体"/>
          <w:bCs/>
          <w:kern w:val="2"/>
          <w:sz w:val="24"/>
          <w:szCs w:val="24"/>
          <w:lang w:val="en-US" w:eastAsia="zh-CN" w:bidi="ar"/>
        </w:rPr>
        <w:t>个月内使基金的投资组合比例符合基金合同的有关约定。在上述期间内，本基金的投资范围、投资策略应当符合基金合同的约定。基金托管人对基金的投资的监督与检查自本基金合同生效之日起开始。</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法律法规或监管部门取消或变更上述限制，如适用于本基金，基金管理人在履行适当程序后，则本基金投资不再受相关限制或以变更后的规定为准。</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、禁止行为</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为维护基金份额持有人的合法权益，基金财产不得用于下列投资或者活动：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）承销证券；</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）违反规定向他人贷款或者提供担保；</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）从事承担无限责任的投资；</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）买卖其他基金份额，但是中国证监会另有规定的除外；</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）向其基金管理人、基金托管人出资；</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6</w:t>
      </w:r>
      <w:r>
        <w:rPr>
          <w:rFonts w:hint="eastAsia" w:ascii="宋体" w:hAnsi="宋体" w:eastAsia="宋体" w:cs="宋体"/>
          <w:bCs/>
          <w:kern w:val="2"/>
          <w:sz w:val="24"/>
          <w:szCs w:val="24"/>
          <w:lang w:val="en-US" w:eastAsia="zh-CN" w:bidi="ar"/>
        </w:rPr>
        <w:t>）从事内幕交易、操纵证券交易价格及其他不正当的证券交易活动；</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7</w:t>
      </w:r>
      <w:r>
        <w:rPr>
          <w:rFonts w:hint="eastAsia" w:ascii="宋体" w:hAnsi="宋体" w:eastAsia="宋体" w:cs="宋体"/>
          <w:bCs/>
          <w:kern w:val="2"/>
          <w:sz w:val="24"/>
          <w:szCs w:val="24"/>
          <w:lang w:val="en-US" w:eastAsia="zh-CN" w:bidi="ar"/>
        </w:rPr>
        <w:t>）法律、行政法规和中国证监会规定禁止的其他活动。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如法律、行政法规或监管部门取消或变更上述规定，如适用于本基金，基金管理人在履行适当程序后，本基金可不受上述规定的限制或以变更后的规定为准。</w:t>
      </w:r>
    </w:p>
    <w:p>
      <w:pPr>
        <w:keepNext w:val="0"/>
        <w:keepLines w:val="0"/>
        <w:widowControl w:val="0"/>
        <w:suppressLineNumbers w:val="0"/>
        <w:spacing w:before="0" w:beforeAutospacing="0" w:after="0" w:afterAutospacing="0" w:line="360" w:lineRule="auto"/>
        <w:ind w:left="0" w:right="0" w:firstLine="480" w:firstLineChars="200"/>
        <w:jc w:val="both"/>
        <w:outlineLvl w:val="2"/>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（五）业绩比较基准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沪深</w:t>
      </w:r>
      <w:r>
        <w:rPr>
          <w:rFonts w:hint="default" w:ascii="Times New Roman" w:hAnsi="Times New Roman" w:eastAsia="宋体" w:cs="Times New Roman"/>
          <w:bCs/>
          <w:kern w:val="2"/>
          <w:sz w:val="24"/>
          <w:szCs w:val="24"/>
          <w:lang w:val="en-US" w:eastAsia="zh-CN" w:bidi="ar"/>
        </w:rPr>
        <w:t>300</w:t>
      </w:r>
      <w:r>
        <w:rPr>
          <w:rFonts w:hint="eastAsia" w:ascii="宋体" w:hAnsi="宋体" w:eastAsia="宋体" w:cs="宋体"/>
          <w:bCs/>
          <w:kern w:val="2"/>
          <w:sz w:val="24"/>
          <w:szCs w:val="24"/>
          <w:lang w:val="en-US" w:eastAsia="zh-CN" w:bidi="ar"/>
        </w:rPr>
        <w:t>指数收益率×</w:t>
      </w:r>
      <w:r>
        <w:rPr>
          <w:rFonts w:hint="default" w:ascii="Times New Roman" w:hAnsi="Times New Roman" w:eastAsia="宋体" w:cs="Times New Roman"/>
          <w:bCs/>
          <w:kern w:val="2"/>
          <w:sz w:val="24"/>
          <w:szCs w:val="24"/>
          <w:lang w:val="en-US" w:eastAsia="zh-CN" w:bidi="ar"/>
        </w:rPr>
        <w:t>70%+</w:t>
      </w:r>
      <w:r>
        <w:rPr>
          <w:rFonts w:hint="eastAsia" w:ascii="宋体" w:hAnsi="宋体" w:eastAsia="宋体" w:cs="宋体"/>
          <w:bCs/>
          <w:kern w:val="2"/>
          <w:sz w:val="24"/>
          <w:szCs w:val="24"/>
          <w:lang w:val="en-US" w:eastAsia="zh-CN" w:bidi="ar"/>
        </w:rPr>
        <w:t>恒生指数收益率×</w:t>
      </w: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中证综合债券指数收益率×</w:t>
      </w:r>
      <w:r>
        <w:rPr>
          <w:rFonts w:hint="default" w:ascii="Times New Roman" w:hAnsi="Times New Roman" w:eastAsia="宋体" w:cs="Times New Roman"/>
          <w:bCs/>
          <w:kern w:val="2"/>
          <w:sz w:val="24"/>
          <w:szCs w:val="24"/>
          <w:lang w:val="en-US" w:eastAsia="zh-CN" w:bidi="ar"/>
        </w:rPr>
        <w:t>25%</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沪深</w:t>
      </w:r>
      <w:r>
        <w:rPr>
          <w:rFonts w:hint="default" w:ascii="Times New Roman" w:hAnsi="Times New Roman" w:eastAsia="宋体" w:cs="Times New Roman"/>
          <w:bCs/>
          <w:kern w:val="2"/>
          <w:sz w:val="24"/>
          <w:szCs w:val="24"/>
          <w:lang w:val="en-US" w:eastAsia="zh-CN" w:bidi="ar"/>
        </w:rPr>
        <w:t>300</w:t>
      </w:r>
      <w:r>
        <w:rPr>
          <w:rFonts w:hint="eastAsia" w:ascii="宋体" w:hAnsi="宋体" w:eastAsia="宋体" w:cs="宋体"/>
          <w:bCs/>
          <w:kern w:val="2"/>
          <w:sz w:val="24"/>
          <w:szCs w:val="24"/>
          <w:lang w:val="en-US" w:eastAsia="zh-CN" w:bidi="ar"/>
        </w:rPr>
        <w:t>指数是沪深证券交易所第一次联合发布的反映</w:t>
      </w:r>
      <w:r>
        <w:rPr>
          <w:rFonts w:hint="default" w:ascii="Times New Roman" w:hAnsi="Times New Roman" w:eastAsia="宋体" w:cs="Times New Roman"/>
          <w:bCs/>
          <w:kern w:val="2"/>
          <w:sz w:val="24"/>
          <w:szCs w:val="24"/>
          <w:lang w:val="en-US" w:eastAsia="zh-CN" w:bidi="ar"/>
        </w:rPr>
        <w:t>A</w:t>
      </w:r>
      <w:r>
        <w:rPr>
          <w:rFonts w:hint="eastAsia" w:ascii="宋体" w:hAnsi="宋体" w:eastAsia="宋体" w:cs="宋体"/>
          <w:bCs/>
          <w:kern w:val="2"/>
          <w:sz w:val="24"/>
          <w:szCs w:val="24"/>
          <w:lang w:val="en-US" w:eastAsia="zh-CN" w:bidi="ar"/>
        </w:rPr>
        <w:t>股市场整体走势的指数，由中证指数有限公司编制和维护，是在上海和深圳证券市场中选取</w:t>
      </w:r>
      <w:r>
        <w:rPr>
          <w:rFonts w:hint="default" w:ascii="Times New Roman" w:hAnsi="Times New Roman" w:eastAsia="宋体" w:cs="Times New Roman"/>
          <w:bCs/>
          <w:kern w:val="2"/>
          <w:sz w:val="24"/>
          <w:szCs w:val="24"/>
          <w:lang w:val="en-US" w:eastAsia="zh-CN" w:bidi="ar"/>
        </w:rPr>
        <w:t>300</w:t>
      </w:r>
      <w:r>
        <w:rPr>
          <w:rFonts w:hint="eastAsia" w:ascii="宋体" w:hAnsi="宋体" w:eastAsia="宋体" w:cs="宋体"/>
          <w:bCs/>
          <w:kern w:val="2"/>
          <w:sz w:val="24"/>
          <w:szCs w:val="24"/>
          <w:lang w:val="en-US" w:eastAsia="zh-CN" w:bidi="ar"/>
        </w:rPr>
        <w:t>只</w:t>
      </w:r>
      <w:r>
        <w:rPr>
          <w:rFonts w:hint="default" w:ascii="Times New Roman" w:hAnsi="Times New Roman" w:eastAsia="宋体" w:cs="Times New Roman"/>
          <w:bCs/>
          <w:kern w:val="2"/>
          <w:sz w:val="24"/>
          <w:szCs w:val="24"/>
          <w:lang w:val="en-US" w:eastAsia="zh-CN" w:bidi="ar"/>
        </w:rPr>
        <w:t>A</w:t>
      </w:r>
      <w:r>
        <w:rPr>
          <w:rFonts w:hint="eastAsia" w:ascii="宋体" w:hAnsi="宋体" w:eastAsia="宋体" w:cs="宋体"/>
          <w:bCs/>
          <w:kern w:val="2"/>
          <w:sz w:val="24"/>
          <w:szCs w:val="24"/>
          <w:lang w:val="en-US" w:eastAsia="zh-CN" w:bidi="ar"/>
        </w:rPr>
        <w:t>股作为样本编制而成。该指数样本对沪深市场的覆盖度高，具有良好的市场代表性，投资者可以方便地从报纸、互联网等财经媒体中获取。沪深</w:t>
      </w:r>
      <w:r>
        <w:rPr>
          <w:rFonts w:hint="default" w:ascii="Times New Roman" w:hAnsi="Times New Roman" w:eastAsia="宋体" w:cs="Times New Roman"/>
          <w:bCs/>
          <w:kern w:val="2"/>
          <w:sz w:val="24"/>
          <w:szCs w:val="24"/>
          <w:lang w:val="en-US" w:eastAsia="zh-CN" w:bidi="ar"/>
        </w:rPr>
        <w:t>300</w:t>
      </w:r>
      <w:r>
        <w:rPr>
          <w:rFonts w:hint="eastAsia" w:ascii="宋体" w:hAnsi="宋体" w:eastAsia="宋体" w:cs="宋体"/>
          <w:bCs/>
          <w:kern w:val="2"/>
          <w:sz w:val="24"/>
          <w:szCs w:val="24"/>
          <w:lang w:val="en-US" w:eastAsia="zh-CN" w:bidi="ar"/>
        </w:rPr>
        <w:t>指数引进国际指数编制和管理的经验，编制方法清晰透明，具有独立性和良好的市场流动性；与市场整体表现具有较高的相关度，且指数历史表现强于市场平均收益水平，适合作为本基金</w:t>
      </w:r>
      <w:r>
        <w:rPr>
          <w:rFonts w:hint="default" w:ascii="Times New Roman" w:hAnsi="Times New Roman" w:eastAsia="宋体" w:cs="Times New Roman"/>
          <w:bCs/>
          <w:kern w:val="2"/>
          <w:sz w:val="24"/>
          <w:szCs w:val="24"/>
          <w:lang w:val="en-US" w:eastAsia="zh-CN" w:bidi="ar"/>
        </w:rPr>
        <w:t>A</w:t>
      </w:r>
      <w:r>
        <w:rPr>
          <w:rFonts w:hint="eastAsia" w:ascii="宋体" w:hAnsi="宋体" w:eastAsia="宋体" w:cs="宋体"/>
          <w:bCs/>
          <w:kern w:val="2"/>
          <w:sz w:val="24"/>
          <w:szCs w:val="24"/>
          <w:lang w:val="en-US" w:eastAsia="zh-CN" w:bidi="ar"/>
        </w:rPr>
        <w:t>股资产投资的业绩比较基准。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恒生指数是由恒生指数服务有限公司编制，以香港股票市场中的</w:t>
      </w:r>
      <w:r>
        <w:rPr>
          <w:rFonts w:hint="default" w:ascii="Times New Roman" w:hAnsi="Times New Roman" w:eastAsia="宋体" w:cs="Times New Roman"/>
          <w:bCs/>
          <w:kern w:val="2"/>
          <w:sz w:val="24"/>
          <w:szCs w:val="24"/>
          <w:lang w:val="en-US" w:eastAsia="zh-CN" w:bidi="ar"/>
        </w:rPr>
        <w:t>50</w:t>
      </w:r>
      <w:r>
        <w:rPr>
          <w:rFonts w:hint="eastAsia" w:ascii="宋体" w:hAnsi="宋体" w:eastAsia="宋体" w:cs="宋体"/>
          <w:bCs/>
          <w:kern w:val="2"/>
          <w:sz w:val="24"/>
          <w:szCs w:val="24"/>
          <w:lang w:val="en-US" w:eastAsia="zh-CN" w:bidi="ar"/>
        </w:rPr>
        <w:t>家上市股票为成份股样本，以其发行量为权数的加权平均股价指数，是反映香港股市价幅趋势最有影响的一种股价指数。</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根据本基金的投资范围和投资比例，选用上述业绩比较基准能够客观、合理地反映本基金的风险收益特征。</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pPr>
        <w:keepNext w:val="0"/>
        <w:keepLines w:val="0"/>
        <w:widowControl w:val="0"/>
        <w:suppressLineNumbers w:val="0"/>
        <w:spacing w:before="0" w:beforeAutospacing="0" w:after="0" w:afterAutospacing="0" w:line="360" w:lineRule="auto"/>
        <w:ind w:left="0" w:right="0" w:firstLine="482" w:firstLineChars="200"/>
        <w:jc w:val="both"/>
        <w:outlineLvl w:val="1"/>
        <w:rPr>
          <w:rFonts w:hint="default" w:ascii="Times New Roman" w:hAnsi="Times New Roman" w:cs="Times New Roman"/>
          <w:b/>
          <w:bCs/>
          <w:kern w:val="2"/>
          <w:sz w:val="24"/>
          <w:szCs w:val="24"/>
        </w:rPr>
      </w:pPr>
      <w:r>
        <w:rPr>
          <w:rFonts w:hint="eastAsia" w:ascii="宋体" w:hAnsi="宋体" w:eastAsia="宋体" w:cs="宋体"/>
          <w:b/>
          <w:bCs/>
          <w:kern w:val="2"/>
          <w:sz w:val="24"/>
          <w:szCs w:val="24"/>
          <w:lang w:val="en-US" w:eastAsia="zh-CN" w:bidi="ar"/>
        </w:rPr>
        <w:t>六、基金资产净值的计算方法和公告方式</w:t>
      </w:r>
    </w:p>
    <w:p>
      <w:pPr>
        <w:keepNext w:val="0"/>
        <w:keepLines w:val="0"/>
        <w:widowControl w:val="0"/>
        <w:suppressLineNumbers w:val="0"/>
        <w:spacing w:before="0" w:beforeAutospacing="0" w:after="0" w:afterAutospacing="0" w:line="360" w:lineRule="auto"/>
        <w:ind w:left="0" w:right="0" w:firstLine="480" w:firstLineChars="200"/>
        <w:jc w:val="both"/>
        <w:outlineLvl w:val="2"/>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（一）估值方法</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、证券交易所上市的有价证券的估值</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）交易所上市交易或挂牌转让的固定收益品种（另有规定的除外），选取估值日第三方估值机构提供的相应品种当日的估值净价进行估值；</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）交易所上市实行全价交易的债券（可转债除外），选取第三方估值机构提供的估值全价减去估值全价中所含的债券（税后）应收利息得到的净价进行估值；</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1"/>
          <w:szCs w:val="21"/>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）交易所上市不存在活跃市场的有价证券，采用估值技术确定公允价值。交易所市场挂牌转让的资产支持证券，采用估值技术确定公允价值；</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1"/>
          <w:szCs w:val="21"/>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6</w:t>
      </w:r>
      <w:r>
        <w:rPr>
          <w:rFonts w:hint="eastAsia" w:ascii="宋体" w:hAnsi="宋体" w:eastAsia="宋体" w:cs="宋体"/>
          <w:bCs/>
          <w:kern w:val="2"/>
          <w:sz w:val="24"/>
          <w:szCs w:val="24"/>
          <w:lang w:val="en-US" w:eastAsia="zh-CN" w:bidi="ar"/>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、处于未上市期间的有价证券应区分如下情况处理：</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）送股、转增股、配股和公开增发的新股，按估值日在证券交易所挂牌的同一股票的估值方法估值；该日无交易的，以最近一日的市价（收盘价）估值；</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）首次公开发行未上市的股票和债券，采用估值技术确定公允价值，在估值技术难以可靠计量公允价值的情况下，按成本估值；</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、同一证券同时在两个或两个以上市场交易的，按证券所处的市场分别估值。</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、本基金投资股指期货合约，一般以估值当日结算价进行估值，估值当日无结算价的，且最近交易日后经济环境未发生重大变化的，采用最近交易日结算价估值。</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6</w:t>
      </w:r>
      <w:r>
        <w:rPr>
          <w:rFonts w:hint="eastAsia" w:ascii="宋体" w:hAnsi="宋体" w:eastAsia="宋体" w:cs="宋体"/>
          <w:bCs/>
          <w:kern w:val="2"/>
          <w:sz w:val="24"/>
          <w:szCs w:val="24"/>
          <w:lang w:val="en-US" w:eastAsia="zh-CN" w:bidi="ar"/>
        </w:rPr>
        <w:t>、估值计算中涉及港币对人民币汇率的，将依据下列信息提供机构所提供的汇率为基准：当日中国人民银行或其授权机构当日公布的人民币与港币的中间价。</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7</w:t>
      </w:r>
      <w:r>
        <w:rPr>
          <w:rFonts w:hint="eastAsia" w:ascii="宋体" w:hAnsi="宋体" w:eastAsia="宋体" w:cs="宋体"/>
          <w:bCs/>
          <w:kern w:val="2"/>
          <w:sz w:val="24"/>
          <w:szCs w:val="24"/>
          <w:lang w:val="en-US" w:eastAsia="zh-CN" w:bidi="ar"/>
        </w:rPr>
        <w:t>、对于因税收规定调整或其他原因导致产品实际交纳税金与估算的应交税金有差异的，产品将在相关税金调整日或实际支付日进行相应的会计处理。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8</w:t>
      </w:r>
      <w:r>
        <w:rPr>
          <w:rFonts w:hint="eastAsia" w:ascii="宋体" w:hAnsi="宋体" w:eastAsia="宋体" w:cs="宋体"/>
          <w:bCs/>
          <w:kern w:val="2"/>
          <w:sz w:val="24"/>
          <w:szCs w:val="24"/>
          <w:lang w:val="en-US" w:eastAsia="zh-CN" w:bidi="ar"/>
        </w:rPr>
        <w:t>、本基金投资存托凭证的估值核算依照境内上市交易的股票执行。</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9</w:t>
      </w:r>
      <w:r>
        <w:rPr>
          <w:rFonts w:hint="eastAsia" w:ascii="宋体" w:hAnsi="宋体" w:eastAsia="宋体" w:cs="宋体"/>
          <w:bCs/>
          <w:kern w:val="2"/>
          <w:sz w:val="24"/>
          <w:szCs w:val="24"/>
          <w:lang w:val="en-US" w:eastAsia="zh-CN" w:bidi="ar"/>
        </w:rPr>
        <w:t>、如有确凿证据表明按上述方法进行估值不能客观反映其公允价值的，基金管理人可根据具体情况与基金托管人商定后，按最能反映公允价值的价格估值。</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、当发生大额申购或赎回情形时，基金管理人可以采用摆动定价机制，以确保基金估值的公平性。</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11</w:t>
      </w:r>
      <w:r>
        <w:rPr>
          <w:rFonts w:hint="eastAsia" w:ascii="宋体" w:hAnsi="宋体" w:eastAsia="宋体" w:cs="宋体"/>
          <w:bCs/>
          <w:kern w:val="2"/>
          <w:sz w:val="24"/>
          <w:szCs w:val="24"/>
          <w:lang w:val="en-US" w:eastAsia="zh-CN" w:bidi="ar"/>
        </w:rPr>
        <w:t>、相关法律法规以及监管部门有强制规定的，从其规定。如有新增事项，按国家最新规定估值。</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sz w:val="24"/>
          <w:szCs w:val="24"/>
        </w:rPr>
      </w:pPr>
      <w:r>
        <w:rPr>
          <w:rStyle w:val="80"/>
          <w:rFonts w:hint="eastAsia" w:ascii="宋体" w:hAnsi="宋体" w:eastAsia="宋体" w:cs="宋体"/>
          <w:bCs/>
          <w:kern w:val="2"/>
          <w:sz w:val="24"/>
          <w:szCs w:val="24"/>
          <w:lang w:val="en-US" w:eastAsia="zh-CN" w:bidi="ar"/>
        </w:rPr>
        <w:t>如基金管理人或基金托管人发现基金估值违反基金合同订明的估值方法、程序及相关法律法规的规定或者未能充分维护基金份额持有人利益时，应立即通知对方，共同查明原因，双方协商解决。</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pPr>
        <w:keepNext w:val="0"/>
        <w:keepLines w:val="0"/>
        <w:widowControl w:val="0"/>
        <w:suppressLineNumbers w:val="0"/>
        <w:spacing w:before="0" w:beforeAutospacing="0" w:after="0" w:afterAutospacing="0" w:line="360" w:lineRule="auto"/>
        <w:ind w:left="0" w:right="0" w:firstLine="480" w:firstLineChars="200"/>
        <w:jc w:val="both"/>
        <w:outlineLvl w:val="2"/>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（二）估值程序</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、各类基金份额的基金份额净值是按照每个工作日闭市后，该类基金份额的基金资产净值除以当日该类基金份额的余额数量计算，精确到</w:t>
      </w:r>
      <w:r>
        <w:rPr>
          <w:rFonts w:hint="default" w:ascii="Times New Roman" w:hAnsi="Times New Roman" w:eastAsia="宋体" w:cs="Times New Roman"/>
          <w:bCs/>
          <w:kern w:val="2"/>
          <w:sz w:val="24"/>
          <w:szCs w:val="24"/>
          <w:lang w:val="en-US" w:eastAsia="zh-CN" w:bidi="ar"/>
        </w:rPr>
        <w:t>0.0001</w:t>
      </w:r>
      <w:r>
        <w:rPr>
          <w:rFonts w:hint="eastAsia" w:ascii="宋体" w:hAnsi="宋体" w:eastAsia="宋体" w:cs="宋体"/>
          <w:bCs/>
          <w:kern w:val="2"/>
          <w:sz w:val="24"/>
          <w:szCs w:val="24"/>
          <w:lang w:val="en-US" w:eastAsia="zh-CN" w:bidi="ar"/>
        </w:rPr>
        <w:t>元，小数点后第</w:t>
      </w: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位四舍五入。基金管理人可以设立大额赎回情形下的净值精度应急调整机制，具体可参见相关公告。国家另有规定的，从其规定。</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基金管理人于每个工作日计算各类基金份额的基金资产净值及基金份额净值，并按规定公告。如遇特殊情况，经履行适当程序，可以适当延迟计算或公告。</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依据基金合同和相关法律法规的规定对外公布。</w:t>
      </w:r>
    </w:p>
    <w:p>
      <w:pPr>
        <w:keepNext w:val="0"/>
        <w:keepLines w:val="0"/>
        <w:widowControl w:val="0"/>
        <w:suppressLineNumbers w:val="0"/>
        <w:spacing w:before="0" w:beforeAutospacing="0" w:after="0" w:afterAutospacing="0" w:line="360" w:lineRule="auto"/>
        <w:ind w:left="0" w:right="0" w:firstLine="480" w:firstLineChars="200"/>
        <w:jc w:val="both"/>
        <w:outlineLvl w:val="2"/>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（三）暂停估值的情形</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、基金投资所涉及的证券、期货交易市场遇法定节假日或因其他原因暂停营业时；</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、因不可抗力致使基金管理人、基金托管人无法准确评估基金资产价值时；</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、当特定资产占前一估值日基金资产净值</w:t>
      </w:r>
      <w:r>
        <w:rPr>
          <w:rFonts w:hint="default" w:ascii="Times New Roman" w:hAnsi="Times New Roman" w:eastAsia="宋体" w:cs="Times New Roman"/>
          <w:bCs/>
          <w:kern w:val="2"/>
          <w:sz w:val="24"/>
          <w:szCs w:val="24"/>
          <w:lang w:val="en-US" w:eastAsia="zh-CN" w:bidi="ar"/>
        </w:rPr>
        <w:t>50%</w:t>
      </w:r>
      <w:r>
        <w:rPr>
          <w:rFonts w:hint="eastAsia" w:ascii="宋体" w:hAnsi="宋体" w:eastAsia="宋体" w:cs="宋体"/>
          <w:bCs/>
          <w:kern w:val="2"/>
          <w:sz w:val="24"/>
          <w:szCs w:val="24"/>
          <w:lang w:val="en-US" w:eastAsia="zh-CN" w:bidi="ar"/>
        </w:rPr>
        <w:t>以上的，经与基金托管人协商确认后，基金管理人应当暂停估值；</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、法律法规、中国证监会和基金合同认定的其它情形。</w:t>
      </w:r>
    </w:p>
    <w:p>
      <w:pPr>
        <w:keepNext w:val="0"/>
        <w:keepLines w:val="0"/>
        <w:widowControl w:val="0"/>
        <w:suppressLineNumbers w:val="0"/>
        <w:spacing w:before="0" w:beforeAutospacing="0" w:after="0" w:afterAutospacing="0" w:line="360" w:lineRule="auto"/>
        <w:ind w:left="0" w:right="0" w:firstLine="480" w:firstLineChars="200"/>
        <w:jc w:val="both"/>
        <w:outlineLvl w:val="2"/>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（四）基金净值信息的公告方式</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《基金合同》生效后，在开始办理基金份额申购或者赎回前，基金管理人应当至少每周在规定网站分别披露一次</w:t>
      </w:r>
      <w:r>
        <w:rPr>
          <w:rFonts w:hint="default" w:ascii="Times New Roman" w:hAnsi="Times New Roman" w:eastAsia="宋体" w:cs="Times New Roman"/>
          <w:bCs/>
          <w:kern w:val="2"/>
          <w:sz w:val="24"/>
          <w:szCs w:val="24"/>
          <w:lang w:val="en-US" w:eastAsia="zh-CN" w:bidi="ar"/>
        </w:rPr>
        <w:t>A</w:t>
      </w:r>
      <w:r>
        <w:rPr>
          <w:rFonts w:hint="eastAsia" w:ascii="宋体" w:hAnsi="宋体" w:eastAsia="宋体" w:cs="宋体"/>
          <w:bCs/>
          <w:kern w:val="2"/>
          <w:sz w:val="24"/>
          <w:szCs w:val="24"/>
          <w:lang w:val="en-US" w:eastAsia="zh-CN" w:bidi="ar"/>
        </w:rPr>
        <w:t>类基金份额和</w:t>
      </w:r>
      <w:r>
        <w:rPr>
          <w:rFonts w:hint="default" w:ascii="Times New Roman" w:hAnsi="Times New Roman" w:eastAsia="宋体" w:cs="Times New Roman"/>
          <w:bCs/>
          <w:kern w:val="2"/>
          <w:sz w:val="24"/>
          <w:szCs w:val="24"/>
          <w:lang w:val="en-US" w:eastAsia="zh-CN" w:bidi="ar"/>
        </w:rPr>
        <w:t>C</w:t>
      </w:r>
      <w:r>
        <w:rPr>
          <w:rFonts w:hint="eastAsia" w:ascii="宋体" w:hAnsi="宋体" w:eastAsia="宋体" w:cs="宋体"/>
          <w:bCs/>
          <w:kern w:val="2"/>
          <w:sz w:val="24"/>
          <w:szCs w:val="24"/>
          <w:lang w:val="en-US" w:eastAsia="zh-CN" w:bidi="ar"/>
        </w:rPr>
        <w:t>类基金份额所对应的基金份额净值和基金份额累计净值。</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在开始办理基金份额申购或者赎回后，基金管理人应当在不晚于每个开放日的次日，通过规定网站、基金销售机构网站或者营业网点分别披露开放日的</w:t>
      </w:r>
      <w:r>
        <w:rPr>
          <w:rFonts w:hint="default" w:ascii="Times New Roman" w:hAnsi="Times New Roman" w:eastAsia="宋体" w:cs="Times New Roman"/>
          <w:kern w:val="2"/>
          <w:sz w:val="24"/>
          <w:szCs w:val="24"/>
          <w:lang w:val="en-US" w:eastAsia="zh-CN" w:bidi="ar"/>
        </w:rPr>
        <w:t>A</w:t>
      </w:r>
      <w:r>
        <w:rPr>
          <w:rFonts w:hint="eastAsia" w:ascii="宋体" w:hAnsi="宋体" w:eastAsia="宋体" w:cs="宋体"/>
          <w:kern w:val="2"/>
          <w:sz w:val="24"/>
          <w:szCs w:val="24"/>
          <w:lang w:val="en-US" w:eastAsia="zh-CN" w:bidi="ar"/>
        </w:rPr>
        <w:t>类基金份额和</w:t>
      </w:r>
      <w:r>
        <w:rPr>
          <w:rFonts w:hint="default" w:ascii="Times New Roman" w:hAnsi="Times New Roman" w:eastAsia="宋体" w:cs="Times New Roman"/>
          <w:kern w:val="2"/>
          <w:sz w:val="24"/>
          <w:szCs w:val="24"/>
          <w:lang w:val="en-US" w:eastAsia="zh-CN" w:bidi="ar"/>
        </w:rPr>
        <w:t>C</w:t>
      </w:r>
      <w:r>
        <w:rPr>
          <w:rFonts w:hint="eastAsia" w:ascii="宋体" w:hAnsi="宋体" w:eastAsia="宋体" w:cs="宋体"/>
          <w:kern w:val="2"/>
          <w:sz w:val="24"/>
          <w:szCs w:val="24"/>
          <w:lang w:val="en-US" w:eastAsia="zh-CN" w:bidi="ar"/>
        </w:rPr>
        <w:t>类基金份额所对应的</w:t>
      </w:r>
      <w:r>
        <w:rPr>
          <w:rFonts w:hint="eastAsia" w:ascii="宋体" w:hAnsi="宋体" w:eastAsia="宋体" w:cs="宋体"/>
          <w:bCs/>
          <w:kern w:val="2"/>
          <w:sz w:val="24"/>
          <w:szCs w:val="24"/>
          <w:lang w:val="en-US" w:eastAsia="zh-CN" w:bidi="ar"/>
        </w:rPr>
        <w:t>基金份额净值和基金份额累计净值。</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基金管理人应当在不晚于半年度和年度最后一日的次日，在规定网站披露半年度和年度最后一日</w:t>
      </w:r>
      <w:r>
        <w:rPr>
          <w:rFonts w:hint="default" w:ascii="Times New Roman" w:hAnsi="Times New Roman" w:eastAsia="宋体" w:cs="Times New Roman"/>
          <w:bCs/>
          <w:kern w:val="2"/>
          <w:sz w:val="24"/>
          <w:szCs w:val="24"/>
          <w:lang w:val="en-US" w:eastAsia="zh-CN" w:bidi="ar"/>
        </w:rPr>
        <w:t>A</w:t>
      </w:r>
      <w:r>
        <w:rPr>
          <w:rFonts w:hint="eastAsia" w:ascii="宋体" w:hAnsi="宋体" w:eastAsia="宋体" w:cs="宋体"/>
          <w:bCs/>
          <w:kern w:val="2"/>
          <w:sz w:val="24"/>
          <w:szCs w:val="24"/>
          <w:lang w:val="en-US" w:eastAsia="zh-CN" w:bidi="ar"/>
        </w:rPr>
        <w:t>类基金份额和</w:t>
      </w:r>
      <w:r>
        <w:rPr>
          <w:rFonts w:hint="default" w:ascii="Times New Roman" w:hAnsi="Times New Roman" w:eastAsia="宋体" w:cs="Times New Roman"/>
          <w:bCs/>
          <w:kern w:val="2"/>
          <w:sz w:val="24"/>
          <w:szCs w:val="24"/>
          <w:lang w:val="en-US" w:eastAsia="zh-CN" w:bidi="ar"/>
        </w:rPr>
        <w:t>C</w:t>
      </w:r>
      <w:r>
        <w:rPr>
          <w:rFonts w:hint="eastAsia" w:ascii="宋体" w:hAnsi="宋体" w:eastAsia="宋体" w:cs="宋体"/>
          <w:bCs/>
          <w:kern w:val="2"/>
          <w:sz w:val="24"/>
          <w:szCs w:val="24"/>
          <w:lang w:val="en-US" w:eastAsia="zh-CN" w:bidi="ar"/>
        </w:rPr>
        <w:t>类基金份额所对应的基金份额净值和基金份额累计净值。</w:t>
      </w:r>
    </w:p>
    <w:p>
      <w:pPr>
        <w:keepNext w:val="0"/>
        <w:keepLines w:val="0"/>
        <w:widowControl w:val="0"/>
        <w:suppressLineNumbers w:val="0"/>
        <w:spacing w:before="0" w:beforeAutospacing="0" w:after="0" w:afterAutospacing="0" w:line="360" w:lineRule="auto"/>
        <w:ind w:left="0" w:right="0" w:firstLine="482" w:firstLineChars="200"/>
        <w:jc w:val="both"/>
        <w:outlineLvl w:val="1"/>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七、基金合同变更、解除和终止的事由、程序以及基金财产清算方式</w:t>
      </w:r>
    </w:p>
    <w:p>
      <w:pPr>
        <w:keepNext w:val="0"/>
        <w:keepLines w:val="0"/>
        <w:widowControl w:val="0"/>
        <w:suppressLineNumbers w:val="0"/>
        <w:spacing w:before="0" w:beforeAutospacing="0" w:after="0" w:afterAutospacing="0" w:line="360" w:lineRule="auto"/>
        <w:ind w:left="0" w:right="0" w:firstLine="480" w:firstLineChars="200"/>
        <w:jc w:val="both"/>
        <w:outlineLvl w:val="2"/>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（一）《基金合同》的变更</w:t>
      </w:r>
    </w:p>
    <w:p>
      <w:pPr>
        <w:keepNext w:val="0"/>
        <w:keepLines w:val="0"/>
        <w:widowControl w:val="0"/>
        <w:suppressLineNumbers w:val="0"/>
        <w:autoSpaceDE w:val="0"/>
        <w:autoSpaceDN w:val="0"/>
        <w:adjustRightInd w:val="0"/>
        <w:spacing w:before="0" w:beforeAutospacing="0" w:after="0" w:afterAutospacing="0" w:line="360" w:lineRule="auto"/>
        <w:ind w:left="0" w:right="0" w:firstLine="720" w:firstLineChars="300"/>
        <w:jc w:val="left"/>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keepNext w:val="0"/>
        <w:keepLines w:val="0"/>
        <w:widowControl w:val="0"/>
        <w:suppressLineNumbers w:val="0"/>
        <w:autoSpaceDE w:val="0"/>
        <w:autoSpaceDN w:val="0"/>
        <w:adjustRightInd w:val="0"/>
        <w:spacing w:before="0" w:beforeAutospacing="0" w:after="0" w:afterAutospacing="0" w:line="360" w:lineRule="auto"/>
        <w:ind w:left="0" w:right="0" w:firstLine="720" w:firstLineChars="300"/>
        <w:jc w:val="left"/>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、关于《基金合同》变更的基金份额持有人大会决议自生效后方可执行，自决议生效后依照《信息披露办法》的规定在规定媒介公告。</w:t>
      </w:r>
    </w:p>
    <w:p>
      <w:pPr>
        <w:keepNext w:val="0"/>
        <w:keepLines w:val="0"/>
        <w:widowControl w:val="0"/>
        <w:suppressLineNumbers w:val="0"/>
        <w:spacing w:before="0" w:beforeAutospacing="0" w:after="0" w:afterAutospacing="0" w:line="360" w:lineRule="auto"/>
        <w:ind w:left="0" w:right="0" w:firstLine="480" w:firstLineChars="200"/>
        <w:jc w:val="both"/>
        <w:outlineLvl w:val="2"/>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（二）《基金合同》的终止事由</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有下列情形之一的，经履行相关程序后，《基金合同》应当终止：</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、基金份额持有人大会决定终止的；</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、基金管理人、基金托管人职责终止，在</w:t>
      </w:r>
      <w:r>
        <w:rPr>
          <w:rFonts w:hint="default" w:ascii="Times New Roman" w:hAnsi="Times New Roman" w:eastAsia="宋体" w:cs="Times New Roman"/>
          <w:bCs/>
          <w:kern w:val="2"/>
          <w:sz w:val="24"/>
          <w:szCs w:val="24"/>
          <w:lang w:val="en-US" w:eastAsia="zh-CN" w:bidi="ar"/>
        </w:rPr>
        <w:t>6</w:t>
      </w:r>
      <w:r>
        <w:rPr>
          <w:rFonts w:hint="eastAsia" w:ascii="宋体" w:hAnsi="宋体" w:eastAsia="宋体" w:cs="宋体"/>
          <w:bCs/>
          <w:kern w:val="2"/>
          <w:sz w:val="24"/>
          <w:szCs w:val="24"/>
          <w:lang w:val="en-US" w:eastAsia="zh-CN" w:bidi="ar"/>
        </w:rPr>
        <w:t>个月内没有新基金管理人、新基金托管人承接的；</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、连续</w:t>
      </w:r>
      <w:r>
        <w:rPr>
          <w:rFonts w:hint="default" w:ascii="Times New Roman" w:hAnsi="Times New Roman" w:eastAsia="宋体" w:cs="Times New Roman"/>
          <w:bCs/>
          <w:kern w:val="2"/>
          <w:sz w:val="24"/>
          <w:szCs w:val="24"/>
          <w:lang w:val="en-US" w:eastAsia="zh-CN" w:bidi="ar"/>
        </w:rPr>
        <w:t>50</w:t>
      </w:r>
      <w:r>
        <w:rPr>
          <w:rFonts w:hint="eastAsia" w:ascii="宋体" w:hAnsi="宋体" w:eastAsia="宋体" w:cs="宋体"/>
          <w:bCs/>
          <w:kern w:val="2"/>
          <w:sz w:val="24"/>
          <w:szCs w:val="24"/>
          <w:lang w:val="en-US" w:eastAsia="zh-CN" w:bidi="ar"/>
        </w:rPr>
        <w:t>个工作日出现基金份额持有人数量不满</w:t>
      </w:r>
      <w:r>
        <w:rPr>
          <w:rFonts w:hint="default" w:ascii="Times New Roman" w:hAnsi="Times New Roman" w:eastAsia="宋体" w:cs="Times New Roman"/>
          <w:bCs/>
          <w:kern w:val="2"/>
          <w:sz w:val="24"/>
          <w:szCs w:val="24"/>
          <w:lang w:val="en-US" w:eastAsia="zh-CN" w:bidi="ar"/>
        </w:rPr>
        <w:t>200</w:t>
      </w:r>
      <w:r>
        <w:rPr>
          <w:rFonts w:hint="eastAsia" w:ascii="宋体" w:hAnsi="宋体" w:eastAsia="宋体" w:cs="宋体"/>
          <w:bCs/>
          <w:kern w:val="2"/>
          <w:sz w:val="24"/>
          <w:szCs w:val="24"/>
          <w:lang w:val="en-US" w:eastAsia="zh-CN" w:bidi="ar"/>
        </w:rPr>
        <w:t>人或者基金资产净值低于</w:t>
      </w:r>
      <w:r>
        <w:rPr>
          <w:rFonts w:hint="default" w:ascii="Times New Roman" w:hAnsi="Times New Roman" w:eastAsia="宋体" w:cs="Times New Roman"/>
          <w:bCs/>
          <w:kern w:val="2"/>
          <w:sz w:val="24"/>
          <w:szCs w:val="24"/>
          <w:lang w:val="en-US" w:eastAsia="zh-CN" w:bidi="ar"/>
        </w:rPr>
        <w:t>5000</w:t>
      </w:r>
      <w:r>
        <w:rPr>
          <w:rFonts w:hint="eastAsia" w:ascii="宋体" w:hAnsi="宋体" w:eastAsia="宋体" w:cs="宋体"/>
          <w:bCs/>
          <w:kern w:val="2"/>
          <w:sz w:val="24"/>
          <w:szCs w:val="24"/>
          <w:lang w:val="en-US" w:eastAsia="zh-CN" w:bidi="ar"/>
        </w:rPr>
        <w:t>万元情形的，基金合同终止，不需召开基金份额持有人大会；</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、《基金合同》约定的其他情形；</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、相关法律法规和中国证监会规定的其他情况。</w:t>
      </w:r>
    </w:p>
    <w:p>
      <w:pPr>
        <w:keepNext w:val="0"/>
        <w:keepLines w:val="0"/>
        <w:widowControl w:val="0"/>
        <w:suppressLineNumbers w:val="0"/>
        <w:spacing w:before="0" w:beforeAutospacing="0" w:after="0" w:afterAutospacing="0" w:line="360" w:lineRule="auto"/>
        <w:ind w:left="0" w:right="0" w:firstLine="480" w:firstLineChars="200"/>
        <w:jc w:val="both"/>
        <w:outlineLvl w:val="2"/>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（三）基金财产的清算</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、基金财产清算小组：自出现《基金合同》终止事由之日起</w:t>
      </w:r>
      <w:r>
        <w:rPr>
          <w:rFonts w:hint="default" w:ascii="Times New Roman" w:hAnsi="Times New Roman" w:eastAsia="宋体" w:cs="Times New Roman"/>
          <w:bCs/>
          <w:kern w:val="2"/>
          <w:sz w:val="24"/>
          <w:szCs w:val="24"/>
          <w:lang w:val="en-US" w:eastAsia="zh-CN" w:bidi="ar"/>
        </w:rPr>
        <w:t>30</w:t>
      </w:r>
      <w:r>
        <w:rPr>
          <w:rFonts w:hint="eastAsia" w:ascii="宋体" w:hAnsi="宋体" w:eastAsia="宋体" w:cs="宋体"/>
          <w:bCs/>
          <w:kern w:val="2"/>
          <w:sz w:val="24"/>
          <w:szCs w:val="24"/>
          <w:lang w:val="en-US" w:eastAsia="zh-CN" w:bidi="ar"/>
        </w:rPr>
        <w:t>个工作日内成立清算小组，基金管理人组织基金财产清算小组并在中国证监会的监督下进行基金清算。</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基金财产清算小组组成：基金财产清算小组成员由基金管理人、基金托管人、符合《中华人民共和国证券法》规定的注册会计师、律师以及中国证监会指定的人员组成。基金财产清算小组可以聘用必要的工作人员。</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、基金财产清算小组职责：基金财产清算小组负责基金财产的保管、清理、估价、变现和分配。基金财产清算小组可以依法进行必要的民事活动。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、基金财产清算程序：</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）《基金合同》终止情形出现时，由基金财产清算小组统一接管基金；</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）对基金财产和债权债务进行清理和确认；</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）对基金财产进行估值和变现；</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）制作清算报告；</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）聘请会计师事务所对清算报告进行外部审计，聘请律师事务所对清算报告出具法律意见书；</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6</w:t>
      </w:r>
      <w:r>
        <w:rPr>
          <w:rFonts w:hint="eastAsia" w:ascii="宋体" w:hAnsi="宋体" w:eastAsia="宋体" w:cs="宋体"/>
          <w:bCs/>
          <w:kern w:val="2"/>
          <w:sz w:val="24"/>
          <w:szCs w:val="24"/>
          <w:lang w:val="en-US" w:eastAsia="zh-CN" w:bidi="ar"/>
        </w:rPr>
        <w:t>）将清算报告报中国证监会备案并公告；</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7</w:t>
      </w:r>
      <w:r>
        <w:rPr>
          <w:rFonts w:hint="eastAsia" w:ascii="宋体" w:hAnsi="宋体" w:eastAsia="宋体" w:cs="宋体"/>
          <w:bCs/>
          <w:kern w:val="2"/>
          <w:sz w:val="24"/>
          <w:szCs w:val="24"/>
          <w:lang w:val="en-US" w:eastAsia="zh-CN" w:bidi="ar"/>
        </w:rPr>
        <w:t>）对基金剩余财产进行分配。</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、基金财产清算的期限为</w:t>
      </w:r>
      <w:r>
        <w:rPr>
          <w:rFonts w:hint="default" w:ascii="Times New Roman" w:hAnsi="Times New Roman" w:eastAsia="宋体" w:cs="Times New Roman"/>
          <w:bCs/>
          <w:kern w:val="2"/>
          <w:sz w:val="24"/>
          <w:szCs w:val="24"/>
          <w:lang w:val="en-US" w:eastAsia="zh-CN" w:bidi="ar"/>
        </w:rPr>
        <w:t>6</w:t>
      </w:r>
      <w:r>
        <w:rPr>
          <w:rFonts w:hint="eastAsia" w:ascii="宋体" w:hAnsi="宋体" w:eastAsia="宋体" w:cs="宋体"/>
          <w:bCs/>
          <w:kern w:val="2"/>
          <w:sz w:val="24"/>
          <w:szCs w:val="24"/>
          <w:lang w:val="en-US" w:eastAsia="zh-CN" w:bidi="ar"/>
        </w:rPr>
        <w:t>个月，但因本基金所持证券的流动性受到限制而不能及时变现的，清算期限相应顺延。</w:t>
      </w:r>
    </w:p>
    <w:p>
      <w:pPr>
        <w:pStyle w:val="18"/>
        <w:keepNext w:val="0"/>
        <w:keepLines w:val="0"/>
        <w:widowControl w:val="0"/>
        <w:suppressLineNumbers w:val="0"/>
        <w:spacing w:before="0" w:beforeAutospacing="1" w:after="78" w:afterLines="0" w:afterAutospacing="0" w:line="360" w:lineRule="auto"/>
        <w:ind w:left="0" w:right="0" w:firstLine="482" w:firstLineChars="200"/>
        <w:jc w:val="both"/>
        <w:outlineLvl w:val="1"/>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八、争议解决方式</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各方当事人均有约束力，除非仲裁裁决另有规定，仲裁费用由败诉方承担。</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争议处理期间，基金合同当事人应恪守各自的职责，继续忠实、勤勉、尽责地履行基金合同规定的义务，维护基金份额持有人的合法权益。</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《基金合同》受中国法律（不含港澳台地区法律）管辖。</w:t>
      </w:r>
    </w:p>
    <w:p>
      <w:pPr>
        <w:pStyle w:val="18"/>
        <w:keepNext w:val="0"/>
        <w:keepLines w:val="0"/>
        <w:widowControl w:val="0"/>
        <w:suppressLineNumbers w:val="0"/>
        <w:spacing w:before="0" w:beforeAutospacing="1" w:after="78" w:afterLines="0" w:afterAutospacing="0" w:line="360" w:lineRule="auto"/>
        <w:ind w:left="0" w:right="0" w:firstLine="482" w:firstLineChars="200"/>
        <w:jc w:val="both"/>
        <w:outlineLvl w:val="1"/>
        <w:rPr>
          <w:rFonts w:hint="eastAsia" w:ascii="宋体" w:hAnsi="宋体" w:eastAsia="宋体" w:cs="宋体"/>
          <w:kern w:val="2"/>
          <w:sz w:val="24"/>
          <w:szCs w:val="24"/>
        </w:rPr>
      </w:pPr>
      <w:r>
        <w:rPr>
          <w:rFonts w:hint="eastAsia" w:ascii="宋体" w:hAnsi="宋体" w:eastAsia="宋体" w:cs="宋体"/>
          <w:b/>
          <w:bCs w:val="0"/>
          <w:kern w:val="2"/>
          <w:sz w:val="24"/>
          <w:szCs w:val="24"/>
          <w:lang w:val="en-US" w:eastAsia="zh-CN" w:bidi="ar"/>
        </w:rPr>
        <w:t>九、基金合同存放地和投资者取得基金合同的方式</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《基金合同》正本一式三份，除上报有关监管机构一份外，基金管理人、基金托管人各持有一份，每份具有同等的法律效力。</w:t>
      </w:r>
    </w:p>
    <w:p>
      <w:pPr>
        <w:widowControl w:val="0"/>
        <w:ind w:firstLine="480"/>
        <w:jc w:val="both"/>
        <w:rPr>
          <w:rFonts w:hint="eastAsia" w:ascii="宋体" w:hAnsi="宋体" w:eastAsia="宋体" w:cs="宋体"/>
          <w:kern w:val="2"/>
          <w:sz w:val="28"/>
          <w:szCs w:val="28"/>
        </w:rPr>
        <w:sectPr>
          <w:headerReference r:id="rId3" w:type="default"/>
          <w:footerReference r:id="rId4" w:type="default"/>
          <w:pgSz w:w="12242" w:h="15842"/>
          <w:pgMar w:top="1440" w:right="1797" w:bottom="1440" w:left="1797" w:header="851" w:footer="992" w:gutter="0"/>
          <w:cols w:space="425" w:num="1"/>
          <w:docGrid w:type="lines" w:linePitch="312" w:charSpace="0"/>
        </w:sectPr>
      </w:pPr>
      <w:r>
        <w:rPr>
          <w:rFonts w:hint="eastAsia" w:ascii="宋体" w:hAnsi="宋体" w:eastAsia="宋体" w:cs="宋体"/>
          <w:bCs/>
          <w:kern w:val="2"/>
          <w:sz w:val="24"/>
          <w:szCs w:val="24"/>
          <w:lang w:val="en-US" w:eastAsia="zh-CN" w:bidi="ar"/>
        </w:rPr>
        <w:t>《基金合同》可印制成册，供投资者在基金管理人、基金托管人、销售机构的办公场所和营业场所查阅，但应以《基金合同》正本为准。</w:t>
      </w:r>
      <w:bookmarkStart w:id="0" w:name="_GoBack"/>
      <w:bookmarkEnd w:id="0"/>
    </w:p>
    <w:p>
      <w:pPr>
        <w:spacing w:line="360" w:lineRule="auto"/>
        <w:ind w:firstLine="0" w:firstLineChars="0"/>
        <w:rPr>
          <w:rFonts w:asciiTheme="minorEastAsia" w:hAnsiTheme="minorEastAsia" w:eastAsiaTheme="minorEastAsia"/>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6001407"/>
      <w:docPartObj>
        <w:docPartGallery w:val="autotext"/>
      </w:docPartObj>
    </w:sdtPr>
    <w:sdtContent>
      <w:p>
        <w:pPr>
          <w:pStyle w:val="13"/>
          <w:jc w:val="center"/>
        </w:pPr>
        <w:r>
          <w:fldChar w:fldCharType="begin"/>
        </w:r>
        <w:r>
          <w:instrText xml:space="preserve">PAGE   \* MERGEFORMAT</w:instrText>
        </w:r>
        <w:r>
          <w:fldChar w:fldCharType="separate"/>
        </w:r>
        <w:r>
          <w:rPr>
            <w:lang w:val="zh-CN"/>
          </w:rPr>
          <w:t>20</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LargeGap" w:color="auto" w:sz="24" w:space="2"/>
      </w:pBdr>
      <w:tabs>
        <w:tab w:val="right" w:pos="8280"/>
      </w:tabs>
      <w:wordWrap w:val="0"/>
      <w:adjustRightInd w:val="0"/>
      <w:jc w:val="right"/>
    </w:pPr>
    <w:r>
      <w:rPr>
        <w:szCs w:val="18"/>
      </w:rPr>
      <w:drawing>
        <wp:anchor distT="0" distB="0" distL="114300" distR="114300" simplePos="0" relativeHeight="251659264" behindDoc="0" locked="0" layoutInCell="1" allowOverlap="1">
          <wp:simplePos x="0" y="0"/>
          <wp:positionH relativeFrom="column">
            <wp:posOffset>-7620</wp:posOffset>
          </wp:positionH>
          <wp:positionV relativeFrom="paragraph">
            <wp:posOffset>-151765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lum contrast="-2000"/>
                  </a:blip>
                  <a:srcRect/>
                  <a:stretch>
                    <a:fillRect/>
                  </a:stretch>
                </pic:blipFill>
                <pic:spPr>
                  <a:xfrm>
                    <a:off x="0" y="0"/>
                    <a:ext cx="1714500" cy="247650"/>
                  </a:xfrm>
                  <a:prstGeom prst="rect">
                    <a:avLst/>
                  </a:prstGeom>
                  <a:noFill/>
                  <a:ln w="9525">
                    <a:noFill/>
                    <a:miter lim="800000"/>
                    <a:headEnd/>
                    <a:tailEnd/>
                  </a:ln>
                </pic:spPr>
              </pic:pic>
            </a:graphicData>
          </a:graphic>
        </wp:anchor>
      </w:drawing>
    </w:r>
    <w:r>
      <w:rPr>
        <w:rFonts w:hint="eastAsia"/>
        <w:szCs w:val="18"/>
      </w:rPr>
      <w:t>交银施罗德</w:t>
    </w:r>
    <w:r>
      <w:rPr>
        <w:rFonts w:hint="eastAsia"/>
        <w:szCs w:val="18"/>
        <w:lang w:val="en-US" w:eastAsia="zh-CN"/>
      </w:rPr>
      <w:t>启合</w:t>
    </w:r>
    <w:r>
      <w:rPr>
        <w:rFonts w:hint="eastAsia"/>
        <w:szCs w:val="18"/>
      </w:rPr>
      <w:t>混合型证券投资基金基金合同摘要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5CE4D9"/>
    <w:multiLevelType w:val="multilevel"/>
    <w:tmpl w:val="8E5CE4D9"/>
    <w:lvl w:ilvl="0" w:tentative="0">
      <w:start w:val="1"/>
      <w:numFmt w:val="bullet"/>
      <w:lvlText w:val=""/>
      <w:lvlJc w:val="left"/>
      <w:pPr>
        <w:ind w:left="840" w:hanging="420"/>
      </w:pPr>
      <w:rPr>
        <w:rFonts w:hint="default" w:ascii="Wingdings" w:hAnsi="Wingdings" w:cs="Wingdings"/>
      </w:rPr>
    </w:lvl>
    <w:lvl w:ilvl="1" w:tentative="0">
      <w:start w:val="1"/>
      <w:numFmt w:val="bullet"/>
      <w:lvlText w:val=""/>
      <w:lvlJc w:val="left"/>
      <w:pPr>
        <w:ind w:left="1260" w:hanging="420"/>
      </w:pPr>
      <w:rPr>
        <w:rFonts w:hint="default" w:ascii="Wingdings" w:hAnsi="Wingdings" w:cs="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abstractNum w:abstractNumId="1">
    <w:nsid w:val="13B718D4"/>
    <w:multiLevelType w:val="multilevel"/>
    <w:tmpl w:val="13B718D4"/>
    <w:lvl w:ilvl="0" w:tentative="0">
      <w:start w:val="1"/>
      <w:numFmt w:val="decimal"/>
      <w:pStyle w:val="49"/>
      <w:lvlText w:val="（%1）"/>
      <w:lvlJc w:val="center"/>
      <w:pPr>
        <w:tabs>
          <w:tab w:val="left" w:pos="648"/>
        </w:tabs>
        <w:ind w:left="0" w:firstLine="28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2C2"/>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4E6"/>
    <w:rsid w:val="00147C2C"/>
    <w:rsid w:val="00147DFE"/>
    <w:rsid w:val="001522E3"/>
    <w:rsid w:val="001526E2"/>
    <w:rsid w:val="00152BD9"/>
    <w:rsid w:val="00152CD8"/>
    <w:rsid w:val="00154239"/>
    <w:rsid w:val="00155DD1"/>
    <w:rsid w:val="00156198"/>
    <w:rsid w:val="001568BC"/>
    <w:rsid w:val="00156A4C"/>
    <w:rsid w:val="00157FD8"/>
    <w:rsid w:val="001613DC"/>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43DF"/>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8F4"/>
    <w:rsid w:val="00333812"/>
    <w:rsid w:val="003339CF"/>
    <w:rsid w:val="003340A4"/>
    <w:rsid w:val="00334DAA"/>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1DEE"/>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19EA"/>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2A7A"/>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62EC"/>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6C7"/>
    <w:rsid w:val="00480F22"/>
    <w:rsid w:val="00482794"/>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4C4E"/>
    <w:rsid w:val="004D5048"/>
    <w:rsid w:val="004D50FF"/>
    <w:rsid w:val="004E2507"/>
    <w:rsid w:val="004E5BEF"/>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374"/>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4030"/>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394"/>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E7F"/>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3969"/>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4928"/>
    <w:rsid w:val="006D5435"/>
    <w:rsid w:val="006D5C71"/>
    <w:rsid w:val="006D5DC1"/>
    <w:rsid w:val="006D6CD3"/>
    <w:rsid w:val="006D6F6A"/>
    <w:rsid w:val="006D747F"/>
    <w:rsid w:val="006D7910"/>
    <w:rsid w:val="006E0BC6"/>
    <w:rsid w:val="006E5830"/>
    <w:rsid w:val="006E5F6E"/>
    <w:rsid w:val="006E6641"/>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19B"/>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3F42"/>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A49"/>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59B"/>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A5D"/>
    <w:rsid w:val="00B14B8A"/>
    <w:rsid w:val="00B15003"/>
    <w:rsid w:val="00B154D8"/>
    <w:rsid w:val="00B17138"/>
    <w:rsid w:val="00B17840"/>
    <w:rsid w:val="00B20209"/>
    <w:rsid w:val="00B2328D"/>
    <w:rsid w:val="00B236FA"/>
    <w:rsid w:val="00B23C80"/>
    <w:rsid w:val="00B26228"/>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62E"/>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87121"/>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C37BB"/>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 w:val="027A4AA0"/>
    <w:rsid w:val="0BA36386"/>
    <w:rsid w:val="4CDC7AE6"/>
    <w:rsid w:val="54952386"/>
    <w:rsid w:val="61430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Document Map"/>
    <w:basedOn w:val="1"/>
    <w:qFormat/>
    <w:uiPriority w:val="0"/>
    <w:pPr>
      <w:shd w:val="clear" w:color="auto" w:fill="000080"/>
    </w:pPr>
  </w:style>
  <w:style w:type="paragraph" w:styleId="7">
    <w:name w:val="annotation text"/>
    <w:basedOn w:val="1"/>
    <w:link w:val="50"/>
    <w:qFormat/>
    <w:uiPriority w:val="0"/>
    <w:pPr>
      <w:jc w:val="left"/>
    </w:pPr>
  </w:style>
  <w:style w:type="paragraph" w:styleId="8">
    <w:name w:val="Body Text"/>
    <w:basedOn w:val="1"/>
    <w:link w:val="28"/>
    <w:qFormat/>
    <w:uiPriority w:val="0"/>
    <w:pPr>
      <w:autoSpaceDE w:val="0"/>
      <w:autoSpaceDN w:val="0"/>
      <w:adjustRightInd w:val="0"/>
      <w:spacing w:line="360" w:lineRule="auto"/>
      <w:jc w:val="left"/>
    </w:pPr>
    <w:rPr>
      <w:rFonts w:ascii="宋体"/>
      <w:kern w:val="0"/>
      <w:sz w:val="20"/>
    </w:rPr>
  </w:style>
  <w:style w:type="paragraph" w:styleId="9">
    <w:name w:val="toc 3"/>
    <w:basedOn w:val="1"/>
    <w:next w:val="1"/>
    <w:qFormat/>
    <w:uiPriority w:val="0"/>
    <w:pPr>
      <w:ind w:left="840" w:leftChars="400"/>
    </w:pPr>
  </w:style>
  <w:style w:type="paragraph" w:styleId="10">
    <w:name w:val="Plain Text"/>
    <w:basedOn w:val="1"/>
    <w:link w:val="51"/>
    <w:qFormat/>
    <w:uiPriority w:val="99"/>
    <w:pPr>
      <w:adjustRightInd w:val="0"/>
      <w:spacing w:line="312" w:lineRule="atLeast"/>
      <w:textAlignment w:val="baseline"/>
    </w:pPr>
    <w:rPr>
      <w:rFonts w:ascii="宋体" w:hAnsi="Courier New"/>
      <w:kern w:val="0"/>
    </w:rPr>
  </w:style>
  <w:style w:type="paragraph" w:styleId="11">
    <w:name w:val="Body Text Indent 2"/>
    <w:basedOn w:val="1"/>
    <w:qFormat/>
    <w:uiPriority w:val="0"/>
    <w:pPr>
      <w:spacing w:line="360" w:lineRule="auto"/>
      <w:ind w:firstLine="425"/>
    </w:pPr>
    <w:rPr>
      <w:rFonts w:ascii="仿宋_GB2312" w:eastAsia="仿宋_GB2312"/>
      <w:sz w:val="28"/>
    </w:rPr>
  </w:style>
  <w:style w:type="paragraph" w:styleId="12">
    <w:name w:val="Balloon Text"/>
    <w:basedOn w:val="1"/>
    <w:qFormat/>
    <w:uiPriority w:val="0"/>
    <w:rPr>
      <w:sz w:val="18"/>
    </w:rPr>
  </w:style>
  <w:style w:type="paragraph" w:styleId="13">
    <w:name w:val="footer"/>
    <w:basedOn w:val="1"/>
    <w:link w:val="47"/>
    <w:qFormat/>
    <w:uiPriority w:val="99"/>
    <w:pPr>
      <w:tabs>
        <w:tab w:val="center" w:pos="4153"/>
        <w:tab w:val="right" w:pos="8306"/>
      </w:tabs>
      <w:snapToGrid w:val="0"/>
      <w:jc w:val="left"/>
    </w:pPr>
    <w:rPr>
      <w:sz w:val="18"/>
    </w:rPr>
  </w:style>
  <w:style w:type="paragraph" w:styleId="14">
    <w:name w:val="header"/>
    <w:basedOn w:val="1"/>
    <w:link w:val="3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pPr>
      <w:tabs>
        <w:tab w:val="right" w:leader="dot" w:pos="8296"/>
      </w:tabs>
      <w:spacing w:line="360" w:lineRule="auto"/>
    </w:pPr>
  </w:style>
  <w:style w:type="paragraph" w:styleId="16">
    <w:name w:val="footnote text"/>
    <w:basedOn w:val="1"/>
    <w:qFormat/>
    <w:uiPriority w:val="0"/>
    <w:pPr>
      <w:snapToGrid w:val="0"/>
      <w:jc w:val="left"/>
    </w:pPr>
    <w:rPr>
      <w:sz w:val="18"/>
    </w:rPr>
  </w:style>
  <w:style w:type="paragraph" w:styleId="17">
    <w:name w:val="Body Text Indent 3"/>
    <w:basedOn w:val="1"/>
    <w:qFormat/>
    <w:uiPriority w:val="0"/>
    <w:pPr>
      <w:autoSpaceDE w:val="0"/>
      <w:autoSpaceDN w:val="0"/>
      <w:adjustRightInd w:val="0"/>
      <w:spacing w:line="360" w:lineRule="auto"/>
      <w:ind w:left="420" w:firstLine="435"/>
    </w:pPr>
    <w:rPr>
      <w:color w:val="0000FF"/>
    </w:rPr>
  </w:style>
  <w:style w:type="paragraph" w:styleId="18">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szCs w:val="24"/>
    </w:rPr>
  </w:style>
  <w:style w:type="paragraph" w:styleId="19">
    <w:name w:val="Title"/>
    <w:basedOn w:val="1"/>
    <w:next w:val="1"/>
    <w:link w:val="30"/>
    <w:qFormat/>
    <w:uiPriority w:val="0"/>
    <w:pPr>
      <w:spacing w:before="240" w:after="60"/>
      <w:jc w:val="center"/>
      <w:outlineLvl w:val="0"/>
    </w:pPr>
    <w:rPr>
      <w:rFonts w:ascii="Cambria" w:hAnsi="Cambria"/>
      <w:b/>
      <w:sz w:val="32"/>
    </w:rPr>
  </w:style>
  <w:style w:type="paragraph" w:styleId="20">
    <w:name w:val="annotation subject"/>
    <w:basedOn w:val="7"/>
    <w:next w:val="7"/>
    <w:link w:val="74"/>
    <w:qFormat/>
    <w:uiPriority w:val="99"/>
    <w:rPr>
      <w:b/>
    </w:rPr>
  </w:style>
  <w:style w:type="paragraph" w:styleId="21">
    <w:name w:val="Body Text First Indent"/>
    <w:basedOn w:val="8"/>
    <w:link w:val="48"/>
    <w:semiHidden/>
    <w:unhideWhenUsed/>
    <w:qFormat/>
    <w:uiPriority w:val="99"/>
    <w:pPr>
      <w:autoSpaceDE/>
      <w:autoSpaceDN/>
      <w:adjustRightInd/>
      <w:spacing w:after="120" w:line="240" w:lineRule="auto"/>
      <w:ind w:firstLine="420" w:firstLineChars="100"/>
      <w:jc w:val="both"/>
    </w:pPr>
    <w:rPr>
      <w:kern w:val="2"/>
      <w:sz w:val="21"/>
    </w:rPr>
  </w:style>
  <w:style w:type="character" w:styleId="24">
    <w:name w:val="page number"/>
    <w:basedOn w:val="23"/>
    <w:qFormat/>
    <w:uiPriority w:val="0"/>
  </w:style>
  <w:style w:type="character" w:styleId="25">
    <w:name w:val="Hyperlink"/>
    <w:qFormat/>
    <w:uiPriority w:val="0"/>
    <w:rPr>
      <w:color w:val="0000FF"/>
      <w:u w:val="single"/>
    </w:rPr>
  </w:style>
  <w:style w:type="character" w:styleId="26">
    <w:name w:val="annotation reference"/>
    <w:qFormat/>
    <w:uiPriority w:val="99"/>
    <w:rPr>
      <w:sz w:val="21"/>
    </w:rPr>
  </w:style>
  <w:style w:type="character" w:styleId="27">
    <w:name w:val="footnote reference"/>
    <w:qFormat/>
    <w:uiPriority w:val="0"/>
    <w:rPr>
      <w:vertAlign w:val="superscript"/>
    </w:rPr>
  </w:style>
  <w:style w:type="character" w:customStyle="1" w:styleId="28">
    <w:name w:val="正文文本 Char"/>
    <w:link w:val="8"/>
    <w:qFormat/>
    <w:uiPriority w:val="0"/>
    <w:rPr>
      <w:rFonts w:ascii="宋体"/>
      <w:kern w:val="0"/>
    </w:rPr>
  </w:style>
  <w:style w:type="character" w:customStyle="1" w:styleId="29">
    <w:name w:val="unnamed11"/>
    <w:qFormat/>
    <w:uiPriority w:val="0"/>
    <w:rPr>
      <w:rFonts w:hint="eastAsia" w:ascii="宋体" w:hAnsi="宋体" w:eastAsia="宋体"/>
      <w:sz w:val="18"/>
    </w:rPr>
  </w:style>
  <w:style w:type="character" w:customStyle="1" w:styleId="30">
    <w:name w:val="标题 Char"/>
    <w:link w:val="19"/>
    <w:qFormat/>
    <w:uiPriority w:val="0"/>
    <w:rPr>
      <w:rFonts w:ascii="Cambria" w:hAnsi="Cambria"/>
      <w:b/>
      <w:kern w:val="2"/>
      <w:sz w:val="32"/>
    </w:rPr>
  </w:style>
  <w:style w:type="character" w:customStyle="1" w:styleId="31">
    <w:name w:val="页眉 Char1"/>
    <w:link w:val="14"/>
    <w:qFormat/>
    <w:uiPriority w:val="0"/>
    <w:rPr>
      <w:rFonts w:eastAsia="宋体"/>
      <w:kern w:val="2"/>
      <w:sz w:val="18"/>
      <w:lang w:val="en-US" w:eastAsia="zh-CN"/>
    </w:rPr>
  </w:style>
  <w:style w:type="character" w:customStyle="1" w:styleId="32">
    <w:name w:val="read"/>
    <w:basedOn w:val="23"/>
    <w:qFormat/>
    <w:uiPriority w:val="0"/>
  </w:style>
  <w:style w:type="paragraph" w:customStyle="1" w:styleId="33">
    <w:name w:val="Char Char"/>
    <w:basedOn w:val="1"/>
    <w:qFormat/>
    <w:uiPriority w:val="0"/>
  </w:style>
  <w:style w:type="paragraph" w:customStyle="1" w:styleId="3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5">
    <w:name w:val="unnamed1"/>
    <w:basedOn w:val="1"/>
    <w:qFormat/>
    <w:uiPriority w:val="0"/>
    <w:pPr>
      <w:spacing w:before="60" w:after="60"/>
      <w:ind w:left="15" w:right="15"/>
    </w:pPr>
    <w:rPr>
      <w:rFonts w:hint="eastAsia" w:ascii="宋体" w:hAnsi="宋体"/>
      <w:color w:val="000000"/>
      <w:sz w:val="18"/>
      <w:szCs w:val="18"/>
    </w:rPr>
  </w:style>
  <w:style w:type="paragraph" w:customStyle="1" w:styleId="36">
    <w:name w:val="List_bullet"/>
    <w:basedOn w:val="1"/>
    <w:qFormat/>
    <w:uiPriority w:val="0"/>
    <w:pPr>
      <w:widowControl/>
      <w:tabs>
        <w:tab w:val="left" w:pos="360"/>
      </w:tabs>
      <w:ind w:left="360" w:hanging="360"/>
      <w:jc w:val="left"/>
    </w:pPr>
    <w:rPr>
      <w:kern w:val="0"/>
      <w:sz w:val="24"/>
    </w:rPr>
  </w:style>
  <w:style w:type="paragraph" w:customStyle="1" w:styleId="37">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
    <w:name w:val="正文正文"/>
    <w:basedOn w:val="1"/>
    <w:qFormat/>
    <w:uiPriority w:val="0"/>
    <w:pPr>
      <w:spacing w:afterLines="25" w:line="360" w:lineRule="auto"/>
      <w:ind w:firstLine="200" w:firstLineChars="200"/>
    </w:pPr>
    <w:rPr>
      <w:sz w:val="24"/>
    </w:rPr>
  </w:style>
  <w:style w:type="paragraph" w:customStyle="1" w:styleId="39">
    <w:name w:val="Char"/>
    <w:basedOn w:val="1"/>
    <w:qFormat/>
    <w:uiPriority w:val="0"/>
  </w:style>
  <w:style w:type="paragraph" w:customStyle="1" w:styleId="40">
    <w:name w:val="Char1"/>
    <w:basedOn w:val="1"/>
    <w:qFormat/>
    <w:uiPriority w:val="0"/>
  </w:style>
  <w:style w:type="paragraph" w:customStyle="1" w:styleId="41">
    <w:name w:val="Char Char Char"/>
    <w:basedOn w:val="1"/>
    <w:qFormat/>
    <w:uiPriority w:val="0"/>
  </w:style>
  <w:style w:type="paragraph" w:customStyle="1" w:styleId="42">
    <w:name w:val="InfoBlue"/>
    <w:basedOn w:val="1"/>
    <w:next w:val="8"/>
    <w:qFormat/>
    <w:uiPriority w:val="0"/>
    <w:pPr>
      <w:tabs>
        <w:tab w:val="left" w:pos="420"/>
      </w:tabs>
      <w:spacing w:after="120" w:line="240" w:lineRule="atLeast"/>
      <w:ind w:left="420" w:hanging="420"/>
      <w:jc w:val="left"/>
    </w:pPr>
    <w:rPr>
      <w:rFonts w:ascii="宋体" w:hAnsi="宋体"/>
    </w:rPr>
  </w:style>
  <w:style w:type="paragraph" w:customStyle="1" w:styleId="43">
    <w:name w:val="Char Char Char Char"/>
    <w:basedOn w:val="1"/>
    <w:qFormat/>
    <w:uiPriority w:val="0"/>
    <w:pPr>
      <w:tabs>
        <w:tab w:val="left" w:pos="360"/>
      </w:tabs>
    </w:pPr>
  </w:style>
  <w:style w:type="paragraph" w:customStyle="1" w:styleId="44">
    <w:name w:val="Char Char1"/>
    <w:basedOn w:val="1"/>
    <w:qFormat/>
    <w:uiPriority w:val="0"/>
  </w:style>
  <w:style w:type="paragraph" w:customStyle="1" w:styleId="45">
    <w:name w:val="正文所"/>
    <w:basedOn w:val="1"/>
    <w:qFormat/>
    <w:uiPriority w:val="0"/>
    <w:pPr>
      <w:spacing w:line="360" w:lineRule="auto"/>
      <w:ind w:firstLine="420" w:firstLineChars="200"/>
    </w:pPr>
    <w:rPr>
      <w:rFonts w:ascii="宋体"/>
    </w:rPr>
  </w:style>
  <w:style w:type="paragraph" w:customStyle="1" w:styleId="46">
    <w:name w:val="修订1"/>
    <w:hidden/>
    <w:semiHidden/>
    <w:qFormat/>
    <w:uiPriority w:val="99"/>
    <w:rPr>
      <w:rFonts w:ascii="Times New Roman" w:hAnsi="Times New Roman" w:eastAsia="宋体" w:cs="Times New Roman"/>
      <w:kern w:val="2"/>
      <w:sz w:val="21"/>
      <w:lang w:val="en-US" w:eastAsia="zh-CN" w:bidi="ar-SA"/>
    </w:rPr>
  </w:style>
  <w:style w:type="character" w:customStyle="1" w:styleId="47">
    <w:name w:val="页脚 Char1"/>
    <w:link w:val="13"/>
    <w:qFormat/>
    <w:uiPriority w:val="99"/>
    <w:rPr>
      <w:kern w:val="2"/>
      <w:sz w:val="18"/>
    </w:rPr>
  </w:style>
  <w:style w:type="character" w:customStyle="1" w:styleId="48">
    <w:name w:val="正文首行缩进 Char"/>
    <w:link w:val="21"/>
    <w:qFormat/>
    <w:uiPriority w:val="0"/>
    <w:rPr>
      <w:rFonts w:ascii="宋体"/>
      <w:kern w:val="2"/>
      <w:sz w:val="21"/>
    </w:rPr>
  </w:style>
  <w:style w:type="paragraph" w:customStyle="1" w:styleId="49">
    <w:name w:val="编号正文2"/>
    <w:basedOn w:val="1"/>
    <w:qFormat/>
    <w:uiPriority w:val="0"/>
    <w:pPr>
      <w:numPr>
        <w:ilvl w:val="0"/>
        <w:numId w:val="1"/>
      </w:numPr>
      <w:autoSpaceDE w:val="0"/>
      <w:autoSpaceDN w:val="0"/>
      <w:adjustRightInd w:val="0"/>
      <w:spacing w:after="120" w:line="300" w:lineRule="auto"/>
      <w:textAlignment w:val="baseline"/>
    </w:pPr>
    <w:rPr>
      <w:rFonts w:ascii="宋体"/>
      <w:kern w:val="0"/>
    </w:rPr>
  </w:style>
  <w:style w:type="character" w:customStyle="1" w:styleId="50">
    <w:name w:val="批注文字 Char"/>
    <w:link w:val="7"/>
    <w:qFormat/>
    <w:uiPriority w:val="0"/>
    <w:rPr>
      <w:kern w:val="2"/>
      <w:sz w:val="21"/>
    </w:rPr>
  </w:style>
  <w:style w:type="character" w:customStyle="1" w:styleId="51">
    <w:name w:val="纯文本 Char"/>
    <w:basedOn w:val="23"/>
    <w:link w:val="10"/>
    <w:qFormat/>
    <w:uiPriority w:val="99"/>
    <w:rPr>
      <w:rFonts w:ascii="宋体" w:hAnsi="Courier New"/>
      <w:sz w:val="21"/>
    </w:rPr>
  </w:style>
  <w:style w:type="paragraph" w:customStyle="1" w:styleId="52">
    <w:name w:val="列出段落1"/>
    <w:basedOn w:val="1"/>
    <w:qFormat/>
    <w:uiPriority w:val="0"/>
    <w:pPr>
      <w:ind w:firstLine="420" w:firstLineChars="200"/>
    </w:pPr>
  </w:style>
  <w:style w:type="paragraph" w:styleId="53">
    <w:name w:val="List Paragraph"/>
    <w:basedOn w:val="1"/>
    <w:qFormat/>
    <w:uiPriority w:val="34"/>
    <w:pPr>
      <w:ind w:firstLine="420" w:firstLineChars="200"/>
    </w:pPr>
  </w:style>
  <w:style w:type="paragraph" w:customStyle="1" w:styleId="54">
    <w:name w:val="HTML 预设格式1"/>
    <w:basedOn w:val="1"/>
    <w:link w:val="7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55">
    <w:name w:val="普通(网站)1"/>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szCs w:val="24"/>
    </w:rPr>
  </w:style>
  <w:style w:type="paragraph" w:customStyle="1" w:styleId="56">
    <w:name w:val="修订11"/>
    <w:qFormat/>
    <w:uiPriority w:val="0"/>
    <w:rPr>
      <w:rFonts w:ascii="Times New Roman" w:hAnsi="Times New Roman" w:eastAsia="宋体" w:cs="Times New Roman"/>
      <w:kern w:val="2"/>
      <w:sz w:val="21"/>
      <w:lang w:val="en-US" w:eastAsia="zh-CN" w:bidi="ar-SA"/>
    </w:rPr>
  </w:style>
  <w:style w:type="paragraph" w:customStyle="1" w:styleId="57">
    <w:name w:val="正文文本缩进 31"/>
    <w:basedOn w:val="1"/>
    <w:qFormat/>
    <w:uiPriority w:val="0"/>
    <w:pPr>
      <w:autoSpaceDE w:val="0"/>
      <w:autoSpaceDN w:val="0"/>
      <w:adjustRightInd w:val="0"/>
      <w:spacing w:line="360" w:lineRule="auto"/>
      <w:ind w:left="420" w:firstLine="435"/>
    </w:pPr>
    <w:rPr>
      <w:color w:val="0000FF"/>
    </w:rPr>
  </w:style>
  <w:style w:type="paragraph" w:customStyle="1" w:styleId="58">
    <w:name w:val="正文文本缩进 21"/>
    <w:basedOn w:val="1"/>
    <w:qFormat/>
    <w:uiPriority w:val="0"/>
    <w:pPr>
      <w:spacing w:line="360" w:lineRule="auto"/>
      <w:ind w:firstLine="425"/>
    </w:pPr>
    <w:rPr>
      <w:rFonts w:ascii="仿宋_GB2312" w:eastAsia="仿宋_GB2312"/>
      <w:sz w:val="28"/>
    </w:rPr>
  </w:style>
  <w:style w:type="paragraph" w:customStyle="1" w:styleId="59">
    <w:name w:val="修订2"/>
    <w:qFormat/>
    <w:uiPriority w:val="0"/>
    <w:rPr>
      <w:rFonts w:ascii="Times New Roman" w:hAnsi="Times New Roman" w:eastAsia="宋体" w:cs="Times New Roman"/>
      <w:kern w:val="2"/>
      <w:sz w:val="21"/>
      <w:lang w:val="en-US" w:eastAsia="zh-CN" w:bidi="ar-SA"/>
    </w:rPr>
  </w:style>
  <w:style w:type="paragraph" w:customStyle="1" w:styleId="60">
    <w:name w:val="纯文本1"/>
    <w:basedOn w:val="1"/>
    <w:qFormat/>
    <w:uiPriority w:val="0"/>
    <w:pPr>
      <w:adjustRightInd w:val="0"/>
      <w:spacing w:line="312" w:lineRule="atLeast"/>
      <w:textAlignment w:val="baseline"/>
    </w:pPr>
    <w:rPr>
      <w:rFonts w:ascii="宋体" w:hAnsi="Courier New"/>
      <w:kern w:val="0"/>
    </w:rPr>
  </w:style>
  <w:style w:type="paragraph" w:customStyle="1" w:styleId="61">
    <w:name w:val="批注主题1"/>
    <w:basedOn w:val="7"/>
    <w:next w:val="7"/>
    <w:qFormat/>
    <w:uiPriority w:val="0"/>
    <w:rPr>
      <w:b/>
    </w:rPr>
  </w:style>
  <w:style w:type="paragraph" w:customStyle="1" w:styleId="62">
    <w:name w:val="Char2"/>
    <w:basedOn w:val="1"/>
    <w:qFormat/>
    <w:uiPriority w:val="0"/>
  </w:style>
  <w:style w:type="paragraph" w:customStyle="1" w:styleId="63">
    <w:name w:val="正文首行缩进1"/>
    <w:basedOn w:val="8"/>
    <w:qFormat/>
    <w:uiPriority w:val="0"/>
    <w:pPr>
      <w:adjustRightInd/>
      <w:spacing w:after="120" w:line="240" w:lineRule="auto"/>
      <w:ind w:firstLine="420" w:firstLineChars="100"/>
      <w:jc w:val="both"/>
    </w:pPr>
    <w:rPr>
      <w:kern w:val="2"/>
      <w:sz w:val="21"/>
    </w:rPr>
  </w:style>
  <w:style w:type="paragraph" w:customStyle="1" w:styleId="64">
    <w:name w:val="文档结构图1"/>
    <w:basedOn w:val="1"/>
    <w:link w:val="68"/>
    <w:qFormat/>
    <w:uiPriority w:val="0"/>
    <w:rPr>
      <w:rFonts w:ascii="宋体"/>
      <w:sz w:val="18"/>
      <w:szCs w:val="18"/>
    </w:rPr>
  </w:style>
  <w:style w:type="paragraph" w:customStyle="1" w:styleId="65">
    <w:name w:val="批注主题2"/>
    <w:basedOn w:val="7"/>
    <w:next w:val="7"/>
    <w:link w:val="69"/>
    <w:qFormat/>
    <w:uiPriority w:val="0"/>
    <w:rPr>
      <w:b/>
      <w:bCs/>
    </w:rPr>
  </w:style>
  <w:style w:type="paragraph" w:customStyle="1" w:styleId="66">
    <w:name w:val="文档结构图11"/>
    <w:basedOn w:val="1"/>
    <w:qFormat/>
    <w:uiPriority w:val="0"/>
    <w:pPr>
      <w:shd w:val="clear" w:color="auto" w:fill="000080"/>
    </w:pPr>
  </w:style>
  <w:style w:type="paragraph" w:customStyle="1" w:styleId="67">
    <w:name w:val="修订3"/>
    <w:hidden/>
    <w:semiHidden/>
    <w:qFormat/>
    <w:uiPriority w:val="99"/>
    <w:rPr>
      <w:rFonts w:ascii="Times New Roman" w:hAnsi="Times New Roman" w:eastAsia="宋体" w:cs="Times New Roman"/>
      <w:kern w:val="2"/>
      <w:sz w:val="21"/>
      <w:lang w:val="en-US" w:eastAsia="zh-CN" w:bidi="ar-SA"/>
    </w:rPr>
  </w:style>
  <w:style w:type="character" w:customStyle="1" w:styleId="68">
    <w:name w:val="文档结构图 Char"/>
    <w:link w:val="64"/>
    <w:qFormat/>
    <w:uiPriority w:val="0"/>
    <w:rPr>
      <w:rFonts w:ascii="宋体"/>
      <w:kern w:val="2"/>
      <w:sz w:val="18"/>
      <w:szCs w:val="18"/>
    </w:rPr>
  </w:style>
  <w:style w:type="character" w:customStyle="1" w:styleId="69">
    <w:name w:val="批注主题 Char"/>
    <w:link w:val="65"/>
    <w:qFormat/>
    <w:uiPriority w:val="0"/>
    <w:rPr>
      <w:b/>
      <w:bCs/>
      <w:kern w:val="2"/>
      <w:sz w:val="21"/>
    </w:rPr>
  </w:style>
  <w:style w:type="character" w:customStyle="1" w:styleId="70">
    <w:name w:val="HTML 预设格式 Char"/>
    <w:link w:val="54"/>
    <w:qFormat/>
    <w:uiPriority w:val="0"/>
    <w:rPr>
      <w:rFonts w:ascii="宋体" w:hAnsi="宋体"/>
      <w:sz w:val="24"/>
      <w:szCs w:val="24"/>
    </w:rPr>
  </w:style>
  <w:style w:type="character" w:customStyle="1" w:styleId="71">
    <w:name w:val="批注引用1"/>
    <w:qFormat/>
    <w:uiPriority w:val="0"/>
    <w:rPr>
      <w:sz w:val="21"/>
    </w:rPr>
  </w:style>
  <w:style w:type="character" w:customStyle="1" w:styleId="72">
    <w:name w:val="批注引用2"/>
    <w:qFormat/>
    <w:uiPriority w:val="0"/>
    <w:rPr>
      <w:sz w:val="21"/>
      <w:szCs w:val="21"/>
    </w:rPr>
  </w:style>
  <w:style w:type="character" w:customStyle="1" w:styleId="73">
    <w:name w:val="页码1"/>
    <w:basedOn w:val="23"/>
    <w:qFormat/>
    <w:uiPriority w:val="0"/>
  </w:style>
  <w:style w:type="character" w:customStyle="1" w:styleId="74">
    <w:name w:val="批注主题 Char1"/>
    <w:basedOn w:val="50"/>
    <w:link w:val="20"/>
    <w:qFormat/>
    <w:uiPriority w:val="99"/>
    <w:rPr>
      <w:b/>
      <w:kern w:val="2"/>
      <w:sz w:val="21"/>
    </w:rPr>
  </w:style>
  <w:style w:type="paragraph" w:customStyle="1" w:styleId="75">
    <w:name w:val="修订4"/>
    <w:hidden/>
    <w:semiHidden/>
    <w:qFormat/>
    <w:uiPriority w:val="99"/>
    <w:rPr>
      <w:rFonts w:ascii="Times New Roman" w:hAnsi="Times New Roman" w:eastAsia="宋体" w:cs="Times New Roman"/>
      <w:kern w:val="2"/>
      <w:sz w:val="21"/>
      <w:lang w:val="en-US" w:eastAsia="zh-CN" w:bidi="ar-SA"/>
    </w:rPr>
  </w:style>
  <w:style w:type="character" w:customStyle="1" w:styleId="76">
    <w:name w:val="页眉 Char"/>
    <w:qFormat/>
    <w:uiPriority w:val="0"/>
    <w:rPr>
      <w:rFonts w:eastAsia="宋体"/>
      <w:kern w:val="2"/>
      <w:sz w:val="18"/>
      <w:lang w:val="en-US" w:eastAsia="zh-CN"/>
    </w:rPr>
  </w:style>
  <w:style w:type="character" w:customStyle="1" w:styleId="77">
    <w:name w:val="页脚 Char"/>
    <w:qFormat/>
    <w:uiPriority w:val="99"/>
    <w:rPr>
      <w:kern w:val="2"/>
      <w:sz w:val="18"/>
    </w:rPr>
  </w:style>
  <w:style w:type="character" w:customStyle="1" w:styleId="78">
    <w:name w:val="页脚 字符"/>
    <w:qFormat/>
    <w:uiPriority w:val="99"/>
    <w:rPr>
      <w:kern w:val="2"/>
      <w:sz w:val="18"/>
    </w:rPr>
  </w:style>
  <w:style w:type="character" w:customStyle="1" w:styleId="79">
    <w:name w:val="页眉 字符"/>
    <w:qFormat/>
    <w:uiPriority w:val="0"/>
    <w:rPr>
      <w:rFonts w:eastAsia="宋体"/>
      <w:kern w:val="2"/>
      <w:sz w:val="18"/>
      <w:lang w:val="en-US" w:eastAsia="zh-CN"/>
    </w:rPr>
  </w:style>
  <w:style w:type="character" w:customStyle="1" w:styleId="80">
    <w:name w:val="15"/>
    <w:basedOn w:val="23"/>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14DD0A-0D22-469A-915F-E78954DFCFF4}">
  <ds:schemaRefs/>
</ds:datastoreItem>
</file>

<file path=customXml/itemProps2.xml><?xml version="1.0" encoding="utf-8"?>
<ds:datastoreItem xmlns:ds="http://schemas.openxmlformats.org/officeDocument/2006/customXml" ds:itemID="{D51E5AA3-4163-41CA-BC7E-D56C513A7AB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3488</Words>
  <Characters>19886</Characters>
  <Lines>1</Lines>
  <Paragraphs>1</Paragraphs>
  <TotalTime>10</TotalTime>
  <ScaleCrop>false</ScaleCrop>
  <LinksUpToDate>false</LinksUpToDate>
  <CharactersWithSpaces>23328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2023-01-30T02:31:00Z</dcterms:created>
  <dc:creator>zhangminjun</dc:creator>
  <cp:lastModifiedBy>喻秋燕</cp:lastModifiedBy>
  <dcterms:modified xsi:type="dcterms:W3CDTF">2024-10-10T02:44:16Z</dcterms:modified>
  <dc:title>___证券投资基金招募说明书1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1E4BFE08FC83406BADC221713E561B15</vt:lpwstr>
  </property>
</Properties>
</file>