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jc w:val="center"/>
        <w:rPr>
          <w:rFonts w:ascii="Arial" w:hAnsi="Arial" w:cs="Arial"/>
          <w:b/>
          <w:bCs/>
          <w:sz w:val="30"/>
          <w:szCs w:val="30"/>
        </w:rPr>
      </w:pPr>
      <w:r>
        <w:rPr>
          <w:rFonts w:hint="eastAsia" w:ascii="Arial" w:hAnsi="Arial" w:cs="Arial"/>
          <w:b/>
          <w:bCs/>
          <w:sz w:val="30"/>
          <w:szCs w:val="30"/>
        </w:rPr>
        <w:t>交银施罗德基金管理有限公司关于旗下基金所持停牌股票估值调整的公告</w:t>
      </w:r>
      <w:r>
        <w:rPr>
          <w:rFonts w:hint="eastAsia" w:ascii="Arial" w:hAnsi="Arial" w:cs="Arial"/>
          <w:b/>
          <w:bCs/>
          <w:sz w:val="30"/>
          <w:szCs w:val="30"/>
        </w:rPr>
        <w:br w:type="textWrapping"/>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依据《中国证监会关于证券投资基金估值业务的指导意见》（证监会公告</w:t>
      </w:r>
      <w:r>
        <w:rPr>
          <w:rFonts w:ascii="Times New Roman" w:hAnsi="Times New Roman" w:cs="Times New Roman"/>
          <w:sz w:val="24"/>
        </w:rPr>
        <w:t>[2017]13</w:t>
      </w:r>
      <w:r>
        <w:rPr>
          <w:rFonts w:hint="eastAsia" w:ascii="Times New Roman" w:hAnsi="Times New Roman" w:cs="Times New Roman"/>
          <w:sz w:val="24"/>
        </w:rPr>
        <w:t>号）</w:t>
      </w:r>
      <w:r>
        <w:rPr>
          <w:rFonts w:ascii="Times New Roman" w:hAnsi="Times New Roman" w:cs="Times New Roman"/>
          <w:sz w:val="24"/>
        </w:rPr>
        <w:t>的有关规定和《关于发布中基协（AMAC）基金</w:t>
      </w:r>
      <w:r>
        <w:rPr>
          <w:rFonts w:hint="eastAsia" w:ascii="宋体" w:hAnsi="宋体"/>
          <w:sz w:val="24"/>
        </w:rPr>
        <w:t>行业股票估值指数的通知</w:t>
      </w:r>
      <w:r>
        <w:rPr>
          <w:rFonts w:ascii="Times New Roman" w:hAnsi="Times New Roman" w:cs="Times New Roman"/>
          <w:sz w:val="24"/>
        </w:rPr>
        <w:t>》（中基协发[2013]13号）</w:t>
      </w:r>
      <w:r>
        <w:rPr>
          <w:rFonts w:hint="eastAsia" w:ascii="宋体" w:hAnsi="宋体"/>
          <w:sz w:val="24"/>
        </w:rPr>
        <w:t>的指导意见</w:t>
      </w:r>
      <w:r>
        <w:rPr>
          <w:rFonts w:ascii="宋体" w:hAnsi="宋体"/>
          <w:sz w:val="24"/>
        </w:rPr>
        <w:t>，经与</w:t>
      </w:r>
      <w:r>
        <w:rPr>
          <w:rFonts w:hint="eastAsia" w:ascii="宋体" w:hAnsi="宋体"/>
          <w:sz w:val="24"/>
        </w:rPr>
        <w:t>相关</w:t>
      </w:r>
      <w:r>
        <w:rPr>
          <w:rFonts w:ascii="宋体" w:hAnsi="宋体"/>
          <w:sz w:val="24"/>
        </w:rPr>
        <w:t>基金托管人协商一致，交银施罗德基金管理有限公司（以下简称</w:t>
      </w:r>
      <w:r>
        <w:rPr>
          <w:rFonts w:hint="eastAsia" w:ascii="宋体" w:hAnsi="宋体"/>
          <w:sz w:val="24"/>
        </w:rPr>
        <w:t>“</w:t>
      </w:r>
      <w:r>
        <w:rPr>
          <w:rFonts w:ascii="宋体" w:hAnsi="宋体"/>
          <w:sz w:val="24"/>
        </w:rPr>
        <w:t>本基金管理人</w:t>
      </w:r>
      <w:r>
        <w:rPr>
          <w:rFonts w:hint="eastAsia" w:ascii="宋体" w:hAnsi="宋体"/>
          <w:sz w:val="24"/>
        </w:rPr>
        <w:t>”</w:t>
      </w:r>
      <w:r>
        <w:rPr>
          <w:rFonts w:ascii="宋体" w:hAnsi="宋体"/>
          <w:sz w:val="24"/>
        </w:rPr>
        <w:t>）旗下管理的</w:t>
      </w:r>
      <w:r>
        <w:rPr>
          <w:rFonts w:hint="eastAsia" w:ascii="宋体" w:hAnsi="宋体"/>
          <w:sz w:val="24"/>
        </w:rPr>
        <w:t>基金（</w:t>
      </w:r>
      <w:r>
        <w:rPr>
          <w:rFonts w:hint="eastAsia" w:ascii="Times New Roman" w:hAnsi="Times New Roman" w:cs="Times New Roman"/>
          <w:sz w:val="24"/>
        </w:rPr>
        <w:t>不包括ETF基金</w:t>
      </w:r>
      <w:r>
        <w:rPr>
          <w:rFonts w:ascii="宋体" w:hAnsi="宋体"/>
          <w:sz w:val="24"/>
        </w:rPr>
        <w:t>）对所持有的</w:t>
      </w:r>
      <w:r>
        <w:rPr>
          <w:rFonts w:hint="eastAsia" w:ascii="宋体" w:hAnsi="宋体"/>
          <w:sz w:val="24"/>
        </w:rPr>
        <w:t>下列</w:t>
      </w:r>
      <w:r>
        <w:rPr>
          <w:rFonts w:ascii="Times New Roman" w:hAnsi="Times New Roman" w:cs="Times New Roman"/>
          <w:sz w:val="24"/>
        </w:rPr>
        <w:t>股票自2024年9月30日起按照指数收益法进行估值。</w:t>
      </w:r>
    </w:p>
    <w:tbl>
      <w:tblPr>
        <w:tblStyle w:val="7"/>
        <w:tblW w:w="46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00" w:type="pct"/>
            <w:tcBorders>
              <w:bottom w:val="single" w:color="auto" w:sz="4"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股票代码</w:t>
            </w:r>
          </w:p>
        </w:tc>
        <w:tc>
          <w:tcPr>
            <w:tcW w:w="2600" w:type="pct"/>
            <w:tcBorders>
              <w:bottom w:val="single" w:color="auto" w:sz="4"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股票名称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00" w:type="pct"/>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601211</w:t>
            </w:r>
          </w:p>
        </w:tc>
        <w:tc>
          <w:tcPr>
            <w:tcW w:w="2600" w:type="pct"/>
            <w:shd w:val="clear" w:color="auto" w:fill="auto"/>
            <w:noWrap/>
            <w:vAlign w:val="center"/>
          </w:tcPr>
          <w:p>
            <w:pPr>
              <w:jc w:val="center"/>
              <w:rPr>
                <w:rFonts w:ascii="Times New Roman" w:hAnsi="Times New Roman" w:cs="Times New Roman"/>
                <w:color w:val="000000"/>
                <w:sz w:val="24"/>
              </w:rPr>
            </w:pPr>
            <w:r>
              <w:rPr>
                <w:rFonts w:hint="eastAsia" w:ascii="Times New Roman" w:hAnsi="Times New Roman" w:cs="Times New Roman"/>
                <w:color w:val="000000"/>
                <w:sz w:val="24"/>
              </w:rPr>
              <w:t>国泰君安</w:t>
            </w:r>
          </w:p>
        </w:tc>
      </w:tr>
    </w:tbl>
    <w:p>
      <w:pPr>
        <w:spacing w:line="360" w:lineRule="auto"/>
        <w:ind w:firstLine="480" w:firstLineChars="200"/>
        <w:rPr>
          <w:rFonts w:ascii="Times New Roman" w:hAnsi="Times New Roman" w:cs="Times New Roman"/>
          <w:sz w:val="24"/>
        </w:rPr>
      </w:pPr>
      <w:r>
        <w:rPr>
          <w:rFonts w:hint="eastAsia" w:ascii="宋体" w:hAnsi="宋体"/>
          <w:sz w:val="24"/>
        </w:rPr>
        <w:t>上述股票的交易体现活跃市场交易特征后，将恢复为采用当日收盘价格进行估值</w:t>
      </w:r>
      <w:r>
        <w:rPr>
          <w:rFonts w:hint="eastAsia" w:ascii="Times New Roman" w:hAnsi="Times New Roman" w:cs="Times New Roman"/>
          <w:sz w:val="24"/>
        </w:rPr>
        <w:t>，</w:t>
      </w:r>
      <w:r>
        <w:rPr>
          <w:rFonts w:ascii="Times New Roman" w:hAnsi="Times New Roman" w:cs="Times New Roman"/>
          <w:sz w:val="24"/>
        </w:rPr>
        <w:t>本基金管理人不再另行公告</w:t>
      </w:r>
      <w:r>
        <w:rPr>
          <w:rFonts w:ascii="宋体" w:hAnsi="宋体"/>
          <w:sz w:val="24"/>
        </w:rPr>
        <w:t>。</w:t>
      </w:r>
      <w:r>
        <w:rPr>
          <w:rFonts w:hint="eastAsia" w:ascii="宋体" w:hAnsi="宋体"/>
          <w:sz w:val="24"/>
        </w:rPr>
        <w:t>若未来市场环</w:t>
      </w:r>
      <w:r>
        <w:rPr>
          <w:rFonts w:ascii="Times New Roman" w:hAnsi="Times New Roman" w:cs="Times New Roman"/>
          <w:sz w:val="24"/>
        </w:rPr>
        <w:t>境发生变化，本基金管理人也可采用其他合理的估值方法进行估值。</w:t>
      </w:r>
    </w:p>
    <w:p>
      <w:pPr>
        <w:spacing w:line="360" w:lineRule="auto"/>
        <w:ind w:firstLine="480" w:firstLineChars="200"/>
        <w:outlineLvl w:val="2"/>
        <w:rPr>
          <w:rFonts w:ascii="Times New Roman" w:hAnsi="Times New Roman" w:cs="Times New Roman"/>
          <w:sz w:val="24"/>
        </w:rPr>
      </w:pPr>
      <w:r>
        <w:rPr>
          <w:rFonts w:ascii="Times New Roman" w:hAnsi="Times New Roman" w:cs="Times New Roman"/>
          <w:sz w:val="24"/>
        </w:rPr>
        <w:t>如有疑问</w:t>
      </w:r>
      <w:r>
        <w:rPr>
          <w:rFonts w:hint="eastAsia" w:ascii="Times New Roman" w:hAnsi="Times New Roman" w:cs="Times New Roman"/>
          <w:sz w:val="24"/>
        </w:rPr>
        <w:t>，</w:t>
      </w:r>
      <w:r>
        <w:rPr>
          <w:rFonts w:ascii="Times New Roman" w:hAnsi="Times New Roman" w:cs="Times New Roman"/>
          <w:sz w:val="24"/>
        </w:rPr>
        <w:t>请拨打客户服务热线：400-700-5000（免长途话费），021-61055000</w:t>
      </w:r>
      <w:r>
        <w:rPr>
          <w:rFonts w:hint="eastAsia" w:ascii="Times New Roman" w:hAnsi="Times New Roman" w:cs="Times New Roman"/>
          <w:sz w:val="24"/>
        </w:rPr>
        <w:t>，</w:t>
      </w:r>
      <w:r>
        <w:rPr>
          <w:rFonts w:ascii="Times New Roman" w:hAnsi="Times New Roman" w:cs="Times New Roman"/>
          <w:sz w:val="24"/>
        </w:rPr>
        <w:t>或登陆本基金管理人网站www.fund001.com获取相关信息。</w:t>
      </w:r>
    </w:p>
    <w:p>
      <w:pPr>
        <w:spacing w:line="360" w:lineRule="auto"/>
        <w:ind w:firstLine="480" w:firstLineChars="200"/>
        <w:outlineLvl w:val="2"/>
        <w:rPr>
          <w:rFonts w:ascii="Times New Roman" w:hAnsi="Times New Roman" w:cs="Times New Roman"/>
          <w:sz w:val="24"/>
        </w:rPr>
      </w:pPr>
      <w:bookmarkStart w:id="0" w:name="_GoBack"/>
      <w:bookmarkEnd w:id="0"/>
    </w:p>
    <w:p>
      <w:pPr>
        <w:spacing w:line="360" w:lineRule="auto"/>
        <w:ind w:firstLine="480" w:firstLineChars="200"/>
        <w:rPr>
          <w:rFonts w:ascii="宋体" w:hAnsi="宋体"/>
          <w:sz w:val="24"/>
        </w:rPr>
      </w:pPr>
      <w:r>
        <w:rPr>
          <w:rFonts w:ascii="Times New Roman" w:hAnsi="Times New Roman" w:cs="Times New Roman"/>
          <w:sz w:val="24"/>
        </w:rPr>
        <w:t>风险提示：本基金管理人承诺以诚实信用、勤勉</w:t>
      </w:r>
      <w:r>
        <w:rPr>
          <w:rFonts w:hint="eastAsia" w:ascii="宋体" w:hAnsi="宋体"/>
          <w:sz w:val="24"/>
        </w:rPr>
        <w:t>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spacing w:line="360" w:lineRule="auto"/>
        <w:ind w:firstLine="480" w:firstLineChars="200"/>
        <w:rPr>
          <w:rFonts w:ascii="Times New Roman" w:hAnsi="Times New Roman"/>
          <w:sz w:val="24"/>
          <w:szCs w:val="24"/>
          <w:highlight w:val="none"/>
        </w:rPr>
      </w:pPr>
      <w:r>
        <w:rPr>
          <w:rFonts w:hint="eastAsia" w:ascii="宋体" w:hAnsi="宋体"/>
          <w:sz w:val="24"/>
        </w:rPr>
        <w:t>特此公告。</w:t>
      </w:r>
    </w:p>
    <w:p>
      <w:pPr>
        <w:spacing w:line="360" w:lineRule="auto"/>
        <w:ind w:firstLine="480" w:firstLineChars="200"/>
        <w:rPr>
          <w:rFonts w:ascii="Times New Roman" w:hAnsi="Times New Roman"/>
          <w:sz w:val="24"/>
          <w:szCs w:val="24"/>
          <w:highlight w:val="none"/>
        </w:rPr>
      </w:pPr>
    </w:p>
    <w:p>
      <w:pPr>
        <w:spacing w:line="360" w:lineRule="auto"/>
        <w:ind w:firstLine="480" w:firstLineChars="200"/>
        <w:rPr>
          <w:rFonts w:ascii="Times New Roman" w:hAnsi="Times New Roman"/>
          <w:sz w:val="24"/>
          <w:szCs w:val="24"/>
          <w:highlight w:val="none"/>
        </w:rPr>
      </w:pPr>
    </w:p>
    <w:p>
      <w:pPr>
        <w:spacing w:line="360" w:lineRule="auto"/>
        <w:ind w:firstLine="480" w:firstLineChars="200"/>
        <w:jc w:val="right"/>
        <w:rPr>
          <w:rFonts w:ascii="Times New Roman" w:hAnsi="Times New Roman"/>
          <w:sz w:val="24"/>
          <w:szCs w:val="24"/>
          <w:highlight w:val="none"/>
        </w:rPr>
      </w:pPr>
      <w:r>
        <w:rPr>
          <w:rFonts w:hint="eastAsia" w:ascii="Times New Roman" w:hAnsi="Times New Roman"/>
          <w:sz w:val="24"/>
          <w:szCs w:val="24"/>
          <w:highlight w:val="none"/>
        </w:rPr>
        <w:t>交银施罗德基金管理有限公司</w:t>
      </w:r>
    </w:p>
    <w:p>
      <w:pPr>
        <w:spacing w:line="360" w:lineRule="auto"/>
        <w:ind w:firstLine="480" w:firstLineChars="200"/>
        <w:jc w:val="right"/>
        <w:rPr>
          <w:rFonts w:ascii="Times New Roman" w:hAnsi="Times New Roman"/>
          <w:sz w:val="24"/>
          <w:szCs w:val="24"/>
          <w:highlight w:val="none"/>
        </w:rPr>
      </w:pPr>
      <w:r>
        <w:rPr>
          <w:rFonts w:hint="eastAsia" w:ascii="Times New Roman" w:hAnsi="Times New Roman"/>
          <w:sz w:val="24"/>
          <w:szCs w:val="24"/>
          <w:highlight w:val="none"/>
        </w:rPr>
        <w:t>二〇二四年</w:t>
      </w:r>
      <w:r>
        <w:rPr>
          <w:rFonts w:hint="eastAsia" w:ascii="Times New Roman" w:hAnsi="Times New Roman"/>
          <w:sz w:val="24"/>
          <w:szCs w:val="24"/>
          <w:highlight w:val="none"/>
          <w:lang w:val="en-US" w:eastAsia="zh-CN"/>
        </w:rPr>
        <w:t>十</w:t>
      </w:r>
      <w:r>
        <w:rPr>
          <w:rFonts w:hint="eastAsia" w:ascii="Times New Roman" w:hAnsi="Times New Roman"/>
          <w:sz w:val="24"/>
          <w:szCs w:val="24"/>
          <w:highlight w:val="none"/>
        </w:rPr>
        <w:t>月</w:t>
      </w:r>
      <w:r>
        <w:rPr>
          <w:rFonts w:hint="eastAsia" w:ascii="Times New Roman" w:hAnsi="Times New Roman"/>
          <w:sz w:val="24"/>
          <w:szCs w:val="24"/>
          <w:highlight w:val="none"/>
          <w:lang w:val="en-US" w:eastAsia="zh-CN"/>
        </w:rPr>
        <w:t>八</w:t>
      </w:r>
      <w:r>
        <w:rPr>
          <w:rFonts w:hint="eastAsia" w:ascii="Times New Roman" w:hAnsi="Times New Roman"/>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C6B"/>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025F"/>
    <w:rsid w:val="0006276C"/>
    <w:rsid w:val="0006583C"/>
    <w:rsid w:val="000674F3"/>
    <w:rsid w:val="0007076C"/>
    <w:rsid w:val="00071917"/>
    <w:rsid w:val="00096EB6"/>
    <w:rsid w:val="000A742E"/>
    <w:rsid w:val="000B0F4D"/>
    <w:rsid w:val="000B6378"/>
    <w:rsid w:val="000C0C02"/>
    <w:rsid w:val="000C6CD5"/>
    <w:rsid w:val="000C729E"/>
    <w:rsid w:val="000C74A4"/>
    <w:rsid w:val="000D1686"/>
    <w:rsid w:val="000D562A"/>
    <w:rsid w:val="000D5A86"/>
    <w:rsid w:val="000D7E3E"/>
    <w:rsid w:val="000E301B"/>
    <w:rsid w:val="000E37B8"/>
    <w:rsid w:val="000E63CD"/>
    <w:rsid w:val="000E7194"/>
    <w:rsid w:val="000F064F"/>
    <w:rsid w:val="000F139D"/>
    <w:rsid w:val="000F69A0"/>
    <w:rsid w:val="0010586E"/>
    <w:rsid w:val="00107D6D"/>
    <w:rsid w:val="001201DC"/>
    <w:rsid w:val="001230EE"/>
    <w:rsid w:val="001235F8"/>
    <w:rsid w:val="00131053"/>
    <w:rsid w:val="00134748"/>
    <w:rsid w:val="00162D41"/>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592F"/>
    <w:rsid w:val="001F72D3"/>
    <w:rsid w:val="002003C8"/>
    <w:rsid w:val="00201DE3"/>
    <w:rsid w:val="00220AC0"/>
    <w:rsid w:val="002314C5"/>
    <w:rsid w:val="00231E5A"/>
    <w:rsid w:val="00232748"/>
    <w:rsid w:val="0023725A"/>
    <w:rsid w:val="0024722A"/>
    <w:rsid w:val="0026195E"/>
    <w:rsid w:val="0026370B"/>
    <w:rsid w:val="00263F8E"/>
    <w:rsid w:val="00264515"/>
    <w:rsid w:val="00266330"/>
    <w:rsid w:val="00271FFF"/>
    <w:rsid w:val="00274E4A"/>
    <w:rsid w:val="00276E01"/>
    <w:rsid w:val="00282732"/>
    <w:rsid w:val="00283FB1"/>
    <w:rsid w:val="002923E6"/>
    <w:rsid w:val="0029591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041EE"/>
    <w:rsid w:val="003110E4"/>
    <w:rsid w:val="00315DCF"/>
    <w:rsid w:val="003163EF"/>
    <w:rsid w:val="003178FE"/>
    <w:rsid w:val="003219C1"/>
    <w:rsid w:val="00321BDF"/>
    <w:rsid w:val="00324DF6"/>
    <w:rsid w:val="00325B83"/>
    <w:rsid w:val="003367B0"/>
    <w:rsid w:val="00336B0B"/>
    <w:rsid w:val="00337457"/>
    <w:rsid w:val="00342F9C"/>
    <w:rsid w:val="00345E8B"/>
    <w:rsid w:val="0034733A"/>
    <w:rsid w:val="003474B0"/>
    <w:rsid w:val="00347E74"/>
    <w:rsid w:val="00352034"/>
    <w:rsid w:val="00363733"/>
    <w:rsid w:val="00363E1B"/>
    <w:rsid w:val="00364EF3"/>
    <w:rsid w:val="003661A0"/>
    <w:rsid w:val="0036735D"/>
    <w:rsid w:val="0037292A"/>
    <w:rsid w:val="00376A3B"/>
    <w:rsid w:val="00381D7B"/>
    <w:rsid w:val="00383170"/>
    <w:rsid w:val="00387074"/>
    <w:rsid w:val="0039689F"/>
    <w:rsid w:val="003A3B29"/>
    <w:rsid w:val="003B319B"/>
    <w:rsid w:val="003B48E9"/>
    <w:rsid w:val="003B7747"/>
    <w:rsid w:val="003C2C06"/>
    <w:rsid w:val="003C646C"/>
    <w:rsid w:val="003D2960"/>
    <w:rsid w:val="003D62C4"/>
    <w:rsid w:val="003F4700"/>
    <w:rsid w:val="004035EF"/>
    <w:rsid w:val="00406FD2"/>
    <w:rsid w:val="00410F37"/>
    <w:rsid w:val="00427D23"/>
    <w:rsid w:val="0043086E"/>
    <w:rsid w:val="004312AA"/>
    <w:rsid w:val="00435032"/>
    <w:rsid w:val="00436233"/>
    <w:rsid w:val="004410E8"/>
    <w:rsid w:val="004417DF"/>
    <w:rsid w:val="00443584"/>
    <w:rsid w:val="00445F20"/>
    <w:rsid w:val="004462CE"/>
    <w:rsid w:val="00452396"/>
    <w:rsid w:val="0045496D"/>
    <w:rsid w:val="00455FD8"/>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0B86"/>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45A6D"/>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2A1B"/>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5BD"/>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B6CF3"/>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340"/>
    <w:rsid w:val="00DB0FA2"/>
    <w:rsid w:val="00DB7811"/>
    <w:rsid w:val="00DC29D5"/>
    <w:rsid w:val="00DC2F28"/>
    <w:rsid w:val="00DC5887"/>
    <w:rsid w:val="00DD075B"/>
    <w:rsid w:val="00DD473C"/>
    <w:rsid w:val="00DD72BF"/>
    <w:rsid w:val="00DE18FB"/>
    <w:rsid w:val="00DE614E"/>
    <w:rsid w:val="00DF13A4"/>
    <w:rsid w:val="00DF3E68"/>
    <w:rsid w:val="00DF65A0"/>
    <w:rsid w:val="00E12829"/>
    <w:rsid w:val="00E12A99"/>
    <w:rsid w:val="00E17BE4"/>
    <w:rsid w:val="00E17D27"/>
    <w:rsid w:val="00E205CA"/>
    <w:rsid w:val="00E21559"/>
    <w:rsid w:val="00E32946"/>
    <w:rsid w:val="00E34CC7"/>
    <w:rsid w:val="00E353A5"/>
    <w:rsid w:val="00E45C42"/>
    <w:rsid w:val="00E47E03"/>
    <w:rsid w:val="00E57F81"/>
    <w:rsid w:val="00E6156D"/>
    <w:rsid w:val="00E61EF7"/>
    <w:rsid w:val="00E64F24"/>
    <w:rsid w:val="00E708D6"/>
    <w:rsid w:val="00E73E7F"/>
    <w:rsid w:val="00E814E1"/>
    <w:rsid w:val="00E861AA"/>
    <w:rsid w:val="00E92F0B"/>
    <w:rsid w:val="00E940B5"/>
    <w:rsid w:val="00EA57CE"/>
    <w:rsid w:val="00EA7CF5"/>
    <w:rsid w:val="00EB2158"/>
    <w:rsid w:val="00EC28D2"/>
    <w:rsid w:val="00ED0963"/>
    <w:rsid w:val="00ED0C3C"/>
    <w:rsid w:val="00ED7646"/>
    <w:rsid w:val="00EF059F"/>
    <w:rsid w:val="00EF3CA8"/>
    <w:rsid w:val="00EF43F0"/>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0A177A4F"/>
    <w:rsid w:val="0F3B74C8"/>
    <w:rsid w:val="0FBD75E8"/>
    <w:rsid w:val="10083DE1"/>
    <w:rsid w:val="18AA7840"/>
    <w:rsid w:val="1CD96BE2"/>
    <w:rsid w:val="256B2248"/>
    <w:rsid w:val="33E53814"/>
    <w:rsid w:val="3CD83332"/>
    <w:rsid w:val="42294B17"/>
    <w:rsid w:val="42C265D5"/>
    <w:rsid w:val="4D282469"/>
    <w:rsid w:val="573D251B"/>
    <w:rsid w:val="592759DA"/>
    <w:rsid w:val="5E836BCD"/>
    <w:rsid w:val="61D2590E"/>
    <w:rsid w:val="6D3059A5"/>
    <w:rsid w:val="73C831EC"/>
    <w:rsid w:val="74860EF4"/>
    <w:rsid w:val="77FA647F"/>
    <w:rsid w:val="7D98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文字 字符"/>
    <w:basedOn w:val="8"/>
    <w:link w:val="2"/>
    <w:semiHidden/>
    <w:qFormat/>
    <w:uiPriority w:val="99"/>
  </w:style>
  <w:style w:type="character" w:customStyle="1" w:styleId="11">
    <w:name w:val="批注主题 字符"/>
    <w:basedOn w:val="10"/>
    <w:link w:val="6"/>
    <w:semiHidden/>
    <w:qFormat/>
    <w:uiPriority w:val="99"/>
    <w:rPr>
      <w:b/>
      <w:bCs/>
    </w:rPr>
  </w:style>
  <w:style w:type="character" w:customStyle="1" w:styleId="12">
    <w:name w:val="批注框文本 字符"/>
    <w:basedOn w:val="8"/>
    <w:link w:val="3"/>
    <w:semiHidden/>
    <w:qFormat/>
    <w:uiPriority w:val="99"/>
    <w:rPr>
      <w:sz w:val="18"/>
      <w:szCs w:val="18"/>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61A1B-5289-4A7F-84A5-80757C4A90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97</Words>
  <Characters>559</Characters>
  <Lines>4</Lines>
  <Paragraphs>1</Paragraphs>
  <TotalTime>0</TotalTime>
  <ScaleCrop>false</ScaleCrop>
  <LinksUpToDate>false</LinksUpToDate>
  <CharactersWithSpaces>655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张玲斌</dc:creator>
  <cp:lastModifiedBy>wangwanting</cp:lastModifiedBy>
  <cp:lastPrinted>2018-04-26T07:51:00Z</cp:lastPrinted>
  <dcterms:modified xsi:type="dcterms:W3CDTF">2024-09-30T09:56:28Z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251EDE757D2044559CBBE5E592B0365D</vt:lpwstr>
  </property>
</Properties>
</file>