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sz w:val="30"/>
          <w:szCs w:val="30"/>
        </w:rPr>
      </w:pPr>
      <w:r>
        <w:rPr>
          <w:rFonts w:hint="eastAsia" w:ascii="Times New Roman" w:hAnsi="Times New Roman"/>
          <w:b/>
          <w:sz w:val="30"/>
          <w:szCs w:val="30"/>
        </w:rPr>
        <w:t>交银施罗德基金管理有限公司关于交银施罗德中证海外中国互联网指数型证券投资基金（LOF）溢价风险提示公告</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近期，交银施罗德基金管理有限公司（以下简称“本基金管理人”）旗下交银施罗德中证海外中国互联网指数型证券投资基金（LOF）A类基金份额（场内简称：中概互联网LOF，基金代码：</w:t>
      </w:r>
      <w:r>
        <w:rPr>
          <w:rFonts w:ascii="Times New Roman" w:hAnsi="Times New Roman"/>
          <w:sz w:val="24"/>
          <w:szCs w:val="24"/>
        </w:rPr>
        <w:t>164906</w:t>
      </w:r>
      <w:r>
        <w:rPr>
          <w:rFonts w:hint="eastAsia" w:ascii="Times New Roman" w:hAnsi="Times New Roman"/>
          <w:sz w:val="24"/>
          <w:szCs w:val="24"/>
        </w:rPr>
        <w:t>，以下简称“本基金”）二级市场交易</w:t>
      </w:r>
      <w:r>
        <w:rPr>
          <w:rFonts w:ascii="Times New Roman" w:hAnsi="Times New Roman"/>
          <w:sz w:val="24"/>
          <w:szCs w:val="24"/>
        </w:rPr>
        <w:t>价格明显偏离基金份额净值。</w:t>
      </w:r>
      <w:r>
        <w:rPr>
          <w:rFonts w:hint="eastAsia" w:ascii="Times New Roman" w:hAnsi="Times New Roman"/>
          <w:sz w:val="24"/>
          <w:szCs w:val="24"/>
        </w:rPr>
        <w:t>202</w:t>
      </w:r>
      <w:r>
        <w:rPr>
          <w:rFonts w:ascii="Times New Roman" w:hAnsi="Times New Roman"/>
          <w:sz w:val="24"/>
          <w:szCs w:val="24"/>
        </w:rPr>
        <w:t>4</w:t>
      </w:r>
      <w:r>
        <w:rPr>
          <w:rFonts w:hint="eastAsia" w:ascii="Times New Roman" w:hAnsi="Times New Roman"/>
          <w:sz w:val="24"/>
          <w:szCs w:val="24"/>
        </w:rPr>
        <w:t>年</w:t>
      </w:r>
      <w:r>
        <w:rPr>
          <w:rFonts w:ascii="Times New Roman" w:hAnsi="Times New Roman"/>
          <w:sz w:val="24"/>
          <w:szCs w:val="24"/>
        </w:rPr>
        <w:t>9</w:t>
      </w:r>
      <w:r>
        <w:rPr>
          <w:rFonts w:hint="eastAsia" w:ascii="Times New Roman" w:hAnsi="Times New Roman"/>
          <w:sz w:val="24"/>
          <w:szCs w:val="24"/>
        </w:rPr>
        <w:t>月</w:t>
      </w:r>
      <w:r>
        <w:rPr>
          <w:rFonts w:ascii="Times New Roman" w:hAnsi="Times New Roman"/>
          <w:sz w:val="24"/>
          <w:szCs w:val="24"/>
        </w:rPr>
        <w:t>25</w:t>
      </w:r>
      <w:r>
        <w:rPr>
          <w:rFonts w:hint="eastAsia" w:ascii="Times New Roman" w:hAnsi="Times New Roman"/>
          <w:sz w:val="24"/>
          <w:szCs w:val="24"/>
        </w:rPr>
        <w:t>日，本基金基金份额净值为</w:t>
      </w:r>
      <w:r>
        <w:rPr>
          <w:rFonts w:hint="eastAsia" w:ascii="Times New Roman" w:hAnsi="Times New Roman"/>
          <w:sz w:val="24"/>
          <w:szCs w:val="24"/>
          <w:lang w:val="en-US" w:eastAsia="zh-CN"/>
        </w:rPr>
        <w:t>0.9764</w:t>
      </w:r>
      <w:r>
        <w:rPr>
          <w:rFonts w:hint="eastAsia" w:ascii="Times New Roman" w:hAnsi="Times New Roman"/>
          <w:sz w:val="24"/>
          <w:szCs w:val="24"/>
        </w:rPr>
        <w:t>元，截至202</w:t>
      </w:r>
      <w:r>
        <w:rPr>
          <w:rFonts w:ascii="Times New Roman" w:hAnsi="Times New Roman"/>
          <w:sz w:val="24"/>
          <w:szCs w:val="24"/>
        </w:rPr>
        <w:t>4</w:t>
      </w:r>
      <w:r>
        <w:rPr>
          <w:rFonts w:hint="eastAsia" w:ascii="Times New Roman" w:hAnsi="Times New Roman"/>
          <w:sz w:val="24"/>
          <w:szCs w:val="24"/>
        </w:rPr>
        <w:t>年</w:t>
      </w:r>
      <w:r>
        <w:rPr>
          <w:rFonts w:ascii="Times New Roman" w:hAnsi="Times New Roman"/>
          <w:sz w:val="24"/>
          <w:szCs w:val="24"/>
        </w:rPr>
        <w:t>9</w:t>
      </w:r>
      <w:r>
        <w:rPr>
          <w:rFonts w:hint="eastAsia" w:ascii="Times New Roman" w:hAnsi="Times New Roman"/>
          <w:sz w:val="24"/>
          <w:szCs w:val="24"/>
        </w:rPr>
        <w:t>月</w:t>
      </w:r>
      <w:r>
        <w:rPr>
          <w:rFonts w:ascii="Times New Roman" w:hAnsi="Times New Roman"/>
          <w:sz w:val="24"/>
          <w:szCs w:val="24"/>
        </w:rPr>
        <w:t>27</w:t>
      </w:r>
      <w:r>
        <w:rPr>
          <w:rFonts w:hint="eastAsia" w:ascii="Times New Roman" w:hAnsi="Times New Roman"/>
          <w:sz w:val="24"/>
          <w:szCs w:val="24"/>
        </w:rPr>
        <w:t>日，本基金在二级市场的收盘价为</w:t>
      </w:r>
      <w:r>
        <w:rPr>
          <w:rFonts w:hint="eastAsia" w:ascii="Times New Roman" w:hAnsi="Times New Roman"/>
          <w:sz w:val="24"/>
          <w:szCs w:val="24"/>
          <w:lang w:val="en-US" w:eastAsia="zh-CN"/>
        </w:rPr>
        <w:t>1.085</w:t>
      </w:r>
      <w:r>
        <w:rPr>
          <w:rFonts w:hint="eastAsia" w:ascii="Times New Roman" w:hAnsi="Times New Roman"/>
          <w:sz w:val="24"/>
          <w:szCs w:val="24"/>
        </w:rPr>
        <w:t>元</w:t>
      </w:r>
      <w:bookmarkStart w:id="0" w:name="_GoBack"/>
      <w:bookmarkEnd w:id="0"/>
      <w:r>
        <w:rPr>
          <w:rFonts w:hint="eastAsia" w:ascii="Times New Roman" w:hAnsi="Times New Roman"/>
          <w:sz w:val="24"/>
          <w:szCs w:val="24"/>
        </w:rPr>
        <w:t>，特此提示投资者关注二级市场交易价格溢价风险，投资者如果高溢价买入，可能面临较大损失。</w:t>
      </w:r>
    </w:p>
    <w:p>
      <w:pPr>
        <w:spacing w:line="360" w:lineRule="auto"/>
        <w:ind w:firstLine="420"/>
        <w:rPr>
          <w:rFonts w:ascii="Times New Roman" w:hAnsi="Times New Roman"/>
          <w:sz w:val="24"/>
          <w:szCs w:val="24"/>
        </w:rPr>
      </w:pPr>
      <w:r>
        <w:rPr>
          <w:rFonts w:hint="eastAsia" w:ascii="Times New Roman" w:hAnsi="Times New Roman"/>
          <w:sz w:val="24"/>
          <w:szCs w:val="24"/>
        </w:rPr>
        <w:t>为此基金管理人声明如下：</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w:t>
      </w:r>
      <w:r>
        <w:rPr>
          <w:rFonts w:ascii="Times New Roman" w:hAnsi="Times New Roman"/>
          <w:sz w:val="24"/>
          <w:szCs w:val="24"/>
        </w:rPr>
        <w:t>、</w:t>
      </w:r>
      <w:r>
        <w:rPr>
          <w:rFonts w:hint="eastAsia" w:ascii="Times New Roman" w:hAnsi="Times New Roman"/>
          <w:sz w:val="24"/>
          <w:szCs w:val="24"/>
        </w:rPr>
        <w:t>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二、本基金二级市场的交易价格，除了有基金份额参考净值波动的风险外，还会受到市场的系统性风险、流动性风险等其他风险影响，可能使投资人面临损失。</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三、截至本报告披露日，本基金运作正常。本基金管理人仍将严格按照法律法规及基金合同进行投资运作。</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四、截至本报告披露日，本基金运作正常无其他应披露而未披露的重大信息。基金管理人仍将严格按照有关规定和要求，及时做好信息披露工作。</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投资者欲了解本基金的详细情况，可通过本公司网站（www.fund001.com）或相关销售机构查阅《交银施罗德中证海外中国互联网指数型证券投资基金（LOF）基金合同》和《交银施罗德中证海外中国互联网指数型证券投资基金（LOF）招募说明书》，或者拨打本公司客户服务电话400-700-5000（免长途话费），021-61055000咨询有关详情。</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风险提示：</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特此公告。</w:t>
      </w:r>
    </w:p>
    <w:p>
      <w:pPr>
        <w:spacing w:line="360" w:lineRule="auto"/>
        <w:ind w:firstLine="480" w:firstLineChars="200"/>
        <w:rPr>
          <w:rFonts w:ascii="Times New Roman" w:hAnsi="Times New Roman"/>
          <w:sz w:val="24"/>
          <w:szCs w:val="24"/>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交银施罗德基金管理有限公司</w:t>
      </w: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二〇二四年九月二十八日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63CD"/>
    <w:rsid w:val="000E7194"/>
    <w:rsid w:val="000F064F"/>
    <w:rsid w:val="000F139D"/>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4722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733A"/>
    <w:rsid w:val="003474B0"/>
    <w:rsid w:val="00347E74"/>
    <w:rsid w:val="00352034"/>
    <w:rsid w:val="00363733"/>
    <w:rsid w:val="00363E1B"/>
    <w:rsid w:val="00364EF3"/>
    <w:rsid w:val="003661A0"/>
    <w:rsid w:val="0036735D"/>
    <w:rsid w:val="0037292A"/>
    <w:rsid w:val="00376A3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0B86"/>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45A6D"/>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B6CF3"/>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340"/>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33E53814"/>
    <w:rsid w:val="592759DA"/>
    <w:rsid w:val="7486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uiPriority w:val="99"/>
    <w:pPr>
      <w:jc w:val="left"/>
    </w:pPr>
  </w:style>
  <w:style w:type="paragraph" w:styleId="3">
    <w:name w:val="Balloon Text"/>
    <w:basedOn w:val="1"/>
    <w:link w:val="12"/>
    <w:semiHidden/>
    <w:unhideWhenUsed/>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uiPriority w:val="99"/>
    <w:rPr>
      <w:b/>
      <w:bCs/>
    </w:rPr>
  </w:style>
  <w:style w:type="character" w:styleId="9">
    <w:name w:val="annotation reference"/>
    <w:basedOn w:val="8"/>
    <w:semiHidden/>
    <w:unhideWhenUsed/>
    <w:uiPriority w:val="99"/>
    <w:rPr>
      <w:sz w:val="21"/>
      <w:szCs w:val="21"/>
    </w:rPr>
  </w:style>
  <w:style w:type="character" w:customStyle="1" w:styleId="10">
    <w:name w:val="批注文字 字符"/>
    <w:basedOn w:val="8"/>
    <w:link w:val="2"/>
    <w:semiHidden/>
    <w:uiPriority w:val="99"/>
  </w:style>
  <w:style w:type="character" w:customStyle="1" w:styleId="11">
    <w:name w:val="批注主题 字符"/>
    <w:basedOn w:val="10"/>
    <w:link w:val="6"/>
    <w:semiHidden/>
    <w:qFormat/>
    <w:uiPriority w:val="99"/>
    <w:rPr>
      <w:b/>
      <w:bCs/>
    </w:rPr>
  </w:style>
  <w:style w:type="character" w:customStyle="1" w:styleId="12">
    <w:name w:val="批注框文本 字符"/>
    <w:basedOn w:val="8"/>
    <w:link w:val="3"/>
    <w:semiHidden/>
    <w:uiPriority w:val="99"/>
    <w:rPr>
      <w:sz w:val="18"/>
      <w:szCs w:val="18"/>
    </w:rPr>
  </w:style>
  <w:style w:type="character" w:customStyle="1" w:styleId="13">
    <w:name w:val="页眉 字符"/>
    <w:basedOn w:val="8"/>
    <w:link w:val="5"/>
    <w:uiPriority w:val="99"/>
    <w:rPr>
      <w:sz w:val="18"/>
      <w:szCs w:val="18"/>
    </w:rPr>
  </w:style>
  <w:style w:type="character" w:customStyle="1" w:styleId="14">
    <w:name w:val="页脚 字符"/>
    <w:basedOn w:val="8"/>
    <w:link w:val="4"/>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E13C5-6AB4-4724-90E3-B6BF8BD592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135</Words>
  <Characters>774</Characters>
  <Lines>6</Lines>
  <Paragraphs>1</Paragraphs>
  <TotalTime>253</TotalTime>
  <ScaleCrop>false</ScaleCrop>
  <LinksUpToDate>false</LinksUpToDate>
  <CharactersWithSpaces>908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张玲斌</dc:creator>
  <cp:lastModifiedBy>未定义</cp:lastModifiedBy>
  <cp:lastPrinted>2018-04-26T07:51:00Z</cp:lastPrinted>
  <dcterms:modified xsi:type="dcterms:W3CDTF">2024-09-27T08:30:16Z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251EDE757D2044559CBBE5E592B0365D</vt:lpwstr>
  </property>
</Properties>
</file>