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9DC0" w14:textId="77777777" w:rsidR="003D3E21" w:rsidRPr="00EB07BC" w:rsidRDefault="003D3E21">
      <w:pPr>
        <w:rPr>
          <w:sz w:val="32"/>
        </w:rPr>
      </w:pPr>
    </w:p>
    <w:p w14:paraId="3D0CBE78" w14:textId="77777777" w:rsidR="003D3E21" w:rsidRPr="00EB07BC" w:rsidRDefault="003D3E21">
      <w:pPr>
        <w:rPr>
          <w:sz w:val="32"/>
        </w:rPr>
      </w:pPr>
    </w:p>
    <w:p w14:paraId="2CF3D4C4" w14:textId="77777777" w:rsidR="003D3E21" w:rsidRPr="00EB07BC" w:rsidRDefault="003D3E21">
      <w:pPr>
        <w:rPr>
          <w:sz w:val="32"/>
        </w:rPr>
      </w:pPr>
    </w:p>
    <w:p w14:paraId="21362E82" w14:textId="3FF2BAC7" w:rsidR="003D3E21" w:rsidRPr="00EB07BC" w:rsidRDefault="006C507A">
      <w:pPr>
        <w:jc w:val="center"/>
        <w:rPr>
          <w:sz w:val="32"/>
        </w:rPr>
      </w:pPr>
      <w:r>
        <w:rPr>
          <w:noProof/>
        </w:rPr>
        <w:drawing>
          <wp:inline distT="0" distB="0" distL="0" distR="0" wp14:anchorId="4B447AA6" wp14:editId="23243ADB">
            <wp:extent cx="4343400" cy="571500"/>
            <wp:effectExtent l="0" t="0" r="0" b="0"/>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A2F9C2" w14:textId="77777777" w:rsidR="00CB5326" w:rsidRDefault="00CB53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5545AB9" w14:textId="77777777" w:rsidR="00CB5326" w:rsidRDefault="00CB53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0293D7B" w14:textId="77777777" w:rsidR="00CB5326" w:rsidRDefault="000C168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交银施罗德纯债债券型发起式证券投资基金</w:t>
      </w:r>
    </w:p>
    <w:p w14:paraId="39285C18" w14:textId="129CA37C" w:rsidR="00CB5326" w:rsidRDefault="000C168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r w:rsidR="00FB6731">
        <w:rPr>
          <w:rFonts w:ascii="宋体" w:hAnsi="宋体"/>
          <w:b/>
          <w:spacing w:val="2"/>
          <w:w w:val="99"/>
          <w:kern w:val="0"/>
          <w:sz w:val="44"/>
          <w:szCs w:val="44"/>
        </w:rPr>
        <w:t>(更新)</w:t>
      </w:r>
    </w:p>
    <w:p w14:paraId="30B5505B"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6D8893A"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154B91"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00B6D1"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725228"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2C6A763"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107F84" w14:textId="77777777" w:rsidR="00CB5326" w:rsidRDefault="000C16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5F8E323" w14:textId="77777777" w:rsidR="00CB5326" w:rsidRDefault="000C16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182E9D0B"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4B74FA"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CD38DB0" w14:textId="781B7538" w:rsidR="00CB5326" w:rsidRDefault="00FB6731">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B74B0B">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7AEF5DDE" w14:textId="77777777" w:rsidR="00CB5326" w:rsidRDefault="00CB5326">
      <w:pPr>
        <w:autoSpaceDE w:val="0"/>
        <w:autoSpaceDN w:val="0"/>
        <w:adjustRightInd w:val="0"/>
        <w:snapToGrid w:val="0"/>
        <w:spacing w:line="360" w:lineRule="auto"/>
        <w:ind w:left="1347" w:rightChars="6" w:right="13"/>
        <w:rPr>
          <w:rFonts w:ascii="宋体" w:hAnsi="宋体"/>
          <w:kern w:val="0"/>
          <w:sz w:val="32"/>
          <w:szCs w:val="32"/>
        </w:rPr>
        <w:sectPr w:rsidR="00CB532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BF1120C" w14:textId="77777777" w:rsidR="00CB5326" w:rsidRDefault="000C1687">
      <w:pPr>
        <w:pStyle w:val="1"/>
        <w:snapToGrid w:val="0"/>
        <w:spacing w:beforeLines="0" w:before="240" w:after="240"/>
        <w:rPr>
          <w:rFonts w:ascii="宋体" w:hAnsi="宋体"/>
          <w:kern w:val="0"/>
        </w:rPr>
      </w:pPr>
      <w:bookmarkStart w:id="0" w:name="_Toc324920538"/>
      <w:bookmarkStart w:id="1" w:name="_Toc496884613"/>
      <w:bookmarkStart w:id="2" w:name="_Toc154495290"/>
      <w:r>
        <w:rPr>
          <w:rFonts w:ascii="Times New Roman" w:hAnsi="Times New Roman"/>
          <w:kern w:val="0"/>
        </w:rPr>
        <w:lastRenderedPageBreak/>
        <w:t>重要提示</w:t>
      </w:r>
      <w:bookmarkEnd w:id="0"/>
      <w:bookmarkEnd w:id="1"/>
      <w:bookmarkEnd w:id="2"/>
    </w:p>
    <w:p w14:paraId="7A4E2EB2"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交银施罗德纯债债券型发起式证券投资基金（以下简称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日中国证券监督管理委员会证监许可【</w:t>
      </w:r>
      <w:r>
        <w:rPr>
          <w:rFonts w:ascii="Times New Roman" w:hAnsi="Times New Roman"/>
          <w:kern w:val="0"/>
          <w:sz w:val="24"/>
        </w:rPr>
        <w:t>2012</w:t>
      </w:r>
      <w:r>
        <w:rPr>
          <w:rFonts w:ascii="Times New Roman" w:hAnsi="Times New Roman"/>
          <w:kern w:val="0"/>
          <w:sz w:val="24"/>
        </w:rPr>
        <w:t>】</w:t>
      </w:r>
      <w:r>
        <w:rPr>
          <w:rFonts w:ascii="Times New Roman" w:hAnsi="Times New Roman"/>
          <w:kern w:val="0"/>
          <w:sz w:val="24"/>
        </w:rPr>
        <w:t>1287</w:t>
      </w:r>
      <w:r>
        <w:rPr>
          <w:rFonts w:ascii="Times New Roman" w:hAnsi="Times New Roman"/>
          <w:kern w:val="0"/>
          <w:sz w:val="24"/>
        </w:rPr>
        <w:t>号文核准募集。本基金基金合同于</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19</w:t>
      </w:r>
      <w:r>
        <w:rPr>
          <w:rFonts w:ascii="Times New Roman" w:hAnsi="Times New Roman"/>
          <w:kern w:val="0"/>
          <w:sz w:val="24"/>
        </w:rPr>
        <w:t>日正式生效。</w:t>
      </w:r>
    </w:p>
    <w:p w14:paraId="246268CA"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6E5AC640"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748049"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本基金特有的其他风险等等。本基金是一只债券型基金，属于证券投资基金中中等风险的品种，其长期平均的预期收益和风险高于货币市场基金，低于混合型基金和股票型基金。</w:t>
      </w:r>
    </w:p>
    <w:p w14:paraId="2F6A2DE3"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发起式基金，基金管理人将公平对待所管理的全部基金，基金管理人并不能保证发起式基金不发生亏损，也不能保证发起式基金的收益将优于基金管理人管理的其他非发起式基金。基金管理人运用固有资金认购本基金</w:t>
      </w:r>
      <w:r>
        <w:rPr>
          <w:rFonts w:ascii="Times New Roman" w:hAnsi="Times New Roman"/>
          <w:kern w:val="0"/>
          <w:sz w:val="24"/>
        </w:rPr>
        <w:t>1000</w:t>
      </w:r>
      <w:r>
        <w:rPr>
          <w:rFonts w:ascii="Times New Roman" w:hAnsi="Times New Roman"/>
          <w:kern w:val="0"/>
          <w:sz w:val="24"/>
        </w:rPr>
        <w:t>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认购的发起份额持有期限满三年后，基金管理人将根据自身情况决定是否继续持有，届时，基金管理人有可能赎回认购的本基金份额。基金合同生效之日起满</w:t>
      </w:r>
      <w:r>
        <w:rPr>
          <w:rFonts w:ascii="Times New Roman" w:hAnsi="Times New Roman"/>
          <w:kern w:val="0"/>
          <w:sz w:val="24"/>
        </w:rPr>
        <w:t>3</w:t>
      </w:r>
      <w:r>
        <w:rPr>
          <w:rFonts w:ascii="Times New Roman" w:hAnsi="Times New Roman"/>
          <w:kern w:val="0"/>
          <w:sz w:val="24"/>
        </w:rPr>
        <w:t>年后的对应日（如该对应日为非工作日，则顺延至下一个工作日），若</w:t>
      </w:r>
      <w:r>
        <w:rPr>
          <w:rFonts w:ascii="Times New Roman" w:hAnsi="Times New Roman"/>
          <w:kern w:val="0"/>
          <w:sz w:val="24"/>
        </w:rPr>
        <w:lastRenderedPageBreak/>
        <w:t>本基金的资产净值低于</w:t>
      </w:r>
      <w:r>
        <w:rPr>
          <w:rFonts w:ascii="Times New Roman" w:hAnsi="Times New Roman"/>
          <w:kern w:val="0"/>
          <w:sz w:val="24"/>
        </w:rPr>
        <w:t>2</w:t>
      </w:r>
      <w:r>
        <w:rPr>
          <w:rFonts w:ascii="Times New Roman" w:hAnsi="Times New Roman"/>
          <w:kern w:val="0"/>
          <w:sz w:val="24"/>
        </w:rPr>
        <w:t>亿元，基金合同将自动终止，且无法通过召开持有人大会延续基金合同期限，因此投资者将面临基金合同可能终止的不确定性风险。</w:t>
      </w:r>
    </w:p>
    <w:p w14:paraId="176F2E3E"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投资有风险，投资者在投资本基金前应认真阅读本基金的招募说明书、基金合同、基金产品资料概要。基金的过往业绩并不代表其未来表现。基金管理人管理的其他基金的业绩并不构成新基金业绩表现的保证。</w:t>
      </w:r>
    </w:p>
    <w:p w14:paraId="1F4DACA9" w14:textId="7BCCE776" w:rsidR="00CB5326" w:rsidRDefault="009B0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w:t>
      </w:r>
      <w:r w:rsidR="004D49F0" w:rsidRPr="00156651">
        <w:rPr>
          <w:rFonts w:ascii="Times New Roman" w:hAnsi="Times New Roman" w:hint="eastAsia"/>
          <w:kern w:val="0"/>
          <w:sz w:val="24"/>
        </w:rPr>
        <w:t>本基金增设</w:t>
      </w:r>
      <w:r w:rsidR="004D49F0">
        <w:rPr>
          <w:rFonts w:ascii="Times New Roman" w:hAnsi="Times New Roman"/>
          <w:kern w:val="0"/>
          <w:sz w:val="24"/>
        </w:rPr>
        <w:t>D</w:t>
      </w:r>
      <w:r w:rsidR="004D49F0" w:rsidRPr="00156651">
        <w:rPr>
          <w:rFonts w:ascii="Times New Roman" w:hAnsi="Times New Roman" w:hint="eastAsia"/>
          <w:kern w:val="0"/>
          <w:sz w:val="24"/>
        </w:rPr>
        <w:t>类基金份额</w:t>
      </w:r>
      <w:r w:rsidR="004D49F0">
        <w:rPr>
          <w:rFonts w:ascii="Times New Roman" w:hAnsi="Times New Roman" w:hint="eastAsia"/>
          <w:kern w:val="0"/>
          <w:sz w:val="24"/>
        </w:rPr>
        <w:t>的</w:t>
      </w:r>
      <w:r w:rsidR="004D49F0" w:rsidRPr="00156651">
        <w:rPr>
          <w:rFonts w:ascii="Times New Roman" w:hAnsi="Times New Roman" w:hint="eastAsia"/>
          <w:kern w:val="0"/>
          <w:sz w:val="24"/>
        </w:rPr>
        <w:t>相关信息</w:t>
      </w:r>
      <w:r w:rsidR="00D26D46">
        <w:rPr>
          <w:rFonts w:ascii="Times New Roman" w:hAnsi="Times New Roman" w:hint="eastAsia"/>
          <w:kern w:val="0"/>
          <w:sz w:val="24"/>
        </w:rPr>
        <w:t>、基金管理人章节</w:t>
      </w:r>
      <w:r w:rsidR="006B4211" w:rsidRPr="006B4211">
        <w:rPr>
          <w:rFonts w:ascii="Times New Roman" w:hAnsi="Times New Roman" w:hint="eastAsia"/>
          <w:kern w:val="0"/>
          <w:sz w:val="24"/>
        </w:rPr>
        <w:t>主要成员情况</w:t>
      </w:r>
      <w:r>
        <w:rPr>
          <w:rFonts w:ascii="Times New Roman" w:hAnsi="Times New Roman" w:hint="eastAsia"/>
          <w:kern w:val="0"/>
          <w:sz w:val="24"/>
        </w:rPr>
        <w:t>进行了相应更新，更新截止日为</w:t>
      </w:r>
      <w:r w:rsidR="00F73B96">
        <w:rPr>
          <w:rFonts w:ascii="Times New Roman" w:hAnsi="Times New Roman"/>
          <w:kern w:val="0"/>
          <w:sz w:val="24"/>
        </w:rPr>
        <w:t>2024</w:t>
      </w:r>
      <w:r w:rsidR="00F73B96">
        <w:rPr>
          <w:rFonts w:ascii="Times New Roman" w:hAnsi="Times New Roman" w:hint="eastAsia"/>
          <w:kern w:val="0"/>
          <w:sz w:val="24"/>
        </w:rPr>
        <w:t>年</w:t>
      </w:r>
      <w:r w:rsidR="00F90051">
        <w:rPr>
          <w:rFonts w:ascii="Times New Roman" w:hAnsi="Times New Roman" w:hint="eastAsia"/>
          <w:kern w:val="0"/>
          <w:sz w:val="24"/>
        </w:rPr>
        <w:t>9</w:t>
      </w:r>
      <w:r>
        <w:rPr>
          <w:rFonts w:ascii="Times New Roman" w:hAnsi="Times New Roman" w:hint="eastAsia"/>
          <w:kern w:val="0"/>
          <w:sz w:val="24"/>
        </w:rPr>
        <w:t>月</w:t>
      </w:r>
      <w:r w:rsidR="00F90051">
        <w:rPr>
          <w:rFonts w:ascii="Times New Roman" w:hAnsi="Times New Roman"/>
          <w:kern w:val="0"/>
          <w:sz w:val="24"/>
        </w:rPr>
        <w:t>11</w:t>
      </w:r>
      <w:r>
        <w:rPr>
          <w:rFonts w:ascii="Times New Roman" w:hAnsi="Times New Roman" w:hint="eastAsia"/>
          <w:kern w:val="0"/>
          <w:sz w:val="24"/>
        </w:rPr>
        <w:t>日；</w:t>
      </w:r>
      <w:r>
        <w:rPr>
          <w:rFonts w:ascii="Times New Roman" w:hAnsi="Times New Roman"/>
          <w:kern w:val="0"/>
          <w:sz w:val="24"/>
        </w:rPr>
        <w:t>除非另有说明，</w:t>
      </w:r>
      <w:r w:rsidR="000C1687">
        <w:rPr>
          <w:rFonts w:ascii="Times New Roman" w:hAnsi="Times New Roman"/>
          <w:kern w:val="0"/>
          <w:sz w:val="24"/>
        </w:rPr>
        <w:t>本招募说明书</w:t>
      </w:r>
      <w:r w:rsidR="00066485">
        <w:rPr>
          <w:rFonts w:ascii="Times New Roman" w:hAnsi="Times New Roman" w:hint="eastAsia"/>
          <w:kern w:val="0"/>
          <w:sz w:val="24"/>
        </w:rPr>
        <w:t>其他</w:t>
      </w:r>
      <w:r w:rsidR="000C1687">
        <w:rPr>
          <w:rFonts w:ascii="Times New Roman" w:hAnsi="Times New Roman"/>
          <w:kern w:val="0"/>
          <w:sz w:val="24"/>
        </w:rPr>
        <w:t>所载内容截止日为</w:t>
      </w:r>
      <w:r w:rsidR="000C1687">
        <w:rPr>
          <w:rFonts w:ascii="Times New Roman" w:hAnsi="Times New Roman"/>
          <w:kern w:val="0"/>
          <w:sz w:val="24"/>
        </w:rPr>
        <w:t>2023</w:t>
      </w:r>
      <w:r w:rsidR="000C1687">
        <w:rPr>
          <w:rFonts w:ascii="Times New Roman" w:hAnsi="Times New Roman"/>
          <w:kern w:val="0"/>
          <w:sz w:val="24"/>
        </w:rPr>
        <w:t>年</w:t>
      </w:r>
      <w:r w:rsidR="000C1687">
        <w:rPr>
          <w:rFonts w:ascii="Times New Roman" w:hAnsi="Times New Roman"/>
          <w:kern w:val="0"/>
          <w:sz w:val="24"/>
        </w:rPr>
        <w:t>12</w:t>
      </w:r>
      <w:r w:rsidR="000C1687">
        <w:rPr>
          <w:rFonts w:ascii="Times New Roman" w:hAnsi="Times New Roman"/>
          <w:kern w:val="0"/>
          <w:sz w:val="24"/>
        </w:rPr>
        <w:t>月</w:t>
      </w:r>
      <w:r w:rsidR="000C1687">
        <w:rPr>
          <w:rFonts w:ascii="Times New Roman" w:hAnsi="Times New Roman"/>
          <w:kern w:val="0"/>
          <w:sz w:val="24"/>
        </w:rPr>
        <w:t>03</w:t>
      </w:r>
      <w:r w:rsidR="000C1687">
        <w:rPr>
          <w:rFonts w:ascii="Times New Roman" w:hAnsi="Times New Roman"/>
          <w:kern w:val="0"/>
          <w:sz w:val="24"/>
        </w:rPr>
        <w:t>日，有关财务数据和净值表现截止日为</w:t>
      </w:r>
      <w:r w:rsidR="000C1687">
        <w:rPr>
          <w:rFonts w:ascii="Times New Roman" w:hAnsi="Times New Roman"/>
          <w:kern w:val="0"/>
          <w:sz w:val="24"/>
        </w:rPr>
        <w:t>2023</w:t>
      </w:r>
      <w:r w:rsidR="000C1687">
        <w:rPr>
          <w:rFonts w:ascii="Times New Roman" w:hAnsi="Times New Roman"/>
          <w:kern w:val="0"/>
          <w:sz w:val="24"/>
        </w:rPr>
        <w:t>年</w:t>
      </w:r>
      <w:r w:rsidR="000C1687">
        <w:rPr>
          <w:rFonts w:ascii="Times New Roman" w:hAnsi="Times New Roman"/>
          <w:kern w:val="0"/>
          <w:sz w:val="24"/>
        </w:rPr>
        <w:t>09</w:t>
      </w:r>
      <w:r w:rsidR="000C1687">
        <w:rPr>
          <w:rFonts w:ascii="Times New Roman" w:hAnsi="Times New Roman"/>
          <w:kern w:val="0"/>
          <w:sz w:val="24"/>
        </w:rPr>
        <w:t>月</w:t>
      </w:r>
      <w:r w:rsidR="000C1687">
        <w:rPr>
          <w:rFonts w:ascii="Times New Roman" w:hAnsi="Times New Roman"/>
          <w:kern w:val="0"/>
          <w:sz w:val="24"/>
        </w:rPr>
        <w:t>30</w:t>
      </w:r>
      <w:r w:rsidR="000C1687">
        <w:rPr>
          <w:rFonts w:ascii="Times New Roman" w:hAnsi="Times New Roman"/>
          <w:kern w:val="0"/>
          <w:sz w:val="24"/>
        </w:rPr>
        <w:t>日。本招募说明书所载的财务数据未经审计。</w:t>
      </w:r>
    </w:p>
    <w:p w14:paraId="01E5825A" w14:textId="77777777" w:rsidR="00CB5326" w:rsidRDefault="00CB5326">
      <w:pPr>
        <w:autoSpaceDE w:val="0"/>
        <w:autoSpaceDN w:val="0"/>
        <w:adjustRightInd w:val="0"/>
        <w:snapToGrid w:val="0"/>
        <w:spacing w:before="51" w:line="360" w:lineRule="auto"/>
        <w:ind w:left="120" w:rightChars="6" w:right="13" w:firstLine="480"/>
        <w:rPr>
          <w:rFonts w:ascii="宋体" w:hAnsi="宋体"/>
          <w:kern w:val="0"/>
          <w:szCs w:val="24"/>
        </w:rPr>
        <w:sectPr w:rsidR="00CB5326">
          <w:headerReference w:type="default" r:id="rId12"/>
          <w:pgSz w:w="11920" w:h="16840"/>
          <w:pgMar w:top="1440" w:right="1680" w:bottom="280" w:left="1680" w:header="0" w:footer="1073" w:gutter="0"/>
          <w:pgNumType w:start="1"/>
          <w:cols w:space="720"/>
        </w:sectPr>
      </w:pPr>
    </w:p>
    <w:p w14:paraId="5CC65796" w14:textId="77777777" w:rsidR="004940B8" w:rsidRPr="004940B8" w:rsidRDefault="000C1687" w:rsidP="004940B8">
      <w:pPr>
        <w:pStyle w:val="af3"/>
        <w:snapToGrid w:val="0"/>
        <w:spacing w:after="240" w:line="360" w:lineRule="auto"/>
        <w:jc w:val="center"/>
        <w:rPr>
          <w:rFonts w:ascii="宋体" w:hAnsi="宋体"/>
          <w:noProof/>
          <w:sz w:val="24"/>
        </w:rPr>
      </w:pPr>
      <w:r w:rsidRPr="004940B8">
        <w:rPr>
          <w:rFonts w:ascii="宋体" w:hAnsi="宋体"/>
          <w:color w:val="000000"/>
          <w:position w:val="-4"/>
          <w:sz w:val="24"/>
          <w:szCs w:val="30"/>
        </w:rPr>
        <w:lastRenderedPageBreak/>
        <w:t>目</w:t>
      </w:r>
      <w:r w:rsidRPr="004940B8">
        <w:rPr>
          <w:rFonts w:ascii="宋体" w:hAnsi="宋体"/>
          <w:color w:val="000000"/>
          <w:position w:val="-4"/>
          <w:sz w:val="24"/>
          <w:szCs w:val="30"/>
        </w:rPr>
        <w:tab/>
        <w:t>录</w:t>
      </w:r>
      <w:r w:rsidR="004940B8" w:rsidRPr="004940B8">
        <w:rPr>
          <w:rFonts w:ascii="宋体" w:hAnsi="宋体"/>
          <w:color w:val="000000"/>
          <w:position w:val="-4"/>
          <w:sz w:val="24"/>
          <w:szCs w:val="30"/>
        </w:rPr>
        <w:fldChar w:fldCharType="begin"/>
      </w:r>
      <w:r w:rsidR="004940B8" w:rsidRPr="004940B8">
        <w:rPr>
          <w:rFonts w:ascii="宋体" w:hAnsi="宋体"/>
          <w:color w:val="000000"/>
          <w:position w:val="-4"/>
          <w:sz w:val="24"/>
          <w:szCs w:val="30"/>
        </w:rPr>
        <w:instrText xml:space="preserve"> TOC \o "1-3" \f - \h \t "-1" </w:instrText>
      </w:r>
      <w:r w:rsidR="004940B8" w:rsidRPr="004940B8">
        <w:rPr>
          <w:rFonts w:ascii="宋体" w:hAnsi="宋体"/>
          <w:color w:val="000000"/>
          <w:position w:val="-4"/>
          <w:sz w:val="24"/>
          <w:szCs w:val="30"/>
        </w:rPr>
        <w:fldChar w:fldCharType="separate"/>
      </w:r>
    </w:p>
    <w:p w14:paraId="401B0BBB" w14:textId="5A37616D" w:rsidR="004940B8" w:rsidRPr="001363AD" w:rsidRDefault="0001347D" w:rsidP="004940B8">
      <w:pPr>
        <w:pStyle w:val="11"/>
        <w:tabs>
          <w:tab w:val="right" w:leader="dot" w:pos="8550"/>
        </w:tabs>
        <w:spacing w:line="360" w:lineRule="auto"/>
        <w:rPr>
          <w:rFonts w:ascii="宋体" w:hAnsi="宋体"/>
          <w:noProof/>
          <w:sz w:val="24"/>
        </w:rPr>
      </w:pPr>
      <w:hyperlink w:anchor="_Toc154495290" w:history="1">
        <w:r w:rsidR="004940B8" w:rsidRPr="004940B8">
          <w:rPr>
            <w:rStyle w:val="af0"/>
            <w:rFonts w:ascii="宋体" w:hAnsi="宋体" w:hint="eastAsia"/>
            <w:noProof/>
            <w:kern w:val="0"/>
            <w:sz w:val="24"/>
          </w:rPr>
          <w:t>重要提示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_Toc154495290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w:t>
        </w:r>
        <w:r w:rsidR="004940B8" w:rsidRPr="004940B8">
          <w:rPr>
            <w:rFonts w:ascii="宋体" w:hAnsi="宋体"/>
            <w:noProof/>
            <w:sz w:val="24"/>
          </w:rPr>
          <w:fldChar w:fldCharType="end"/>
        </w:r>
      </w:hyperlink>
    </w:p>
    <w:p w14:paraId="689DE789" w14:textId="2E6AB11C" w:rsidR="004940B8" w:rsidRPr="001363AD" w:rsidRDefault="0001347D" w:rsidP="004940B8">
      <w:pPr>
        <w:pStyle w:val="11"/>
        <w:tabs>
          <w:tab w:val="right" w:leader="dot" w:pos="8550"/>
        </w:tabs>
        <w:spacing w:line="360" w:lineRule="auto"/>
        <w:rPr>
          <w:rFonts w:ascii="宋体" w:hAnsi="宋体"/>
          <w:noProof/>
          <w:sz w:val="24"/>
        </w:rPr>
      </w:pPr>
      <w:hyperlink w:anchor="_Toc154495291" w:history="1">
        <w:r w:rsidR="004940B8" w:rsidRPr="004940B8">
          <w:rPr>
            <w:rStyle w:val="af0"/>
            <w:rFonts w:ascii="宋体" w:hAnsi="宋体" w:hint="eastAsia"/>
            <w:noProof/>
            <w:sz w:val="24"/>
          </w:rPr>
          <w:t>一、绪言</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_Toc154495291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4</w:t>
        </w:r>
        <w:r w:rsidR="004940B8" w:rsidRPr="004940B8">
          <w:rPr>
            <w:rFonts w:ascii="宋体" w:hAnsi="宋体"/>
            <w:noProof/>
            <w:sz w:val="24"/>
          </w:rPr>
          <w:fldChar w:fldCharType="end"/>
        </w:r>
      </w:hyperlink>
    </w:p>
    <w:p w14:paraId="0CC87479" w14:textId="572C1BA8" w:rsidR="004940B8" w:rsidRPr="001363AD" w:rsidRDefault="0001347D" w:rsidP="004940B8">
      <w:pPr>
        <w:pStyle w:val="11"/>
        <w:tabs>
          <w:tab w:val="right" w:leader="dot" w:pos="8550"/>
        </w:tabs>
        <w:spacing w:line="360" w:lineRule="auto"/>
        <w:rPr>
          <w:rFonts w:ascii="宋体" w:hAnsi="宋体"/>
          <w:noProof/>
          <w:sz w:val="24"/>
        </w:rPr>
      </w:pPr>
      <w:hyperlink w:anchor="_Toc154495292" w:history="1">
        <w:r w:rsidR="004940B8" w:rsidRPr="004940B8">
          <w:rPr>
            <w:rStyle w:val="af0"/>
            <w:rFonts w:ascii="宋体" w:hAnsi="宋体" w:hint="eastAsia"/>
            <w:noProof/>
            <w:sz w:val="24"/>
          </w:rPr>
          <w:t>二、释义</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_Toc154495292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5</w:t>
        </w:r>
        <w:r w:rsidR="004940B8" w:rsidRPr="004940B8">
          <w:rPr>
            <w:rFonts w:ascii="宋体" w:hAnsi="宋体"/>
            <w:noProof/>
            <w:sz w:val="24"/>
          </w:rPr>
          <w:fldChar w:fldCharType="end"/>
        </w:r>
      </w:hyperlink>
    </w:p>
    <w:p w14:paraId="0129098C" w14:textId="035F9D1D" w:rsidR="004940B8" w:rsidRPr="001363AD" w:rsidRDefault="0001347D" w:rsidP="004940B8">
      <w:pPr>
        <w:pStyle w:val="11"/>
        <w:tabs>
          <w:tab w:val="right" w:leader="dot" w:pos="8550"/>
        </w:tabs>
        <w:spacing w:line="360" w:lineRule="auto"/>
        <w:rPr>
          <w:rFonts w:ascii="宋体" w:hAnsi="宋体"/>
          <w:noProof/>
          <w:sz w:val="24"/>
        </w:rPr>
      </w:pPr>
      <w:hyperlink w:anchor="_Toc154495293" w:history="1">
        <w:r w:rsidR="004940B8" w:rsidRPr="004940B8">
          <w:rPr>
            <w:rStyle w:val="af0"/>
            <w:rFonts w:ascii="宋体" w:hAnsi="宋体" w:hint="eastAsia"/>
            <w:noProof/>
            <w:sz w:val="24"/>
          </w:rPr>
          <w:t>三、基金管理人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_Toc154495293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11</w:t>
        </w:r>
        <w:r w:rsidR="004940B8" w:rsidRPr="004940B8">
          <w:rPr>
            <w:rFonts w:ascii="宋体" w:hAnsi="宋体"/>
            <w:noProof/>
            <w:sz w:val="24"/>
          </w:rPr>
          <w:fldChar w:fldCharType="end"/>
        </w:r>
      </w:hyperlink>
    </w:p>
    <w:p w14:paraId="1E5FED32" w14:textId="7FC7E3DF" w:rsidR="004940B8" w:rsidRPr="001363AD" w:rsidRDefault="0001347D" w:rsidP="004940B8">
      <w:pPr>
        <w:pStyle w:val="11"/>
        <w:tabs>
          <w:tab w:val="right" w:leader="dot" w:pos="8550"/>
        </w:tabs>
        <w:spacing w:line="360" w:lineRule="auto"/>
        <w:rPr>
          <w:rFonts w:ascii="宋体" w:hAnsi="宋体"/>
          <w:noProof/>
          <w:sz w:val="24"/>
        </w:rPr>
      </w:pPr>
      <w:hyperlink w:anchor="_Toc154495294" w:history="1">
        <w:r w:rsidR="004940B8" w:rsidRPr="004940B8">
          <w:rPr>
            <w:rStyle w:val="af0"/>
            <w:rFonts w:ascii="宋体" w:hAnsi="宋体" w:hint="eastAsia"/>
            <w:noProof/>
            <w:sz w:val="24"/>
          </w:rPr>
          <w:t>四、基金托管人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_Toc154495294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20</w:t>
        </w:r>
        <w:r w:rsidR="004940B8" w:rsidRPr="004940B8">
          <w:rPr>
            <w:rFonts w:ascii="宋体" w:hAnsi="宋体"/>
            <w:noProof/>
            <w:sz w:val="24"/>
          </w:rPr>
          <w:fldChar w:fldCharType="end"/>
        </w:r>
      </w:hyperlink>
    </w:p>
    <w:p w14:paraId="611B4685" w14:textId="5A43E309" w:rsidR="004940B8" w:rsidRPr="001363AD" w:rsidRDefault="0001347D" w:rsidP="004940B8">
      <w:pPr>
        <w:pStyle w:val="11"/>
        <w:tabs>
          <w:tab w:val="right" w:leader="dot" w:pos="8550"/>
        </w:tabs>
        <w:spacing w:line="360" w:lineRule="auto"/>
        <w:rPr>
          <w:rFonts w:ascii="宋体" w:hAnsi="宋体"/>
          <w:noProof/>
          <w:sz w:val="24"/>
        </w:rPr>
      </w:pPr>
      <w:hyperlink w:anchor="_Toc154495295" w:history="1">
        <w:r w:rsidR="004940B8" w:rsidRPr="004940B8">
          <w:rPr>
            <w:rStyle w:val="af0"/>
            <w:rFonts w:ascii="宋体" w:hAnsi="宋体" w:hint="eastAsia"/>
            <w:noProof/>
            <w:sz w:val="24"/>
          </w:rPr>
          <w:t>五、相关服</w:t>
        </w:r>
        <w:bookmarkStart w:id="3" w:name="_GoBack"/>
        <w:bookmarkEnd w:id="3"/>
        <w:r w:rsidR="004940B8" w:rsidRPr="004940B8">
          <w:rPr>
            <w:rStyle w:val="af0"/>
            <w:rFonts w:ascii="宋体" w:hAnsi="宋体" w:hint="eastAsia"/>
            <w:noProof/>
            <w:sz w:val="24"/>
          </w:rPr>
          <w:t>务机构</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_Toc154495295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23</w:t>
        </w:r>
        <w:r w:rsidR="004940B8" w:rsidRPr="004940B8">
          <w:rPr>
            <w:rFonts w:ascii="宋体" w:hAnsi="宋体"/>
            <w:noProof/>
            <w:sz w:val="24"/>
          </w:rPr>
          <w:fldChar w:fldCharType="end"/>
        </w:r>
      </w:hyperlink>
    </w:p>
    <w:p w14:paraId="6E6D39DD" w14:textId="68070304" w:rsidR="004940B8" w:rsidRPr="001363AD" w:rsidRDefault="0001347D" w:rsidP="004940B8">
      <w:pPr>
        <w:pStyle w:val="11"/>
        <w:tabs>
          <w:tab w:val="right" w:leader="dot" w:pos="8550"/>
        </w:tabs>
        <w:spacing w:line="360" w:lineRule="auto"/>
        <w:rPr>
          <w:rFonts w:ascii="宋体" w:hAnsi="宋体"/>
          <w:noProof/>
          <w:sz w:val="24"/>
        </w:rPr>
      </w:pPr>
      <w:hyperlink w:anchor="_Toc154495296" w:history="1">
        <w:r w:rsidR="004940B8" w:rsidRPr="004940B8">
          <w:rPr>
            <w:rStyle w:val="af0"/>
            <w:rFonts w:ascii="宋体" w:hAnsi="宋体" w:hint="eastAsia"/>
            <w:noProof/>
            <w:sz w:val="24"/>
          </w:rPr>
          <w:t>六、基金的历史沿革</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_Toc154495296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59</w:t>
        </w:r>
        <w:r w:rsidR="004940B8" w:rsidRPr="004940B8">
          <w:rPr>
            <w:rFonts w:ascii="宋体" w:hAnsi="宋体"/>
            <w:noProof/>
            <w:sz w:val="24"/>
          </w:rPr>
          <w:fldChar w:fldCharType="end"/>
        </w:r>
      </w:hyperlink>
    </w:p>
    <w:p w14:paraId="6F51B7D6" w14:textId="0C168696" w:rsidR="004940B8" w:rsidRPr="001363AD" w:rsidRDefault="0001347D" w:rsidP="004940B8">
      <w:pPr>
        <w:pStyle w:val="11"/>
        <w:tabs>
          <w:tab w:val="right" w:leader="dot" w:pos="8550"/>
        </w:tabs>
        <w:spacing w:line="360" w:lineRule="auto"/>
        <w:rPr>
          <w:rFonts w:ascii="宋体" w:hAnsi="宋体"/>
          <w:noProof/>
          <w:sz w:val="24"/>
        </w:rPr>
      </w:pPr>
      <w:hyperlink w:anchor="_Toc154495297" w:history="1">
        <w:r w:rsidR="004940B8" w:rsidRPr="004940B8">
          <w:rPr>
            <w:rStyle w:val="af0"/>
            <w:rFonts w:ascii="宋体" w:hAnsi="宋体" w:hint="eastAsia"/>
            <w:noProof/>
            <w:sz w:val="24"/>
          </w:rPr>
          <w:t>七</w:t>
        </w:r>
        <w:r w:rsidR="004940B8" w:rsidRPr="004940B8">
          <w:rPr>
            <w:rStyle w:val="af0"/>
            <w:rFonts w:ascii="宋体" w:hAnsi="宋体"/>
            <w:noProof/>
            <w:sz w:val="24"/>
          </w:rPr>
          <w:t xml:space="preserve"> </w:t>
        </w:r>
        <w:r w:rsidR="004940B8" w:rsidRPr="004940B8">
          <w:rPr>
            <w:rStyle w:val="af0"/>
            <w:rFonts w:ascii="宋体" w:hAnsi="宋体" w:hint="eastAsia"/>
            <w:noProof/>
            <w:sz w:val="24"/>
          </w:rPr>
          <w:t>、基金合同的生效</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_Toc154495297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60</w:t>
        </w:r>
        <w:r w:rsidR="004940B8" w:rsidRPr="004940B8">
          <w:rPr>
            <w:rFonts w:ascii="宋体" w:hAnsi="宋体"/>
            <w:noProof/>
            <w:sz w:val="24"/>
          </w:rPr>
          <w:fldChar w:fldCharType="end"/>
        </w:r>
      </w:hyperlink>
    </w:p>
    <w:p w14:paraId="2D0683F4" w14:textId="0CB77A0B" w:rsidR="004940B8" w:rsidRPr="001363AD" w:rsidRDefault="0001347D" w:rsidP="004940B8">
      <w:pPr>
        <w:pStyle w:val="11"/>
        <w:tabs>
          <w:tab w:val="right" w:leader="dot" w:pos="8550"/>
        </w:tabs>
        <w:spacing w:line="360" w:lineRule="auto"/>
        <w:rPr>
          <w:rFonts w:ascii="宋体" w:hAnsi="宋体"/>
          <w:noProof/>
          <w:sz w:val="24"/>
        </w:rPr>
      </w:pPr>
      <w:hyperlink w:anchor="_Toc154495298" w:history="1">
        <w:r w:rsidR="004940B8" w:rsidRPr="004940B8">
          <w:rPr>
            <w:rStyle w:val="af0"/>
            <w:rFonts w:ascii="宋体" w:hAnsi="宋体" w:hint="eastAsia"/>
            <w:noProof/>
            <w:sz w:val="24"/>
          </w:rPr>
          <w:t>八、基金份额的申购与赎回</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_Toc154495298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61</w:t>
        </w:r>
        <w:r w:rsidR="004940B8" w:rsidRPr="004940B8">
          <w:rPr>
            <w:rFonts w:ascii="宋体" w:hAnsi="宋体"/>
            <w:noProof/>
            <w:sz w:val="24"/>
          </w:rPr>
          <w:fldChar w:fldCharType="end"/>
        </w:r>
      </w:hyperlink>
    </w:p>
    <w:p w14:paraId="6E01012D" w14:textId="5930941B" w:rsidR="004940B8" w:rsidRPr="001363AD" w:rsidRDefault="0001347D" w:rsidP="004940B8">
      <w:pPr>
        <w:pStyle w:val="11"/>
        <w:tabs>
          <w:tab w:val="right" w:leader="dot" w:pos="8550"/>
        </w:tabs>
        <w:spacing w:line="360" w:lineRule="auto"/>
        <w:rPr>
          <w:rFonts w:ascii="宋体" w:hAnsi="宋体"/>
          <w:noProof/>
          <w:sz w:val="24"/>
        </w:rPr>
      </w:pPr>
      <w:hyperlink w:anchor="_Toc154495299" w:history="1">
        <w:r w:rsidR="004940B8" w:rsidRPr="004940B8">
          <w:rPr>
            <w:rStyle w:val="af0"/>
            <w:rFonts w:ascii="宋体" w:hAnsi="宋体" w:hint="eastAsia"/>
            <w:noProof/>
            <w:sz w:val="24"/>
          </w:rPr>
          <w:t>九、基金的转换</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_Toc154495299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77</w:t>
        </w:r>
        <w:r w:rsidR="004940B8" w:rsidRPr="004940B8">
          <w:rPr>
            <w:rFonts w:ascii="宋体" w:hAnsi="宋体"/>
            <w:noProof/>
            <w:sz w:val="24"/>
          </w:rPr>
          <w:fldChar w:fldCharType="end"/>
        </w:r>
      </w:hyperlink>
    </w:p>
    <w:p w14:paraId="37971DE0" w14:textId="0518F244" w:rsidR="004940B8" w:rsidRPr="001363AD" w:rsidRDefault="0001347D" w:rsidP="004940B8">
      <w:pPr>
        <w:pStyle w:val="11"/>
        <w:tabs>
          <w:tab w:val="right" w:leader="dot" w:pos="8550"/>
        </w:tabs>
        <w:spacing w:line="360" w:lineRule="auto"/>
        <w:rPr>
          <w:rFonts w:ascii="宋体" w:hAnsi="宋体"/>
          <w:noProof/>
          <w:sz w:val="24"/>
        </w:rPr>
      </w:pPr>
      <w:hyperlink w:anchor="_Toc154495300" w:history="1">
        <w:r w:rsidR="004940B8" w:rsidRPr="004940B8">
          <w:rPr>
            <w:rStyle w:val="af0"/>
            <w:rFonts w:ascii="宋体" w:hAnsi="宋体" w:hint="eastAsia"/>
            <w:noProof/>
            <w:sz w:val="24"/>
          </w:rPr>
          <w:t>十、基金的投资</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_Toc154495300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84</w:t>
        </w:r>
        <w:r w:rsidR="004940B8" w:rsidRPr="004940B8">
          <w:rPr>
            <w:rFonts w:ascii="宋体" w:hAnsi="宋体"/>
            <w:noProof/>
            <w:sz w:val="24"/>
          </w:rPr>
          <w:fldChar w:fldCharType="end"/>
        </w:r>
      </w:hyperlink>
    </w:p>
    <w:p w14:paraId="3B61DE09" w14:textId="5FD2B42B" w:rsidR="004940B8" w:rsidRPr="001363AD" w:rsidRDefault="0001347D" w:rsidP="004940B8">
      <w:pPr>
        <w:pStyle w:val="11"/>
        <w:tabs>
          <w:tab w:val="right" w:leader="dot" w:pos="8550"/>
        </w:tabs>
        <w:spacing w:line="360" w:lineRule="auto"/>
        <w:rPr>
          <w:rFonts w:ascii="宋体" w:hAnsi="宋体"/>
          <w:noProof/>
          <w:sz w:val="24"/>
        </w:rPr>
      </w:pPr>
      <w:hyperlink w:anchor="_Toc154495301" w:history="1">
        <w:r w:rsidR="004940B8" w:rsidRPr="004940B8">
          <w:rPr>
            <w:rStyle w:val="af0"/>
            <w:rFonts w:ascii="宋体" w:hAnsi="宋体" w:hint="eastAsia"/>
            <w:noProof/>
            <w:sz w:val="24"/>
          </w:rPr>
          <w:t>十一、基金的业绩</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_Toc154495301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95</w:t>
        </w:r>
        <w:r w:rsidR="004940B8" w:rsidRPr="004940B8">
          <w:rPr>
            <w:rFonts w:ascii="宋体" w:hAnsi="宋体"/>
            <w:noProof/>
            <w:sz w:val="24"/>
          </w:rPr>
          <w:fldChar w:fldCharType="end"/>
        </w:r>
      </w:hyperlink>
    </w:p>
    <w:p w14:paraId="348FD9EF" w14:textId="0FC3356E" w:rsidR="004940B8" w:rsidRPr="001363AD" w:rsidRDefault="0001347D" w:rsidP="004940B8">
      <w:pPr>
        <w:pStyle w:val="11"/>
        <w:tabs>
          <w:tab w:val="right" w:leader="dot" w:pos="8550"/>
        </w:tabs>
        <w:spacing w:line="360" w:lineRule="auto"/>
        <w:rPr>
          <w:rFonts w:ascii="宋体" w:hAnsi="宋体"/>
          <w:noProof/>
          <w:sz w:val="24"/>
        </w:rPr>
      </w:pPr>
      <w:hyperlink w:anchor="_Toc154495302" w:history="1">
        <w:r w:rsidR="004940B8" w:rsidRPr="004940B8">
          <w:rPr>
            <w:rStyle w:val="af0"/>
            <w:rFonts w:ascii="宋体" w:hAnsi="宋体" w:hint="eastAsia"/>
            <w:noProof/>
            <w:sz w:val="24"/>
          </w:rPr>
          <w:t>十二、基金的财产</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_Toc154495302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99</w:t>
        </w:r>
        <w:r w:rsidR="004940B8" w:rsidRPr="004940B8">
          <w:rPr>
            <w:rFonts w:ascii="宋体" w:hAnsi="宋体"/>
            <w:noProof/>
            <w:sz w:val="24"/>
          </w:rPr>
          <w:fldChar w:fldCharType="end"/>
        </w:r>
      </w:hyperlink>
    </w:p>
    <w:p w14:paraId="0DA8776D" w14:textId="33E4F237" w:rsidR="004940B8" w:rsidRPr="001363AD" w:rsidRDefault="0001347D" w:rsidP="004940B8">
      <w:pPr>
        <w:pStyle w:val="11"/>
        <w:tabs>
          <w:tab w:val="right" w:leader="dot" w:pos="8550"/>
        </w:tabs>
        <w:spacing w:line="360" w:lineRule="auto"/>
        <w:rPr>
          <w:rFonts w:ascii="宋体" w:hAnsi="宋体"/>
          <w:noProof/>
          <w:sz w:val="24"/>
        </w:rPr>
      </w:pPr>
      <w:hyperlink w:anchor="_Toc154495303" w:history="1">
        <w:r w:rsidR="004940B8" w:rsidRPr="004940B8">
          <w:rPr>
            <w:rStyle w:val="af0"/>
            <w:rFonts w:ascii="宋体" w:hAnsi="宋体" w:hint="eastAsia"/>
            <w:noProof/>
            <w:sz w:val="24"/>
          </w:rPr>
          <w:t>十三、基金资产的估值</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_Toc154495303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100</w:t>
        </w:r>
        <w:r w:rsidR="004940B8" w:rsidRPr="004940B8">
          <w:rPr>
            <w:rFonts w:ascii="宋体" w:hAnsi="宋体"/>
            <w:noProof/>
            <w:sz w:val="24"/>
          </w:rPr>
          <w:fldChar w:fldCharType="end"/>
        </w:r>
      </w:hyperlink>
    </w:p>
    <w:p w14:paraId="12FA3CA9" w14:textId="701CD2D0" w:rsidR="004940B8" w:rsidRPr="001363AD" w:rsidRDefault="0001347D" w:rsidP="004940B8">
      <w:pPr>
        <w:pStyle w:val="11"/>
        <w:tabs>
          <w:tab w:val="right" w:leader="dot" w:pos="8550"/>
        </w:tabs>
        <w:spacing w:line="360" w:lineRule="auto"/>
        <w:rPr>
          <w:rFonts w:ascii="宋体" w:hAnsi="宋体"/>
          <w:noProof/>
          <w:sz w:val="24"/>
        </w:rPr>
      </w:pPr>
      <w:hyperlink w:anchor="_Toc154495304" w:history="1">
        <w:r w:rsidR="004940B8" w:rsidRPr="004940B8">
          <w:rPr>
            <w:rStyle w:val="af0"/>
            <w:rFonts w:ascii="宋体" w:hAnsi="宋体" w:hint="eastAsia"/>
            <w:noProof/>
            <w:sz w:val="24"/>
          </w:rPr>
          <w:t>十四、基金的收益与分配</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_Toc154495304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107</w:t>
        </w:r>
        <w:r w:rsidR="004940B8" w:rsidRPr="004940B8">
          <w:rPr>
            <w:rFonts w:ascii="宋体" w:hAnsi="宋体"/>
            <w:noProof/>
            <w:sz w:val="24"/>
          </w:rPr>
          <w:fldChar w:fldCharType="end"/>
        </w:r>
      </w:hyperlink>
    </w:p>
    <w:p w14:paraId="24F5CB61" w14:textId="1E3C1874" w:rsidR="004940B8" w:rsidRPr="001363AD" w:rsidRDefault="0001347D" w:rsidP="004940B8">
      <w:pPr>
        <w:pStyle w:val="11"/>
        <w:tabs>
          <w:tab w:val="right" w:leader="dot" w:pos="8550"/>
        </w:tabs>
        <w:spacing w:line="360" w:lineRule="auto"/>
        <w:rPr>
          <w:rFonts w:ascii="宋体" w:hAnsi="宋体"/>
          <w:noProof/>
          <w:sz w:val="24"/>
        </w:rPr>
      </w:pPr>
      <w:hyperlink w:anchor="_Toc154495305" w:history="1">
        <w:r w:rsidR="004940B8" w:rsidRPr="004940B8">
          <w:rPr>
            <w:rStyle w:val="af0"/>
            <w:rFonts w:ascii="宋体" w:hAnsi="宋体" w:hint="eastAsia"/>
            <w:noProof/>
            <w:sz w:val="24"/>
          </w:rPr>
          <w:t>十五、基金的费用与税收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_Toc154495305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109</w:t>
        </w:r>
        <w:r w:rsidR="004940B8" w:rsidRPr="004940B8">
          <w:rPr>
            <w:rFonts w:ascii="宋体" w:hAnsi="宋体"/>
            <w:noProof/>
            <w:sz w:val="24"/>
          </w:rPr>
          <w:fldChar w:fldCharType="end"/>
        </w:r>
      </w:hyperlink>
    </w:p>
    <w:p w14:paraId="0488139F" w14:textId="0A082632" w:rsidR="004940B8" w:rsidRPr="001363AD" w:rsidRDefault="0001347D" w:rsidP="004940B8">
      <w:pPr>
        <w:pStyle w:val="11"/>
        <w:tabs>
          <w:tab w:val="right" w:leader="dot" w:pos="8550"/>
        </w:tabs>
        <w:spacing w:line="360" w:lineRule="auto"/>
        <w:rPr>
          <w:rFonts w:ascii="宋体" w:hAnsi="宋体"/>
          <w:noProof/>
          <w:sz w:val="24"/>
        </w:rPr>
      </w:pPr>
      <w:hyperlink w:anchor="_Toc154495306" w:history="1">
        <w:r w:rsidR="004940B8" w:rsidRPr="004940B8">
          <w:rPr>
            <w:rStyle w:val="af0"/>
            <w:rFonts w:ascii="宋体" w:hAnsi="宋体" w:hint="eastAsia"/>
            <w:noProof/>
            <w:sz w:val="24"/>
          </w:rPr>
          <w:t>十六、基金的会计与审计</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_Toc154495306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112</w:t>
        </w:r>
        <w:r w:rsidR="004940B8" w:rsidRPr="004940B8">
          <w:rPr>
            <w:rFonts w:ascii="宋体" w:hAnsi="宋体"/>
            <w:noProof/>
            <w:sz w:val="24"/>
          </w:rPr>
          <w:fldChar w:fldCharType="end"/>
        </w:r>
      </w:hyperlink>
    </w:p>
    <w:p w14:paraId="736563E5" w14:textId="49F06B6A" w:rsidR="004940B8" w:rsidRPr="001363AD" w:rsidRDefault="0001347D" w:rsidP="004940B8">
      <w:pPr>
        <w:pStyle w:val="11"/>
        <w:tabs>
          <w:tab w:val="right" w:leader="dot" w:pos="8550"/>
        </w:tabs>
        <w:spacing w:line="360" w:lineRule="auto"/>
        <w:rPr>
          <w:rFonts w:ascii="宋体" w:hAnsi="宋体"/>
          <w:noProof/>
          <w:sz w:val="24"/>
        </w:rPr>
      </w:pPr>
      <w:hyperlink w:anchor="_Toc154495307" w:history="1">
        <w:r w:rsidR="004940B8" w:rsidRPr="004940B8">
          <w:rPr>
            <w:rStyle w:val="af0"/>
            <w:rFonts w:ascii="宋体" w:hAnsi="宋体" w:hint="eastAsia"/>
            <w:noProof/>
            <w:sz w:val="24"/>
          </w:rPr>
          <w:t>十七、基金的信息披露</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_Toc154495307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113</w:t>
        </w:r>
        <w:r w:rsidR="004940B8" w:rsidRPr="004940B8">
          <w:rPr>
            <w:rFonts w:ascii="宋体" w:hAnsi="宋体"/>
            <w:noProof/>
            <w:sz w:val="24"/>
          </w:rPr>
          <w:fldChar w:fldCharType="end"/>
        </w:r>
      </w:hyperlink>
    </w:p>
    <w:p w14:paraId="13B63DAF" w14:textId="39A86A7C" w:rsidR="004940B8" w:rsidRPr="001363AD" w:rsidRDefault="0001347D" w:rsidP="004940B8">
      <w:pPr>
        <w:pStyle w:val="11"/>
        <w:tabs>
          <w:tab w:val="right" w:leader="dot" w:pos="8550"/>
        </w:tabs>
        <w:spacing w:line="360" w:lineRule="auto"/>
        <w:rPr>
          <w:rFonts w:ascii="宋体" w:hAnsi="宋体"/>
          <w:noProof/>
          <w:sz w:val="24"/>
        </w:rPr>
      </w:pPr>
      <w:hyperlink w:anchor="_Toc154495308" w:history="1">
        <w:r w:rsidR="004940B8" w:rsidRPr="004940B8">
          <w:rPr>
            <w:rStyle w:val="af0"/>
            <w:rFonts w:ascii="宋体" w:hAnsi="宋体" w:hint="eastAsia"/>
            <w:noProof/>
            <w:sz w:val="24"/>
          </w:rPr>
          <w:t>十八、侧袋机制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_Toc154495308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119</w:t>
        </w:r>
        <w:r w:rsidR="004940B8" w:rsidRPr="004940B8">
          <w:rPr>
            <w:rFonts w:ascii="宋体" w:hAnsi="宋体"/>
            <w:noProof/>
            <w:sz w:val="24"/>
          </w:rPr>
          <w:fldChar w:fldCharType="end"/>
        </w:r>
      </w:hyperlink>
    </w:p>
    <w:p w14:paraId="51690EDB" w14:textId="29A2DFBA" w:rsidR="004940B8" w:rsidRPr="001363AD" w:rsidRDefault="0001347D" w:rsidP="004940B8">
      <w:pPr>
        <w:pStyle w:val="11"/>
        <w:tabs>
          <w:tab w:val="right" w:leader="dot" w:pos="8550"/>
        </w:tabs>
        <w:spacing w:line="360" w:lineRule="auto"/>
        <w:rPr>
          <w:rFonts w:ascii="宋体" w:hAnsi="宋体"/>
          <w:noProof/>
          <w:sz w:val="24"/>
        </w:rPr>
      </w:pPr>
      <w:hyperlink w:anchor="_Toc154495309" w:history="1">
        <w:r w:rsidR="004940B8" w:rsidRPr="004940B8">
          <w:rPr>
            <w:rStyle w:val="af0"/>
            <w:rFonts w:ascii="宋体" w:hAnsi="宋体" w:hint="eastAsia"/>
            <w:noProof/>
            <w:sz w:val="24"/>
          </w:rPr>
          <w:t>十九、风险揭示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_Toc154495309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122</w:t>
        </w:r>
        <w:r w:rsidR="004940B8" w:rsidRPr="004940B8">
          <w:rPr>
            <w:rFonts w:ascii="宋体" w:hAnsi="宋体"/>
            <w:noProof/>
            <w:sz w:val="24"/>
          </w:rPr>
          <w:fldChar w:fldCharType="end"/>
        </w:r>
      </w:hyperlink>
    </w:p>
    <w:p w14:paraId="466BCECF" w14:textId="3699AB64" w:rsidR="004940B8" w:rsidRPr="001363AD" w:rsidRDefault="0001347D" w:rsidP="004940B8">
      <w:pPr>
        <w:pStyle w:val="11"/>
        <w:tabs>
          <w:tab w:val="right" w:leader="dot" w:pos="8550"/>
        </w:tabs>
        <w:spacing w:line="360" w:lineRule="auto"/>
        <w:rPr>
          <w:rFonts w:ascii="宋体" w:hAnsi="宋体"/>
          <w:noProof/>
          <w:sz w:val="24"/>
        </w:rPr>
      </w:pPr>
      <w:hyperlink w:anchor="_Toc154495310" w:history="1">
        <w:r w:rsidR="004940B8" w:rsidRPr="004940B8">
          <w:rPr>
            <w:rStyle w:val="af0"/>
            <w:rFonts w:ascii="宋体" w:hAnsi="宋体" w:hint="eastAsia"/>
            <w:noProof/>
            <w:sz w:val="24"/>
          </w:rPr>
          <w:t>二十、基金合同的终止与基金财产的清算</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_Toc154495310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128</w:t>
        </w:r>
        <w:r w:rsidR="004940B8" w:rsidRPr="004940B8">
          <w:rPr>
            <w:rFonts w:ascii="宋体" w:hAnsi="宋体"/>
            <w:noProof/>
            <w:sz w:val="24"/>
          </w:rPr>
          <w:fldChar w:fldCharType="end"/>
        </w:r>
      </w:hyperlink>
    </w:p>
    <w:p w14:paraId="30E9C094" w14:textId="6086CCFA" w:rsidR="004940B8" w:rsidRPr="001363AD" w:rsidRDefault="0001347D" w:rsidP="004940B8">
      <w:pPr>
        <w:pStyle w:val="11"/>
        <w:tabs>
          <w:tab w:val="right" w:leader="dot" w:pos="8550"/>
        </w:tabs>
        <w:spacing w:line="360" w:lineRule="auto"/>
        <w:rPr>
          <w:rFonts w:ascii="宋体" w:hAnsi="宋体"/>
          <w:noProof/>
          <w:sz w:val="24"/>
        </w:rPr>
      </w:pPr>
      <w:hyperlink w:anchor="_Toc154495311" w:history="1">
        <w:r w:rsidR="004940B8" w:rsidRPr="004940B8">
          <w:rPr>
            <w:rStyle w:val="af0"/>
            <w:rFonts w:ascii="宋体" w:hAnsi="宋体" w:hint="eastAsia"/>
            <w:noProof/>
            <w:sz w:val="24"/>
          </w:rPr>
          <w:t>二十一、基金合同内容摘要</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_Toc154495311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130</w:t>
        </w:r>
        <w:r w:rsidR="004940B8" w:rsidRPr="004940B8">
          <w:rPr>
            <w:rFonts w:ascii="宋体" w:hAnsi="宋体"/>
            <w:noProof/>
            <w:sz w:val="24"/>
          </w:rPr>
          <w:fldChar w:fldCharType="end"/>
        </w:r>
      </w:hyperlink>
    </w:p>
    <w:p w14:paraId="128DBE64" w14:textId="71AFC321" w:rsidR="004940B8" w:rsidRPr="001363AD" w:rsidRDefault="0001347D" w:rsidP="004940B8">
      <w:pPr>
        <w:pStyle w:val="11"/>
        <w:tabs>
          <w:tab w:val="right" w:leader="dot" w:pos="8550"/>
        </w:tabs>
        <w:spacing w:line="360" w:lineRule="auto"/>
        <w:rPr>
          <w:rFonts w:ascii="宋体" w:hAnsi="宋体"/>
          <w:noProof/>
          <w:sz w:val="24"/>
        </w:rPr>
      </w:pPr>
      <w:hyperlink w:anchor="_Toc154495312" w:history="1">
        <w:r w:rsidR="004940B8" w:rsidRPr="004940B8">
          <w:rPr>
            <w:rStyle w:val="af0"/>
            <w:rFonts w:ascii="宋体" w:hAnsi="宋体" w:hint="eastAsia"/>
            <w:noProof/>
            <w:sz w:val="24"/>
          </w:rPr>
          <w:t>二十二、托管协议的内容摘要</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_Toc154495312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146</w:t>
        </w:r>
        <w:r w:rsidR="004940B8" w:rsidRPr="004940B8">
          <w:rPr>
            <w:rFonts w:ascii="宋体" w:hAnsi="宋体"/>
            <w:noProof/>
            <w:sz w:val="24"/>
          </w:rPr>
          <w:fldChar w:fldCharType="end"/>
        </w:r>
      </w:hyperlink>
    </w:p>
    <w:p w14:paraId="62CDC6E3" w14:textId="5267B8EF" w:rsidR="004940B8" w:rsidRPr="001363AD" w:rsidRDefault="0001347D" w:rsidP="004940B8">
      <w:pPr>
        <w:pStyle w:val="11"/>
        <w:tabs>
          <w:tab w:val="right" w:leader="dot" w:pos="8550"/>
        </w:tabs>
        <w:spacing w:line="360" w:lineRule="auto"/>
        <w:rPr>
          <w:rFonts w:ascii="宋体" w:hAnsi="宋体"/>
          <w:noProof/>
          <w:sz w:val="24"/>
        </w:rPr>
      </w:pPr>
      <w:hyperlink w:anchor="_Toc154495313" w:history="1">
        <w:r w:rsidR="004940B8" w:rsidRPr="004940B8">
          <w:rPr>
            <w:rStyle w:val="af0"/>
            <w:rFonts w:ascii="宋体" w:hAnsi="宋体" w:hint="eastAsia"/>
            <w:noProof/>
            <w:sz w:val="24"/>
          </w:rPr>
          <w:t>二十三、对基金份额持有人的服务</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_Toc154495313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163</w:t>
        </w:r>
        <w:r w:rsidR="004940B8" w:rsidRPr="004940B8">
          <w:rPr>
            <w:rFonts w:ascii="宋体" w:hAnsi="宋体"/>
            <w:noProof/>
            <w:sz w:val="24"/>
          </w:rPr>
          <w:fldChar w:fldCharType="end"/>
        </w:r>
      </w:hyperlink>
    </w:p>
    <w:p w14:paraId="0B53D406" w14:textId="38712784" w:rsidR="004940B8" w:rsidRPr="001363AD" w:rsidRDefault="0001347D" w:rsidP="004940B8">
      <w:pPr>
        <w:pStyle w:val="11"/>
        <w:tabs>
          <w:tab w:val="right" w:leader="dot" w:pos="8550"/>
        </w:tabs>
        <w:spacing w:line="360" w:lineRule="auto"/>
        <w:rPr>
          <w:rFonts w:ascii="宋体" w:hAnsi="宋体"/>
          <w:noProof/>
          <w:sz w:val="24"/>
        </w:rPr>
      </w:pPr>
      <w:hyperlink w:anchor="_Toc154495314" w:history="1">
        <w:r w:rsidR="004940B8" w:rsidRPr="004940B8">
          <w:rPr>
            <w:rStyle w:val="af0"/>
            <w:rFonts w:ascii="宋体" w:hAnsi="宋体" w:hint="eastAsia"/>
            <w:noProof/>
            <w:sz w:val="24"/>
          </w:rPr>
          <w:t>二十四、其他应披露事项</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_Toc154495314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165</w:t>
        </w:r>
        <w:r w:rsidR="004940B8" w:rsidRPr="004940B8">
          <w:rPr>
            <w:rFonts w:ascii="宋体" w:hAnsi="宋体"/>
            <w:noProof/>
            <w:sz w:val="24"/>
          </w:rPr>
          <w:fldChar w:fldCharType="end"/>
        </w:r>
      </w:hyperlink>
    </w:p>
    <w:p w14:paraId="29F9B0B0" w14:textId="7D74BF6D" w:rsidR="004940B8" w:rsidRPr="001363AD" w:rsidRDefault="0001347D" w:rsidP="004940B8">
      <w:pPr>
        <w:pStyle w:val="11"/>
        <w:tabs>
          <w:tab w:val="right" w:leader="dot" w:pos="8550"/>
        </w:tabs>
        <w:spacing w:line="360" w:lineRule="auto"/>
        <w:rPr>
          <w:rFonts w:ascii="宋体" w:hAnsi="宋体"/>
          <w:noProof/>
          <w:sz w:val="24"/>
        </w:rPr>
      </w:pPr>
      <w:hyperlink w:anchor="_Toc154495315" w:history="1">
        <w:r w:rsidR="004940B8" w:rsidRPr="004940B8">
          <w:rPr>
            <w:rStyle w:val="af0"/>
            <w:rFonts w:ascii="宋体" w:hAnsi="宋体" w:hint="eastAsia"/>
            <w:noProof/>
            <w:sz w:val="24"/>
          </w:rPr>
          <w:t>二十五、招募说明书的存放及查阅方式</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_Toc154495315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168</w:t>
        </w:r>
        <w:r w:rsidR="004940B8" w:rsidRPr="004940B8">
          <w:rPr>
            <w:rFonts w:ascii="宋体" w:hAnsi="宋体"/>
            <w:noProof/>
            <w:sz w:val="24"/>
          </w:rPr>
          <w:fldChar w:fldCharType="end"/>
        </w:r>
      </w:hyperlink>
    </w:p>
    <w:p w14:paraId="6AFC26DA" w14:textId="5CF63283" w:rsidR="004940B8" w:rsidRPr="001363AD" w:rsidRDefault="0001347D" w:rsidP="004940B8">
      <w:pPr>
        <w:pStyle w:val="11"/>
        <w:tabs>
          <w:tab w:val="right" w:leader="dot" w:pos="8550"/>
        </w:tabs>
        <w:spacing w:line="360" w:lineRule="auto"/>
        <w:rPr>
          <w:rFonts w:ascii="宋体" w:hAnsi="宋体"/>
          <w:noProof/>
          <w:sz w:val="24"/>
        </w:rPr>
      </w:pPr>
      <w:hyperlink w:anchor="_Toc154495316" w:history="1">
        <w:r w:rsidR="004940B8" w:rsidRPr="004940B8">
          <w:rPr>
            <w:rStyle w:val="af0"/>
            <w:rFonts w:ascii="宋体" w:hAnsi="宋体" w:hint="eastAsia"/>
            <w:noProof/>
            <w:sz w:val="24"/>
          </w:rPr>
          <w:t>二十六、备查文件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_Toc154495316 \h </w:instrText>
        </w:r>
        <w:r w:rsidR="004940B8" w:rsidRPr="004940B8">
          <w:rPr>
            <w:rFonts w:ascii="宋体" w:hAnsi="宋体"/>
            <w:noProof/>
            <w:sz w:val="24"/>
          </w:rPr>
        </w:r>
        <w:r w:rsidR="004940B8" w:rsidRPr="004940B8">
          <w:rPr>
            <w:rFonts w:ascii="宋体" w:hAnsi="宋体"/>
            <w:noProof/>
            <w:sz w:val="24"/>
          </w:rPr>
          <w:fldChar w:fldCharType="separate"/>
        </w:r>
        <w:r w:rsidR="00453EE7">
          <w:rPr>
            <w:rFonts w:ascii="宋体" w:hAnsi="宋体"/>
            <w:noProof/>
            <w:sz w:val="24"/>
          </w:rPr>
          <w:t>169</w:t>
        </w:r>
        <w:r w:rsidR="004940B8" w:rsidRPr="004940B8">
          <w:rPr>
            <w:rFonts w:ascii="宋体" w:hAnsi="宋体"/>
            <w:noProof/>
            <w:sz w:val="24"/>
          </w:rPr>
          <w:fldChar w:fldCharType="end"/>
        </w:r>
      </w:hyperlink>
    </w:p>
    <w:p w14:paraId="42682376" w14:textId="02EEA93D" w:rsidR="00CB5326" w:rsidRDefault="004940B8" w:rsidP="00E46F31">
      <w:pPr>
        <w:pStyle w:val="af3"/>
        <w:snapToGrid w:val="0"/>
        <w:spacing w:after="240" w:line="360" w:lineRule="auto"/>
        <w:jc w:val="center"/>
        <w:sectPr w:rsidR="00CB5326">
          <w:pgSz w:w="11920" w:h="16840"/>
          <w:pgMar w:top="1480" w:right="1680" w:bottom="280" w:left="1680" w:header="0" w:footer="1073" w:gutter="0"/>
          <w:cols w:space="720"/>
        </w:sectPr>
      </w:pPr>
      <w:r w:rsidRPr="004940B8">
        <w:rPr>
          <w:rFonts w:ascii="宋体" w:hAnsi="宋体"/>
          <w:color w:val="000000"/>
          <w:position w:val="-4"/>
          <w:sz w:val="24"/>
          <w:szCs w:val="30"/>
        </w:rPr>
        <w:fldChar w:fldCharType="end"/>
      </w:r>
    </w:p>
    <w:p w14:paraId="30252C73" w14:textId="77777777" w:rsidR="00CB5326" w:rsidRDefault="000C1687">
      <w:pPr>
        <w:pStyle w:val="1"/>
        <w:snapToGrid w:val="0"/>
        <w:spacing w:beforeLines="0" w:before="240" w:after="240"/>
        <w:rPr>
          <w:rFonts w:ascii="宋体" w:hAnsi="宋体"/>
          <w:szCs w:val="30"/>
        </w:rPr>
      </w:pPr>
      <w:bookmarkStart w:id="4" w:name="_Toc154495291"/>
      <w:r>
        <w:rPr>
          <w:rFonts w:ascii="Times New Roman" w:hAnsi="Times New Roman"/>
          <w:sz w:val="30"/>
        </w:rPr>
        <w:lastRenderedPageBreak/>
        <w:t>一、绪言</w:t>
      </w:r>
      <w:bookmarkEnd w:id="4"/>
    </w:p>
    <w:p w14:paraId="1D2715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纯债债券型发起式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纯债债券型发起式证券投资基金基金合同》（以下简称“基金合同”）编写。</w:t>
      </w:r>
    </w:p>
    <w:p w14:paraId="7F76E5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3F5E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D06EEB7"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00907C" w14:textId="77777777" w:rsidR="00CB5326" w:rsidRDefault="000C1687">
      <w:pPr>
        <w:pStyle w:val="1"/>
        <w:snapToGrid w:val="0"/>
        <w:spacing w:beforeLines="0" w:before="240" w:after="240"/>
        <w:rPr>
          <w:rFonts w:ascii="宋体" w:hAnsi="宋体"/>
          <w:szCs w:val="30"/>
        </w:rPr>
      </w:pPr>
      <w:bookmarkStart w:id="5" w:name="_Toc154495292"/>
      <w:r>
        <w:rPr>
          <w:rFonts w:ascii="Times New Roman" w:hAnsi="Times New Roman"/>
          <w:sz w:val="30"/>
        </w:rPr>
        <w:lastRenderedPageBreak/>
        <w:t>二、释义</w:t>
      </w:r>
      <w:bookmarkEnd w:id="5"/>
    </w:p>
    <w:p w14:paraId="56B3D3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4BB6F9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1、基金或本基金：指交银施罗德纯债债券型发起式证券投资基金</w:t>
      </w:r>
    </w:p>
    <w:p w14:paraId="4583B2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6866E4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14:paraId="4E63A0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4、基金合同：指《交银施罗德纯债债券型发起式证券投资基金基金合同》及对该基金合同的任何有效修订和补充</w:t>
      </w:r>
    </w:p>
    <w:p w14:paraId="5F16F1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5、托管协议：指基金管理人与基金托管人就本基金签订之《交银施罗德纯债债券型发起式证券投资基金托管协议》及对该托管协议的任何有效修订和补充</w:t>
      </w:r>
    </w:p>
    <w:p w14:paraId="0E4AC6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6、招募说明书或本招募说明书：指《交银施罗德纯债债券型发起式证券投资基金招募说明书》，及其更新</w:t>
      </w:r>
    </w:p>
    <w:p w14:paraId="659F44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7、基金份额发售公告：指《交银施罗德纯债债券型发起式证券投资基金基金份额发售公告》</w:t>
      </w:r>
    </w:p>
    <w:p w14:paraId="2A0AB6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8、基金产品资料概要：指《交银施罗德纯债债券型发起式证券投资基金基金产品资料概要》及其更新</w:t>
      </w:r>
    </w:p>
    <w:p w14:paraId="780BF9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9、法律法规：指中国现行有效并公布实施的法律、行政法规、司法解释、部门规章、地方性法规、地方政府规章及其他对基金合同当事人有约束力的规范性文件及对该等法律法规不时作出的修订</w:t>
      </w:r>
    </w:p>
    <w:p w14:paraId="7E7DEE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10、《基金法》：指2003年10月28日经第十届全国人民代表大会常务委员会第五次会议通过，自2004年6月1日起实施的《中华人民共和国证券投资基金法》及颁布机关对其不时作出的修订</w:t>
      </w:r>
    </w:p>
    <w:p w14:paraId="40375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11、《销售办法》：指中国证监会2011年6月9日颁布、同年10月1日实施的《证券投资基金销售管理办法》及对其不时作出的修订</w:t>
      </w:r>
    </w:p>
    <w:p w14:paraId="260D7E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14:paraId="6EA805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13、《运作办法》：指中国证监会2004年6月29日颁布、同年7月1日实施的《证券投资基金运作管理办法》及对其不时作出的修订</w:t>
      </w:r>
    </w:p>
    <w:p w14:paraId="3EE2BD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w:t>
      </w:r>
      <w:r>
        <w:rPr>
          <w:rFonts w:ascii="宋体" w:hAnsi="宋体"/>
          <w:sz w:val="24"/>
        </w:rPr>
        <w:lastRenderedPageBreak/>
        <w:t>修订</w:t>
      </w:r>
    </w:p>
    <w:p w14:paraId="1B8E4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15、中国：指中华人民共和国，就本基金合同而言，不包括香港特别行政区、澳门特别行政区和台湾地区</w:t>
      </w:r>
    </w:p>
    <w:p w14:paraId="3B77B5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7A77A9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17、中国银监会：指中国银行业监督管理委员会</w:t>
      </w:r>
    </w:p>
    <w:p w14:paraId="5B9F45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08393D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19、个人投资者：指符合法律法规规定的条件可以投资证券投资基金的自然人</w:t>
      </w:r>
    </w:p>
    <w:p w14:paraId="16E7EC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20、机构投资者：指符合法律法规规定可以投资证券投资基金的在中国境内注册登记或经政府有关部门批准设立的机构</w:t>
      </w:r>
    </w:p>
    <w:p w14:paraId="5A6896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79679E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22、基金投资者或投资者：指个人投资者、机构投资者、合格境外机构投资者和使用发起资金认购的投资人，以及法律法规或中国证监会允许购买证券投资基金的其他投资者</w:t>
      </w:r>
    </w:p>
    <w:p w14:paraId="172B9E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23、基金份额持有人：指依招募说明书和基金合同合法取得基金份额的基金投资者</w:t>
      </w:r>
    </w:p>
    <w:p w14:paraId="7F7AED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24、基金销售业务：指基金的宣传推介、认购、申购、赎回、转换、转托管及定期定额投资等业务</w:t>
      </w:r>
    </w:p>
    <w:p w14:paraId="29FD4B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25、销售机构：指直销机构和代销机构</w:t>
      </w:r>
    </w:p>
    <w:p w14:paraId="75469A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26、直销机构：指交银施罗德基金管理有限公司</w:t>
      </w:r>
    </w:p>
    <w:p w14:paraId="30A816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3B72C1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会员单位：指具有开放式基金代销资格，经上海证券交易所和中国证券登记结算有限责任公司认可的、可通过上海证券交易所交易系统办理开放式基金的认购、申购、赎回和转托管等业务的上海证券交易所会员单位</w:t>
      </w:r>
    </w:p>
    <w:p w14:paraId="3C7FB9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29、基金销售网点：指直销机构的直销中心及代销机构的代销网点</w:t>
      </w:r>
    </w:p>
    <w:p w14:paraId="0AFCE3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30、注册登记业务：指基金登记、存管、过户、清算和结算业务，具体内容包</w:t>
      </w:r>
      <w:r>
        <w:rPr>
          <w:rFonts w:ascii="宋体" w:hAnsi="宋体"/>
          <w:sz w:val="24"/>
        </w:rPr>
        <w:lastRenderedPageBreak/>
        <w:t>括基金投资者基金账户的建立和管理、基金份额注册登记、基金销售业务的确认、清算和结算、代理发放红利、建立并保管基金份额持有人名册、办理非交易过户业务等</w:t>
      </w:r>
    </w:p>
    <w:p w14:paraId="22BD24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31、注册登记机构：指办理注册登记业务的机构。基金的注册登记机构为交银施罗德基金管理有限公司或接受交银施罗德基金管理有限公司委托代为办理注册登记业务的机构</w:t>
      </w:r>
    </w:p>
    <w:p w14:paraId="4D3E0A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32、基金账户：指注册登记机构为基金投资者开立的、记录其持有的、基金管理人所管理的基金份额余额及其变动情况的账户</w:t>
      </w:r>
    </w:p>
    <w:p w14:paraId="601B88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33、基金交易账户：指销售机构为基金投资者开立的、记录基金投资者通过该销售机构办理交易业务而引起的基金份额的变动及结余情况的账户</w:t>
      </w:r>
    </w:p>
    <w:p w14:paraId="1B5DB9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34、基金合同生效日：指基金募集期结束后达到法律法规规定及基金合同约定的备案条件，基金管理人聘请法定机构验资并向中国证监会办理基金备案手续完毕，并收到其书面确认的日期</w:t>
      </w:r>
    </w:p>
    <w:p w14:paraId="75A75C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14:paraId="309A8C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36、基金募集期限：指自基金份额发售之日起至发售结束之日止的期间，最长不得超过3个月</w:t>
      </w:r>
    </w:p>
    <w:p w14:paraId="341DF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37、存续期：指基金合同生效至终止之间的不定期期限</w:t>
      </w:r>
    </w:p>
    <w:p w14:paraId="7D0332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38、工作日：指上海证券交易所、深圳证券交易所的正常交易日</w:t>
      </w:r>
    </w:p>
    <w:p w14:paraId="7EC02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39、日：指公历日</w:t>
      </w:r>
    </w:p>
    <w:p w14:paraId="2BF4E4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40、月：指公历月</w:t>
      </w:r>
    </w:p>
    <w:p w14:paraId="6CECBC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41、T日：指销售机构在规定时间受理基金投资者有效申购、赎回或其他基金业务申请的工作日</w:t>
      </w:r>
    </w:p>
    <w:p w14:paraId="50FD32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42、T+n日：指自T日起第n个工作日（不包含T日）</w:t>
      </w:r>
    </w:p>
    <w:p w14:paraId="1C84F6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43、开放日：指为基金投资者办理基金份额申购、赎回或其他业务的工作日</w:t>
      </w:r>
    </w:p>
    <w:p w14:paraId="33E560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44、交易时间：指开放日基金接受申购、赎回或其他交易的时间段</w:t>
      </w:r>
    </w:p>
    <w:p w14:paraId="01BFC9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45、认购：指在基金募集期间，基金投资者按基金合同和招募说明书的规定申请购买基金份额的行为</w:t>
      </w:r>
    </w:p>
    <w:p w14:paraId="3591E2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46、申购：指在基金存续期内，基金投资者按基金合同和招募说明书的规定申请购买基金份额的行为</w:t>
      </w:r>
    </w:p>
    <w:p w14:paraId="38BD5B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47、赎回：指在基金存续期内，基金份额持有人按基金合同和招募说明书规定的条件申请将基金份额兑换为现金的行为</w:t>
      </w:r>
    </w:p>
    <w:p w14:paraId="535BD8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48、场外：指不通过上海证券交易所的交易系统办理基金份额认购、申购和赎回等业务的销售机构和场所</w:t>
      </w:r>
    </w:p>
    <w:p w14:paraId="059F7F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49、场内：指通过上海证券交易所的交易系统办理基金份额认购、申购和赎回等业务的销售机构和场所</w:t>
      </w:r>
    </w:p>
    <w:p w14:paraId="52EF2B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50、注册登记系统：指中国证券登记结算有限责任公司开放式基金登记结算系统</w:t>
      </w:r>
    </w:p>
    <w:p w14:paraId="3C5793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51、证券登记结算系统：指中国证券登记结算有限责任公司上海分公司证券登记结算系统</w:t>
      </w:r>
    </w:p>
    <w:p w14:paraId="06B5B9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52、销售服务费：指从基金资产中计提的，用于本基金市场推广、销售以及基金份额持有人服务的费用</w:t>
      </w:r>
    </w:p>
    <w:p w14:paraId="048EDEE7" w14:textId="2F063DB6" w:rsidR="00CB5326" w:rsidRPr="00374D5D"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53、基金份额类别：指本基金根据认购/申购费用、赎回费用、销售服务费</w:t>
      </w:r>
      <w:r w:rsidR="00374D5D" w:rsidRPr="003118F1">
        <w:rPr>
          <w:rFonts w:hAnsi="宋体" w:hint="eastAsia"/>
          <w:bCs/>
          <w:sz w:val="24"/>
        </w:rPr>
        <w:t>收取标准和</w:t>
      </w:r>
      <w:r>
        <w:rPr>
          <w:rFonts w:ascii="宋体" w:hAnsi="宋体"/>
          <w:sz w:val="24"/>
        </w:rPr>
        <w:t>收取方式的不同，将基金份额分为不同的类别。在投资者认购/申购时收取前端认购/申购费用、赎回时收取赎回费用的，称为A类基金份额；在投资者认购/申购时不收取认购/申购费用、赎回时收取后端认购/申购费用和赎回费用的，称为B类基金份额；在投资者认购/申购时不收取认购/申购费用、赎回时收取赎回费用，并从本类别基金资产中计提销售服务费的，称为C类基金份额</w:t>
      </w:r>
      <w:r w:rsidR="00374D5D" w:rsidRPr="00374D5D">
        <w:rPr>
          <w:rFonts w:ascii="宋体" w:hAnsi="宋体" w:hint="eastAsia"/>
          <w:sz w:val="24"/>
        </w:rPr>
        <w:t>；在投资者申购时收</w:t>
      </w:r>
      <w:r w:rsidR="004A4F68" w:rsidRPr="00374D5D">
        <w:rPr>
          <w:rFonts w:ascii="宋体" w:hAnsi="宋体" w:hint="eastAsia"/>
          <w:sz w:val="24"/>
        </w:rPr>
        <w:t>取</w:t>
      </w:r>
      <w:r w:rsidR="00374D5D" w:rsidRPr="00374D5D">
        <w:rPr>
          <w:rFonts w:ascii="宋体" w:hAnsi="宋体" w:hint="eastAsia"/>
          <w:sz w:val="24"/>
        </w:rPr>
        <w:t>前端申购费用、赎回时收取赎回费用的，称为D类基金份额，A类基金份额与D类基金份额设置不同的申购费、赎回费收取标准</w:t>
      </w:r>
    </w:p>
    <w:p w14:paraId="780A03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转换：指基金份额持有人按照本基金合同和基金管理人届时公告规定的条件，向基金管理人提出申请将其所持有的基金管理人管理的某一开放式基金（转出基金）的全部或部分基金份额转换为基金管理人管理的其他开放式基金（转入基金）的基金份额的行为</w:t>
      </w:r>
    </w:p>
    <w:p w14:paraId="333C1A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23C432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56、转托管：指基金份额持有人在本基金的不同销售机构之间实施变更所持基金份额销售机构的操作，包括系统内转托管及跨系统转托管</w:t>
      </w:r>
    </w:p>
    <w:p w14:paraId="38CE19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57、系统内转托管：指基金份额持有人将持有的基金份额在注册登记系统内不</w:t>
      </w:r>
      <w:r>
        <w:rPr>
          <w:rFonts w:ascii="宋体" w:hAnsi="宋体"/>
          <w:sz w:val="24"/>
        </w:rPr>
        <w:lastRenderedPageBreak/>
        <w:t>同销售机构之间或证券登记结算系统内不同会员单位之间进行转登记的行为</w:t>
      </w:r>
    </w:p>
    <w:p w14:paraId="55B7B773" w14:textId="6C6321DF"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58、跨系统转托管：指基金份额持有人将持有的</w:t>
      </w:r>
      <w:r w:rsidR="00247575">
        <w:rPr>
          <w:rFonts w:ascii="宋体" w:hAnsi="宋体" w:hint="eastAsia"/>
          <w:sz w:val="24"/>
        </w:rPr>
        <w:t>A类</w:t>
      </w:r>
      <w:r>
        <w:rPr>
          <w:rFonts w:ascii="宋体" w:hAnsi="宋体"/>
          <w:sz w:val="24"/>
        </w:rPr>
        <w:t>基金份额在注册登记系统和证券登记结算系统间进行转登记的行为</w:t>
      </w:r>
      <w:r w:rsidR="00CB728D" w:rsidRPr="00CB728D">
        <w:rPr>
          <w:rFonts w:ascii="宋体" w:hAnsi="宋体" w:hint="eastAsia"/>
          <w:sz w:val="24"/>
        </w:rPr>
        <w:t>。除经基金管理人另行公告，B类基金份额、C类基金份额和D类基金份额不能进行跨系统转托管</w:t>
      </w:r>
    </w:p>
    <w:p w14:paraId="0405A6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巨额赎回：指本基金单个开放日，基金净赎回申请（赎回申请份额总数加上基金转换中转出申请份额总数后扣除申购申请份额总数及基金转换中转入申请份额总数后的余额）超过上一工作日基金总份额的10%的情形</w:t>
      </w:r>
    </w:p>
    <w:p w14:paraId="67D409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60、元：指人民币元</w:t>
      </w:r>
    </w:p>
    <w:p w14:paraId="4C70F0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61、基金利润：指基金利息收入、投资收益、公允价值变动收益和其他收入扣除相关费用后的余额</w:t>
      </w:r>
    </w:p>
    <w:p w14:paraId="23D64A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62、基金资产总值：指基金拥有的各类有价证券、银行存款本息、基金应收申购款及其他资产的价值总和</w:t>
      </w:r>
    </w:p>
    <w:p w14:paraId="6EE570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63、基金资产净值：指基金资产总值减去基金负债后的净资产值</w:t>
      </w:r>
    </w:p>
    <w:p w14:paraId="732572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64、基金份额净值：指计算日基金资产净值除以计算日基金份额总数的数值</w:t>
      </w:r>
    </w:p>
    <w:p w14:paraId="7EB47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65、基金资产估值：指计算评估基金资产和负债的价值，以确定基金资产净值和基金份额净值的过程</w:t>
      </w:r>
    </w:p>
    <w:p w14:paraId="6BF99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611A54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67、指定媒介：指中国证监会指定的用以进行信息披露的全国性报刊及指定互联网网站（包括基金管理人网站、基金托管人网站、中国证监会基金电子披露网站）等媒介</w:t>
      </w:r>
    </w:p>
    <w:p w14:paraId="4A246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业务规则》：指《交银施罗德基金管理有限公司开放式基金业务规则》，是规范基金管理人所管理的开放式证券投资基金注册登记方面的业务规则，由基金管理人和基金投资者共同遵守；此外，投资者通过场内认购、申购、赎回本基金还须遵守上海证券交易所及中国证券登记结算有限责任公司场内业务有关规则</w:t>
      </w:r>
    </w:p>
    <w:p w14:paraId="70FCE5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w:t>
      </w:r>
      <w:r>
        <w:rPr>
          <w:rFonts w:ascii="宋体" w:hAnsi="宋体"/>
          <w:sz w:val="24"/>
        </w:rPr>
        <w:lastRenderedPageBreak/>
        <w:t>侧袋账户</w:t>
      </w:r>
    </w:p>
    <w:p w14:paraId="3107BA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08B2E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71、不可抗力：指本基金合同当事人不能预见、不能避免且不能克服的客观事件</w:t>
      </w:r>
    </w:p>
    <w:p w14:paraId="46910C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72、发起式基金：指符合中国证监会发布的《关于增设发起式基金审核通道有关问题的通知》中相关条件而募集、运作的证券投资基金</w:t>
      </w:r>
    </w:p>
    <w:p w14:paraId="45AAC9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73、发起资金：指来源于基金管理人的公司股东的资金、公司固有资金、公司高级管理人员或基金经理（指基金管理人员工中依法具有基金经理资格者，包括但可能不限于本基金的基金经理）等人员的资金</w:t>
      </w:r>
    </w:p>
    <w:p w14:paraId="4400292F"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38BE13" w14:textId="77777777" w:rsidR="00CB5326" w:rsidRDefault="000C1687">
      <w:pPr>
        <w:pStyle w:val="1"/>
        <w:snapToGrid w:val="0"/>
        <w:spacing w:beforeLines="0" w:before="240" w:after="240"/>
        <w:rPr>
          <w:rFonts w:ascii="宋体" w:hAnsi="宋体"/>
          <w:szCs w:val="30"/>
        </w:rPr>
      </w:pPr>
      <w:bookmarkStart w:id="6" w:name="_Toc154495293"/>
      <w:r>
        <w:rPr>
          <w:rFonts w:ascii="Times New Roman" w:hAnsi="Times New Roman"/>
          <w:sz w:val="30"/>
        </w:rPr>
        <w:lastRenderedPageBreak/>
        <w:t>三、基金管理人</w:t>
      </w:r>
      <w:bookmarkEnd w:id="6"/>
    </w:p>
    <w:p w14:paraId="7CE0BC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49D7C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8CC7D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7EC40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D6BD9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D7C97E6" w14:textId="24815A6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A40FCC" w:rsidRPr="00A40FCC">
        <w:rPr>
          <w:rFonts w:ascii="宋体" w:hAnsi="宋体" w:hint="eastAsia"/>
          <w:sz w:val="24"/>
        </w:rPr>
        <w:t>谢卫（代</w:t>
      </w:r>
      <w:r w:rsidR="008313B9">
        <w:rPr>
          <w:rFonts w:ascii="宋体" w:hAnsi="宋体" w:hint="eastAsia"/>
          <w:sz w:val="24"/>
        </w:rPr>
        <w:t>任</w:t>
      </w:r>
      <w:r w:rsidR="00A40FCC" w:rsidRPr="00A40FCC">
        <w:rPr>
          <w:rFonts w:ascii="宋体" w:hAnsi="宋体" w:hint="eastAsia"/>
          <w:sz w:val="24"/>
        </w:rPr>
        <w:t>）</w:t>
      </w:r>
    </w:p>
    <w:p w14:paraId="7FDC11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8899F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2B669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AEBB7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FEBC9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3A2B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4A1C4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284C6E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FC0C6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C73FA0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B5326" w14:paraId="204311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09F4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F5AFA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B5326" w14:paraId="5CC020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0FE8A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55C309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B5326" w14:paraId="70EEDE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B89CB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261E73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16E71B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3B27DD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1253C4C"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5C86EDE0"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王贤家先生，董事，学士。现任交银国际控股有限公司执行董事、副行政总裁、首席风险官。历任交通银行总行国际业务部外汇资金处交易员、澳门分行资金</w:t>
      </w:r>
      <w:r w:rsidRPr="005E2669">
        <w:rPr>
          <w:rFonts w:ascii="宋体" w:hAnsi="宋体" w:hint="eastAsia"/>
          <w:sz w:val="24"/>
        </w:rPr>
        <w:lastRenderedPageBreak/>
        <w:t>部主管、总行金融市场部债券投资部副高级经理、外汇交易部高级经理、总行风险管理部/内控案防办副总经理。</w:t>
      </w:r>
    </w:p>
    <w:p w14:paraId="3F60820B"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469A766"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1447F83B"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80AB2CC"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3D79FAE6" w14:textId="77777777" w:rsidR="00FF0179" w:rsidRPr="005E266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9B2BA4" w14:textId="77777777" w:rsidR="00FF0179" w:rsidRDefault="00FF0179" w:rsidP="00FF0179">
      <w:pPr>
        <w:autoSpaceDE w:val="0"/>
        <w:autoSpaceDN w:val="0"/>
        <w:adjustRightInd w:val="0"/>
        <w:snapToGrid w:val="0"/>
        <w:spacing w:line="360" w:lineRule="auto"/>
        <w:ind w:firstLineChars="200" w:firstLine="480"/>
        <w:jc w:val="left"/>
        <w:rPr>
          <w:rFonts w:ascii="宋体" w:hAnsi="宋体"/>
          <w:sz w:val="24"/>
        </w:rPr>
      </w:pPr>
      <w:r w:rsidRPr="005E2669">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F4D147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2、基金管理人监事会成员</w:t>
      </w:r>
    </w:p>
    <w:p w14:paraId="3EDE70F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76A026B1"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lastRenderedPageBreak/>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8F93D46"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CB092B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3、基金管理人高级管理人员</w:t>
      </w:r>
    </w:p>
    <w:p w14:paraId="6CF8C8FF"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谢卫先生，总经理。简历同上。</w:t>
      </w:r>
    </w:p>
    <w:p w14:paraId="1F43D507"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085020B9"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108EA9F4" w14:textId="77777777" w:rsidR="00155A41" w:rsidRDefault="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7B04AC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D6C5765" w14:textId="1AA6DEC7" w:rsidR="00CB5326" w:rsidRPr="00E46F31" w:rsidRDefault="000C1687" w:rsidP="003D6EF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于海颖女士:基金经理。天津大学数量经济学硕士、经济学学士，1</w:t>
      </w:r>
      <w:r w:rsidR="00486FDF">
        <w:rPr>
          <w:rFonts w:ascii="宋体" w:hAnsi="宋体"/>
          <w:sz w:val="24"/>
        </w:rPr>
        <w:t>8</w:t>
      </w:r>
      <w:r>
        <w:rPr>
          <w:rFonts w:ascii="宋体" w:hAnsi="宋体"/>
          <w:sz w:val="24"/>
        </w:rPr>
        <w:t>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w:t>
      </w:r>
      <w:r>
        <w:rPr>
          <w:rFonts w:ascii="宋体" w:hAnsi="宋体"/>
          <w:sz w:val="24"/>
        </w:rPr>
        <w:lastRenderedPageBreak/>
        <w:t>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w:t>
      </w:r>
      <w:r w:rsidR="00482BA6" w:rsidRPr="00722074">
        <w:rPr>
          <w:rFonts w:ascii="宋体" w:hAnsi="宋体" w:hint="eastAsia"/>
          <w:sz w:val="24"/>
        </w:rPr>
        <w:t>交银施罗德丰硕收益债券型证券投资基金</w:t>
      </w:r>
      <w:r w:rsidR="00482BA6">
        <w:rPr>
          <w:rFonts w:ascii="宋体" w:hAnsi="宋体" w:hint="eastAsia"/>
          <w:sz w:val="24"/>
        </w:rPr>
        <w:t>（</w:t>
      </w:r>
      <w:r w:rsidR="00482BA6">
        <w:rPr>
          <w:rFonts w:ascii="宋体" w:hAnsi="宋体"/>
          <w:sz w:val="24"/>
        </w:rPr>
        <w:t>2017</w:t>
      </w:r>
      <w:r w:rsidR="00482BA6">
        <w:rPr>
          <w:rFonts w:ascii="宋体" w:hAnsi="宋体" w:hint="eastAsia"/>
          <w:sz w:val="24"/>
        </w:rPr>
        <w:t>年</w:t>
      </w:r>
      <w:r w:rsidR="00482BA6">
        <w:rPr>
          <w:rFonts w:ascii="宋体" w:hAnsi="宋体"/>
          <w:sz w:val="24"/>
        </w:rPr>
        <w:t>6</w:t>
      </w:r>
      <w:r w:rsidR="00482BA6">
        <w:rPr>
          <w:rFonts w:ascii="宋体" w:hAnsi="宋体" w:hint="eastAsia"/>
          <w:sz w:val="24"/>
        </w:rPr>
        <w:t>月</w:t>
      </w:r>
      <w:r w:rsidR="00482BA6" w:rsidRPr="00722074">
        <w:rPr>
          <w:rFonts w:ascii="宋体" w:hAnsi="宋体"/>
          <w:sz w:val="24"/>
        </w:rPr>
        <w:t>10</w:t>
      </w:r>
      <w:r w:rsidR="00482BA6">
        <w:rPr>
          <w:rFonts w:ascii="宋体" w:hAnsi="宋体" w:hint="eastAsia"/>
          <w:sz w:val="24"/>
        </w:rPr>
        <w:t>日至</w:t>
      </w:r>
      <w:r w:rsidR="00482BA6">
        <w:rPr>
          <w:rFonts w:ascii="宋体" w:hAnsi="宋体"/>
          <w:sz w:val="24"/>
        </w:rPr>
        <w:t>2018</w:t>
      </w:r>
      <w:r w:rsidR="00482BA6">
        <w:rPr>
          <w:rFonts w:ascii="宋体" w:hAnsi="宋体" w:hint="eastAsia"/>
          <w:sz w:val="24"/>
        </w:rPr>
        <w:t>年</w:t>
      </w:r>
      <w:r w:rsidR="00482BA6">
        <w:rPr>
          <w:rFonts w:ascii="宋体" w:hAnsi="宋体"/>
          <w:sz w:val="24"/>
        </w:rPr>
        <w:t>7</w:t>
      </w:r>
      <w:r w:rsidR="00482BA6">
        <w:rPr>
          <w:rFonts w:ascii="宋体" w:hAnsi="宋体" w:hint="eastAsia"/>
          <w:sz w:val="24"/>
        </w:rPr>
        <w:t>月</w:t>
      </w:r>
      <w:r w:rsidR="00482BA6" w:rsidRPr="00722074">
        <w:rPr>
          <w:rFonts w:ascii="宋体" w:hAnsi="宋体"/>
          <w:sz w:val="24"/>
        </w:rPr>
        <w:t>19</w:t>
      </w:r>
      <w:r w:rsidR="00482BA6">
        <w:rPr>
          <w:rFonts w:ascii="宋体" w:hAnsi="宋体" w:hint="eastAsia"/>
          <w:sz w:val="24"/>
        </w:rPr>
        <w:t>日）、</w:t>
      </w:r>
      <w:r>
        <w:rPr>
          <w:rFonts w:ascii="宋体" w:hAnsi="宋体"/>
          <w:sz w:val="24"/>
        </w:rPr>
        <w:t>交银施罗德丰盈收益债券型证券投资基金(2016年12月29日至2020年08月21日)、交银施罗德强化回报债券型证券投资基金(2017年06月10日至2019年03月14日)、交银施罗德增强收益债券型证券投资基金(2017年06月10日至2019年03月15日)、交银施罗德荣鑫灵活配置混合型证券投资基金(2017年06月10日至2019年03月15日)、交银施罗德稳固收益债券型证券投资基金(2017年06月10日至2019年03月15日)、交银施罗德增利债券证券投资基金(2017年06月10日至2020年08月21日)、交银施罗德定期支付月月丰债券型证券投资基金(2017年06月10日至2019年03月14日)、交银施罗德增利增强债券型证券投资基金(2017年06月10日至2019年03月15日)、交银施罗德裕如纯债债券型证券投资基金(2018年05月25日至2021年01月15日)</w:t>
      </w:r>
      <w:r w:rsidR="001F5F92" w:rsidRPr="001F5F92">
        <w:rPr>
          <w:rFonts w:ascii="宋体" w:hAnsi="宋体"/>
          <w:sz w:val="24"/>
        </w:rPr>
        <w:t xml:space="preserve"> </w:t>
      </w:r>
      <w:r w:rsidR="001F5F92">
        <w:rPr>
          <w:rFonts w:ascii="宋体" w:hAnsi="宋体"/>
          <w:sz w:val="24"/>
        </w:rPr>
        <w:t>、交银施罗德裕泰两年定期开放债券型证券投资基金(2019年12月10日至2024年</w:t>
      </w:r>
      <w:r w:rsidR="001F5F92">
        <w:rPr>
          <w:rFonts w:ascii="宋体" w:hAnsi="宋体" w:hint="eastAsia"/>
          <w:sz w:val="24"/>
        </w:rPr>
        <w:t>4</w:t>
      </w:r>
      <w:r w:rsidR="001F5F92">
        <w:rPr>
          <w:rFonts w:ascii="宋体" w:hAnsi="宋体"/>
          <w:sz w:val="24"/>
        </w:rPr>
        <w:t>月11日)</w:t>
      </w:r>
      <w:r>
        <w:rPr>
          <w:rFonts w:ascii="宋体" w:hAnsi="宋体"/>
          <w:sz w:val="24"/>
        </w:rPr>
        <w:t>的基金经理。现任交银施罗德纯债债券型发起式证券投资基金(2017年06月10日至今)、交银施罗德丰晟收益债券型证券投资基金(2018年05月23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交银施罗德裕如纯债债券型证券投资基金(2023年09月07日至今)</w:t>
      </w:r>
      <w:r w:rsidR="003D6EF4" w:rsidRPr="003D6EF4">
        <w:rPr>
          <w:rFonts w:hint="eastAsia"/>
        </w:rPr>
        <w:t xml:space="preserve"> </w:t>
      </w:r>
      <w:r w:rsidR="003D6EF4" w:rsidRPr="003D6EF4">
        <w:rPr>
          <w:rFonts w:ascii="宋体" w:hAnsi="宋体" w:hint="eastAsia"/>
          <w:sz w:val="24"/>
        </w:rPr>
        <w:t>、交银施罗德裕道纯债一年定期开放债券型发起式证券投资基金(2024年03月29日至今)</w:t>
      </w:r>
      <w:r>
        <w:rPr>
          <w:rFonts w:ascii="宋体" w:hAnsi="宋体"/>
          <w:sz w:val="24"/>
        </w:rPr>
        <w:t>的基金经理。</w:t>
      </w:r>
    </w:p>
    <w:p w14:paraId="4061AB9D" w14:textId="5A3DF6BA" w:rsidR="00CB5326" w:rsidRDefault="000C16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魏玉敏女士:基金经理。厦门大学金融学硕士、学士，</w:t>
      </w:r>
      <w:r w:rsidR="00486FDF">
        <w:rPr>
          <w:rFonts w:ascii="宋体" w:hAnsi="宋体"/>
          <w:sz w:val="24"/>
        </w:rPr>
        <w:t>12</w:t>
      </w:r>
      <w:r>
        <w:rPr>
          <w:rFonts w:ascii="宋体" w:hAnsi="宋体"/>
          <w:sz w:val="24"/>
        </w:rPr>
        <w:t>年证券投资行业从业经验。2012年至2013年任招商证券固定收益研究员，2013年至2016年任国信证券固定收益高级分析师。2016年加入交银施罗德基金管理有限公司，现任固定收益部基金经理。曾任交银施罗德丰晟收益债券型证券投资基金(2018年08月29日至2020年</w:t>
      </w:r>
      <w:r>
        <w:rPr>
          <w:rFonts w:ascii="宋体" w:hAnsi="宋体"/>
          <w:sz w:val="24"/>
        </w:rPr>
        <w:lastRenderedPageBreak/>
        <w:t>10月16日)、交银施罗德裕如纯债债券型证券投资基金(2018年08月29日至2023年09月11日)、交银施罗德丰润收益债券型证券投资基金(2018年11月02日至2021年12月16日)、交银施罗德中债1-3年农发行债券指数证券投资基金(2019年01月23日至2021年12月16日)的基金经理。现任交银施罗德增利债券证券投资基金(2018年08月29日至今)、交银施罗德纯债债券型发起式证券投资基金(2018年08月29日至今)、交银施罗德增利增强债券型证券投资基金(2018年11月02日至今)、交银施罗德可转债债券型证券投资基金(2019年07月11日至今)、交银施罗德裕泰两年定期开放债券型证券投资基金(2019年12月10日至今)、交银施罗德鑫选回报混合型证券投资基金(2021年04月29日至今)、交银施罗德安心收益债券型证券投资基金(2022年01月27日至今)、交银施罗德双利债券证券投资基金(2022年08月18日至今)、交银施罗德强化回报债券型证券投资基金(2023年04月15日至今)的基金经理。</w:t>
      </w:r>
    </w:p>
    <w:p w14:paraId="7E016B7D"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1785A93A"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胡军华女士(2012年12月19日至2014年03月30日)；</w:t>
      </w:r>
    </w:p>
    <w:p w14:paraId="7DB9D1A3"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林洪钧先生(2014年03月31日至2015年05月31日)；</w:t>
      </w:r>
    </w:p>
    <w:p w14:paraId="5CAC4390"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孙超先生(2015年05月09日至2017年06月21日)。</w:t>
      </w:r>
    </w:p>
    <w:p w14:paraId="57A8D4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2DF20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500DDA1" w14:textId="01E1A47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4D4335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26784D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703BDB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43681461" w14:textId="24B52B6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w:t>
      </w:r>
      <w:r w:rsidR="00120997">
        <w:rPr>
          <w:rFonts w:ascii="宋体" w:hAnsi="宋体"/>
          <w:sz w:val="24"/>
        </w:rPr>
        <w:t>4</w:t>
      </w:r>
      <w:r>
        <w:rPr>
          <w:rFonts w:ascii="宋体" w:hAnsi="宋体"/>
          <w:sz w:val="24"/>
        </w:rPr>
        <w:t>年</w:t>
      </w:r>
      <w:r w:rsidR="00A73ACE">
        <w:rPr>
          <w:rFonts w:ascii="宋体" w:hAnsi="宋体"/>
          <w:sz w:val="24"/>
        </w:rPr>
        <w:t>09</w:t>
      </w:r>
      <w:r>
        <w:rPr>
          <w:rFonts w:ascii="宋体" w:hAnsi="宋体"/>
          <w:sz w:val="24"/>
        </w:rPr>
        <w:t>月</w:t>
      </w:r>
      <w:r w:rsidR="00A73ACE">
        <w:rPr>
          <w:rFonts w:ascii="宋体" w:hAnsi="宋体" w:hint="eastAsia"/>
          <w:sz w:val="24"/>
        </w:rPr>
        <w:t>1</w:t>
      </w:r>
      <w:r w:rsidR="00A73ACE">
        <w:rPr>
          <w:rFonts w:ascii="宋体" w:hAnsi="宋体"/>
          <w:sz w:val="24"/>
        </w:rPr>
        <w:t>1</w:t>
      </w:r>
      <w:r>
        <w:rPr>
          <w:rFonts w:ascii="宋体" w:hAnsi="宋体"/>
          <w:sz w:val="24"/>
        </w:rPr>
        <w:t>日，期后变动（如有）敬请关注基金管理人发布的相关公告。</w:t>
      </w:r>
    </w:p>
    <w:p w14:paraId="0AE2A9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348C7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0BDCBC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E2825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5532AD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1443AF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5、进行基金会计核算并编制基金财务会计报告；</w:t>
      </w:r>
    </w:p>
    <w:p w14:paraId="03B19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00CA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11F71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7E5358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5E7CEE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9CC5F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07759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6DA24A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061DA8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3AC47F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F657C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36185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F533C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575372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75EA4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44CF1B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85D68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275CF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CB374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B9596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4CCA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4A7CD5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32268B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4、不以任何形式为其他组织或个人进行证券交易。</w:t>
      </w:r>
    </w:p>
    <w:p w14:paraId="0BB182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3DF06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0E0C25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2F8E9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222012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437773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88471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6BF262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CB50E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906F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BE30D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0900D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1515A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90BC1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3004D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DB183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DFC63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36806E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809B2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722D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w:t>
      </w:r>
      <w:r>
        <w:rPr>
          <w:rFonts w:ascii="宋体" w:hAnsi="宋体"/>
          <w:sz w:val="24"/>
        </w:rPr>
        <w:lastRenderedPageBreak/>
        <w:t>就潜在风险与相关部门协调，审阅公司审计报告及监察情况。</w:t>
      </w:r>
    </w:p>
    <w:p w14:paraId="7E4A3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7F7AB9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221D7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756BC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593CF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3291A1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6E5F83B" w14:textId="7F9260A8" w:rsidR="002751F1" w:rsidRPr="002751F1" w:rsidRDefault="000C1687" w:rsidP="002751F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sidR="002751F1" w:rsidRPr="002751F1">
        <w:rPr>
          <w:rFonts w:ascii="宋体" w:hAnsi="宋体" w:hint="eastAsia"/>
          <w:sz w:val="24"/>
        </w:rPr>
        <w:t>内控合规及法律事务部</w:t>
      </w:r>
    </w:p>
    <w:p w14:paraId="1562F1EC" w14:textId="4C776F2E" w:rsidR="00CB5326" w:rsidRDefault="002751F1" w:rsidP="002751F1">
      <w:pPr>
        <w:autoSpaceDE w:val="0"/>
        <w:autoSpaceDN w:val="0"/>
        <w:adjustRightInd w:val="0"/>
        <w:snapToGrid w:val="0"/>
        <w:spacing w:line="360" w:lineRule="auto"/>
        <w:ind w:firstLineChars="200" w:firstLine="480"/>
        <w:jc w:val="left"/>
        <w:rPr>
          <w:rFonts w:ascii="宋体" w:hAnsi="宋体"/>
          <w:szCs w:val="24"/>
        </w:rPr>
      </w:pPr>
      <w:r w:rsidRPr="002751F1">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r w:rsidR="000C1687">
        <w:rPr>
          <w:rFonts w:ascii="宋体" w:hAnsi="宋体"/>
          <w:sz w:val="24"/>
        </w:rPr>
        <w:t>。</w:t>
      </w:r>
    </w:p>
    <w:p w14:paraId="0FE799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2F277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AE6C0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16F25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FFD83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BB8F7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520CFB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57143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（3）建立、健全岗位责任制</w:t>
      </w:r>
    </w:p>
    <w:p w14:paraId="3E0352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08FFD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4EEB97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3F291A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6E8C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4BAB96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10C1A4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FCCC6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DEA0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35EEAAE6"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1F1053" w14:textId="77777777" w:rsidR="00CB5326" w:rsidRDefault="000C1687">
      <w:pPr>
        <w:pStyle w:val="1"/>
        <w:snapToGrid w:val="0"/>
        <w:spacing w:beforeLines="0" w:before="240" w:after="240"/>
        <w:rPr>
          <w:rFonts w:ascii="宋体" w:hAnsi="宋体"/>
          <w:szCs w:val="30"/>
        </w:rPr>
      </w:pPr>
      <w:bookmarkStart w:id="7" w:name="_Toc154495294"/>
      <w:r>
        <w:rPr>
          <w:rFonts w:ascii="Times New Roman" w:hAnsi="Times New Roman"/>
          <w:sz w:val="30"/>
        </w:rPr>
        <w:lastRenderedPageBreak/>
        <w:t>四、基金托管人</w:t>
      </w:r>
      <w:bookmarkEnd w:id="7"/>
    </w:p>
    <w:p w14:paraId="62C200A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7A062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EF5AC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61DE49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27A45E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67C9F6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4A0311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72C801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14:paraId="7DF3B4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14:paraId="095662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521CEA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A515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D4751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141EB9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14:paraId="79B8A9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C41DF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14:paraId="461512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14:paraId="317E98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0B37D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14:paraId="60F415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0EF4D4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截止到2023年9月30日，中国农业银行托管的封闭式证券投资基金和开放式证券投资基金共831只。</w:t>
      </w:r>
    </w:p>
    <w:p w14:paraId="619878A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14:paraId="315AB8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062FC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0845E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14:paraId="2119E7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9E456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47E3D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BEFEB7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0E29A2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E51B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505020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2CEFD4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07A64E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14:paraId="120F7725"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5A7A4A" w14:textId="77777777" w:rsidR="00CB5326" w:rsidRDefault="000C1687">
      <w:pPr>
        <w:pStyle w:val="1"/>
        <w:snapToGrid w:val="0"/>
        <w:spacing w:beforeLines="0" w:before="240" w:after="240"/>
        <w:rPr>
          <w:rFonts w:ascii="宋体" w:hAnsi="宋体"/>
          <w:szCs w:val="30"/>
        </w:rPr>
      </w:pPr>
      <w:bookmarkStart w:id="8" w:name="_Toc154495295"/>
      <w:r>
        <w:rPr>
          <w:rFonts w:ascii="Times New Roman" w:hAnsi="Times New Roman"/>
          <w:sz w:val="30"/>
        </w:rPr>
        <w:lastRenderedPageBreak/>
        <w:t>五、相关服务机构</w:t>
      </w:r>
      <w:bookmarkEnd w:id="8"/>
    </w:p>
    <w:p w14:paraId="08125D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4395D6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662A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18A03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6AD0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6D778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3305634" w14:textId="6823F56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846518">
        <w:rPr>
          <w:rFonts w:ascii="宋体" w:hAnsi="宋体" w:hint="eastAsia"/>
          <w:sz w:val="24"/>
        </w:rPr>
        <w:t>谢卫（代任）</w:t>
      </w:r>
    </w:p>
    <w:p w14:paraId="0067F6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F630F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65F00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591E4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01F8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B9C1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DCFEBE8" w14:textId="45C1E71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3D6DA0">
        <w:rPr>
          <w:rFonts w:ascii="宋体" w:hAnsi="宋体" w:hint="eastAsia"/>
          <w:sz w:val="24"/>
        </w:rPr>
        <w:t>A类基金份额、C类基金份额和D类基金份额</w:t>
      </w:r>
      <w:r>
        <w:rPr>
          <w:rFonts w:ascii="宋体" w:hAnsi="宋体"/>
          <w:sz w:val="24"/>
        </w:rPr>
        <w:t>的申购、赎回、定期定额投资、转换等业务，具体交易细则请参阅基金管理人网站。</w:t>
      </w:r>
    </w:p>
    <w:p w14:paraId="0C99FC86" w14:textId="468AEEB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0A7960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2、场内代销机构</w:t>
      </w:r>
    </w:p>
    <w:p w14:paraId="6D89DE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具有基金代销资格的上海证券交易所场内会员单位。（具体名单见基金份额发售公告）。</w:t>
      </w:r>
    </w:p>
    <w:p w14:paraId="5D19E3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14:paraId="0D905F82" w14:textId="5AF51BC7" w:rsidR="004C279E" w:rsidRDefault="004C279E">
      <w:pPr>
        <w:autoSpaceDE w:val="0"/>
        <w:autoSpaceDN w:val="0"/>
        <w:adjustRightInd w:val="0"/>
        <w:snapToGrid w:val="0"/>
        <w:spacing w:line="360" w:lineRule="auto"/>
        <w:ind w:firstLineChars="200" w:firstLine="480"/>
        <w:jc w:val="left"/>
        <w:rPr>
          <w:rFonts w:ascii="宋体" w:hAnsi="宋体"/>
          <w:sz w:val="24"/>
        </w:rPr>
      </w:pPr>
      <w:r w:rsidRPr="004C279E">
        <w:rPr>
          <w:rFonts w:ascii="宋体" w:hAnsi="宋体" w:hint="eastAsia"/>
          <w:sz w:val="24"/>
        </w:rPr>
        <w:t>本基金A</w:t>
      </w:r>
      <w:r w:rsidR="00D5313C">
        <w:rPr>
          <w:rFonts w:ascii="宋体" w:hAnsi="宋体" w:hint="eastAsia"/>
          <w:sz w:val="24"/>
        </w:rPr>
        <w:t>类基金份额、</w:t>
      </w:r>
      <w:r w:rsidRPr="004C279E">
        <w:rPr>
          <w:rFonts w:ascii="宋体" w:hAnsi="宋体" w:hint="eastAsia"/>
          <w:sz w:val="24"/>
        </w:rPr>
        <w:t>B类基金份额和C类基金份额除直销机构外的其他场外销售机构：</w:t>
      </w:r>
    </w:p>
    <w:p w14:paraId="453CB30E" w14:textId="42B7504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44ADF7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60FAEF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15B11A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4654EE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电话：（010）66275654</w:t>
      </w:r>
    </w:p>
    <w:p w14:paraId="434FF1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6CDDC1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12553B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6AD086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（2）名称：杭州银行股份有限公司</w:t>
      </w:r>
    </w:p>
    <w:p w14:paraId="5CC04B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580F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6E5A0A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0F54D1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4405E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32278F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32BD9A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2EE10F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0B2E40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（3）名称：中国农业银行股份有限公司</w:t>
      </w:r>
    </w:p>
    <w:p w14:paraId="086E9E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16BF14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3B91D3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645ACA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0A27D6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3550E5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7B7F49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5D4087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0F9B6E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（4）名称：东莞农村商业银行股份有限公司</w:t>
      </w:r>
    </w:p>
    <w:p w14:paraId="58E365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26B11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73E9E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6FD46B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43340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3E4BB7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79BFEE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533ECE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网址：www.drcbank.com</w:t>
      </w:r>
    </w:p>
    <w:p w14:paraId="2B903E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（5）名称：中信银行股份有限公司</w:t>
      </w:r>
    </w:p>
    <w:p w14:paraId="57CBDE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3153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EE0D5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2614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588702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E7FE2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1B2C8E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17605E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670FD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（6）名称：招商银行股份有限公司</w:t>
      </w:r>
    </w:p>
    <w:p w14:paraId="66AA18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6717F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3FF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F695E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58587B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559239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5A719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5696CE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7280DC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（7）名称：交通银行股份有限公司</w:t>
      </w:r>
    </w:p>
    <w:p w14:paraId="54871D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E8EAF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2EC57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5FF76C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31FC20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06B57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210EA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9D4D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04EE69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（8）名称：江苏常熟农村商业银行股份有限公司</w:t>
      </w:r>
    </w:p>
    <w:p w14:paraId="4959D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1647FE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办公地址：江苏省常熟市新世纪大道58号</w:t>
      </w:r>
    </w:p>
    <w:p w14:paraId="62EDC5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56CA4D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29FA9D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0E80BB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7BB0E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4D84EB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7F4CF8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（9）名称：江苏江南农村商业银行股份有限公司</w:t>
      </w:r>
    </w:p>
    <w:p w14:paraId="46F791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228601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09EC36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4601CB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4DE1FF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7212BA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53849A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211C0E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4C76BF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14:paraId="02AE72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79779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7BBC31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7DCD58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49CF1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27CC23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5D7946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108DA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259603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（11）名称：平安银行股份有限公司</w:t>
      </w:r>
    </w:p>
    <w:p w14:paraId="0707C4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FFE04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5EF81E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6FAD1E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5F7E60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传真：0755-82080406</w:t>
      </w:r>
    </w:p>
    <w:p w14:paraId="0E4571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1919DE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06F96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23EDFC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（12）名称：中国民生银行股份有限公司</w:t>
      </w:r>
    </w:p>
    <w:p w14:paraId="7C0DDC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3AD30B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4D5DC4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213FBD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2562F0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5FAF0B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594F54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5375A3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62FEF9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（13）名称：宁波银行股份有限公司</w:t>
      </w:r>
    </w:p>
    <w:p w14:paraId="6ABF5A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49F5D8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77727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7E1972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314198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3C7ECC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7754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18D645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（14）名称：上海银行股份有限公司</w:t>
      </w:r>
    </w:p>
    <w:p w14:paraId="6F26D3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14:paraId="3F96B2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14:paraId="134466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14:paraId="422223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14:paraId="32A882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14:paraId="0590C5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14:paraId="1E00DD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14:paraId="22433E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14:paraId="08AEA8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（15）名称：中国邮政储蓄银行股份有限公司</w:t>
      </w:r>
    </w:p>
    <w:p w14:paraId="2F7E0F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1228ED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473957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14:paraId="7DCE6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72FB90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37E2A9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0D9D0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5B2612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14:paraId="5EA3FF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4803B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56870A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15B334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16E180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6413AE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622292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634F8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7C2F7B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（17）名称：中国中金财富证券有限公司</w:t>
      </w:r>
    </w:p>
    <w:p w14:paraId="449B34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11367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70F595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1878F9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7402EB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2F1B20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3EC75D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0157F4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（18）名称：国投证券股份有限公司</w:t>
      </w:r>
    </w:p>
    <w:p w14:paraId="264A59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住所：深圳市福田区福田街道福华一路119号安信金融大厦</w:t>
      </w:r>
    </w:p>
    <w:p w14:paraId="0D4D60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办公地址：深圳市福田区福田街道福华一路119号安信金融大厦</w:t>
      </w:r>
    </w:p>
    <w:p w14:paraId="6C8006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法定代表人：段文务</w:t>
      </w:r>
    </w:p>
    <w:p w14:paraId="0687D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电话：（0755）81688000</w:t>
      </w:r>
    </w:p>
    <w:p w14:paraId="246BD8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586D0A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6A27A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客户服务电话：95517</w:t>
      </w:r>
    </w:p>
    <w:p w14:paraId="0EA835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网址：http://www.essence.com.cn/</w:t>
      </w:r>
    </w:p>
    <w:p w14:paraId="662571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（19）名称：国信证券股份有限公司</w:t>
      </w:r>
    </w:p>
    <w:p w14:paraId="458264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365A1F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3A8188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165ACE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4AA50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04DDF1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517DD0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62B6FE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2157EE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（20）名称：华泰证券股份有限公司</w:t>
      </w:r>
    </w:p>
    <w:p w14:paraId="457133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22D62B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0D6238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0C1DFA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751A8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165E76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4107B1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5F2AF9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0EB355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（21）名称：兴业证券股份有限公司</w:t>
      </w:r>
    </w:p>
    <w:p w14:paraId="10F28E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445299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2FCC10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4299F4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273732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0B8C34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CB872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客户服务电话：95562</w:t>
      </w:r>
    </w:p>
    <w:p w14:paraId="6B0633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（22）名称：海通证券股份有限公司</w:t>
      </w:r>
    </w:p>
    <w:p w14:paraId="680086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772514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48774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3B99DA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1855F4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34A047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03EBE1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0B28FB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3E49B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（23）名称：华宝证券股份有限公司</w:t>
      </w:r>
    </w:p>
    <w:p w14:paraId="2D3A2F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2C497E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1A8229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0E6EB5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84691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564BA8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2F9EE4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7D9EAC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4B4D4B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（24）名称：爱建证券有限责任公司</w:t>
      </w:r>
    </w:p>
    <w:p w14:paraId="6F4AB8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208659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5D32AD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7C3070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694ED6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108C0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66283B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307ED9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0D66A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（25）名称：招商证券股份有限公司</w:t>
      </w:r>
    </w:p>
    <w:p w14:paraId="361D89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26371C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办公地址：深圳市福田区益田路江苏大厦A座38-45层</w:t>
      </w:r>
    </w:p>
    <w:p w14:paraId="2B5B4F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691465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4E911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2FA4E6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6430FC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464C87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0109E9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（26）名称：国泰君安证券股份有限公司</w:t>
      </w:r>
    </w:p>
    <w:p w14:paraId="74527F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1BE3B6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09DC79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6A3013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51690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45BD7F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11D99B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643BA9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5FDA92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（27）名称：信达证券股份有限公司</w:t>
      </w:r>
    </w:p>
    <w:p w14:paraId="5F3582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22EA4F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11F2D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2BDCD9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528B65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48BA34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2A85C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69A8A9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067F9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（28）名称：国金证券股份有限公司</w:t>
      </w:r>
    </w:p>
    <w:p w14:paraId="68455F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48754F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577FD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5DB5D3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2387C1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传真：（028）86690126</w:t>
      </w:r>
    </w:p>
    <w:p w14:paraId="2A084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9A960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1F216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0F58B0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（29）名称：长城证券有限责任公司</w:t>
      </w:r>
    </w:p>
    <w:p w14:paraId="5888AF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0EB2FA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03326A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402C98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09DAA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24016C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65B9A5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1E07B7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（30）名称：中国国际金融股份有限公司</w:t>
      </w:r>
    </w:p>
    <w:p w14:paraId="2922B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33BC1D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52CE3F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4D6792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197D7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7D96DC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1F99A1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63E466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（31）名称：中泰证券股份有限公司</w:t>
      </w:r>
    </w:p>
    <w:p w14:paraId="4C333E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64E337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7BC7B1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36FA0F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3227EC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40ADC9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60FC5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06175F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9AAAE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（32）名称：平安证券股份有限公司</w:t>
      </w:r>
    </w:p>
    <w:p w14:paraId="33F6CD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住所：深圳市福田区金田路大中华国际交易广场裙楼8楼</w:t>
      </w:r>
    </w:p>
    <w:p w14:paraId="1E3B90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6E13FD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0FF1F3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50246A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200A2F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41DA2F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6A6616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98BC9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（33）名称：申万宏源证券有限公司</w:t>
      </w:r>
    </w:p>
    <w:p w14:paraId="32B02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2A02FB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4F738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1D8B5A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060D28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41CB7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351B13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6AC03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（34）名称：中国银河证券股份有限公司</w:t>
      </w:r>
    </w:p>
    <w:p w14:paraId="6B56BE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79C468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7EDEA1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3DE5B8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30E90D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77BE4B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5A6D4E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2E5F17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（35）名称：中信证券股份有限公司</w:t>
      </w:r>
    </w:p>
    <w:p w14:paraId="1124FD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5319C4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1E969C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13112C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14EF1E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346040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网址：www.cs.ecitic.com</w:t>
      </w:r>
    </w:p>
    <w:p w14:paraId="6B925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（36）名称：方正证券股份有限公司</w:t>
      </w:r>
    </w:p>
    <w:p w14:paraId="67D6AE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31F3C3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6F9EC7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396320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2AEDDD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024B8B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273939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596ED0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0B4DF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（37）名称：中航证券有限公司</w:t>
      </w:r>
    </w:p>
    <w:p w14:paraId="48DCDB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5BE33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37F5D3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6CC274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7B0345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479F56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46B96F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客户服务电话：400-8895-335</w:t>
      </w:r>
    </w:p>
    <w:p w14:paraId="530431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62F62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（38）名称：中信建投证券股份有限公司</w:t>
      </w:r>
    </w:p>
    <w:p w14:paraId="177FF5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22FC49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43A97D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58369F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42A2DA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7CA0C8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F4358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15AEC6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6CF3F0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（39）名称：国都证券股份有限公司</w:t>
      </w:r>
    </w:p>
    <w:p w14:paraId="656D8C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36B8FE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办公地址：北京市东城区东直门南大街3号国华投资大厦9层10层</w:t>
      </w:r>
    </w:p>
    <w:p w14:paraId="71F6A1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1DA412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3A751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38F7D6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（40）名称：中信证券（山东）有限责任公司</w:t>
      </w:r>
    </w:p>
    <w:p w14:paraId="16F4FF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4FEA58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6C5286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350E73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065EEF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0328A1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48BD5D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23AE2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6C249B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（41）名称：申万宏源西部证券有限公司</w:t>
      </w:r>
    </w:p>
    <w:p w14:paraId="537D35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057C0C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030614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1B5EEE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3E988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5119DC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682521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737200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779AA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（42）名称：江海证券有限公司</w:t>
      </w:r>
    </w:p>
    <w:p w14:paraId="03AECC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63DD11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32E9CC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4E5F2D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345891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44C06E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256267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4B2EF0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（43）名称：瑞银证券有限责任公司</w:t>
      </w:r>
    </w:p>
    <w:p w14:paraId="62C929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5A3CD4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6AC04E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6E9341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223686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20C44C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25AEDA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3FFA3A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7DAEC1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（44）名称：渤海证券股份有限公司</w:t>
      </w:r>
    </w:p>
    <w:p w14:paraId="34409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2BF187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6BDDA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14:paraId="32B250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7DC4CD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021DC7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4B76C7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14:paraId="26DDD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14:paraId="28125F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（45）名称：国新证券股份有限公司</w:t>
      </w:r>
    </w:p>
    <w:p w14:paraId="63F88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4F54DC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0597E3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2F02C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18173A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4E3A58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2F7057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03D4DB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17E5B3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（46）名称：联讯证券股份有限公司</w:t>
      </w:r>
    </w:p>
    <w:p w14:paraId="621DA3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261B83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w:t>
      </w:r>
      <w:r>
        <w:rPr>
          <w:rFonts w:ascii="宋体" w:hAnsi="宋体"/>
          <w:sz w:val="24"/>
        </w:rPr>
        <w:lastRenderedPageBreak/>
        <w:t>层</w:t>
      </w:r>
    </w:p>
    <w:p w14:paraId="0888E7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072DD0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039990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3538BD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5CDC3B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07E04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1611F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（47）名称：华西证券股份有限公司</w:t>
      </w:r>
    </w:p>
    <w:p w14:paraId="45F5B1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7D971A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8EB9F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723FF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1A26A3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5756A9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32A0A9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588304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55886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（48）名称：东莞证券股份有限公司</w:t>
      </w:r>
    </w:p>
    <w:p w14:paraId="202E66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2F2B8E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351273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1FD615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730A12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64772F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4B670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49D49B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（49）名称：第一创业证券股份有限公司</w:t>
      </w:r>
    </w:p>
    <w:p w14:paraId="7C5BE5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6C92ED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5BB327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03072C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45331F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555DDD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联系人：崔国良</w:t>
      </w:r>
    </w:p>
    <w:p w14:paraId="0CFF1D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3228EF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678B94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（50）名称：德邦证券有限责任公司</w:t>
      </w:r>
    </w:p>
    <w:p w14:paraId="70D858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6D2E8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542D08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5E9EA1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06AF23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07E18D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72F212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4BBD7F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（51）名称：中信证券华南股份有限公司</w:t>
      </w:r>
    </w:p>
    <w:p w14:paraId="3FCAEC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66DAC2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7154D4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5E6665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1947AB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6D85B1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3CE813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2E45D1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478680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（52）名称：大同证券有限责任公司</w:t>
      </w:r>
    </w:p>
    <w:p w14:paraId="0DF69E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493677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499964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1CBC5D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0158A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4158BB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041BD8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3B558A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5BA83B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（53）名称：西部证券股份有限公司</w:t>
      </w:r>
    </w:p>
    <w:p w14:paraId="5FF475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住所：陕西省西安市新城区东新街 319 号 8 幢 10000 室</w:t>
      </w:r>
    </w:p>
    <w:p w14:paraId="403E96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3C1FD3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2C03FD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302E53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7C354F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2437AE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0726A0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6FF5C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（54）名称：天风证券股份有限公司</w:t>
      </w:r>
    </w:p>
    <w:p w14:paraId="42BCC2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5E8E2F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0FCC86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344015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198BEC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27F45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62EBA4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0504C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22E32C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（55）名称：联储证券有限责任公司</w:t>
      </w:r>
    </w:p>
    <w:p w14:paraId="0034C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02B7E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649A7A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155A1B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3CDC66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6E5F5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59EA2F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081A5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（56）名称：广发证券股份有限公司</w:t>
      </w:r>
    </w:p>
    <w:p w14:paraId="74F095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4C9F6F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1B8728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B278E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278F02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传真：（020）87553600</w:t>
      </w:r>
    </w:p>
    <w:p w14:paraId="3458FC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54CD26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D4BC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3F15DA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（57）名称：湘财证券股份有限公司</w:t>
      </w:r>
    </w:p>
    <w:p w14:paraId="44636D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3565BD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1B35FB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010AF6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1C985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1B3739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30B091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00D902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2050FC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（58）名称：山西证券股份有限公司</w:t>
      </w:r>
    </w:p>
    <w:p w14:paraId="5DF17D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145B96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18A918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2A14E7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7EF8A0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233D99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0D3423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244C2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（59）名称：南京证券股份有限公司</w:t>
      </w:r>
    </w:p>
    <w:p w14:paraId="18EE9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住所：南京市江东中路389号</w:t>
      </w:r>
    </w:p>
    <w:p w14:paraId="152613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办公地址：南京市江东中路389号</w:t>
      </w:r>
    </w:p>
    <w:p w14:paraId="70CEDB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法定代表人：李剑锋</w:t>
      </w:r>
    </w:p>
    <w:p w14:paraId="4AC781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电话：（025）58519529</w:t>
      </w:r>
    </w:p>
    <w:p w14:paraId="62C6FB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传真：（025）83369725</w:t>
      </w:r>
    </w:p>
    <w:p w14:paraId="06B6D0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联系人：曹梦媛</w:t>
      </w:r>
    </w:p>
    <w:p w14:paraId="2E6A71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客户服务电话：95386</w:t>
      </w:r>
    </w:p>
    <w:p w14:paraId="44905C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网址：www.nizq.com.cn</w:t>
      </w:r>
    </w:p>
    <w:p w14:paraId="71391B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（60）名称：东兴证券股份有限公司</w:t>
      </w:r>
    </w:p>
    <w:p w14:paraId="36DA1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67FABA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18C708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2690AC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1728B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0F1F0B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351B9E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7FA46F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（61）名称：北京钱景财富投资管理有限公司</w:t>
      </w:r>
    </w:p>
    <w:p w14:paraId="625B40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61BB57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6B24E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01708A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55880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5DDF5F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5D4CEF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6B9758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281E50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（62）名称：上海大智慧基金销售有限公司</w:t>
      </w:r>
    </w:p>
    <w:p w14:paraId="2DFA61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797E1D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764123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3BF658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74B250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77D7A8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2771DC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561EC2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751AB0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（63）名称：上海利得基金销售有限公司</w:t>
      </w:r>
    </w:p>
    <w:p w14:paraId="1BEB72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328876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3824B5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73472F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电话：021-50583533</w:t>
      </w:r>
    </w:p>
    <w:p w14:paraId="0CF720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7F9408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6D1708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7AF8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130DD6B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（64）名称：上海凯石财富基金销售有限公司</w:t>
      </w:r>
    </w:p>
    <w:p w14:paraId="14F1CA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1AF04D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0FCEC3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0A25FF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6ED3AE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49EA5D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3F1EC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1BB71F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5B31D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（65）名称：北京虹点基金销售有限公司</w:t>
      </w:r>
    </w:p>
    <w:p w14:paraId="22098D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63834F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3F7ECE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EB46D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6AE3E1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434547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53D74E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05DD3A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131F08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（66）名称：诺亚正行(上海)基金销售投资顾问有限公司</w:t>
      </w:r>
    </w:p>
    <w:p w14:paraId="28A48A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B5437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78EFAF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1E3C78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10E009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7DCBD5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FBF73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客户服务电话：400-821-5399</w:t>
      </w:r>
    </w:p>
    <w:p w14:paraId="3EC76A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035A33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（67）名称：上海好买基金销售有限公司</w:t>
      </w:r>
    </w:p>
    <w:p w14:paraId="3665C3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79158B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4A8C19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7BADAD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0DB95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1311FD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342BA8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09F102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（68）名称：上海长量基金销售投资顾问有限公司</w:t>
      </w:r>
    </w:p>
    <w:p w14:paraId="7DED62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16E691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265746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7D483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55C2B0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29075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18F1A7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09BAFC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6573CF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（69）名称：深圳众禄基金销售有限公司</w:t>
      </w:r>
    </w:p>
    <w:p w14:paraId="26DCCD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7FC72B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16DEFE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03E07B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55F820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2AFE38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75C385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68F46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046426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（70）名称：蚂蚁（杭州）基金销售有限公司</w:t>
      </w:r>
    </w:p>
    <w:p w14:paraId="112139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42A3A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办公地址：浙江省杭州市西湖区西溪路556号</w:t>
      </w:r>
    </w:p>
    <w:p w14:paraId="1C93C3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6BBD97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369CD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6D1017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1D5A2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（71）名称：天相投资顾问有限公司</w:t>
      </w:r>
    </w:p>
    <w:p w14:paraId="26272E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482D85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156F56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6B5F2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3C3F58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653331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77FE86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7A7864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77B2BA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（72）名称：一路财富（北京）信息科技有限公司</w:t>
      </w:r>
    </w:p>
    <w:p w14:paraId="1EA558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849E6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5609C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4F18BC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0306A8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318DF9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2EA7C7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759EAE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3A9CA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（73）名称：北京展恒基金销售股份有限公司</w:t>
      </w:r>
    </w:p>
    <w:p w14:paraId="03C412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13F510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3B927C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7DBABB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7FC0BF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2084AD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D0C66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客户服务电话：400-888-6661</w:t>
      </w:r>
    </w:p>
    <w:p w14:paraId="7FBFF6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025791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（74）名称：深圳市新兰德证券投资咨询有限公司</w:t>
      </w:r>
    </w:p>
    <w:p w14:paraId="748526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333074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64F34F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6532A1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626053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247944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5B4361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2F378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15CE4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（75）名称：和讯信息科技有限公司</w:t>
      </w:r>
    </w:p>
    <w:p w14:paraId="33B0E1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23B5B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0DB950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1959C1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235BDA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15DC8E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495828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56074C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70FE8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（76）名称：上海天天基金销售有限公司</w:t>
      </w:r>
    </w:p>
    <w:p w14:paraId="6F3DE3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3441B5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7CC97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5EEA93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682412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4AE0F0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3265BE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04509C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239C80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（77）名称：上海联泰基金销售有限公司</w:t>
      </w:r>
    </w:p>
    <w:p w14:paraId="45F0E2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住所：中国（上海）自由贸易试验区富特北路277号3层310室</w:t>
      </w:r>
    </w:p>
    <w:p w14:paraId="453E89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0B2CA5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4AD9B2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1CAA62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4F9AA5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7ADE6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410762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36724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（78）名称：珠海盈米财富管理有限公司</w:t>
      </w:r>
    </w:p>
    <w:p w14:paraId="36E39E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554B6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2DD6F7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2AF1A4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34649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A815B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1F8CFD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7EE98D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60F7AC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（79）名称：上海基煜基金销售有限公司</w:t>
      </w:r>
    </w:p>
    <w:p w14:paraId="189D88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6E7BB0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1A22A0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3D8400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0C144A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017531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07F2BD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066A5F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39EF56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（80）名称：宜信普泽投资顾问（北京）有限公司</w:t>
      </w:r>
    </w:p>
    <w:p w14:paraId="2DCF0E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7B634F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2BDD55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法定代表人：沈伟桦</w:t>
      </w:r>
    </w:p>
    <w:p w14:paraId="653397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073BE4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FAAA7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70DDC6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07201D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76097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（81）名称：浙江同花顺基金销售有限公司</w:t>
      </w:r>
    </w:p>
    <w:p w14:paraId="649B94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3F95DA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72F573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4D5922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6F7DA6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427A5C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B3D17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21A9AC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054F85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（82）名称：中信期货有限公司</w:t>
      </w:r>
    </w:p>
    <w:p w14:paraId="56BBE6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017738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55BD9F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68F22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1C2EB9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4780B1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2F36BE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624528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122DFA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（83）名称：上海陆金所资产管理有限公司</w:t>
      </w:r>
    </w:p>
    <w:p w14:paraId="08E568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63DC34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11E1FA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254C62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电话：（021）20665952</w:t>
      </w:r>
    </w:p>
    <w:p w14:paraId="7E75F0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0D9D8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7000C2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82E9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5DC1C0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（84）名称：北京中植基金销售有限公司</w:t>
      </w:r>
    </w:p>
    <w:p w14:paraId="6CFBF6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1929E8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77D0F5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2676F8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D287F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5B5D6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BFD5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001D57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00A7D4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（85）名称：北京汇成基金销售有限公司</w:t>
      </w:r>
    </w:p>
    <w:p w14:paraId="41803A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6F52B3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52C04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364097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66F8B3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6E0613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A36A7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DCAEC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0CD8A4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（86）名称：奕丰基金销售有限公司</w:t>
      </w:r>
    </w:p>
    <w:p w14:paraId="6E3A5A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FB0B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91CC2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F6BF6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BE4BC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11886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联系人：叶健</w:t>
      </w:r>
    </w:p>
    <w:p w14:paraId="14DF58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57452B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13B4F9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（87）名称：北京创金启富基金销售有限公司</w:t>
      </w:r>
    </w:p>
    <w:p w14:paraId="20E4C6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39A28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C13DD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312C38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0875BE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281F9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5EA087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F8410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18671F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（88）名称：上海云湾投资管理有限公司</w:t>
      </w:r>
    </w:p>
    <w:p w14:paraId="4729A3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238536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487EC2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42019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529CE2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67A440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23489C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3A77F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BD854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（89）名称：中证金牛（北京）投资咨询有限公司</w:t>
      </w:r>
    </w:p>
    <w:p w14:paraId="751F32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48E6F5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5F7472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115807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911D8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3CA6D6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677A48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592C44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124B66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（90）名称：北京新浪仓石基金销售有限公司</w:t>
      </w:r>
    </w:p>
    <w:p w14:paraId="719D35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724FF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216763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1662A3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613148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3ABC2B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5FE512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71F139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4E2AB0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（91）名称：北京肯特瑞基金销售有限公司</w:t>
      </w:r>
    </w:p>
    <w:p w14:paraId="56C54A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14:paraId="69C6F7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1122DF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01EAA9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28447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47B212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156A68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2E2CDF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A820D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（92）名称：北京雪球基金销售有限公司</w:t>
      </w:r>
    </w:p>
    <w:p w14:paraId="3A55D7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0A35C9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C7F7A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519BD0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61AD02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45524A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00F154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454B83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7CFB5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（93）名称：深圳市金斧子基金销售有限公司</w:t>
      </w:r>
    </w:p>
    <w:p w14:paraId="516946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4EB95B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7F6F0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176F53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24E09F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58593A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721339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66A481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5017DF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（94）名称：格上富信投资顾问有限公司</w:t>
      </w:r>
    </w:p>
    <w:p w14:paraId="3EEE72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5C9E39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3D2316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062978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0008A8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673E7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371E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37BAF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5B1671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（95）名称：上海万得基金销售有限公司</w:t>
      </w:r>
    </w:p>
    <w:p w14:paraId="07046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4F39B4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73D6DD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4F385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5D5617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4ABF68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2C2540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C2233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372662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（96）名称：天津万家财富资产管理有限公司</w:t>
      </w:r>
    </w:p>
    <w:p w14:paraId="568B4D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392EF8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A0CAB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法定代表人：李修辞</w:t>
      </w:r>
    </w:p>
    <w:p w14:paraId="332934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4EC5FF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1CF6D8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44CC09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628BA6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227F7C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（97）名称：上海挖财金融信息服务有限公司</w:t>
      </w:r>
    </w:p>
    <w:p w14:paraId="0FE876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641D97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5E583B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9F80F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3C8160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4A5AB6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512D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F612C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1E04CE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（98）名称：嘉实财富管理有限公司</w:t>
      </w:r>
    </w:p>
    <w:p w14:paraId="39672F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684EC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746733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6214C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67F0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2F5B0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667BAC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18D57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66EC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（99）名称：南京苏宁基金销售有限公司</w:t>
      </w:r>
    </w:p>
    <w:p w14:paraId="336D17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B307A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0DDDC8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106C8D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F788B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E81B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冯鹏鹏</w:t>
      </w:r>
    </w:p>
    <w:p w14:paraId="11CACB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BE16A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01BA7D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（100）名称：北京度小满基金销售有限公司</w:t>
      </w:r>
    </w:p>
    <w:p w14:paraId="6A5A5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2691A3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3C3842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55564C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6ACCA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49853E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7CB2C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86BFC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11D478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（101）名称：北京唐鼎耀华投资咨询有限公司</w:t>
      </w:r>
    </w:p>
    <w:p w14:paraId="1F1BFE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0FF020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0A2963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70DECF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2EDCA8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623E96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1610A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175015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764AB7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（102）名称：上海华夏财富投资管理有限公司</w:t>
      </w:r>
    </w:p>
    <w:p w14:paraId="2B5F04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774D30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674492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4CC4C0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332154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20B41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38B07E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65F9F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41FA17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（103）名称：江苏汇林保大基金销售有限公司</w:t>
      </w:r>
    </w:p>
    <w:p w14:paraId="3251D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08891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0E6015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1729CF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3A13B6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214FAC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08A8AD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4A0E24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1BA358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（104）名称：玄元保险代理有限公司</w:t>
      </w:r>
    </w:p>
    <w:p w14:paraId="64990F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5EFF8F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0D266B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15F8E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087616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354DF7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0B1BB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1F599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（105）名称：阳光人寿保险股份有限公司</w:t>
      </w:r>
    </w:p>
    <w:p w14:paraId="0613BE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3E72EA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59959F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5C1476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824EB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5B7AAE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0C7D67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420B08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3C47CF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（106）名称：大连网金基金销售有限公司</w:t>
      </w:r>
    </w:p>
    <w:p w14:paraId="29FF65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5F21D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74544D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6138E6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电话：（0411-39027810）</w:t>
      </w:r>
    </w:p>
    <w:p w14:paraId="5EFCC9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22CF10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7CBFC7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64459C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5D810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（107）名称：腾安基金销售（深圳）有限公司</w:t>
      </w:r>
    </w:p>
    <w:p w14:paraId="39471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63E9C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B108B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24C4A3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6B636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3748EA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35963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1753C2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（108）名称：泛华普益基金销售有限公司</w:t>
      </w:r>
    </w:p>
    <w:p w14:paraId="036C5D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6F5529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311A67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D1236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1ED233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00FBB8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53ED91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5C04EC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3EAF1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（109）名称：和耕传承基金销售有限公司</w:t>
      </w:r>
    </w:p>
    <w:p w14:paraId="273856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37609D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108651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0BF533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58BAE6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153BD3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联系人：胡静华</w:t>
      </w:r>
    </w:p>
    <w:p w14:paraId="332A9E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050E18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08E09E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（110）名称：上海中欧财富基金销售有限公司</w:t>
      </w:r>
    </w:p>
    <w:p w14:paraId="2C2CE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513FFF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1F397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7BE045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65E2BF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46C795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71D0C2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70B341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27D469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（111）名称：北京植信基金销售有限公司</w:t>
      </w:r>
    </w:p>
    <w:p w14:paraId="1AEC5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76E340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073CAA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3D6FEF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0A43FA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6CF114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77A67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48E02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595EF2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（112）名称：上海钜派钰茂基金销售有限公司</w:t>
      </w:r>
    </w:p>
    <w:p w14:paraId="2A8698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08892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11C7B0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34C7CD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7010EB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542BEC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40CB9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67417F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（113）名称：中国人寿保险股份有限公司</w:t>
      </w:r>
    </w:p>
    <w:p w14:paraId="56B63C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住所：中国北京市西城区金融大街16号</w:t>
      </w:r>
    </w:p>
    <w:p w14:paraId="283BC0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175421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1197E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0AF25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0D7CB9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（114）名称：济安财富（北京）基金销售有限公司</w:t>
      </w:r>
    </w:p>
    <w:p w14:paraId="04F62B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72E98B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04A570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9E9D6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7AE1E1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6833E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340C6C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5B9CEF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2EAD2A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（115）名称：博时财富基金销售有限公司</w:t>
      </w:r>
    </w:p>
    <w:p w14:paraId="445543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160012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1BC1A0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6E2685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56CD9A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28B3C3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135EF6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3D360F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0D016833" w14:textId="77777777" w:rsidR="004647AF" w:rsidRDefault="004647AF">
      <w:pPr>
        <w:autoSpaceDE w:val="0"/>
        <w:autoSpaceDN w:val="0"/>
        <w:adjustRightInd w:val="0"/>
        <w:snapToGrid w:val="0"/>
        <w:spacing w:line="360" w:lineRule="auto"/>
        <w:ind w:firstLineChars="200" w:firstLine="480"/>
        <w:jc w:val="left"/>
        <w:rPr>
          <w:rFonts w:ascii="宋体" w:hAnsi="宋体"/>
          <w:sz w:val="24"/>
        </w:rPr>
      </w:pPr>
      <w:r w:rsidRPr="004647AF">
        <w:rPr>
          <w:rFonts w:ascii="宋体" w:hAnsi="宋体" w:hint="eastAsia"/>
          <w:sz w:val="24"/>
        </w:rPr>
        <w:t>本基金D类基金份额暂仅通过直销机构销售。</w:t>
      </w:r>
    </w:p>
    <w:p w14:paraId="5DF6743C" w14:textId="72E3174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52D60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7884D2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A8B27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677DE8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45A8D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法定代表人：于文强</w:t>
      </w:r>
    </w:p>
    <w:p w14:paraId="010170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2F577C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4A4129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40EF29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2174C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42D7AA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6A93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52892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08B27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7580EC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E01D9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580DEE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297D1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DF8F9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1389B7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254F26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687726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E19F8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5574E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016D7A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5FFB7D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4DFFEC31"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14FC19" w14:textId="77777777" w:rsidR="00CB5326" w:rsidRDefault="000C1687">
      <w:pPr>
        <w:pStyle w:val="1"/>
        <w:snapToGrid w:val="0"/>
        <w:spacing w:beforeLines="0" w:before="240" w:after="240"/>
        <w:rPr>
          <w:rFonts w:ascii="宋体" w:hAnsi="宋体"/>
          <w:szCs w:val="30"/>
        </w:rPr>
      </w:pPr>
      <w:bookmarkStart w:id="9" w:name="_Toc154495296"/>
      <w:r>
        <w:rPr>
          <w:rFonts w:ascii="Times New Roman" w:hAnsi="Times New Roman"/>
          <w:sz w:val="30"/>
        </w:rPr>
        <w:lastRenderedPageBreak/>
        <w:t>六、基金的历史沿革</w:t>
      </w:r>
      <w:bookmarkEnd w:id="9"/>
    </w:p>
    <w:p w14:paraId="361845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本基金由基金管理人依照《基金法》、《运作办法》、基金合同及其他有关规定，并经中国证监会证监许可[2012]1287号文核准募集发售。</w:t>
      </w:r>
    </w:p>
    <w:p w14:paraId="5C270B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本基金为契约型开放式债券型发起式基金。基金存续期间为不定期。</w:t>
      </w:r>
    </w:p>
    <w:p w14:paraId="60F556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14:paraId="3F1015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本基金自2012年11月26日至2012年12月14日进行发售。本基金设立募集期共募集2,116,634,959.21份基金份额，有效认购户数为7,477户。</w:t>
      </w:r>
    </w:p>
    <w:p w14:paraId="671D26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交银施罗德纯债债券型发起式证券投资基金基金合同》的有关约定，本基金管理人运用固有资金作为发起资金认购本基金的净认购金额为10,000,000.00元人民币，认购基金份额（含募集期利息结转份额）10,003,472.22份。自本基金基金合同生效之日起，本基金管理人所认购的基金份额持有期限不低于三年。</w:t>
      </w:r>
    </w:p>
    <w:p w14:paraId="646D32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本基金管理人持有的上述发起份额已于2017年一季度全部赎回，相应份额的持有期限符合基金合同的约定。</w:t>
      </w:r>
    </w:p>
    <w:p w14:paraId="4C34E8ED"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D897B4" w14:textId="77777777" w:rsidR="00CB5326" w:rsidRDefault="000C1687">
      <w:pPr>
        <w:pStyle w:val="1"/>
        <w:snapToGrid w:val="0"/>
        <w:spacing w:beforeLines="0" w:before="240" w:after="240"/>
        <w:rPr>
          <w:rFonts w:ascii="宋体" w:hAnsi="宋体"/>
          <w:szCs w:val="30"/>
        </w:rPr>
      </w:pPr>
      <w:bookmarkStart w:id="10" w:name="_Toc154495297"/>
      <w:r>
        <w:rPr>
          <w:rFonts w:ascii="Times New Roman" w:hAnsi="Times New Roman"/>
          <w:sz w:val="30"/>
        </w:rPr>
        <w:lastRenderedPageBreak/>
        <w:t>七</w:t>
      </w:r>
      <w:r>
        <w:rPr>
          <w:rFonts w:ascii="Times New Roman" w:hAnsi="Times New Roman"/>
          <w:sz w:val="30"/>
        </w:rPr>
        <w:t xml:space="preserve"> </w:t>
      </w:r>
      <w:r>
        <w:rPr>
          <w:rFonts w:ascii="Times New Roman" w:hAnsi="Times New Roman"/>
          <w:sz w:val="30"/>
        </w:rPr>
        <w:t>、基金合同的生效</w:t>
      </w:r>
      <w:bookmarkEnd w:id="10"/>
    </w:p>
    <w:p w14:paraId="244092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根据有关规定，本基金满足基金合同生效条件，基金合同已于2012年12月19日正式生效。自基金合同生效之日起，本基金管理人正式开始管理本基金。</w:t>
      </w:r>
    </w:p>
    <w:p w14:paraId="5C3E6F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出现基金份额持有人数量不满200人或者基金资产净值低于5000万元情形的，基金管理人应当及时报告中国证监会；连续20个工作日出现前述情形的，基金管理人应当及时向中国证监会报告，说明出现上述情况的原因并提出解决方案。</w:t>
      </w:r>
    </w:p>
    <w:p w14:paraId="623872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基金合同生效之日起满3年后的对应日（如该对应日为非工作日，则顺延至下一个工作日），若基金资产净值低于2亿元的，基金合同自动终止，且不得通过召开基金份额持有人大会延续基金合同期限。</w:t>
      </w:r>
    </w:p>
    <w:p w14:paraId="2A977F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法律法规或监管机构另有规定时，从其规定。</w:t>
      </w:r>
    </w:p>
    <w:p w14:paraId="11042BF9"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179F56" w14:textId="77777777" w:rsidR="00CB5326" w:rsidRDefault="000C1687">
      <w:pPr>
        <w:pStyle w:val="1"/>
        <w:snapToGrid w:val="0"/>
        <w:spacing w:beforeLines="0" w:before="240" w:after="240"/>
        <w:rPr>
          <w:rFonts w:ascii="宋体" w:hAnsi="宋体"/>
          <w:szCs w:val="30"/>
        </w:rPr>
      </w:pPr>
      <w:bookmarkStart w:id="11" w:name="_Toc154495298"/>
      <w:r>
        <w:rPr>
          <w:rFonts w:ascii="Times New Roman" w:hAnsi="Times New Roman"/>
          <w:sz w:val="30"/>
        </w:rPr>
        <w:lastRenderedPageBreak/>
        <w:t>八、基金份额的申购与赎回</w:t>
      </w:r>
      <w:bookmarkEnd w:id="11"/>
    </w:p>
    <w:p w14:paraId="3316E754" w14:textId="0639D4D0" w:rsidR="004C279E" w:rsidRDefault="004C279E">
      <w:pPr>
        <w:autoSpaceDE w:val="0"/>
        <w:autoSpaceDN w:val="0"/>
        <w:adjustRightInd w:val="0"/>
        <w:snapToGrid w:val="0"/>
        <w:spacing w:line="360" w:lineRule="auto"/>
        <w:ind w:firstLineChars="200" w:firstLine="480"/>
        <w:jc w:val="left"/>
        <w:rPr>
          <w:rFonts w:ascii="宋体" w:hAnsi="宋体"/>
          <w:sz w:val="24"/>
        </w:rPr>
      </w:pPr>
      <w:r w:rsidRPr="004C279E">
        <w:rPr>
          <w:rFonts w:ascii="宋体" w:hAnsi="宋体" w:hint="eastAsia"/>
          <w:sz w:val="24"/>
        </w:rPr>
        <w:t>本基金A类基金份额接受场内和场外申购与赎回，B类基金份额、C类基金份额和D类基金份额暂时仅接受场外申购和赎回。各类基金份额具体申赎方式详见本招募说明书或相关公告。</w:t>
      </w:r>
    </w:p>
    <w:p w14:paraId="6D4882B4" w14:textId="7F0D0F75"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11CB1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14:paraId="369C18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1D68FA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5F712E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4176A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158B7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37411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6CA34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654F8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4CDD3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7363F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740C85D" w14:textId="07DEB83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w:t>
      </w:r>
      <w:r w:rsidR="000E7079">
        <w:rPr>
          <w:rFonts w:ascii="宋体" w:hAnsi="宋体" w:hint="eastAsia"/>
          <w:sz w:val="24"/>
        </w:rPr>
        <w:t>A类基金份额、C类基金份额和D类基金份额</w:t>
      </w:r>
      <w:r>
        <w:rPr>
          <w:rFonts w:ascii="宋体" w:hAnsi="宋体"/>
          <w:sz w:val="24"/>
        </w:rPr>
        <w:t>的申购、赎回、转换及定期定额投资等业务，具体交易细则请参阅本公司网站。网上直销交易平台网址：www.fund001.com。</w:t>
      </w:r>
    </w:p>
    <w:p w14:paraId="7B5365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2、通过上海证券交易所交易系统办理相关业务的上海证券交易所会员单位，目前场内交易只支持A类基金份额的申购。具体名单详见上海证券交易所网站。</w:t>
      </w:r>
    </w:p>
    <w:p w14:paraId="49608E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3、不通过上海证券交易所交易系统办理相关业务的场外代销机构</w:t>
      </w:r>
    </w:p>
    <w:p w14:paraId="1839A3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本基金场外代销机构参见本招募说明书“五、相关服务机构”章节或拨打本公司客户服务电话进行咨询。</w:t>
      </w:r>
    </w:p>
    <w:p w14:paraId="7646A2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投资者可通过上述销售机构办理基金销售业务的营业场所或按上述销售机构提供的其他方式进行申购或赎回。本基金管理人可根据情况变更或增减基金场外代销机构，并在管理人网站公示。</w:t>
      </w:r>
    </w:p>
    <w:p w14:paraId="0EC70C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14:paraId="0530D6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（二）申购和赎回的开放日及时间</w:t>
      </w:r>
    </w:p>
    <w:p w14:paraId="3DAEFE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D6B18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0852D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603989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的，其基金份额申购、赎回及转换价格为下次办理基金份额申购、赎回及转换时间所在开放日的价格。</w:t>
      </w:r>
    </w:p>
    <w:p w14:paraId="1A6290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524102C1" w14:textId="0831EAB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E66521">
        <w:rPr>
          <w:rFonts w:ascii="宋体" w:hAnsi="宋体"/>
          <w:sz w:val="24"/>
        </w:rPr>
        <w:t>A</w:t>
      </w:r>
      <w:r w:rsidR="00E66521" w:rsidRPr="00E66521">
        <w:rPr>
          <w:rFonts w:ascii="宋体" w:hAnsi="宋体" w:hint="eastAsia"/>
          <w:sz w:val="24"/>
        </w:rPr>
        <w:t>类基金份额</w:t>
      </w:r>
      <w:r>
        <w:rPr>
          <w:rFonts w:ascii="宋体" w:hAnsi="宋体"/>
          <w:sz w:val="24"/>
        </w:rPr>
        <w:t>已于2013年3月19日起开放场外、场内申购业务。</w:t>
      </w:r>
    </w:p>
    <w:p w14:paraId="64202DE9" w14:textId="70D2D6AC" w:rsidR="00E66521" w:rsidRDefault="00E66521" w:rsidP="00E6652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270C4B">
        <w:rPr>
          <w:rFonts w:ascii="宋体" w:hAnsi="宋体"/>
          <w:sz w:val="24"/>
        </w:rPr>
        <w:t>B</w:t>
      </w:r>
      <w:r w:rsidR="00270C4B" w:rsidRPr="00E66521">
        <w:rPr>
          <w:rFonts w:ascii="宋体" w:hAnsi="宋体" w:hint="eastAsia"/>
          <w:sz w:val="24"/>
        </w:rPr>
        <w:t>类基金份额</w:t>
      </w:r>
      <w:r w:rsidR="00270C4B">
        <w:rPr>
          <w:rFonts w:ascii="宋体" w:hAnsi="宋体" w:hint="eastAsia"/>
          <w:sz w:val="24"/>
        </w:rPr>
        <w:t>和</w:t>
      </w:r>
      <w:r w:rsidRPr="00E66521">
        <w:rPr>
          <w:rFonts w:ascii="宋体" w:hAnsi="宋体" w:hint="eastAsia"/>
          <w:sz w:val="24"/>
        </w:rPr>
        <w:t>C类基金份额</w:t>
      </w:r>
      <w:r>
        <w:rPr>
          <w:rFonts w:ascii="宋体" w:hAnsi="宋体"/>
          <w:sz w:val="24"/>
        </w:rPr>
        <w:t>已于2013年3月19日起开放场外申购业务。</w:t>
      </w:r>
    </w:p>
    <w:p w14:paraId="678840CA" w14:textId="78791891" w:rsidR="00612AD2" w:rsidRPr="00612AD2" w:rsidRDefault="00612AD2">
      <w:pPr>
        <w:autoSpaceDE w:val="0"/>
        <w:autoSpaceDN w:val="0"/>
        <w:adjustRightInd w:val="0"/>
        <w:snapToGrid w:val="0"/>
        <w:spacing w:line="360" w:lineRule="auto"/>
        <w:ind w:firstLineChars="200" w:firstLine="480"/>
        <w:jc w:val="left"/>
        <w:rPr>
          <w:rFonts w:ascii="宋体" w:hAnsi="宋体"/>
          <w:sz w:val="24"/>
        </w:rPr>
      </w:pPr>
      <w:r w:rsidRPr="00612AD2">
        <w:rPr>
          <w:rFonts w:ascii="宋体" w:hAnsi="宋体" w:hint="eastAsia"/>
          <w:sz w:val="24"/>
        </w:rPr>
        <w:t>本基金D类基金份额于2024年</w:t>
      </w:r>
      <w:r w:rsidR="006915FE">
        <w:rPr>
          <w:rFonts w:ascii="宋体" w:hAnsi="宋体"/>
          <w:sz w:val="24"/>
        </w:rPr>
        <w:t>9</w:t>
      </w:r>
      <w:r w:rsidRPr="00612AD2">
        <w:rPr>
          <w:rFonts w:ascii="宋体" w:hAnsi="宋体" w:hint="eastAsia"/>
          <w:sz w:val="24"/>
        </w:rPr>
        <w:t>月</w:t>
      </w:r>
      <w:r w:rsidR="006915FE">
        <w:rPr>
          <w:rFonts w:ascii="宋体" w:hAnsi="宋体"/>
          <w:sz w:val="24"/>
        </w:rPr>
        <w:t>12</w:t>
      </w:r>
      <w:r w:rsidRPr="00612AD2">
        <w:rPr>
          <w:rFonts w:ascii="宋体" w:hAnsi="宋体" w:hint="eastAsia"/>
          <w:sz w:val="24"/>
        </w:rPr>
        <w:t>日起开放</w:t>
      </w:r>
      <w:r>
        <w:rPr>
          <w:rFonts w:ascii="宋体" w:hAnsi="宋体"/>
          <w:sz w:val="24"/>
        </w:rPr>
        <w:t>场外</w:t>
      </w:r>
      <w:r w:rsidRPr="00612AD2">
        <w:rPr>
          <w:rFonts w:ascii="宋体" w:hAnsi="宋体" w:hint="eastAsia"/>
          <w:sz w:val="24"/>
        </w:rPr>
        <w:t>申购业务。</w:t>
      </w:r>
    </w:p>
    <w:p w14:paraId="2313971B" w14:textId="25C73D5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4198BD5A" w14:textId="1E3D0F52" w:rsidR="00CB5326" w:rsidRDefault="000C16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E66521">
        <w:rPr>
          <w:rFonts w:ascii="宋体" w:hAnsi="宋体"/>
          <w:sz w:val="24"/>
        </w:rPr>
        <w:t>A</w:t>
      </w:r>
      <w:r w:rsidR="00E66521" w:rsidRPr="00E66521">
        <w:rPr>
          <w:rFonts w:ascii="宋体" w:hAnsi="宋体" w:hint="eastAsia"/>
          <w:sz w:val="24"/>
        </w:rPr>
        <w:t>类基金份额</w:t>
      </w:r>
      <w:r>
        <w:rPr>
          <w:rFonts w:ascii="宋体" w:hAnsi="宋体"/>
          <w:sz w:val="24"/>
        </w:rPr>
        <w:t>已于2013年3月19日起开放场外、场内赎回业务。</w:t>
      </w:r>
    </w:p>
    <w:p w14:paraId="1CFCBA1D" w14:textId="083782B4" w:rsidR="00E66521" w:rsidRPr="00E66521" w:rsidRDefault="00E66521" w:rsidP="00E6652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55791E">
        <w:rPr>
          <w:rFonts w:ascii="宋体" w:hAnsi="宋体"/>
          <w:sz w:val="24"/>
        </w:rPr>
        <w:t>B</w:t>
      </w:r>
      <w:r w:rsidR="0055791E" w:rsidRPr="00E66521">
        <w:rPr>
          <w:rFonts w:ascii="宋体" w:hAnsi="宋体" w:hint="eastAsia"/>
          <w:sz w:val="24"/>
        </w:rPr>
        <w:t>类基金份额</w:t>
      </w:r>
      <w:r w:rsidR="0055791E">
        <w:rPr>
          <w:rFonts w:ascii="宋体" w:hAnsi="宋体" w:hint="eastAsia"/>
          <w:sz w:val="24"/>
        </w:rPr>
        <w:t>和</w:t>
      </w:r>
      <w:r w:rsidRPr="00E66521">
        <w:rPr>
          <w:rFonts w:ascii="宋体" w:hAnsi="宋体" w:hint="eastAsia"/>
          <w:sz w:val="24"/>
        </w:rPr>
        <w:t>C类基金份额</w:t>
      </w:r>
      <w:r>
        <w:rPr>
          <w:rFonts w:ascii="宋体" w:hAnsi="宋体"/>
          <w:sz w:val="24"/>
        </w:rPr>
        <w:t>已于2013年3月19日起开放场外</w:t>
      </w:r>
      <w:r w:rsidR="00730941">
        <w:rPr>
          <w:rFonts w:ascii="宋体" w:hAnsi="宋体" w:hint="eastAsia"/>
          <w:sz w:val="24"/>
        </w:rPr>
        <w:t>赎回</w:t>
      </w:r>
      <w:r>
        <w:rPr>
          <w:rFonts w:ascii="宋体" w:hAnsi="宋体"/>
          <w:sz w:val="24"/>
        </w:rPr>
        <w:t>业务。</w:t>
      </w:r>
    </w:p>
    <w:p w14:paraId="1AE4E0BA" w14:textId="6ABC9E31" w:rsidR="00612AD2" w:rsidRDefault="00612AD2">
      <w:pPr>
        <w:autoSpaceDE w:val="0"/>
        <w:autoSpaceDN w:val="0"/>
        <w:adjustRightInd w:val="0"/>
        <w:snapToGrid w:val="0"/>
        <w:spacing w:line="360" w:lineRule="auto"/>
        <w:ind w:firstLineChars="200" w:firstLine="480"/>
        <w:jc w:val="left"/>
        <w:rPr>
          <w:rFonts w:ascii="宋体" w:hAnsi="宋体"/>
          <w:sz w:val="24"/>
        </w:rPr>
      </w:pPr>
      <w:r w:rsidRPr="00612AD2">
        <w:rPr>
          <w:rFonts w:ascii="宋体" w:hAnsi="宋体" w:hint="eastAsia"/>
          <w:sz w:val="24"/>
        </w:rPr>
        <w:t>本基金D类基金份额于2024年</w:t>
      </w:r>
      <w:r w:rsidR="006915FE">
        <w:rPr>
          <w:rFonts w:ascii="宋体" w:hAnsi="宋体"/>
          <w:sz w:val="24"/>
        </w:rPr>
        <w:t>9</w:t>
      </w:r>
      <w:r w:rsidRPr="00612AD2">
        <w:rPr>
          <w:rFonts w:ascii="宋体" w:hAnsi="宋体" w:hint="eastAsia"/>
          <w:sz w:val="24"/>
        </w:rPr>
        <w:t>月</w:t>
      </w:r>
      <w:r w:rsidR="006915FE">
        <w:rPr>
          <w:rFonts w:ascii="宋体" w:hAnsi="宋体"/>
          <w:sz w:val="24"/>
        </w:rPr>
        <w:t>12</w:t>
      </w:r>
      <w:r w:rsidRPr="00612AD2">
        <w:rPr>
          <w:rFonts w:ascii="宋体" w:hAnsi="宋体" w:hint="eastAsia"/>
          <w:sz w:val="24"/>
        </w:rPr>
        <w:t>日起开放</w:t>
      </w:r>
      <w:r>
        <w:rPr>
          <w:rFonts w:ascii="宋体" w:hAnsi="宋体"/>
          <w:sz w:val="24"/>
        </w:rPr>
        <w:t>场外</w:t>
      </w:r>
      <w:r>
        <w:rPr>
          <w:rFonts w:ascii="宋体" w:hAnsi="宋体" w:hint="eastAsia"/>
          <w:sz w:val="24"/>
        </w:rPr>
        <w:t>赎回</w:t>
      </w:r>
      <w:r w:rsidRPr="00612AD2">
        <w:rPr>
          <w:rFonts w:ascii="宋体" w:hAnsi="宋体" w:hint="eastAsia"/>
          <w:sz w:val="24"/>
        </w:rPr>
        <w:t>业务。</w:t>
      </w:r>
    </w:p>
    <w:p w14:paraId="1BA4F7AB" w14:textId="5B38536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14:paraId="22BE2A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1、“未知价”原则，即基金份额的申购与赎回价格以申请当日收市后计算的基金份额净值为基准进行计算；</w:t>
      </w:r>
    </w:p>
    <w:p w14:paraId="745EE5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2、基金采用金额申购和份额赎回的原则，即申购以金额申请，赎回以份额申请；</w:t>
      </w:r>
    </w:p>
    <w:p w14:paraId="77A75B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14:paraId="6A80B6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4、当日的申购与赎回申请一经注册登记机构正式受理不得撤销；</w:t>
      </w:r>
    </w:p>
    <w:p w14:paraId="66F491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5、基金管理人在不损害基金份额持有人权益的情况下可更改上述原则，但最迟应在新的原则实施前依照《信息披露办法》的有关规定在指定媒介上公告。</w:t>
      </w:r>
    </w:p>
    <w:p w14:paraId="4F82C6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66F937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1DEF8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场外申购时，场外代销机构每个账户单笔申购的最低金额为单笔1元，如果代销机构业务规则规定的最低单笔认购金额高于1元，以代销机构的规定为准。</w:t>
      </w:r>
    </w:p>
    <w:p w14:paraId="61EBAE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每个账户首次申购的最低金额为单笔100万元，追加申购的最低金额为单笔10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元。本基金直销机构单笔申购最低金额可由基金管理人酌情调整。</w:t>
      </w:r>
    </w:p>
    <w:p w14:paraId="29A2A6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场内申购时，每笔申购金额最低为100元人民币，同时每笔申购必须是100元的整数倍，并且单笔申购最高不超过99,999,900元。</w:t>
      </w:r>
    </w:p>
    <w:p w14:paraId="5FD846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72587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14:paraId="45CFFD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748A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14:paraId="182FFE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3E1D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14:paraId="5DEFA7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4DFA65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1、申购和赎回的申请</w:t>
      </w:r>
    </w:p>
    <w:p w14:paraId="1A20EE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基金投资者必须根据销售机构规定的程序，在开放日的具体业务办理时间内提出申购或赎回的申请。</w:t>
      </w:r>
    </w:p>
    <w:p w14:paraId="7C5FDE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基金投资者在提交申购申请时须按销售机构规定的方式备足申购资金，基金投资者在提交赎回申请时须持有足够的基金份额余额，否则所提交的申购、赎回申请无效而不予成交。</w:t>
      </w:r>
    </w:p>
    <w:p w14:paraId="04F0F7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2B4BAA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 日规定时间受理的申请，正常情况下，注册登记机构在T+1 日内（包括该日）为投资者对该交易的有效性进行确认，基金投资者应在T+2日后（包括该日）及时到销售网点柜台或以销售机构规定的其他方式查询申请的确认情况。</w:t>
      </w:r>
    </w:p>
    <w:p w14:paraId="10E52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w:t>
      </w:r>
    </w:p>
    <w:p w14:paraId="42BFF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销售机构对申购、赎回申请的受理并不代表该申请一定成功，而仅代表销售机构确实接收到申购、赎回申请。申购、赎回申请的确认以注册登记机构的确认结果为准。</w:t>
      </w:r>
    </w:p>
    <w:p w14:paraId="5AB75B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4748D7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5078A8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基金投资者赎回申请成功后，基金管理人将通过注册登记机构及其相关销售机构在T＋7日（包括该日）内将赎回款项划往基金份额持有人账户。在发生巨额赎回时，款项的支付办法参照基金合同有关条款处理。</w:t>
      </w:r>
    </w:p>
    <w:p w14:paraId="3FE11B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（六）申购与赎回的注册登记</w:t>
      </w:r>
    </w:p>
    <w:p w14:paraId="39E73F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日（包括该日）起有权赎回该部分基金份额。投资者应及时查询有关申请的确认情况。</w:t>
      </w:r>
    </w:p>
    <w:p w14:paraId="777C16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日赎回基金成功后，正常情况下，注册登记机构在T＋1 日为投资者扣除权益并办理相应的注册登记手续。</w:t>
      </w:r>
    </w:p>
    <w:p w14:paraId="6E6C70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w:t>
      </w:r>
      <w:r>
        <w:rPr>
          <w:rFonts w:ascii="宋体" w:hAnsi="宋体"/>
          <w:sz w:val="24"/>
        </w:rPr>
        <w:lastRenderedPageBreak/>
        <w:t>整，并最迟于开始实施前按照《信息披露办法》的有关规定在指定媒介上公告。</w:t>
      </w:r>
    </w:p>
    <w:p w14:paraId="511D28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（七）基金的申购费和赎回费</w:t>
      </w:r>
    </w:p>
    <w:p w14:paraId="66B2C0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72805C71" w14:textId="549DEBF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本基金基金份额分为A类、B类</w:t>
      </w:r>
      <w:r w:rsidR="00253EEF">
        <w:rPr>
          <w:rFonts w:ascii="宋体" w:hAnsi="宋体" w:hint="eastAsia"/>
          <w:sz w:val="24"/>
        </w:rPr>
        <w:t>、</w:t>
      </w:r>
      <w:r>
        <w:rPr>
          <w:rFonts w:ascii="宋体" w:hAnsi="宋体"/>
          <w:sz w:val="24"/>
        </w:rPr>
        <w:t>C类</w:t>
      </w:r>
      <w:r w:rsidR="00253EEF">
        <w:rPr>
          <w:rFonts w:ascii="宋体" w:hAnsi="宋体" w:hint="eastAsia"/>
          <w:sz w:val="24"/>
        </w:rPr>
        <w:t>和D类</w:t>
      </w:r>
      <w:r>
        <w:rPr>
          <w:rFonts w:ascii="宋体" w:hAnsi="宋体"/>
          <w:sz w:val="24"/>
        </w:rPr>
        <w:t>基金份额。投资者申购A类基金份额</w:t>
      </w:r>
      <w:r w:rsidR="00253EEF" w:rsidRPr="000A019B">
        <w:rPr>
          <w:rFonts w:ascii="宋体" w:hAnsi="宋体" w:hint="eastAsia"/>
          <w:sz w:val="24"/>
        </w:rPr>
        <w:t>或D类基金份额</w:t>
      </w:r>
      <w:r>
        <w:rPr>
          <w:rFonts w:ascii="宋体" w:hAnsi="宋体"/>
          <w:sz w:val="24"/>
        </w:rPr>
        <w:t>支付申购费用，申购B类基金份额在赎回时才支付相应的申购费用，申购C类基金份额不支付申购费用，而是从该类别基金资产中计提销售服务费。</w:t>
      </w:r>
    </w:p>
    <w:p w14:paraId="41674154" w14:textId="6ADF7BB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w:t>
      </w:r>
      <w:r w:rsidR="007C4F42">
        <w:rPr>
          <w:rFonts w:ascii="宋体" w:hAnsi="宋体" w:hint="eastAsia"/>
          <w:sz w:val="24"/>
        </w:rPr>
        <w:t>类、</w:t>
      </w:r>
      <w:r>
        <w:rPr>
          <w:rFonts w:ascii="宋体" w:hAnsi="宋体"/>
          <w:sz w:val="24"/>
        </w:rPr>
        <w:t>B类</w:t>
      </w:r>
      <w:r w:rsidR="007C4F42">
        <w:rPr>
          <w:rFonts w:ascii="宋体" w:hAnsi="宋体" w:hint="eastAsia"/>
          <w:sz w:val="24"/>
        </w:rPr>
        <w:t>、D类</w:t>
      </w:r>
      <w:r>
        <w:rPr>
          <w:rFonts w:ascii="宋体" w:hAnsi="宋体"/>
          <w:sz w:val="24"/>
        </w:rPr>
        <w:t>基金份额的申购费用由</w:t>
      </w:r>
      <w:r w:rsidR="007C4F42">
        <w:rPr>
          <w:rFonts w:ascii="宋体" w:hAnsi="宋体" w:hint="eastAsia"/>
          <w:sz w:val="24"/>
        </w:rPr>
        <w:t>申购该</w:t>
      </w:r>
      <w:r>
        <w:rPr>
          <w:rFonts w:ascii="宋体" w:hAnsi="宋体"/>
          <w:sz w:val="24"/>
        </w:rPr>
        <w:t>类基金份额</w:t>
      </w:r>
      <w:r w:rsidR="007C4F42">
        <w:rPr>
          <w:rFonts w:ascii="宋体" w:hAnsi="宋体" w:hint="eastAsia"/>
          <w:sz w:val="24"/>
        </w:rPr>
        <w:t>的投资</w:t>
      </w:r>
      <w:r>
        <w:rPr>
          <w:rFonts w:ascii="宋体" w:hAnsi="宋体"/>
          <w:sz w:val="24"/>
        </w:rPr>
        <w:t>人承担，不列入基金财产，主要用于本基金的市场推广、销售、登记结算等各项费用。</w:t>
      </w:r>
    </w:p>
    <w:p w14:paraId="31420B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14:paraId="4DB0F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4247"/>
        <w:gridCol w:w="4403"/>
      </w:tblGrid>
      <w:tr w:rsidR="00CB5326" w14:paraId="04A795ED"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1831CF9B" w14:textId="77777777" w:rsidR="00CB5326" w:rsidRDefault="000C1687" w:rsidP="000446D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45" w:type="pct"/>
            <w:tcBorders>
              <w:top w:val="single" w:sz="4" w:space="0" w:color="auto"/>
              <w:left w:val="single" w:sz="4" w:space="0" w:color="auto"/>
              <w:bottom w:val="single" w:sz="4" w:space="0" w:color="auto"/>
              <w:right w:val="single" w:sz="4" w:space="0" w:color="auto"/>
            </w:tcBorders>
            <w:vAlign w:val="center"/>
          </w:tcPr>
          <w:p w14:paraId="49F6304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CB5326" w14:paraId="3B24172E"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2C2F4F0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45" w:type="pct"/>
            <w:tcBorders>
              <w:top w:val="single" w:sz="4" w:space="0" w:color="auto"/>
              <w:left w:val="single" w:sz="4" w:space="0" w:color="auto"/>
              <w:bottom w:val="single" w:sz="4" w:space="0" w:color="auto"/>
              <w:right w:val="single" w:sz="4" w:space="0" w:color="auto"/>
            </w:tcBorders>
            <w:vAlign w:val="center"/>
          </w:tcPr>
          <w:p w14:paraId="2DF8C18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B5326" w14:paraId="266BB7FA"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729A04B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45" w:type="pct"/>
            <w:tcBorders>
              <w:top w:val="single" w:sz="4" w:space="0" w:color="auto"/>
              <w:left w:val="single" w:sz="4" w:space="0" w:color="auto"/>
              <w:bottom w:val="single" w:sz="4" w:space="0" w:color="auto"/>
              <w:right w:val="single" w:sz="4" w:space="0" w:color="auto"/>
            </w:tcBorders>
            <w:vAlign w:val="center"/>
          </w:tcPr>
          <w:p w14:paraId="19B3EBD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B5326" w14:paraId="2C92808D"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0D7DCAF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45" w:type="pct"/>
            <w:tcBorders>
              <w:top w:val="single" w:sz="4" w:space="0" w:color="auto"/>
              <w:left w:val="single" w:sz="4" w:space="0" w:color="auto"/>
              <w:bottom w:val="single" w:sz="4" w:space="0" w:color="auto"/>
              <w:right w:val="single" w:sz="4" w:space="0" w:color="auto"/>
            </w:tcBorders>
            <w:vAlign w:val="center"/>
          </w:tcPr>
          <w:p w14:paraId="2DE1053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B5326" w14:paraId="06A7424F"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0B5A6C1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45" w:type="pct"/>
            <w:tcBorders>
              <w:top w:val="single" w:sz="4" w:space="0" w:color="auto"/>
              <w:left w:val="single" w:sz="4" w:space="0" w:color="auto"/>
              <w:bottom w:val="single" w:sz="4" w:space="0" w:color="auto"/>
              <w:right w:val="single" w:sz="4" w:space="0" w:color="auto"/>
            </w:tcBorders>
            <w:vAlign w:val="center"/>
          </w:tcPr>
          <w:p w14:paraId="26F100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CB5326" w14:paraId="777B5D87"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59A77A5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万元（含）以上</w:t>
            </w:r>
          </w:p>
        </w:tc>
        <w:tc>
          <w:tcPr>
            <w:tcW w:w="2545" w:type="pct"/>
            <w:tcBorders>
              <w:top w:val="single" w:sz="4" w:space="0" w:color="auto"/>
              <w:left w:val="single" w:sz="4" w:space="0" w:color="auto"/>
              <w:bottom w:val="single" w:sz="4" w:space="0" w:color="auto"/>
              <w:right w:val="single" w:sz="4" w:space="0" w:color="auto"/>
            </w:tcBorders>
            <w:vAlign w:val="center"/>
          </w:tcPr>
          <w:p w14:paraId="090DF4F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2BFED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本基金B类基金份额的申购费率如下：</w:t>
      </w:r>
    </w:p>
    <w:tbl>
      <w:tblPr>
        <w:tblW w:w="5000" w:type="pct"/>
        <w:tblCellMar>
          <w:left w:w="0" w:type="dxa"/>
          <w:right w:w="0" w:type="dxa"/>
        </w:tblCellMar>
        <w:tblLook w:val="0000" w:firstRow="0" w:lastRow="0" w:firstColumn="0" w:lastColumn="0" w:noHBand="0" w:noVBand="0"/>
      </w:tblPr>
      <w:tblGrid>
        <w:gridCol w:w="4247"/>
        <w:gridCol w:w="4403"/>
      </w:tblGrid>
      <w:tr w:rsidR="00CB5326" w14:paraId="029C964D"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28171D2D" w14:textId="77777777" w:rsidR="00CB5326" w:rsidRDefault="000C1687" w:rsidP="000446D5">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545" w:type="pct"/>
            <w:tcBorders>
              <w:top w:val="single" w:sz="4" w:space="0" w:color="auto"/>
              <w:left w:val="single" w:sz="4" w:space="0" w:color="auto"/>
              <w:bottom w:val="single" w:sz="4" w:space="0" w:color="auto"/>
              <w:right w:val="single" w:sz="4" w:space="0" w:color="auto"/>
            </w:tcBorders>
            <w:vAlign w:val="center"/>
          </w:tcPr>
          <w:p w14:paraId="19C701C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r>
              <w:rPr>
                <w:rFonts w:ascii="Times New Roman" w:hAnsi="Times New Roman"/>
                <w:color w:val="000000"/>
                <w:kern w:val="0"/>
                <w:sz w:val="25"/>
                <w:szCs w:val="24"/>
              </w:rPr>
              <w:t>类基金份额后端申购费率</w:t>
            </w:r>
          </w:p>
        </w:tc>
      </w:tr>
      <w:tr w:rsidR="00CB5326" w14:paraId="2F004E48"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4C3EBB6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545" w:type="pct"/>
            <w:tcBorders>
              <w:top w:val="single" w:sz="4" w:space="0" w:color="auto"/>
              <w:left w:val="single" w:sz="4" w:space="0" w:color="auto"/>
              <w:bottom w:val="single" w:sz="4" w:space="0" w:color="auto"/>
              <w:right w:val="single" w:sz="4" w:space="0" w:color="auto"/>
            </w:tcBorders>
            <w:vAlign w:val="center"/>
          </w:tcPr>
          <w:p w14:paraId="1DA71C95"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CB5326" w14:paraId="4C5FDDD0"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39C7E4F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545" w:type="pct"/>
            <w:tcBorders>
              <w:top w:val="single" w:sz="4" w:space="0" w:color="auto"/>
              <w:left w:val="single" w:sz="4" w:space="0" w:color="auto"/>
              <w:bottom w:val="single" w:sz="4" w:space="0" w:color="auto"/>
              <w:right w:val="single" w:sz="4" w:space="0" w:color="auto"/>
            </w:tcBorders>
            <w:vAlign w:val="center"/>
          </w:tcPr>
          <w:p w14:paraId="44A6C1A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B5326" w14:paraId="6928395E"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14CD4C9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545" w:type="pct"/>
            <w:tcBorders>
              <w:top w:val="single" w:sz="4" w:space="0" w:color="auto"/>
              <w:left w:val="single" w:sz="4" w:space="0" w:color="auto"/>
              <w:bottom w:val="single" w:sz="4" w:space="0" w:color="auto"/>
              <w:right w:val="single" w:sz="4" w:space="0" w:color="auto"/>
            </w:tcBorders>
            <w:vAlign w:val="center"/>
          </w:tcPr>
          <w:p w14:paraId="23009A3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CB5326" w14:paraId="0C6CE89C" w14:textId="77777777" w:rsidTr="000446D5">
        <w:trPr>
          <w:cantSplit/>
          <w:trHeight w:val="375"/>
        </w:trPr>
        <w:tc>
          <w:tcPr>
            <w:tcW w:w="2455" w:type="pct"/>
            <w:tcBorders>
              <w:top w:val="single" w:sz="4" w:space="0" w:color="auto"/>
              <w:left w:val="single" w:sz="4" w:space="0" w:color="auto"/>
              <w:bottom w:val="single" w:sz="4" w:space="0" w:color="auto"/>
              <w:right w:val="single" w:sz="4" w:space="0" w:color="auto"/>
            </w:tcBorders>
            <w:vAlign w:val="center"/>
          </w:tcPr>
          <w:p w14:paraId="472DB6B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545" w:type="pct"/>
            <w:tcBorders>
              <w:top w:val="single" w:sz="4" w:space="0" w:color="auto"/>
              <w:left w:val="single" w:sz="4" w:space="0" w:color="auto"/>
              <w:bottom w:val="single" w:sz="4" w:space="0" w:color="auto"/>
              <w:right w:val="single" w:sz="4" w:space="0" w:color="auto"/>
            </w:tcBorders>
            <w:vAlign w:val="center"/>
          </w:tcPr>
          <w:p w14:paraId="3FC890E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0988E2D" w14:textId="77777777" w:rsidR="007C4F42" w:rsidRDefault="007C4F42" w:rsidP="007C4F4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7C4F42" w14:paraId="726FA4B4"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931828"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71129F21"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类基金份额前端申购费率</w:t>
            </w:r>
          </w:p>
        </w:tc>
      </w:tr>
      <w:tr w:rsidR="007C4F42" w14:paraId="14016AB7"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00E8700"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85DDD5A"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7C4F42" w14:paraId="539A8253"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567979E"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2305786"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7C4F42" w14:paraId="0BA2BFBC"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869167"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A8501CB"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7C4F42" w14:paraId="2BF7778F"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A253DA"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777DA1D"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7C4F42" w14:paraId="7FDD6561" w14:textId="77777777" w:rsidTr="0024757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B26770"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万元（含）以上</w:t>
            </w:r>
          </w:p>
        </w:tc>
        <w:tc>
          <w:tcPr>
            <w:tcW w:w="750" w:type="pct"/>
            <w:tcBorders>
              <w:top w:val="single" w:sz="4" w:space="0" w:color="auto"/>
              <w:left w:val="single" w:sz="4" w:space="0" w:color="auto"/>
              <w:bottom w:val="single" w:sz="4" w:space="0" w:color="auto"/>
              <w:right w:val="single" w:sz="4" w:space="0" w:color="auto"/>
            </w:tcBorders>
            <w:vAlign w:val="center"/>
          </w:tcPr>
          <w:p w14:paraId="0A372043" w14:textId="263D7A13" w:rsidR="007C4F42" w:rsidRDefault="007C4F42" w:rsidP="007C4F4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49245C99" w14:textId="2D237E3E"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w:t>
      </w:r>
      <w:r w:rsidR="009419C7">
        <w:rPr>
          <w:rFonts w:ascii="宋体" w:hAnsi="宋体" w:hint="eastAsia"/>
          <w:sz w:val="24"/>
        </w:rPr>
        <w:t>类、</w:t>
      </w:r>
      <w:r>
        <w:rPr>
          <w:rFonts w:ascii="宋体" w:hAnsi="宋体"/>
          <w:sz w:val="24"/>
        </w:rPr>
        <w:t>B类</w:t>
      </w:r>
      <w:r w:rsidR="009419C7">
        <w:rPr>
          <w:rFonts w:ascii="宋体" w:hAnsi="宋体" w:hint="eastAsia"/>
          <w:sz w:val="24"/>
        </w:rPr>
        <w:t>或D类</w:t>
      </w:r>
      <w:r>
        <w:rPr>
          <w:rFonts w:ascii="宋体" w:hAnsi="宋体"/>
          <w:sz w:val="24"/>
        </w:rPr>
        <w:t>基金份额的基金投资者因红利自动再投资而产生的A</w:t>
      </w:r>
      <w:r w:rsidR="009419C7">
        <w:rPr>
          <w:rFonts w:ascii="宋体" w:hAnsi="宋体" w:hint="eastAsia"/>
          <w:sz w:val="24"/>
        </w:rPr>
        <w:t>类、</w:t>
      </w:r>
      <w:r>
        <w:rPr>
          <w:rFonts w:ascii="宋体" w:hAnsi="宋体"/>
          <w:sz w:val="24"/>
        </w:rPr>
        <w:t>B类</w:t>
      </w:r>
      <w:r w:rsidR="009419C7">
        <w:rPr>
          <w:rFonts w:ascii="宋体" w:hAnsi="宋体" w:hint="eastAsia"/>
          <w:sz w:val="24"/>
        </w:rPr>
        <w:t>或D类</w:t>
      </w:r>
      <w:r>
        <w:rPr>
          <w:rFonts w:ascii="宋体" w:hAnsi="宋体"/>
          <w:sz w:val="24"/>
        </w:rPr>
        <w:t>基金份额，不收取相应的申购费用。</w:t>
      </w:r>
    </w:p>
    <w:p w14:paraId="13012EB4" w14:textId="104F6ED4"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本基金对通过本公司直销柜台申购本基金A类基金份额</w:t>
      </w:r>
      <w:r w:rsidR="007C4F42" w:rsidRPr="007C4F42">
        <w:rPr>
          <w:rFonts w:ascii="宋体" w:hAnsi="宋体" w:hint="eastAsia"/>
          <w:sz w:val="24"/>
        </w:rPr>
        <w:t>或D类基金份额</w:t>
      </w:r>
      <w:r>
        <w:rPr>
          <w:rFonts w:ascii="宋体" w:hAnsi="宋体"/>
          <w:sz w:val="24"/>
        </w:rPr>
        <w:t>的养老金客户实施特定申购费率。</w:t>
      </w:r>
    </w:p>
    <w:p w14:paraId="2F6970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AFC99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CB5326" w14:paraId="6BFFEDF3" w14:textId="77777777" w:rsidTr="007C4F42">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79BDFEF" w14:textId="639DC4C8" w:rsidR="00CB5326" w:rsidRDefault="000C1687" w:rsidP="000446D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r>
              <w:rPr>
                <w:rFonts w:ascii="Times New Roman" w:hAnsi="Times New Roman"/>
                <w:color w:val="000000"/>
                <w:kern w:val="0"/>
                <w:sz w:val="25"/>
                <w:szCs w:val="24"/>
              </w:rPr>
              <w:t>A</w:t>
            </w:r>
            <w:r>
              <w:rPr>
                <w:rFonts w:ascii="Times New Roman" w:hAnsi="Times New Roman"/>
                <w:color w:val="000000"/>
                <w:kern w:val="0"/>
                <w:sz w:val="25"/>
                <w:szCs w:val="24"/>
              </w:rPr>
              <w:t>类</w:t>
            </w:r>
            <w:r w:rsidR="007C4F42" w:rsidRPr="007C4F42">
              <w:rPr>
                <w:rFonts w:ascii="Times New Roman" w:hAnsi="Times New Roman" w:hint="eastAsia"/>
                <w:color w:val="000000"/>
                <w:kern w:val="0"/>
                <w:sz w:val="25"/>
                <w:szCs w:val="24"/>
              </w:rPr>
              <w:t>基金份额</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41EABDB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657C48C1" w14:textId="085AD795"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r w:rsidR="00AA4D4F">
              <w:rPr>
                <w:rFonts w:ascii="Times New Roman" w:hAnsi="Times New Roman" w:hint="eastAsia"/>
                <w:color w:val="000000"/>
                <w:kern w:val="0"/>
                <w:sz w:val="25"/>
                <w:szCs w:val="24"/>
              </w:rPr>
              <w:t>基金份额</w:t>
            </w:r>
            <w:r>
              <w:rPr>
                <w:rFonts w:ascii="Times New Roman" w:hAnsi="Times New Roman"/>
                <w:color w:val="000000"/>
                <w:kern w:val="0"/>
                <w:sz w:val="25"/>
                <w:szCs w:val="24"/>
              </w:rPr>
              <w:t>特定申购费率</w:t>
            </w:r>
          </w:p>
        </w:tc>
      </w:tr>
      <w:tr w:rsidR="00CB5326" w14:paraId="3A0F92AF" w14:textId="77777777" w:rsidTr="007C4F4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4587B50" w14:textId="77777777" w:rsidR="00CB5326" w:rsidRDefault="00CB5326">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17F859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435411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CB5326" w14:paraId="0A0F3265" w14:textId="77777777" w:rsidTr="007C4F4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7B1061" w14:textId="77777777" w:rsidR="00CB5326" w:rsidRDefault="00CB5326">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63013A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D6FEE2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CB5326" w14:paraId="29580AC4" w14:textId="77777777" w:rsidTr="007C4F4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40D0E55" w14:textId="77777777" w:rsidR="00CB5326" w:rsidRDefault="00CB5326">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3EB8AD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E3A9AF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CB5326" w14:paraId="186D709B" w14:textId="77777777" w:rsidTr="007C4F4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1A1BF9F" w14:textId="77777777" w:rsidR="00CB5326" w:rsidRDefault="00CB5326">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540F6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82A438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CB5326" w14:paraId="56E65074" w14:textId="77777777" w:rsidTr="007C4F42">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985A6A0" w14:textId="77777777" w:rsidR="00CB5326" w:rsidRDefault="00CB5326">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7562A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143" w:type="pct"/>
            <w:tcBorders>
              <w:top w:val="single" w:sz="4" w:space="0" w:color="auto"/>
              <w:left w:val="single" w:sz="4" w:space="0" w:color="auto"/>
              <w:bottom w:val="single" w:sz="4" w:space="0" w:color="auto"/>
              <w:right w:val="single" w:sz="4" w:space="0" w:color="auto"/>
            </w:tcBorders>
            <w:vAlign w:val="center"/>
          </w:tcPr>
          <w:p w14:paraId="1FA6A3C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706F3CA" w14:textId="77777777" w:rsidR="007C4F42" w:rsidRDefault="007C4F42" w:rsidP="007C4F4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7C4F42" w14:paraId="10EA94B1" w14:textId="77777777" w:rsidTr="0024757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0C39640" w14:textId="77777777" w:rsidR="007C4F42" w:rsidRDefault="007C4F42" w:rsidP="000446D5">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r>
              <w:rPr>
                <w:rFonts w:ascii="Times New Roman" w:hAnsi="Times New Roman"/>
                <w:color w:val="000000"/>
                <w:kern w:val="0"/>
                <w:sz w:val="25"/>
                <w:szCs w:val="24"/>
              </w:rPr>
              <w:t>D</w:t>
            </w:r>
            <w:r>
              <w:rPr>
                <w:rFonts w:ascii="Times New Roman" w:hAnsi="Times New Roman"/>
                <w:color w:val="000000"/>
                <w:kern w:val="0"/>
                <w:sz w:val="25"/>
                <w:szCs w:val="24"/>
              </w:rPr>
              <w:t>类基金份额）</w:t>
            </w:r>
          </w:p>
        </w:tc>
        <w:tc>
          <w:tcPr>
            <w:tcW w:w="2143" w:type="pct"/>
            <w:tcBorders>
              <w:top w:val="single" w:sz="4" w:space="0" w:color="auto"/>
              <w:left w:val="single" w:sz="4" w:space="0" w:color="auto"/>
              <w:bottom w:val="single" w:sz="4" w:space="0" w:color="auto"/>
              <w:right w:val="single" w:sz="4" w:space="0" w:color="auto"/>
            </w:tcBorders>
            <w:vAlign w:val="center"/>
          </w:tcPr>
          <w:p w14:paraId="4A67F77B"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18E088C" w14:textId="20492EB3" w:rsidR="007C4F42" w:rsidRDefault="00AA4D4F" w:rsidP="00247575">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hint="eastAsia"/>
                <w:color w:val="000000"/>
                <w:kern w:val="0"/>
                <w:sz w:val="25"/>
                <w:szCs w:val="24"/>
              </w:rPr>
              <w:t>类基金份额</w:t>
            </w:r>
            <w:r w:rsidR="007C4F42">
              <w:rPr>
                <w:rFonts w:ascii="Times New Roman" w:hAnsi="Times New Roman"/>
                <w:color w:val="000000"/>
                <w:kern w:val="0"/>
                <w:sz w:val="25"/>
                <w:szCs w:val="24"/>
              </w:rPr>
              <w:t>特定申购费率</w:t>
            </w:r>
          </w:p>
        </w:tc>
      </w:tr>
      <w:tr w:rsidR="007C4F42" w14:paraId="464322CA" w14:textId="77777777" w:rsidTr="0024757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256F5C3" w14:textId="77777777" w:rsidR="007C4F42" w:rsidRDefault="007C4F42" w:rsidP="0024757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D1EFACE"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88876D2"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7C4F42" w14:paraId="1656211C" w14:textId="77777777" w:rsidTr="0024757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89A8AAF" w14:textId="77777777" w:rsidR="007C4F42" w:rsidRDefault="007C4F42" w:rsidP="0024757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C7133E"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F3A3028"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7C4F42" w14:paraId="260AD368" w14:textId="77777777" w:rsidTr="0024757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140F9F4" w14:textId="77777777" w:rsidR="007C4F42" w:rsidRDefault="007C4F42" w:rsidP="0024757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4C1C3C2"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87FB336"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7C4F42" w14:paraId="0CB0354A" w14:textId="77777777" w:rsidTr="0024757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85D0222" w14:textId="77777777" w:rsidR="007C4F42" w:rsidRDefault="007C4F42" w:rsidP="0024757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32776CD"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C05919E" w14:textId="77777777" w:rsidR="007C4F42" w:rsidRDefault="007C4F42" w:rsidP="0024757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7C4F42" w14:paraId="1C1F46AB" w14:textId="77777777" w:rsidTr="0024757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EF91805" w14:textId="77777777" w:rsidR="007C4F42" w:rsidRDefault="007C4F42" w:rsidP="0024757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51B643E" w14:textId="77777777" w:rsidR="007C4F42" w:rsidRDefault="007C4F42" w:rsidP="0024757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E14BA1" w14:textId="69D729DC" w:rsidR="007C4F42" w:rsidRDefault="007C4F42" w:rsidP="007C4F42">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76E6C62A" w14:textId="77777777" w:rsidR="007C4F42" w:rsidRDefault="007C4F42" w:rsidP="007C4F42">
      <w:pPr>
        <w:autoSpaceDE w:val="0"/>
        <w:autoSpaceDN w:val="0"/>
        <w:snapToGrid w:val="0"/>
        <w:spacing w:line="360" w:lineRule="auto"/>
        <w:jc w:val="left"/>
        <w:rPr>
          <w:rFonts w:ascii="宋体" w:hAnsi="宋体"/>
          <w:kern w:val="0"/>
          <w:szCs w:val="21"/>
        </w:rPr>
      </w:pPr>
      <w:r>
        <w:rPr>
          <w:rFonts w:ascii="宋体" w:hAnsi="宋体" w:hint="eastAsia"/>
          <w:sz w:val="24"/>
        </w:rPr>
        <w:t xml:space="preserve"> </w:t>
      </w:r>
      <w:r>
        <w:rPr>
          <w:rFonts w:ascii="宋体" w:hAnsi="宋体"/>
          <w:sz w:val="24"/>
        </w:rPr>
        <w:t xml:space="preserve">   </w:t>
      </w: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00BEF7FF" w14:textId="1F5ADA13"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393CB3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8CD61BB" w14:textId="69170ED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投资者赎回基金份额收取赎回费用，该费用随基金份额的持有时间递减。本基金</w:t>
      </w:r>
      <w:r w:rsidR="00435942" w:rsidRPr="00435942">
        <w:rPr>
          <w:rFonts w:ascii="宋体" w:hAnsi="宋体" w:hint="eastAsia"/>
          <w:sz w:val="24"/>
        </w:rPr>
        <w:t>A类、B类、C类和D类基金份额的赎回费用由赎回该类基金份额的基金份额持有人承担</w:t>
      </w:r>
      <w:r>
        <w:rPr>
          <w:rFonts w:ascii="宋体" w:hAnsi="宋体"/>
          <w:sz w:val="24"/>
        </w:rPr>
        <w:t>，赎回费用的25%归基金财产，其余用于支付注册登记费和其他必要的手续费。其中，对持续持有期少于7日的基金份额持有人收取不低于1.5%的赎回费并全额计入基金财产。</w:t>
      </w:r>
    </w:p>
    <w:p w14:paraId="2A2B21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本基金A/B类基金份额的赎回费率如下：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29C588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B3A1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2D40CB5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B5326" w14:paraId="5177C1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104DF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E8BBA5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5326" w14:paraId="2A7C79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45DEC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5813FE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CB5326" w14:paraId="4BF070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549AA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CBD79A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CB5326" w14:paraId="2319B5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103C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23F257A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C495852" w14:textId="7A29E41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w:t>
      </w:r>
      <w:r w:rsidR="00F60760">
        <w:rPr>
          <w:rFonts w:ascii="宋体" w:hAnsi="宋体" w:hint="eastAsia"/>
          <w:sz w:val="24"/>
        </w:rPr>
        <w:t>和D类基金份额</w:t>
      </w:r>
      <w:r>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59DB3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CDFFC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3DD97145"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B5326" w14:paraId="704A8B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98025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449DAED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5326" w14:paraId="1DF7EF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E451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3017D94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BB893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3、基金管理人可以在履行相关手续后，在基金合同约定的范围内调整申购、赎回费率或调整收费方式，基金管理人应于新的费率或收费方式实施日前依照有关规定在指定媒介上公告。</w:t>
      </w:r>
    </w:p>
    <w:p w14:paraId="02F3D6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5F7FB2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（八）申购和赎回的数额和价格</w:t>
      </w:r>
    </w:p>
    <w:p w14:paraId="40E2F7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E2ED5B2" w14:textId="7717838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（1）申购份额余额的处理方式：申购的有效份额按实际确认的申购金额在扣除申购费用（如有）后，以当日</w:t>
      </w:r>
      <w:r w:rsidR="005E67F7" w:rsidRPr="008067C8">
        <w:rPr>
          <w:rFonts w:hint="eastAsia"/>
          <w:bCs/>
          <w:sz w:val="24"/>
        </w:rPr>
        <w:t>该类基金份额</w:t>
      </w:r>
      <w:r w:rsidR="005E67F7">
        <w:rPr>
          <w:rFonts w:hint="eastAsia"/>
          <w:bCs/>
          <w:sz w:val="24"/>
        </w:rPr>
        <w:t>的</w:t>
      </w:r>
      <w:r>
        <w:rPr>
          <w:rFonts w:ascii="宋体" w:hAnsi="宋体"/>
          <w:sz w:val="24"/>
        </w:rPr>
        <w:t>基金份额净值为基准计算，场外申购的有效份额按照四舍五入的原则保留到小数点后2位，由此误差产生的损失由基金财产承担，产生的收益归基金财产所有。场内申购的有效份额的计算截位保留到整数位，剩余部分折回金额返还投资者，折回金额的计算保留到小数点后两位，小数点两位以后的部分四舍五入，由此误差产生的损失由基金财产承担，产生的收益归基金财产所有。</w:t>
      </w:r>
    </w:p>
    <w:p w14:paraId="45C8F66A" w14:textId="2A75E23F"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（2）赎回金额余额的处理方式：赎回金额为按实际确认的有效赎回份额乘以当日</w:t>
      </w:r>
      <w:r w:rsidR="005E67F7" w:rsidRPr="008067C8">
        <w:rPr>
          <w:rFonts w:hint="eastAsia"/>
          <w:bCs/>
          <w:sz w:val="24"/>
        </w:rPr>
        <w:t>该类基金份额</w:t>
      </w:r>
      <w:r w:rsidR="005E67F7">
        <w:rPr>
          <w:rFonts w:hint="eastAsia"/>
          <w:bCs/>
          <w:sz w:val="24"/>
        </w:rPr>
        <w:t>的</w:t>
      </w:r>
      <w:r>
        <w:rPr>
          <w:rFonts w:ascii="宋体" w:hAnsi="宋体"/>
          <w:sz w:val="24"/>
        </w:rPr>
        <w:t>基金份额净值并扣除赎回费用（如有），赎回金额计算结果按照四舍五入的原则保留到小数点后2位，由此误差产生的损失由基金财产承担，产生的收益归基金财产所有。</w:t>
      </w:r>
    </w:p>
    <w:p w14:paraId="49A21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A77DE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（1）A类基金份额的申购</w:t>
      </w:r>
    </w:p>
    <w:p w14:paraId="139BE1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E25A0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48905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7B0D2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558B65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FC8D665" w14:textId="5348D471"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C507A">
        <w:rPr>
          <w:rFonts w:ascii="宋体" w:hAnsi="宋体"/>
          <w:noProof/>
          <w:kern w:val="0"/>
          <w:sz w:val="24"/>
        </w:rPr>
        <w:drawing>
          <wp:inline distT="0" distB="0" distL="0" distR="0" wp14:anchorId="1D22203A" wp14:editId="47E91148">
            <wp:extent cx="2755900" cy="660400"/>
            <wp:effectExtent l="0" t="0" r="0" b="0"/>
            <wp:docPr id="6"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36D5C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场内申购的有效份额保留到整数位，剩余部分对应申购资金返还投资者。</w:t>
      </w:r>
    </w:p>
    <w:p w14:paraId="42924B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例一：某投资者投资100,000元申购本基金的A类基金份额，假设申购当日A/B类基金份额净值为1.0400元，申购费率为0.8%，如果该投资者是场外申购，则其可得到的申购份额为：</w:t>
      </w:r>
    </w:p>
    <w:p w14:paraId="017512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34D3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44625C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0C8A87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397042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如果该投资者是场内申购，申购份额为95,390份，其余0.72份对应金额返回给投资者。</w:t>
      </w:r>
    </w:p>
    <w:p w14:paraId="22C0A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（2）B类基金份额的申购</w:t>
      </w:r>
    </w:p>
    <w:p w14:paraId="52D72E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41306C8" w14:textId="69BE62A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C507A">
        <w:rPr>
          <w:rFonts w:ascii="宋体" w:hAnsi="宋体"/>
          <w:noProof/>
          <w:kern w:val="0"/>
          <w:sz w:val="24"/>
        </w:rPr>
        <w:drawing>
          <wp:inline distT="0" distB="0" distL="0" distR="0" wp14:anchorId="413B1674" wp14:editId="25E5536E">
            <wp:extent cx="2755900" cy="6604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08F7F4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14:paraId="2B662E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后端申购费用＝赎回份额×T日A/B类基金份额净值×后端申购费率</w:t>
      </w:r>
    </w:p>
    <w:p w14:paraId="0A1CB1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例二：某投资者投资100,000元申购本基金的B类基金份额，假设申购当日A/B类基金份额净值为1.0400元，则其可得到的申购份额为：</w:t>
      </w:r>
    </w:p>
    <w:p w14:paraId="09CAB5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409785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即：投资者投资100,000元申购本基金的B类基金份额，假设申购当日A/B类基</w:t>
      </w:r>
      <w:r>
        <w:rPr>
          <w:rFonts w:ascii="宋体" w:hAnsi="宋体"/>
          <w:sz w:val="24"/>
        </w:rPr>
        <w:lastRenderedPageBreak/>
        <w:t>金份额净值为1.0400元，则可得到96,153.85份基金份额，但其在赎回时需根据其持有时间按对应的后端申购费率交纳后端申购费用。</w:t>
      </w:r>
    </w:p>
    <w:p w14:paraId="0FED57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（3）C类基金份额的申购</w:t>
      </w:r>
    </w:p>
    <w:p w14:paraId="1F4BAB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3503FB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4CBD1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4A1F95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38BDB8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16C6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13C0BEE4"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（4）D类基金份额的申购</w:t>
      </w:r>
    </w:p>
    <w:p w14:paraId="6467EE6B"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0232648E"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2483B5B"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0819EC81"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6592BE31"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499759E2" w14:textId="77777777"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4E600526" w14:textId="77777777" w:rsidR="004770F1" w:rsidRPr="00AB4D63"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54B258AC" w14:textId="30FACFB4" w:rsidR="004770F1" w:rsidRDefault="004770F1"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：某投资者投资100,000</w:t>
      </w:r>
      <w:r w:rsidR="00C838FE">
        <w:rPr>
          <w:rFonts w:ascii="宋体" w:hAnsi="宋体"/>
          <w:sz w:val="24"/>
        </w:rPr>
        <w:t>.00</w:t>
      </w:r>
      <w:r>
        <w:rPr>
          <w:rFonts w:ascii="宋体" w:hAnsi="宋体"/>
          <w:sz w:val="24"/>
        </w:rPr>
        <w:t>元申购本基金的D类基金份额，假设申购当日D类基金份额净值为1.0400元，申购费率为0.9%，则其可得到的申购份额为：</w:t>
      </w:r>
    </w:p>
    <w:p w14:paraId="16E6F3F7" w14:textId="77777777" w:rsidR="006D79DF" w:rsidRDefault="006D79DF" w:rsidP="006D79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申购总金额＝100,000.00元</w:t>
      </w:r>
    </w:p>
    <w:p w14:paraId="352A1B5B" w14:textId="77777777" w:rsidR="006D79DF" w:rsidRDefault="006D79DF" w:rsidP="006D79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净申购金额=100,000.00/（1+0.9%）=</w:t>
      </w:r>
      <w:r w:rsidRPr="00BE06B2">
        <w:rPr>
          <w:rFonts w:ascii="宋体" w:hAnsi="宋体"/>
          <w:sz w:val="24"/>
        </w:rPr>
        <w:t>99,108.03</w:t>
      </w:r>
      <w:r>
        <w:rPr>
          <w:rFonts w:ascii="宋体" w:hAnsi="宋体"/>
          <w:sz w:val="24"/>
        </w:rPr>
        <w:t>元</w:t>
      </w:r>
    </w:p>
    <w:p w14:paraId="2B68369F" w14:textId="77777777" w:rsidR="006D79DF" w:rsidRDefault="006D79DF" w:rsidP="006D79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58042CF4" w14:textId="77777777" w:rsidR="006D79DF" w:rsidRDefault="006D79DF" w:rsidP="006D79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333D7983" w14:textId="77777777" w:rsidR="006D79DF" w:rsidRDefault="006D79DF" w:rsidP="006D79D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即：投资者投资100,000.00元申购本基金</w:t>
      </w:r>
      <w:r>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17AA4A4A" w14:textId="0803372B" w:rsidR="00CB5326" w:rsidRDefault="000C1687" w:rsidP="004770F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AF0C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01894F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如果投资者赎回A类基金份额，则赎回金额的计算方法如下：</w:t>
      </w:r>
    </w:p>
    <w:p w14:paraId="0BAD9D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赎回费用=赎回份额×T日A/B类基金份额净值×赎回费率</w:t>
      </w:r>
    </w:p>
    <w:p w14:paraId="1E7C27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赎回金额=赎回份额×T日A/B类基金份额净值-赎回费用</w:t>
      </w:r>
    </w:p>
    <w:p w14:paraId="1C147439" w14:textId="34A02751"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9002B5">
        <w:rPr>
          <w:rFonts w:ascii="宋体" w:hAnsi="宋体" w:hint="eastAsia"/>
          <w:sz w:val="24"/>
        </w:rPr>
        <w:t>五</w:t>
      </w:r>
      <w:r>
        <w:rPr>
          <w:rFonts w:ascii="宋体" w:hAnsi="宋体"/>
          <w:sz w:val="24"/>
        </w:rPr>
        <w:t>：某投资者赎回100,000份A类基金份额，</w:t>
      </w:r>
      <w:r w:rsidR="009002B5" w:rsidRPr="009002B5">
        <w:rPr>
          <w:rFonts w:ascii="宋体" w:hAnsi="宋体" w:hint="eastAsia"/>
          <w:sz w:val="24"/>
        </w:rPr>
        <w:t>持有期限为100天，</w:t>
      </w:r>
      <w:r>
        <w:rPr>
          <w:rFonts w:ascii="宋体" w:hAnsi="宋体"/>
          <w:sz w:val="24"/>
        </w:rPr>
        <w:t>对应的赎回费率为0.1%，假设赎回当日A/B类基金份额净值是1.0160元，则其可得到的赎回金额为：</w:t>
      </w:r>
    </w:p>
    <w:p w14:paraId="57BB6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4B0FE2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3B72C843" w14:textId="1F2B415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即：投资者赎回100,000万份A类基金份额，</w:t>
      </w:r>
      <w:r w:rsidR="009002B5" w:rsidRPr="009002B5">
        <w:rPr>
          <w:rFonts w:ascii="宋体" w:hAnsi="宋体" w:hint="eastAsia"/>
          <w:sz w:val="24"/>
        </w:rPr>
        <w:t>持有期限为100天，对应的赎回费率为0.1%，</w:t>
      </w:r>
      <w:r>
        <w:rPr>
          <w:rFonts w:ascii="宋体" w:hAnsi="宋体"/>
          <w:sz w:val="24"/>
        </w:rPr>
        <w:t>假设赎回当日A/B类基金份额净值是1.0160元，则其可得到的赎回金额为101,498.40元。</w:t>
      </w:r>
    </w:p>
    <w:p w14:paraId="3D797D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（2）B类基金份额的赎回</w:t>
      </w:r>
    </w:p>
    <w:p w14:paraId="78BEEC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如果投资者赎回B类基金份额，则赎回金额的计算方法如下：</w:t>
      </w:r>
    </w:p>
    <w:p w14:paraId="4F8405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赎回总额＝赎回份额×T日A/B类基金份额净值</w:t>
      </w:r>
    </w:p>
    <w:p w14:paraId="16C39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后端（认）申购费用＝赎回份额×（认）申购日基金份额净值×后端（认）申购费率</w:t>
      </w:r>
    </w:p>
    <w:p w14:paraId="69CF31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4CAE22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4F69C9BD" w14:textId="7F111B8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9002B5">
        <w:rPr>
          <w:rFonts w:ascii="宋体" w:hAnsi="宋体" w:hint="eastAsia"/>
          <w:sz w:val="24"/>
        </w:rPr>
        <w:t>六</w:t>
      </w:r>
      <w:r>
        <w:rPr>
          <w:rFonts w:ascii="宋体" w:hAnsi="宋体"/>
          <w:sz w:val="24"/>
        </w:rPr>
        <w:t>：某投资者赎回100,000份B类基金份额，</w:t>
      </w:r>
      <w:r w:rsidR="009002B5" w:rsidRPr="009002B5">
        <w:rPr>
          <w:rFonts w:ascii="宋体" w:hAnsi="宋体" w:hint="eastAsia"/>
          <w:sz w:val="24"/>
        </w:rPr>
        <w:t>持有期限为100天，</w:t>
      </w:r>
      <w:r>
        <w:rPr>
          <w:rFonts w:ascii="宋体" w:hAnsi="宋体"/>
          <w:sz w:val="24"/>
        </w:rPr>
        <w:t>对应的后端申购费率是1.0%，赎回费率为0.1%，假设赎回当日A/B类基金份额净值是1.0160元，申购时的A/B类基金份额净值为1.0100元，则其可得到的赎回金额为：</w:t>
      </w:r>
    </w:p>
    <w:p w14:paraId="286D44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赎回总额=100,000×1.0160=101,600元</w:t>
      </w:r>
    </w:p>
    <w:p w14:paraId="02D9A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后端申购费用=100,000×1.0100×1.0%=1,010.00元</w:t>
      </w:r>
    </w:p>
    <w:p w14:paraId="73D27F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赎回费用=101,600×0.1%=101.60元</w:t>
      </w:r>
    </w:p>
    <w:p w14:paraId="6D68E5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赎回金额=101,600-1,010.00-101.60=100,488.40元</w:t>
      </w:r>
    </w:p>
    <w:p w14:paraId="6C34F2C9" w14:textId="53D26DB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即：投资者赎回100,000份B类基金份额，</w:t>
      </w:r>
      <w:r w:rsidR="009002B5">
        <w:rPr>
          <w:rFonts w:ascii="宋体" w:hAnsi="宋体"/>
          <w:sz w:val="24"/>
        </w:rPr>
        <w:t>持有期限为100天</w:t>
      </w:r>
      <w:r w:rsidR="009002B5">
        <w:rPr>
          <w:rFonts w:ascii="宋体" w:hAnsi="宋体" w:hint="eastAsia"/>
          <w:sz w:val="24"/>
        </w:rPr>
        <w:t>，</w:t>
      </w:r>
      <w:r>
        <w:rPr>
          <w:rFonts w:ascii="宋体" w:hAnsi="宋体"/>
          <w:sz w:val="24"/>
        </w:rPr>
        <w:t>对应的赎回费率为0.1%，假设赎回当日A/B类基金份额净值是1.0160元，投资者对应的后端申购费率是1.0%，申购时的A/B类基金份额净值为1.0100元，则其可得到的赎回金额为100,488.40元。</w:t>
      </w:r>
    </w:p>
    <w:p w14:paraId="4652F1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（3）C类基金份额的赎回</w:t>
      </w:r>
    </w:p>
    <w:p w14:paraId="77094A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投资者赎回C类基金份额，赎回金额的计算方法如下：</w:t>
      </w:r>
    </w:p>
    <w:p w14:paraId="3A750A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370F5B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33CFC93" w14:textId="4E59E05C"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9002B5">
        <w:rPr>
          <w:rFonts w:ascii="宋体" w:hAnsi="宋体" w:hint="eastAsia"/>
          <w:sz w:val="24"/>
        </w:rPr>
        <w:t>七</w:t>
      </w:r>
      <w:r>
        <w:rPr>
          <w:rFonts w:ascii="宋体" w:hAnsi="宋体"/>
          <w:sz w:val="24"/>
        </w:rPr>
        <w:t>：某投资者赎回100,000份C类基金份额，</w:t>
      </w:r>
      <w:r w:rsidR="009002B5">
        <w:rPr>
          <w:rFonts w:ascii="宋体" w:hAnsi="宋体"/>
          <w:sz w:val="24"/>
        </w:rPr>
        <w:t>持有期限为10天</w:t>
      </w:r>
      <w:r w:rsidR="009002B5">
        <w:rPr>
          <w:rFonts w:ascii="宋体" w:hAnsi="宋体" w:hint="eastAsia"/>
          <w:sz w:val="24"/>
        </w:rPr>
        <w:t>，</w:t>
      </w:r>
      <w:r>
        <w:rPr>
          <w:rFonts w:ascii="宋体" w:hAnsi="宋体"/>
          <w:sz w:val="24"/>
        </w:rPr>
        <w:t>对应的赎回费率为0，假设赎回当日C类基金份额净值是1.2500元，则其可得到的赎回金额为：</w:t>
      </w:r>
    </w:p>
    <w:p w14:paraId="35B26F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赎回费用=100,000×1.2500×0＝0元</w:t>
      </w:r>
    </w:p>
    <w:p w14:paraId="196BF1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赎回金额=100,000×1.2500-0=125,000 元</w:t>
      </w:r>
    </w:p>
    <w:p w14:paraId="5D158146" w14:textId="70964BB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w:t>
      </w:r>
      <w:r w:rsidR="009002B5">
        <w:rPr>
          <w:rFonts w:ascii="宋体" w:hAnsi="宋体"/>
          <w:sz w:val="24"/>
        </w:rPr>
        <w:t>持有期限为10天</w:t>
      </w:r>
      <w:r w:rsidR="009002B5">
        <w:rPr>
          <w:rFonts w:ascii="宋体" w:hAnsi="宋体" w:hint="eastAsia"/>
          <w:sz w:val="24"/>
        </w:rPr>
        <w:t>，</w:t>
      </w:r>
      <w:r>
        <w:rPr>
          <w:rFonts w:ascii="宋体" w:hAnsi="宋体"/>
          <w:sz w:val="24"/>
        </w:rPr>
        <w:t>对应的赎回费率为0，假设赎回当日C类基金份额净值是1.2500元，则其可得到的赎回金额为125,000元。</w:t>
      </w:r>
    </w:p>
    <w:p w14:paraId="542DDCCC" w14:textId="77777777"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（4）D类基金份额的赎回</w:t>
      </w:r>
    </w:p>
    <w:p w14:paraId="7E7C570C" w14:textId="77777777"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投资者赎回D类基金份额，赎回金额的计算方法如下：</w:t>
      </w:r>
    </w:p>
    <w:p w14:paraId="03245881" w14:textId="77777777"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赎回费用=赎回份额×T日D类基金份额净值×赎回费率</w:t>
      </w:r>
    </w:p>
    <w:p w14:paraId="24640B21" w14:textId="77777777"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赎回金额=赎回份额×T日D类基金份额净值-赎回费用</w:t>
      </w:r>
    </w:p>
    <w:p w14:paraId="2D0BC8A9" w14:textId="69010CD9"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例八：某投资者赎回100,000.00份D类基金份额，持有期限为10天，对应的赎回费率为</w:t>
      </w:r>
      <w:r w:rsidR="00C838FE">
        <w:rPr>
          <w:rFonts w:ascii="宋体" w:hAnsi="宋体"/>
          <w:sz w:val="24"/>
        </w:rPr>
        <w:t>0</w:t>
      </w:r>
      <w:r w:rsidRPr="009002B5">
        <w:rPr>
          <w:rFonts w:ascii="宋体" w:hAnsi="宋体" w:hint="eastAsia"/>
          <w:sz w:val="24"/>
        </w:rPr>
        <w:t>，假设赎回当日D类基金份额净值是1.0160元，则其可得到的赎回金额为：</w:t>
      </w:r>
    </w:p>
    <w:p w14:paraId="381DB371" w14:textId="683A857B"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赎回费用=100,000.00×1.0160×0＝0元</w:t>
      </w:r>
    </w:p>
    <w:p w14:paraId="6679CACB" w14:textId="64C39CA0" w:rsidR="009002B5" w:rsidRP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赎回金额=100,000.00×1.0160-0＝</w:t>
      </w:r>
      <w:r w:rsidR="00B27482" w:rsidRPr="00B27482">
        <w:rPr>
          <w:rFonts w:ascii="宋体" w:hAnsi="宋体"/>
          <w:sz w:val="24"/>
        </w:rPr>
        <w:t>101</w:t>
      </w:r>
      <w:r w:rsidR="00B27482">
        <w:rPr>
          <w:rFonts w:ascii="宋体" w:hAnsi="宋体"/>
          <w:sz w:val="24"/>
        </w:rPr>
        <w:t>,</w:t>
      </w:r>
      <w:r w:rsidR="00B27482" w:rsidRPr="00B27482">
        <w:rPr>
          <w:rFonts w:ascii="宋体" w:hAnsi="宋体"/>
          <w:sz w:val="24"/>
        </w:rPr>
        <w:t>600</w:t>
      </w:r>
      <w:r w:rsidR="00B27482">
        <w:rPr>
          <w:rFonts w:ascii="宋体" w:hAnsi="宋体"/>
          <w:sz w:val="24"/>
        </w:rPr>
        <w:t>.00</w:t>
      </w:r>
      <w:r w:rsidRPr="009002B5">
        <w:rPr>
          <w:rFonts w:ascii="宋体" w:hAnsi="宋体" w:hint="eastAsia"/>
          <w:sz w:val="24"/>
        </w:rPr>
        <w:t>元</w:t>
      </w:r>
    </w:p>
    <w:p w14:paraId="1680C7C0" w14:textId="5FC1DD8F" w:rsidR="009002B5" w:rsidRDefault="009002B5" w:rsidP="009002B5">
      <w:pPr>
        <w:autoSpaceDE w:val="0"/>
        <w:autoSpaceDN w:val="0"/>
        <w:adjustRightInd w:val="0"/>
        <w:snapToGrid w:val="0"/>
        <w:spacing w:line="360" w:lineRule="auto"/>
        <w:ind w:firstLineChars="200" w:firstLine="480"/>
        <w:jc w:val="left"/>
        <w:rPr>
          <w:rFonts w:ascii="宋体" w:hAnsi="宋体"/>
          <w:sz w:val="24"/>
        </w:rPr>
      </w:pPr>
      <w:r w:rsidRPr="009002B5">
        <w:rPr>
          <w:rFonts w:ascii="宋体" w:hAnsi="宋体" w:hint="eastAsia"/>
          <w:sz w:val="24"/>
        </w:rPr>
        <w:t>即：投资者赎回100,000.00份D类基金份额，持有期限为10天，对应的赎回费率为0，假设赎回当日D类基金份额净值是1.0160元，则其可得到的赎回金额为</w:t>
      </w:r>
      <w:r w:rsidR="00B27482" w:rsidRPr="00B27482">
        <w:rPr>
          <w:rFonts w:ascii="宋体" w:hAnsi="宋体"/>
          <w:sz w:val="24"/>
        </w:rPr>
        <w:t>101,600.00</w:t>
      </w:r>
      <w:r w:rsidRPr="009002B5">
        <w:rPr>
          <w:rFonts w:ascii="宋体" w:hAnsi="宋体" w:hint="eastAsia"/>
          <w:sz w:val="24"/>
        </w:rPr>
        <w:t>元。</w:t>
      </w:r>
    </w:p>
    <w:p w14:paraId="1D0D33E6" w14:textId="17CC5FB8" w:rsidR="00CB5326" w:rsidRDefault="000C1687" w:rsidP="009002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1E8CAD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A/B类基金份额净值＝A/B类基金份额的基金资产净值总额/发行在外的A/B类基金份额总数</w:t>
      </w:r>
    </w:p>
    <w:p w14:paraId="15E476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2FC59011" w14:textId="77777777" w:rsidR="009002B5" w:rsidRPr="005331D9" w:rsidRDefault="009002B5" w:rsidP="009002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78A69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本基金不同类别基金份额T日的基金份额净值在当日收市后分别计算，并在T＋</w:t>
      </w:r>
      <w:r>
        <w:rPr>
          <w:rFonts w:ascii="宋体" w:hAnsi="宋体"/>
          <w:sz w:val="24"/>
        </w:rPr>
        <w:lastRenderedPageBreak/>
        <w:t>1日分别公告。遇特殊情况，经中国证监会同意，可以适当延迟计算或公告。</w:t>
      </w:r>
    </w:p>
    <w:p w14:paraId="2A1F89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（九）拒绝或暂停申购的情形及处理方式</w:t>
      </w:r>
    </w:p>
    <w:p w14:paraId="16DEB6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14:paraId="790C31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1、因不可抗力导致基金无法正常运作或无法接受申购；</w:t>
      </w:r>
    </w:p>
    <w:p w14:paraId="63E53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2、证券交易所交易时间临时停市，导致基金管理人无法计算当日基金资产净值；</w:t>
      </w:r>
    </w:p>
    <w:p w14:paraId="6B37FF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3、发生本基金合同规定的暂停基金资产估值情况；</w:t>
      </w:r>
    </w:p>
    <w:p w14:paraId="5E4A62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4、基金资产规模过大，使基金管理人无法找到合适的投资品种，或基金管理人认为会损害已有基金份额持有人利益的其他情形；</w:t>
      </w:r>
    </w:p>
    <w:p w14:paraId="66B56C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5、基金管理人认为会有损于现有基金份额持有人利益的某笔申购；</w:t>
      </w:r>
    </w:p>
    <w:p w14:paraId="591C2A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288DA6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5D282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14:paraId="679B2B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5、7项以外的暂停申购情形且基金管理人决定暂停接受基金投资者的申购申请时，基金管理人应当在规定期限内在指定媒介上刊登暂停申购公告。如果基金投资者的申购申请被拒绝，被拒绝的申购款项将退还给投资者。在暂停申购的情况消除时，基金管理人应及时恢复申购业务的办理。</w:t>
      </w:r>
    </w:p>
    <w:p w14:paraId="46F22F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（十）暂停赎回或者延缓支付赎回款项的情形及处理方式</w:t>
      </w:r>
    </w:p>
    <w:p w14:paraId="541F63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发生下列情形时，基金管理人可暂停接受基金投资者的赎回申请或延缓支付赎回款项：</w:t>
      </w:r>
    </w:p>
    <w:p w14:paraId="53302B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1、因不可抗力导致基金无法正常运作或基金管理人不能支付赎回款项；</w:t>
      </w:r>
    </w:p>
    <w:p w14:paraId="7A049A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2、证券交易所交易时间临时停市，导致基金管理人无法计算当日基金资产净值；</w:t>
      </w:r>
    </w:p>
    <w:p w14:paraId="1DAC6E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3、连续两个或两个以上开放日发生巨额赎回，导致本基金的现金支付出现困难；</w:t>
      </w:r>
    </w:p>
    <w:p w14:paraId="7B1E9D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4、发生本基金合同规定的暂停基金资产估值情况；</w:t>
      </w:r>
    </w:p>
    <w:p w14:paraId="608233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7E0EE9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1D1295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且基金管理人决定暂停接受基金投资者的赎回申请或延缓支付赎回款项时，基金管理人应在规定期限内在指定媒介上刊登暂停公告，已确认成功的赎回申请，基金管理人应按时足额支付；如暂时不能足额支付，可支付部分按单个账户申请量占申请总量的比例分配给赎回申请人，未支付部分可延期确认，并以后续开放日的基金份额净值为依据计算赎回金额，若出现上述第3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6D02A7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（十一）巨额赎回的情形及处理方式</w:t>
      </w:r>
    </w:p>
    <w:p w14:paraId="19DA7F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55B7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69632A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1C52EF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当基金出现巨额赎回时，基金管理人可以根据基金当时的资产组合状况决定全额赎回或部分顺延赎回。</w:t>
      </w:r>
    </w:p>
    <w:p w14:paraId="34A7BE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14:paraId="224D86DF" w14:textId="41D73BC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w:t>
      </w:r>
      <w:r>
        <w:rPr>
          <w:rFonts w:ascii="宋体" w:hAnsi="宋体"/>
          <w:sz w:val="24"/>
        </w:rPr>
        <w:lastRenderedPageBreak/>
        <w:t>部分申请将被撤销。延期的赎回申请与下一开放日赎回申请一并处理，无优先权并以该开放日的</w:t>
      </w:r>
      <w:r w:rsidR="009002B5">
        <w:rPr>
          <w:rFonts w:ascii="宋体" w:hAnsi="宋体" w:hint="eastAsia"/>
          <w:sz w:val="24"/>
        </w:rPr>
        <w:t>该类</w:t>
      </w:r>
      <w:r>
        <w:rPr>
          <w:rFonts w:ascii="宋体" w:hAnsi="宋体"/>
          <w:sz w:val="24"/>
        </w:rPr>
        <w:t>基金份额净值为基础计算赎回金额，并以此类推，直到全部赎回为止。如基金投资者在提交赎回申请时未作明确选择，投资者未能赎回部分作自动延期赎回处理。</w:t>
      </w:r>
    </w:p>
    <w:p w14:paraId="133BD88E" w14:textId="7C93F13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14:paraId="79EF74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724BFC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681F52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当发生巨额赎回并顺延赎回时，基金管理人应当通过邮寄、传真、刊登公告或者通知代销机构代为告知等方式在3个交易日内通知基金份额持有人，说明有关处理方法，并在2日内在指定媒介上刊登公告。</w:t>
      </w:r>
    </w:p>
    <w:p w14:paraId="14B9BD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连续2日以上（含本数）发生巨额赎回，如基金管理人认为有必要，可暂停接受基金的赎回申请；已经确认成功的赎回申请可以延缓支付赎回款项，但不得超过20个工作日，并应当在指定媒介上进行公告。</w:t>
      </w:r>
    </w:p>
    <w:p w14:paraId="34B9D8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（十二）暂停申购或赎回的公告和重新开放申购或赎回的公告</w:t>
      </w:r>
    </w:p>
    <w:p w14:paraId="58AC7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6ADC4638" w14:textId="07C02715"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2、暂停结束，基金重新开放申购或赎回时，基金管理人应依照《信息披露管理办法》的有关规定，在指定媒介上刊登基金重新开放申购或赎回公告，并公告最近1个开放日</w:t>
      </w:r>
      <w:r w:rsidR="00D04245">
        <w:rPr>
          <w:rFonts w:ascii="宋体" w:hAnsi="宋体" w:hint="eastAsia"/>
          <w:sz w:val="24"/>
        </w:rPr>
        <w:t>各类基金份额</w:t>
      </w:r>
      <w:r>
        <w:rPr>
          <w:rFonts w:ascii="宋体" w:hAnsi="宋体"/>
          <w:sz w:val="24"/>
        </w:rPr>
        <w:t>的基金份额净值。</w:t>
      </w:r>
    </w:p>
    <w:p w14:paraId="1F7EB9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（十三）转托管</w:t>
      </w:r>
    </w:p>
    <w:p w14:paraId="5BA5C1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00FEC4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本基金的份额采用分系统登记的原则。场外认购或申购的基金份额登记在注册登记系统基金份额持有人开放式基金账户下；场内认购、申购的基金份额登记在证</w:t>
      </w:r>
      <w:r>
        <w:rPr>
          <w:rFonts w:ascii="宋体" w:hAnsi="宋体"/>
          <w:sz w:val="24"/>
        </w:rPr>
        <w:lastRenderedPageBreak/>
        <w:t>券登记结算系统基金份额持有人上海证券账户下。</w:t>
      </w:r>
    </w:p>
    <w:p w14:paraId="48D71E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14:paraId="7FC988B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（1）系统内转托管是指基金份额持有人将持有的基金份额在注册登记系统内不同销售机构之间或证券登记结算系统内不同会员单位之间进行转登记的行为。</w:t>
      </w:r>
    </w:p>
    <w:p w14:paraId="718DCE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14:paraId="683833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14:paraId="4F266DEC" w14:textId="6D53CB8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（1）跨系统转托管是指基金份额持有人将所持有的</w:t>
      </w:r>
      <w:r w:rsidR="00D04245">
        <w:rPr>
          <w:rFonts w:ascii="宋体" w:hAnsi="宋体" w:hint="eastAsia"/>
          <w:sz w:val="24"/>
        </w:rPr>
        <w:t>A类</w:t>
      </w:r>
      <w:r>
        <w:rPr>
          <w:rFonts w:ascii="宋体" w:hAnsi="宋体"/>
          <w:sz w:val="24"/>
        </w:rPr>
        <w:t>基金份额在注册登记系统和证券登记结算系统之间进行转登记的行为。</w:t>
      </w:r>
      <w:r w:rsidR="00D04245" w:rsidRPr="00D04245">
        <w:rPr>
          <w:rFonts w:ascii="宋体" w:hAnsi="宋体" w:hint="eastAsia"/>
          <w:sz w:val="24"/>
        </w:rPr>
        <w:t>除经基金管理人另行公告，B类</w:t>
      </w:r>
      <w:r w:rsidR="00B3224D">
        <w:rPr>
          <w:rFonts w:ascii="宋体" w:hAnsi="宋体" w:hint="eastAsia"/>
          <w:sz w:val="24"/>
        </w:rPr>
        <w:t>基金份额</w:t>
      </w:r>
      <w:r w:rsidR="00D04245" w:rsidRPr="00D04245">
        <w:rPr>
          <w:rFonts w:ascii="宋体" w:hAnsi="宋体" w:hint="eastAsia"/>
          <w:sz w:val="24"/>
        </w:rPr>
        <w:t>、C类</w:t>
      </w:r>
      <w:r w:rsidR="00B3224D">
        <w:rPr>
          <w:rFonts w:ascii="宋体" w:hAnsi="宋体" w:hint="eastAsia"/>
          <w:sz w:val="24"/>
        </w:rPr>
        <w:t>基金份额</w:t>
      </w:r>
      <w:r w:rsidR="00D04245" w:rsidRPr="00D04245">
        <w:rPr>
          <w:rFonts w:ascii="宋体" w:hAnsi="宋体" w:hint="eastAsia"/>
          <w:sz w:val="24"/>
        </w:rPr>
        <w:t>、D类基金份额不能进行跨系统转托管。</w:t>
      </w:r>
    </w:p>
    <w:p w14:paraId="1053C5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（2）本基金跨系统转托管的具体业务按照中国证券登记结算有限责任公司的相关规定办理。</w:t>
      </w:r>
    </w:p>
    <w:p w14:paraId="78C91C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如果基金管理人、注册登记机构、办理转托管的销售机构出现技术系统性能限制或出于其它合理原因，可以暂停该业务或者拒绝基金份额持有人的转托管申请。</w:t>
      </w:r>
    </w:p>
    <w:p w14:paraId="565135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04817843" w14:textId="231C279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3月14日刊登公告自2013年3月19日起开通</w:t>
      </w:r>
      <w:r w:rsidR="00D04245">
        <w:rPr>
          <w:rFonts w:ascii="宋体" w:hAnsi="宋体" w:hint="eastAsia"/>
          <w:sz w:val="24"/>
        </w:rPr>
        <w:t>A</w:t>
      </w:r>
      <w:r w:rsidR="00D04245">
        <w:rPr>
          <w:rFonts w:ascii="宋体" w:hAnsi="宋体"/>
          <w:sz w:val="24"/>
        </w:rPr>
        <w:t>/B</w:t>
      </w:r>
      <w:r w:rsidR="00D04245">
        <w:rPr>
          <w:rFonts w:ascii="宋体" w:hAnsi="宋体" w:hint="eastAsia"/>
          <w:sz w:val="24"/>
        </w:rPr>
        <w:t>类基金份额和C类基金份额的</w:t>
      </w:r>
      <w:r>
        <w:rPr>
          <w:rFonts w:ascii="宋体" w:hAnsi="宋体"/>
          <w:sz w:val="24"/>
        </w:rPr>
        <w:t>定期定额投资计划业务，</w:t>
      </w:r>
      <w:r w:rsidR="00D04245" w:rsidRPr="00D04245">
        <w:rPr>
          <w:rFonts w:ascii="宋体" w:hAnsi="宋体" w:hint="eastAsia"/>
          <w:sz w:val="24"/>
        </w:rPr>
        <w:t>本基金2024年</w:t>
      </w:r>
      <w:r w:rsidR="00A422CD">
        <w:rPr>
          <w:rFonts w:ascii="宋体" w:hAnsi="宋体"/>
          <w:sz w:val="24"/>
        </w:rPr>
        <w:t>9</w:t>
      </w:r>
      <w:r w:rsidR="00D04245" w:rsidRPr="00D04245">
        <w:rPr>
          <w:rFonts w:ascii="宋体" w:hAnsi="宋体" w:hint="eastAsia"/>
          <w:sz w:val="24"/>
        </w:rPr>
        <w:t>月</w:t>
      </w:r>
      <w:r w:rsidR="00A422CD">
        <w:rPr>
          <w:rFonts w:ascii="宋体" w:hAnsi="宋体"/>
          <w:sz w:val="24"/>
        </w:rPr>
        <w:t>11</w:t>
      </w:r>
      <w:r w:rsidR="00D04245" w:rsidRPr="00D04245">
        <w:rPr>
          <w:rFonts w:ascii="宋体" w:hAnsi="宋体" w:hint="eastAsia"/>
          <w:sz w:val="24"/>
        </w:rPr>
        <w:t>日刊登公告自2024年</w:t>
      </w:r>
      <w:r w:rsidR="00A422CD">
        <w:rPr>
          <w:rFonts w:ascii="宋体" w:hAnsi="宋体" w:hint="eastAsia"/>
          <w:sz w:val="24"/>
        </w:rPr>
        <w:t>9</w:t>
      </w:r>
      <w:r w:rsidR="00D04245" w:rsidRPr="00D04245">
        <w:rPr>
          <w:rFonts w:ascii="宋体" w:hAnsi="宋体" w:hint="eastAsia"/>
          <w:sz w:val="24"/>
        </w:rPr>
        <w:t>月</w:t>
      </w:r>
      <w:r w:rsidR="00A422CD">
        <w:rPr>
          <w:rFonts w:ascii="宋体" w:hAnsi="宋体" w:hint="eastAsia"/>
          <w:sz w:val="24"/>
        </w:rPr>
        <w:t>1</w:t>
      </w:r>
      <w:r w:rsidR="00A422CD">
        <w:rPr>
          <w:rFonts w:ascii="宋体" w:hAnsi="宋体"/>
          <w:sz w:val="24"/>
        </w:rPr>
        <w:t>2</w:t>
      </w:r>
      <w:r w:rsidR="00D04245" w:rsidRPr="00D04245">
        <w:rPr>
          <w:rFonts w:ascii="宋体" w:hAnsi="宋体" w:hint="eastAsia"/>
          <w:sz w:val="24"/>
        </w:rPr>
        <w:t>日起增设D类基金份额并开通D类基金份额的定期定额投资计划业务，</w:t>
      </w:r>
      <w:r>
        <w:rPr>
          <w:rFonts w:ascii="宋体" w:hAnsi="宋体"/>
          <w:sz w:val="24"/>
        </w:rPr>
        <w:t>具体开通销售机构名单和业务规则参见相关公告。</w:t>
      </w:r>
    </w:p>
    <w:p w14:paraId="75EF61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14:paraId="7B851008" w14:textId="1EB1D04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w:t>
      </w:r>
      <w:r w:rsidR="00D04245">
        <w:rPr>
          <w:rFonts w:ascii="宋体" w:hAnsi="宋体" w:hint="eastAsia"/>
          <w:sz w:val="24"/>
        </w:rPr>
        <w:t>A</w:t>
      </w:r>
      <w:r w:rsidR="00D04245">
        <w:rPr>
          <w:rFonts w:ascii="宋体" w:hAnsi="宋体"/>
          <w:sz w:val="24"/>
        </w:rPr>
        <w:t>/B</w:t>
      </w:r>
      <w:r w:rsidR="00D04245">
        <w:rPr>
          <w:rFonts w:ascii="宋体" w:hAnsi="宋体" w:hint="eastAsia"/>
          <w:sz w:val="24"/>
        </w:rPr>
        <w:t>类基金份额和C类基金份额</w:t>
      </w:r>
      <w:r>
        <w:rPr>
          <w:rFonts w:ascii="宋体" w:hAnsi="宋体"/>
          <w:sz w:val="24"/>
        </w:rPr>
        <w:t>的定期定额赎回业务。定期定额赎回业务是指投资人可以委托中国农业银行股份有限公司每月固定时间从指定的基金账户代投资人赎回固定份额的基金。本基金2013年3月14日刊登公告自2013年3月19日起在中国农业银行股份有限公司下属</w:t>
      </w:r>
      <w:r>
        <w:rPr>
          <w:rFonts w:ascii="宋体" w:hAnsi="宋体"/>
          <w:sz w:val="24"/>
        </w:rPr>
        <w:lastRenderedPageBreak/>
        <w:t>各代销网点开通定期定额赎回业务。</w:t>
      </w:r>
    </w:p>
    <w:p w14:paraId="3AC4FF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电话（95599）。</w:t>
      </w:r>
    </w:p>
    <w:p w14:paraId="3290E0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14:paraId="7B0F82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1D182B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4351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（十七）基金份额的冻结和解冻</w:t>
      </w:r>
    </w:p>
    <w:p w14:paraId="315417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只受理国家有关机关依法要求的基金份额的冻结与解冻以及注册登记机构认可的其他情况的基金份额的冻结与解冻。基金份额被冻结的，被冻结基金份额所产生的权益按照法律法规、监管规章以及国家有权机关的要求来决定是否冻结。</w:t>
      </w:r>
    </w:p>
    <w:p w14:paraId="02153B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当基金份额处于冻结状态时，注册登记机构或其他相关机构有权拒绝该部分基金份额的赎回申请、转出申请、非交易过户以及基金的转托管申请。</w:t>
      </w:r>
    </w:p>
    <w:p w14:paraId="039F10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084C92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7CA1FB2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2DCFFB" w14:textId="77777777" w:rsidR="00CB5326" w:rsidRDefault="000C1687">
      <w:pPr>
        <w:pStyle w:val="1"/>
        <w:snapToGrid w:val="0"/>
        <w:spacing w:beforeLines="0" w:before="240" w:after="240"/>
        <w:rPr>
          <w:rFonts w:ascii="宋体" w:hAnsi="宋体"/>
          <w:szCs w:val="30"/>
        </w:rPr>
      </w:pPr>
      <w:bookmarkStart w:id="12" w:name="_Toc154495299"/>
      <w:r>
        <w:rPr>
          <w:rFonts w:ascii="Times New Roman" w:hAnsi="Times New Roman"/>
          <w:sz w:val="30"/>
        </w:rPr>
        <w:lastRenderedPageBreak/>
        <w:t>九、基金的转换</w:t>
      </w:r>
      <w:bookmarkEnd w:id="12"/>
    </w:p>
    <w:p w14:paraId="1190B3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77306A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176EFC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17D34018" w14:textId="46465B53"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本基金2013年3月28日刊登公告自2013年4月2日起开放</w:t>
      </w:r>
      <w:r w:rsidR="00D04245">
        <w:rPr>
          <w:rFonts w:ascii="宋体" w:hAnsi="宋体" w:hint="eastAsia"/>
          <w:sz w:val="24"/>
        </w:rPr>
        <w:t>A</w:t>
      </w:r>
      <w:r w:rsidR="00D04245">
        <w:rPr>
          <w:rFonts w:ascii="宋体" w:hAnsi="宋体"/>
          <w:sz w:val="24"/>
        </w:rPr>
        <w:t>/B</w:t>
      </w:r>
      <w:r w:rsidR="00D04245">
        <w:rPr>
          <w:rFonts w:ascii="宋体" w:hAnsi="宋体" w:hint="eastAsia"/>
          <w:sz w:val="24"/>
        </w:rPr>
        <w:t>类基金份额和C类基金份额的</w:t>
      </w:r>
      <w:r>
        <w:rPr>
          <w:rFonts w:ascii="宋体" w:hAnsi="宋体"/>
          <w:sz w:val="24"/>
        </w:rPr>
        <w:t>日常转换业务</w:t>
      </w:r>
      <w:r w:rsidR="00D04245" w:rsidRPr="00CA5D95">
        <w:rPr>
          <w:rFonts w:ascii="宋体" w:hAnsi="宋体" w:hint="eastAsia"/>
          <w:sz w:val="24"/>
        </w:rPr>
        <w:t>，本基金</w:t>
      </w:r>
      <w:r w:rsidR="00D04245">
        <w:rPr>
          <w:rFonts w:ascii="宋体" w:hAnsi="宋体" w:hint="eastAsia"/>
          <w:sz w:val="24"/>
        </w:rPr>
        <w:t>202</w:t>
      </w:r>
      <w:r w:rsidR="00D04245">
        <w:rPr>
          <w:rFonts w:ascii="宋体" w:hAnsi="宋体"/>
          <w:sz w:val="24"/>
        </w:rPr>
        <w:t>4</w:t>
      </w:r>
      <w:r w:rsidR="00D04245" w:rsidRPr="00CA5D95">
        <w:rPr>
          <w:rFonts w:ascii="宋体" w:hAnsi="宋体" w:hint="eastAsia"/>
          <w:sz w:val="24"/>
        </w:rPr>
        <w:t>年</w:t>
      </w:r>
      <w:r w:rsidR="007A66DE">
        <w:rPr>
          <w:rFonts w:ascii="宋体" w:hAnsi="宋体"/>
          <w:sz w:val="24"/>
        </w:rPr>
        <w:t>9</w:t>
      </w:r>
      <w:r w:rsidR="00D04245" w:rsidRPr="00CA5D95">
        <w:rPr>
          <w:rFonts w:ascii="宋体" w:hAnsi="宋体" w:hint="eastAsia"/>
          <w:sz w:val="24"/>
        </w:rPr>
        <w:t>月</w:t>
      </w:r>
      <w:r w:rsidR="007A66DE">
        <w:rPr>
          <w:rFonts w:ascii="宋体" w:hAnsi="宋体" w:hint="eastAsia"/>
          <w:sz w:val="24"/>
        </w:rPr>
        <w:t>1</w:t>
      </w:r>
      <w:r w:rsidR="007A66DE">
        <w:rPr>
          <w:rFonts w:ascii="宋体" w:hAnsi="宋体"/>
          <w:sz w:val="24"/>
        </w:rPr>
        <w:t>1</w:t>
      </w:r>
      <w:r w:rsidR="00D04245" w:rsidRPr="00CA5D95">
        <w:rPr>
          <w:rFonts w:ascii="宋体" w:hAnsi="宋体" w:hint="eastAsia"/>
          <w:sz w:val="24"/>
        </w:rPr>
        <w:t>日刊登公告自</w:t>
      </w:r>
      <w:r w:rsidR="00D04245">
        <w:rPr>
          <w:rFonts w:ascii="宋体" w:hAnsi="宋体" w:hint="eastAsia"/>
          <w:sz w:val="24"/>
        </w:rPr>
        <w:t>202</w:t>
      </w:r>
      <w:r w:rsidR="00D04245">
        <w:rPr>
          <w:rFonts w:ascii="宋体" w:hAnsi="宋体"/>
          <w:sz w:val="24"/>
        </w:rPr>
        <w:t>4</w:t>
      </w:r>
      <w:r w:rsidR="00D04245" w:rsidRPr="00CA5D95">
        <w:rPr>
          <w:rFonts w:ascii="宋体" w:hAnsi="宋体" w:hint="eastAsia"/>
          <w:sz w:val="24"/>
        </w:rPr>
        <w:t>年</w:t>
      </w:r>
      <w:r w:rsidR="007A66DE">
        <w:rPr>
          <w:rFonts w:ascii="宋体" w:hAnsi="宋体"/>
          <w:sz w:val="24"/>
        </w:rPr>
        <w:t>9</w:t>
      </w:r>
      <w:r w:rsidR="00D04245" w:rsidRPr="00CA5D95">
        <w:rPr>
          <w:rFonts w:ascii="宋体" w:hAnsi="宋体" w:hint="eastAsia"/>
          <w:sz w:val="24"/>
        </w:rPr>
        <w:t>月</w:t>
      </w:r>
      <w:r w:rsidR="007A66DE">
        <w:rPr>
          <w:rFonts w:ascii="宋体" w:hAnsi="宋体"/>
          <w:sz w:val="24"/>
        </w:rPr>
        <w:t>12</w:t>
      </w:r>
      <w:r w:rsidR="00D04245" w:rsidRPr="00CA5D95">
        <w:rPr>
          <w:rFonts w:ascii="宋体" w:hAnsi="宋体" w:hint="eastAsia"/>
          <w:sz w:val="24"/>
        </w:rPr>
        <w:t>日起增设D类基金份额并开通D类基金份额的日常转换业务</w:t>
      </w:r>
      <w:r>
        <w:rPr>
          <w:rFonts w:ascii="宋体" w:hAnsi="宋体"/>
          <w:sz w:val="24"/>
        </w:rPr>
        <w:t>。</w:t>
      </w:r>
    </w:p>
    <w:p w14:paraId="1E4E8B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4656CC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EF78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1FF577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26F8AC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2D0528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9F998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756BA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154CA2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8117A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119D84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14:paraId="62E9D5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FC33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403F9F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63C608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3F3268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0BEF1F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F859F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44B13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7F4A21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9FEC5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1DFB1D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45A528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C0DD1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14:paraId="69186F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6974B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3D4DAA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679DAD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72232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5E8B6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2BB33E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1675FE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7A208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E3E6C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BE2DC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393EB7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14:paraId="362437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266D44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8D6A3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6D5C3C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068EA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A536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5C47CA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492042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75A1FF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62DF6D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30732F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4DE1BE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686087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5A439D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EF365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A87F3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1C953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24BBA9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4E5609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14:paraId="55C796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4D718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AE5F0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23557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636F08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35A75C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708897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32019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1753E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9D8AE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8A8E5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26A6E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830B7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FFC90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738BB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268D76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BFEF7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1F6514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3D2A7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36B66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0A46A8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w:t>
      </w:r>
      <w:r>
        <w:rPr>
          <w:rFonts w:ascii="宋体" w:hAnsi="宋体"/>
          <w:sz w:val="24"/>
        </w:rPr>
        <w:lastRenderedPageBreak/>
        <w:t>一年半，转换申请当日交银先锋的A类基金份额净值为1.2500元，交银货币的基金份额净值为1.00元。若该投资者将100,000份交银先锋后端A类基金份额转换为交银货币，则转入交银货币的基金份额为：</w:t>
      </w:r>
    </w:p>
    <w:p w14:paraId="53B111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AEC4C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63BE4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2BD07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48E18E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102B74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E1075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086F50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31814A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480F25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819F8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76495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8D4AF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3252E2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0D90B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18B85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309B49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06261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694412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14:paraId="73808A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254BEE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6CF7B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76868D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22E284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670074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7868B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F9E6BC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9A3D3D" w14:textId="77777777" w:rsidR="00CB5326" w:rsidRDefault="000C1687">
      <w:pPr>
        <w:pStyle w:val="1"/>
        <w:snapToGrid w:val="0"/>
        <w:spacing w:beforeLines="0" w:before="240" w:after="240"/>
        <w:rPr>
          <w:rFonts w:ascii="宋体" w:hAnsi="宋体"/>
          <w:szCs w:val="30"/>
        </w:rPr>
      </w:pPr>
      <w:bookmarkStart w:id="13" w:name="_Toc154495300"/>
      <w:r>
        <w:rPr>
          <w:rFonts w:ascii="Times New Roman" w:hAnsi="Times New Roman"/>
          <w:sz w:val="30"/>
        </w:rPr>
        <w:lastRenderedPageBreak/>
        <w:t>十、基金的投资</w:t>
      </w:r>
      <w:bookmarkEnd w:id="13"/>
    </w:p>
    <w:p w14:paraId="072C159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41461A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本基金为纯债基金，在严格控制投资风险的基础上，追求稳定的当期收益和基金资产的稳健增值。</w:t>
      </w:r>
    </w:p>
    <w:p w14:paraId="397A353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20594F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如法律法规或监管机构以后允许基金投资其他品种，基金管理人履行适当程序后，可以将其纳入投资范围，其投资比例遵循届时有效法律法规或相关规定。</w:t>
      </w:r>
    </w:p>
    <w:p w14:paraId="1D4DF8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14:paraId="53336DB6"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7704B3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p w14:paraId="0A63AA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2C870A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53A411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583BA0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（1）久期管理策略</w:t>
      </w:r>
    </w:p>
    <w:p w14:paraId="0285C4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w:t>
      </w:r>
    </w:p>
    <w:p w14:paraId="60D99C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75EF8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316478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66E79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0734F8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6269A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208F6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0CF6B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0E93A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3E6AAF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w:t>
      </w:r>
      <w:r>
        <w:rPr>
          <w:rFonts w:ascii="宋体" w:hAnsi="宋体"/>
          <w:sz w:val="24"/>
        </w:rPr>
        <w:lastRenderedPageBreak/>
        <w:t>配置。</w:t>
      </w:r>
    </w:p>
    <w:p w14:paraId="1DDD02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42A63F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ECE3B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48D447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12BA34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0C7C04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0CC8C7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0D91F8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3F1C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5E7E2A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292E4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6F8A2F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233A26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08DF62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7CD3C8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（7）资产支持证券（含资产收益计划）投资策略</w:t>
      </w:r>
    </w:p>
    <w:p w14:paraId="63C2D9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Pr>
          <w:rFonts w:ascii="宋体" w:hAnsi="宋体"/>
          <w:sz w:val="24"/>
        </w:rPr>
        <w:lastRenderedPageBreak/>
        <w:t>积极策略，在严格控制风险的情况下，通过信用研究和流动性管理，选择风险调整后的收益高的品种进行投资，以期获得长期稳定收益。</w:t>
      </w:r>
    </w:p>
    <w:p w14:paraId="451B96E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4E788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0189FC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14类券种，能够综合反映我国债券市场的整体投资收益情况，适合作为本基金的业绩比较基准。</w:t>
      </w:r>
    </w:p>
    <w:p w14:paraId="25AEC9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p>
    <w:p w14:paraId="3D6F08A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（五）投资决策依据和投资流程</w:t>
      </w:r>
    </w:p>
    <w:p w14:paraId="67AC42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为了保证整个投资组合计划的顺利贯彻与实施，本基金遵循以下投资决策依据以及具体的投资流程：</w:t>
      </w:r>
    </w:p>
    <w:p w14:paraId="569251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464C9B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3EE94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w:t>
      </w:r>
    </w:p>
    <w:p w14:paraId="72C83B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14:paraId="0699D0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2、投资决策流程</w:t>
      </w:r>
    </w:p>
    <w:p w14:paraId="55D6F8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本基金实行投资决策委员会领导下的基金经理负责制，投资总监是投资决策委员会的执行代表。</w:t>
      </w:r>
    </w:p>
    <w:p w14:paraId="32F8B0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投资决策委员会和投资总监的主要职责是确定基金的资产配置政策，审批重大单项投资决定等。</w:t>
      </w:r>
    </w:p>
    <w:p w14:paraId="0999C0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6A69A0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71477F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14:paraId="5EE77E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基金经理、分析师、交易员在投资管理过程中既密切合作，又责任明确，在各自职责内按照业务程序独立工作并合理地相互制衡。</w:t>
      </w:r>
    </w:p>
    <w:p w14:paraId="71EDC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14:paraId="49160E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1、投资决策委员会每月召开投资决策会议，决定基金的资产配置比例和债券的投资重点等；</w:t>
      </w:r>
    </w:p>
    <w:p w14:paraId="6E2DF8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2、研究部策略分析师、债券分析师、数量分析师各自独立完成相应的研究报告，为投资决策提供依据；</w:t>
      </w:r>
    </w:p>
    <w:p w14:paraId="74930C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3、固定收益部总经理每周召集固定收益业务投资例会，根据投资决策委员会的决定，结合市场和公司基本面的变化，决定具体的投资策略；</w:t>
      </w:r>
    </w:p>
    <w:p w14:paraId="48405C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债券分析师的债券市场研究和券种选择和数量分析师的定量投资策略研究，结合本基金产品定位及风险控制的要求，在权限范围内制定具体的投资组合方案；</w:t>
      </w:r>
    </w:p>
    <w:p w14:paraId="681E08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633E3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649A12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7、数量分析师负责完成有关投资风险监控报告及内部基金业绩评估报告。</w:t>
      </w:r>
    </w:p>
    <w:p w14:paraId="05C4D1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14:paraId="6AA0588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（六）投资限制</w:t>
      </w:r>
    </w:p>
    <w:p w14:paraId="24708C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本基金的投资组合将遵循以下限制：</w:t>
      </w:r>
    </w:p>
    <w:p w14:paraId="0CC089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1、本基金与由本基金管理人管理的其他基金持有一家公司发行的证券，不超过该证券的10%；</w:t>
      </w:r>
    </w:p>
    <w:p w14:paraId="51744E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2、进入全国银行间同业市场进行债券回购的资金余额不得超过基金资产净值的40%。债券回购最长期限为1年，债券回购到期后不得展期；</w:t>
      </w:r>
    </w:p>
    <w:p w14:paraId="75E31F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3、保持不低于基金资产净值5%的现金或者到期日在一年以内的政府债券，其中现金不包括结算备付金、存出保证金和应收申购款等；</w:t>
      </w:r>
    </w:p>
    <w:p w14:paraId="254A4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4、本基金持有的全部权证的市值不超过基金资产净值的 3%，本基金管理人管理的全部基金持有同一权证的比例不超过该权证的10%。投资于其他权证的投资比例，遵从法律法规或监管部门的相关规定；</w:t>
      </w:r>
    </w:p>
    <w:p w14:paraId="2D381C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5、本基金应投资于信用级别评级为BBB以上(含BBB)的资产支持证券。基金持有资产支持证券期间，如果其信用等级下降、不再符合投资标准，应在评级报告发</w:t>
      </w:r>
      <w:r>
        <w:rPr>
          <w:rFonts w:ascii="宋体" w:hAnsi="宋体"/>
          <w:sz w:val="24"/>
        </w:rPr>
        <w:lastRenderedPageBreak/>
        <w:t>布之日起3个月内予以全部卖出；</w:t>
      </w:r>
    </w:p>
    <w:p w14:paraId="5C97E0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同一（指同一信用级别）资产支持证券的比例，不得超过该资产支持证券规模的10%；本基金投资于同一原始权益人的各类资产支持证券的比例，不得超过基金资产净值的10%；基金管理人管理的全部证券投资基金投资于同一原始权益人的各类资产支持证券，不得超过其各类资产支持证券合计规模的10%；本基金持有的全部资产支持证券，其市值不得超过基金资产净值的20%；</w:t>
      </w:r>
    </w:p>
    <w:p w14:paraId="499A00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341BEC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8、本基金与私募类证券资管产品及中国证监会认定的其他主体为交易对手开展逆回购交易的，可接受质押品的资质要求应当与本基金合同约定的投资范围保持一致；</w:t>
      </w:r>
    </w:p>
    <w:p w14:paraId="2E3D11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9、本基金不得违反基金合同中有关投资范围、投资策略、投资比例的规定；</w:t>
      </w:r>
    </w:p>
    <w:p w14:paraId="77D4A7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10、法律法规或监管部门对上述比例限制另有规定的，从其规定。</w:t>
      </w:r>
    </w:p>
    <w:p w14:paraId="343630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六个月内使基金的投资组合比例符合基金合同的约定。基金托管人对基金投资的监督与检查自本基金合同生效之日起开始。在符合相关法律法规规定的前提下，除上述第3、5、7、8项外，因证券市场波动、上市公司合并、基金规模变动等非本基金管理人的因素致使基金的投资组合不符合上述规定的投资比例的，基金管理人应当在10个交易日内进行调整。法律法规或监管部门另有规定的，从其规定。</w:t>
      </w:r>
    </w:p>
    <w:p w14:paraId="1DF24D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对上述约定的投资组合比例限制规定进行变更，在履行适当程序后，以变更后的规定为准；当法律法规或监管部门取消上述限制，履行适当程序后，本基金投资可不受上述规定限制。</w:t>
      </w:r>
    </w:p>
    <w:p w14:paraId="739F4F2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（七）禁止行为</w:t>
      </w:r>
    </w:p>
    <w:p w14:paraId="41AC15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14:paraId="01C4D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7B4C1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14:paraId="6C6517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D4737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4、买卖其他基金份额，但是法律法规或国务院另有规定的除外；</w:t>
      </w:r>
    </w:p>
    <w:p w14:paraId="302536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5、向基金管理人、基金托管人出资或者买卖基金管理人、基金托管人发行的债券；</w:t>
      </w:r>
    </w:p>
    <w:p w14:paraId="1EB30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14:paraId="543A4A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5B3F26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14:paraId="20AC78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若法律法规或监管部门取消上述禁止性规定，履行适当程序后，本基金投资可不受上述相关规定限制。</w:t>
      </w:r>
    </w:p>
    <w:p w14:paraId="13926A52"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（八）风险收益特征</w:t>
      </w:r>
    </w:p>
    <w:p w14:paraId="730579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属于证券投资基金中中等风险的品种，其长期平均的预期收益和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41E4ED1" w14:textId="529ABB1A"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（九）基金管理人代表基金行使债权人权利的处理原则及方法</w:t>
      </w:r>
    </w:p>
    <w:p w14:paraId="09C27B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501D9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32EE91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0543F2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1ACDC1F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（十）基金的融资、融券</w:t>
      </w:r>
    </w:p>
    <w:p w14:paraId="62978D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本基金可以按照有关法律法规和政策的规定进行融资、融券。</w:t>
      </w:r>
    </w:p>
    <w:p w14:paraId="6B1C671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（十一）侧袋机制的实施和投资运作安排</w:t>
      </w:r>
    </w:p>
    <w:p w14:paraId="3BAC37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8CA8E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6DBF20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侧袋账户的实施条件、实施程序、运作安排、投资安排、特定资产的处置变现和支付等对投资者权益有重大影响的事项详见本招募说明书“侧袋机制”部分的规定。</w:t>
      </w:r>
    </w:p>
    <w:p w14:paraId="58447D7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14:paraId="568EAF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3AFDF6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本基金托管人中国农业银行根据本基金合同规定,于2023年10月23日复核了本报告中的财务指标、净值表现和投资组合报告等内容,保证复核内容不存在虚假记载、误导性陈述或者重大遗漏。</w:t>
      </w:r>
    </w:p>
    <w:p w14:paraId="3BDAC3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本报告期为2023年07月01日至09月30日。本报告财务资料未经审计师审计。</w:t>
      </w:r>
    </w:p>
    <w:p w14:paraId="528A7E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1D2BBA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2DA4F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1EF61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D4BAE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2143B1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0581D7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96C0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F5F7A7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CE9312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0F281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38B5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31EE4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38EDB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A84E94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F6D663"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1AE526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FA7C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4B40F3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AB8014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14D96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747E2F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02CD6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A8F88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F7AD93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36EB1B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99.69</w:t>
            </w:r>
          </w:p>
        </w:tc>
      </w:tr>
      <w:tr w:rsidR="00CB5326" w14:paraId="60E1E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FD2DA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6CE547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48A199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6103911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99.69</w:t>
            </w:r>
          </w:p>
        </w:tc>
      </w:tr>
      <w:tr w:rsidR="00CB5326" w14:paraId="241123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AC412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C4C89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F338D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7BBA0B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39FD2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969C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CF71E5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F54172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08C5F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10795B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481D1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A910C6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996318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F6B48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26D699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A5817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A64AA5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2E7ABF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BCECD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705591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D9C87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AEC6FD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B8C946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261DE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07E4E6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C836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9DA9AF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278535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4,274,374.59</w:t>
            </w:r>
          </w:p>
        </w:tc>
        <w:tc>
          <w:tcPr>
            <w:tcW w:w="400" w:type="pct"/>
            <w:tcBorders>
              <w:top w:val="single" w:sz="4" w:space="0" w:color="auto"/>
              <w:left w:val="single" w:sz="4" w:space="0" w:color="auto"/>
              <w:bottom w:val="single" w:sz="4" w:space="0" w:color="auto"/>
              <w:right w:val="single" w:sz="4" w:space="0" w:color="auto"/>
            </w:tcBorders>
            <w:vAlign w:val="center"/>
          </w:tcPr>
          <w:p w14:paraId="3D23223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CB5326" w14:paraId="2F1441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5F6E1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F1054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0980FC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14,719,295.15</w:t>
            </w:r>
          </w:p>
        </w:tc>
        <w:tc>
          <w:tcPr>
            <w:tcW w:w="400" w:type="pct"/>
            <w:tcBorders>
              <w:top w:val="single" w:sz="4" w:space="0" w:color="auto"/>
              <w:left w:val="single" w:sz="4" w:space="0" w:color="auto"/>
              <w:bottom w:val="single" w:sz="4" w:space="0" w:color="auto"/>
              <w:right w:val="single" w:sz="4" w:space="0" w:color="auto"/>
            </w:tcBorders>
            <w:vAlign w:val="center"/>
          </w:tcPr>
          <w:p w14:paraId="04A0FCF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CB5326" w14:paraId="08B45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1160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12705F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11C1B5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6,046,654,284.56</w:t>
            </w:r>
          </w:p>
        </w:tc>
        <w:tc>
          <w:tcPr>
            <w:tcW w:w="400" w:type="pct"/>
            <w:tcBorders>
              <w:top w:val="single" w:sz="4" w:space="0" w:color="auto"/>
              <w:left w:val="single" w:sz="4" w:space="0" w:color="auto"/>
              <w:bottom w:val="single" w:sz="4" w:space="0" w:color="auto"/>
              <w:right w:val="single" w:sz="4" w:space="0" w:color="auto"/>
            </w:tcBorders>
            <w:vAlign w:val="center"/>
          </w:tcPr>
          <w:p w14:paraId="2E5186F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A3DF5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05F84E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1E367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186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3E71DE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18255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7016C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 报告期末按公允价值占基金资产净值比例大小排序的前十名股票投资明细</w:t>
      </w:r>
    </w:p>
    <w:p w14:paraId="3445A2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E729F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3307E2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E4F8A8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83543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54261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E9B9DF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02AA36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7BA85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F5F7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136507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40,321,205.48</w:t>
            </w:r>
          </w:p>
        </w:tc>
        <w:tc>
          <w:tcPr>
            <w:tcW w:w="400" w:type="pct"/>
            <w:tcBorders>
              <w:top w:val="single" w:sz="4" w:space="0" w:color="auto"/>
              <w:left w:val="single" w:sz="4" w:space="0" w:color="auto"/>
              <w:bottom w:val="single" w:sz="4" w:space="0" w:color="auto"/>
              <w:right w:val="single" w:sz="4" w:space="0" w:color="auto"/>
            </w:tcBorders>
            <w:vAlign w:val="center"/>
          </w:tcPr>
          <w:p w14:paraId="3BBAA71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CB5326" w14:paraId="4508EB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0E3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8204AE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69E717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70F23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50C644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A8CF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10F68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738391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868,503,196.97</w:t>
            </w:r>
          </w:p>
        </w:tc>
        <w:tc>
          <w:tcPr>
            <w:tcW w:w="400" w:type="pct"/>
            <w:tcBorders>
              <w:top w:val="single" w:sz="4" w:space="0" w:color="auto"/>
              <w:left w:val="single" w:sz="4" w:space="0" w:color="auto"/>
              <w:bottom w:val="single" w:sz="4" w:space="0" w:color="auto"/>
              <w:right w:val="single" w:sz="4" w:space="0" w:color="auto"/>
            </w:tcBorders>
            <w:vAlign w:val="center"/>
          </w:tcPr>
          <w:p w14:paraId="52F309A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18.15</w:t>
            </w:r>
          </w:p>
        </w:tc>
      </w:tr>
      <w:tr w:rsidR="00CB5326" w14:paraId="174722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4867F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1C9765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8CE2BB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275,670,025.38</w:t>
            </w:r>
          </w:p>
        </w:tc>
        <w:tc>
          <w:tcPr>
            <w:tcW w:w="400" w:type="pct"/>
            <w:tcBorders>
              <w:top w:val="single" w:sz="4" w:space="0" w:color="auto"/>
              <w:left w:val="single" w:sz="4" w:space="0" w:color="auto"/>
              <w:bottom w:val="single" w:sz="4" w:space="0" w:color="auto"/>
              <w:right w:val="single" w:sz="4" w:space="0" w:color="auto"/>
            </w:tcBorders>
            <w:vAlign w:val="center"/>
          </w:tcPr>
          <w:p w14:paraId="386F0CB4"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5.76</w:t>
            </w:r>
          </w:p>
        </w:tc>
      </w:tr>
      <w:tr w:rsidR="00CB5326" w14:paraId="21570E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D52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74D0C0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1D25CE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1,282,360,966.20</w:t>
            </w:r>
          </w:p>
        </w:tc>
        <w:tc>
          <w:tcPr>
            <w:tcW w:w="400" w:type="pct"/>
            <w:tcBorders>
              <w:top w:val="single" w:sz="4" w:space="0" w:color="auto"/>
              <w:left w:val="single" w:sz="4" w:space="0" w:color="auto"/>
              <w:bottom w:val="single" w:sz="4" w:space="0" w:color="auto"/>
              <w:right w:val="single" w:sz="4" w:space="0" w:color="auto"/>
            </w:tcBorders>
            <w:vAlign w:val="center"/>
          </w:tcPr>
          <w:p w14:paraId="5E41E76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26.79</w:t>
            </w:r>
          </w:p>
        </w:tc>
      </w:tr>
      <w:tr w:rsidR="00CB5326" w14:paraId="5C32DD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DC7A7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C52137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3C1DB4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80,069,890.72</w:t>
            </w:r>
          </w:p>
        </w:tc>
        <w:tc>
          <w:tcPr>
            <w:tcW w:w="400" w:type="pct"/>
            <w:tcBorders>
              <w:top w:val="single" w:sz="4" w:space="0" w:color="auto"/>
              <w:left w:val="single" w:sz="4" w:space="0" w:color="auto"/>
              <w:bottom w:val="single" w:sz="4" w:space="0" w:color="auto"/>
              <w:right w:val="single" w:sz="4" w:space="0" w:color="auto"/>
            </w:tcBorders>
            <w:vAlign w:val="center"/>
          </w:tcPr>
          <w:p w14:paraId="4F070AB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1.67</w:t>
            </w:r>
          </w:p>
        </w:tc>
      </w:tr>
      <w:tr w:rsidR="00CB5326" w14:paraId="4DB52F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7AB54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C8A6A5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751E993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3,756,405,355.45</w:t>
            </w:r>
          </w:p>
        </w:tc>
        <w:tc>
          <w:tcPr>
            <w:tcW w:w="400" w:type="pct"/>
            <w:tcBorders>
              <w:top w:val="single" w:sz="4" w:space="0" w:color="auto"/>
              <w:left w:val="single" w:sz="4" w:space="0" w:color="auto"/>
              <w:bottom w:val="single" w:sz="4" w:space="0" w:color="auto"/>
              <w:right w:val="single" w:sz="4" w:space="0" w:color="auto"/>
            </w:tcBorders>
            <w:vAlign w:val="center"/>
          </w:tcPr>
          <w:p w14:paraId="31E8DEB9"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78.49</w:t>
            </w:r>
          </w:p>
        </w:tc>
      </w:tr>
      <w:tr w:rsidR="00CB5326" w14:paraId="3572B2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FBA2C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A1BCA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1CE801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15127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E2BEC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3AA77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13690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55891D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DFB4E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54B199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2CB58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C3D0B2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4CE1D4D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AE6DA9"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36CF1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496B7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7AC11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F38108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34DDFE2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125.94</w:t>
            </w:r>
          </w:p>
        </w:tc>
      </w:tr>
    </w:tbl>
    <w:p w14:paraId="458B86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B5326" w14:paraId="62C44B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4C5A3B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25C81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791D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65E6D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254C39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DFF4F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7BAF0B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8F06F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D0C090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184082</w:t>
            </w:r>
          </w:p>
        </w:tc>
        <w:tc>
          <w:tcPr>
            <w:tcW w:w="750" w:type="pct"/>
            <w:tcBorders>
              <w:top w:val="single" w:sz="4" w:space="0" w:color="auto"/>
              <w:left w:val="single" w:sz="4" w:space="0" w:color="auto"/>
              <w:bottom w:val="single" w:sz="4" w:space="0" w:color="auto"/>
              <w:right w:val="single" w:sz="4" w:space="0" w:color="auto"/>
            </w:tcBorders>
            <w:vAlign w:val="center"/>
          </w:tcPr>
          <w:p w14:paraId="61C41C3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汉江</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3B7AC09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6F3C636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153,416,893.16</w:t>
            </w:r>
          </w:p>
        </w:tc>
        <w:tc>
          <w:tcPr>
            <w:tcW w:w="750" w:type="pct"/>
            <w:tcBorders>
              <w:top w:val="single" w:sz="4" w:space="0" w:color="auto"/>
              <w:left w:val="single" w:sz="4" w:space="0" w:color="auto"/>
              <w:bottom w:val="single" w:sz="4" w:space="0" w:color="auto"/>
              <w:right w:val="single" w:sz="4" w:space="0" w:color="auto"/>
            </w:tcBorders>
            <w:vAlign w:val="center"/>
          </w:tcPr>
          <w:p w14:paraId="7ABE9034"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3.21</w:t>
            </w:r>
          </w:p>
        </w:tc>
      </w:tr>
      <w:tr w:rsidR="00CB5326" w14:paraId="5FA705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64D3D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82008F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102380363</w:t>
            </w:r>
          </w:p>
        </w:tc>
        <w:tc>
          <w:tcPr>
            <w:tcW w:w="750" w:type="pct"/>
            <w:tcBorders>
              <w:top w:val="single" w:sz="4" w:space="0" w:color="auto"/>
              <w:left w:val="single" w:sz="4" w:space="0" w:color="auto"/>
              <w:bottom w:val="single" w:sz="4" w:space="0" w:color="auto"/>
              <w:right w:val="single" w:sz="4" w:space="0" w:color="auto"/>
            </w:tcBorders>
            <w:vAlign w:val="center"/>
          </w:tcPr>
          <w:p w14:paraId="5004E37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港城开发</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6697301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sz="4" w:space="0" w:color="auto"/>
              <w:left w:val="single" w:sz="4" w:space="0" w:color="auto"/>
              <w:bottom w:val="single" w:sz="4" w:space="0" w:color="auto"/>
              <w:right w:val="single" w:sz="4" w:space="0" w:color="auto"/>
            </w:tcBorders>
            <w:vAlign w:val="center"/>
          </w:tcPr>
          <w:p w14:paraId="511D80E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134,438,896.17</w:t>
            </w:r>
          </w:p>
        </w:tc>
        <w:tc>
          <w:tcPr>
            <w:tcW w:w="750" w:type="pct"/>
            <w:tcBorders>
              <w:top w:val="single" w:sz="4" w:space="0" w:color="auto"/>
              <w:left w:val="single" w:sz="4" w:space="0" w:color="auto"/>
              <w:bottom w:val="single" w:sz="4" w:space="0" w:color="auto"/>
              <w:right w:val="single" w:sz="4" w:space="0" w:color="auto"/>
            </w:tcBorders>
            <w:vAlign w:val="center"/>
          </w:tcPr>
          <w:p w14:paraId="73E6285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2.81</w:t>
            </w:r>
          </w:p>
        </w:tc>
      </w:tr>
      <w:tr w:rsidR="00CB5326" w14:paraId="5D7F15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7C5CF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F0830E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190203</w:t>
            </w:r>
          </w:p>
        </w:tc>
        <w:tc>
          <w:tcPr>
            <w:tcW w:w="750" w:type="pct"/>
            <w:tcBorders>
              <w:top w:val="single" w:sz="4" w:space="0" w:color="auto"/>
              <w:left w:val="single" w:sz="4" w:space="0" w:color="auto"/>
              <w:bottom w:val="single" w:sz="4" w:space="0" w:color="auto"/>
              <w:right w:val="single" w:sz="4" w:space="0" w:color="auto"/>
            </w:tcBorders>
            <w:vAlign w:val="center"/>
          </w:tcPr>
          <w:p w14:paraId="6847C87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24E2FEF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335CDD6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112,802,739.73</w:t>
            </w:r>
          </w:p>
        </w:tc>
        <w:tc>
          <w:tcPr>
            <w:tcW w:w="750" w:type="pct"/>
            <w:tcBorders>
              <w:top w:val="single" w:sz="4" w:space="0" w:color="auto"/>
              <w:left w:val="single" w:sz="4" w:space="0" w:color="auto"/>
              <w:bottom w:val="single" w:sz="4" w:space="0" w:color="auto"/>
              <w:right w:val="single" w:sz="4" w:space="0" w:color="auto"/>
            </w:tcBorders>
            <w:vAlign w:val="center"/>
          </w:tcPr>
          <w:p w14:paraId="0CA628F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2.36</w:t>
            </w:r>
          </w:p>
        </w:tc>
      </w:tr>
      <w:tr w:rsidR="00CB5326" w14:paraId="15EE15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62F44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2437A0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210207</w:t>
            </w:r>
          </w:p>
        </w:tc>
        <w:tc>
          <w:tcPr>
            <w:tcW w:w="750" w:type="pct"/>
            <w:tcBorders>
              <w:top w:val="single" w:sz="4" w:space="0" w:color="auto"/>
              <w:left w:val="single" w:sz="4" w:space="0" w:color="auto"/>
              <w:bottom w:val="single" w:sz="4" w:space="0" w:color="auto"/>
              <w:right w:val="single" w:sz="4" w:space="0" w:color="auto"/>
            </w:tcBorders>
            <w:vAlign w:val="center"/>
          </w:tcPr>
          <w:p w14:paraId="31AC433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389B806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409AC19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111,538,737.70</w:t>
            </w:r>
          </w:p>
        </w:tc>
        <w:tc>
          <w:tcPr>
            <w:tcW w:w="750" w:type="pct"/>
            <w:tcBorders>
              <w:top w:val="single" w:sz="4" w:space="0" w:color="auto"/>
              <w:left w:val="single" w:sz="4" w:space="0" w:color="auto"/>
              <w:bottom w:val="single" w:sz="4" w:space="0" w:color="auto"/>
              <w:right w:val="single" w:sz="4" w:space="0" w:color="auto"/>
            </w:tcBorders>
            <w:vAlign w:val="center"/>
          </w:tcPr>
          <w:p w14:paraId="0C00CE1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2.33</w:t>
            </w:r>
          </w:p>
        </w:tc>
      </w:tr>
      <w:tr w:rsidR="00CB5326" w14:paraId="0567C9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B5F9D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53F307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102102101</w:t>
            </w:r>
          </w:p>
        </w:tc>
        <w:tc>
          <w:tcPr>
            <w:tcW w:w="750" w:type="pct"/>
            <w:tcBorders>
              <w:top w:val="single" w:sz="4" w:space="0" w:color="auto"/>
              <w:left w:val="single" w:sz="4" w:space="0" w:color="auto"/>
              <w:bottom w:val="single" w:sz="4" w:space="0" w:color="auto"/>
              <w:right w:val="single" w:sz="4" w:space="0" w:color="auto"/>
            </w:tcBorders>
            <w:vAlign w:val="center"/>
          </w:tcPr>
          <w:p w14:paraId="6431DF0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空港兴城</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6846CF8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7F9598F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104,761,972.60</w:t>
            </w:r>
          </w:p>
        </w:tc>
        <w:tc>
          <w:tcPr>
            <w:tcW w:w="750" w:type="pct"/>
            <w:tcBorders>
              <w:top w:val="single" w:sz="4" w:space="0" w:color="auto"/>
              <w:left w:val="single" w:sz="4" w:space="0" w:color="auto"/>
              <w:bottom w:val="single" w:sz="4" w:space="0" w:color="auto"/>
              <w:right w:val="single" w:sz="4" w:space="0" w:color="auto"/>
            </w:tcBorders>
            <w:vAlign w:val="center"/>
          </w:tcPr>
          <w:p w14:paraId="291AD4F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bl>
    <w:p w14:paraId="79A993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797E47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7E9D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20705B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1745A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7C988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9775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02F5D3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9.1 本期国债期货投资政策</w:t>
      </w:r>
    </w:p>
    <w:p w14:paraId="2BBD5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3E74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6911B1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6CEC8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260016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C58E4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293A4F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3D0169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7A3A6C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2023年9月8日，国家外汇管理局宁波市分局公示甬外管罚20238号行政处罚决定书，给予宁波银行罚款670万元，没收违法所得183.02万元人民币罚款的行政处罚。</w:t>
      </w:r>
    </w:p>
    <w:p w14:paraId="2E5FAD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2023年1月13日，宁波银保监局公示甬银保监罚决字〔2023〕1号行政处罚决定书，给予宁波银行罚款220万元人民币罚款的行政处罚。　</w:t>
      </w:r>
    </w:p>
    <w:p w14:paraId="278F0D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2023年9月27日，国家金融监督管理总局厦门监管局公示厦金罚决字20236号行政处罚决定书，给予厦门国际银行股份有限公司罚款220万元人民币罚款的行政处罚。</w:t>
      </w:r>
    </w:p>
    <w:p w14:paraId="360945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2023年8月7日，国家外汇管理局厦门市分局公示厦门汇检罚20232号行政处罚决定书，给予厦门国际银行股份有限公司罚款644.30万元人民币罚款的行政处罚。</w:t>
      </w:r>
    </w:p>
    <w:p w14:paraId="1CC5C6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6A503D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234BCE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2E4EE0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231885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B5326" w14:paraId="6962A1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EBC99D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67237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3C8CCB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B5326" w14:paraId="0E55B9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C8A93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8107FB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C0170E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20,434.68</w:t>
            </w:r>
          </w:p>
        </w:tc>
      </w:tr>
      <w:tr w:rsidR="00CB5326" w14:paraId="7C1D1E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B9F39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DC3838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1099ECC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8,415,298.05</w:t>
            </w:r>
          </w:p>
        </w:tc>
      </w:tr>
      <w:tr w:rsidR="00CB5326" w14:paraId="23AAC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3290A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2E376B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B4CFDA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E09E5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64C74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73DD3B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9F02D6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00857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C514C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FBACB9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C205923"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6,283,437.42</w:t>
            </w:r>
          </w:p>
        </w:tc>
      </w:tr>
      <w:tr w:rsidR="00CB5326" w14:paraId="4F8D7E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01590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DC2502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428A528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125.00</w:t>
            </w:r>
          </w:p>
        </w:tc>
      </w:tr>
      <w:tr w:rsidR="00CB5326" w14:paraId="0B4846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B418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C1DECC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311572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64347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C0FCA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CAAB2A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B9535F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14,719,295.15</w:t>
            </w:r>
          </w:p>
        </w:tc>
      </w:tr>
    </w:tbl>
    <w:p w14:paraId="3E0A8C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35C2B9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A64DD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A8A78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D43D3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7E0BE8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9DB0E8A"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C98BB0" w14:textId="77777777" w:rsidR="00CB5326" w:rsidRDefault="000C1687">
      <w:pPr>
        <w:pStyle w:val="1"/>
        <w:snapToGrid w:val="0"/>
        <w:spacing w:beforeLines="0" w:before="240" w:after="240"/>
        <w:rPr>
          <w:rFonts w:ascii="宋体" w:hAnsi="宋体"/>
          <w:szCs w:val="30"/>
        </w:rPr>
      </w:pPr>
      <w:bookmarkStart w:id="14" w:name="_Toc154495301"/>
      <w:r>
        <w:rPr>
          <w:rFonts w:ascii="Times New Roman" w:hAnsi="Times New Roman"/>
          <w:sz w:val="30"/>
        </w:rPr>
        <w:lastRenderedPageBreak/>
        <w:t>十一、基金的业绩</w:t>
      </w:r>
      <w:bookmarkEnd w:id="14"/>
    </w:p>
    <w:p w14:paraId="7600CA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176C7D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80668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68D30F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CB5326" w14:paraId="2AD4546B"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0412B53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CBFF01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A69FFF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F8D724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0652B6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43F48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1AC8F7B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B5326" w14:paraId="1D9E74F3"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2EB749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A/B</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4879D90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586C3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14:paraId="1DF65CD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F553D2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5418348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FA4B2D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0.89%</w:t>
            </w:r>
          </w:p>
        </w:tc>
        <w:tc>
          <w:tcPr>
            <w:tcW w:w="750" w:type="pct"/>
            <w:tcBorders>
              <w:top w:val="single" w:sz="4" w:space="0" w:color="auto"/>
              <w:left w:val="single" w:sz="4" w:space="0" w:color="auto"/>
              <w:bottom w:val="single" w:sz="4" w:space="0" w:color="auto"/>
              <w:right w:val="single" w:sz="4" w:space="0" w:color="auto"/>
            </w:tcBorders>
            <w:vAlign w:val="center"/>
          </w:tcPr>
          <w:p w14:paraId="2C6E46C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367578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2F93F4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FD7F0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E0004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3.20%</w:t>
            </w:r>
          </w:p>
        </w:tc>
        <w:tc>
          <w:tcPr>
            <w:tcW w:w="750" w:type="pct"/>
            <w:tcBorders>
              <w:top w:val="single" w:sz="4" w:space="0" w:color="auto"/>
              <w:left w:val="single" w:sz="4" w:space="0" w:color="auto"/>
              <w:bottom w:val="single" w:sz="4" w:space="0" w:color="auto"/>
              <w:right w:val="single" w:sz="4" w:space="0" w:color="auto"/>
            </w:tcBorders>
            <w:vAlign w:val="center"/>
          </w:tcPr>
          <w:p w14:paraId="51A6F5A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D2BE1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766F0C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32F7EF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14:paraId="0027D6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4CD27A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968C18"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08975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45C5B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462387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C12EA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CCAAE3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689FE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56F9EBA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1FC8B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1ABAA61"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B4181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0DF85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5.25%</w:t>
            </w:r>
          </w:p>
        </w:tc>
        <w:tc>
          <w:tcPr>
            <w:tcW w:w="750" w:type="pct"/>
            <w:tcBorders>
              <w:top w:val="single" w:sz="4" w:space="0" w:color="auto"/>
              <w:left w:val="single" w:sz="4" w:space="0" w:color="auto"/>
              <w:bottom w:val="single" w:sz="4" w:space="0" w:color="auto"/>
              <w:right w:val="single" w:sz="4" w:space="0" w:color="auto"/>
            </w:tcBorders>
            <w:vAlign w:val="center"/>
          </w:tcPr>
          <w:p w14:paraId="23FBDE9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09641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6F667F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A2611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sz="4" w:space="0" w:color="auto"/>
              <w:left w:val="single" w:sz="4" w:space="0" w:color="auto"/>
              <w:bottom w:val="single" w:sz="4" w:space="0" w:color="auto"/>
              <w:right w:val="single" w:sz="4" w:space="0" w:color="auto"/>
            </w:tcBorders>
            <w:vAlign w:val="center"/>
          </w:tcPr>
          <w:p w14:paraId="3189E3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CB5326" w14:paraId="2137245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6D3EEB"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136E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83EA8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14:paraId="3DC889A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15541B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EC66A2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CE3839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14:paraId="2F3BB90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611B0BF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B7986FA"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3C043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97A217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4.74%</w:t>
            </w:r>
          </w:p>
        </w:tc>
        <w:tc>
          <w:tcPr>
            <w:tcW w:w="750" w:type="pct"/>
            <w:tcBorders>
              <w:top w:val="single" w:sz="4" w:space="0" w:color="auto"/>
              <w:left w:val="single" w:sz="4" w:space="0" w:color="auto"/>
              <w:bottom w:val="single" w:sz="4" w:space="0" w:color="auto"/>
              <w:right w:val="single" w:sz="4" w:space="0" w:color="auto"/>
            </w:tcBorders>
            <w:vAlign w:val="center"/>
          </w:tcPr>
          <w:p w14:paraId="5D63E07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BA76B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0E656D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F9E94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3.43%</w:t>
            </w:r>
          </w:p>
        </w:tc>
        <w:tc>
          <w:tcPr>
            <w:tcW w:w="750" w:type="pct"/>
            <w:tcBorders>
              <w:top w:val="single" w:sz="4" w:space="0" w:color="auto"/>
              <w:left w:val="single" w:sz="4" w:space="0" w:color="auto"/>
              <w:bottom w:val="single" w:sz="4" w:space="0" w:color="auto"/>
              <w:right w:val="single" w:sz="4" w:space="0" w:color="auto"/>
            </w:tcBorders>
            <w:vAlign w:val="center"/>
          </w:tcPr>
          <w:p w14:paraId="61B1126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478E32E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A634A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3EE08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B3890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9.27%</w:t>
            </w:r>
          </w:p>
        </w:tc>
        <w:tc>
          <w:tcPr>
            <w:tcW w:w="750" w:type="pct"/>
            <w:tcBorders>
              <w:top w:val="single" w:sz="4" w:space="0" w:color="auto"/>
              <w:left w:val="single" w:sz="4" w:space="0" w:color="auto"/>
              <w:bottom w:val="single" w:sz="4" w:space="0" w:color="auto"/>
              <w:right w:val="single" w:sz="4" w:space="0" w:color="auto"/>
            </w:tcBorders>
            <w:vAlign w:val="center"/>
          </w:tcPr>
          <w:p w14:paraId="740D84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58FCE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38E08E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9D2622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4.48%</w:t>
            </w:r>
          </w:p>
        </w:tc>
        <w:tc>
          <w:tcPr>
            <w:tcW w:w="750" w:type="pct"/>
            <w:tcBorders>
              <w:top w:val="single" w:sz="4" w:space="0" w:color="auto"/>
              <w:left w:val="single" w:sz="4" w:space="0" w:color="auto"/>
              <w:bottom w:val="single" w:sz="4" w:space="0" w:color="auto"/>
              <w:right w:val="single" w:sz="4" w:space="0" w:color="auto"/>
            </w:tcBorders>
            <w:vAlign w:val="center"/>
          </w:tcPr>
          <w:p w14:paraId="370B4C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EDA2AB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542DCD9"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1F350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541BF8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465D9F8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0BD865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51D8577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3A0DE4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sz="4" w:space="0" w:color="auto"/>
              <w:left w:val="single" w:sz="4" w:space="0" w:color="auto"/>
              <w:bottom w:val="single" w:sz="4" w:space="0" w:color="auto"/>
              <w:right w:val="single" w:sz="4" w:space="0" w:color="auto"/>
            </w:tcBorders>
            <w:vAlign w:val="center"/>
          </w:tcPr>
          <w:p w14:paraId="7D7C266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6359714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2A66F1A"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00F52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DC91E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sz="4" w:space="0" w:color="auto"/>
              <w:left w:val="single" w:sz="4" w:space="0" w:color="auto"/>
              <w:bottom w:val="single" w:sz="4" w:space="0" w:color="auto"/>
              <w:right w:val="single" w:sz="4" w:space="0" w:color="auto"/>
            </w:tcBorders>
            <w:vAlign w:val="center"/>
          </w:tcPr>
          <w:p w14:paraId="07A3E5B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5B0C02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58C858C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901D3F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762E254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71A2672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5CAD0D"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367C54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0740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10.86%</w:t>
            </w:r>
          </w:p>
        </w:tc>
        <w:tc>
          <w:tcPr>
            <w:tcW w:w="750" w:type="pct"/>
            <w:tcBorders>
              <w:top w:val="single" w:sz="4" w:space="0" w:color="auto"/>
              <w:left w:val="single" w:sz="4" w:space="0" w:color="auto"/>
              <w:bottom w:val="single" w:sz="4" w:space="0" w:color="auto"/>
              <w:right w:val="single" w:sz="4" w:space="0" w:color="auto"/>
            </w:tcBorders>
            <w:vAlign w:val="center"/>
          </w:tcPr>
          <w:p w14:paraId="043F92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14:paraId="15E430E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6E35308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0992F19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6.68%</w:t>
            </w:r>
          </w:p>
        </w:tc>
        <w:tc>
          <w:tcPr>
            <w:tcW w:w="750" w:type="pct"/>
            <w:tcBorders>
              <w:top w:val="single" w:sz="4" w:space="0" w:color="auto"/>
              <w:left w:val="single" w:sz="4" w:space="0" w:color="auto"/>
              <w:bottom w:val="single" w:sz="4" w:space="0" w:color="auto"/>
              <w:right w:val="single" w:sz="4" w:space="0" w:color="auto"/>
            </w:tcBorders>
            <w:vAlign w:val="center"/>
          </w:tcPr>
          <w:p w14:paraId="654A621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CB5326" w14:paraId="4D45765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5BDF43"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59112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96DD77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10.10%</w:t>
            </w:r>
          </w:p>
        </w:tc>
        <w:tc>
          <w:tcPr>
            <w:tcW w:w="750" w:type="pct"/>
            <w:tcBorders>
              <w:top w:val="single" w:sz="4" w:space="0" w:color="auto"/>
              <w:left w:val="single" w:sz="4" w:space="0" w:color="auto"/>
              <w:bottom w:val="single" w:sz="4" w:space="0" w:color="auto"/>
              <w:right w:val="single" w:sz="4" w:space="0" w:color="auto"/>
            </w:tcBorders>
            <w:vAlign w:val="center"/>
          </w:tcPr>
          <w:p w14:paraId="15F07F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sz="4" w:space="0" w:color="auto"/>
              <w:left w:val="single" w:sz="4" w:space="0" w:color="auto"/>
              <w:bottom w:val="single" w:sz="4" w:space="0" w:color="auto"/>
              <w:right w:val="single" w:sz="4" w:space="0" w:color="auto"/>
            </w:tcBorders>
            <w:vAlign w:val="center"/>
          </w:tcPr>
          <w:p w14:paraId="46514D5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381214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28AA187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14:paraId="207896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CB5326" w14:paraId="3B08E55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DA19A2"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6164BD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6972C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864B15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9F4B5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2BF5B0A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B85D98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3.24%</w:t>
            </w:r>
          </w:p>
        </w:tc>
        <w:tc>
          <w:tcPr>
            <w:tcW w:w="750" w:type="pct"/>
            <w:tcBorders>
              <w:top w:val="single" w:sz="4" w:space="0" w:color="auto"/>
              <w:left w:val="single" w:sz="4" w:space="0" w:color="auto"/>
              <w:bottom w:val="single" w:sz="4" w:space="0" w:color="auto"/>
              <w:right w:val="single" w:sz="4" w:space="0" w:color="auto"/>
            </w:tcBorders>
            <w:vAlign w:val="center"/>
          </w:tcPr>
          <w:p w14:paraId="28F7872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70EA0C4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F5241D2"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B3F6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00909B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15C708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F8AC34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 xml:space="preserve">　</w:t>
            </w: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971C45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 xml:space="preserve">　</w:t>
            </w: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C85559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231F0A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1563361"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5DE724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0762533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21F52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66ADCDF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4C2B3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C59EB0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09A583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14:paraId="0C3611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0F44CB5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2FDC969"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D248B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E01C24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7485D59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D5FA82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9C2666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1DEC0B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3994747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506FA34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D3A1888"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CBF54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8D261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14:paraId="38FA376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22BA94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100AF51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F6978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C51FD4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561B5C9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D7C3FE"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86C20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9CDC5A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4.83%</w:t>
            </w:r>
          </w:p>
        </w:tc>
        <w:tc>
          <w:tcPr>
            <w:tcW w:w="750" w:type="pct"/>
            <w:tcBorders>
              <w:top w:val="single" w:sz="4" w:space="0" w:color="auto"/>
              <w:left w:val="single" w:sz="4" w:space="0" w:color="auto"/>
              <w:bottom w:val="single" w:sz="4" w:space="0" w:color="auto"/>
              <w:right w:val="single" w:sz="4" w:space="0" w:color="auto"/>
            </w:tcBorders>
            <w:vAlign w:val="center"/>
          </w:tcPr>
          <w:p w14:paraId="76248C5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3286B9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70B4BA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06F2BC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sz="4" w:space="0" w:color="auto"/>
              <w:left w:val="single" w:sz="4" w:space="0" w:color="auto"/>
              <w:bottom w:val="single" w:sz="4" w:space="0" w:color="auto"/>
              <w:right w:val="single" w:sz="4" w:space="0" w:color="auto"/>
            </w:tcBorders>
            <w:vAlign w:val="center"/>
          </w:tcPr>
          <w:p w14:paraId="23F055E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CB5326" w14:paraId="4A5AFF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2BD2F54"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CD951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FDE4D1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2.46%</w:t>
            </w:r>
          </w:p>
        </w:tc>
        <w:tc>
          <w:tcPr>
            <w:tcW w:w="750" w:type="pct"/>
            <w:tcBorders>
              <w:top w:val="single" w:sz="4" w:space="0" w:color="auto"/>
              <w:left w:val="single" w:sz="4" w:space="0" w:color="auto"/>
              <w:bottom w:val="single" w:sz="4" w:space="0" w:color="auto"/>
              <w:right w:val="single" w:sz="4" w:space="0" w:color="auto"/>
            </w:tcBorders>
            <w:vAlign w:val="center"/>
          </w:tcPr>
          <w:p w14:paraId="5E3FE66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477246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9BD8B7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79B55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1D1BB0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1947910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0C3081"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AD86E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21C1A3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4.38%</w:t>
            </w:r>
          </w:p>
        </w:tc>
        <w:tc>
          <w:tcPr>
            <w:tcW w:w="750" w:type="pct"/>
            <w:tcBorders>
              <w:top w:val="single" w:sz="4" w:space="0" w:color="auto"/>
              <w:left w:val="single" w:sz="4" w:space="0" w:color="auto"/>
              <w:bottom w:val="single" w:sz="4" w:space="0" w:color="auto"/>
              <w:right w:val="single" w:sz="4" w:space="0" w:color="auto"/>
            </w:tcBorders>
            <w:vAlign w:val="center"/>
          </w:tcPr>
          <w:p w14:paraId="7B2582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91E54A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BA1C47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7FAB5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3.07%</w:t>
            </w:r>
          </w:p>
        </w:tc>
        <w:tc>
          <w:tcPr>
            <w:tcW w:w="750" w:type="pct"/>
            <w:tcBorders>
              <w:top w:val="single" w:sz="4" w:space="0" w:color="auto"/>
              <w:left w:val="single" w:sz="4" w:space="0" w:color="auto"/>
              <w:bottom w:val="single" w:sz="4" w:space="0" w:color="auto"/>
              <w:right w:val="single" w:sz="4" w:space="0" w:color="auto"/>
            </w:tcBorders>
            <w:vAlign w:val="center"/>
          </w:tcPr>
          <w:p w14:paraId="0803EA7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08F37D6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93AEA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A039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ABF2F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8.84%</w:t>
            </w:r>
          </w:p>
        </w:tc>
        <w:tc>
          <w:tcPr>
            <w:tcW w:w="750" w:type="pct"/>
            <w:tcBorders>
              <w:top w:val="single" w:sz="4" w:space="0" w:color="auto"/>
              <w:left w:val="single" w:sz="4" w:space="0" w:color="auto"/>
              <w:bottom w:val="single" w:sz="4" w:space="0" w:color="auto"/>
              <w:right w:val="single" w:sz="4" w:space="0" w:color="auto"/>
            </w:tcBorders>
            <w:vAlign w:val="center"/>
          </w:tcPr>
          <w:p w14:paraId="737BB65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6C0E4A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7B3A80B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E6A24F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4.05%</w:t>
            </w:r>
          </w:p>
        </w:tc>
        <w:tc>
          <w:tcPr>
            <w:tcW w:w="750" w:type="pct"/>
            <w:tcBorders>
              <w:top w:val="single" w:sz="4" w:space="0" w:color="auto"/>
              <w:left w:val="single" w:sz="4" w:space="0" w:color="auto"/>
              <w:bottom w:val="single" w:sz="4" w:space="0" w:color="auto"/>
              <w:right w:val="single" w:sz="4" w:space="0" w:color="auto"/>
            </w:tcBorders>
            <w:vAlign w:val="center"/>
          </w:tcPr>
          <w:p w14:paraId="1919AC4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09B0DF4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1FCA0B"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96BCB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D3C0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718A2A6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C89A79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27EEC3D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DDBD83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2.69%</w:t>
            </w:r>
          </w:p>
        </w:tc>
        <w:tc>
          <w:tcPr>
            <w:tcW w:w="750" w:type="pct"/>
            <w:tcBorders>
              <w:top w:val="single" w:sz="4" w:space="0" w:color="auto"/>
              <w:left w:val="single" w:sz="4" w:space="0" w:color="auto"/>
              <w:bottom w:val="single" w:sz="4" w:space="0" w:color="auto"/>
              <w:right w:val="single" w:sz="4" w:space="0" w:color="auto"/>
            </w:tcBorders>
            <w:vAlign w:val="center"/>
          </w:tcPr>
          <w:p w14:paraId="46035A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5BA7017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71FB1C"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CBB3E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66C0C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-3.20%</w:t>
            </w:r>
          </w:p>
        </w:tc>
        <w:tc>
          <w:tcPr>
            <w:tcW w:w="750" w:type="pct"/>
            <w:tcBorders>
              <w:top w:val="single" w:sz="4" w:space="0" w:color="auto"/>
              <w:left w:val="single" w:sz="4" w:space="0" w:color="auto"/>
              <w:bottom w:val="single" w:sz="4" w:space="0" w:color="auto"/>
              <w:right w:val="single" w:sz="4" w:space="0" w:color="auto"/>
            </w:tcBorders>
            <w:vAlign w:val="center"/>
          </w:tcPr>
          <w:p w14:paraId="5A3805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238354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3160B19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6589F50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14:paraId="7889DB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1466D26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0F0BCE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8BAF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C57E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10.28%</w:t>
            </w:r>
          </w:p>
        </w:tc>
        <w:tc>
          <w:tcPr>
            <w:tcW w:w="750" w:type="pct"/>
            <w:tcBorders>
              <w:top w:val="single" w:sz="4" w:space="0" w:color="auto"/>
              <w:left w:val="single" w:sz="4" w:space="0" w:color="auto"/>
              <w:bottom w:val="single" w:sz="4" w:space="0" w:color="auto"/>
              <w:right w:val="single" w:sz="4" w:space="0" w:color="auto"/>
            </w:tcBorders>
            <w:vAlign w:val="center"/>
          </w:tcPr>
          <w:p w14:paraId="06A4E67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7F2AD63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296924D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1B842A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6.10%</w:t>
            </w:r>
          </w:p>
        </w:tc>
        <w:tc>
          <w:tcPr>
            <w:tcW w:w="750" w:type="pct"/>
            <w:tcBorders>
              <w:top w:val="single" w:sz="4" w:space="0" w:color="auto"/>
              <w:left w:val="single" w:sz="4" w:space="0" w:color="auto"/>
              <w:bottom w:val="single" w:sz="4" w:space="0" w:color="auto"/>
              <w:right w:val="single" w:sz="4" w:space="0" w:color="auto"/>
            </w:tcBorders>
            <w:vAlign w:val="center"/>
          </w:tcPr>
          <w:p w14:paraId="54E29B2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CB5326" w14:paraId="6B93F2B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A28BD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1DB897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E34F28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9.44%</w:t>
            </w:r>
          </w:p>
        </w:tc>
        <w:tc>
          <w:tcPr>
            <w:tcW w:w="750" w:type="pct"/>
            <w:tcBorders>
              <w:top w:val="single" w:sz="4" w:space="0" w:color="auto"/>
              <w:left w:val="single" w:sz="4" w:space="0" w:color="auto"/>
              <w:bottom w:val="single" w:sz="4" w:space="0" w:color="auto"/>
              <w:right w:val="single" w:sz="4" w:space="0" w:color="auto"/>
            </w:tcBorders>
            <w:vAlign w:val="center"/>
          </w:tcPr>
          <w:p w14:paraId="7048A7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2E5ACC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6C52E15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429CBA6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14:paraId="11A7C09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1473C5A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D22C9F"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B068B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52D3E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03B3C84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3182A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7132E69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48C40B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14:paraId="2405FA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7DC45D7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721ABE"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78AFA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CF7A8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140A385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720128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473DCB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BE68B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672661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7141C2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2CA75FB"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交银施罗德纯债债券型发起式证券投资基金</w:t>
      </w:r>
    </w:p>
    <w:p w14:paraId="2C1CCBF7"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67C99BE5"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（2012年12月19日至2023年09月30日）</w:t>
      </w:r>
    </w:p>
    <w:p w14:paraId="3C6E96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（1）交银纯债债券发起A/B</w:t>
      </w:r>
    </w:p>
    <w:p w14:paraId="799F04C9" w14:textId="3A1F02C9" w:rsidR="00CB5326" w:rsidRDefault="006C507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2D941A0" wp14:editId="49FAEB3B">
            <wp:extent cx="5575300" cy="43815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300" cy="4381500"/>
                    </a:xfrm>
                    <a:prstGeom prst="rect">
                      <a:avLst/>
                    </a:prstGeom>
                    <a:noFill/>
                    <a:ln>
                      <a:noFill/>
                    </a:ln>
                  </pic:spPr>
                </pic:pic>
              </a:graphicData>
            </a:graphic>
          </wp:inline>
        </w:drawing>
      </w:r>
    </w:p>
    <w:p w14:paraId="648785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E087B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（2）交银纯债债券发起C</w:t>
      </w:r>
    </w:p>
    <w:p w14:paraId="6688CC08" w14:textId="70F807ED" w:rsidR="00CB5326" w:rsidRDefault="006C507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3B756AA" wp14:editId="1941160F">
            <wp:extent cx="5575300" cy="438150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5300" cy="4381500"/>
                    </a:xfrm>
                    <a:prstGeom prst="rect">
                      <a:avLst/>
                    </a:prstGeom>
                    <a:noFill/>
                    <a:ln>
                      <a:noFill/>
                    </a:ln>
                  </pic:spPr>
                </pic:pic>
              </a:graphicData>
            </a:graphic>
          </wp:inline>
        </w:drawing>
      </w:r>
    </w:p>
    <w:p w14:paraId="290841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CB90EE6"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7D6632" w14:textId="77777777" w:rsidR="00CB5326" w:rsidRDefault="000C1687">
      <w:pPr>
        <w:pStyle w:val="1"/>
        <w:snapToGrid w:val="0"/>
        <w:spacing w:beforeLines="0" w:before="240" w:after="240"/>
        <w:rPr>
          <w:rFonts w:ascii="宋体" w:hAnsi="宋体"/>
          <w:szCs w:val="30"/>
        </w:rPr>
      </w:pPr>
      <w:bookmarkStart w:id="15" w:name="_Toc154495302"/>
      <w:r>
        <w:rPr>
          <w:rFonts w:ascii="Times New Roman" w:hAnsi="Times New Roman"/>
          <w:sz w:val="30"/>
        </w:rPr>
        <w:lastRenderedPageBreak/>
        <w:t>十二、基金的财产</w:t>
      </w:r>
      <w:bookmarkEnd w:id="15"/>
    </w:p>
    <w:p w14:paraId="3FC661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3894A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14:paraId="3AE125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A61E5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基金资产净值是指基金资产总值减去基金负债后的净资产值。</w:t>
      </w:r>
    </w:p>
    <w:p w14:paraId="48A4AB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70412E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本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0FA704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（四）基金财产的处分</w:t>
      </w:r>
    </w:p>
    <w:p w14:paraId="1574A6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37180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14:paraId="2EFA02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基金财产的债权，不得与基金管理人、基金托管人固有财产的债务相抵销；不同基金财产的债权债务，不得相互抵销。</w:t>
      </w:r>
    </w:p>
    <w:p w14:paraId="4831DE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14:paraId="3C3FF424"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85EED4" w14:textId="77777777" w:rsidR="00CB5326" w:rsidRDefault="000C1687">
      <w:pPr>
        <w:pStyle w:val="1"/>
        <w:snapToGrid w:val="0"/>
        <w:spacing w:beforeLines="0" w:before="240" w:after="240"/>
        <w:rPr>
          <w:rFonts w:ascii="宋体" w:hAnsi="宋体"/>
          <w:szCs w:val="30"/>
        </w:rPr>
      </w:pPr>
      <w:bookmarkStart w:id="16" w:name="_Toc154495303"/>
      <w:r>
        <w:rPr>
          <w:rFonts w:ascii="Times New Roman" w:hAnsi="Times New Roman"/>
          <w:sz w:val="30"/>
        </w:rPr>
        <w:lastRenderedPageBreak/>
        <w:t>十三、基金资产的估值</w:t>
      </w:r>
      <w:bookmarkEnd w:id="16"/>
    </w:p>
    <w:p w14:paraId="39282E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14:paraId="558BFB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14:paraId="762BF2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14:paraId="0EFB4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本基金的估值日为相关的证券交易场所的正常交易日，以及国家法律法规规定需要对外披露基金净值的非交易日。</w:t>
      </w:r>
    </w:p>
    <w:p w14:paraId="597D7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14:paraId="3DE330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基金依法拥有的债券、权证及其他基金资产和负债。</w:t>
      </w:r>
    </w:p>
    <w:p w14:paraId="4FDB63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E7B8C6E" w14:textId="1508BDB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基金日常估值由基金管理人进行。基金管理人每个工作日分别计算本基金</w:t>
      </w:r>
      <w:r>
        <w:rPr>
          <w:rFonts w:ascii="宋体" w:hAnsi="宋体" w:hint="eastAsia"/>
          <w:sz w:val="24"/>
        </w:rPr>
        <w:t>A/B类基金份额</w:t>
      </w:r>
      <w:r w:rsidR="000E632D">
        <w:rPr>
          <w:rFonts w:ascii="宋体" w:hAnsi="宋体" w:hint="eastAsia"/>
          <w:sz w:val="24"/>
        </w:rPr>
        <w:t>、</w:t>
      </w:r>
      <w:r>
        <w:rPr>
          <w:rFonts w:ascii="宋体" w:hAnsi="宋体" w:hint="eastAsia"/>
          <w:sz w:val="24"/>
        </w:rPr>
        <w:t>C</w:t>
      </w:r>
      <w:r>
        <w:rPr>
          <w:rFonts w:ascii="宋体" w:hAnsi="宋体"/>
          <w:sz w:val="24"/>
        </w:rPr>
        <w:t>类基金份额</w:t>
      </w:r>
      <w:r w:rsidR="000E632D" w:rsidRPr="000E632D">
        <w:rPr>
          <w:rFonts w:ascii="宋体" w:hAnsi="宋体" w:hint="eastAsia"/>
          <w:sz w:val="24"/>
        </w:rPr>
        <w:t>和D类基金份额</w:t>
      </w:r>
      <w:r>
        <w:rPr>
          <w:rFonts w:ascii="宋体" w:hAnsi="宋体"/>
          <w:sz w:val="24"/>
        </w:rPr>
        <w:t>的基金资产净值及基金份额净值。</w:t>
      </w:r>
      <w:r w:rsidR="00C37A18">
        <w:rPr>
          <w:rFonts w:ascii="宋体" w:hAnsi="宋体" w:hint="eastAsia"/>
          <w:sz w:val="24"/>
        </w:rPr>
        <w:t>各类</w:t>
      </w:r>
      <w:r>
        <w:rPr>
          <w:rFonts w:ascii="宋体" w:hAnsi="宋体"/>
          <w:sz w:val="24"/>
        </w:rPr>
        <w:t>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54C72D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（五）估值方法</w:t>
      </w:r>
    </w:p>
    <w:p w14:paraId="7821DE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1、债券估值方法：</w:t>
      </w:r>
    </w:p>
    <w:p w14:paraId="46712E64" w14:textId="0B631D8E"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30089A" w:rsidRPr="0030089A">
        <w:rPr>
          <w:rFonts w:ascii="宋体" w:hAnsi="宋体" w:hint="eastAsia"/>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7F0D90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w:t>
      </w:r>
      <w:r>
        <w:rPr>
          <w:rFonts w:ascii="宋体" w:hAnsi="宋体"/>
          <w:sz w:val="24"/>
        </w:rPr>
        <w:lastRenderedPageBreak/>
        <w:t>近交易日收盘价，确定公允价值进行估值。</w:t>
      </w:r>
    </w:p>
    <w:p w14:paraId="466DD7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（3）首次发行未上市债券采用估值技术确定的公允价值进行估值，在估值技术难以可靠计量公允价值的情况下，按成本估值。</w:t>
      </w:r>
    </w:p>
    <w:p w14:paraId="7EFC57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（4）交易所以大宗交易方式转让的资产支持证券，采用估值技术确定公允价值，在估值技术难以可靠计量公允价值的情况下，按成本进行后续计量。</w:t>
      </w:r>
    </w:p>
    <w:p w14:paraId="31ADBC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（5）在全国银行间债券市场交易的债券、资产支持证券等固定收益品种，采用估值技术确定公允价值。</w:t>
      </w:r>
    </w:p>
    <w:p w14:paraId="7119D6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（6）同一债券同时在两个或两个以上市场交易的，按债券所处的市场分别估值。</w:t>
      </w:r>
    </w:p>
    <w:p w14:paraId="074135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BA005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（8）国家有最新规定的，按其规定进行估值。</w:t>
      </w:r>
    </w:p>
    <w:p w14:paraId="74F97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2、权证估值方法：</w:t>
      </w:r>
    </w:p>
    <w:p w14:paraId="22A1C6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34587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（2）首次发行未上市的权证，采用估值技术确定公允价值，在估值技术难以可靠计量公允价值的情况下，按成本估值。</w:t>
      </w:r>
    </w:p>
    <w:p w14:paraId="0D63A6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（3）停止交易、但未行权的权证，采用估值技术确定公允价值进行估值。</w:t>
      </w:r>
    </w:p>
    <w:p w14:paraId="42F86C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4F7778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（5）国家有最新规定的，按其规定进行估值。</w:t>
      </w:r>
    </w:p>
    <w:p w14:paraId="355477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3、其他有价证券等资产按国家有关规定进行估值。</w:t>
      </w:r>
    </w:p>
    <w:p w14:paraId="047FB5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256B2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3107D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6AB2E5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w:t>
      </w:r>
    </w:p>
    <w:p w14:paraId="6C088B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14:paraId="1EE1ED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C5FD4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者自身的过错造成估值错误，导致其他当事人遭受损失的，估值错误的责任人应当对由于该估值错误遭受损失的当事人（“受损方”）按下述“估值错误处理原则”给予赔偿，承担赔偿责任。</w:t>
      </w:r>
    </w:p>
    <w:p w14:paraId="6373D6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6DEE3E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估值错误，因不可抗力原因出现估值错误的当事人不对其他当事人承担赔偿责任，但因该估值错误取得不当得利的当事人仍应负有返还不当得利的义务。</w:t>
      </w:r>
    </w:p>
    <w:p w14:paraId="67DD76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614E8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承担；若估值错误责任方已经积极协调，并且有协助义务的当事人有足够</w:t>
      </w:r>
      <w:r>
        <w:rPr>
          <w:rFonts w:ascii="宋体" w:hAnsi="宋体"/>
          <w:sz w:val="24"/>
        </w:rPr>
        <w:lastRenderedPageBreak/>
        <w:t>的时间进行更正而未更正，则其应当承担相应赔偿责任。估值错误责任方应对更正的情况向有关当事人进行确认，确保估值错误已得到更正；</w:t>
      </w:r>
    </w:p>
    <w:p w14:paraId="5B1F93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（2）估值错误的责任方对可能导致有关当事人的直接损失负责，不对间接损失负责，并且仅对估值错误的有关直接当事人负责，不对第三方负责；</w:t>
      </w:r>
    </w:p>
    <w:p w14:paraId="656AA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8A9A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E4B10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估值错误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估值错误方追偿，追偿过程中产生的有关费用，由责任方承担；</w:t>
      </w:r>
    </w:p>
    <w:p w14:paraId="30B604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估值错误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51C80B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（7）按法律法规规定的其他原则处理估值错误。</w:t>
      </w:r>
    </w:p>
    <w:p w14:paraId="0270C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C917C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4543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E0AC1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DB6FF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7384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（4）根据估值错误处理的方法，需要修改注册登记机构交易数据的，由注册登记机构进行更正，并就估值错误的更正向有关当事人进行确认。</w:t>
      </w:r>
    </w:p>
    <w:p w14:paraId="3AC01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4、基金份额净值错误处理的原则和方法</w:t>
      </w:r>
    </w:p>
    <w:p w14:paraId="762822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份额净值的0.5%时，基金管理人应当公告、通报基金托管人并报中国证监会备案；当发生基金份额净值错误时，由基金管理人负责处理，由此给基金份额持有人和基金造成损失的，应由基金管理人先行赔付，基金管理人按估值错误情形，有权向其他当事人追偿。</w:t>
      </w:r>
    </w:p>
    <w:p w14:paraId="7CCA9F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14:paraId="045AC9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29DE7D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57719E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CDFD7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72653A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w:t>
      </w:r>
      <w:r>
        <w:rPr>
          <w:rFonts w:ascii="宋体" w:hAnsi="宋体"/>
          <w:sz w:val="24"/>
        </w:rPr>
        <w:lastRenderedPageBreak/>
        <w:t>差，以基金管理人计算结果为准。</w:t>
      </w:r>
    </w:p>
    <w:p w14:paraId="30708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（4）前述内容如法律法规或者监管部门另有规定的，从其规定。如果行业有通行做法，双方当事人应本着平等和保护基金份额持有人利益的原则进行协商。</w:t>
      </w:r>
    </w:p>
    <w:p w14:paraId="683320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0C73A1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1、基金投资所涉及的证券投资市场遇法定节假日或因其他原因暂停交易时；</w:t>
      </w:r>
    </w:p>
    <w:p w14:paraId="4B00D5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7A0C76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4B388F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53D655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60AD0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699FD3E4" w14:textId="163953C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3390C538" w14:textId="5EC0D889" w:rsidR="00CB5326" w:rsidRDefault="000E632D">
      <w:pPr>
        <w:autoSpaceDE w:val="0"/>
        <w:autoSpaceDN w:val="0"/>
        <w:adjustRightInd w:val="0"/>
        <w:snapToGrid w:val="0"/>
        <w:spacing w:line="360" w:lineRule="auto"/>
        <w:ind w:firstLineChars="200" w:firstLine="480"/>
        <w:jc w:val="left"/>
        <w:rPr>
          <w:rFonts w:ascii="宋体" w:hAnsi="宋体"/>
          <w:szCs w:val="24"/>
        </w:rPr>
      </w:pPr>
      <w:r w:rsidRPr="00F716E4">
        <w:rPr>
          <w:rFonts w:hint="eastAsia"/>
          <w:bCs/>
          <w:sz w:val="24"/>
        </w:rPr>
        <w:t>各类</w:t>
      </w:r>
      <w:r w:rsidR="000C1687">
        <w:rPr>
          <w:rFonts w:ascii="宋体" w:hAnsi="宋体"/>
          <w:sz w:val="24"/>
        </w:rPr>
        <w:t>基金份额净值的计算精确到0.0001元，小数点后第五位四舍五入，由此产生的误差计入基金财产。国家另有规定的，从其规定。</w:t>
      </w:r>
    </w:p>
    <w:p w14:paraId="53EAC4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7088A1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1、基金管理人或基金托管人按债券估值方法的第（7）项、权证估值方法的第（4）项进行估值时，所造成的误差不作为基金资产估值错误处理。</w:t>
      </w:r>
    </w:p>
    <w:p w14:paraId="44B603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14:paraId="15A123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61D075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15301A82"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7175AE69" w14:textId="77777777" w:rsidR="00CB5326" w:rsidRDefault="000C1687">
      <w:pPr>
        <w:pStyle w:val="1"/>
        <w:snapToGrid w:val="0"/>
        <w:spacing w:beforeLines="0" w:before="240" w:after="240"/>
        <w:rPr>
          <w:rFonts w:ascii="宋体" w:hAnsi="宋体"/>
          <w:szCs w:val="30"/>
        </w:rPr>
      </w:pPr>
      <w:bookmarkStart w:id="17" w:name="_Toc154495304"/>
      <w:r>
        <w:rPr>
          <w:rFonts w:ascii="Times New Roman" w:hAnsi="Times New Roman"/>
          <w:sz w:val="30"/>
        </w:rPr>
        <w:lastRenderedPageBreak/>
        <w:t>十四、基金的收益与分配</w:t>
      </w:r>
      <w:bookmarkEnd w:id="17"/>
    </w:p>
    <w:p w14:paraId="4AB0F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017650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32F234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10C54C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C041B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449569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14:paraId="33014656" w14:textId="74717EAA"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w:t>
      </w:r>
      <w:r w:rsidR="000E632D">
        <w:rPr>
          <w:rFonts w:ascii="宋体" w:hAnsi="宋体" w:hint="eastAsia"/>
          <w:sz w:val="24"/>
        </w:rPr>
        <w:t>、</w:t>
      </w:r>
      <w:r>
        <w:rPr>
          <w:rFonts w:ascii="宋体" w:hAnsi="宋体"/>
          <w:sz w:val="24"/>
        </w:rPr>
        <w:t>B类</w:t>
      </w:r>
      <w:r w:rsidR="000E632D">
        <w:rPr>
          <w:rFonts w:ascii="宋体" w:hAnsi="宋体" w:hint="eastAsia"/>
          <w:sz w:val="24"/>
        </w:rPr>
        <w:t>和D类</w:t>
      </w:r>
      <w:r>
        <w:rPr>
          <w:rFonts w:ascii="宋体" w:hAnsi="宋体"/>
          <w:sz w:val="24"/>
        </w:rPr>
        <w:t>基金份额不收取销售服务费，C类基金份额收取销售服务费，各基金份额类别对应的可供分配利润将有所不同，本基金同一基金份额类别的每份基金份额享有同等分配权；</w:t>
      </w:r>
    </w:p>
    <w:p w14:paraId="52F421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2、收益分配时所发生的银行转账或其他手续费用由基金投资者自行承担；</w:t>
      </w:r>
    </w:p>
    <w:p w14:paraId="7ABE46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3、每季度末最后一个工作日为收益分配基准日，在符合有关基金分红条件的前提下，当收益分配基准日每份基金份额可供分配利润大于0.01 元时，本基金进行收益分配，本基金每年收益分配次数最多为12次，每份基金份额每次分配比例不得低于收益分配基准日每份基金份额可供分配利润的50%；若基金合同生效不满3个月，可不进行收益分配；</w:t>
      </w:r>
    </w:p>
    <w:p w14:paraId="70A22D07" w14:textId="1C6F4D9C"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4、基金收益分配基准日的</w:t>
      </w:r>
      <w:r w:rsidR="000E632D">
        <w:rPr>
          <w:rFonts w:ascii="宋体" w:hAnsi="宋体" w:hint="eastAsia"/>
          <w:sz w:val="24"/>
        </w:rPr>
        <w:t>任一类</w:t>
      </w:r>
      <w:r>
        <w:rPr>
          <w:rFonts w:ascii="宋体" w:hAnsi="宋体"/>
          <w:sz w:val="24"/>
        </w:rPr>
        <w:t>基金份额净值减去</w:t>
      </w:r>
      <w:r w:rsidR="000E632D">
        <w:rPr>
          <w:rFonts w:ascii="宋体" w:hAnsi="宋体" w:hint="eastAsia"/>
          <w:sz w:val="24"/>
        </w:rPr>
        <w:t>该类</w:t>
      </w:r>
      <w:r>
        <w:rPr>
          <w:rFonts w:ascii="宋体" w:hAnsi="宋体"/>
          <w:sz w:val="24"/>
        </w:rPr>
        <w:t>每单位基金份额收益分配金额后不能低于面值；</w:t>
      </w:r>
    </w:p>
    <w:p w14:paraId="18A651AB" w14:textId="411534CC"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5、本基金收益分配方式分为两种：现金分红与红利再投资，基金投资者可选择现金红利或将现金红利自动转为</w:t>
      </w:r>
      <w:r w:rsidR="000E632D">
        <w:rPr>
          <w:rFonts w:ascii="宋体" w:hAnsi="宋体" w:hint="eastAsia"/>
          <w:sz w:val="24"/>
        </w:rPr>
        <w:t>相应类别的</w:t>
      </w:r>
      <w:r>
        <w:rPr>
          <w:rFonts w:ascii="宋体" w:hAnsi="宋体"/>
          <w:sz w:val="24"/>
        </w:rPr>
        <w:t>基金份额进行再投资；若投资者不选择，本基金默认的收益分配方式是现金分红；基金份额持有人可对A类、B类</w:t>
      </w:r>
      <w:r w:rsidR="000E632D">
        <w:rPr>
          <w:rFonts w:ascii="宋体" w:hAnsi="宋体" w:hint="eastAsia"/>
          <w:sz w:val="24"/>
        </w:rPr>
        <w:t>、</w:t>
      </w:r>
      <w:r>
        <w:rPr>
          <w:rFonts w:ascii="宋体" w:hAnsi="宋体"/>
          <w:sz w:val="24"/>
        </w:rPr>
        <w:t>C类</w:t>
      </w:r>
      <w:r w:rsidR="000E632D">
        <w:rPr>
          <w:rFonts w:ascii="宋体" w:hAnsi="宋体" w:hint="eastAsia"/>
          <w:sz w:val="24"/>
        </w:rPr>
        <w:t>以及D类</w:t>
      </w:r>
      <w:r>
        <w:rPr>
          <w:rFonts w:ascii="宋体" w:hAnsi="宋体"/>
          <w:sz w:val="24"/>
        </w:rPr>
        <w:t>基金份额分别选择不同的收益分配方式；</w:t>
      </w:r>
    </w:p>
    <w:p w14:paraId="3F97C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6、法律法规或监管机构另有规定的从其规定。</w:t>
      </w:r>
    </w:p>
    <w:p w14:paraId="3C6578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在不影响基金份额持有人利益的情况下，基金管理人可在法律法规允许的前提下酌情调整以上基金收益分配原则，并于变更实施日前在指定媒介上公告。</w:t>
      </w:r>
    </w:p>
    <w:p w14:paraId="1BB9E3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56811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基金收益分配方案中应载明基金收益分配基准日可供分配利润、基金收益分配</w:t>
      </w:r>
      <w:r>
        <w:rPr>
          <w:rFonts w:ascii="宋体" w:hAnsi="宋体"/>
          <w:sz w:val="24"/>
        </w:rPr>
        <w:lastRenderedPageBreak/>
        <w:t>对象、分配时间、分配数额及比例、分配方式等内容。</w:t>
      </w:r>
    </w:p>
    <w:p w14:paraId="448537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5A641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1、本基金收益分配方案由基金管理人拟定、由基金托管人复核，依照《信息披露办法》的有关规定在指定媒介公告。</w:t>
      </w:r>
    </w:p>
    <w:p w14:paraId="16282F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14:paraId="1EC004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3、法律法规或监管机关另有规定的，从其规定。</w:t>
      </w:r>
    </w:p>
    <w:p w14:paraId="477F41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（六）收益分配中发生的费用</w:t>
      </w:r>
    </w:p>
    <w:p w14:paraId="77F9F201" w14:textId="71AA109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收益分配时所发生的银行转账或其他手续费用由投资者自行承担。当投资者的现金红利小于一定金额，不足于支付银行转账或其他手续费用时，注册登记机构可将基金份额持有人的现金红利自动转为</w:t>
      </w:r>
      <w:r w:rsidR="000E632D" w:rsidRPr="00493055">
        <w:rPr>
          <w:rFonts w:ascii="宋体" w:hAnsi="宋体" w:hint="eastAsia"/>
          <w:sz w:val="24"/>
        </w:rPr>
        <w:t>相应类别的</w:t>
      </w:r>
      <w:r>
        <w:rPr>
          <w:rFonts w:ascii="宋体" w:hAnsi="宋体"/>
          <w:sz w:val="24"/>
        </w:rPr>
        <w:t>基金份额。红利再投资的计算方法，依照《业务规则》执行。</w:t>
      </w:r>
    </w:p>
    <w:p w14:paraId="4AC5FC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8853E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14:paraId="1AB41C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投资者同一日多次申报分红方式变更的，按照《业务规则》执行，最终确认的分红方式以注册登记机构记录为准。</w:t>
      </w:r>
    </w:p>
    <w:p w14:paraId="0AAC2B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0A0211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0C6A2521"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1F10D8" w14:textId="77777777" w:rsidR="00CB5326" w:rsidRDefault="000C1687">
      <w:pPr>
        <w:pStyle w:val="1"/>
        <w:snapToGrid w:val="0"/>
        <w:spacing w:beforeLines="0" w:before="240" w:after="240"/>
        <w:rPr>
          <w:rFonts w:ascii="宋体" w:hAnsi="宋体"/>
          <w:szCs w:val="30"/>
        </w:rPr>
      </w:pPr>
      <w:bookmarkStart w:id="18" w:name="_Toc154495305"/>
      <w:r>
        <w:rPr>
          <w:rFonts w:ascii="Times New Roman" w:hAnsi="Times New Roman"/>
          <w:sz w:val="30"/>
        </w:rPr>
        <w:lastRenderedPageBreak/>
        <w:t>十五、基金的费用与税收</w:t>
      </w:r>
      <w:bookmarkEnd w:id="18"/>
    </w:p>
    <w:p w14:paraId="45D60E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FFB05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C0F24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C006E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3、基金合同生效后的信息披露费用；</w:t>
      </w:r>
    </w:p>
    <w:p w14:paraId="078F8B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4、基金份额持有人大会费用；</w:t>
      </w:r>
    </w:p>
    <w:p w14:paraId="28DB9E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5、基金合同生效后与基金有关的会计师费和律师费；</w:t>
      </w:r>
    </w:p>
    <w:p w14:paraId="0C5414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10B3FA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7、基金财产拨划支付的银行费用；</w:t>
      </w:r>
    </w:p>
    <w:p w14:paraId="639B0D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8、证券账户开户费用和银行账户维护费；</w:t>
      </w:r>
    </w:p>
    <w:p w14:paraId="4E5363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9、本基金从C类基金份额的基金财产中计提销售服务费；</w:t>
      </w:r>
    </w:p>
    <w:p w14:paraId="7010E4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10、按照国家有关规定可以在基金财产中列支的其他费用。</w:t>
      </w:r>
    </w:p>
    <w:p w14:paraId="5324A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F77C8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715B4F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6F64447" w14:textId="52B350F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在通常情况下，基金管理费按前一日基金资产净值的0.</w:t>
      </w:r>
      <w:r w:rsidR="00C1456B">
        <w:rPr>
          <w:rFonts w:ascii="宋体" w:hAnsi="宋体"/>
          <w:sz w:val="24"/>
        </w:rPr>
        <w:t>3</w:t>
      </w:r>
      <w:r>
        <w:rPr>
          <w:rFonts w:ascii="宋体" w:hAnsi="宋体"/>
          <w:sz w:val="24"/>
        </w:rPr>
        <w:t>%年费率计提。计算方法如下：</w:t>
      </w:r>
    </w:p>
    <w:p w14:paraId="40A63B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14:paraId="444C14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35AF8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14:paraId="2AAABE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36BBD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74DE573" w14:textId="44369EB3"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在通常情况下，基金托管费按前一日基金资产净值的0.</w:t>
      </w:r>
      <w:r w:rsidR="00C1456B">
        <w:rPr>
          <w:rFonts w:ascii="宋体" w:hAnsi="宋体"/>
          <w:sz w:val="24"/>
        </w:rPr>
        <w:t>1</w:t>
      </w:r>
      <w:r>
        <w:rPr>
          <w:rFonts w:ascii="宋体" w:hAnsi="宋体"/>
          <w:sz w:val="24"/>
        </w:rPr>
        <w:t>%年费率计提。计算方法如下：</w:t>
      </w:r>
    </w:p>
    <w:p w14:paraId="526815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14:paraId="7E17C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7062F4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E为前一日基金资产净值</w:t>
      </w:r>
    </w:p>
    <w:p w14:paraId="1F3FC8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6CFDE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（3）上述（一）中3到8、10项费用由基金托管人根据其他有关法律法规及相应协议的规定，按费用支出金额支付，列入或摊入当期基金费用。</w:t>
      </w:r>
    </w:p>
    <w:p w14:paraId="62FC4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0231A3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（1）A类和B类基金份额的申购费</w:t>
      </w:r>
    </w:p>
    <w:p w14:paraId="454978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本基金A类和B类基金份额申购费的费率水平、计算公式和收取方式详见“基金份额的申购与赎回”一章。</w:t>
      </w:r>
    </w:p>
    <w:p w14:paraId="2E9053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（2）A类和B类基金份额的赎回费</w:t>
      </w:r>
    </w:p>
    <w:p w14:paraId="71EEF3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本基金A类和B类基金份额赎回费的费率水平、计算公式和收取方式详见“基金份额的申购与赎回”一章。</w:t>
      </w:r>
    </w:p>
    <w:p w14:paraId="771071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4CCC56A2" w14:textId="65974575"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w:t>
      </w:r>
      <w:r w:rsidR="00B37705">
        <w:rPr>
          <w:rFonts w:ascii="宋体" w:hAnsi="宋体" w:hint="eastAsia"/>
          <w:sz w:val="24"/>
        </w:rPr>
        <w:t>、</w:t>
      </w:r>
      <w:r>
        <w:rPr>
          <w:rFonts w:ascii="宋体" w:hAnsi="宋体"/>
          <w:sz w:val="24"/>
        </w:rPr>
        <w:t>B类</w:t>
      </w:r>
      <w:r w:rsidR="00B37705">
        <w:rPr>
          <w:rFonts w:ascii="宋体" w:hAnsi="宋体" w:hint="eastAsia"/>
          <w:sz w:val="24"/>
        </w:rPr>
        <w:t>和D类</w:t>
      </w:r>
      <w:r>
        <w:rPr>
          <w:rFonts w:ascii="宋体" w:hAnsi="宋体"/>
          <w:sz w:val="24"/>
        </w:rPr>
        <w:t>基金份额不收取销售服务费，C类基金份额的销售服务费按前一日C类基金资产净值的0.4%年费率计提。计算方法如下：</w:t>
      </w:r>
    </w:p>
    <w:p w14:paraId="56245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H＝E×年销售服务费率÷当年天数</w:t>
      </w:r>
    </w:p>
    <w:p w14:paraId="4B268B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20BF8E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6FBFC7F8" w14:textId="19094AFA" w:rsidR="00CB5326" w:rsidRDefault="00BC26CB">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C类基金份额</w:t>
      </w:r>
      <w:r w:rsidR="000C1687">
        <w:rPr>
          <w:rFonts w:ascii="宋体" w:hAnsi="宋体"/>
          <w:sz w:val="24"/>
        </w:rPr>
        <w:t>销售服务费每日计提，按月支付。由基金管理人向基金托管人发送销售服务费划付指令，经基金托管人复核后于次月首日起3个工作日内从基金财产中一次性支付给基金管理人，若遇法定节假日、休息日或不可抗力致使无法按时支付的，顺延至最近可支付日支付。</w:t>
      </w:r>
    </w:p>
    <w:p w14:paraId="2B6755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36546C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（4）转换费</w:t>
      </w:r>
    </w:p>
    <w:p w14:paraId="5FD9E7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458CB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42E79E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w:t>
      </w:r>
      <w:r>
        <w:rPr>
          <w:rFonts w:ascii="宋体" w:hAnsi="宋体"/>
          <w:sz w:val="24"/>
        </w:rPr>
        <w:lastRenderedPageBreak/>
        <w:t>产的损失，以及处理与基金运作无关的事项发生的费用等不列入基金费用。基金募集期间的信息披露费、律师费和会计师费以及其他费用不得从基金财产中列支。</w:t>
      </w:r>
    </w:p>
    <w:p w14:paraId="4ACA6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（四）基金管理费和基金托管费的调整</w:t>
      </w:r>
    </w:p>
    <w:p w14:paraId="53123E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和C类基金份额销售服务费。降低基金管理费率、基金托管费率和C类基金份额销售服务费，无须召开基金份额持有人大会。基金管理人必须依照有关规定最迟于新的费率实施日前在指定媒介和基金管理人网站上刊登公告。</w:t>
      </w:r>
    </w:p>
    <w:p w14:paraId="7DFC4D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532653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004D28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2B2750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14:paraId="1E579B18"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E59C2C" w14:textId="77777777" w:rsidR="00CB5326" w:rsidRDefault="000C1687">
      <w:pPr>
        <w:pStyle w:val="1"/>
        <w:snapToGrid w:val="0"/>
        <w:spacing w:beforeLines="0" w:before="240" w:after="240"/>
        <w:rPr>
          <w:rFonts w:ascii="宋体" w:hAnsi="宋体"/>
          <w:szCs w:val="30"/>
        </w:rPr>
      </w:pPr>
      <w:bookmarkStart w:id="19" w:name="_Toc154495306"/>
      <w:r>
        <w:rPr>
          <w:rFonts w:ascii="Times New Roman" w:hAnsi="Times New Roman"/>
          <w:sz w:val="30"/>
        </w:rPr>
        <w:lastRenderedPageBreak/>
        <w:t>十六、基金的会计与审计</w:t>
      </w:r>
      <w:bookmarkEnd w:id="19"/>
    </w:p>
    <w:p w14:paraId="00A4FD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（一）基金的会计政策</w:t>
      </w:r>
    </w:p>
    <w:p w14:paraId="5490B1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14:paraId="4DFE66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14:paraId="33A41B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14:paraId="39CA8C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14:paraId="2A74D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60120D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14:paraId="2F9DF1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14:paraId="594E2A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（二）基金的审计</w:t>
      </w:r>
    </w:p>
    <w:p w14:paraId="26D2C5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14:paraId="7EDE9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14:paraId="3B9174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56327495"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AF6D04" w14:textId="77777777" w:rsidR="00CB5326" w:rsidRDefault="000C1687">
      <w:pPr>
        <w:pStyle w:val="1"/>
        <w:snapToGrid w:val="0"/>
        <w:spacing w:beforeLines="0" w:before="240" w:after="240"/>
        <w:rPr>
          <w:rFonts w:ascii="宋体" w:hAnsi="宋体"/>
          <w:szCs w:val="30"/>
        </w:rPr>
      </w:pPr>
      <w:bookmarkStart w:id="20" w:name="_Toc154495307"/>
      <w:r>
        <w:rPr>
          <w:rFonts w:ascii="Times New Roman" w:hAnsi="Times New Roman"/>
          <w:sz w:val="30"/>
        </w:rPr>
        <w:lastRenderedPageBreak/>
        <w:t>十七、基金的信息披露</w:t>
      </w:r>
      <w:bookmarkEnd w:id="20"/>
    </w:p>
    <w:p w14:paraId="2CF61A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785353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2FA8AE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7540B6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4EA430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BECE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（三）本基金信息披露义务人在承诺公开披露的基金信息时，不得有下列行为：</w:t>
      </w:r>
    </w:p>
    <w:p w14:paraId="1B0498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A4F75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56635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D1794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3CB92C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6F5B3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AECD2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2A51EC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23E60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AF31A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B3CB1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1、招募说明书、基金合同、托管协议、基金产品资料概要</w:t>
      </w:r>
    </w:p>
    <w:p w14:paraId="127F0B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基金经中国证监会准予变更注册后，基金管理人根据《信息披露办法》的规定将招募说明书、基金合同摘要登载在指定媒介上；基金管理人、基金托管人应当将基金合同、托管协议登载在网站上。</w:t>
      </w:r>
    </w:p>
    <w:p w14:paraId="2EDC8C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5DFD30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54D4D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1A3F1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98539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14:paraId="66E904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基金管理人应当就基金份额发售的具体事宜编制发售公告，并在披露招募说明书的当日登载于指定媒介上。</w:t>
      </w:r>
    </w:p>
    <w:p w14:paraId="144F35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DBFC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基金管理人应当在本基金合同生效的次日在指定报刊和基金管理人网站上登载基金合同生效公告。基金合同生效公告中将说明基金募集情况。</w:t>
      </w:r>
    </w:p>
    <w:p w14:paraId="010B4B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4、基金开始申购、赎回公告</w:t>
      </w:r>
    </w:p>
    <w:p w14:paraId="294E09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基金管理人应于申购开始日、赎回开始日前在指定媒介上公告。</w:t>
      </w:r>
    </w:p>
    <w:p w14:paraId="31D71A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242568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w:t>
      </w:r>
      <w:r>
        <w:rPr>
          <w:rFonts w:ascii="宋体" w:hAnsi="宋体"/>
          <w:sz w:val="24"/>
        </w:rPr>
        <w:lastRenderedPageBreak/>
        <w:t>申购、赎回价格的计算方式及有关申购、赎回费率，并保证投资者能够在基金销售机构网站或营业网点查阅或者复制前述信息资料。</w:t>
      </w:r>
    </w:p>
    <w:p w14:paraId="4A259A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6、基金净值信息</w:t>
      </w:r>
    </w:p>
    <w:p w14:paraId="1FB251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《基金合同》生效后，在开始办理基金份额申购或者赎回前，基金管理人应当至少每周在指定网站披露一次A/B类基金份额和C类基金份额所对应的基金份额净值和基金份额累计净值。</w:t>
      </w:r>
    </w:p>
    <w:p w14:paraId="16EBD6C3" w14:textId="7750810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w:t>
      </w:r>
      <w:r w:rsidR="00BC26CB">
        <w:rPr>
          <w:rFonts w:ascii="宋体" w:hAnsi="宋体" w:hint="eastAsia"/>
          <w:sz w:val="24"/>
        </w:rPr>
        <w:t>分别</w:t>
      </w:r>
      <w:r>
        <w:rPr>
          <w:rFonts w:ascii="宋体" w:hAnsi="宋体"/>
          <w:sz w:val="24"/>
        </w:rPr>
        <w:t>披露开放日的A/B类基金份额</w:t>
      </w:r>
      <w:r w:rsidR="00BC26CB">
        <w:rPr>
          <w:rFonts w:ascii="宋体" w:hAnsi="宋体" w:hint="eastAsia"/>
          <w:sz w:val="24"/>
        </w:rPr>
        <w:t>、</w:t>
      </w:r>
      <w:r>
        <w:rPr>
          <w:rFonts w:ascii="宋体" w:hAnsi="宋体"/>
          <w:sz w:val="24"/>
        </w:rPr>
        <w:t>C类基金份额</w:t>
      </w:r>
      <w:r w:rsidR="00BC26CB">
        <w:rPr>
          <w:rFonts w:ascii="宋体" w:hAnsi="宋体" w:hint="eastAsia"/>
          <w:sz w:val="24"/>
        </w:rPr>
        <w:t>和D类基金份额</w:t>
      </w:r>
      <w:r>
        <w:rPr>
          <w:rFonts w:ascii="宋体" w:hAnsi="宋体"/>
          <w:sz w:val="24"/>
        </w:rPr>
        <w:t>所对应的基金份额净值和基金份额累计净值。</w:t>
      </w:r>
    </w:p>
    <w:p w14:paraId="709AC7D6" w14:textId="6673D0F9"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w:t>
      </w:r>
      <w:r w:rsidR="002360C2">
        <w:rPr>
          <w:rFonts w:ascii="宋体" w:hAnsi="宋体" w:hint="eastAsia"/>
          <w:sz w:val="24"/>
        </w:rPr>
        <w:t>分别</w:t>
      </w:r>
      <w:r>
        <w:rPr>
          <w:rFonts w:ascii="宋体" w:hAnsi="宋体"/>
          <w:sz w:val="24"/>
        </w:rPr>
        <w:t>披露半年度和年度最后一日的A/B类基金份额</w:t>
      </w:r>
      <w:r w:rsidR="00BC26CB">
        <w:rPr>
          <w:rFonts w:ascii="宋体" w:hAnsi="宋体" w:hint="eastAsia"/>
          <w:sz w:val="24"/>
        </w:rPr>
        <w:t>、</w:t>
      </w:r>
      <w:r>
        <w:rPr>
          <w:rFonts w:ascii="宋体" w:hAnsi="宋体"/>
          <w:sz w:val="24"/>
        </w:rPr>
        <w:t>C类基金份额</w:t>
      </w:r>
      <w:r w:rsidR="00BC26CB">
        <w:rPr>
          <w:rFonts w:ascii="宋体" w:hAnsi="宋体" w:hint="eastAsia"/>
          <w:sz w:val="24"/>
        </w:rPr>
        <w:t>和D类基金份额</w:t>
      </w:r>
      <w:r>
        <w:rPr>
          <w:rFonts w:ascii="宋体" w:hAnsi="宋体"/>
          <w:sz w:val="24"/>
        </w:rPr>
        <w:t>所对应的基金份额净值和基金份额累计净值。</w:t>
      </w:r>
    </w:p>
    <w:p w14:paraId="7CF144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7、基金定期报告，包括基金年度报告、基金中期报告和基金季度报告</w:t>
      </w:r>
    </w:p>
    <w:p w14:paraId="4ED00C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7847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074E49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15681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EA087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7020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B8D28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8、临时报告</w:t>
      </w:r>
    </w:p>
    <w:p w14:paraId="415C09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w:t>
      </w:r>
      <w:r>
        <w:rPr>
          <w:rFonts w:ascii="宋体" w:hAnsi="宋体"/>
          <w:sz w:val="24"/>
        </w:rPr>
        <w:lastRenderedPageBreak/>
        <w:t>登载在指定报刊和指定网站上。</w:t>
      </w:r>
    </w:p>
    <w:p w14:paraId="02F272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2A11C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06B1A1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781CE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79EC8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17E06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ACCCC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7DC276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284DC2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A3DA5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39F74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E879F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3F493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8CC1D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98802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1CAD586" w14:textId="0D9EB34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D75369">
        <w:rPr>
          <w:rFonts w:ascii="宋体" w:hAnsi="宋体" w:hint="eastAsia"/>
          <w:sz w:val="24"/>
        </w:rPr>
        <w:t>销售服务费、</w:t>
      </w:r>
      <w:r>
        <w:rPr>
          <w:rFonts w:ascii="宋体" w:hAnsi="宋体"/>
          <w:sz w:val="24"/>
        </w:rPr>
        <w:t>申购费、赎回费等费用计提标准、计提方式和费率发生变更；</w:t>
      </w:r>
    </w:p>
    <w:p w14:paraId="4D6E36B8" w14:textId="4B98DA4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D75369">
        <w:rPr>
          <w:rFonts w:hint="eastAsia"/>
          <w:bCs/>
          <w:sz w:val="24"/>
        </w:rPr>
        <w:t>任一类</w:t>
      </w:r>
      <w:r>
        <w:rPr>
          <w:rFonts w:ascii="宋体" w:hAnsi="宋体"/>
          <w:sz w:val="24"/>
        </w:rPr>
        <w:t>基金份额净值计价错误达</w:t>
      </w:r>
      <w:r w:rsidR="00D75369">
        <w:rPr>
          <w:rFonts w:ascii="宋体" w:hAnsi="宋体" w:hint="eastAsia"/>
          <w:sz w:val="24"/>
        </w:rPr>
        <w:t>该类</w:t>
      </w:r>
      <w:r>
        <w:rPr>
          <w:rFonts w:ascii="宋体" w:hAnsi="宋体"/>
          <w:sz w:val="24"/>
        </w:rPr>
        <w:t>基金份额净值百分之零点五；</w:t>
      </w:r>
    </w:p>
    <w:p w14:paraId="1835FD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6A5643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A67FE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528B46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440EB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（21）基金推出新业务或服务；</w:t>
      </w:r>
    </w:p>
    <w:p w14:paraId="047969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40C228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14:paraId="73A2DF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9、澄清公告</w:t>
      </w:r>
    </w:p>
    <w:p w14:paraId="4A77BF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EF112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10、基金份额持有人大会决议</w:t>
      </w:r>
    </w:p>
    <w:p w14:paraId="315CDC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28133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4192C0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应当在基金合同生效公告、基金季度报告、中期报告、年度报告等定期报告中分别披露基金管理人、基金管理人的公司高级管理人员、基金经理等投资管理人员以及基金管理人的股东持有本基金的份额、期限及期间的变动情况.</w:t>
      </w:r>
    </w:p>
    <w:p w14:paraId="35EF7D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12、实施侧袋机制期间的信息披露</w:t>
      </w:r>
    </w:p>
    <w:p w14:paraId="3FA54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424F9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036332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0F86E6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455871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基金信息披露义务人公开披露基金信息，应当符合中国证监会相关基金信息披露内容与格式准则等法律法规规定。</w:t>
      </w:r>
    </w:p>
    <w:p w14:paraId="6CFF2D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493A0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E84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4DB3A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9617F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C5D65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45FF05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637B3D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09EAB2A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D351D6" w14:textId="77777777" w:rsidR="00CB5326" w:rsidRDefault="000C1687">
      <w:pPr>
        <w:pStyle w:val="1"/>
        <w:snapToGrid w:val="0"/>
        <w:spacing w:beforeLines="0" w:before="240" w:after="240"/>
        <w:rPr>
          <w:rFonts w:ascii="宋体" w:hAnsi="宋体"/>
          <w:szCs w:val="30"/>
        </w:rPr>
      </w:pPr>
      <w:bookmarkStart w:id="21" w:name="_Toc154495308"/>
      <w:r>
        <w:rPr>
          <w:rFonts w:ascii="Times New Roman" w:hAnsi="Times New Roman"/>
          <w:sz w:val="30"/>
        </w:rPr>
        <w:lastRenderedPageBreak/>
        <w:t>十八、侧袋机制</w:t>
      </w:r>
      <w:bookmarkEnd w:id="21"/>
    </w:p>
    <w:p w14:paraId="44F72A9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59292D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BB821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01FD020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624306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067EA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D97F6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9EA262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26C606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5FEAF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66A825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BA8CD7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75DEBB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7CCBE79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580F183" w14:textId="36F7749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1A6A5E">
        <w:rPr>
          <w:rFonts w:ascii="宋体" w:hAnsi="宋体" w:hint="eastAsia"/>
          <w:sz w:val="24"/>
        </w:rPr>
        <w:t>等</w:t>
      </w:r>
      <w:r>
        <w:rPr>
          <w:rFonts w:ascii="宋体" w:hAnsi="宋体"/>
          <w:sz w:val="24"/>
        </w:rPr>
        <w:t>按主袋账户基金资产净值作为基数计提。</w:t>
      </w:r>
    </w:p>
    <w:p w14:paraId="2EBDFE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49C9877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535F4C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A0019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0E959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531E79C0"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5331A5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32AD9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48D501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2EA788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C372F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1C16FF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9535E5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4E57B900" w14:textId="77777777" w:rsidR="00CB5326" w:rsidRDefault="000C1687">
      <w:pPr>
        <w:pStyle w:val="1"/>
        <w:snapToGrid w:val="0"/>
        <w:spacing w:beforeLines="0" w:before="240" w:after="240"/>
        <w:rPr>
          <w:rFonts w:ascii="宋体" w:hAnsi="宋体"/>
          <w:szCs w:val="30"/>
        </w:rPr>
      </w:pPr>
      <w:bookmarkStart w:id="22" w:name="_Toc154495309"/>
      <w:r>
        <w:rPr>
          <w:rFonts w:ascii="Times New Roman" w:hAnsi="Times New Roman"/>
          <w:sz w:val="30"/>
        </w:rPr>
        <w:lastRenderedPageBreak/>
        <w:t>十九、风险揭示</w:t>
      </w:r>
      <w:bookmarkEnd w:id="22"/>
    </w:p>
    <w:p w14:paraId="16611D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26A54735" w14:textId="529FA715"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4A4F68">
        <w:rPr>
          <w:rFonts w:ascii="宋体" w:hAnsi="宋体" w:hint="eastAsia"/>
          <w:sz w:val="24"/>
        </w:rPr>
        <w:t>上一开放日</w:t>
      </w:r>
      <w:r>
        <w:rPr>
          <w:rFonts w:ascii="宋体" w:hAnsi="宋体"/>
          <w:sz w:val="24"/>
        </w:rPr>
        <w:t>基金总份额的百分之十时，投资者将可能无法及时赎回持有的全部基金份额。</w:t>
      </w:r>
    </w:p>
    <w:p w14:paraId="2DA985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B830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4C49C5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5243E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A75C8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w:t>
      </w:r>
      <w:r>
        <w:rPr>
          <w:rFonts w:ascii="宋体" w:hAnsi="宋体"/>
          <w:sz w:val="24"/>
        </w:rPr>
        <w:lastRenderedPageBreak/>
        <w:t>作出投资决策后，基金运营状况与基金净值变化引致的投资风险，由投资者自行负担。</w:t>
      </w:r>
    </w:p>
    <w:p w14:paraId="339D1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C4C0F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7CF0FD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14:paraId="444C85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469E57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439A69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15C39A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w:t>
      </w:r>
    </w:p>
    <w:p w14:paraId="0BFEB4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56BBB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5105D8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849B1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w:t>
      </w:r>
      <w:r>
        <w:rPr>
          <w:rFonts w:ascii="宋体" w:hAnsi="宋体"/>
          <w:sz w:val="24"/>
        </w:rPr>
        <w:lastRenderedPageBreak/>
        <w:t>营收入越稳定，经营风险就越小。</w:t>
      </w:r>
    </w:p>
    <w:p w14:paraId="6E3B20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6D67D9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4049E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00508C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2D2C39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14A082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CC392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5EA5B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2ABBD6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0311AF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888F4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当基金出现巨额赎回时，基金管理人可以根据基金当时的资产组合状况决定全额赎回或部分顺延赎回。</w:t>
      </w:r>
    </w:p>
    <w:p w14:paraId="19155C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14:paraId="63970515" w14:textId="700A589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w:t>
      </w:r>
      <w:r w:rsidR="00ED6EA7">
        <w:rPr>
          <w:rFonts w:ascii="宋体" w:hAnsi="宋体" w:hint="eastAsia"/>
          <w:sz w:val="24"/>
        </w:rPr>
        <w:t>该类</w:t>
      </w:r>
      <w:r>
        <w:rPr>
          <w:rFonts w:ascii="宋体" w:hAnsi="宋体"/>
          <w:sz w:val="24"/>
        </w:rPr>
        <w:t>基金份额净值为基础计算赎回金额，并以此类推，直到全部赎回为止。如基金投资者在提交赎回申请时未作明确选择，投资者未能赎回部分作自动延期赎回处理。</w:t>
      </w:r>
    </w:p>
    <w:p w14:paraId="33AAEF31" w14:textId="69AB3FF5"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14:paraId="3FA6E8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14:paraId="01286A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068181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3141B5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40EE47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w:t>
      </w:r>
      <w:r>
        <w:rPr>
          <w:rFonts w:ascii="宋体" w:hAnsi="宋体"/>
          <w:sz w:val="24"/>
        </w:rPr>
        <w:lastRenderedPageBreak/>
        <w:t>时限支付赎回款项。</w:t>
      </w:r>
    </w:p>
    <w:p w14:paraId="102FB1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0B6CF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03EB7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1106D5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E43FA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0E443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002BA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（五）投资本基金特有的风险</w:t>
      </w:r>
    </w:p>
    <w:p w14:paraId="33AB1A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1、本基金为债券型基金，固定收益类资产的比例不低于基金资产的80%，因投资固定收益类资产而面临的固定收益类资产市场的系统性风险和个券风险；</w:t>
      </w:r>
    </w:p>
    <w:p w14:paraId="4617B4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67339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为发起式基金，基金管理人运用固有资金认购本基金1000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w:t>
      </w:r>
      <w:r>
        <w:rPr>
          <w:rFonts w:ascii="宋体" w:hAnsi="宋体"/>
          <w:sz w:val="24"/>
        </w:rPr>
        <w:lastRenderedPageBreak/>
        <w:t>认购的发起份额持有期限满三年后，基金管理人将根据自身情况决定是否继续持有，届时，基金管理人有可能赎回认购的本基金份额。基金合同生效之日起满3年后的对应日（如该对应日为非工作日，则顺延至下一个工作日），若本基金的资产净值低于2亿元，基金合同将自动终止，且无法通过召开持有人大会延续基金合同期限，因此投资者将面临基金合同可能终止的不确定性风险。</w:t>
      </w:r>
    </w:p>
    <w:p w14:paraId="5D60C9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652486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454B81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CBDA6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12A856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5F0113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751A3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20478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208199B4"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F250B4" w14:textId="77777777" w:rsidR="00CB5326" w:rsidRDefault="000C1687">
      <w:pPr>
        <w:pStyle w:val="1"/>
        <w:snapToGrid w:val="0"/>
        <w:spacing w:beforeLines="0" w:before="240" w:after="240"/>
        <w:rPr>
          <w:rFonts w:ascii="宋体" w:hAnsi="宋体"/>
          <w:szCs w:val="30"/>
        </w:rPr>
      </w:pPr>
      <w:bookmarkStart w:id="23" w:name="_Toc154495310"/>
      <w:r>
        <w:rPr>
          <w:rFonts w:ascii="Times New Roman" w:hAnsi="Times New Roman"/>
          <w:sz w:val="30"/>
        </w:rPr>
        <w:lastRenderedPageBreak/>
        <w:t>二十、基金合同的终止与基金财产的清算</w:t>
      </w:r>
      <w:bookmarkEnd w:id="23"/>
    </w:p>
    <w:p w14:paraId="390ED9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w:t>
      </w:r>
    </w:p>
    <w:p w14:paraId="09C310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有下列情形之一的，基金合同经中国证监会核准后将终止：</w:t>
      </w:r>
    </w:p>
    <w:p w14:paraId="1B5DFD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FC2F9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14:paraId="75FDB7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14:paraId="216275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14:paraId="5942D5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4041C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14:paraId="5CD4DE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w:t>
      </w:r>
    </w:p>
    <w:p w14:paraId="6D5930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（1）自出现基金合同终止事由之日起30个工作日内成立基金财产清算小组，基金管理人组织基金财产清算小组并在中国证监会的监督下进行基金清算。</w:t>
      </w:r>
    </w:p>
    <w:p w14:paraId="11A20E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（2）基金财产清算小组成员由基金管理人、基金托管人、具有从事证券相关业务资格的注册会计师、律师以及中国证监会指定的人员组成。基金财产清算小组可以聘用必要的工作人员。</w:t>
      </w:r>
    </w:p>
    <w:p w14:paraId="1112F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（3）基金财产清算小组负责基金财产的保管、清理、估价、变现和分配。基金财产清算小组可以依法进行必要的民事活动。</w:t>
      </w:r>
    </w:p>
    <w:p w14:paraId="1EC30E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14:paraId="3C1E6B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（1）基金合同终止时，由基金财产清算小组统一接管基金财产；</w:t>
      </w:r>
    </w:p>
    <w:p w14:paraId="7619D1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14:paraId="578C4F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（3）对基金财产进行估价和变现；</w:t>
      </w:r>
    </w:p>
    <w:p w14:paraId="3CCC1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7DEB3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14:paraId="42E7A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（6）聘请律师事务所对清算报告出具法律意见书；</w:t>
      </w:r>
    </w:p>
    <w:p w14:paraId="4B7AFA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（7）将基金清算结果报告中国证监会；</w:t>
      </w:r>
    </w:p>
    <w:p w14:paraId="47F147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（8）公布基金清算报告；</w:t>
      </w:r>
    </w:p>
    <w:p w14:paraId="0E4362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（9）对基金剩余财产进行分配。</w:t>
      </w:r>
    </w:p>
    <w:p w14:paraId="4A2BB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3、基金财产清算的期限为6个月（若遇基金持有的上市证券出现长期休市、停</w:t>
      </w:r>
      <w:r>
        <w:rPr>
          <w:rFonts w:ascii="宋体" w:hAnsi="宋体"/>
          <w:sz w:val="24"/>
        </w:rPr>
        <w:lastRenderedPageBreak/>
        <w:t>牌或其他流通受限的情形除外）。</w:t>
      </w:r>
    </w:p>
    <w:p w14:paraId="09C893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EDFF5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0D109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5、基金财产按下列顺序清偿：</w:t>
      </w:r>
    </w:p>
    <w:p w14:paraId="0E6428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338086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14:paraId="64C5B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0F386A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02493E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14:paraId="4EF657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B83D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清算过程中的有关重大事项须及时公告；基金财产清算报告经会计师事务所审计，律师事务所出具法律意见书后，由基金财产清算小组报中国证监会备案后5个工作日内由基金财产清算小组公告。</w:t>
      </w:r>
    </w:p>
    <w:p w14:paraId="6C79F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1D0980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108D04BD"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FB818F" w14:textId="77777777" w:rsidR="00CB5326" w:rsidRDefault="000C1687">
      <w:pPr>
        <w:pStyle w:val="1"/>
        <w:snapToGrid w:val="0"/>
        <w:spacing w:beforeLines="0" w:before="240" w:after="240"/>
        <w:rPr>
          <w:rFonts w:ascii="宋体" w:hAnsi="宋体"/>
          <w:szCs w:val="30"/>
        </w:rPr>
      </w:pPr>
      <w:bookmarkStart w:id="24" w:name="_Toc154495311"/>
      <w:r>
        <w:rPr>
          <w:rFonts w:ascii="Times New Roman" w:hAnsi="Times New Roman"/>
          <w:sz w:val="30"/>
        </w:rPr>
        <w:lastRenderedPageBreak/>
        <w:t>二十一、基金合同内容摘要</w:t>
      </w:r>
      <w:bookmarkEnd w:id="24"/>
    </w:p>
    <w:p w14:paraId="27A5F596"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（一）基金合同当事人的权利与义务</w:t>
      </w:r>
    </w:p>
    <w:p w14:paraId="24CB3C88"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1、基金管理人的权利与义务</w:t>
      </w:r>
    </w:p>
    <w:p w14:paraId="23DDFA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15DA63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76339B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（2）自本基金合同生效之日起，依照有关法律法规和本基金合同的规定独立运用并管理基金财产；</w:t>
      </w:r>
    </w:p>
    <w:p w14:paraId="34D3B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（3）依照本基金合同获得基金管理费以及法律法规规定或中国证监会批准的其他收入；</w:t>
      </w:r>
    </w:p>
    <w:p w14:paraId="38D1DE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657FA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（5）依照法律法规为基金的利益行使因基金财产投资于证券所产生的权利；</w:t>
      </w:r>
    </w:p>
    <w:p w14:paraId="582ED2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（6）在符合有关法律法规和本基金合同的前提下，制订和调整有关基金认购、申购、赎回、转换、转托管等业务的规则，决定基金的除调高托管费和管理费、销售服务费之外的费率结构和收费方式；</w:t>
      </w:r>
    </w:p>
    <w:p w14:paraId="175B07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根据本基金合同及有关规定监督基金托管人，对于基金托管人违反了本基金合同或有关法律法规规定的行为，对基金财产、其他基金当事人的利益造成重大损失的情形，应及时呈报中国证监会和其他监管部门，并采取必要措施保护基金及相关基金当事人的利益；</w:t>
      </w:r>
    </w:p>
    <w:p w14:paraId="1A4715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（8）在基金合同约定的范围内，拒绝或暂停受理申购、赎回和转换等申请；</w:t>
      </w:r>
    </w:p>
    <w:p w14:paraId="341CE4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（9）自行担任注册登记机构或选择、更换注册登记机构，获取基金份额持有人名册，并对注册登记机构的代理行为进行必要的监督和检查；</w:t>
      </w:r>
    </w:p>
    <w:p w14:paraId="537D43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（10）选择、更换代销机构，并依据销售代理协议和有关法律法规，对其行为进行必要的监督和检查；</w:t>
      </w:r>
    </w:p>
    <w:p w14:paraId="0797F9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（11）依据基金合同及有关法律规定决定基金收益的分配方案；</w:t>
      </w:r>
    </w:p>
    <w:p w14:paraId="6C5A4C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14:paraId="5F26B5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14:paraId="6B0AD5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（14）选择、更换律师事务所、会计师事务所、证券经纪商或其他为基金提供服务的外部机构；</w:t>
      </w:r>
    </w:p>
    <w:p w14:paraId="19B778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（15）根据国家有关规定，在法律法规允许的前提下，以基金的名义依法为基金融资、融券；</w:t>
      </w:r>
    </w:p>
    <w:p w14:paraId="2E92C3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（16）以基金管理人的名义，代表基金份额持有人的利益行使诉讼权利或者实施其他法律行为；</w:t>
      </w:r>
    </w:p>
    <w:p w14:paraId="4F71A5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14:paraId="55E0FE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33926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（1）依法募集基金，办理或者委托经由中国证监会认定的其他机构代为办理基金份额的发售、申购、赎回和注册登记事宜；</w:t>
      </w:r>
    </w:p>
    <w:p w14:paraId="11D5FA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90883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14:paraId="36B46B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27F3B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（5）建立健全内部风险控制、监察与稽核、财务管理及人事管理等制度，保证所管理的基金财产和基金管理人的财产相互独立，对所管理的不同基金财产分别管理，分别记账，进行证券投资；</w:t>
      </w:r>
    </w:p>
    <w:p w14:paraId="262C3E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14:paraId="0A5A67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9430A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14:paraId="2BF6A3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14:paraId="2FEC09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（10）按规定受理基金份额的申购和赎回申请，及时、足额支付赎回款项；</w:t>
      </w:r>
    </w:p>
    <w:p w14:paraId="0D23E2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14:paraId="34A704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14:paraId="0671D2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14:paraId="5797C3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w:t>
      </w:r>
      <w:r>
        <w:rPr>
          <w:rFonts w:ascii="宋体" w:hAnsi="宋体"/>
          <w:sz w:val="24"/>
        </w:rPr>
        <w:lastRenderedPageBreak/>
        <w:t>得向他人泄露；</w:t>
      </w:r>
    </w:p>
    <w:p w14:paraId="74230C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14:paraId="7FAA87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14:paraId="4C1E9D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9159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（18）保存基金财产管理业务活动的记录、账册、报表和其他相关资料；</w:t>
      </w:r>
    </w:p>
    <w:p w14:paraId="5C3063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（19）以基金管理人名义，代表基金份额持有人利益行使诉讼权利或者实施其他法律行为；</w:t>
      </w:r>
    </w:p>
    <w:p w14:paraId="476E89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（20）组织并参加基金财产清算小组，参与基金财产的保管、清理、估价、变现和分配；</w:t>
      </w:r>
    </w:p>
    <w:p w14:paraId="769041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（21）因违反基金合同导致基金财产的损失或损害基金份额持有人合法权益，应当承担赔偿责任，其赔偿责任不因其退任而免除；</w:t>
      </w:r>
    </w:p>
    <w:p w14:paraId="1730D5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（22）监督基金托管人按法律法规和基金合同规定履行自己的义务，基金托管人违反基金合同造成基金财产损失时，基金管理人应为基金份额持有人利益向基金托管人追偿；</w:t>
      </w:r>
    </w:p>
    <w:p w14:paraId="477F8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（23）当基金管理人将其义务委托第三方处理时，应当对第三方处理有关基金事务的行为承担责任；</w:t>
      </w:r>
    </w:p>
    <w:p w14:paraId="03169D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（24）按规定向基金托管人提供基金份额持有人名册资料；</w:t>
      </w:r>
    </w:p>
    <w:p w14:paraId="15B5D9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14:paraId="7C5791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（26）面临解散、依法被撤销或者被依法宣告破产时，及时报告中国证监会并通知基金托管人；</w:t>
      </w:r>
    </w:p>
    <w:p w14:paraId="468007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（27）基金管理人在募集期间未能达到基金的备案条件，基金合同不能生效，基金管理人承担全部募集费用，将已募集资金并加计银行同期存款利息在基金募集期结束后30日内退还投资者；</w:t>
      </w:r>
    </w:p>
    <w:p w14:paraId="38B3AB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（28）执行生效的基金份额持有人大会的决议；</w:t>
      </w:r>
    </w:p>
    <w:p w14:paraId="5FCB03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（29）不从事任何有损基金及其他基金合同当事人合法权益的活动；</w:t>
      </w:r>
    </w:p>
    <w:p w14:paraId="0A4EFC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（30）法律法规、基金合同规定的以及中国证监会要求的其他义务。</w:t>
      </w:r>
    </w:p>
    <w:p w14:paraId="1347475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2、基金托管人的权利与义务</w:t>
      </w:r>
    </w:p>
    <w:p w14:paraId="30895A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205574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（1）依基金合同约定获得基金托管费以及法律法规规定或监管部门批准的其他收入；</w:t>
      </w:r>
    </w:p>
    <w:p w14:paraId="0969BB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14:paraId="3855C4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（3）自本基金合同生效之日起，依法律法规和基金合同的规定安全保管基金财产；</w:t>
      </w:r>
    </w:p>
    <w:p w14:paraId="4D62D1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14:paraId="630C32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如发现基金管理人有违反本基金合同或有关法律法规规定的行为，对基金财产、其他基金合同当事人的利益造成重大损失的情形，应及时呈报中国证监会，并采取必要措施保护基金及相关基金合同当事人的利益；</w:t>
      </w:r>
    </w:p>
    <w:p w14:paraId="65EB13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（6）提议召开或依法召集基金份额持有人大会；</w:t>
      </w:r>
    </w:p>
    <w:p w14:paraId="0653DE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（7）根据相关市场规则，为本基金开设证券账户、为本基金办理证券交易资金清算；</w:t>
      </w:r>
    </w:p>
    <w:p w14:paraId="5A8C12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（8）按规定取得基金份额持有人名册；</w:t>
      </w:r>
    </w:p>
    <w:p w14:paraId="4AB7E3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0BB1EF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44446B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FC9F7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14:paraId="521C76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8EE8D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2BF78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67EAA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（6）按规定开设基金财产的资金账户和证券账户；</w:t>
      </w:r>
    </w:p>
    <w:p w14:paraId="24556A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（7）保守基金商业秘密，除《基金法》、基金合同及其他有关规定另有规定外，在基金信息公开披露前应予以保密，不得向他人泄露；</w:t>
      </w:r>
    </w:p>
    <w:p w14:paraId="7BD845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F8B0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（9）保存基金托管业务活动的记录、账册、报表和其他相关资料不少于15年；</w:t>
      </w:r>
    </w:p>
    <w:p w14:paraId="098743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14:paraId="2532C9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14:paraId="285D75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（12）复核、审查基金管理人计算的基金资产净值、基金份额净值和基金份额申购、赎回价格；</w:t>
      </w:r>
    </w:p>
    <w:p w14:paraId="246357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（13）按照法律法规和基金合同的规定监督基金管理人的投资运作；</w:t>
      </w:r>
    </w:p>
    <w:p w14:paraId="121C80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14:paraId="6A78B5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14:paraId="33E788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（16）按照规定召集基金份额持有人大会或配合基金管理人、基金份额持有人依法召集基金份额持有人大会；</w:t>
      </w:r>
    </w:p>
    <w:p w14:paraId="5465F2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（17）因违反基金合同导致基金财产损失或损害基金份额持有人合法权益，应承担赔偿责任，其赔偿责任不因其退任而免除；</w:t>
      </w:r>
    </w:p>
    <w:p w14:paraId="66209F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（18）按规定监督基金管理人按照法律法规规定和基金合同履行其义务，基金管理人因违反基金合同造成基金财产损失时，应为基金份额持有人利益向基金管理人追偿；</w:t>
      </w:r>
    </w:p>
    <w:p w14:paraId="0C839E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（19）根据本基金合同和托管协议规定建立并保存基金份额持有人名册；</w:t>
      </w:r>
    </w:p>
    <w:p w14:paraId="306D2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（20）参加基金财产清算组，参与基金财产的保管、清理、估价、变现和分配；</w:t>
      </w:r>
    </w:p>
    <w:p w14:paraId="662F87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（21）面临解散、依法被撤销、破产或者由接管人接管其资产时，及时报告中国证监会和中国银监会，并通知基金管理人；</w:t>
      </w:r>
    </w:p>
    <w:p w14:paraId="486457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（22）执行生效的基金份额持有人大会的决议；</w:t>
      </w:r>
    </w:p>
    <w:p w14:paraId="4C730F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（23）法律法规、基金合同规定的以及中国证监会要求的其他义务。</w:t>
      </w:r>
    </w:p>
    <w:p w14:paraId="752C73B9"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3、基金份额持有人的权利与义务</w:t>
      </w:r>
    </w:p>
    <w:p w14:paraId="45607C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218CF4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同一基金份额类别的每份基金份额具有同等的合法权益。根据《基金法》、《运作办法》及其他有关法律法规的规定，基金份额持有人的权利包括但不限于：</w:t>
      </w:r>
    </w:p>
    <w:p w14:paraId="379D24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2878A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4D91E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14:paraId="58659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4BAC9A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79CF6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1B9FB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5A8571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14:paraId="4C6B81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53566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根据《基金法》、《运作办法》及其他有关法律法规的规定，基金份额持有人的义务包括但不限于：</w:t>
      </w:r>
    </w:p>
    <w:p w14:paraId="34707C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（1）认真阅读基金合同，遵守法律法规、基金合同及其他有关规定；</w:t>
      </w:r>
    </w:p>
    <w:p w14:paraId="5A5577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14:paraId="1BDC91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7C770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（4）缴纳基金认购、申购款项及法律法规、基金合同和招募说明书规定的费用；</w:t>
      </w:r>
    </w:p>
    <w:p w14:paraId="392899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59EC4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6E518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（7）执行生效的基金份额持有人大会决议；</w:t>
      </w:r>
    </w:p>
    <w:p w14:paraId="6DD685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（8）遵守基金管理人、基金托管人及销售机构和注册登记机构的相关交易及业务规则；</w:t>
      </w:r>
    </w:p>
    <w:p w14:paraId="59DF8B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（9）返还在基金交易过程中因任何原因获得的不当得利；</w:t>
      </w:r>
    </w:p>
    <w:p w14:paraId="6FEC6E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（10）使用发起资金认购的投资人持有认购的基金份额不少于3年；</w:t>
      </w:r>
    </w:p>
    <w:p w14:paraId="5C698C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（11）法律法规、基金合同规定的以及中国证监会要求的其他义务。</w:t>
      </w:r>
    </w:p>
    <w:p w14:paraId="5849F41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4、本基金合同当事人各方的权利义务以本基金合同为依据，不因基金账户名称而有所改变。</w:t>
      </w:r>
    </w:p>
    <w:p w14:paraId="2825519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14:paraId="3AB731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包括发起资金认购的基金份额）拥有平等的投票权。但基金管理人不能作为基金份额持有人向基金份额持有人大会提出议案，对涉及基金管理人利益的表决事项应当回避。</w:t>
      </w:r>
    </w:p>
    <w:p w14:paraId="20F763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14:paraId="4DB4BF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A1C85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1）终止基金合同，属于基金合同约定的自动终止情形除外，即基金合同生效之日起满3年后的对应日（如该对应日为非工作日，则顺延至下一个工作日），若基金资产净值低于2亿元的，基金合同自动终止；</w:t>
      </w:r>
    </w:p>
    <w:p w14:paraId="2334C2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14:paraId="3A1116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14:paraId="3C8B51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4）变更基金投资目标、投资范围或投资策略（法律法规和中国证监会另有规定的除外）；</w:t>
      </w:r>
    </w:p>
    <w:p w14:paraId="47BAB1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5）变更基金份额持有人大会议事程序；</w:t>
      </w:r>
    </w:p>
    <w:p w14:paraId="604662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14:paraId="07433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7）提高基金管理人、基金托管人的报酬标准和提高销售服务费；</w:t>
      </w:r>
    </w:p>
    <w:p w14:paraId="39486B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14:paraId="2A6105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9）对基金合同当事人权利、义务产生重大影响，需召开基金份额持有人大会的变更基金合同等其他事项；</w:t>
      </w:r>
    </w:p>
    <w:p w14:paraId="670E15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10）法律法规、基金合同或中国证监会规定的其他情形。</w:t>
      </w:r>
    </w:p>
    <w:p w14:paraId="22506C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（2）出现以下情形之一的，可由基金管理人和基金托管人协商后修改，不需召开基金份额持有人大会：</w:t>
      </w:r>
    </w:p>
    <w:p w14:paraId="02698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1）调低基金管理费、基金托管费、销售服务费和其他应由基金或基金份额持有人承担的费用；</w:t>
      </w:r>
    </w:p>
    <w:p w14:paraId="2528DC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BA8E9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3）在法律法规和本基金合同规定的范围内调整基金的申购费率、调低赎回费率；</w:t>
      </w:r>
    </w:p>
    <w:p w14:paraId="0A21D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14:paraId="508C79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5）基金合同的修改不涉及本基金合同当事人权利义务关系发生重大变化；</w:t>
      </w:r>
    </w:p>
    <w:p w14:paraId="3824D4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14:paraId="77F5B5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14:paraId="285159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3、召集人及召集方式</w:t>
      </w:r>
    </w:p>
    <w:p w14:paraId="53F5C9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14:paraId="172DD9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54EB9F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6E645F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w:t>
      </w:r>
      <w:r>
        <w:rPr>
          <w:rFonts w:ascii="宋体" w:hAnsi="宋体"/>
          <w:sz w:val="24"/>
        </w:rPr>
        <w:lastRenderedPageBreak/>
        <w:t>有人大会，而基金管理人、基金托管人都不召集的，代表基金份额10%以上的基金份额持有人有权自行召集基金份额持有人大会，但应当至少提前30日向中国证监会备案。</w:t>
      </w:r>
    </w:p>
    <w:p w14:paraId="1BB4A2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14:paraId="7BD7CA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14:paraId="207BAE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集人（以下简称“召集人”）负责选择确定开会时间、地点、方式和权益登记日。召开基金份额持有人大会，召集人必须于会议召开日前40日在指定媒介公告。基金份额持有人大会通知须至少载明以下内容：</w:t>
      </w:r>
    </w:p>
    <w:p w14:paraId="43E32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14:paraId="7CA94C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2）会议拟审议的主要事项；</w:t>
      </w:r>
    </w:p>
    <w:p w14:paraId="05DE3B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14:paraId="39A6A6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14:paraId="494BFC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5）有权出席基金份额持有人大会的基金份额持有人的权益登记日；</w:t>
      </w:r>
    </w:p>
    <w:p w14:paraId="031A88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6）授权委托证明的内容要求（包括但不限于代理人身份、代理权限和代理有效期限等）、送达时间和地点；</w:t>
      </w:r>
    </w:p>
    <w:p w14:paraId="2BF002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14:paraId="31A49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14:paraId="121E29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14:paraId="2A3846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14:paraId="4BF90A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2C05CC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758925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5、基金份额持有人出席会议的方式</w:t>
      </w:r>
    </w:p>
    <w:p w14:paraId="297E91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14:paraId="77A11C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14:paraId="7AD869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14:paraId="5B5FFA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3）通讯方式开会指按照本基金合同的相关规定以通讯的书面方式进行表决。</w:t>
      </w:r>
    </w:p>
    <w:p w14:paraId="0C17D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14:paraId="097708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14:paraId="36916F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14:paraId="047841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①经核对、汇总，到会者出示的在权益登记日持有基金份额的凭证显示，全部有效凭证所对应的基金份额应占权益登记日基金总份额的50%以上（含50%，下同）；</w:t>
      </w:r>
    </w:p>
    <w:p w14:paraId="14826D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6AB3BC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未能满足上述条件的情况下，则召集人可另行确定并公告重新开会的时间（至少应在25个工作日后）和地点，但确定有权出席会议的基金份额持有人资格的权益登记日不变。</w:t>
      </w:r>
    </w:p>
    <w:p w14:paraId="0C4DE2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14:paraId="22EC85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14:paraId="66CAE6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14:paraId="10F9BC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14:paraId="57C637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③本人直接出具书面意见或授权他人代表出具书面意见的基金份额持有人所代表的基金份额应占权益登记日基金总份额的50%以上；</w:t>
      </w:r>
    </w:p>
    <w:p w14:paraId="6A40304F" w14:textId="69C1818D"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r w:rsidR="00662E34">
        <w:rPr>
          <w:rFonts w:ascii="宋体" w:hAnsi="宋体" w:hint="eastAsia"/>
          <w:sz w:val="24"/>
        </w:rPr>
        <w:t>；</w:t>
      </w:r>
    </w:p>
    <w:p w14:paraId="3B8A3A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如果开会条件达不到上述的条件，则召集人可另行确定并公告重新表决的时间（至少应在25个工作日后），且确定有权出席会议的基金份额持有人资格的权益登记日不变。</w:t>
      </w:r>
    </w:p>
    <w:p w14:paraId="4102F2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3）在法律法规或监管机构允许的情况下，经会议通知载明，基金份额持有人也可以采用网络、电话或其他方式进行表决，或者采用网络、电话或其他方式授权他人代为出席会议并表决。</w:t>
      </w:r>
    </w:p>
    <w:p w14:paraId="291594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14:paraId="3BF7F5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329887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1）议事内容为本基金合同规定的召开基金份额持有人大会事由所涉及的内容以及会议召集人认为需提交基金份额持有人大会讨论的其他事项。</w:t>
      </w:r>
    </w:p>
    <w:p w14:paraId="20896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14:paraId="52FA8C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3）对于基金份额持有人提交的提案（包括临时提案），大会召集人应当按照以下原则对提案进行审核：</w:t>
      </w:r>
    </w:p>
    <w:p w14:paraId="70DD33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113A4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w:t>
      </w:r>
      <w:r>
        <w:rPr>
          <w:rFonts w:ascii="宋体" w:hAnsi="宋体"/>
          <w:sz w:val="24"/>
        </w:rPr>
        <w:lastRenderedPageBreak/>
        <w:t>份额持有人大会决定的程序进行审议。</w:t>
      </w:r>
    </w:p>
    <w:p w14:paraId="19894F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3BAE3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73B83E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E4B9A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56294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1E43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14:paraId="4BB6D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召集人应当制作出席会议人员的签名册。签名册载明参加会议人员姓名（或单位名称）、身份证号码、持有或代表有表决权的基金份额、委托人姓名（或单位名称）等事项。</w:t>
      </w:r>
    </w:p>
    <w:p w14:paraId="41B301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0B3A29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14:paraId="5159DE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14:paraId="7FC020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14:paraId="0899D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14:paraId="1016AC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14:paraId="50F73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1）一般决议</w:t>
      </w:r>
    </w:p>
    <w:p w14:paraId="37B1A1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一般决议须经出席会议的基金份额持有人及其代理人所持表决权的50%以上通过方为有效，除下列2）所规定的须以特别决议通过事项以外的其他事项均以一般决议的方式通过。</w:t>
      </w:r>
    </w:p>
    <w:p w14:paraId="3498C6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14:paraId="64119E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305A6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14:paraId="5ACE1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EE579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14:paraId="346727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14:paraId="7464B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14:paraId="5601EE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320DF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3F23CE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14:paraId="5BC4B7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3）如会议主持人对于提交的表决结果有怀疑，可以对投票数进行重新清点；如会议主持人未进行重新清点，而出席会议的基金份额持有人或代理人对会议主持</w:t>
      </w:r>
      <w:r>
        <w:rPr>
          <w:rFonts w:ascii="宋体" w:hAnsi="宋体"/>
          <w:sz w:val="24"/>
        </w:rPr>
        <w:lastRenderedPageBreak/>
        <w:t>人宣布的表决结果有异议，其有权在宣布表决结果后立即要求重新清点，会议主持人应当立即重新清点并公布重新清点结果。重新清点仅限一次。</w:t>
      </w:r>
    </w:p>
    <w:p w14:paraId="24C460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14:paraId="1CAFE7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23497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4DBE8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14:paraId="1377A9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14:paraId="709F0A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（2）生效的基金份额持有人大会决议对全体基金份额持有人、基金管理人、基金托管人均有约束力。基金管理人、基金托管人和基金份额持有人应当执行生效的基金份额持有人大会的决定。</w:t>
      </w:r>
    </w:p>
    <w:p w14:paraId="2068C2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（3）基金份额持有人大会决议应自生效之日起2日内在指定媒介上公告。</w:t>
      </w:r>
    </w:p>
    <w:p w14:paraId="6DF778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（4）如果采用通讯方式进行表决，在公告基金份额持有人大会决议时，必须将公证书全文、公证机关、公证员姓名等一同公告。</w:t>
      </w:r>
    </w:p>
    <w:p w14:paraId="49D9D3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14:paraId="449A95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5C86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6D9A02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48584B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w:t>
      </w:r>
      <w:r>
        <w:rPr>
          <w:rFonts w:ascii="宋体" w:hAnsi="宋体"/>
          <w:sz w:val="24"/>
        </w:rPr>
        <w:lastRenderedPageBreak/>
        <w:t>一）；</w:t>
      </w:r>
    </w:p>
    <w:p w14:paraId="7E48BE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7B409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0D5CA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04B64B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60874F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20721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14:paraId="26A458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09DE08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照法律法规或本基金合同的规定，对基金合同的变更应当召开基金份额持有人大会的，基金合同变更的内容应经基金份额持有人大会决议通过，并依法报中国证监会核准或备案，自中国证监会核准或出具无异议意见之日起生效。</w:t>
      </w:r>
    </w:p>
    <w:p w14:paraId="25E6C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14:paraId="21BF20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1）调低基金管理费、基金托管费、销售服务费和其他应由基金或基金份额持有人承担的费用；</w:t>
      </w:r>
    </w:p>
    <w:p w14:paraId="3C47FD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30D3E5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3）在法律法规和本基金合同规定的范围内调整基金的申购费率、调低赎回费率、变更或增加收费方式；</w:t>
      </w:r>
    </w:p>
    <w:p w14:paraId="4C1156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14:paraId="503EB2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5）基金合同的修改不涉及本基金合同当事人权利义务关系发生重大变化；</w:t>
      </w:r>
    </w:p>
    <w:p w14:paraId="104A45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14:paraId="0C4610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7）按照法律法规或本基金合同规定不需召开基金份额持有人大会的其他情形。</w:t>
      </w:r>
    </w:p>
    <w:p w14:paraId="77006A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14:paraId="65F761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14:paraId="5E5AA0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5D011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14:paraId="2A34C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14:paraId="454135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14:paraId="71B042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11E2F92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w:t>
      </w:r>
    </w:p>
    <w:p w14:paraId="4B7C9C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0699B7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522FE9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本基金合同适用中华人民共和国法律并从其解释。</w:t>
      </w:r>
    </w:p>
    <w:p w14:paraId="130CD8B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14:paraId="6EE3A0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1、本基金合同正本一式六份，除上报相关监管部门两份外，基金管理人和基金托管人各持有两份。每份均具有同等的法律效力。</w:t>
      </w:r>
    </w:p>
    <w:p w14:paraId="2DA09A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2、本基金合同可印制成册，供基金投资者在基金管理人和基金托管人办公场所查阅。基金合同条款及内容应以基金合同正本为准。</w:t>
      </w:r>
    </w:p>
    <w:p w14:paraId="054F5AC7"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5A281C" w14:textId="77777777" w:rsidR="00CB5326" w:rsidRDefault="000C1687">
      <w:pPr>
        <w:pStyle w:val="1"/>
        <w:snapToGrid w:val="0"/>
        <w:spacing w:beforeLines="0" w:before="240" w:after="240"/>
        <w:rPr>
          <w:rFonts w:ascii="宋体" w:hAnsi="宋体"/>
          <w:szCs w:val="30"/>
        </w:rPr>
      </w:pPr>
      <w:bookmarkStart w:id="25" w:name="_Toc154495312"/>
      <w:r>
        <w:rPr>
          <w:rFonts w:ascii="Times New Roman" w:hAnsi="Times New Roman"/>
          <w:sz w:val="30"/>
        </w:rPr>
        <w:lastRenderedPageBreak/>
        <w:t>二十二、托管协议的内容摘要</w:t>
      </w:r>
      <w:bookmarkEnd w:id="25"/>
    </w:p>
    <w:p w14:paraId="2DC18D45"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755554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593C0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C96829D" w14:textId="77777777" w:rsidR="002762AE" w:rsidRDefault="002762AE" w:rsidP="002762AE">
      <w:pPr>
        <w:adjustRightInd w:val="0"/>
        <w:snapToGrid w:val="0"/>
        <w:spacing w:line="360" w:lineRule="auto"/>
        <w:ind w:firstLineChars="200" w:firstLine="480"/>
        <w:rPr>
          <w:rFonts w:ascii="宋体" w:hAnsi="宋体"/>
          <w:sz w:val="24"/>
        </w:rPr>
      </w:pPr>
      <w:r>
        <w:rPr>
          <w:rFonts w:ascii="宋体" w:hAnsi="宋体" w:hint="eastAsia"/>
          <w:sz w:val="24"/>
        </w:rPr>
        <w:t>住所</w:t>
      </w:r>
      <w:r>
        <w:rPr>
          <w:rFonts w:ascii="宋体" w:hAnsi="宋体"/>
          <w:sz w:val="24"/>
        </w:rPr>
        <w:t>：</w:t>
      </w:r>
      <w:r>
        <w:rPr>
          <w:rFonts w:ascii="宋体" w:hAnsi="宋体" w:hint="eastAsia"/>
          <w:sz w:val="24"/>
        </w:rPr>
        <w:t>中国(上海)自由贸易试验区银城中路188号交通银行大楼二层（裙）</w:t>
      </w:r>
    </w:p>
    <w:p w14:paraId="251D861F" w14:textId="77777777" w:rsidR="002762AE" w:rsidRDefault="002762AE" w:rsidP="002762AE">
      <w:pPr>
        <w:adjustRightInd w:val="0"/>
        <w:snapToGrid w:val="0"/>
        <w:spacing w:line="360" w:lineRule="auto"/>
        <w:ind w:firstLineChars="200" w:firstLine="480"/>
        <w:rPr>
          <w:rFonts w:ascii="宋体" w:hAnsi="宋体"/>
          <w:sz w:val="24"/>
        </w:rPr>
      </w:pPr>
      <w:r>
        <w:rPr>
          <w:rFonts w:ascii="宋体" w:hAnsi="宋体"/>
          <w:sz w:val="24"/>
        </w:rPr>
        <w:t>办公地址：</w:t>
      </w:r>
      <w:r>
        <w:rPr>
          <w:rFonts w:ascii="宋体" w:hAnsi="宋体" w:hint="eastAsia"/>
          <w:sz w:val="24"/>
        </w:rPr>
        <w:t>上海市浦东新区世纪大道</w:t>
      </w:r>
      <w:r>
        <w:rPr>
          <w:rFonts w:ascii="宋体" w:hAnsi="宋体"/>
          <w:sz w:val="24"/>
        </w:rPr>
        <w:t>8</w:t>
      </w:r>
      <w:r>
        <w:rPr>
          <w:rFonts w:ascii="宋体" w:hAnsi="宋体" w:hint="eastAsia"/>
          <w:sz w:val="24"/>
        </w:rPr>
        <w:t>号国金</w:t>
      </w:r>
      <w:r>
        <w:rPr>
          <w:rFonts w:ascii="宋体" w:hAnsi="宋体"/>
          <w:sz w:val="24"/>
        </w:rPr>
        <w:t>中心二期21-22楼</w:t>
      </w:r>
    </w:p>
    <w:p w14:paraId="78AF18DE" w14:textId="77777777" w:rsidR="002762AE" w:rsidRDefault="002762AE" w:rsidP="002762AE">
      <w:pPr>
        <w:adjustRightInd w:val="0"/>
        <w:snapToGrid w:val="0"/>
        <w:spacing w:line="360" w:lineRule="auto"/>
        <w:ind w:firstLineChars="200" w:firstLine="480"/>
        <w:rPr>
          <w:rFonts w:ascii="宋体" w:hAnsi="宋体"/>
          <w:sz w:val="24"/>
        </w:rPr>
      </w:pPr>
      <w:r>
        <w:rPr>
          <w:rFonts w:ascii="宋体" w:hAnsi="宋体"/>
          <w:sz w:val="24"/>
        </w:rPr>
        <w:t>邮政编码：</w:t>
      </w:r>
      <w:r>
        <w:rPr>
          <w:rFonts w:ascii="宋体" w:hAnsi="宋体" w:hint="eastAsia"/>
          <w:sz w:val="24"/>
        </w:rPr>
        <w:t>200120</w:t>
      </w:r>
    </w:p>
    <w:p w14:paraId="534282CF" w14:textId="3885FD9A" w:rsidR="00CB5326" w:rsidRDefault="002762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w:t>
      </w:r>
      <w:r>
        <w:rPr>
          <w:rFonts w:hint="eastAsia"/>
          <w:bCs/>
          <w:sz w:val="24"/>
        </w:rPr>
        <w:t>谢卫（代</w:t>
      </w:r>
      <w:r w:rsidR="00BE442F">
        <w:rPr>
          <w:rFonts w:hint="eastAsia"/>
          <w:bCs/>
          <w:sz w:val="24"/>
        </w:rPr>
        <w:t>任</w:t>
      </w:r>
      <w:r>
        <w:rPr>
          <w:rFonts w:hint="eastAsia"/>
          <w:bCs/>
          <w:sz w:val="24"/>
        </w:rPr>
        <w:t>）</w:t>
      </w:r>
    </w:p>
    <w:p w14:paraId="39A114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73926E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53A91E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A0C7B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注册资本：贰亿元人民币</w:t>
      </w:r>
    </w:p>
    <w:p w14:paraId="6BF9CE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9652B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6934E0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20C7030D"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名称：中国农业银行股份有限公司</w:t>
      </w:r>
    </w:p>
    <w:p w14:paraId="0DCCBA81"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住所：北京市东城区建国门内大街69号</w:t>
      </w:r>
    </w:p>
    <w:p w14:paraId="021BA3DC"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办公地址：北京市西城区复兴门内大街28号凯晨世贸中心东座九层</w:t>
      </w:r>
    </w:p>
    <w:p w14:paraId="7969DCDA"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邮政编码：100031</w:t>
      </w:r>
    </w:p>
    <w:p w14:paraId="6D4A7E4C"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法定代表人：谷澍</w:t>
      </w:r>
    </w:p>
    <w:p w14:paraId="5DDC1821"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成立时间：2009年1月15日</w:t>
      </w:r>
    </w:p>
    <w:p w14:paraId="5F9680D4"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基金托管资格批文及文号：中国证监会证监基字[1998]23号</w:t>
      </w:r>
    </w:p>
    <w:p w14:paraId="2BD932DD" w14:textId="77777777" w:rsidR="002762AE" w:rsidRPr="002762AE" w:rsidRDefault="002762AE" w:rsidP="002762AE">
      <w:pPr>
        <w:autoSpaceDE w:val="0"/>
        <w:autoSpaceDN w:val="0"/>
        <w:adjustRightInd w:val="0"/>
        <w:snapToGrid w:val="0"/>
        <w:spacing w:line="360" w:lineRule="auto"/>
        <w:ind w:firstLineChars="200" w:firstLine="480"/>
        <w:jc w:val="left"/>
        <w:rPr>
          <w:rFonts w:ascii="宋体" w:hAnsi="宋体"/>
          <w:sz w:val="24"/>
        </w:rPr>
      </w:pPr>
      <w:r w:rsidRPr="002762AE">
        <w:rPr>
          <w:rFonts w:ascii="宋体" w:hAnsi="宋体" w:hint="eastAsia"/>
          <w:sz w:val="24"/>
        </w:rPr>
        <w:t>注册资本：34,998,303.4万元人民币</w:t>
      </w:r>
    </w:p>
    <w:p w14:paraId="4E8C9A04" w14:textId="168BC601" w:rsidR="00CB5326" w:rsidRDefault="002762AE">
      <w:pPr>
        <w:autoSpaceDE w:val="0"/>
        <w:autoSpaceDN w:val="0"/>
        <w:adjustRightInd w:val="0"/>
        <w:snapToGrid w:val="0"/>
        <w:spacing w:line="360" w:lineRule="auto"/>
        <w:ind w:firstLineChars="200" w:firstLine="480"/>
        <w:jc w:val="left"/>
        <w:rPr>
          <w:rFonts w:ascii="宋体" w:hAnsi="宋体"/>
          <w:szCs w:val="24"/>
        </w:rPr>
      </w:pPr>
      <w:r w:rsidRPr="002762AE">
        <w:rPr>
          <w:rFonts w:ascii="宋体" w:hAnsi="宋体" w:hint="eastAsia"/>
          <w:sz w:val="24"/>
        </w:rPr>
        <w:t>存续期间：持续经营</w:t>
      </w:r>
    </w:p>
    <w:p w14:paraId="02FD740F" w14:textId="4396768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w:t>
      </w:r>
      <w:bookmarkStart w:id="26" w:name="_Hlk159253165"/>
      <w:r>
        <w:rPr>
          <w:rFonts w:ascii="宋体" w:hAnsi="宋体"/>
          <w:sz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w:t>
      </w:r>
      <w:r>
        <w:rPr>
          <w:rFonts w:ascii="宋体" w:hAnsi="宋体"/>
          <w:sz w:val="24"/>
        </w:rPr>
        <w:lastRenderedPageBreak/>
        <w:t>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00C53A59" w:rsidRPr="00C53A59">
        <w:rPr>
          <w:rFonts w:ascii="宋体" w:hAnsi="宋体" w:hint="eastAsia"/>
          <w:sz w:val="24"/>
        </w:rPr>
        <w:t>；保险兼业代理业务</w:t>
      </w:r>
      <w:r>
        <w:rPr>
          <w:rFonts w:ascii="宋体" w:hAnsi="宋体"/>
          <w:sz w:val="24"/>
        </w:rPr>
        <w:t>。</w:t>
      </w:r>
    </w:p>
    <w:bookmarkEnd w:id="26"/>
    <w:p w14:paraId="505A0671"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28B5F0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6CD9D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30个交易日内卖出。同时本基金不参与可转换债券投资。如法律法规或监管机构以后允许基金投资其他品种，基金管理人履行适当程序后，可以将其纳入投资范围，其投资比例遵循届时有效法律法规或相关规定。</w:t>
      </w:r>
    </w:p>
    <w:p w14:paraId="790D6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14:paraId="117248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14:paraId="6851E9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（1）本基金与本基金管理人管理的其他基金持有一家公司发行的证券，其市值不超过该证券的10%；</w:t>
      </w:r>
    </w:p>
    <w:p w14:paraId="2973B9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（2）进入全国银行间同业市场进行债券回购的资金余额不超过基金资产净值的40%。债券回购最长期限为1年，债券回购到期后不得展期；</w:t>
      </w:r>
    </w:p>
    <w:p w14:paraId="579DA6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的全部权证，其市值不得超过基金资产净值的3%；本基金与本基金管理人管理的其他基金持有的同一权证，不得超过该权证的10%。投资于其他权证的投资比例，遵从法律法规或监管部门的相关规定；</w:t>
      </w:r>
    </w:p>
    <w:p w14:paraId="5615BB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（4）本基金应投资于信用级别评级为BBB 以上(含BBB)的资产支持证券。基金持有资产支持证券期间，如果其信用等级下降、不再符合投资标准，应在评级报告发布之日起3个月内予以全部卖出；</w:t>
      </w:r>
    </w:p>
    <w:p w14:paraId="1AD193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14:paraId="752545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（6）保持不低于基金资产净值5%的现金或者到期日在一年以内的政府债券，其中现金不包括结算备付金、存出保证金和应收申购款等；</w:t>
      </w:r>
    </w:p>
    <w:p w14:paraId="31E5BF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5DFBF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（8）本基金与私募类证券资管产品及中国证监会认定的其他主体为交易对手开展逆回购交易的，可接受质押品的资质要求应当与基金合同约定的投资范围保持一致；</w:t>
      </w:r>
    </w:p>
    <w:p w14:paraId="03D0B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（9）本基金不得违反基金合同中有关投资范围、投资策略、投资比例的规定；</w:t>
      </w:r>
    </w:p>
    <w:p w14:paraId="7A5EDE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（10）法律法规或监管部门对上述比例限制另有规定的，从其规定。</w:t>
      </w:r>
    </w:p>
    <w:p w14:paraId="24850F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符合相关法律法规规定的前提下，除上述第（4）、（6）、（7）、（8）项外，因证券市场波动、上市公司合并、基金规模变动等基金管理人之外的因素致使基金投资比例不符合上述规定的投资比例的，基金管理人应当在10个交易日内进行调整。法律法规或监管部门另有规定的，从其规定。</w:t>
      </w:r>
    </w:p>
    <w:p w14:paraId="1FC164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w:t>
      </w:r>
      <w:r>
        <w:rPr>
          <w:rFonts w:ascii="宋体" w:hAnsi="宋体"/>
          <w:sz w:val="24"/>
        </w:rPr>
        <w:lastRenderedPageBreak/>
        <w:t>法规或监管部门对上述约定的投资组合比例限制规定进行变更，在履行适当程序后，以变更后的规定为准；当法律法规或监管部门取消上述限制，在履行适当程序后，本基金投资可不受上述规定限制。</w:t>
      </w:r>
    </w:p>
    <w:p w14:paraId="5929DA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14:paraId="35BE2A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B741E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10C3B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w:t>
      </w:r>
      <w:r>
        <w:rPr>
          <w:rFonts w:ascii="宋体" w:hAnsi="宋体"/>
          <w:sz w:val="24"/>
        </w:rPr>
        <w:lastRenderedPageBreak/>
        <w:t>应及时提醒基金管理人，基金托管人不承担由此造成的任何损失和责任。</w:t>
      </w:r>
    </w:p>
    <w:p w14:paraId="3FF6E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14:paraId="7F4C9F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397E06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32BBA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63E78F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457BA5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3382B1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37D308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E6B1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6E42E2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14:paraId="16F15E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w:t>
      </w:r>
      <w:r>
        <w:rPr>
          <w:rFonts w:ascii="宋体" w:hAnsi="宋体"/>
          <w:sz w:val="24"/>
        </w:rPr>
        <w:lastRenderedPageBreak/>
        <w:t>等有关法律法规规定。</w:t>
      </w:r>
    </w:p>
    <w:p w14:paraId="44D54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442DE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5463A1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14:paraId="0D49C5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2248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F2BE1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受限证券登记存管在本基金名下，并保证基金托管人能够正常查询。因基金管理人原因产生的受限证券登记存管问题，造成基金财产的损失或基金托管人无法安全保管基金财产的责任与损失，由基金管理人承担。</w:t>
      </w:r>
    </w:p>
    <w:p w14:paraId="417E81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w:t>
      </w:r>
      <w:r>
        <w:rPr>
          <w:rFonts w:ascii="宋体" w:hAnsi="宋体"/>
          <w:sz w:val="24"/>
        </w:rPr>
        <w:lastRenderedPageBreak/>
        <w:t>相应法律后果。除基金托管人未能依据法律法规、基金合同及本协议履行职责外，因投资流通受限证券产生的损失，基金托管人按照本协议履行监督职责后不承担上述损失。</w:t>
      </w:r>
    </w:p>
    <w:p w14:paraId="2D36D2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B3E73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5EF1C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12938C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757510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6F96F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w:t>
      </w:r>
      <w:r>
        <w:rPr>
          <w:rFonts w:ascii="宋体" w:hAnsi="宋体"/>
          <w:sz w:val="24"/>
        </w:rPr>
        <w:lastRenderedPageBreak/>
        <w:t>《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A347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A01656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14:paraId="029D0D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5E11ED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0BECF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14:paraId="63288E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25DE29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56DE2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22F367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EDDAD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494649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2882C2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（1）基金募集期间的认购款项应存于专用账户。该账户由基金管理人委托的</w:t>
      </w:r>
      <w:r>
        <w:rPr>
          <w:rFonts w:ascii="宋体" w:hAnsi="宋体"/>
          <w:sz w:val="24"/>
        </w:rPr>
        <w:lastRenderedPageBreak/>
        <w:t>注册登记机构开立并管理。</w:t>
      </w:r>
    </w:p>
    <w:p w14:paraId="3B5B91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14:paraId="42F7B2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14:paraId="3374F80E" w14:textId="76989B71"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w:t>
      </w:r>
      <w:r w:rsidR="00B4193A">
        <w:rPr>
          <w:rFonts w:ascii="宋体" w:hAnsi="宋体" w:hint="eastAsia"/>
          <w:sz w:val="24"/>
        </w:rPr>
        <w:t>托管</w:t>
      </w:r>
      <w:r>
        <w:rPr>
          <w:rFonts w:ascii="宋体" w:hAnsi="宋体"/>
          <w:sz w:val="24"/>
        </w:rPr>
        <w:t>资金账户的开立和管理</w:t>
      </w:r>
    </w:p>
    <w:p w14:paraId="295CF8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14:paraId="6EAA58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802B1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3A5847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14:paraId="67C022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51043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28F352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19C32E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6FD97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46773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（4）基金证券账户的开立和证券账户卡的保管由基金托管人负责，账户资产的管理和运用由基金管理人负责。</w:t>
      </w:r>
    </w:p>
    <w:p w14:paraId="0FCE7E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FD80A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1E2928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2C096B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00798F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5277C8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（2）法律法规等有关规定对相关账户的开立和管理另有规定的，从其规定办理。7、基金财产投资的有关有价凭证等的保管</w:t>
      </w:r>
    </w:p>
    <w:p w14:paraId="58459F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01F3FE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87879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10D82D0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（五）基金资产净值计算和会计核算</w:t>
      </w:r>
    </w:p>
    <w:p w14:paraId="50439C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4CDF81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356738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基金资产净值是指基金资产总值减去基金负债后的净资产值。</w:t>
      </w:r>
    </w:p>
    <w:p w14:paraId="53FEB395" w14:textId="7D252BA7" w:rsidR="00CB5326" w:rsidRDefault="00FB05DD">
      <w:pPr>
        <w:autoSpaceDE w:val="0"/>
        <w:autoSpaceDN w:val="0"/>
        <w:adjustRightInd w:val="0"/>
        <w:snapToGrid w:val="0"/>
        <w:spacing w:line="360" w:lineRule="auto"/>
        <w:ind w:firstLineChars="200" w:firstLine="480"/>
        <w:jc w:val="left"/>
        <w:rPr>
          <w:rFonts w:ascii="宋体" w:hAnsi="宋体"/>
          <w:szCs w:val="24"/>
        </w:rPr>
      </w:pPr>
      <w:r w:rsidRPr="009944F8">
        <w:rPr>
          <w:rFonts w:ascii="宋体" w:hAnsi="宋体" w:hint="eastAsia"/>
          <w:sz w:val="24"/>
        </w:rPr>
        <w:lastRenderedPageBreak/>
        <w:t>各类基金份额的</w:t>
      </w:r>
      <w:r w:rsidR="000C1687">
        <w:rPr>
          <w:rFonts w:ascii="宋体" w:hAnsi="宋体"/>
          <w:sz w:val="24"/>
        </w:rPr>
        <w:t>基金份额净值是指计算日</w:t>
      </w:r>
      <w:r>
        <w:rPr>
          <w:rFonts w:ascii="宋体" w:hAnsi="宋体" w:hint="eastAsia"/>
          <w:sz w:val="24"/>
        </w:rPr>
        <w:t>该类基金份额的</w:t>
      </w:r>
      <w:r w:rsidR="000C1687">
        <w:rPr>
          <w:rFonts w:ascii="宋体" w:hAnsi="宋体"/>
          <w:sz w:val="24"/>
        </w:rPr>
        <w:t>基金资产净值除以计算日</w:t>
      </w:r>
      <w:r w:rsidR="001C62D8">
        <w:rPr>
          <w:rFonts w:ascii="宋体" w:hAnsi="宋体" w:hint="eastAsia"/>
          <w:sz w:val="24"/>
        </w:rPr>
        <w:t>该类</w:t>
      </w:r>
      <w:r w:rsidR="000C1687">
        <w:rPr>
          <w:rFonts w:ascii="宋体" w:hAnsi="宋体"/>
          <w:sz w:val="24"/>
        </w:rPr>
        <w:t>基金份额总数的数值。</w:t>
      </w:r>
      <w:r w:rsidR="001C62D8">
        <w:rPr>
          <w:rFonts w:ascii="宋体" w:hAnsi="宋体" w:hint="eastAsia"/>
          <w:sz w:val="24"/>
        </w:rPr>
        <w:t>各类</w:t>
      </w:r>
      <w:r w:rsidR="000C1687">
        <w:rPr>
          <w:rFonts w:ascii="宋体" w:hAnsi="宋体"/>
          <w:sz w:val="24"/>
        </w:rPr>
        <w:t>基金份额净值的计算，精确到0.0001元，小数点后第五位四舍五入，由此产生的误差计入基金财产。国家另有规定的，从其规定。</w:t>
      </w:r>
    </w:p>
    <w:p w14:paraId="6D3C47C6" w14:textId="0B37E01F"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基金管理人每个工作日分别计算本基金A/B类基金份额</w:t>
      </w:r>
      <w:r w:rsidR="00DA56F5">
        <w:rPr>
          <w:rFonts w:ascii="宋体" w:hAnsi="宋体" w:hint="eastAsia"/>
          <w:sz w:val="24"/>
        </w:rPr>
        <w:t>、</w:t>
      </w:r>
      <w:r>
        <w:rPr>
          <w:rFonts w:ascii="宋体" w:hAnsi="宋体"/>
          <w:sz w:val="24"/>
        </w:rPr>
        <w:t>C类基金份额</w:t>
      </w:r>
      <w:r w:rsidR="00DA56F5">
        <w:rPr>
          <w:rFonts w:ascii="宋体" w:hAnsi="宋体" w:hint="eastAsia"/>
          <w:sz w:val="24"/>
        </w:rPr>
        <w:t>和D类基金份额</w:t>
      </w:r>
      <w:r>
        <w:rPr>
          <w:rFonts w:ascii="宋体" w:hAnsi="宋体"/>
          <w:sz w:val="24"/>
        </w:rPr>
        <w:t>的基金资产净值及基金份额净值，经基金托管人复核，按规定公告。</w:t>
      </w:r>
    </w:p>
    <w:p w14:paraId="3C9A5F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09470E3A" w14:textId="799DAADF"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基金管理人每工作日对基金资产进行估值后，将本基金A/B类基金份额</w:t>
      </w:r>
      <w:r w:rsidR="00DA56F5">
        <w:rPr>
          <w:rFonts w:ascii="宋体" w:hAnsi="宋体" w:hint="eastAsia"/>
          <w:sz w:val="24"/>
        </w:rPr>
        <w:t>、</w:t>
      </w:r>
      <w:r>
        <w:rPr>
          <w:rFonts w:ascii="宋体" w:hAnsi="宋体"/>
          <w:sz w:val="24"/>
        </w:rPr>
        <w:t>C类基金份额</w:t>
      </w:r>
      <w:r w:rsidR="00DA56F5">
        <w:rPr>
          <w:rFonts w:ascii="宋体" w:hAnsi="宋体" w:hint="eastAsia"/>
          <w:sz w:val="24"/>
        </w:rPr>
        <w:t>和D类基金份额</w:t>
      </w:r>
      <w:r>
        <w:rPr>
          <w:rFonts w:ascii="宋体" w:hAnsi="宋体"/>
          <w:sz w:val="24"/>
        </w:rPr>
        <w:t>的基金份额净值结果发送基金托管人，经基金托管人复核无误后，由基金管理人依据基金合同和相关法律法规的规定对外公布。月末、年中和年末估值复核与基金会计账目的核对同时进行。</w:t>
      </w:r>
    </w:p>
    <w:p w14:paraId="05F987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50C4E8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2D1F08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基金依法拥有的债券、权证及其他基金资产和负债。</w:t>
      </w:r>
    </w:p>
    <w:p w14:paraId="1A8EF2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78FDD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1）债券估值方法：</w:t>
      </w:r>
    </w:p>
    <w:p w14:paraId="3DFB63CE" w14:textId="30B13442" w:rsidR="00CB5326" w:rsidRDefault="00DA56F5">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在证券交易所市场挂牌交易且实行净价交易的债券按估值日收盘价估值；估值日没有交易的，且</w:t>
      </w:r>
      <w:r>
        <w:rPr>
          <w:rFonts w:ascii="宋体" w:hAnsi="宋体"/>
          <w:sz w:val="24"/>
        </w:rPr>
        <w:t>最近交易日后经济环境未发生重大变化，</w:t>
      </w:r>
      <w:r>
        <w:rPr>
          <w:rFonts w:ascii="宋体" w:hAnsi="宋体" w:hint="eastAsia"/>
          <w:sz w:val="24"/>
        </w:rPr>
        <w:t>按最近交易日的收盘价估值；如果估值日无交易，且最近交易日后经济环境发生了重大变化的，将参考类似投资品种的现行市价及重大变化因素，调整最近交易日收盘价，确定公允价值进行估值。</w:t>
      </w:r>
    </w:p>
    <w:p w14:paraId="70309A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39476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首次发行未上市债券采用估值技术确定的公允价值进行估值，在估值技术难以可靠计量公允价值的情况下，按成本估值。</w:t>
      </w:r>
    </w:p>
    <w:p w14:paraId="419D14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交易所以大宗交易方式转让的资产支持证券，采用估值技术确定公允价值，在</w:t>
      </w:r>
      <w:r>
        <w:rPr>
          <w:rFonts w:ascii="宋体" w:hAnsi="宋体"/>
          <w:sz w:val="24"/>
        </w:rPr>
        <w:lastRenderedPageBreak/>
        <w:t>估值技术难以可靠计量公允价值的情况下，按成本进行后续计量。</w:t>
      </w:r>
    </w:p>
    <w:p w14:paraId="422257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在全国银行间债券市场交易的债券、资产支持证券等固定收益品种，采用估值技术确定公允价值。</w:t>
      </w:r>
    </w:p>
    <w:p w14:paraId="3A7CDF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同一债券同时在两个或两个以上市场交易的，按债券所处的市场分别估值。</w:t>
      </w:r>
    </w:p>
    <w:p w14:paraId="6394FF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任何情况下，基金管理人如采用本项第01-06小项规定的方法对基金资产进行估值，均应被认为采用了适当的估值方法。但是，如果基金管理人认为按本项第01-06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61B42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国家有最新规定的，按其规定进行估值。</w:t>
      </w:r>
    </w:p>
    <w:p w14:paraId="3ECEF5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2）权证估值方法：</w:t>
      </w:r>
    </w:p>
    <w:p w14:paraId="24AF32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03B2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首次发行未上市的权证，采用估值技术确定公允价值，在估值技术难以可靠计量公允价值的情况下，按成本估值。</w:t>
      </w:r>
    </w:p>
    <w:p w14:paraId="280A39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停止交易、但未行权的权证，采用估值技术确定公允价值进行估值。</w:t>
      </w:r>
    </w:p>
    <w:p w14:paraId="2B515C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6B438A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国家有最新规定的，按其规定进行估值。</w:t>
      </w:r>
    </w:p>
    <w:p w14:paraId="193843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3）其他有价证券等资产按国家有关规定进行估值。</w:t>
      </w:r>
    </w:p>
    <w:p w14:paraId="1E7EE6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056A9B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65E8BF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2D0F0B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1）基金管理人、基金托管人按债券估值方法的第7项、权证估值方法的第4项进行估值时，所造成的误差不作为基金份额净值错误处理。</w:t>
      </w:r>
    </w:p>
    <w:p w14:paraId="354830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14:paraId="2D6CFB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490B60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5475FE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14:paraId="4DACD3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A3A2C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w:t>
      </w:r>
      <w:r>
        <w:rPr>
          <w:rFonts w:ascii="宋体" w:hAnsi="宋体"/>
          <w:sz w:val="24"/>
        </w:rPr>
        <w:lastRenderedPageBreak/>
        <w:t>额，其中基金管理人承担50%，基金托管人承担50%。</w:t>
      </w:r>
    </w:p>
    <w:p w14:paraId="24D32F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D97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36706E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14:paraId="125583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14:paraId="75A0F2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14:paraId="3A9061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（1）基金投资所涉及的证券投资市场遇法定节假日或因其他原因暂停交易时；</w:t>
      </w:r>
    </w:p>
    <w:p w14:paraId="50084E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69BA7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14:paraId="31AF8055" w14:textId="3196F2A0"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271D23" w:rsidRPr="00271D23">
        <w:rPr>
          <w:rFonts w:ascii="宋体" w:hAnsi="宋体" w:hint="eastAsia"/>
          <w:sz w:val="24"/>
        </w:rPr>
        <w:t>当特定资产占前一估值日基金资产净值50%以上的，经与基金托管人协商确认后，</w:t>
      </w:r>
      <w:r>
        <w:rPr>
          <w:rFonts w:ascii="宋体" w:hAnsi="宋体"/>
          <w:sz w:val="24"/>
        </w:rPr>
        <w:t>基金管理人应当暂停估值；</w:t>
      </w:r>
    </w:p>
    <w:p w14:paraId="34DAFE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506E6B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372948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45C47C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1DE984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281BE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7、基金财务报表与报告的编制和复核</w:t>
      </w:r>
    </w:p>
    <w:p w14:paraId="666A4E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176358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14:paraId="5934F4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5F99E0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14:paraId="2D545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18412F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7D1274D"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（六）基金份额持有人名册的的登记与保管</w:t>
      </w:r>
    </w:p>
    <w:p w14:paraId="4DDD6C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本基金的基金管理人和基金托管人须分别妥善保管基金份额持有人名册，包括基金合同生效日、基金合同终止日、基金权益登记日、基金份额持有人大会权益登</w:t>
      </w:r>
      <w:r>
        <w:rPr>
          <w:rFonts w:ascii="宋体" w:hAnsi="宋体"/>
          <w:sz w:val="24"/>
        </w:rPr>
        <w:lastRenderedPageBreak/>
        <w:t>记日、每年6月30日、12月31日的基金份额持有人名册。基金份额持有人名册的内容至少应包括持有人的名称和持有的基金份额。</w:t>
      </w:r>
    </w:p>
    <w:p w14:paraId="42A94D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41647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5C5EA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4AF53B9"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352BC9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6BEBB4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4C81C3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14:paraId="292B589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7EF389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FE927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14:paraId="0E985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04DE8B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6888B7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w:t>
      </w:r>
      <w:r>
        <w:rPr>
          <w:rFonts w:ascii="宋体" w:hAnsi="宋体"/>
          <w:sz w:val="24"/>
        </w:rPr>
        <w:lastRenderedPageBreak/>
        <w:t>产；</w:t>
      </w:r>
    </w:p>
    <w:p w14:paraId="5FE925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0E3F31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2957E3F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D030A7" w14:textId="77777777" w:rsidR="00CB5326" w:rsidRDefault="000C1687">
      <w:pPr>
        <w:pStyle w:val="1"/>
        <w:snapToGrid w:val="0"/>
        <w:spacing w:beforeLines="0" w:before="240" w:after="240"/>
        <w:rPr>
          <w:rFonts w:ascii="宋体" w:hAnsi="宋体"/>
          <w:szCs w:val="30"/>
        </w:rPr>
      </w:pPr>
      <w:bookmarkStart w:id="27" w:name="_Toc154495313"/>
      <w:r>
        <w:rPr>
          <w:rFonts w:ascii="Times New Roman" w:hAnsi="Times New Roman"/>
          <w:sz w:val="30"/>
        </w:rPr>
        <w:lastRenderedPageBreak/>
        <w:t>二十三、对基金份额持有人的服务</w:t>
      </w:r>
      <w:bookmarkEnd w:id="27"/>
    </w:p>
    <w:p w14:paraId="6CE72E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7BF237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Pr="00BB248E">
        <w:rPr>
          <w:rFonts w:ascii="宋体" w:hAnsi="宋体" w:hint="eastAsia"/>
          <w:b/>
          <w:kern w:val="0"/>
          <w:sz w:val="24"/>
        </w:rPr>
        <w:t>一）持有人交易资料的寄送服务</w:t>
      </w:r>
    </w:p>
    <w:p w14:paraId="16475C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4AB652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F7D8670"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1D9B4AD6" w14:textId="06E6BE7E"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本基金管理人已开通基金网上直销业务，个人投资者可以直接通过本基金管理人网站的网上直销交易平台办理开户和本基金A类</w:t>
      </w:r>
      <w:r w:rsidR="00790A75">
        <w:rPr>
          <w:rFonts w:ascii="宋体" w:hAnsi="宋体" w:hint="eastAsia"/>
          <w:sz w:val="24"/>
        </w:rPr>
        <w:t>、</w:t>
      </w:r>
      <w:r>
        <w:rPr>
          <w:rFonts w:ascii="宋体" w:hAnsi="宋体"/>
          <w:sz w:val="24"/>
        </w:rPr>
        <w:t>C类</w:t>
      </w:r>
      <w:r w:rsidR="00790A75">
        <w:rPr>
          <w:rFonts w:ascii="宋体" w:hAnsi="宋体" w:hint="eastAsia"/>
          <w:sz w:val="24"/>
        </w:rPr>
        <w:t>及D类</w:t>
      </w:r>
      <w:r>
        <w:rPr>
          <w:rFonts w:ascii="宋体" w:hAnsi="宋体"/>
          <w:sz w:val="24"/>
        </w:rPr>
        <w:t>基金份额的申购、赎回、定期定额投资和转换等业务。本公司暂不开展网上直销本基金B类基金份额的认/申购业务，通过转托管转入网上直销账户的本基金B类基金份额只能办理赎回业务。通过网上直销交易平台办理本基金A类基金份额</w:t>
      </w:r>
      <w:r w:rsidR="00790A75">
        <w:rPr>
          <w:rFonts w:ascii="宋体" w:hAnsi="宋体" w:hint="eastAsia"/>
          <w:sz w:val="24"/>
        </w:rPr>
        <w:t>或D类基金份额</w:t>
      </w:r>
      <w:r>
        <w:rPr>
          <w:rFonts w:ascii="宋体" w:hAnsi="宋体"/>
          <w:sz w:val="24"/>
        </w:rPr>
        <w:t>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992A6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3A0C02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在条件成熟的时候，本基金管理人将根据基金网上直销业务的发展状况，适时调整可用于网上直销交易平台的银行卡种类，敬请投资者留意相关公告。</w:t>
      </w:r>
    </w:p>
    <w:p w14:paraId="79BC76D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4E276D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14:paraId="59AEC9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w:t>
      </w:r>
      <w:r>
        <w:rPr>
          <w:rFonts w:ascii="宋体" w:hAnsi="宋体"/>
          <w:sz w:val="24"/>
        </w:rPr>
        <w:lastRenderedPageBreak/>
        <w:t>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14:paraId="216869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14:paraId="3DA68537"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14:paraId="385168E5" w14:textId="6692CAE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本基金收益分配时，基金投资者可以选择将当期分配所得的红利再投资于本基金，再投资红利按红利再投日（即除息日）除息后的基金份额净值自动转为</w:t>
      </w:r>
      <w:r w:rsidR="000E7079">
        <w:rPr>
          <w:rFonts w:ascii="宋体" w:hAnsi="宋体" w:hint="eastAsia"/>
          <w:sz w:val="24"/>
        </w:rPr>
        <w:t>相应类别的</w:t>
      </w:r>
      <w:r>
        <w:rPr>
          <w:rFonts w:ascii="宋体" w:hAnsi="宋体"/>
          <w:sz w:val="24"/>
        </w:rPr>
        <w:t>基金份额，并免收申购费用。</w:t>
      </w:r>
    </w:p>
    <w:p w14:paraId="2631F1D5"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65174D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4A0AA7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5D837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14:paraId="22D67A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91FA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6E0641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010DC64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087CFFB2"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69F7FA" w14:textId="77777777" w:rsidR="00CB5326" w:rsidRDefault="000C1687">
      <w:pPr>
        <w:pStyle w:val="1"/>
        <w:snapToGrid w:val="0"/>
        <w:spacing w:beforeLines="0" w:before="240" w:after="240"/>
        <w:rPr>
          <w:rFonts w:ascii="宋体" w:hAnsi="宋体"/>
          <w:szCs w:val="30"/>
        </w:rPr>
      </w:pPr>
      <w:bookmarkStart w:id="28" w:name="_Toc154495314"/>
      <w:r>
        <w:rPr>
          <w:rFonts w:ascii="Times New Roman" w:hAnsi="Times New Roman"/>
          <w:sz w:val="30"/>
        </w:rPr>
        <w:lastRenderedPageBreak/>
        <w:t>二十四、其他应披露事项</w:t>
      </w:r>
      <w:bookmarkEnd w:id="28"/>
    </w:p>
    <w:p w14:paraId="025B0C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79FC32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3B236D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2EAB3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86C642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14C1FD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406D460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B5326" w14:paraId="103DC5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22343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03B172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元旦</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5F2EF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ED435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CB5326" w14:paraId="5D0B55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C9495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10E7BA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3AB47C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ECA1E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3BC912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CBFBB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A857E3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AB</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E46F34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F067C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10A0EC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EA060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BF6AC3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1387F4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76EE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258697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96D27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D140BE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51A32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9113E0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B5326" w14:paraId="01C341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63399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4A573A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A52BC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04948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B5326" w14:paraId="57B5DA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2529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BE731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F550B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97697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CB5326" w14:paraId="15020C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927CE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CCE9F4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DC06BD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F5C7E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CB5326" w14:paraId="65EDBB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A4B8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6C52513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D025C0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92846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CB5326" w14:paraId="56E72A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2FDF4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395E3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849CDB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648FA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CB5326" w14:paraId="4F8F8F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AD76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2106426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82DC42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CBE7F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CB5326" w14:paraId="37A372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72C3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3AD5F3C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F56F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CE33B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CB5326" w14:paraId="44CD7E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6257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BCFB59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A76DC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F597C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CB5326" w14:paraId="467695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8DC93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C6D0EE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EE0CE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4C481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2023-07-06</w:t>
            </w:r>
          </w:p>
        </w:tc>
      </w:tr>
      <w:tr w:rsidR="00CB5326" w14:paraId="4E7E1E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64D9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DF93ED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2DEBDC0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64B4E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CB5326" w14:paraId="7EAA37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586C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720C7D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F9EDEB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D1FB8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CB5326" w14:paraId="7FD09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1136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266AFD9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718F37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E53618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2023-07-11</w:t>
            </w:r>
          </w:p>
        </w:tc>
      </w:tr>
      <w:tr w:rsidR="00CB5326" w14:paraId="5C85EC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0196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4F8369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152591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312C8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CB5326" w14:paraId="737479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C92E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791492A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4C303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E2BCD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2023-07-21</w:t>
            </w:r>
          </w:p>
        </w:tc>
      </w:tr>
      <w:tr w:rsidR="00CB5326" w14:paraId="345858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6215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BDF821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88E04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3DFE7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2023-08-14</w:t>
            </w:r>
          </w:p>
        </w:tc>
      </w:tr>
      <w:tr w:rsidR="00CB5326" w14:paraId="26AE4E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6BA5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1A98AB9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DFAF0C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F4F6D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2023-08-23</w:t>
            </w:r>
          </w:p>
        </w:tc>
      </w:tr>
      <w:tr w:rsidR="00CB5326" w14:paraId="7AFD2E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F623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8AB254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8C2DFA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0BCE7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CB5326" w14:paraId="10C514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E7511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0E1DB91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5527EE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DA10D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CB5326" w14:paraId="63B023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B11B4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C70D2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F382E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51016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CB5326" w14:paraId="1D051C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58CB0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2471A7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3735CE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40BFA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2023-10-18</w:t>
            </w:r>
          </w:p>
        </w:tc>
      </w:tr>
      <w:tr w:rsidR="00CB5326" w14:paraId="5CA67F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1F276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0E379D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68F934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12933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7A6A6F5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3D3B35" w14:textId="77777777" w:rsidR="00CB5326" w:rsidRDefault="000C1687">
      <w:pPr>
        <w:pStyle w:val="1"/>
        <w:snapToGrid w:val="0"/>
        <w:spacing w:beforeLines="0" w:before="240" w:after="240"/>
        <w:rPr>
          <w:rFonts w:ascii="宋体" w:hAnsi="宋体"/>
          <w:szCs w:val="30"/>
        </w:rPr>
      </w:pPr>
      <w:bookmarkStart w:id="29" w:name="_Toc154495315"/>
      <w:r>
        <w:rPr>
          <w:rFonts w:ascii="Times New Roman" w:hAnsi="Times New Roman"/>
          <w:sz w:val="30"/>
        </w:rPr>
        <w:lastRenderedPageBreak/>
        <w:t>二十五、招募说明书的存放及查阅方式</w:t>
      </w:r>
      <w:bookmarkEnd w:id="29"/>
    </w:p>
    <w:p w14:paraId="281556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55B24A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33E9B7B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3A6BEF" w14:textId="77777777" w:rsidR="00CB5326" w:rsidRDefault="000C1687">
      <w:pPr>
        <w:pStyle w:val="1"/>
        <w:snapToGrid w:val="0"/>
        <w:spacing w:beforeLines="0" w:before="240" w:after="240"/>
        <w:rPr>
          <w:rFonts w:ascii="宋体" w:hAnsi="宋体"/>
          <w:szCs w:val="30"/>
        </w:rPr>
      </w:pPr>
      <w:bookmarkStart w:id="30" w:name="_Toc154495316"/>
      <w:r>
        <w:rPr>
          <w:rFonts w:ascii="Times New Roman" w:hAnsi="Times New Roman"/>
          <w:sz w:val="30"/>
        </w:rPr>
        <w:lastRenderedPageBreak/>
        <w:t>二十六、备查文件</w:t>
      </w:r>
      <w:bookmarkEnd w:id="30"/>
    </w:p>
    <w:p w14:paraId="644B71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D60B9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（一）中国证监会核准交银施罗德纯债债券型发起式证券投资基金募集的文件</w:t>
      </w:r>
    </w:p>
    <w:p w14:paraId="42B16F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（二）《交银施罗德纯债债券型发起式证券投资基金基金合同》</w:t>
      </w:r>
    </w:p>
    <w:p w14:paraId="2C1EBB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（三）《交银施罗德纯债债券型发起式证券投资基金托管协议》</w:t>
      </w:r>
    </w:p>
    <w:p w14:paraId="32193F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DB4A8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66C269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（六）关于申请募集交银施罗德纯债债券型发起式证券投资基金之法律意见书</w:t>
      </w:r>
    </w:p>
    <w:sectPr w:rsidR="00CB5326">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0E2A9" w16cid:durableId="2A71DB0B"/>
  <w16cid:commentId w16cid:paraId="171DABFE" w16cid:durableId="2A71DC0C"/>
  <w16cid:commentId w16cid:paraId="7718DD1B" w16cid:durableId="2A732B25"/>
  <w16cid:commentId w16cid:paraId="723A0DDC" w16cid:durableId="2A71E147"/>
  <w16cid:commentId w16cid:paraId="5125200C" w16cid:durableId="2A71E5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C6724" w14:textId="77777777" w:rsidR="0001347D" w:rsidRDefault="0001347D">
      <w:r>
        <w:separator/>
      </w:r>
    </w:p>
  </w:endnote>
  <w:endnote w:type="continuationSeparator" w:id="0">
    <w:p w14:paraId="13E25D8C" w14:textId="77777777" w:rsidR="0001347D" w:rsidRDefault="0001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A79B" w14:textId="03040BB4" w:rsidR="00A40FCC" w:rsidRDefault="00A40FC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F242319" wp14:editId="768C64CD">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DD6B" w14:textId="397E6FC9" w:rsidR="00A40FCC" w:rsidRDefault="00A40FC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53EE7">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231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5CCDD6B" w14:textId="397E6FC9" w:rsidR="00A40FCC" w:rsidRDefault="00A40FC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53EE7">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2C42" w14:textId="20F31714" w:rsidR="00A40FCC" w:rsidRDefault="00A40FC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02F689B" wp14:editId="35FC0907">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7CED" w14:textId="6929953C" w:rsidR="00A40FCC" w:rsidRDefault="00A40FC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53EE7">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F689B"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33C7CED" w14:textId="6929953C" w:rsidR="00A40FCC" w:rsidRDefault="00A40FC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53EE7">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0F6E" w14:textId="77777777" w:rsidR="0001347D" w:rsidRDefault="0001347D">
      <w:r>
        <w:separator/>
      </w:r>
    </w:p>
  </w:footnote>
  <w:footnote w:type="continuationSeparator" w:id="0">
    <w:p w14:paraId="7F7FB8EC" w14:textId="77777777" w:rsidR="0001347D" w:rsidRDefault="0001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36D7" w14:textId="4A82028D" w:rsidR="00A40FCC" w:rsidRDefault="00A40FCC">
    <w:pPr>
      <w:pStyle w:val="a3"/>
      <w:jc w:val="right"/>
    </w:pPr>
    <w:r>
      <w:rPr>
        <w:noProof/>
      </w:rPr>
      <w:drawing>
        <wp:anchor distT="0" distB="0" distL="114300" distR="114300" simplePos="0" relativeHeight="251655680" behindDoc="0" locked="0" layoutInCell="1" allowOverlap="1" wp14:anchorId="78ECCA91" wp14:editId="0FBC6BD8">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8729619" w14:textId="77777777" w:rsidR="00A40FCC" w:rsidRDefault="00A40FCC">
    <w:pPr>
      <w:pStyle w:val="a3"/>
      <w:jc w:val="right"/>
      <w:rPr>
        <w:rFonts w:ascii="宋体" w:hAnsi="宋体"/>
      </w:rPr>
    </w:pPr>
    <w:r>
      <w:rPr>
        <w:rFonts w:ascii="宋体" w:hAnsi="宋体" w:hint="eastAsia"/>
      </w:rPr>
      <w:t>交银施罗德纯债债券型发起式证券投资基金(更新)招募说明书(2023年第1号)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12F6" w14:textId="77777777" w:rsidR="00A40FCC" w:rsidRDefault="00A40FCC">
    <w:pPr>
      <w:pStyle w:val="11"/>
      <w:jc w:val="right"/>
    </w:pPr>
  </w:p>
  <w:p w14:paraId="5F6A6552" w14:textId="77777777" w:rsidR="00A40FCC" w:rsidRDefault="00A40FCC">
    <w:pPr>
      <w:pStyle w:val="11"/>
      <w:jc w:val="right"/>
    </w:pPr>
  </w:p>
  <w:p w14:paraId="0FBDE198" w14:textId="77777777" w:rsidR="00A40FCC" w:rsidRDefault="00A40FCC">
    <w:pPr>
      <w:pStyle w:val="a3"/>
      <w:jc w:val="right"/>
    </w:pPr>
  </w:p>
  <w:p w14:paraId="02843FCA" w14:textId="0362E372" w:rsidR="00A40FCC" w:rsidRDefault="00A40FCC">
    <w:pPr>
      <w:pStyle w:val="a3"/>
      <w:jc w:val="right"/>
    </w:pPr>
    <w:r>
      <w:rPr>
        <w:noProof/>
      </w:rPr>
      <w:drawing>
        <wp:anchor distT="0" distB="0" distL="114300" distR="114300" simplePos="0" relativeHeight="251656704" behindDoc="0" locked="0" layoutInCell="1" allowOverlap="1" wp14:anchorId="18634AD4" wp14:editId="69A53EB0">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68FEB5F" w14:textId="37B50459" w:rsidR="00A40FCC" w:rsidRDefault="00A40FCC">
    <w:pPr>
      <w:pStyle w:val="a3"/>
      <w:jc w:val="right"/>
      <w:rPr>
        <w:rFonts w:ascii="宋体" w:hAnsi="宋体"/>
      </w:rPr>
    </w:pPr>
    <w:r>
      <w:rPr>
        <w:rFonts w:ascii="宋体" w:hAnsi="宋体" w:hint="eastAsia"/>
      </w:rPr>
      <w:t>交银施罗德纯债债券型发起式证券投资基金招募说明书更新</w:t>
    </w:r>
    <w:r w:rsidDel="00FB6731">
      <w:rPr>
        <w:rFonts w:ascii="宋体" w:hAnsi="宋体"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4EFA" w14:textId="77777777" w:rsidR="00A40FCC" w:rsidRDefault="00A40FCC">
    <w:pPr>
      <w:pStyle w:val="a3"/>
      <w:jc w:val="right"/>
    </w:pPr>
  </w:p>
  <w:p w14:paraId="2F3BB93E" w14:textId="77777777" w:rsidR="00A40FCC" w:rsidRDefault="00A40FCC">
    <w:pPr>
      <w:pStyle w:val="a3"/>
      <w:jc w:val="right"/>
    </w:pPr>
  </w:p>
  <w:p w14:paraId="213E52FF" w14:textId="77777777" w:rsidR="00A40FCC" w:rsidRDefault="00A40FCC">
    <w:pPr>
      <w:pStyle w:val="a3"/>
      <w:jc w:val="right"/>
    </w:pPr>
  </w:p>
  <w:p w14:paraId="6F02C172" w14:textId="2CB24316" w:rsidR="00A40FCC" w:rsidRDefault="00A40FCC">
    <w:pPr>
      <w:pStyle w:val="a3"/>
      <w:jc w:val="right"/>
    </w:pPr>
    <w:r>
      <w:rPr>
        <w:noProof/>
      </w:rPr>
      <w:drawing>
        <wp:anchor distT="0" distB="0" distL="114300" distR="114300" simplePos="0" relativeHeight="251657728" behindDoc="0" locked="0" layoutInCell="1" allowOverlap="1" wp14:anchorId="343A6B34" wp14:editId="264B2AB6">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7C43730" w14:textId="5C739DEF" w:rsidR="00A40FCC" w:rsidRDefault="00A40FCC">
    <w:pPr>
      <w:pStyle w:val="a3"/>
      <w:jc w:val="right"/>
      <w:rPr>
        <w:rFonts w:ascii="宋体" w:hAnsi="宋体"/>
      </w:rPr>
    </w:pPr>
    <w:r>
      <w:rPr>
        <w:rFonts w:ascii="宋体" w:hAnsi="宋体" w:hint="eastAsia"/>
      </w:rPr>
      <w:t xml:space="preserve">交银施罗德纯债债券型发起式证券投资基金招募说明书更新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7BA7"/>
    <w:rsid w:val="0001266E"/>
    <w:rsid w:val="0001347D"/>
    <w:rsid w:val="000154A5"/>
    <w:rsid w:val="00026A29"/>
    <w:rsid w:val="00026D00"/>
    <w:rsid w:val="00027C73"/>
    <w:rsid w:val="00030964"/>
    <w:rsid w:val="00030F3E"/>
    <w:rsid w:val="000368A2"/>
    <w:rsid w:val="000446D5"/>
    <w:rsid w:val="00044AFD"/>
    <w:rsid w:val="00044E2C"/>
    <w:rsid w:val="000457B7"/>
    <w:rsid w:val="0004614E"/>
    <w:rsid w:val="00046212"/>
    <w:rsid w:val="000500B8"/>
    <w:rsid w:val="000506ED"/>
    <w:rsid w:val="000543D5"/>
    <w:rsid w:val="00055792"/>
    <w:rsid w:val="000558D7"/>
    <w:rsid w:val="00055F52"/>
    <w:rsid w:val="00060B09"/>
    <w:rsid w:val="00061C0D"/>
    <w:rsid w:val="0006212F"/>
    <w:rsid w:val="0006220F"/>
    <w:rsid w:val="000647B8"/>
    <w:rsid w:val="0006506B"/>
    <w:rsid w:val="0006519A"/>
    <w:rsid w:val="0006551A"/>
    <w:rsid w:val="00066485"/>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32B9"/>
    <w:rsid w:val="00094253"/>
    <w:rsid w:val="00095030"/>
    <w:rsid w:val="00096FB3"/>
    <w:rsid w:val="000A01A0"/>
    <w:rsid w:val="000A352B"/>
    <w:rsid w:val="000B0F8B"/>
    <w:rsid w:val="000B359E"/>
    <w:rsid w:val="000B3894"/>
    <w:rsid w:val="000B4E04"/>
    <w:rsid w:val="000B5516"/>
    <w:rsid w:val="000C1687"/>
    <w:rsid w:val="000C1E1E"/>
    <w:rsid w:val="000C38F1"/>
    <w:rsid w:val="000C5E77"/>
    <w:rsid w:val="000C68E9"/>
    <w:rsid w:val="000D0ADE"/>
    <w:rsid w:val="000D179E"/>
    <w:rsid w:val="000D583C"/>
    <w:rsid w:val="000D66DC"/>
    <w:rsid w:val="000E1F3B"/>
    <w:rsid w:val="000E3AB4"/>
    <w:rsid w:val="000E4176"/>
    <w:rsid w:val="000E632D"/>
    <w:rsid w:val="000E7079"/>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0997"/>
    <w:rsid w:val="001240EB"/>
    <w:rsid w:val="0012443D"/>
    <w:rsid w:val="00127053"/>
    <w:rsid w:val="00127A3B"/>
    <w:rsid w:val="0013182D"/>
    <w:rsid w:val="00131CEE"/>
    <w:rsid w:val="0013315B"/>
    <w:rsid w:val="00134FCF"/>
    <w:rsid w:val="00135AD8"/>
    <w:rsid w:val="0013630D"/>
    <w:rsid w:val="001363AD"/>
    <w:rsid w:val="001367F2"/>
    <w:rsid w:val="001412E8"/>
    <w:rsid w:val="0014250F"/>
    <w:rsid w:val="00144B52"/>
    <w:rsid w:val="00153D66"/>
    <w:rsid w:val="00155A41"/>
    <w:rsid w:val="0015623B"/>
    <w:rsid w:val="0015725E"/>
    <w:rsid w:val="00162F69"/>
    <w:rsid w:val="00164946"/>
    <w:rsid w:val="00165756"/>
    <w:rsid w:val="0017362C"/>
    <w:rsid w:val="0017392F"/>
    <w:rsid w:val="00173FD4"/>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5666"/>
    <w:rsid w:val="001A6A5E"/>
    <w:rsid w:val="001B4531"/>
    <w:rsid w:val="001B5078"/>
    <w:rsid w:val="001B5BDB"/>
    <w:rsid w:val="001B75F9"/>
    <w:rsid w:val="001C2B9E"/>
    <w:rsid w:val="001C38DA"/>
    <w:rsid w:val="001C62D8"/>
    <w:rsid w:val="001C7A48"/>
    <w:rsid w:val="001C7C12"/>
    <w:rsid w:val="001C7DF8"/>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E56B2"/>
    <w:rsid w:val="001F12B4"/>
    <w:rsid w:val="001F33EB"/>
    <w:rsid w:val="001F4DEA"/>
    <w:rsid w:val="001F4ECB"/>
    <w:rsid w:val="001F5F92"/>
    <w:rsid w:val="001F7353"/>
    <w:rsid w:val="00201F27"/>
    <w:rsid w:val="00201F9B"/>
    <w:rsid w:val="00203597"/>
    <w:rsid w:val="00204A96"/>
    <w:rsid w:val="002076AC"/>
    <w:rsid w:val="00212B27"/>
    <w:rsid w:val="00212BBA"/>
    <w:rsid w:val="0021469C"/>
    <w:rsid w:val="00215523"/>
    <w:rsid w:val="00216962"/>
    <w:rsid w:val="00217CA4"/>
    <w:rsid w:val="00221112"/>
    <w:rsid w:val="00221A1B"/>
    <w:rsid w:val="002220A4"/>
    <w:rsid w:val="00223B8F"/>
    <w:rsid w:val="00223C19"/>
    <w:rsid w:val="00224421"/>
    <w:rsid w:val="00226503"/>
    <w:rsid w:val="00226A60"/>
    <w:rsid w:val="0023578C"/>
    <w:rsid w:val="00235AC5"/>
    <w:rsid w:val="002360C2"/>
    <w:rsid w:val="002377E0"/>
    <w:rsid w:val="00240055"/>
    <w:rsid w:val="00240BB6"/>
    <w:rsid w:val="002432CA"/>
    <w:rsid w:val="00243D40"/>
    <w:rsid w:val="00245250"/>
    <w:rsid w:val="00247575"/>
    <w:rsid w:val="002477CB"/>
    <w:rsid w:val="00247BF6"/>
    <w:rsid w:val="00250A33"/>
    <w:rsid w:val="00251126"/>
    <w:rsid w:val="002524D2"/>
    <w:rsid w:val="00252802"/>
    <w:rsid w:val="00252A13"/>
    <w:rsid w:val="00253620"/>
    <w:rsid w:val="00253EEF"/>
    <w:rsid w:val="00255DA1"/>
    <w:rsid w:val="00255FDD"/>
    <w:rsid w:val="00261A50"/>
    <w:rsid w:val="002634C3"/>
    <w:rsid w:val="00265B3A"/>
    <w:rsid w:val="0027052E"/>
    <w:rsid w:val="00270C4B"/>
    <w:rsid w:val="00271D23"/>
    <w:rsid w:val="00271E9D"/>
    <w:rsid w:val="00271F7D"/>
    <w:rsid w:val="00274E85"/>
    <w:rsid w:val="002751F1"/>
    <w:rsid w:val="002762AE"/>
    <w:rsid w:val="002777F6"/>
    <w:rsid w:val="00277907"/>
    <w:rsid w:val="00280C42"/>
    <w:rsid w:val="00281B73"/>
    <w:rsid w:val="002833C9"/>
    <w:rsid w:val="00285E5C"/>
    <w:rsid w:val="00290B63"/>
    <w:rsid w:val="00290E73"/>
    <w:rsid w:val="00293415"/>
    <w:rsid w:val="00294689"/>
    <w:rsid w:val="0029539A"/>
    <w:rsid w:val="002A1A82"/>
    <w:rsid w:val="002A2FB0"/>
    <w:rsid w:val="002A4472"/>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89A"/>
    <w:rsid w:val="0030091B"/>
    <w:rsid w:val="00301E62"/>
    <w:rsid w:val="00304063"/>
    <w:rsid w:val="0030555F"/>
    <w:rsid w:val="00305A3B"/>
    <w:rsid w:val="00305BB4"/>
    <w:rsid w:val="0030645F"/>
    <w:rsid w:val="003117B9"/>
    <w:rsid w:val="00311C71"/>
    <w:rsid w:val="00313073"/>
    <w:rsid w:val="0031336C"/>
    <w:rsid w:val="0031339F"/>
    <w:rsid w:val="00313F3E"/>
    <w:rsid w:val="003175EC"/>
    <w:rsid w:val="00323F65"/>
    <w:rsid w:val="00326147"/>
    <w:rsid w:val="0033051E"/>
    <w:rsid w:val="0033401D"/>
    <w:rsid w:val="003343D0"/>
    <w:rsid w:val="00334456"/>
    <w:rsid w:val="00336150"/>
    <w:rsid w:val="00336E99"/>
    <w:rsid w:val="003406A1"/>
    <w:rsid w:val="00342417"/>
    <w:rsid w:val="003454EC"/>
    <w:rsid w:val="00346537"/>
    <w:rsid w:val="00347B94"/>
    <w:rsid w:val="003527DD"/>
    <w:rsid w:val="003547A2"/>
    <w:rsid w:val="00355171"/>
    <w:rsid w:val="00356112"/>
    <w:rsid w:val="00362702"/>
    <w:rsid w:val="00362A37"/>
    <w:rsid w:val="00362CF0"/>
    <w:rsid w:val="00362D5D"/>
    <w:rsid w:val="00364AC5"/>
    <w:rsid w:val="00365D15"/>
    <w:rsid w:val="0036702F"/>
    <w:rsid w:val="00367F3A"/>
    <w:rsid w:val="00370BDF"/>
    <w:rsid w:val="00372FA2"/>
    <w:rsid w:val="003735E9"/>
    <w:rsid w:val="003739FE"/>
    <w:rsid w:val="003749D5"/>
    <w:rsid w:val="00374D5D"/>
    <w:rsid w:val="00381057"/>
    <w:rsid w:val="0038254F"/>
    <w:rsid w:val="003828EC"/>
    <w:rsid w:val="00383488"/>
    <w:rsid w:val="003843BB"/>
    <w:rsid w:val="0038549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5396"/>
    <w:rsid w:val="003B62D2"/>
    <w:rsid w:val="003B66A3"/>
    <w:rsid w:val="003B7E09"/>
    <w:rsid w:val="003C27F7"/>
    <w:rsid w:val="003C62C1"/>
    <w:rsid w:val="003C6FA4"/>
    <w:rsid w:val="003D0B3E"/>
    <w:rsid w:val="003D2352"/>
    <w:rsid w:val="003D3863"/>
    <w:rsid w:val="003D3D0A"/>
    <w:rsid w:val="003D3E21"/>
    <w:rsid w:val="003D6DA0"/>
    <w:rsid w:val="003D6EF4"/>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5942"/>
    <w:rsid w:val="004369AD"/>
    <w:rsid w:val="00436DD6"/>
    <w:rsid w:val="00444FB7"/>
    <w:rsid w:val="00450674"/>
    <w:rsid w:val="004533FE"/>
    <w:rsid w:val="00453EE7"/>
    <w:rsid w:val="00454715"/>
    <w:rsid w:val="00454D80"/>
    <w:rsid w:val="00456785"/>
    <w:rsid w:val="00462EB0"/>
    <w:rsid w:val="00463933"/>
    <w:rsid w:val="00464346"/>
    <w:rsid w:val="004647AF"/>
    <w:rsid w:val="00470325"/>
    <w:rsid w:val="00470F42"/>
    <w:rsid w:val="00471605"/>
    <w:rsid w:val="0047297A"/>
    <w:rsid w:val="00474709"/>
    <w:rsid w:val="004770F1"/>
    <w:rsid w:val="00480184"/>
    <w:rsid w:val="00480516"/>
    <w:rsid w:val="00480658"/>
    <w:rsid w:val="00480D3C"/>
    <w:rsid w:val="0048170B"/>
    <w:rsid w:val="00481A59"/>
    <w:rsid w:val="00481BD4"/>
    <w:rsid w:val="00482AA2"/>
    <w:rsid w:val="00482BA6"/>
    <w:rsid w:val="0048579F"/>
    <w:rsid w:val="00486FDF"/>
    <w:rsid w:val="00487005"/>
    <w:rsid w:val="004901A7"/>
    <w:rsid w:val="004940B8"/>
    <w:rsid w:val="004A084F"/>
    <w:rsid w:val="004A1FA1"/>
    <w:rsid w:val="004A24B6"/>
    <w:rsid w:val="004A3225"/>
    <w:rsid w:val="004A3F90"/>
    <w:rsid w:val="004A4F68"/>
    <w:rsid w:val="004A5F59"/>
    <w:rsid w:val="004A6F1F"/>
    <w:rsid w:val="004B17D8"/>
    <w:rsid w:val="004B2323"/>
    <w:rsid w:val="004B62C3"/>
    <w:rsid w:val="004C0BC8"/>
    <w:rsid w:val="004C279E"/>
    <w:rsid w:val="004C461A"/>
    <w:rsid w:val="004C7D23"/>
    <w:rsid w:val="004C7D58"/>
    <w:rsid w:val="004D0783"/>
    <w:rsid w:val="004D11CB"/>
    <w:rsid w:val="004D49E3"/>
    <w:rsid w:val="004D49F0"/>
    <w:rsid w:val="004D7163"/>
    <w:rsid w:val="004E0366"/>
    <w:rsid w:val="004E1C30"/>
    <w:rsid w:val="004E3342"/>
    <w:rsid w:val="004E45AC"/>
    <w:rsid w:val="004E4672"/>
    <w:rsid w:val="004E4FD6"/>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05D"/>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5791E"/>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1EB"/>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E67F7"/>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2AD2"/>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2E34"/>
    <w:rsid w:val="00663FED"/>
    <w:rsid w:val="00664B64"/>
    <w:rsid w:val="006678E3"/>
    <w:rsid w:val="00667A9C"/>
    <w:rsid w:val="006712E8"/>
    <w:rsid w:val="00677DA7"/>
    <w:rsid w:val="00680212"/>
    <w:rsid w:val="00680C90"/>
    <w:rsid w:val="00681036"/>
    <w:rsid w:val="006823AD"/>
    <w:rsid w:val="00682C29"/>
    <w:rsid w:val="00685872"/>
    <w:rsid w:val="00685AD7"/>
    <w:rsid w:val="006915FE"/>
    <w:rsid w:val="00691963"/>
    <w:rsid w:val="00692124"/>
    <w:rsid w:val="00692D96"/>
    <w:rsid w:val="00693C96"/>
    <w:rsid w:val="00696339"/>
    <w:rsid w:val="00696982"/>
    <w:rsid w:val="006A3F85"/>
    <w:rsid w:val="006A48FA"/>
    <w:rsid w:val="006A56F1"/>
    <w:rsid w:val="006A6E5C"/>
    <w:rsid w:val="006B0972"/>
    <w:rsid w:val="006B3153"/>
    <w:rsid w:val="006B3B36"/>
    <w:rsid w:val="006B4211"/>
    <w:rsid w:val="006B5871"/>
    <w:rsid w:val="006B6BB1"/>
    <w:rsid w:val="006B7212"/>
    <w:rsid w:val="006C14C3"/>
    <w:rsid w:val="006C4B6F"/>
    <w:rsid w:val="006C507A"/>
    <w:rsid w:val="006C589D"/>
    <w:rsid w:val="006C769C"/>
    <w:rsid w:val="006C7A95"/>
    <w:rsid w:val="006D11E8"/>
    <w:rsid w:val="006D4B0E"/>
    <w:rsid w:val="006D753C"/>
    <w:rsid w:val="006D79DF"/>
    <w:rsid w:val="006E0A00"/>
    <w:rsid w:val="006E306D"/>
    <w:rsid w:val="006E4BEC"/>
    <w:rsid w:val="006E6968"/>
    <w:rsid w:val="006F04C6"/>
    <w:rsid w:val="006F08A0"/>
    <w:rsid w:val="006F0B4E"/>
    <w:rsid w:val="006F2A97"/>
    <w:rsid w:val="006F7AD7"/>
    <w:rsid w:val="00702627"/>
    <w:rsid w:val="0070359F"/>
    <w:rsid w:val="0070464C"/>
    <w:rsid w:val="00705474"/>
    <w:rsid w:val="00705B46"/>
    <w:rsid w:val="00706C43"/>
    <w:rsid w:val="007076B2"/>
    <w:rsid w:val="00711BBB"/>
    <w:rsid w:val="0071340A"/>
    <w:rsid w:val="00713FC7"/>
    <w:rsid w:val="00716FD1"/>
    <w:rsid w:val="007172B5"/>
    <w:rsid w:val="00720D0F"/>
    <w:rsid w:val="007218A9"/>
    <w:rsid w:val="0072241C"/>
    <w:rsid w:val="007245A5"/>
    <w:rsid w:val="00725FEC"/>
    <w:rsid w:val="00730941"/>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A75"/>
    <w:rsid w:val="00790F0A"/>
    <w:rsid w:val="00790F5E"/>
    <w:rsid w:val="007927A6"/>
    <w:rsid w:val="00797F6E"/>
    <w:rsid w:val="007A1F4C"/>
    <w:rsid w:val="007A53F8"/>
    <w:rsid w:val="007A66DE"/>
    <w:rsid w:val="007B05BD"/>
    <w:rsid w:val="007B31A5"/>
    <w:rsid w:val="007B3327"/>
    <w:rsid w:val="007B3533"/>
    <w:rsid w:val="007B4996"/>
    <w:rsid w:val="007B6926"/>
    <w:rsid w:val="007B6FA3"/>
    <w:rsid w:val="007B705D"/>
    <w:rsid w:val="007C4F42"/>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13B9"/>
    <w:rsid w:val="00832164"/>
    <w:rsid w:val="00832F53"/>
    <w:rsid w:val="00834003"/>
    <w:rsid w:val="0083455F"/>
    <w:rsid w:val="00834EA0"/>
    <w:rsid w:val="00843042"/>
    <w:rsid w:val="00843C37"/>
    <w:rsid w:val="00844886"/>
    <w:rsid w:val="00844C2D"/>
    <w:rsid w:val="00846518"/>
    <w:rsid w:val="00846D68"/>
    <w:rsid w:val="00850ED6"/>
    <w:rsid w:val="008518E5"/>
    <w:rsid w:val="00852B15"/>
    <w:rsid w:val="00855C6F"/>
    <w:rsid w:val="00856135"/>
    <w:rsid w:val="00857A96"/>
    <w:rsid w:val="00861FE5"/>
    <w:rsid w:val="0086376D"/>
    <w:rsid w:val="00864E03"/>
    <w:rsid w:val="008703C2"/>
    <w:rsid w:val="0087209F"/>
    <w:rsid w:val="008806CC"/>
    <w:rsid w:val="008849E6"/>
    <w:rsid w:val="0088513E"/>
    <w:rsid w:val="00886300"/>
    <w:rsid w:val="0089099F"/>
    <w:rsid w:val="00890AAF"/>
    <w:rsid w:val="00892F7A"/>
    <w:rsid w:val="00893127"/>
    <w:rsid w:val="00893E84"/>
    <w:rsid w:val="00894CEB"/>
    <w:rsid w:val="00896A62"/>
    <w:rsid w:val="00897B88"/>
    <w:rsid w:val="008A113D"/>
    <w:rsid w:val="008A678B"/>
    <w:rsid w:val="008B0034"/>
    <w:rsid w:val="008B0702"/>
    <w:rsid w:val="008B2397"/>
    <w:rsid w:val="008B300F"/>
    <w:rsid w:val="008B33B5"/>
    <w:rsid w:val="008B3CD6"/>
    <w:rsid w:val="008B6003"/>
    <w:rsid w:val="008B691D"/>
    <w:rsid w:val="008C4D11"/>
    <w:rsid w:val="008C4DD9"/>
    <w:rsid w:val="008D54FA"/>
    <w:rsid w:val="008D5C05"/>
    <w:rsid w:val="008D6490"/>
    <w:rsid w:val="008D6FFD"/>
    <w:rsid w:val="008E1191"/>
    <w:rsid w:val="008E342E"/>
    <w:rsid w:val="008E4D9C"/>
    <w:rsid w:val="008E566D"/>
    <w:rsid w:val="008E588C"/>
    <w:rsid w:val="008F52D9"/>
    <w:rsid w:val="008F6BC6"/>
    <w:rsid w:val="009002B5"/>
    <w:rsid w:val="00902B4C"/>
    <w:rsid w:val="00903FC5"/>
    <w:rsid w:val="0090403F"/>
    <w:rsid w:val="009071FF"/>
    <w:rsid w:val="009076ED"/>
    <w:rsid w:val="009108DB"/>
    <w:rsid w:val="009112EB"/>
    <w:rsid w:val="00913191"/>
    <w:rsid w:val="009131F2"/>
    <w:rsid w:val="00916431"/>
    <w:rsid w:val="00917DB7"/>
    <w:rsid w:val="00917DBE"/>
    <w:rsid w:val="0092605A"/>
    <w:rsid w:val="0092689A"/>
    <w:rsid w:val="0093228E"/>
    <w:rsid w:val="009325E1"/>
    <w:rsid w:val="00933602"/>
    <w:rsid w:val="009338B2"/>
    <w:rsid w:val="009351EF"/>
    <w:rsid w:val="0093698F"/>
    <w:rsid w:val="00940914"/>
    <w:rsid w:val="009409E8"/>
    <w:rsid w:val="009419C7"/>
    <w:rsid w:val="00942250"/>
    <w:rsid w:val="00942706"/>
    <w:rsid w:val="00942E51"/>
    <w:rsid w:val="00944FBB"/>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8745A"/>
    <w:rsid w:val="00991483"/>
    <w:rsid w:val="0099296D"/>
    <w:rsid w:val="009935AA"/>
    <w:rsid w:val="00993F94"/>
    <w:rsid w:val="009951B2"/>
    <w:rsid w:val="009A039C"/>
    <w:rsid w:val="009A2859"/>
    <w:rsid w:val="009A4E90"/>
    <w:rsid w:val="009A50B8"/>
    <w:rsid w:val="009A737B"/>
    <w:rsid w:val="009B048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25DA"/>
    <w:rsid w:val="009F2E8D"/>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0FCC"/>
    <w:rsid w:val="00A422CD"/>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3ACE"/>
    <w:rsid w:val="00A75807"/>
    <w:rsid w:val="00A77913"/>
    <w:rsid w:val="00A8209D"/>
    <w:rsid w:val="00A82740"/>
    <w:rsid w:val="00A860C9"/>
    <w:rsid w:val="00A9137F"/>
    <w:rsid w:val="00A9483B"/>
    <w:rsid w:val="00A94F2C"/>
    <w:rsid w:val="00A972E1"/>
    <w:rsid w:val="00AA3F8C"/>
    <w:rsid w:val="00AA4D4F"/>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3261"/>
    <w:rsid w:val="00AD560B"/>
    <w:rsid w:val="00AD5BBB"/>
    <w:rsid w:val="00AE02B5"/>
    <w:rsid w:val="00AE0494"/>
    <w:rsid w:val="00AE0B28"/>
    <w:rsid w:val="00AE0C8D"/>
    <w:rsid w:val="00AE0D50"/>
    <w:rsid w:val="00AE1947"/>
    <w:rsid w:val="00AE242E"/>
    <w:rsid w:val="00AE26A5"/>
    <w:rsid w:val="00AE2D8E"/>
    <w:rsid w:val="00AE4C9F"/>
    <w:rsid w:val="00AE7A40"/>
    <w:rsid w:val="00AE7EF9"/>
    <w:rsid w:val="00AF13FC"/>
    <w:rsid w:val="00AF4A88"/>
    <w:rsid w:val="00AF60FC"/>
    <w:rsid w:val="00AF619D"/>
    <w:rsid w:val="00B01A75"/>
    <w:rsid w:val="00B02D39"/>
    <w:rsid w:val="00B03711"/>
    <w:rsid w:val="00B03B6B"/>
    <w:rsid w:val="00B04CC3"/>
    <w:rsid w:val="00B17DE2"/>
    <w:rsid w:val="00B2096A"/>
    <w:rsid w:val="00B20E8D"/>
    <w:rsid w:val="00B24AFF"/>
    <w:rsid w:val="00B27482"/>
    <w:rsid w:val="00B3224D"/>
    <w:rsid w:val="00B32541"/>
    <w:rsid w:val="00B3267F"/>
    <w:rsid w:val="00B35F87"/>
    <w:rsid w:val="00B37705"/>
    <w:rsid w:val="00B379DA"/>
    <w:rsid w:val="00B37A67"/>
    <w:rsid w:val="00B41203"/>
    <w:rsid w:val="00B41500"/>
    <w:rsid w:val="00B4193A"/>
    <w:rsid w:val="00B5297F"/>
    <w:rsid w:val="00B52E16"/>
    <w:rsid w:val="00B53812"/>
    <w:rsid w:val="00B53C36"/>
    <w:rsid w:val="00B623DA"/>
    <w:rsid w:val="00B62736"/>
    <w:rsid w:val="00B62A71"/>
    <w:rsid w:val="00B62EF9"/>
    <w:rsid w:val="00B630C6"/>
    <w:rsid w:val="00B65DC0"/>
    <w:rsid w:val="00B67C2D"/>
    <w:rsid w:val="00B67CD9"/>
    <w:rsid w:val="00B70B7B"/>
    <w:rsid w:val="00B70D91"/>
    <w:rsid w:val="00B72FA0"/>
    <w:rsid w:val="00B73209"/>
    <w:rsid w:val="00B74B0B"/>
    <w:rsid w:val="00B7708B"/>
    <w:rsid w:val="00B7721B"/>
    <w:rsid w:val="00B80E25"/>
    <w:rsid w:val="00B8347E"/>
    <w:rsid w:val="00B84B4A"/>
    <w:rsid w:val="00B8589C"/>
    <w:rsid w:val="00B86BAC"/>
    <w:rsid w:val="00B97110"/>
    <w:rsid w:val="00B97B35"/>
    <w:rsid w:val="00BA3196"/>
    <w:rsid w:val="00BA3509"/>
    <w:rsid w:val="00BA5877"/>
    <w:rsid w:val="00BB124C"/>
    <w:rsid w:val="00BB17E3"/>
    <w:rsid w:val="00BB1CDB"/>
    <w:rsid w:val="00BB2110"/>
    <w:rsid w:val="00BB3645"/>
    <w:rsid w:val="00BB547E"/>
    <w:rsid w:val="00BB69B7"/>
    <w:rsid w:val="00BC2581"/>
    <w:rsid w:val="00BC26CB"/>
    <w:rsid w:val="00BC3F55"/>
    <w:rsid w:val="00BC481A"/>
    <w:rsid w:val="00BC4D26"/>
    <w:rsid w:val="00BC555D"/>
    <w:rsid w:val="00BC658E"/>
    <w:rsid w:val="00BC714F"/>
    <w:rsid w:val="00BD0218"/>
    <w:rsid w:val="00BD0C4C"/>
    <w:rsid w:val="00BD1869"/>
    <w:rsid w:val="00BD200B"/>
    <w:rsid w:val="00BD52A2"/>
    <w:rsid w:val="00BD63DF"/>
    <w:rsid w:val="00BD64D4"/>
    <w:rsid w:val="00BD7C4B"/>
    <w:rsid w:val="00BE33E8"/>
    <w:rsid w:val="00BE442F"/>
    <w:rsid w:val="00BF2BEB"/>
    <w:rsid w:val="00BF3197"/>
    <w:rsid w:val="00BF5E23"/>
    <w:rsid w:val="00BF6AD1"/>
    <w:rsid w:val="00C00AFB"/>
    <w:rsid w:val="00C01DB8"/>
    <w:rsid w:val="00C0300F"/>
    <w:rsid w:val="00C04C13"/>
    <w:rsid w:val="00C04D0E"/>
    <w:rsid w:val="00C0523E"/>
    <w:rsid w:val="00C06C3C"/>
    <w:rsid w:val="00C0751C"/>
    <w:rsid w:val="00C07D81"/>
    <w:rsid w:val="00C07F14"/>
    <w:rsid w:val="00C10FE5"/>
    <w:rsid w:val="00C11247"/>
    <w:rsid w:val="00C11B64"/>
    <w:rsid w:val="00C1218B"/>
    <w:rsid w:val="00C12B6B"/>
    <w:rsid w:val="00C135F1"/>
    <w:rsid w:val="00C140D0"/>
    <w:rsid w:val="00C1456B"/>
    <w:rsid w:val="00C14775"/>
    <w:rsid w:val="00C150A5"/>
    <w:rsid w:val="00C22B21"/>
    <w:rsid w:val="00C23593"/>
    <w:rsid w:val="00C23845"/>
    <w:rsid w:val="00C31846"/>
    <w:rsid w:val="00C32A33"/>
    <w:rsid w:val="00C367FB"/>
    <w:rsid w:val="00C375DC"/>
    <w:rsid w:val="00C37A18"/>
    <w:rsid w:val="00C41389"/>
    <w:rsid w:val="00C41BB7"/>
    <w:rsid w:val="00C42379"/>
    <w:rsid w:val="00C44004"/>
    <w:rsid w:val="00C445F4"/>
    <w:rsid w:val="00C526CE"/>
    <w:rsid w:val="00C53A59"/>
    <w:rsid w:val="00C54DF3"/>
    <w:rsid w:val="00C610B6"/>
    <w:rsid w:val="00C6257F"/>
    <w:rsid w:val="00C63117"/>
    <w:rsid w:val="00C640C7"/>
    <w:rsid w:val="00C64DE0"/>
    <w:rsid w:val="00C64E3D"/>
    <w:rsid w:val="00C65784"/>
    <w:rsid w:val="00C67BDD"/>
    <w:rsid w:val="00C70F24"/>
    <w:rsid w:val="00C717F6"/>
    <w:rsid w:val="00C72FD7"/>
    <w:rsid w:val="00C8155C"/>
    <w:rsid w:val="00C838FE"/>
    <w:rsid w:val="00C907F0"/>
    <w:rsid w:val="00C93A91"/>
    <w:rsid w:val="00C95601"/>
    <w:rsid w:val="00CA1947"/>
    <w:rsid w:val="00CA1C91"/>
    <w:rsid w:val="00CA323D"/>
    <w:rsid w:val="00CA54A0"/>
    <w:rsid w:val="00CB5326"/>
    <w:rsid w:val="00CB5515"/>
    <w:rsid w:val="00CB728D"/>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0CAE"/>
    <w:rsid w:val="00CF41D0"/>
    <w:rsid w:val="00D00CF9"/>
    <w:rsid w:val="00D012FF"/>
    <w:rsid w:val="00D04245"/>
    <w:rsid w:val="00D04CD8"/>
    <w:rsid w:val="00D04DEC"/>
    <w:rsid w:val="00D114ED"/>
    <w:rsid w:val="00D1261E"/>
    <w:rsid w:val="00D13F32"/>
    <w:rsid w:val="00D14B5E"/>
    <w:rsid w:val="00D1685E"/>
    <w:rsid w:val="00D171BA"/>
    <w:rsid w:val="00D25B74"/>
    <w:rsid w:val="00D25CA1"/>
    <w:rsid w:val="00D26D46"/>
    <w:rsid w:val="00D31474"/>
    <w:rsid w:val="00D32933"/>
    <w:rsid w:val="00D3579F"/>
    <w:rsid w:val="00D36B62"/>
    <w:rsid w:val="00D37BF5"/>
    <w:rsid w:val="00D421A7"/>
    <w:rsid w:val="00D42987"/>
    <w:rsid w:val="00D42C18"/>
    <w:rsid w:val="00D43F5E"/>
    <w:rsid w:val="00D44623"/>
    <w:rsid w:val="00D47CF6"/>
    <w:rsid w:val="00D50820"/>
    <w:rsid w:val="00D511C3"/>
    <w:rsid w:val="00D5313C"/>
    <w:rsid w:val="00D5481D"/>
    <w:rsid w:val="00D55B2D"/>
    <w:rsid w:val="00D60045"/>
    <w:rsid w:val="00D628AE"/>
    <w:rsid w:val="00D647C9"/>
    <w:rsid w:val="00D6632B"/>
    <w:rsid w:val="00D67995"/>
    <w:rsid w:val="00D7163F"/>
    <w:rsid w:val="00D7298C"/>
    <w:rsid w:val="00D73998"/>
    <w:rsid w:val="00D75369"/>
    <w:rsid w:val="00D76FD9"/>
    <w:rsid w:val="00D77E18"/>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56F5"/>
    <w:rsid w:val="00DA5B1C"/>
    <w:rsid w:val="00DA630F"/>
    <w:rsid w:val="00DA6A38"/>
    <w:rsid w:val="00DA6B30"/>
    <w:rsid w:val="00DA7040"/>
    <w:rsid w:val="00DA73BC"/>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3C79"/>
    <w:rsid w:val="00DF5529"/>
    <w:rsid w:val="00DF6DE8"/>
    <w:rsid w:val="00DF6FB0"/>
    <w:rsid w:val="00DF76B3"/>
    <w:rsid w:val="00DF76F2"/>
    <w:rsid w:val="00E00083"/>
    <w:rsid w:val="00E009E2"/>
    <w:rsid w:val="00E01DE7"/>
    <w:rsid w:val="00E0411F"/>
    <w:rsid w:val="00E0572E"/>
    <w:rsid w:val="00E10005"/>
    <w:rsid w:val="00E11A4C"/>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6F31"/>
    <w:rsid w:val="00E47307"/>
    <w:rsid w:val="00E47601"/>
    <w:rsid w:val="00E50DB1"/>
    <w:rsid w:val="00E51053"/>
    <w:rsid w:val="00E51A6B"/>
    <w:rsid w:val="00E51A9F"/>
    <w:rsid w:val="00E52CA8"/>
    <w:rsid w:val="00E550CE"/>
    <w:rsid w:val="00E60B86"/>
    <w:rsid w:val="00E6108D"/>
    <w:rsid w:val="00E62E45"/>
    <w:rsid w:val="00E62F7D"/>
    <w:rsid w:val="00E66521"/>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986"/>
    <w:rsid w:val="00EA5F4C"/>
    <w:rsid w:val="00EA6109"/>
    <w:rsid w:val="00EB2688"/>
    <w:rsid w:val="00EB6181"/>
    <w:rsid w:val="00EB664F"/>
    <w:rsid w:val="00EB7E37"/>
    <w:rsid w:val="00EC12E8"/>
    <w:rsid w:val="00EC1357"/>
    <w:rsid w:val="00EC5ACF"/>
    <w:rsid w:val="00ED22A8"/>
    <w:rsid w:val="00ED2479"/>
    <w:rsid w:val="00ED4EB4"/>
    <w:rsid w:val="00ED5D09"/>
    <w:rsid w:val="00ED6EA7"/>
    <w:rsid w:val="00ED7107"/>
    <w:rsid w:val="00EE2221"/>
    <w:rsid w:val="00EE276F"/>
    <w:rsid w:val="00EE2982"/>
    <w:rsid w:val="00EE634F"/>
    <w:rsid w:val="00EE7237"/>
    <w:rsid w:val="00EF369D"/>
    <w:rsid w:val="00EF38A7"/>
    <w:rsid w:val="00EF6A39"/>
    <w:rsid w:val="00F00B38"/>
    <w:rsid w:val="00F0162A"/>
    <w:rsid w:val="00F0376E"/>
    <w:rsid w:val="00F044B3"/>
    <w:rsid w:val="00F05E83"/>
    <w:rsid w:val="00F07DC4"/>
    <w:rsid w:val="00F07E05"/>
    <w:rsid w:val="00F10842"/>
    <w:rsid w:val="00F13C42"/>
    <w:rsid w:val="00F161F7"/>
    <w:rsid w:val="00F206E8"/>
    <w:rsid w:val="00F21755"/>
    <w:rsid w:val="00F21F2E"/>
    <w:rsid w:val="00F2309F"/>
    <w:rsid w:val="00F23947"/>
    <w:rsid w:val="00F23B61"/>
    <w:rsid w:val="00F25CAC"/>
    <w:rsid w:val="00F276F1"/>
    <w:rsid w:val="00F32680"/>
    <w:rsid w:val="00F33A66"/>
    <w:rsid w:val="00F34368"/>
    <w:rsid w:val="00F34E5A"/>
    <w:rsid w:val="00F35452"/>
    <w:rsid w:val="00F45532"/>
    <w:rsid w:val="00F45ED2"/>
    <w:rsid w:val="00F53C4F"/>
    <w:rsid w:val="00F56A51"/>
    <w:rsid w:val="00F60760"/>
    <w:rsid w:val="00F61899"/>
    <w:rsid w:val="00F66CD4"/>
    <w:rsid w:val="00F66E01"/>
    <w:rsid w:val="00F67D78"/>
    <w:rsid w:val="00F7129A"/>
    <w:rsid w:val="00F7180D"/>
    <w:rsid w:val="00F727A7"/>
    <w:rsid w:val="00F729D7"/>
    <w:rsid w:val="00F73B96"/>
    <w:rsid w:val="00F774CD"/>
    <w:rsid w:val="00F80F59"/>
    <w:rsid w:val="00F82E69"/>
    <w:rsid w:val="00F8414D"/>
    <w:rsid w:val="00F84181"/>
    <w:rsid w:val="00F84C5D"/>
    <w:rsid w:val="00F86271"/>
    <w:rsid w:val="00F87176"/>
    <w:rsid w:val="00F87303"/>
    <w:rsid w:val="00F90051"/>
    <w:rsid w:val="00F91287"/>
    <w:rsid w:val="00F917FA"/>
    <w:rsid w:val="00F91B28"/>
    <w:rsid w:val="00F91DA0"/>
    <w:rsid w:val="00F9306F"/>
    <w:rsid w:val="00F94B4E"/>
    <w:rsid w:val="00F978B7"/>
    <w:rsid w:val="00FA2FCD"/>
    <w:rsid w:val="00FA3FA8"/>
    <w:rsid w:val="00FA4718"/>
    <w:rsid w:val="00FA6E64"/>
    <w:rsid w:val="00FB05DD"/>
    <w:rsid w:val="00FB1DCD"/>
    <w:rsid w:val="00FB2F0E"/>
    <w:rsid w:val="00FB31CC"/>
    <w:rsid w:val="00FB6731"/>
    <w:rsid w:val="00FB7CCD"/>
    <w:rsid w:val="00FC05EE"/>
    <w:rsid w:val="00FC2EC6"/>
    <w:rsid w:val="00FC339A"/>
    <w:rsid w:val="00FC36E0"/>
    <w:rsid w:val="00FC546F"/>
    <w:rsid w:val="00FC6F5E"/>
    <w:rsid w:val="00FC711A"/>
    <w:rsid w:val="00FC7D31"/>
    <w:rsid w:val="00FD13AC"/>
    <w:rsid w:val="00FD2D28"/>
    <w:rsid w:val="00FD6BFE"/>
    <w:rsid w:val="00FE3FF3"/>
    <w:rsid w:val="00FE6D8B"/>
    <w:rsid w:val="00FF0179"/>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301F3"/>
  <w15:docId w15:val="{35D81F48-0112-49C1-88EB-730CFBE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21"/>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7172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170</Pages>
  <Words>17656</Words>
  <Characters>100643</Characters>
  <Application>Microsoft Office Word</Application>
  <DocSecurity>0</DocSecurity>
  <Lines>838</Lines>
  <Paragraphs>236</Paragraphs>
  <ScaleCrop>false</ScaleCrop>
  <Company>Microsoft</Company>
  <LinksUpToDate>false</LinksUpToDate>
  <CharactersWithSpaces>118063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10</cp:revision>
  <cp:lastPrinted>2013-02-18T03:10:00Z</cp:lastPrinted>
  <dcterms:created xsi:type="dcterms:W3CDTF">2024-09-10T05:54:00Z</dcterms:created>
  <dcterms:modified xsi:type="dcterms:W3CDTF">2024-09-10T07:47:00Z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