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CF8C" w14:textId="77777777" w:rsidR="005F4223" w:rsidRPr="00EB07BC" w:rsidRDefault="005F4223">
      <w:pPr>
        <w:rPr>
          <w:sz w:val="32"/>
        </w:rPr>
      </w:pPr>
      <w:bookmarkStart w:id="0" w:name="_top"/>
      <w:bookmarkEnd w:id="0"/>
    </w:p>
    <w:p w14:paraId="6B49F02B" w14:textId="77777777" w:rsidR="005F4223" w:rsidRPr="00EB07BC" w:rsidRDefault="005F4223">
      <w:pPr>
        <w:rPr>
          <w:sz w:val="32"/>
        </w:rPr>
      </w:pPr>
    </w:p>
    <w:p w14:paraId="0E8F9850" w14:textId="77777777" w:rsidR="005F4223" w:rsidRPr="00EB07BC" w:rsidRDefault="005F4223">
      <w:pPr>
        <w:rPr>
          <w:sz w:val="32"/>
        </w:rPr>
      </w:pPr>
    </w:p>
    <w:p w14:paraId="35D2DDC0" w14:textId="50256D95" w:rsidR="005F4223" w:rsidRPr="00EB07BC" w:rsidRDefault="00480A0F">
      <w:pPr>
        <w:jc w:val="center"/>
        <w:rPr>
          <w:sz w:val="32"/>
        </w:rPr>
      </w:pPr>
      <w:r>
        <w:rPr>
          <w:noProof/>
        </w:rPr>
        <w:drawing>
          <wp:inline distT="0" distB="0" distL="0" distR="0" wp14:anchorId="4D3C9E32" wp14:editId="31A98A25">
            <wp:extent cx="4347210" cy="569595"/>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7210" cy="569595"/>
                    </a:xfrm>
                    <a:prstGeom prst="rect">
                      <a:avLst/>
                    </a:prstGeom>
                    <a:noFill/>
                    <a:ln>
                      <a:noFill/>
                    </a:ln>
                  </pic:spPr>
                </pic:pic>
              </a:graphicData>
            </a:graphic>
          </wp:inline>
        </w:drawing>
      </w:r>
    </w:p>
    <w:p w14:paraId="7591DA6D" w14:textId="77777777" w:rsidR="00EC1998" w:rsidRDefault="00EC199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77572F8" w14:textId="77777777" w:rsidR="00EC1998" w:rsidRDefault="00EC199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FC8792B" w14:textId="77777777" w:rsidR="00EC1998" w:rsidRDefault="0054105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交银施罗德裕通纯债债券型证券投资基金</w:t>
      </w:r>
    </w:p>
    <w:p w14:paraId="78DD682B" w14:textId="3D80265E" w:rsidR="00EC1998" w:rsidRDefault="006B6771">
      <w:pPr>
        <w:autoSpaceDE w:val="0"/>
        <w:autoSpaceDN w:val="0"/>
        <w:adjustRightInd w:val="0"/>
        <w:snapToGrid w:val="0"/>
        <w:spacing w:before="63" w:line="360" w:lineRule="auto"/>
        <w:ind w:rightChars="6" w:right="13"/>
        <w:jc w:val="center"/>
        <w:rPr>
          <w:rFonts w:ascii="宋体" w:hAnsi="宋体"/>
          <w:b/>
          <w:kern w:val="0"/>
          <w:sz w:val="44"/>
          <w:szCs w:val="44"/>
        </w:rPr>
      </w:pPr>
      <w:r w:rsidRPr="00E1102C" w:rsidDel="006B6771">
        <w:rPr>
          <w:rFonts w:ascii="宋体" w:hAnsi="宋体" w:hint="eastAsia"/>
          <w:b/>
          <w:spacing w:val="2"/>
          <w:w w:val="99"/>
          <w:kern w:val="0"/>
          <w:sz w:val="44"/>
          <w:szCs w:val="44"/>
        </w:rPr>
        <w:t xml:space="preserve"> </w:t>
      </w:r>
      <w:r w:rsidR="00E1102C" w:rsidRPr="00E1102C" w:rsidDel="006C6BC7">
        <w:rPr>
          <w:rFonts w:ascii="宋体" w:hAnsi="宋体"/>
          <w:b/>
          <w:spacing w:val="2"/>
          <w:w w:val="99"/>
          <w:kern w:val="0"/>
          <w:sz w:val="44"/>
          <w:szCs w:val="44"/>
        </w:rPr>
        <w:t xml:space="preserve"> </w:t>
      </w:r>
      <w:r w:rsidR="0054105E">
        <w:rPr>
          <w:rFonts w:ascii="宋体" w:hAnsi="宋体"/>
          <w:b/>
          <w:spacing w:val="2"/>
          <w:w w:val="99"/>
          <w:kern w:val="0"/>
          <w:sz w:val="44"/>
          <w:szCs w:val="44"/>
        </w:rPr>
        <w:t>招募说明书</w:t>
      </w:r>
      <w:r w:rsidRPr="00E1102C">
        <w:rPr>
          <w:rFonts w:ascii="宋体" w:hAnsi="宋体" w:hint="eastAsia"/>
          <w:b/>
          <w:spacing w:val="2"/>
          <w:w w:val="99"/>
          <w:kern w:val="0"/>
          <w:sz w:val="44"/>
          <w:szCs w:val="44"/>
        </w:rPr>
        <w:t>(更新)</w:t>
      </w:r>
      <w:r w:rsidDel="00E1102C">
        <w:rPr>
          <w:rFonts w:ascii="宋体" w:hAnsi="宋体"/>
          <w:b/>
          <w:spacing w:val="2"/>
          <w:w w:val="99"/>
          <w:kern w:val="0"/>
          <w:sz w:val="44"/>
          <w:szCs w:val="44"/>
        </w:rPr>
        <w:t xml:space="preserve"> </w:t>
      </w:r>
    </w:p>
    <w:p w14:paraId="47F76185"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8650321"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63604B2"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15EF64E"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31BFFC7"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4304F6F"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C641C82" w14:textId="77777777" w:rsidR="00EC1998" w:rsidRDefault="0054105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77A67021" w14:textId="77777777" w:rsidR="00EC1998" w:rsidRDefault="0054105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基金托管人：兴业银行股份有限公司</w:t>
      </w:r>
    </w:p>
    <w:p w14:paraId="47289813"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B5EF4EE" w14:textId="77777777" w:rsidR="00EC1998"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4E73B1C" w14:textId="5CEA4358" w:rsidR="00EC1998" w:rsidRDefault="004B31CF">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326461">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35D36356" w14:textId="77777777" w:rsidR="00EC1998" w:rsidRDefault="00EC1998">
      <w:pPr>
        <w:autoSpaceDE w:val="0"/>
        <w:autoSpaceDN w:val="0"/>
        <w:adjustRightInd w:val="0"/>
        <w:snapToGrid w:val="0"/>
        <w:spacing w:line="360" w:lineRule="auto"/>
        <w:ind w:left="1347" w:rightChars="6" w:right="13"/>
        <w:rPr>
          <w:rFonts w:ascii="宋体" w:hAnsi="宋体"/>
          <w:kern w:val="0"/>
          <w:sz w:val="32"/>
          <w:szCs w:val="32"/>
        </w:rPr>
        <w:sectPr w:rsidR="00EC1998">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09969CA2" w14:textId="77777777" w:rsidR="00EC1998" w:rsidRDefault="0054105E">
      <w:pPr>
        <w:pStyle w:val="1"/>
        <w:snapToGrid w:val="0"/>
        <w:spacing w:beforeLines="0" w:before="240" w:after="240"/>
        <w:rPr>
          <w:rFonts w:ascii="宋体" w:hAnsi="宋体"/>
          <w:kern w:val="0"/>
        </w:rPr>
      </w:pPr>
      <w:bookmarkStart w:id="1" w:name="_Toc324920538"/>
      <w:bookmarkStart w:id="2" w:name="_Toc496884613"/>
      <w:bookmarkStart w:id="3" w:name="_Toc154650793"/>
      <w:r>
        <w:rPr>
          <w:rFonts w:ascii="Times New Roman" w:hAnsi="Times New Roman"/>
          <w:kern w:val="0"/>
        </w:rPr>
        <w:lastRenderedPageBreak/>
        <w:t>重要提示</w:t>
      </w:r>
      <w:bookmarkEnd w:id="1"/>
      <w:bookmarkEnd w:id="2"/>
      <w:bookmarkEnd w:id="3"/>
    </w:p>
    <w:p w14:paraId="7203A3C7"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交银施罗德裕通纯债债券型证券投资基金（以下简称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2792</w:t>
      </w:r>
      <w:r>
        <w:rPr>
          <w:rFonts w:ascii="Times New Roman" w:hAnsi="Times New Roman"/>
          <w:kern w:val="0"/>
          <w:sz w:val="24"/>
        </w:rPr>
        <w:t>号文准予募集注册。本基金基金合同于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14:paraId="10AEFA96"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23D0188C"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14A745A"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本基金特有的其他风险等等。</w:t>
      </w:r>
    </w:p>
    <w:p w14:paraId="205E4ABB"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C65BDF3"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本基金是一只债券型基金，其风险与预期收益高于货币市场基金，低于混合型基金和股票型基金，属于证券投资基金中中等风险的品种。</w:t>
      </w:r>
    </w:p>
    <w:p w14:paraId="46350CB3" w14:textId="77777777" w:rsidR="00EC1998" w:rsidRDefault="0054105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w:t>
      </w:r>
      <w:r>
        <w:rPr>
          <w:rFonts w:ascii="Times New Roman" w:hAnsi="Times New Roman"/>
          <w:kern w:val="0"/>
          <w:sz w:val="24"/>
        </w:rPr>
        <w:lastRenderedPageBreak/>
        <w:t>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C350318" w14:textId="2AA9110B" w:rsidR="00EC1998" w:rsidRDefault="00A738D5">
      <w:pPr>
        <w:autoSpaceDE w:val="0"/>
        <w:autoSpaceDN w:val="0"/>
        <w:adjustRightInd w:val="0"/>
        <w:snapToGrid w:val="0"/>
        <w:spacing w:line="360" w:lineRule="auto"/>
        <w:ind w:leftChars="50" w:left="105" w:firstLineChars="200" w:firstLine="480"/>
        <w:rPr>
          <w:rFonts w:ascii="宋体" w:hAnsi="宋体"/>
          <w:kern w:val="0"/>
          <w:sz w:val="24"/>
        </w:rPr>
      </w:pPr>
      <w:r w:rsidRPr="00156651">
        <w:rPr>
          <w:rFonts w:ascii="Times New Roman" w:hAnsi="Times New Roman" w:hint="eastAsia"/>
          <w:kern w:val="0"/>
          <w:sz w:val="24"/>
        </w:rPr>
        <w:t>本次更新招募说明书主要对本基金增设</w:t>
      </w:r>
      <w:r>
        <w:rPr>
          <w:rFonts w:ascii="Times New Roman" w:hAnsi="Times New Roman"/>
          <w:kern w:val="0"/>
          <w:sz w:val="24"/>
        </w:rPr>
        <w:t>D</w:t>
      </w:r>
      <w:r w:rsidRPr="00156651">
        <w:rPr>
          <w:rFonts w:ascii="Times New Roman" w:hAnsi="Times New Roman" w:hint="eastAsia"/>
          <w:kern w:val="0"/>
          <w:sz w:val="24"/>
        </w:rPr>
        <w:t>类基金份额</w:t>
      </w:r>
      <w:r>
        <w:rPr>
          <w:rFonts w:ascii="Times New Roman" w:hAnsi="Times New Roman" w:hint="eastAsia"/>
          <w:kern w:val="0"/>
          <w:sz w:val="24"/>
        </w:rPr>
        <w:t>的</w:t>
      </w:r>
      <w:r w:rsidRPr="00156651">
        <w:rPr>
          <w:rFonts w:ascii="Times New Roman" w:hAnsi="Times New Roman" w:hint="eastAsia"/>
          <w:kern w:val="0"/>
          <w:sz w:val="24"/>
        </w:rPr>
        <w:t>相关信息</w:t>
      </w:r>
      <w:r w:rsidR="00E1102C">
        <w:rPr>
          <w:rFonts w:ascii="Times New Roman" w:hAnsi="Times New Roman" w:hint="eastAsia"/>
          <w:kern w:val="0"/>
          <w:sz w:val="24"/>
        </w:rPr>
        <w:t>、基金管理人章节主要成员情况</w:t>
      </w:r>
      <w:r w:rsidRPr="00156651">
        <w:rPr>
          <w:rFonts w:ascii="Times New Roman" w:hAnsi="Times New Roman" w:hint="eastAsia"/>
          <w:kern w:val="0"/>
          <w:sz w:val="24"/>
        </w:rPr>
        <w:t>进行更新，前述内容更新截止日为</w:t>
      </w:r>
      <w:r>
        <w:rPr>
          <w:rFonts w:ascii="Times New Roman" w:hAnsi="Times New Roman" w:hint="eastAsia"/>
          <w:kern w:val="0"/>
          <w:sz w:val="24"/>
        </w:rPr>
        <w:t>20</w:t>
      </w:r>
      <w:r>
        <w:rPr>
          <w:rFonts w:ascii="Times New Roman" w:hAnsi="Times New Roman"/>
          <w:kern w:val="0"/>
          <w:sz w:val="24"/>
        </w:rPr>
        <w:t>24</w:t>
      </w:r>
      <w:r w:rsidRPr="00156651">
        <w:rPr>
          <w:rFonts w:ascii="Times New Roman" w:hAnsi="Times New Roman" w:hint="eastAsia"/>
          <w:kern w:val="0"/>
          <w:sz w:val="24"/>
        </w:rPr>
        <w:t>年</w:t>
      </w:r>
      <w:r w:rsidR="00326461">
        <w:rPr>
          <w:rFonts w:ascii="Times New Roman" w:hAnsi="Times New Roman" w:hint="eastAsia"/>
          <w:kern w:val="0"/>
          <w:sz w:val="24"/>
        </w:rPr>
        <w:t>0</w:t>
      </w:r>
      <w:r w:rsidR="00326461">
        <w:rPr>
          <w:rFonts w:ascii="Times New Roman" w:hAnsi="Times New Roman"/>
          <w:kern w:val="0"/>
          <w:sz w:val="24"/>
        </w:rPr>
        <w:t>9</w:t>
      </w:r>
      <w:r w:rsidRPr="00156651">
        <w:rPr>
          <w:rFonts w:ascii="Times New Roman" w:hAnsi="Times New Roman" w:hint="eastAsia"/>
          <w:kern w:val="0"/>
          <w:sz w:val="24"/>
        </w:rPr>
        <w:t>月</w:t>
      </w:r>
      <w:r w:rsidR="00326461">
        <w:rPr>
          <w:rFonts w:ascii="Times New Roman" w:hAnsi="Times New Roman" w:hint="eastAsia"/>
          <w:kern w:val="0"/>
          <w:sz w:val="24"/>
        </w:rPr>
        <w:t>0</w:t>
      </w:r>
      <w:r w:rsidR="00447CBC">
        <w:rPr>
          <w:rFonts w:ascii="Times New Roman" w:hAnsi="Times New Roman"/>
          <w:kern w:val="0"/>
          <w:sz w:val="24"/>
        </w:rPr>
        <w:t>5</w:t>
      </w:r>
      <w:r w:rsidRPr="00156651">
        <w:rPr>
          <w:rFonts w:ascii="Times New Roman" w:hAnsi="Times New Roman" w:hint="eastAsia"/>
          <w:kern w:val="0"/>
          <w:sz w:val="24"/>
        </w:rPr>
        <w:t>日</w:t>
      </w:r>
      <w:r>
        <w:rPr>
          <w:rFonts w:ascii="Times New Roman" w:hAnsi="Times New Roman" w:hint="eastAsia"/>
          <w:kern w:val="0"/>
          <w:sz w:val="24"/>
        </w:rPr>
        <w:t>，</w:t>
      </w:r>
      <w:r w:rsidRPr="00156651">
        <w:rPr>
          <w:rFonts w:ascii="Times New Roman" w:hAnsi="Times New Roman" w:hint="eastAsia"/>
          <w:kern w:val="0"/>
          <w:sz w:val="24"/>
        </w:rPr>
        <w:t>除非另有说明，</w:t>
      </w:r>
      <w:r w:rsidR="0054105E">
        <w:rPr>
          <w:rFonts w:ascii="Times New Roman" w:hAnsi="Times New Roman"/>
          <w:kern w:val="0"/>
          <w:sz w:val="24"/>
        </w:rPr>
        <w:t>本招募说明书</w:t>
      </w:r>
      <w:r>
        <w:rPr>
          <w:rFonts w:ascii="Times New Roman" w:hAnsi="Times New Roman" w:hint="eastAsia"/>
          <w:kern w:val="0"/>
          <w:sz w:val="24"/>
        </w:rPr>
        <w:t>其他</w:t>
      </w:r>
      <w:r w:rsidR="0054105E">
        <w:rPr>
          <w:rFonts w:ascii="Times New Roman" w:hAnsi="Times New Roman"/>
          <w:kern w:val="0"/>
          <w:sz w:val="24"/>
        </w:rPr>
        <w:t>所载内容截止日为</w:t>
      </w:r>
      <w:r w:rsidR="0054105E">
        <w:rPr>
          <w:rFonts w:ascii="Times New Roman" w:hAnsi="Times New Roman"/>
          <w:kern w:val="0"/>
          <w:sz w:val="24"/>
        </w:rPr>
        <w:t>2023</w:t>
      </w:r>
      <w:r w:rsidR="0054105E">
        <w:rPr>
          <w:rFonts w:ascii="Times New Roman" w:hAnsi="Times New Roman"/>
          <w:kern w:val="0"/>
          <w:sz w:val="24"/>
        </w:rPr>
        <w:t>年</w:t>
      </w:r>
      <w:r w:rsidR="0054105E">
        <w:rPr>
          <w:rFonts w:ascii="Times New Roman" w:hAnsi="Times New Roman"/>
          <w:kern w:val="0"/>
          <w:sz w:val="24"/>
        </w:rPr>
        <w:t>12</w:t>
      </w:r>
      <w:r w:rsidR="0054105E">
        <w:rPr>
          <w:rFonts w:ascii="Times New Roman" w:hAnsi="Times New Roman"/>
          <w:kern w:val="0"/>
          <w:sz w:val="24"/>
        </w:rPr>
        <w:t>月</w:t>
      </w:r>
      <w:r w:rsidR="0054105E">
        <w:rPr>
          <w:rFonts w:ascii="Times New Roman" w:hAnsi="Times New Roman"/>
          <w:kern w:val="0"/>
          <w:sz w:val="24"/>
        </w:rPr>
        <w:t>03</w:t>
      </w:r>
      <w:r w:rsidR="0054105E">
        <w:rPr>
          <w:rFonts w:ascii="Times New Roman" w:hAnsi="Times New Roman"/>
          <w:kern w:val="0"/>
          <w:sz w:val="24"/>
        </w:rPr>
        <w:t>日，有关财务数据和净值表现截止日为</w:t>
      </w:r>
      <w:r w:rsidR="0054105E">
        <w:rPr>
          <w:rFonts w:ascii="Times New Roman" w:hAnsi="Times New Roman"/>
          <w:kern w:val="0"/>
          <w:sz w:val="24"/>
        </w:rPr>
        <w:t>2023</w:t>
      </w:r>
      <w:r w:rsidR="0054105E">
        <w:rPr>
          <w:rFonts w:ascii="Times New Roman" w:hAnsi="Times New Roman"/>
          <w:kern w:val="0"/>
          <w:sz w:val="24"/>
        </w:rPr>
        <w:t>年</w:t>
      </w:r>
      <w:r w:rsidR="0054105E">
        <w:rPr>
          <w:rFonts w:ascii="Times New Roman" w:hAnsi="Times New Roman"/>
          <w:kern w:val="0"/>
          <w:sz w:val="24"/>
        </w:rPr>
        <w:t>09</w:t>
      </w:r>
      <w:r w:rsidR="0054105E">
        <w:rPr>
          <w:rFonts w:ascii="Times New Roman" w:hAnsi="Times New Roman"/>
          <w:kern w:val="0"/>
          <w:sz w:val="24"/>
        </w:rPr>
        <w:t>月</w:t>
      </w:r>
      <w:r w:rsidR="0054105E">
        <w:rPr>
          <w:rFonts w:ascii="Times New Roman" w:hAnsi="Times New Roman"/>
          <w:kern w:val="0"/>
          <w:sz w:val="24"/>
        </w:rPr>
        <w:t>30</w:t>
      </w:r>
      <w:r w:rsidR="0054105E">
        <w:rPr>
          <w:rFonts w:ascii="Times New Roman" w:hAnsi="Times New Roman"/>
          <w:kern w:val="0"/>
          <w:sz w:val="24"/>
        </w:rPr>
        <w:t>日。本招募说明书所载的财务数据未经审计。</w:t>
      </w:r>
    </w:p>
    <w:p w14:paraId="18C4A848" w14:textId="77777777" w:rsidR="00EC1998" w:rsidRDefault="00EC1998">
      <w:pPr>
        <w:autoSpaceDE w:val="0"/>
        <w:autoSpaceDN w:val="0"/>
        <w:adjustRightInd w:val="0"/>
        <w:snapToGrid w:val="0"/>
        <w:spacing w:before="51" w:line="360" w:lineRule="auto"/>
        <w:ind w:left="120" w:rightChars="6" w:right="13" w:firstLine="480"/>
        <w:rPr>
          <w:rFonts w:ascii="宋体" w:hAnsi="宋体"/>
          <w:kern w:val="0"/>
          <w:szCs w:val="24"/>
        </w:rPr>
        <w:sectPr w:rsidR="00EC1998">
          <w:headerReference w:type="default" r:id="rId13"/>
          <w:pgSz w:w="11920" w:h="16840"/>
          <w:pgMar w:top="1440" w:right="1680" w:bottom="280" w:left="1680" w:header="0" w:footer="1073" w:gutter="0"/>
          <w:pgNumType w:start="1"/>
          <w:cols w:space="720"/>
        </w:sectPr>
      </w:pPr>
    </w:p>
    <w:p w14:paraId="4B788FAC" w14:textId="77777777" w:rsidR="006E32D9" w:rsidRPr="006E32D9" w:rsidRDefault="0054105E" w:rsidP="006E32D9">
      <w:pPr>
        <w:pStyle w:val="af3"/>
        <w:snapToGrid w:val="0"/>
        <w:spacing w:after="240" w:line="360" w:lineRule="auto"/>
        <w:jc w:val="center"/>
        <w:rPr>
          <w:rFonts w:ascii="宋体" w:hAnsi="宋体"/>
          <w:noProof/>
          <w:sz w:val="24"/>
        </w:rPr>
      </w:pPr>
      <w:r w:rsidRPr="006E32D9">
        <w:rPr>
          <w:rFonts w:ascii="宋体" w:hAnsi="宋体"/>
          <w:color w:val="000000"/>
          <w:position w:val="-4"/>
          <w:sz w:val="24"/>
          <w:szCs w:val="30"/>
        </w:rPr>
        <w:t>目</w:t>
      </w:r>
      <w:r w:rsidRPr="006E32D9">
        <w:rPr>
          <w:rFonts w:ascii="宋体" w:hAnsi="宋体"/>
          <w:color w:val="000000"/>
          <w:position w:val="-4"/>
          <w:sz w:val="24"/>
          <w:szCs w:val="30"/>
        </w:rPr>
        <w:tab/>
        <w:t>录</w:t>
      </w:r>
      <w:r w:rsidR="006E32D9" w:rsidRPr="006E32D9">
        <w:rPr>
          <w:rFonts w:ascii="宋体" w:hAnsi="宋体"/>
          <w:color w:val="000000"/>
          <w:position w:val="-4"/>
          <w:sz w:val="24"/>
          <w:szCs w:val="30"/>
        </w:rPr>
        <w:fldChar w:fldCharType="begin"/>
      </w:r>
      <w:r w:rsidR="006E32D9" w:rsidRPr="006E32D9">
        <w:rPr>
          <w:rFonts w:ascii="宋体" w:hAnsi="宋体"/>
          <w:color w:val="000000"/>
          <w:position w:val="-4"/>
          <w:sz w:val="24"/>
          <w:szCs w:val="30"/>
        </w:rPr>
        <w:instrText xml:space="preserve"> TOC \o "1-3" \f - \h \t "-1" </w:instrText>
      </w:r>
      <w:r w:rsidR="006E32D9" w:rsidRPr="006E32D9">
        <w:rPr>
          <w:rFonts w:ascii="宋体" w:hAnsi="宋体"/>
          <w:color w:val="000000"/>
          <w:position w:val="-4"/>
          <w:sz w:val="24"/>
          <w:szCs w:val="30"/>
        </w:rPr>
        <w:fldChar w:fldCharType="separate"/>
      </w:r>
    </w:p>
    <w:p w14:paraId="6B2C9831" w14:textId="7E41DAA8" w:rsidR="006E32D9" w:rsidRPr="00AC5728" w:rsidRDefault="008712F1" w:rsidP="006E32D9">
      <w:pPr>
        <w:pStyle w:val="11"/>
        <w:tabs>
          <w:tab w:val="right" w:leader="dot" w:pos="8550"/>
        </w:tabs>
        <w:spacing w:line="360" w:lineRule="auto"/>
        <w:rPr>
          <w:rFonts w:ascii="宋体" w:hAnsi="宋体"/>
          <w:noProof/>
          <w:sz w:val="24"/>
        </w:rPr>
      </w:pPr>
      <w:hyperlink w:anchor="_Toc154650793" w:history="1">
        <w:r w:rsidR="006E32D9" w:rsidRPr="006E32D9">
          <w:rPr>
            <w:rStyle w:val="af0"/>
            <w:rFonts w:ascii="宋体" w:hAnsi="宋体" w:hint="eastAsia"/>
            <w:noProof/>
            <w:kern w:val="0"/>
            <w:sz w:val="24"/>
          </w:rPr>
          <w:t>重要提示</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_Toc154650793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w:t>
        </w:r>
        <w:r w:rsidR="006E32D9" w:rsidRPr="006E32D9">
          <w:rPr>
            <w:rFonts w:ascii="宋体" w:hAnsi="宋体"/>
            <w:noProof/>
            <w:sz w:val="24"/>
          </w:rPr>
          <w:fldChar w:fldCharType="end"/>
        </w:r>
      </w:hyperlink>
    </w:p>
    <w:p w14:paraId="28D7806B" w14:textId="0B631BBD" w:rsidR="006E32D9" w:rsidRPr="00AC5728" w:rsidRDefault="008712F1" w:rsidP="006E32D9">
      <w:pPr>
        <w:pStyle w:val="11"/>
        <w:tabs>
          <w:tab w:val="right" w:leader="dot" w:pos="8550"/>
        </w:tabs>
        <w:spacing w:line="360" w:lineRule="auto"/>
        <w:rPr>
          <w:rFonts w:ascii="宋体" w:hAnsi="宋体"/>
          <w:noProof/>
          <w:sz w:val="24"/>
        </w:rPr>
      </w:pPr>
      <w:hyperlink w:anchor="_Toc154650794" w:history="1">
        <w:r w:rsidR="006E32D9" w:rsidRPr="006E32D9">
          <w:rPr>
            <w:rStyle w:val="af0"/>
            <w:rFonts w:ascii="宋体" w:hAnsi="宋体" w:hint="eastAsia"/>
            <w:noProof/>
            <w:sz w:val="24"/>
          </w:rPr>
          <w:t>一、绪言</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_Toc154650794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4</w:t>
        </w:r>
        <w:r w:rsidR="006E32D9" w:rsidRPr="006E32D9">
          <w:rPr>
            <w:rFonts w:ascii="宋体" w:hAnsi="宋体"/>
            <w:noProof/>
            <w:sz w:val="24"/>
          </w:rPr>
          <w:fldChar w:fldCharType="end"/>
        </w:r>
      </w:hyperlink>
    </w:p>
    <w:p w14:paraId="6E666302" w14:textId="4E662ADD" w:rsidR="006E32D9" w:rsidRPr="00AC5728" w:rsidRDefault="008712F1" w:rsidP="006E32D9">
      <w:pPr>
        <w:pStyle w:val="11"/>
        <w:tabs>
          <w:tab w:val="right" w:leader="dot" w:pos="8550"/>
        </w:tabs>
        <w:spacing w:line="360" w:lineRule="auto"/>
        <w:rPr>
          <w:rFonts w:ascii="宋体" w:hAnsi="宋体"/>
          <w:noProof/>
          <w:sz w:val="24"/>
        </w:rPr>
      </w:pPr>
      <w:hyperlink w:anchor="_Toc154650795" w:history="1">
        <w:r w:rsidR="006E32D9" w:rsidRPr="006E32D9">
          <w:rPr>
            <w:rStyle w:val="af0"/>
            <w:rFonts w:ascii="宋体" w:hAnsi="宋体" w:hint="eastAsia"/>
            <w:noProof/>
            <w:sz w:val="24"/>
          </w:rPr>
          <w:t>二、释义</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_Toc154650795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5</w:t>
        </w:r>
        <w:r w:rsidR="006E32D9" w:rsidRPr="006E32D9">
          <w:rPr>
            <w:rFonts w:ascii="宋体" w:hAnsi="宋体"/>
            <w:noProof/>
            <w:sz w:val="24"/>
          </w:rPr>
          <w:fldChar w:fldCharType="end"/>
        </w:r>
      </w:hyperlink>
    </w:p>
    <w:p w14:paraId="68F13145" w14:textId="1FADE536" w:rsidR="006E32D9" w:rsidRPr="00AC5728" w:rsidRDefault="008712F1" w:rsidP="006E32D9">
      <w:pPr>
        <w:pStyle w:val="11"/>
        <w:tabs>
          <w:tab w:val="right" w:leader="dot" w:pos="8550"/>
        </w:tabs>
        <w:spacing w:line="360" w:lineRule="auto"/>
        <w:rPr>
          <w:rFonts w:ascii="宋体" w:hAnsi="宋体"/>
          <w:noProof/>
          <w:sz w:val="24"/>
        </w:rPr>
      </w:pPr>
      <w:hyperlink w:anchor="_Toc154650796" w:history="1">
        <w:r w:rsidR="006E32D9" w:rsidRPr="006E32D9">
          <w:rPr>
            <w:rStyle w:val="af0"/>
            <w:rFonts w:ascii="宋体" w:hAnsi="宋体" w:hint="eastAsia"/>
            <w:noProof/>
            <w:sz w:val="24"/>
          </w:rPr>
          <w:t>三、基金管理人</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_Toc154650796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10</w:t>
        </w:r>
        <w:r w:rsidR="006E32D9" w:rsidRPr="006E32D9">
          <w:rPr>
            <w:rFonts w:ascii="宋体" w:hAnsi="宋体"/>
            <w:noProof/>
            <w:sz w:val="24"/>
          </w:rPr>
          <w:fldChar w:fldCharType="end"/>
        </w:r>
      </w:hyperlink>
    </w:p>
    <w:p w14:paraId="07FC137D" w14:textId="27DACE0B" w:rsidR="006E32D9" w:rsidRPr="00AC5728" w:rsidRDefault="008712F1" w:rsidP="006E32D9">
      <w:pPr>
        <w:pStyle w:val="11"/>
        <w:tabs>
          <w:tab w:val="right" w:leader="dot" w:pos="8550"/>
        </w:tabs>
        <w:spacing w:line="360" w:lineRule="auto"/>
        <w:rPr>
          <w:rFonts w:ascii="宋体" w:hAnsi="宋体"/>
          <w:noProof/>
          <w:sz w:val="24"/>
        </w:rPr>
      </w:pPr>
      <w:hyperlink w:anchor="_Toc154650797" w:history="1">
        <w:r w:rsidR="006E32D9" w:rsidRPr="006E32D9">
          <w:rPr>
            <w:rStyle w:val="af0"/>
            <w:rFonts w:ascii="宋体" w:hAnsi="宋体" w:hint="eastAsia"/>
            <w:noProof/>
            <w:sz w:val="24"/>
          </w:rPr>
          <w:t>四、基金托管人</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_Toc154650797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18</w:t>
        </w:r>
        <w:r w:rsidR="006E32D9" w:rsidRPr="006E32D9">
          <w:rPr>
            <w:rFonts w:ascii="宋体" w:hAnsi="宋体"/>
            <w:noProof/>
            <w:sz w:val="24"/>
          </w:rPr>
          <w:fldChar w:fldCharType="end"/>
        </w:r>
      </w:hyperlink>
    </w:p>
    <w:p w14:paraId="6C8459B4" w14:textId="1A2A6713" w:rsidR="006E32D9" w:rsidRPr="00AC5728" w:rsidRDefault="008712F1" w:rsidP="006E32D9">
      <w:pPr>
        <w:pStyle w:val="11"/>
        <w:tabs>
          <w:tab w:val="right" w:leader="dot" w:pos="8550"/>
        </w:tabs>
        <w:spacing w:line="360" w:lineRule="auto"/>
        <w:rPr>
          <w:rFonts w:ascii="宋体" w:hAnsi="宋体"/>
          <w:noProof/>
          <w:sz w:val="24"/>
        </w:rPr>
      </w:pPr>
      <w:hyperlink w:anchor="_Toc154650798" w:history="1">
        <w:r w:rsidR="006E32D9" w:rsidRPr="006E32D9">
          <w:rPr>
            <w:rStyle w:val="af0"/>
            <w:rFonts w:ascii="宋体" w:hAnsi="宋体" w:hint="eastAsia"/>
            <w:noProof/>
            <w:sz w:val="24"/>
          </w:rPr>
          <w:t>五、相关服务机构</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_Toc154650798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22</w:t>
        </w:r>
        <w:r w:rsidR="006E32D9" w:rsidRPr="006E32D9">
          <w:rPr>
            <w:rFonts w:ascii="宋体" w:hAnsi="宋体"/>
            <w:noProof/>
            <w:sz w:val="24"/>
          </w:rPr>
          <w:fldChar w:fldCharType="end"/>
        </w:r>
      </w:hyperlink>
    </w:p>
    <w:p w14:paraId="2C72508B" w14:textId="7557226F" w:rsidR="006E32D9" w:rsidRPr="00AC5728" w:rsidRDefault="008712F1" w:rsidP="006E32D9">
      <w:pPr>
        <w:pStyle w:val="11"/>
        <w:tabs>
          <w:tab w:val="right" w:leader="dot" w:pos="8550"/>
        </w:tabs>
        <w:spacing w:line="360" w:lineRule="auto"/>
        <w:rPr>
          <w:rFonts w:ascii="宋体" w:hAnsi="宋体"/>
          <w:noProof/>
          <w:sz w:val="24"/>
        </w:rPr>
      </w:pPr>
      <w:hyperlink w:anchor="_Toc154650799" w:history="1">
        <w:r w:rsidR="006E32D9" w:rsidRPr="006E32D9">
          <w:rPr>
            <w:rStyle w:val="af0"/>
            <w:rFonts w:ascii="宋体" w:hAnsi="宋体" w:hint="eastAsia"/>
            <w:noProof/>
            <w:sz w:val="24"/>
          </w:rPr>
          <w:t>六、基金的募集</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_Toc154650799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31</w:t>
        </w:r>
        <w:r w:rsidR="006E32D9" w:rsidRPr="006E32D9">
          <w:rPr>
            <w:rFonts w:ascii="宋体" w:hAnsi="宋体"/>
            <w:noProof/>
            <w:sz w:val="24"/>
          </w:rPr>
          <w:fldChar w:fldCharType="end"/>
        </w:r>
      </w:hyperlink>
    </w:p>
    <w:p w14:paraId="3888AB9B" w14:textId="2FCD8946" w:rsidR="006E32D9" w:rsidRPr="00AC5728" w:rsidRDefault="008712F1" w:rsidP="006E32D9">
      <w:pPr>
        <w:pStyle w:val="11"/>
        <w:tabs>
          <w:tab w:val="right" w:leader="dot" w:pos="8550"/>
        </w:tabs>
        <w:spacing w:line="360" w:lineRule="auto"/>
        <w:rPr>
          <w:rFonts w:ascii="宋体" w:hAnsi="宋体"/>
          <w:noProof/>
          <w:sz w:val="24"/>
        </w:rPr>
      </w:pPr>
      <w:hyperlink w:anchor="_Toc154650800" w:history="1">
        <w:r w:rsidR="006E32D9" w:rsidRPr="006E32D9">
          <w:rPr>
            <w:rStyle w:val="af0"/>
            <w:rFonts w:ascii="宋体" w:hAnsi="宋体" w:hint="eastAsia"/>
            <w:noProof/>
            <w:sz w:val="24"/>
          </w:rPr>
          <w:t>七、基金合同的生效</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_Toc154650800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32</w:t>
        </w:r>
        <w:r w:rsidR="006E32D9" w:rsidRPr="006E32D9">
          <w:rPr>
            <w:rFonts w:ascii="宋体" w:hAnsi="宋体"/>
            <w:noProof/>
            <w:sz w:val="24"/>
          </w:rPr>
          <w:fldChar w:fldCharType="end"/>
        </w:r>
      </w:hyperlink>
    </w:p>
    <w:p w14:paraId="6E2C1B3E" w14:textId="62DCA475" w:rsidR="006E32D9" w:rsidRPr="00AC5728" w:rsidRDefault="008712F1" w:rsidP="006E32D9">
      <w:pPr>
        <w:pStyle w:val="11"/>
        <w:tabs>
          <w:tab w:val="right" w:leader="dot" w:pos="8550"/>
        </w:tabs>
        <w:spacing w:line="360" w:lineRule="auto"/>
        <w:rPr>
          <w:rFonts w:ascii="宋体" w:hAnsi="宋体"/>
          <w:noProof/>
          <w:sz w:val="24"/>
        </w:rPr>
      </w:pPr>
      <w:hyperlink w:anchor="_Toc154650801" w:history="1">
        <w:r w:rsidR="006E32D9" w:rsidRPr="006E32D9">
          <w:rPr>
            <w:rStyle w:val="af0"/>
            <w:rFonts w:ascii="宋体" w:hAnsi="宋体" w:hint="eastAsia"/>
            <w:noProof/>
            <w:sz w:val="24"/>
          </w:rPr>
          <w:t>八、基金份额的申购与赎回</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_Toc154650801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33</w:t>
        </w:r>
        <w:r w:rsidR="006E32D9" w:rsidRPr="006E32D9">
          <w:rPr>
            <w:rFonts w:ascii="宋体" w:hAnsi="宋体"/>
            <w:noProof/>
            <w:sz w:val="24"/>
          </w:rPr>
          <w:fldChar w:fldCharType="end"/>
        </w:r>
      </w:hyperlink>
    </w:p>
    <w:p w14:paraId="2D1E13BC" w14:textId="5B9DF5FF" w:rsidR="006E32D9" w:rsidRPr="00AC5728" w:rsidRDefault="008712F1" w:rsidP="006E32D9">
      <w:pPr>
        <w:pStyle w:val="11"/>
        <w:tabs>
          <w:tab w:val="right" w:leader="dot" w:pos="8550"/>
        </w:tabs>
        <w:spacing w:line="360" w:lineRule="auto"/>
        <w:rPr>
          <w:rFonts w:ascii="宋体" w:hAnsi="宋体"/>
          <w:noProof/>
          <w:sz w:val="24"/>
        </w:rPr>
      </w:pPr>
      <w:hyperlink w:anchor="_Toc154650802" w:history="1">
        <w:r w:rsidR="006E32D9" w:rsidRPr="006E32D9">
          <w:rPr>
            <w:rStyle w:val="af0"/>
            <w:rFonts w:ascii="宋体" w:hAnsi="宋体" w:hint="eastAsia"/>
            <w:noProof/>
            <w:sz w:val="24"/>
          </w:rPr>
          <w:t>九、</w:t>
        </w:r>
        <w:r w:rsidR="006E32D9" w:rsidRPr="006E32D9">
          <w:rPr>
            <w:rStyle w:val="af0"/>
            <w:rFonts w:ascii="宋体" w:hAnsi="宋体"/>
            <w:noProof/>
            <w:sz w:val="24"/>
          </w:rPr>
          <w:t xml:space="preserve"> </w:t>
        </w:r>
        <w:r w:rsidR="006E32D9" w:rsidRPr="006E32D9">
          <w:rPr>
            <w:rStyle w:val="af0"/>
            <w:rFonts w:ascii="宋体" w:hAnsi="宋体" w:hint="eastAsia"/>
            <w:noProof/>
            <w:sz w:val="24"/>
          </w:rPr>
          <w:t>基金的转换</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_Toc154650802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48</w:t>
        </w:r>
        <w:r w:rsidR="006E32D9" w:rsidRPr="006E32D9">
          <w:rPr>
            <w:rFonts w:ascii="宋体" w:hAnsi="宋体"/>
            <w:noProof/>
            <w:sz w:val="24"/>
          </w:rPr>
          <w:fldChar w:fldCharType="end"/>
        </w:r>
      </w:hyperlink>
    </w:p>
    <w:p w14:paraId="75E7D0A9" w14:textId="6B3CAC9B" w:rsidR="006E32D9" w:rsidRPr="00AC5728" w:rsidRDefault="008712F1" w:rsidP="006E32D9">
      <w:pPr>
        <w:pStyle w:val="11"/>
        <w:tabs>
          <w:tab w:val="right" w:leader="dot" w:pos="8550"/>
        </w:tabs>
        <w:spacing w:line="360" w:lineRule="auto"/>
        <w:rPr>
          <w:rFonts w:ascii="宋体" w:hAnsi="宋体"/>
          <w:noProof/>
          <w:sz w:val="24"/>
        </w:rPr>
      </w:pPr>
      <w:hyperlink w:anchor="_Toc154650803" w:history="1">
        <w:r w:rsidR="006E32D9" w:rsidRPr="006E32D9">
          <w:rPr>
            <w:rStyle w:val="af0"/>
            <w:rFonts w:ascii="宋体" w:hAnsi="宋体" w:hint="eastAsia"/>
            <w:noProof/>
            <w:sz w:val="24"/>
          </w:rPr>
          <w:t>十、基金的投资</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_Toc154650803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55</w:t>
        </w:r>
        <w:r w:rsidR="006E32D9" w:rsidRPr="006E32D9">
          <w:rPr>
            <w:rFonts w:ascii="宋体" w:hAnsi="宋体"/>
            <w:noProof/>
            <w:sz w:val="24"/>
          </w:rPr>
          <w:fldChar w:fldCharType="end"/>
        </w:r>
      </w:hyperlink>
    </w:p>
    <w:p w14:paraId="593CDA88" w14:textId="29F1CC6D" w:rsidR="006E32D9" w:rsidRPr="00AC5728" w:rsidRDefault="008712F1" w:rsidP="006E32D9">
      <w:pPr>
        <w:pStyle w:val="11"/>
        <w:tabs>
          <w:tab w:val="right" w:leader="dot" w:pos="8550"/>
        </w:tabs>
        <w:spacing w:line="360" w:lineRule="auto"/>
        <w:rPr>
          <w:rFonts w:ascii="宋体" w:hAnsi="宋体"/>
          <w:noProof/>
          <w:sz w:val="24"/>
        </w:rPr>
      </w:pPr>
      <w:hyperlink w:anchor="_Toc154650804" w:history="1">
        <w:r w:rsidR="006E32D9" w:rsidRPr="006E32D9">
          <w:rPr>
            <w:rStyle w:val="af0"/>
            <w:rFonts w:ascii="宋体" w:hAnsi="宋体" w:hint="eastAsia"/>
            <w:noProof/>
            <w:sz w:val="24"/>
          </w:rPr>
          <w:t>十一、基金的业绩</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_Toc154650804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65</w:t>
        </w:r>
        <w:r w:rsidR="006E32D9" w:rsidRPr="006E32D9">
          <w:rPr>
            <w:rFonts w:ascii="宋体" w:hAnsi="宋体"/>
            <w:noProof/>
            <w:sz w:val="24"/>
          </w:rPr>
          <w:fldChar w:fldCharType="end"/>
        </w:r>
      </w:hyperlink>
    </w:p>
    <w:p w14:paraId="0E98660E" w14:textId="6AE875C1" w:rsidR="006E32D9" w:rsidRPr="00AC5728" w:rsidRDefault="008712F1" w:rsidP="006E32D9">
      <w:pPr>
        <w:pStyle w:val="11"/>
        <w:tabs>
          <w:tab w:val="right" w:leader="dot" w:pos="8550"/>
        </w:tabs>
        <w:spacing w:line="360" w:lineRule="auto"/>
        <w:rPr>
          <w:rFonts w:ascii="宋体" w:hAnsi="宋体"/>
          <w:noProof/>
          <w:sz w:val="24"/>
        </w:rPr>
      </w:pPr>
      <w:hyperlink w:anchor="_Toc154650805" w:history="1">
        <w:r w:rsidR="006E32D9" w:rsidRPr="006E32D9">
          <w:rPr>
            <w:rStyle w:val="af0"/>
            <w:rFonts w:ascii="宋体" w:hAnsi="宋体" w:hint="eastAsia"/>
            <w:noProof/>
            <w:sz w:val="24"/>
          </w:rPr>
          <w:t>十二、基金的财产</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_Toc154650805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68</w:t>
        </w:r>
        <w:r w:rsidR="006E32D9" w:rsidRPr="006E32D9">
          <w:rPr>
            <w:rFonts w:ascii="宋体" w:hAnsi="宋体"/>
            <w:noProof/>
            <w:sz w:val="24"/>
          </w:rPr>
          <w:fldChar w:fldCharType="end"/>
        </w:r>
      </w:hyperlink>
    </w:p>
    <w:p w14:paraId="078FE7FA" w14:textId="0763E640" w:rsidR="006E32D9" w:rsidRPr="00AC5728" w:rsidRDefault="008712F1" w:rsidP="006E32D9">
      <w:pPr>
        <w:pStyle w:val="11"/>
        <w:tabs>
          <w:tab w:val="right" w:leader="dot" w:pos="8550"/>
        </w:tabs>
        <w:spacing w:line="360" w:lineRule="auto"/>
        <w:rPr>
          <w:rFonts w:ascii="宋体" w:hAnsi="宋体"/>
          <w:noProof/>
          <w:sz w:val="24"/>
        </w:rPr>
      </w:pPr>
      <w:hyperlink w:anchor="_Toc154650806" w:history="1">
        <w:r w:rsidR="006E32D9" w:rsidRPr="006E32D9">
          <w:rPr>
            <w:rStyle w:val="af0"/>
            <w:rFonts w:ascii="宋体" w:hAnsi="宋体" w:hint="eastAsia"/>
            <w:noProof/>
            <w:sz w:val="24"/>
          </w:rPr>
          <w:t>十三、基金资产的估值</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_Toc154650806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69</w:t>
        </w:r>
        <w:r w:rsidR="006E32D9" w:rsidRPr="006E32D9">
          <w:rPr>
            <w:rFonts w:ascii="宋体" w:hAnsi="宋体"/>
            <w:noProof/>
            <w:sz w:val="24"/>
          </w:rPr>
          <w:fldChar w:fldCharType="end"/>
        </w:r>
      </w:hyperlink>
    </w:p>
    <w:p w14:paraId="36C320D6" w14:textId="68B7B209" w:rsidR="006E32D9" w:rsidRPr="00AC5728" w:rsidRDefault="008712F1" w:rsidP="006E32D9">
      <w:pPr>
        <w:pStyle w:val="11"/>
        <w:tabs>
          <w:tab w:val="right" w:leader="dot" w:pos="8550"/>
        </w:tabs>
        <w:spacing w:line="360" w:lineRule="auto"/>
        <w:rPr>
          <w:rFonts w:ascii="宋体" w:hAnsi="宋体"/>
          <w:noProof/>
          <w:sz w:val="24"/>
        </w:rPr>
      </w:pPr>
      <w:hyperlink w:anchor="_Toc154650807" w:history="1">
        <w:r w:rsidR="006E32D9" w:rsidRPr="006E32D9">
          <w:rPr>
            <w:rStyle w:val="af0"/>
            <w:rFonts w:ascii="宋体" w:hAnsi="宋体" w:hint="eastAsia"/>
            <w:noProof/>
            <w:sz w:val="24"/>
          </w:rPr>
          <w:t>十四、基金收益与分配</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_Toc154650807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74</w:t>
        </w:r>
        <w:r w:rsidR="006E32D9" w:rsidRPr="006E32D9">
          <w:rPr>
            <w:rFonts w:ascii="宋体" w:hAnsi="宋体"/>
            <w:noProof/>
            <w:sz w:val="24"/>
          </w:rPr>
          <w:fldChar w:fldCharType="end"/>
        </w:r>
      </w:hyperlink>
    </w:p>
    <w:p w14:paraId="76CF825D" w14:textId="311F7972" w:rsidR="006E32D9" w:rsidRPr="00AC5728" w:rsidRDefault="008712F1" w:rsidP="006E32D9">
      <w:pPr>
        <w:pStyle w:val="11"/>
        <w:tabs>
          <w:tab w:val="right" w:leader="dot" w:pos="8550"/>
        </w:tabs>
        <w:spacing w:line="360" w:lineRule="auto"/>
        <w:rPr>
          <w:rFonts w:ascii="宋体" w:hAnsi="宋体"/>
          <w:noProof/>
          <w:sz w:val="24"/>
        </w:rPr>
      </w:pPr>
      <w:hyperlink w:anchor="_Toc154650808" w:history="1">
        <w:r w:rsidR="006E32D9" w:rsidRPr="006E32D9">
          <w:rPr>
            <w:rStyle w:val="af0"/>
            <w:rFonts w:ascii="宋体" w:hAnsi="宋体" w:hint="eastAsia"/>
            <w:noProof/>
            <w:sz w:val="24"/>
          </w:rPr>
          <w:t>十五、基金的费用与税收</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_Toc154650808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76</w:t>
        </w:r>
        <w:r w:rsidR="006E32D9" w:rsidRPr="006E32D9">
          <w:rPr>
            <w:rFonts w:ascii="宋体" w:hAnsi="宋体"/>
            <w:noProof/>
            <w:sz w:val="24"/>
          </w:rPr>
          <w:fldChar w:fldCharType="end"/>
        </w:r>
      </w:hyperlink>
    </w:p>
    <w:p w14:paraId="11C914B6" w14:textId="7AC36B8F" w:rsidR="006E32D9" w:rsidRPr="00AC5728" w:rsidRDefault="008712F1" w:rsidP="006E32D9">
      <w:pPr>
        <w:pStyle w:val="11"/>
        <w:tabs>
          <w:tab w:val="right" w:leader="dot" w:pos="8550"/>
        </w:tabs>
        <w:spacing w:line="360" w:lineRule="auto"/>
        <w:rPr>
          <w:rFonts w:ascii="宋体" w:hAnsi="宋体"/>
          <w:noProof/>
          <w:sz w:val="24"/>
        </w:rPr>
      </w:pPr>
      <w:hyperlink w:anchor="_Toc154650809" w:history="1">
        <w:r w:rsidR="006E32D9" w:rsidRPr="006E32D9">
          <w:rPr>
            <w:rStyle w:val="af0"/>
            <w:rFonts w:ascii="宋体" w:hAnsi="宋体" w:hint="eastAsia"/>
            <w:noProof/>
            <w:sz w:val="24"/>
          </w:rPr>
          <w:t>十六、基金的会计与审计</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_Toc154650809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79</w:t>
        </w:r>
        <w:r w:rsidR="006E32D9" w:rsidRPr="006E32D9">
          <w:rPr>
            <w:rFonts w:ascii="宋体" w:hAnsi="宋体"/>
            <w:noProof/>
            <w:sz w:val="24"/>
          </w:rPr>
          <w:fldChar w:fldCharType="end"/>
        </w:r>
      </w:hyperlink>
    </w:p>
    <w:p w14:paraId="6A2C4562" w14:textId="108D6BF9" w:rsidR="006E32D9" w:rsidRPr="00AC5728" w:rsidRDefault="008712F1" w:rsidP="006E32D9">
      <w:pPr>
        <w:pStyle w:val="11"/>
        <w:tabs>
          <w:tab w:val="right" w:leader="dot" w:pos="8550"/>
        </w:tabs>
        <w:spacing w:line="360" w:lineRule="auto"/>
        <w:rPr>
          <w:rFonts w:ascii="宋体" w:hAnsi="宋体"/>
          <w:noProof/>
          <w:sz w:val="24"/>
        </w:rPr>
      </w:pPr>
      <w:hyperlink w:anchor="_Toc154650810" w:history="1">
        <w:r w:rsidR="006E32D9" w:rsidRPr="006E32D9">
          <w:rPr>
            <w:rStyle w:val="af0"/>
            <w:rFonts w:ascii="宋体" w:hAnsi="宋体" w:hint="eastAsia"/>
            <w:noProof/>
            <w:sz w:val="24"/>
          </w:rPr>
          <w:t>十七、基金的信息披露</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_Toc154650810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80</w:t>
        </w:r>
        <w:r w:rsidR="006E32D9" w:rsidRPr="006E32D9">
          <w:rPr>
            <w:rFonts w:ascii="宋体" w:hAnsi="宋体"/>
            <w:noProof/>
            <w:sz w:val="24"/>
          </w:rPr>
          <w:fldChar w:fldCharType="end"/>
        </w:r>
      </w:hyperlink>
    </w:p>
    <w:p w14:paraId="3F6EB471" w14:textId="230CB110" w:rsidR="006E32D9" w:rsidRPr="00AC5728" w:rsidRDefault="008712F1" w:rsidP="006E32D9">
      <w:pPr>
        <w:pStyle w:val="11"/>
        <w:tabs>
          <w:tab w:val="right" w:leader="dot" w:pos="8550"/>
        </w:tabs>
        <w:spacing w:line="360" w:lineRule="auto"/>
        <w:rPr>
          <w:rFonts w:ascii="宋体" w:hAnsi="宋体"/>
          <w:noProof/>
          <w:sz w:val="24"/>
        </w:rPr>
      </w:pPr>
      <w:hyperlink w:anchor="_Toc154650811" w:history="1">
        <w:r w:rsidR="006E32D9" w:rsidRPr="006E32D9">
          <w:rPr>
            <w:rStyle w:val="af0"/>
            <w:rFonts w:ascii="宋体" w:hAnsi="宋体" w:hint="eastAsia"/>
            <w:noProof/>
            <w:sz w:val="24"/>
          </w:rPr>
          <w:t>十八、侧袋机制</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_Toc154650811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86</w:t>
        </w:r>
        <w:r w:rsidR="006E32D9" w:rsidRPr="006E32D9">
          <w:rPr>
            <w:rFonts w:ascii="宋体" w:hAnsi="宋体"/>
            <w:noProof/>
            <w:sz w:val="24"/>
          </w:rPr>
          <w:fldChar w:fldCharType="end"/>
        </w:r>
      </w:hyperlink>
    </w:p>
    <w:p w14:paraId="150D25D9" w14:textId="20529208" w:rsidR="006E32D9" w:rsidRPr="00AC5728" w:rsidRDefault="008712F1" w:rsidP="006E32D9">
      <w:pPr>
        <w:pStyle w:val="11"/>
        <w:tabs>
          <w:tab w:val="right" w:leader="dot" w:pos="8550"/>
        </w:tabs>
        <w:spacing w:line="360" w:lineRule="auto"/>
        <w:rPr>
          <w:rFonts w:ascii="宋体" w:hAnsi="宋体"/>
          <w:noProof/>
          <w:sz w:val="24"/>
        </w:rPr>
      </w:pPr>
      <w:hyperlink w:anchor="_Toc154650812" w:history="1">
        <w:r w:rsidR="006E32D9" w:rsidRPr="006E32D9">
          <w:rPr>
            <w:rStyle w:val="af0"/>
            <w:rFonts w:ascii="宋体" w:hAnsi="宋体" w:hint="eastAsia"/>
            <w:noProof/>
            <w:sz w:val="24"/>
          </w:rPr>
          <w:t>十九、风险揭示</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_Toc154650812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89</w:t>
        </w:r>
        <w:r w:rsidR="006E32D9" w:rsidRPr="006E32D9">
          <w:rPr>
            <w:rFonts w:ascii="宋体" w:hAnsi="宋体"/>
            <w:noProof/>
            <w:sz w:val="24"/>
          </w:rPr>
          <w:fldChar w:fldCharType="end"/>
        </w:r>
      </w:hyperlink>
    </w:p>
    <w:p w14:paraId="3471C4A8" w14:textId="453B0224" w:rsidR="006E32D9" w:rsidRPr="00AC5728" w:rsidRDefault="008712F1" w:rsidP="006E32D9">
      <w:pPr>
        <w:pStyle w:val="11"/>
        <w:tabs>
          <w:tab w:val="right" w:leader="dot" w:pos="8550"/>
        </w:tabs>
        <w:spacing w:line="360" w:lineRule="auto"/>
        <w:rPr>
          <w:rFonts w:ascii="宋体" w:hAnsi="宋体"/>
          <w:noProof/>
          <w:sz w:val="24"/>
        </w:rPr>
      </w:pPr>
      <w:hyperlink w:anchor="_Toc154650813" w:history="1">
        <w:r w:rsidR="006E32D9" w:rsidRPr="006E32D9">
          <w:rPr>
            <w:rStyle w:val="af0"/>
            <w:rFonts w:ascii="宋体" w:hAnsi="宋体" w:hint="eastAsia"/>
            <w:noProof/>
            <w:sz w:val="24"/>
          </w:rPr>
          <w:t>二十、基金合同的变更、终止与基金财产的清算</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_Toc154650813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95</w:t>
        </w:r>
        <w:r w:rsidR="006E32D9" w:rsidRPr="006E32D9">
          <w:rPr>
            <w:rFonts w:ascii="宋体" w:hAnsi="宋体"/>
            <w:noProof/>
            <w:sz w:val="24"/>
          </w:rPr>
          <w:fldChar w:fldCharType="end"/>
        </w:r>
      </w:hyperlink>
    </w:p>
    <w:p w14:paraId="0B923E2C" w14:textId="123D253E" w:rsidR="006E32D9" w:rsidRPr="00AC5728" w:rsidRDefault="008712F1" w:rsidP="006E32D9">
      <w:pPr>
        <w:pStyle w:val="11"/>
        <w:tabs>
          <w:tab w:val="right" w:leader="dot" w:pos="8550"/>
        </w:tabs>
        <w:spacing w:line="360" w:lineRule="auto"/>
        <w:rPr>
          <w:rFonts w:ascii="宋体" w:hAnsi="宋体"/>
          <w:noProof/>
          <w:sz w:val="24"/>
        </w:rPr>
      </w:pPr>
      <w:hyperlink w:anchor="_Toc154650814" w:history="1">
        <w:r w:rsidR="006E32D9" w:rsidRPr="006E32D9">
          <w:rPr>
            <w:rStyle w:val="af0"/>
            <w:rFonts w:ascii="宋体" w:hAnsi="宋体" w:hint="eastAsia"/>
            <w:noProof/>
            <w:sz w:val="24"/>
          </w:rPr>
          <w:t>二十一、基金合同内容摘要</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_Toc154650814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97</w:t>
        </w:r>
        <w:r w:rsidR="006E32D9" w:rsidRPr="006E32D9">
          <w:rPr>
            <w:rFonts w:ascii="宋体" w:hAnsi="宋体"/>
            <w:noProof/>
            <w:sz w:val="24"/>
          </w:rPr>
          <w:fldChar w:fldCharType="end"/>
        </w:r>
      </w:hyperlink>
    </w:p>
    <w:p w14:paraId="0467C8FF" w14:textId="46730BC9" w:rsidR="006E32D9" w:rsidRPr="00AC5728" w:rsidRDefault="008712F1" w:rsidP="006E32D9">
      <w:pPr>
        <w:pStyle w:val="11"/>
        <w:tabs>
          <w:tab w:val="right" w:leader="dot" w:pos="8550"/>
        </w:tabs>
        <w:spacing w:line="360" w:lineRule="auto"/>
        <w:rPr>
          <w:rFonts w:ascii="宋体" w:hAnsi="宋体"/>
          <w:noProof/>
          <w:sz w:val="24"/>
        </w:rPr>
      </w:pPr>
      <w:hyperlink w:anchor="_Toc154650815" w:history="1">
        <w:r w:rsidR="006E32D9" w:rsidRPr="006E32D9">
          <w:rPr>
            <w:rStyle w:val="af0"/>
            <w:rFonts w:ascii="宋体" w:hAnsi="宋体" w:hint="eastAsia"/>
            <w:noProof/>
            <w:sz w:val="24"/>
          </w:rPr>
          <w:t>二十二、托管协议的内容摘要</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_Toc154650815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114</w:t>
        </w:r>
        <w:r w:rsidR="006E32D9" w:rsidRPr="006E32D9">
          <w:rPr>
            <w:rFonts w:ascii="宋体" w:hAnsi="宋体"/>
            <w:noProof/>
            <w:sz w:val="24"/>
          </w:rPr>
          <w:fldChar w:fldCharType="end"/>
        </w:r>
      </w:hyperlink>
    </w:p>
    <w:p w14:paraId="1C969C28" w14:textId="4E742B73" w:rsidR="006E32D9" w:rsidRPr="00AC5728" w:rsidRDefault="008712F1" w:rsidP="006E32D9">
      <w:pPr>
        <w:pStyle w:val="11"/>
        <w:tabs>
          <w:tab w:val="right" w:leader="dot" w:pos="8550"/>
        </w:tabs>
        <w:spacing w:line="360" w:lineRule="auto"/>
        <w:rPr>
          <w:rFonts w:ascii="宋体" w:hAnsi="宋体"/>
          <w:noProof/>
          <w:sz w:val="24"/>
        </w:rPr>
      </w:pPr>
      <w:hyperlink w:anchor="_Toc154650816" w:history="1">
        <w:r w:rsidR="006E32D9" w:rsidRPr="006E32D9">
          <w:rPr>
            <w:rStyle w:val="af0"/>
            <w:rFonts w:ascii="宋体" w:hAnsi="宋体" w:hint="eastAsia"/>
            <w:noProof/>
            <w:sz w:val="24"/>
          </w:rPr>
          <w:t>二十三、对基金份额持有人的服务</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_Toc154650816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130</w:t>
        </w:r>
        <w:r w:rsidR="006E32D9" w:rsidRPr="006E32D9">
          <w:rPr>
            <w:rFonts w:ascii="宋体" w:hAnsi="宋体"/>
            <w:noProof/>
            <w:sz w:val="24"/>
          </w:rPr>
          <w:fldChar w:fldCharType="end"/>
        </w:r>
      </w:hyperlink>
    </w:p>
    <w:p w14:paraId="58F162E0" w14:textId="5C505826" w:rsidR="006E32D9" w:rsidRPr="00AC5728" w:rsidRDefault="008712F1" w:rsidP="006E32D9">
      <w:pPr>
        <w:pStyle w:val="11"/>
        <w:tabs>
          <w:tab w:val="right" w:leader="dot" w:pos="8550"/>
        </w:tabs>
        <w:spacing w:line="360" w:lineRule="auto"/>
        <w:rPr>
          <w:rFonts w:ascii="宋体" w:hAnsi="宋体"/>
          <w:noProof/>
          <w:sz w:val="24"/>
        </w:rPr>
      </w:pPr>
      <w:hyperlink w:anchor="_Toc154650817" w:history="1">
        <w:r w:rsidR="006E32D9" w:rsidRPr="006E32D9">
          <w:rPr>
            <w:rStyle w:val="af0"/>
            <w:rFonts w:ascii="宋体" w:hAnsi="宋体" w:hint="eastAsia"/>
            <w:noProof/>
            <w:sz w:val="24"/>
          </w:rPr>
          <w:t>二十四、其他应披露事项</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_Toc154650817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132</w:t>
        </w:r>
        <w:r w:rsidR="006E32D9" w:rsidRPr="006E32D9">
          <w:rPr>
            <w:rFonts w:ascii="宋体" w:hAnsi="宋体"/>
            <w:noProof/>
            <w:sz w:val="24"/>
          </w:rPr>
          <w:fldChar w:fldCharType="end"/>
        </w:r>
      </w:hyperlink>
    </w:p>
    <w:p w14:paraId="3F6B1BFE" w14:textId="286E21A3" w:rsidR="006E32D9" w:rsidRPr="00AC5728" w:rsidRDefault="008712F1" w:rsidP="006E32D9">
      <w:pPr>
        <w:pStyle w:val="11"/>
        <w:tabs>
          <w:tab w:val="right" w:leader="dot" w:pos="8550"/>
        </w:tabs>
        <w:spacing w:line="360" w:lineRule="auto"/>
        <w:rPr>
          <w:rFonts w:ascii="宋体" w:hAnsi="宋体"/>
          <w:noProof/>
          <w:sz w:val="24"/>
        </w:rPr>
      </w:pPr>
      <w:hyperlink w:anchor="_Toc154650818" w:history="1">
        <w:r w:rsidR="006E32D9" w:rsidRPr="006E32D9">
          <w:rPr>
            <w:rStyle w:val="af0"/>
            <w:rFonts w:ascii="宋体" w:hAnsi="宋体" w:hint="eastAsia"/>
            <w:noProof/>
            <w:sz w:val="24"/>
          </w:rPr>
          <w:t>二十五、招募说明书的存放及查阅方式</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_Toc154650818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135</w:t>
        </w:r>
        <w:r w:rsidR="006E32D9" w:rsidRPr="006E32D9">
          <w:rPr>
            <w:rFonts w:ascii="宋体" w:hAnsi="宋体"/>
            <w:noProof/>
            <w:sz w:val="24"/>
          </w:rPr>
          <w:fldChar w:fldCharType="end"/>
        </w:r>
      </w:hyperlink>
    </w:p>
    <w:p w14:paraId="0B1DB957" w14:textId="29A59988" w:rsidR="006E32D9" w:rsidRPr="00AC5728" w:rsidRDefault="008712F1" w:rsidP="006E32D9">
      <w:pPr>
        <w:pStyle w:val="11"/>
        <w:tabs>
          <w:tab w:val="right" w:leader="dot" w:pos="8550"/>
        </w:tabs>
        <w:spacing w:line="360" w:lineRule="auto"/>
        <w:rPr>
          <w:rFonts w:ascii="宋体" w:hAnsi="宋体"/>
          <w:noProof/>
          <w:sz w:val="24"/>
        </w:rPr>
      </w:pPr>
      <w:hyperlink w:anchor="_Toc154650819" w:history="1">
        <w:r w:rsidR="006E32D9" w:rsidRPr="006E32D9">
          <w:rPr>
            <w:rStyle w:val="af0"/>
            <w:rFonts w:ascii="宋体" w:hAnsi="宋体" w:hint="eastAsia"/>
            <w:noProof/>
            <w:sz w:val="24"/>
          </w:rPr>
          <w:t>二十六、备查文件</w:t>
        </w:r>
        <w:r w:rsidR="006E32D9" w:rsidRPr="006E32D9">
          <w:rPr>
            <w:rFonts w:ascii="宋体" w:hAnsi="宋体"/>
            <w:noProof/>
            <w:sz w:val="24"/>
          </w:rPr>
          <w:tab/>
        </w:r>
        <w:r w:rsidR="006E32D9" w:rsidRPr="006E32D9">
          <w:rPr>
            <w:rFonts w:ascii="宋体" w:hAnsi="宋体"/>
            <w:noProof/>
            <w:sz w:val="24"/>
          </w:rPr>
          <w:fldChar w:fldCharType="begin"/>
        </w:r>
        <w:r w:rsidR="006E32D9" w:rsidRPr="006E32D9">
          <w:rPr>
            <w:rFonts w:ascii="宋体" w:hAnsi="宋体"/>
            <w:noProof/>
            <w:sz w:val="24"/>
          </w:rPr>
          <w:instrText xml:space="preserve"> PAGEREF _Toc154650819 \h </w:instrText>
        </w:r>
        <w:r w:rsidR="006E32D9" w:rsidRPr="006E32D9">
          <w:rPr>
            <w:rFonts w:ascii="宋体" w:hAnsi="宋体"/>
            <w:noProof/>
            <w:sz w:val="24"/>
          </w:rPr>
        </w:r>
        <w:r w:rsidR="006E32D9" w:rsidRPr="006E32D9">
          <w:rPr>
            <w:rFonts w:ascii="宋体" w:hAnsi="宋体"/>
            <w:noProof/>
            <w:sz w:val="24"/>
          </w:rPr>
          <w:fldChar w:fldCharType="separate"/>
        </w:r>
        <w:r>
          <w:rPr>
            <w:rFonts w:ascii="宋体" w:hAnsi="宋体"/>
            <w:noProof/>
            <w:sz w:val="24"/>
          </w:rPr>
          <w:t>136</w:t>
        </w:r>
        <w:r w:rsidR="006E32D9" w:rsidRPr="006E32D9">
          <w:rPr>
            <w:rFonts w:ascii="宋体" w:hAnsi="宋体"/>
            <w:noProof/>
            <w:sz w:val="24"/>
          </w:rPr>
          <w:fldChar w:fldCharType="end"/>
        </w:r>
      </w:hyperlink>
    </w:p>
    <w:p w14:paraId="7A4B8B50" w14:textId="63E6191C" w:rsidR="00EC1998" w:rsidRDefault="006E32D9" w:rsidP="00192336">
      <w:pPr>
        <w:pStyle w:val="af3"/>
        <w:snapToGrid w:val="0"/>
        <w:spacing w:after="240" w:line="360" w:lineRule="auto"/>
        <w:jc w:val="center"/>
        <w:sectPr w:rsidR="00EC1998">
          <w:pgSz w:w="11920" w:h="16840"/>
          <w:pgMar w:top="1480" w:right="1680" w:bottom="280" w:left="1680" w:header="0" w:footer="1073" w:gutter="0"/>
          <w:cols w:space="720"/>
        </w:sectPr>
      </w:pPr>
      <w:r w:rsidRPr="006E32D9">
        <w:rPr>
          <w:rFonts w:ascii="宋体" w:hAnsi="宋体"/>
          <w:color w:val="000000"/>
          <w:position w:val="-4"/>
          <w:sz w:val="24"/>
          <w:szCs w:val="30"/>
        </w:rPr>
        <w:fldChar w:fldCharType="end"/>
      </w:r>
    </w:p>
    <w:p w14:paraId="3F2C71C6" w14:textId="77777777" w:rsidR="00EC1998" w:rsidRDefault="0054105E">
      <w:pPr>
        <w:pStyle w:val="1"/>
        <w:snapToGrid w:val="0"/>
        <w:spacing w:beforeLines="0" w:before="240" w:after="240"/>
        <w:rPr>
          <w:rFonts w:ascii="宋体" w:hAnsi="宋体"/>
          <w:szCs w:val="30"/>
        </w:rPr>
      </w:pPr>
      <w:bookmarkStart w:id="4" w:name="_Toc154650794"/>
      <w:r>
        <w:rPr>
          <w:rFonts w:ascii="Times New Roman" w:hAnsi="Times New Roman"/>
          <w:sz w:val="30"/>
        </w:rPr>
        <w:t>一、绪言</w:t>
      </w:r>
      <w:bookmarkEnd w:id="4"/>
    </w:p>
    <w:p w14:paraId="2715A0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通纯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裕通纯债债券型证券投资基金基金合同》（以下简称“基金合同”）编写。</w:t>
      </w:r>
    </w:p>
    <w:p w14:paraId="03BD49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B756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77BA6C3"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B9306D" w14:textId="77777777" w:rsidR="00EC1998" w:rsidRDefault="0054105E">
      <w:pPr>
        <w:pStyle w:val="1"/>
        <w:snapToGrid w:val="0"/>
        <w:spacing w:beforeLines="0" w:before="240" w:after="240"/>
        <w:rPr>
          <w:rFonts w:ascii="宋体" w:hAnsi="宋体"/>
          <w:szCs w:val="30"/>
        </w:rPr>
      </w:pPr>
      <w:bookmarkStart w:id="5" w:name="_Toc154650795"/>
      <w:r>
        <w:rPr>
          <w:rFonts w:ascii="Times New Roman" w:hAnsi="Times New Roman"/>
          <w:sz w:val="30"/>
        </w:rPr>
        <w:t>二、释义</w:t>
      </w:r>
      <w:bookmarkEnd w:id="5"/>
    </w:p>
    <w:p w14:paraId="348398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77189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1、基金或本基金：指交银施罗德裕通纯债债券型证券投资基金</w:t>
      </w:r>
    </w:p>
    <w:p w14:paraId="19C44C6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1AB4751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3、基金托管人或本基金托管人：指兴业银行股份有限公司</w:t>
      </w:r>
    </w:p>
    <w:p w14:paraId="17FDEE5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4、基金合同或《基金合同》：指《交银施罗德裕通纯债债券型证券投资基金基金合同》及对基金合同的任何有效修订和补充</w:t>
      </w:r>
    </w:p>
    <w:p w14:paraId="03AD75C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5、托管协议：指基金管理人与基金托管人就本基金签订之《交银施罗德裕通纯债债券型证券投资基金托管协议》及对该托管协议的任何有效修订和补充</w:t>
      </w:r>
    </w:p>
    <w:p w14:paraId="308BCB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6、招募说明书、本招募说明书或《招募说明书》：指《交银施罗德裕通纯债债券型证券投资基金招募说明书》及其更新</w:t>
      </w:r>
    </w:p>
    <w:p w14:paraId="7DFF4C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7、基金份额发售公告：指《交银施罗德裕通纯债债券型证券投资基金基金份额发售公告》</w:t>
      </w:r>
    </w:p>
    <w:p w14:paraId="4615777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8、基金产品资料概要：指《交银施罗德裕通纯债债券型证券投资基金基金产品资料概要》及其更新</w:t>
      </w:r>
    </w:p>
    <w:p w14:paraId="409534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370805E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D7F28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7C80A71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6E9733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399D22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14:paraId="5C51FD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506A4C5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14:paraId="19005B4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3DBACEA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9662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1E50FB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23D68D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78FB79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625F5F8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7FE1AC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0F98ADD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6F51243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6E7EE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5AB7B8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5540C85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29、基金交易账户：指销售机构为投资人开立的、记录投资人通过该销售机构办理认购、申购、赎回、转换及转托管等业务而引起的基金份额变动及结余情况的账户</w:t>
      </w:r>
    </w:p>
    <w:p w14:paraId="3152397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3A73B3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03BCAF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789246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1EBAA71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79A8D9F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5DBEFD4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03073B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478CF0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04F3229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E83AF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1CFB88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78A46F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574643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43、销售服务费：指从基金资产中计提的，用于本基金市场推广、销售以及基金份额持有人服务的费用</w:t>
      </w:r>
    </w:p>
    <w:p w14:paraId="3C23C21E" w14:textId="3F316AF4" w:rsidR="00344E1A"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44、基金份额类别：指本基金根据认购/申购费用、</w:t>
      </w:r>
      <w:r w:rsidR="00D02829">
        <w:rPr>
          <w:rFonts w:hAnsi="宋体" w:hint="eastAsia"/>
          <w:bCs/>
          <w:sz w:val="24"/>
        </w:rPr>
        <w:t>赎回费用、</w:t>
      </w:r>
      <w:r>
        <w:rPr>
          <w:rFonts w:ascii="宋体" w:hAnsi="宋体"/>
          <w:sz w:val="24"/>
        </w:rPr>
        <w:t>销售服务费</w:t>
      </w:r>
      <w:r w:rsidR="00B34CA0" w:rsidRPr="003118F1">
        <w:rPr>
          <w:rFonts w:hAnsi="宋体" w:hint="eastAsia"/>
          <w:bCs/>
          <w:sz w:val="24"/>
        </w:rPr>
        <w:t>收取标准和</w:t>
      </w:r>
      <w:r>
        <w:rPr>
          <w:rFonts w:ascii="宋体" w:hAnsi="宋体"/>
          <w:sz w:val="24"/>
        </w:rPr>
        <w:t>收取方式的不同，将基金份额分为不同的类别。在投资人认购/申购时收取认购/申购费用、赎回时收取赎回费用的，称为A类基金份额</w:t>
      </w:r>
      <w:r w:rsidR="005F4223">
        <w:rPr>
          <w:rFonts w:ascii="宋体" w:hAnsi="宋体" w:hint="eastAsia"/>
          <w:sz w:val="24"/>
        </w:rPr>
        <w:t>；</w:t>
      </w:r>
      <w:r>
        <w:rPr>
          <w:rFonts w:ascii="宋体" w:hAnsi="宋体"/>
          <w:sz w:val="24"/>
        </w:rPr>
        <w:t>在投资人认购/申购时不收取认购/申购费用、赎回时收取赎回费用，并从本类别基金资产中计提销售服务费的，称为C类基金份额；</w:t>
      </w:r>
      <w:r w:rsidR="00DD16A0" w:rsidRPr="00DD16A0">
        <w:rPr>
          <w:rFonts w:ascii="宋体" w:hAnsi="宋体" w:hint="eastAsia"/>
          <w:sz w:val="24"/>
        </w:rPr>
        <w:t>在投资人申购时收取申购费用、赎回时收取赎回费用的，称为D类基金份额，A类基金份额与D类基金份额设置不同的申购费、赎回费收取标准</w:t>
      </w:r>
    </w:p>
    <w:p w14:paraId="4A4C285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45、基金转换：指基金份额持有人按照基金合同和基金管理人届时有效公告规定的条件，申请将其持有基金管理人管理的、某一基金的基金份额转换为基金管理人管理的其他基金基金份额的行为</w:t>
      </w:r>
    </w:p>
    <w:p w14:paraId="66B5B3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46、转托管：指基金份额持有人在本基金的不同销售机构之间实施的变更所持基金份额销售机构的操作</w:t>
      </w:r>
    </w:p>
    <w:p w14:paraId="63BECF6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26A0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26DF3D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49、元：指人民币元</w:t>
      </w:r>
    </w:p>
    <w:p w14:paraId="5D4167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50、基金收益：指基金投资所得红利、股息、债券利息、买卖证券价差、银行存款利息、已实现的其他合法收入及因运用基金财产带来的成本和费用的节约</w:t>
      </w:r>
    </w:p>
    <w:p w14:paraId="313465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51、基金资产总值：指基金拥有的各类有价证券、银行存款本息、基金应收申购款及其他资产的价值总和</w:t>
      </w:r>
    </w:p>
    <w:p w14:paraId="42294B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52、基金资产净值：指基金资产总值减去基金负债后的价值</w:t>
      </w:r>
    </w:p>
    <w:p w14:paraId="453720C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53、基金份额净值：指计算日基金资产净值除以计算日基金份额总数</w:t>
      </w:r>
    </w:p>
    <w:p w14:paraId="6EF205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54、基金资产估值：指计算评估基金资产和负债的价值，以确定基金资产净值和基金份额净值的过程</w:t>
      </w:r>
    </w:p>
    <w:p w14:paraId="55BE86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093E1B8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56、指定媒介：指中国证监会指定的用以进行信息披露的全国性报刊及指定互联网网站（包括基金管理人网站、基金托管人网站、中国证监会基金电子披露网站）等媒介</w:t>
      </w:r>
    </w:p>
    <w:p w14:paraId="2EB21D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2131D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26DF3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14:paraId="3F1F1514"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787144" w14:textId="77777777" w:rsidR="00EC1998" w:rsidRDefault="0054105E">
      <w:pPr>
        <w:pStyle w:val="1"/>
        <w:snapToGrid w:val="0"/>
        <w:spacing w:beforeLines="0" w:before="240" w:after="240"/>
        <w:rPr>
          <w:rFonts w:ascii="宋体" w:hAnsi="宋体"/>
          <w:szCs w:val="30"/>
        </w:rPr>
      </w:pPr>
      <w:bookmarkStart w:id="6" w:name="_Toc154650796"/>
      <w:r>
        <w:rPr>
          <w:rFonts w:ascii="Times New Roman" w:hAnsi="Times New Roman"/>
          <w:sz w:val="30"/>
        </w:rPr>
        <w:t>三、基金管理人</w:t>
      </w:r>
      <w:bookmarkEnd w:id="6"/>
    </w:p>
    <w:p w14:paraId="759DFEB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49428BF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900BE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C90761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D0E66E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C8FA2DD" w14:textId="0058C24F"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ED52E9" w:rsidRPr="00ED52E9">
        <w:rPr>
          <w:rFonts w:ascii="宋体" w:hAnsi="宋体" w:hint="eastAsia"/>
          <w:sz w:val="24"/>
        </w:rPr>
        <w:t>谢卫（代任）</w:t>
      </w:r>
    </w:p>
    <w:p w14:paraId="7D67A9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CCDAE2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499F7C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66766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47E1886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323A64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0526E77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EC1998" w14:paraId="219093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8AA5F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20E81A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EC1998" w14:paraId="28915D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7C1E3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E9F1911"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EC1998" w14:paraId="572993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C80C8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496C5A7"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EC1998" w14:paraId="5F0549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131F0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59923F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68E6F80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7FC65A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F344A2F"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540EC603"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王贤家先生，董事，学士。现任交银国际控股有限公司执行董事、副行政总裁、首席风险官。历任交通银行总行国际业务部外汇资金处交易员、澳门分行资金部主管、总行金融市场部债券投资部副高级经理、外汇交易部高级经理、总行风险管理部/内控案防办副总经理。</w:t>
      </w:r>
    </w:p>
    <w:p w14:paraId="55CF523B"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谢卫先生，董事，总经理，博士，高级经济师。现任交银施罗德基金管理有限公司总经理、首席信息官，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D9285EA"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49282BBD"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522C150"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415ED0C3" w14:textId="77777777" w:rsidR="00ED52E9" w:rsidRPr="005E266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D7B933E" w14:textId="77777777" w:rsidR="00ED52E9" w:rsidRDefault="00ED52E9" w:rsidP="00ED52E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E125D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66AD8C2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2AE611A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73F0B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2898E3F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0C6D81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5FFC83C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75590C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43486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E0725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132E8B3C" w14:textId="0B3DA30E"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季参平先生:基金经理。美国密歇根大学金融工程硕士、对外经济贸易大学经济学学士，</w:t>
      </w:r>
      <w:r w:rsidR="0091472D">
        <w:rPr>
          <w:rFonts w:ascii="宋体" w:hAnsi="宋体"/>
          <w:sz w:val="24"/>
        </w:rPr>
        <w:t>12</w:t>
      </w:r>
      <w:r>
        <w:rPr>
          <w:rFonts w:ascii="宋体" w:hAnsi="宋体"/>
          <w:sz w:val="24"/>
        </w:rPr>
        <w:t>年金融行业从业经验。2012年至2017年任瑞士银行外汇和利率交易员、联席董事。2017年加入交银施罗德基金管理有限公司，现任固定收益部基金经理。曾任基金经理助理。曾任交银施罗德天运宝货币市场基金(2019年07月26日至2019年09月18日)、交银施罗德中债1-3年政策性金融债指数证券投资基金(2020年08月20日至2023年08月30日)</w:t>
      </w:r>
      <w:r w:rsidR="008C085B">
        <w:rPr>
          <w:rFonts w:ascii="宋体" w:hAnsi="宋体"/>
          <w:sz w:val="24"/>
        </w:rPr>
        <w:t>、交银施罗德中债1-5年政策性金融债指数证券投资基金(2022年06月08日至</w:t>
      </w:r>
      <w:r w:rsidR="008C085B" w:rsidRPr="008C085B">
        <w:rPr>
          <w:rFonts w:ascii="宋体" w:hAnsi="宋体" w:hint="eastAsia"/>
          <w:sz w:val="24"/>
        </w:rPr>
        <w:t>2023年11月15日</w:t>
      </w:r>
      <w:r w:rsidR="008C085B">
        <w:rPr>
          <w:rFonts w:ascii="宋体" w:hAnsi="宋体"/>
          <w:sz w:val="24"/>
        </w:rPr>
        <w:t>)</w:t>
      </w:r>
      <w:r w:rsidR="008C085B">
        <w:rPr>
          <w:rFonts w:ascii="宋体" w:hAnsi="宋体" w:hint="eastAsia"/>
          <w:sz w:val="24"/>
        </w:rPr>
        <w:t>、</w:t>
      </w:r>
      <w:r w:rsidR="008C085B">
        <w:rPr>
          <w:rFonts w:ascii="宋体" w:hAnsi="宋体"/>
          <w:sz w:val="24"/>
        </w:rPr>
        <w:t>交银施罗德裕祥纯债债券型证券投资基金(2020年07月09日至2024年02月19日)</w:t>
      </w:r>
      <w:r w:rsidR="008C085B">
        <w:rPr>
          <w:rFonts w:ascii="宋体" w:hAnsi="宋体" w:hint="eastAsia"/>
          <w:sz w:val="24"/>
        </w:rPr>
        <w:t>、</w:t>
      </w:r>
      <w:r w:rsidR="0091472D">
        <w:rPr>
          <w:rFonts w:ascii="宋体" w:hAnsi="宋体"/>
          <w:sz w:val="24"/>
        </w:rPr>
        <w:t>交银施罗德中债1-3年农发行债券指数证券投资基金(2021年08月19日至2024年05月12日)</w:t>
      </w:r>
      <w:r w:rsidR="008C085B">
        <w:rPr>
          <w:rFonts w:ascii="宋体" w:hAnsi="宋体" w:hint="eastAsia"/>
          <w:sz w:val="24"/>
        </w:rPr>
        <w:t>、</w:t>
      </w:r>
      <w:r w:rsidR="0091472D">
        <w:rPr>
          <w:rFonts w:ascii="宋体" w:hAnsi="宋体"/>
          <w:sz w:val="24"/>
        </w:rPr>
        <w:t>交银施罗德裕景纯债一年定期开放债券型证券投资基金(2021年09月09日至2024年05月12日)</w:t>
      </w:r>
      <w:r>
        <w:rPr>
          <w:rFonts w:ascii="宋体" w:hAnsi="宋体"/>
          <w:sz w:val="24"/>
        </w:rPr>
        <w:t>的基金经理。现任交银施罗德现金宝货币市场基金(2019年07月26日至今)、交银施罗德天鑫宝货币市场基金(2019年07月26日至今)、交银施罗德货币市场证券投资基金(2019年07月26日至今)、交银施罗德裕通纯债债券型证券投资基金(2019年10月12日至今)、交银施罗德丰润收益债券型证券投资基金(2021年08月19日至今)、交银施罗德裕道纯债一年定期开放债券型发起式证券投资基金(2022年03月29日至今)</w:t>
      </w:r>
      <w:r w:rsidR="008C085B">
        <w:rPr>
          <w:rFonts w:ascii="宋体" w:hAnsi="宋体" w:hint="eastAsia"/>
          <w:sz w:val="24"/>
        </w:rPr>
        <w:t>、</w:t>
      </w:r>
      <w:r w:rsidR="008C085B" w:rsidRPr="008C085B">
        <w:rPr>
          <w:rFonts w:ascii="宋体" w:hAnsi="宋体" w:hint="eastAsia"/>
          <w:sz w:val="24"/>
        </w:rPr>
        <w:t>交银施罗德中证同业存单AAA指数7天持有期证券投资基金(2023年12月19日至今)</w:t>
      </w:r>
      <w:r w:rsidR="000D7685" w:rsidRPr="000D7685">
        <w:rPr>
          <w:rFonts w:hint="eastAsia"/>
        </w:rPr>
        <w:t xml:space="preserve"> </w:t>
      </w:r>
      <w:r w:rsidR="000D7685" w:rsidRPr="000D7685">
        <w:rPr>
          <w:rFonts w:ascii="宋体" w:hAnsi="宋体" w:hint="eastAsia"/>
          <w:sz w:val="24"/>
        </w:rPr>
        <w:t>、交银施罗德中债0-3年政策性金融债指数证券投资基金（2024年3月22日至今）</w:t>
      </w:r>
      <w:r>
        <w:rPr>
          <w:rFonts w:ascii="宋体" w:hAnsi="宋体"/>
          <w:sz w:val="24"/>
        </w:rPr>
        <w:t>的基金经理。</w:t>
      </w:r>
    </w:p>
    <w:p w14:paraId="7BA0403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4DCD038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黄莹洁女士(2015年12月29日至2019年10月23日)；</w:t>
      </w:r>
    </w:p>
    <w:p w14:paraId="4D0E3C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章妍女士(2016年01月09日至2017年03月30日)；</w:t>
      </w:r>
    </w:p>
    <w:p w14:paraId="3638780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唐赟先生(2017年03月31日至2019年10月24日)。</w:t>
      </w:r>
    </w:p>
    <w:p w14:paraId="2F617D5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4A12091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0F3575A" w14:textId="56A51086"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026AE0A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593A23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267245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08CF94A9" w14:textId="5C71007D"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853B5F">
        <w:rPr>
          <w:rFonts w:ascii="宋体" w:hAnsi="宋体"/>
          <w:sz w:val="24"/>
        </w:rPr>
        <w:t>2024</w:t>
      </w:r>
      <w:r>
        <w:rPr>
          <w:rFonts w:ascii="宋体" w:hAnsi="宋体"/>
          <w:sz w:val="24"/>
        </w:rPr>
        <w:t>年</w:t>
      </w:r>
      <w:r w:rsidR="00853B5F">
        <w:rPr>
          <w:rFonts w:ascii="宋体" w:hAnsi="宋体" w:hint="eastAsia"/>
          <w:sz w:val="24"/>
        </w:rPr>
        <w:t>09</w:t>
      </w:r>
      <w:r>
        <w:rPr>
          <w:rFonts w:ascii="宋体" w:hAnsi="宋体"/>
          <w:sz w:val="24"/>
        </w:rPr>
        <w:t>月</w:t>
      </w:r>
      <w:r w:rsidR="00853B5F">
        <w:rPr>
          <w:rFonts w:ascii="宋体" w:hAnsi="宋体"/>
          <w:sz w:val="24"/>
        </w:rPr>
        <w:t>0</w:t>
      </w:r>
      <w:r w:rsidR="00447CBC">
        <w:rPr>
          <w:rFonts w:ascii="宋体" w:hAnsi="宋体"/>
          <w:sz w:val="24"/>
        </w:rPr>
        <w:t>5</w:t>
      </w:r>
      <w:r>
        <w:rPr>
          <w:rFonts w:ascii="宋体" w:hAnsi="宋体"/>
          <w:sz w:val="24"/>
        </w:rPr>
        <w:t>日，期后变动（如有）敬请关注基金管理人发布的相关公告。</w:t>
      </w:r>
    </w:p>
    <w:p w14:paraId="1E86CCD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346C5B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3BF83A1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CDA8F3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27B587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A16550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45C88C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39B132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5DF5B9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6D1F9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306987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5B865C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4C8BE9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2E858B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544596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C9C2C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5E6F87A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7B390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EB1896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3BF1A1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FBECE2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15F832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6DB220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658E6B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3CAE0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91F1B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796711F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022A1FE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2515D6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51C280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2DD615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0912BE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2F30375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67C7DA6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791254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14:paraId="4F30084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0BAB8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165639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04F0E9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293A34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390634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3E1622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22957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71E57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220B77C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2CFE44E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31A68D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5D7C9B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05E08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02704D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95D13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72B02C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6B9B4DA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FFFE0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665DB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1C9985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599B9AE" w14:textId="77777777" w:rsidR="00DA2BA8" w:rsidRPr="00DA2BA8" w:rsidRDefault="0054105E" w:rsidP="00DA2BA8">
      <w:pPr>
        <w:autoSpaceDE w:val="0"/>
        <w:autoSpaceDN w:val="0"/>
        <w:adjustRightInd w:val="0"/>
        <w:snapToGrid w:val="0"/>
        <w:spacing w:line="360" w:lineRule="auto"/>
        <w:ind w:firstLineChars="200" w:firstLine="480"/>
        <w:jc w:val="left"/>
        <w:rPr>
          <w:rFonts w:ascii="宋体" w:hAnsi="宋体" w:hint="eastAsia"/>
          <w:sz w:val="24"/>
        </w:rPr>
      </w:pPr>
      <w:r>
        <w:rPr>
          <w:rFonts w:ascii="宋体" w:hAnsi="宋体"/>
          <w:sz w:val="24"/>
        </w:rPr>
        <w:t>（8）</w:t>
      </w:r>
      <w:r w:rsidR="00DA2BA8" w:rsidRPr="00DA2BA8">
        <w:rPr>
          <w:rFonts w:ascii="宋体" w:hAnsi="宋体" w:hint="eastAsia"/>
          <w:sz w:val="24"/>
        </w:rPr>
        <w:t>内控合规及法律事务部</w:t>
      </w:r>
    </w:p>
    <w:p w14:paraId="1681756D" w14:textId="3E57CC68" w:rsidR="00EC1998" w:rsidRDefault="00DA2BA8" w:rsidP="00DA2BA8">
      <w:pPr>
        <w:autoSpaceDE w:val="0"/>
        <w:autoSpaceDN w:val="0"/>
        <w:adjustRightInd w:val="0"/>
        <w:snapToGrid w:val="0"/>
        <w:spacing w:line="360" w:lineRule="auto"/>
        <w:ind w:firstLineChars="200" w:firstLine="480"/>
        <w:jc w:val="left"/>
        <w:rPr>
          <w:rFonts w:ascii="宋体" w:hAnsi="宋体"/>
          <w:szCs w:val="24"/>
        </w:rPr>
      </w:pPr>
      <w:r w:rsidRPr="00DA2BA8">
        <w:rPr>
          <w:rFonts w:ascii="宋体" w:hAnsi="宋体" w:hint="eastAsia"/>
          <w:sz w:val="24"/>
        </w:rPr>
        <w:t>内控合规及法律事务部负责公司的法律、内控合规事务及协调实施信息披露事务，依法维护公司合法权益，</w:t>
      </w:r>
      <w:bookmarkStart w:id="7" w:name="_GoBack"/>
      <w:bookmarkEnd w:id="7"/>
      <w:r w:rsidRPr="00DA2BA8">
        <w:rPr>
          <w:rFonts w:ascii="宋体" w:hAnsi="宋体" w:hint="eastAsia"/>
          <w:sz w:val="24"/>
        </w:rPr>
        <w:t>评估并处理公司运营中发生的法律、内控合规及</w:t>
      </w:r>
      <w:r>
        <w:rPr>
          <w:rFonts w:ascii="宋体" w:hAnsi="宋体" w:hint="eastAsia"/>
          <w:sz w:val="24"/>
        </w:rPr>
        <w:t>信息披露相关问题，及时向公司管理层及全体员工传达法规及监管要求</w:t>
      </w:r>
      <w:r w:rsidR="0054105E">
        <w:rPr>
          <w:rFonts w:ascii="宋体" w:hAnsi="宋体"/>
          <w:sz w:val="24"/>
        </w:rPr>
        <w:t>。</w:t>
      </w:r>
    </w:p>
    <w:p w14:paraId="7F828C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E5F47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3856E1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7802CD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E7FCA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277FC5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6BD088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3A089EE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77C4C3A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5293DA2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D24F2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D73D9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406E777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68E966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5D10C9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802B0E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4A490A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6F1530CE"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FE32DE" w14:textId="77777777" w:rsidR="00EC1998" w:rsidRDefault="0054105E">
      <w:pPr>
        <w:pStyle w:val="1"/>
        <w:snapToGrid w:val="0"/>
        <w:spacing w:beforeLines="0" w:before="240" w:after="240"/>
        <w:rPr>
          <w:rFonts w:ascii="宋体" w:hAnsi="宋体"/>
          <w:szCs w:val="30"/>
        </w:rPr>
      </w:pPr>
      <w:bookmarkStart w:id="8" w:name="_Toc154650797"/>
      <w:r>
        <w:rPr>
          <w:rFonts w:ascii="Times New Roman" w:hAnsi="Times New Roman"/>
          <w:sz w:val="30"/>
        </w:rPr>
        <w:t>四、基金托管人</w:t>
      </w:r>
      <w:bookmarkEnd w:id="8"/>
    </w:p>
    <w:p w14:paraId="24F23502"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7AE856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3E5334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190FD9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1013EBA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办公地址：上海市银城路167号</w:t>
      </w:r>
    </w:p>
    <w:p w14:paraId="674552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98BD4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3463EA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7815B2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736E064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5EF2F4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99AF3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3882DC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F44E0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2、发展概况及财务状况</w:t>
      </w:r>
    </w:p>
    <w:p w14:paraId="6055D25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截至2023年6月30日，兴业银行资产总额达9.89万亿元，实现营业收入1110.47亿元，同比降低4.15%，全年实现归属于母公司股东的净利润426.80亿元。</w:t>
      </w:r>
    </w:p>
    <w:p w14:paraId="5772EA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开业三十多年来，兴业银行始终坚持“真诚服务，相伴成长”的经营理念，致力于为客户提供全面、优质、高效的金融服务。</w:t>
      </w:r>
    </w:p>
    <w:p w14:paraId="6E88347A"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（二）托管业务部部门设置及员工情况</w:t>
      </w:r>
    </w:p>
    <w:p w14:paraId="7A521F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总行设资产托管部，下设综合管理处、基金证券业务处、信托保险业务处、理财私募业务处、产品管理处、稽核监察处、投资监督管理处、运行管理处等处室，共有员工100余人，业务岗位人员均具有基金从业资格。</w:t>
      </w:r>
    </w:p>
    <w:p w14:paraId="3B9A386A"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2672FE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于2005年4月26日取得基金托管资格。基金托管业务批准文号：证监基金字[2005]74号。截至2023年9月30日，兴业银行共托管证券投资基金670只，托管基金的基金资产净值合计23386.83亿元，基金份额合计22572.13亿份。</w:t>
      </w:r>
    </w:p>
    <w:p w14:paraId="249ED183"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14:paraId="7BD8477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333A4E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5EE3C1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62831C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5AE07B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70FF0C6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（1）全面性原则：内部控制贯穿资产托管业务的全过程，覆盖各项业务和产品，以及从事资产托管业务的各机构和从业人员；</w:t>
      </w:r>
    </w:p>
    <w:p w14:paraId="038C05C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（2）重要性原则：内部控制应当在全面控制的基础上，关注重要业务事项和高风险领域；</w:t>
      </w:r>
    </w:p>
    <w:p w14:paraId="2DC6002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（3）独立性原则：开展托管业务的部门和岗位的设置应权责分明、相对独立、相互制衡；</w:t>
      </w:r>
    </w:p>
    <w:p w14:paraId="2000AA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（4）审慎性原则：内控与风险管理必须以防范风险，保证托管资产的安全与完整为出发点，“内控优先”，“制度优先”，审慎发展资产托管业务；</w:t>
      </w:r>
    </w:p>
    <w:p w14:paraId="54A2F4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（5）制衡性原则：内部控制应当在治理结构、机构设置及权责分配、业务流程等方面形成相互制约、相互监督，同时兼顾运营效率；</w:t>
      </w:r>
    </w:p>
    <w:p w14:paraId="0A9BAB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10FDE1F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（7）成本效益原则：内部控制应当权衡实施成本与预期效益，以适当的成本实现有效控制。</w:t>
      </w:r>
    </w:p>
    <w:p w14:paraId="76D2D58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4、内部控制制度及措施</w:t>
      </w:r>
    </w:p>
    <w:p w14:paraId="1156DE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（1）制度建设：建立了明确的岗位职责、科学的业务流程、详细的操作手册、严格的人员行为规范等一系列规章制度。</w:t>
      </w:r>
    </w:p>
    <w:p w14:paraId="4CB33B8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12FFBF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（3）风险识别与评估：稽核监察处指导业务处室进行风险识别、评估，制定并实施风险控制措施。</w:t>
      </w:r>
    </w:p>
    <w:p w14:paraId="7871BF2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（4）相对独立的业务操作空间：业务操作区相对独立，实施门禁管理和音像监控。</w:t>
      </w:r>
    </w:p>
    <w:p w14:paraId="3EC045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7140519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（6）应急预案：制定完备的《应急预案》，并组织员工定期演练；建立异地灾备中心，保证业务不中断。</w:t>
      </w:r>
    </w:p>
    <w:p w14:paraId="4B868683"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02E3313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60E4252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2B734EE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01A5A6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w:t>
      </w:r>
    </w:p>
    <w:p w14:paraId="4AFE5A2D"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D6428C" w14:textId="77777777" w:rsidR="00EC1998" w:rsidRDefault="0054105E">
      <w:pPr>
        <w:pStyle w:val="1"/>
        <w:snapToGrid w:val="0"/>
        <w:spacing w:beforeLines="0" w:before="240" w:after="240"/>
        <w:rPr>
          <w:rFonts w:ascii="宋体" w:hAnsi="宋体"/>
          <w:szCs w:val="30"/>
        </w:rPr>
      </w:pPr>
      <w:bookmarkStart w:id="9" w:name="_Toc154650798"/>
      <w:r>
        <w:rPr>
          <w:rFonts w:ascii="Times New Roman" w:hAnsi="Times New Roman"/>
          <w:sz w:val="30"/>
        </w:rPr>
        <w:t>五、相关服务机构</w:t>
      </w:r>
      <w:bookmarkEnd w:id="9"/>
    </w:p>
    <w:p w14:paraId="28C3BD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7853D7E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438F832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3A64F5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E3ED2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B171D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0E314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2A0619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DCDD0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BB1758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61F69A9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C95E8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E0FE42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2B149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56603A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44BED5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42297499" w14:textId="6D63FCE4" w:rsidR="00E431B9" w:rsidRDefault="00E431B9" w:rsidP="00E431B9">
      <w:pPr>
        <w:autoSpaceDE w:val="0"/>
        <w:autoSpaceDN w:val="0"/>
        <w:adjustRightInd w:val="0"/>
        <w:snapToGrid w:val="0"/>
        <w:spacing w:line="360" w:lineRule="auto"/>
        <w:ind w:firstLineChars="200" w:firstLine="480"/>
        <w:jc w:val="left"/>
        <w:rPr>
          <w:rFonts w:ascii="宋体" w:hAnsi="宋体"/>
          <w:sz w:val="24"/>
        </w:rPr>
      </w:pPr>
      <w:r w:rsidRPr="002D387B">
        <w:rPr>
          <w:rFonts w:ascii="宋体" w:hAnsi="宋体" w:hint="eastAsia"/>
          <w:sz w:val="24"/>
        </w:rPr>
        <w:t>本基金A类基金份额和C类基金份额除直销机构外的其他销售机构</w:t>
      </w:r>
      <w:r w:rsidR="00EE3FB8">
        <w:rPr>
          <w:rFonts w:ascii="宋体" w:hAnsi="宋体" w:hint="eastAsia"/>
          <w:sz w:val="24"/>
        </w:rPr>
        <w:t>如下</w:t>
      </w:r>
      <w:r w:rsidRPr="002D387B">
        <w:rPr>
          <w:rFonts w:ascii="宋体" w:hAnsi="宋体" w:hint="eastAsia"/>
          <w:sz w:val="24"/>
        </w:rPr>
        <w:t>：</w:t>
      </w:r>
    </w:p>
    <w:p w14:paraId="68011AD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0D70456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27239EA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1C8AD19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1496CA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77F198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A61A47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5EEF99A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28E7C5B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E98A99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（2）名称：平安银行股份有限公司</w:t>
      </w:r>
    </w:p>
    <w:p w14:paraId="21AFC5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6F32D4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0C20648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51BCE7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5711D6B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6267A4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3D2ABA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2B3F7D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3DAD738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14:paraId="4235DC0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2746FE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699EDF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0EE1B76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04466E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1D1B03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3050A1A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20554EC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（4）名称：招商银行股份有限公司</w:t>
      </w:r>
    </w:p>
    <w:p w14:paraId="03BC89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72E67A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0F08B28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5BB663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7F1C994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073045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1F1C42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12FFC6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797D08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14:paraId="4CB3F05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2E177A4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55BB56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0EEF82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157C4E6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5CD776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50EB78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748552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（6）名称：华西证券股份有限公司</w:t>
      </w:r>
    </w:p>
    <w:p w14:paraId="39C144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467E645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79DCE79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2AADD2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695FB4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1798CD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5C0CB7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6EDBC2C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7FCC94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（7）名称：国金证券股份有限公司</w:t>
      </w:r>
    </w:p>
    <w:p w14:paraId="667838F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2D2DD1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51DADF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54C543E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2ECBA9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563CE02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786F2B9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5BE896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04D23C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（8）名称：国信证券股份有限公司</w:t>
      </w:r>
    </w:p>
    <w:p w14:paraId="1070A6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4C9D46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48A8BFC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0CD126D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4ECC6D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13A243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5304E2B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7D795B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33BABD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（9）名称：中信建投证券股份有限公司</w:t>
      </w:r>
    </w:p>
    <w:p w14:paraId="1E0543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4B0AAB5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35B175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089A76E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28D0A57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67693B8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4B1E37D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6151D02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1AAA80B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（10）名称：北京肯特瑞基金销售有限公司</w:t>
      </w:r>
    </w:p>
    <w:p w14:paraId="1A17E6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21E1AC8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69A4CA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1F97C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0B233E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62178C1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3C6637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873DD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4FF4A5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（11）名称：上海基煜基金销售有限公司</w:t>
      </w:r>
    </w:p>
    <w:p w14:paraId="777DEE8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353562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5C1FFD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523CB4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7DF28E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5D4CAC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617FAA3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79B2BB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58CD39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（12）名称：北京汇成基金销售有限公司</w:t>
      </w:r>
    </w:p>
    <w:p w14:paraId="5426119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537EBF1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407627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0FC613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3CF6D6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6483FC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366782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3C16089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3454BB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（13）名称：北京中植基金销售有限公司</w:t>
      </w:r>
    </w:p>
    <w:p w14:paraId="31A0BF7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7EDE5F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33FE88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46D0E6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5720B6F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1D1755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234A3F8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7273BA2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5CB8D55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（14）名称：腾安基金销售（深圳）有限公司</w:t>
      </w:r>
    </w:p>
    <w:p w14:paraId="39DD31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5C33B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5DD537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57CFAE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5571ECA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0E9098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5C2480A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7F6897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（15）名称：上海挖财金融信息服务有限公司</w:t>
      </w:r>
    </w:p>
    <w:p w14:paraId="6A890DF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26E9E8B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7690A2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25C8E7A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276C9AC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0C79E63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3B806D8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48F655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D4DC07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（16）名称：南京苏宁基金销售有限公司</w:t>
      </w:r>
    </w:p>
    <w:p w14:paraId="1ADDBB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4771B3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6FF35E5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667855F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1872E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2A04B8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1214489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F31D2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256825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（17）名称：上海利得基金销售有限公司</w:t>
      </w:r>
    </w:p>
    <w:p w14:paraId="277B04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3572AAA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0B0954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00074D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33222E5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415815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6B4BEC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5AC901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6C586E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（18）名称：上海联泰基金销售有限公司</w:t>
      </w:r>
    </w:p>
    <w:p w14:paraId="17A50B9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31BA530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541036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0CF714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7DC903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23962C9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33A7B2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05931A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7777F4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（19）名称：上海万得基金销售有限公司</w:t>
      </w:r>
    </w:p>
    <w:p w14:paraId="4FEE9DE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102C22A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083A06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51B588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751FD0B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6096D3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15415E3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07C759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05B09DC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（20）名称：北京创金启富基金销售有限公司</w:t>
      </w:r>
    </w:p>
    <w:p w14:paraId="63A24C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646005A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52C5D39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0A537F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403E1A3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297FCF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274450B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02D9ACC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73C684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（21）名称：北京度小满基金销售有限公司</w:t>
      </w:r>
    </w:p>
    <w:p w14:paraId="21CB33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0B739C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6D3C15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351BAD6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01D776D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41F6378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DBDC6D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1482BD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76BE709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（22）名称：珠海盈米财富管理有限公司</w:t>
      </w:r>
    </w:p>
    <w:p w14:paraId="02F326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451CCD9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7D0900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5D74EBA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6981F73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39F672C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3E9E9F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66673A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21354A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（23）名称：上海天天基金销售有限公司</w:t>
      </w:r>
    </w:p>
    <w:p w14:paraId="147C0EF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65656A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947C8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01E46D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34804D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CEF40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317F7C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02C826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3B6CB3EB" w14:textId="77777777" w:rsidR="00E431B9" w:rsidRDefault="00E431B9" w:rsidP="00E431B9">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本基金D</w:t>
      </w:r>
      <w:r>
        <w:rPr>
          <w:rFonts w:ascii="宋体" w:hAnsi="宋体" w:hint="eastAsia"/>
          <w:sz w:val="24"/>
        </w:rPr>
        <w:t>类基金份额暂仅</w:t>
      </w:r>
      <w:r w:rsidRPr="001B36AC">
        <w:rPr>
          <w:rFonts w:ascii="宋体" w:hAnsi="宋体" w:hint="eastAsia"/>
          <w:sz w:val="24"/>
        </w:rPr>
        <w:t>通过直销机构销售。</w:t>
      </w:r>
    </w:p>
    <w:p w14:paraId="53779D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基金管理人可根据有关法律法规的要求，选择其它符合要求的机构销售本基金，并及时公告。</w:t>
      </w:r>
    </w:p>
    <w:p w14:paraId="2EEA0E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644414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2E448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2AC9C5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19B80CD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44D098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11849E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27BD28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1ED470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56F2D1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3C692C2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9CEAD9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8E6CE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99E30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54BB1B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29282B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051994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172661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5CC36A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4FC9666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7C6AF8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2EDD79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018D69C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291E95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155897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02C740B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310A3729"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F2E218" w14:textId="77777777" w:rsidR="00EC1998" w:rsidRDefault="0054105E">
      <w:pPr>
        <w:pStyle w:val="1"/>
        <w:snapToGrid w:val="0"/>
        <w:spacing w:beforeLines="0" w:before="240" w:after="240"/>
        <w:rPr>
          <w:rFonts w:ascii="宋体" w:hAnsi="宋体"/>
          <w:szCs w:val="30"/>
        </w:rPr>
      </w:pPr>
      <w:bookmarkStart w:id="10" w:name="_Toc154650799"/>
      <w:r>
        <w:rPr>
          <w:rFonts w:ascii="Times New Roman" w:hAnsi="Times New Roman"/>
          <w:sz w:val="30"/>
        </w:rPr>
        <w:t>六、基金的募集</w:t>
      </w:r>
      <w:bookmarkEnd w:id="10"/>
    </w:p>
    <w:p w14:paraId="53D8A2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本基金由基金管理人依照《基金法》、《运作办法》、《销售办法》、基金合同及其他有关规定，并经中国证监会2015年12月1日证监许可[2015] 2792号文准予募集注册。</w:t>
      </w:r>
    </w:p>
    <w:p w14:paraId="38E965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6CE090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7E1ACB7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本基金自2015年12月16日至2015年 12月24日进行发售，本基金设立募集期共募集221,277,337.36份基金份额，有效认购户数为528户。</w:t>
      </w:r>
    </w:p>
    <w:p w14:paraId="64FC3187"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04E2C8" w14:textId="77777777" w:rsidR="00EC1998" w:rsidRDefault="0054105E">
      <w:pPr>
        <w:pStyle w:val="1"/>
        <w:snapToGrid w:val="0"/>
        <w:spacing w:beforeLines="0" w:before="240" w:after="240"/>
        <w:rPr>
          <w:rFonts w:ascii="宋体" w:hAnsi="宋体"/>
          <w:szCs w:val="30"/>
        </w:rPr>
      </w:pPr>
      <w:bookmarkStart w:id="11" w:name="_Toc154650800"/>
      <w:r>
        <w:rPr>
          <w:rFonts w:ascii="Times New Roman" w:hAnsi="Times New Roman"/>
          <w:sz w:val="30"/>
        </w:rPr>
        <w:t>七、基金合同的生效</w:t>
      </w:r>
      <w:bookmarkEnd w:id="11"/>
    </w:p>
    <w:p w14:paraId="687CEB3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根据有关规定，本基金满足基金合同生效条件，基金合同已于2015年12月29日正式生效。自基金合同生效之日起，本基金管理人正式开始管理本基金。</w:t>
      </w:r>
    </w:p>
    <w:p w14:paraId="1B58B8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五十个工作日出现基金份额持有人数量不满200人或者基金资产净值低于5000万元情形的，基金管理人提前终止基金合同，不需召开基金份额持有人大会。</w:t>
      </w:r>
    </w:p>
    <w:p w14:paraId="3597F77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21FCBEA3"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2A2E1B" w14:textId="77777777" w:rsidR="00EC1998" w:rsidRDefault="0054105E">
      <w:pPr>
        <w:pStyle w:val="1"/>
        <w:snapToGrid w:val="0"/>
        <w:spacing w:beforeLines="0" w:before="240" w:after="240"/>
        <w:rPr>
          <w:rFonts w:ascii="宋体" w:hAnsi="宋体"/>
          <w:szCs w:val="30"/>
        </w:rPr>
      </w:pPr>
      <w:bookmarkStart w:id="12" w:name="_Toc154650801"/>
      <w:r>
        <w:rPr>
          <w:rFonts w:ascii="Times New Roman" w:hAnsi="Times New Roman"/>
          <w:sz w:val="30"/>
        </w:rPr>
        <w:t>八、基金份额的申购与赎回</w:t>
      </w:r>
      <w:bookmarkEnd w:id="12"/>
    </w:p>
    <w:p w14:paraId="0537B92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45C78E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3A329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568CF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14:paraId="50F1F2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CFCC65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851DA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749E3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8B5713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3C6005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E08A30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C6373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E4EF5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个人投资者可以通过基金管理人网上直销交易平台办理开户、本基金的申购、赎回、转换及定期定额投资等业务，具体交易细则请参阅基金管理人网站。网上直销交易平台网址：www.fund001.com</w:t>
      </w:r>
    </w:p>
    <w:p w14:paraId="663BB3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B55715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37E9954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170FD47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5571B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09C4B7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5AAFA1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EDB35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5A9CA7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11318948" w14:textId="77777777" w:rsidR="00E431B9" w:rsidRDefault="0054105E" w:rsidP="00E431B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E431B9" w:rsidRPr="00944F9C">
        <w:rPr>
          <w:rFonts w:ascii="宋体" w:hAnsi="宋体" w:hint="eastAsia"/>
          <w:sz w:val="24"/>
        </w:rPr>
        <w:t>A类基金份额</w:t>
      </w:r>
      <w:r w:rsidR="00E431B9">
        <w:rPr>
          <w:rFonts w:ascii="宋体" w:hAnsi="宋体" w:hint="eastAsia"/>
          <w:sz w:val="24"/>
        </w:rPr>
        <w:t>和</w:t>
      </w:r>
      <w:r w:rsidR="00E431B9">
        <w:rPr>
          <w:rFonts w:ascii="宋体" w:hAnsi="宋体"/>
          <w:sz w:val="24"/>
        </w:rPr>
        <w:t>C</w:t>
      </w:r>
      <w:r w:rsidR="00E431B9" w:rsidRPr="00A65A0C">
        <w:rPr>
          <w:rFonts w:ascii="宋体" w:hAnsi="宋体" w:hint="eastAsia"/>
          <w:sz w:val="24"/>
        </w:rPr>
        <w:t>类基金份额</w:t>
      </w:r>
      <w:r>
        <w:rPr>
          <w:rFonts w:ascii="宋体" w:hAnsi="宋体"/>
          <w:sz w:val="24"/>
        </w:rPr>
        <w:t>已于2016年1月26日起开放申购、赎回业务。</w:t>
      </w:r>
    </w:p>
    <w:p w14:paraId="46CF0557" w14:textId="224F00CD" w:rsidR="00EC1998" w:rsidRDefault="00E431B9" w:rsidP="00E431B9">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sz w:val="24"/>
        </w:rPr>
        <w:t>D</w:t>
      </w:r>
      <w:r w:rsidRPr="00A9408D">
        <w:rPr>
          <w:rFonts w:ascii="宋体" w:hAnsi="宋体" w:hint="eastAsia"/>
          <w:sz w:val="24"/>
        </w:rPr>
        <w:t>类基金份额于</w:t>
      </w:r>
      <w:r>
        <w:rPr>
          <w:rFonts w:ascii="宋体" w:hAnsi="宋体"/>
          <w:sz w:val="24"/>
        </w:rPr>
        <w:t>2024</w:t>
      </w:r>
      <w:r w:rsidRPr="00A9408D">
        <w:rPr>
          <w:rFonts w:ascii="宋体" w:hAnsi="宋体"/>
          <w:sz w:val="24"/>
        </w:rPr>
        <w:t>年</w:t>
      </w:r>
      <w:r w:rsidR="00D0695E">
        <w:rPr>
          <w:rFonts w:ascii="宋体" w:hAnsi="宋体"/>
          <w:sz w:val="24"/>
        </w:rPr>
        <w:t>9</w:t>
      </w:r>
      <w:r w:rsidRPr="00A9408D">
        <w:rPr>
          <w:rFonts w:ascii="宋体" w:hAnsi="宋体" w:hint="eastAsia"/>
          <w:sz w:val="24"/>
        </w:rPr>
        <w:t>月</w:t>
      </w:r>
      <w:r w:rsidR="00447CBC">
        <w:rPr>
          <w:rFonts w:ascii="宋体" w:hAnsi="宋体"/>
          <w:sz w:val="24"/>
        </w:rPr>
        <w:t>6</w:t>
      </w:r>
      <w:r w:rsidRPr="00A9408D">
        <w:rPr>
          <w:rFonts w:ascii="宋体" w:hAnsi="宋体" w:hint="eastAsia"/>
          <w:sz w:val="24"/>
        </w:rPr>
        <w:t>日起开放申购、赎回业务。</w:t>
      </w:r>
    </w:p>
    <w:p w14:paraId="0F0CBC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69B5DC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4168FF1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41016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284424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5943A6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346570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0C858F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7AE385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58D14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销售机构的规定为准。</w:t>
      </w:r>
    </w:p>
    <w:p w14:paraId="1046D9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90415B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7CC0C6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0A9938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331437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996A3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130D34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7C911E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663D6C9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D7BDB4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73975D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10E043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0681C01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3AB37F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340C40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36AD1B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9F991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665D2A9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1F38C1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5F6D87C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07FE39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3EF87D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5DF40399" w14:textId="762CB218"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w:t>
      </w:r>
      <w:r w:rsidR="00926FC3">
        <w:rPr>
          <w:rFonts w:ascii="宋体" w:hAnsi="宋体" w:hint="eastAsia"/>
          <w:sz w:val="24"/>
        </w:rPr>
        <w:t>基金份额、</w:t>
      </w:r>
      <w:r>
        <w:rPr>
          <w:rFonts w:ascii="宋体" w:hAnsi="宋体"/>
          <w:sz w:val="24"/>
        </w:rPr>
        <w:t>C类基金份额</w:t>
      </w:r>
      <w:r w:rsidR="00926FC3" w:rsidRPr="00770924">
        <w:rPr>
          <w:rFonts w:ascii="宋体" w:hAnsi="宋体" w:hint="eastAsia"/>
          <w:sz w:val="24"/>
        </w:rPr>
        <w:t>和D类基金份额</w:t>
      </w:r>
      <w:r>
        <w:rPr>
          <w:rFonts w:ascii="宋体" w:hAnsi="宋体"/>
          <w:sz w:val="24"/>
        </w:rPr>
        <w:t>。投资人申购A类基金份额</w:t>
      </w:r>
      <w:r w:rsidR="00983EA5" w:rsidRPr="00983EA5">
        <w:rPr>
          <w:rFonts w:ascii="宋体" w:hAnsi="宋体" w:hint="eastAsia"/>
          <w:sz w:val="24"/>
        </w:rPr>
        <w:t>或D类基金份额</w:t>
      </w:r>
      <w:r>
        <w:rPr>
          <w:rFonts w:ascii="宋体" w:hAnsi="宋体"/>
          <w:sz w:val="24"/>
        </w:rPr>
        <w:t>在申购时支付申购费用，申购C类基金份额不支付申购费用，而是从该类别基金资产中计提销售服务费。</w:t>
      </w:r>
    </w:p>
    <w:p w14:paraId="753AEBD5" w14:textId="732DA3C8"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BB371F" w:rsidRPr="00770924">
        <w:rPr>
          <w:rFonts w:ascii="宋体" w:hAnsi="宋体" w:hint="eastAsia"/>
          <w:sz w:val="24"/>
        </w:rPr>
        <w:t>和D类基金份额</w:t>
      </w:r>
      <w:r>
        <w:rPr>
          <w:rFonts w:ascii="宋体" w:hAnsi="宋体"/>
          <w:sz w:val="24"/>
        </w:rPr>
        <w:t>的申购费用由申购</w:t>
      </w:r>
      <w:r w:rsidR="00D01F00">
        <w:rPr>
          <w:rFonts w:ascii="宋体" w:hAnsi="宋体" w:hint="eastAsia"/>
          <w:sz w:val="24"/>
        </w:rPr>
        <w:t>该类基金份额的</w:t>
      </w:r>
      <w:r w:rsidR="00AB1261">
        <w:rPr>
          <w:rFonts w:ascii="宋体" w:hAnsi="宋体" w:hint="eastAsia"/>
          <w:sz w:val="24"/>
        </w:rPr>
        <w:t>投资</w:t>
      </w:r>
      <w:r>
        <w:rPr>
          <w:rFonts w:ascii="宋体" w:hAnsi="宋体"/>
          <w:sz w:val="24"/>
        </w:rPr>
        <w:t>人承担，不列入基金财产，主要用于本基金的市场推广、销售、登记结算等各项费用。</w:t>
      </w:r>
    </w:p>
    <w:p w14:paraId="70762FC1" w14:textId="5D888189"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442AF2" w:rsidRPr="00AD594D">
        <w:rPr>
          <w:rFonts w:ascii="宋体" w:hAnsi="宋体" w:hint="eastAsia"/>
          <w:sz w:val="24"/>
        </w:rPr>
        <w:t>A类基金份额和D类基金份额</w:t>
      </w:r>
      <w:r>
        <w:rPr>
          <w:rFonts w:ascii="宋体" w:hAnsi="宋体"/>
          <w:sz w:val="24"/>
        </w:rPr>
        <w:t>申购费用按每笔</w:t>
      </w:r>
      <w:r w:rsidR="00081703">
        <w:rPr>
          <w:rFonts w:ascii="宋体" w:hAnsi="宋体" w:hint="eastAsia"/>
          <w:sz w:val="24"/>
        </w:rPr>
        <w:t>该类基金份额</w:t>
      </w:r>
      <w:r>
        <w:rPr>
          <w:rFonts w:ascii="宋体" w:hAnsi="宋体"/>
          <w:sz w:val="24"/>
        </w:rPr>
        <w:t>申购申请单独计算。</w:t>
      </w:r>
    </w:p>
    <w:p w14:paraId="0112F62E" w14:textId="1BB07BA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F2460E">
        <w:rPr>
          <w:rFonts w:ascii="宋体" w:hAnsi="宋体"/>
          <w:sz w:val="24"/>
        </w:rPr>
        <w:t>（非养老金客户）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14:paraId="2C8DD03A" w14:textId="77777777" w:rsidTr="003576BD">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F7AE7F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92139A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AAEBCC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EC1998" w14:paraId="287AD4A4"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77A0D0C"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053663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A862D0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EC1998" w14:paraId="30690019"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B3C7107"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8C8D03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E9A4EE"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EC1998" w14:paraId="7A186472"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7359D6B"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EE4DFA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D64AB9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EC1998" w14:paraId="1BD3EB86"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4D27562"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8EDEFC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B1410C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EC1998" w14:paraId="2367A672"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BFF2FA0"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7D2CC96" w14:textId="69AE05F8"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3576BD">
              <w:rPr>
                <w:rFonts w:ascii="Times New Roman" w:hAnsi="Times New Roman"/>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6CFF90E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98573BC" w14:textId="77777777" w:rsidR="003576BD" w:rsidRDefault="003576BD" w:rsidP="003576B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576BD" w14:paraId="6815DAFF" w14:textId="77777777" w:rsidTr="005F422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FB5C364" w14:textId="77777777" w:rsidR="003576BD" w:rsidRDefault="003576BD"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7B15DA32" w14:textId="77777777" w:rsidR="003576BD" w:rsidRDefault="003576BD"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060AE92" w14:textId="77777777" w:rsidR="003576BD" w:rsidRDefault="003576BD"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3576BD" w14:paraId="0352D5A6"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97F5F2D" w14:textId="77777777" w:rsidR="003576BD"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6730277" w14:textId="77777777" w:rsidR="003576BD" w:rsidRDefault="003576BD"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55323CC9" w14:textId="77777777" w:rsidR="003576BD" w:rsidRDefault="003576BD"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3576BD" w14:paraId="1DCA7543"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BDAE0A1" w14:textId="77777777" w:rsidR="003576BD"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6E8311F" w14:textId="77777777" w:rsidR="003576BD" w:rsidRDefault="003576BD"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4B13853" w14:textId="77777777" w:rsidR="003576BD" w:rsidRDefault="003576BD"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3576BD" w14:paraId="139981DA"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B014C26" w14:textId="77777777" w:rsidR="003576BD"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D35293" w14:textId="77777777" w:rsidR="003576BD" w:rsidRDefault="003576BD"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513CC82" w14:textId="77777777" w:rsidR="003576BD" w:rsidRDefault="003576BD"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576BD" w14:paraId="6FC04E6F"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3174DF5" w14:textId="77777777" w:rsidR="003576BD"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016679A" w14:textId="77777777" w:rsidR="003576BD" w:rsidRDefault="003576BD"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691503E" w14:textId="77777777" w:rsidR="003576BD" w:rsidRDefault="003576BD"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3576BD" w14:paraId="02A211D2"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F8DF874" w14:textId="77777777" w:rsidR="003576BD"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48144FE" w14:textId="77777777" w:rsidR="003576BD" w:rsidRDefault="003576BD"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E40AFB9" w14:textId="3441F8C1" w:rsidR="003576BD" w:rsidRDefault="003576BD" w:rsidP="003576B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5A692EDE" w14:textId="2108F7C3"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w:t>
      </w:r>
      <w:r w:rsidR="00903D65">
        <w:rPr>
          <w:rFonts w:ascii="宋体" w:hAnsi="宋体" w:hint="eastAsia"/>
          <w:sz w:val="24"/>
        </w:rPr>
        <w:t>或D类基金份额</w:t>
      </w:r>
      <w:r>
        <w:rPr>
          <w:rFonts w:ascii="宋体" w:hAnsi="宋体"/>
          <w:sz w:val="24"/>
        </w:rPr>
        <w:t>的投资人因红利自动再投资而产生的A类基金份额</w:t>
      </w:r>
      <w:r w:rsidR="00903D65">
        <w:rPr>
          <w:rFonts w:ascii="宋体" w:hAnsi="宋体" w:hint="eastAsia"/>
          <w:sz w:val="24"/>
        </w:rPr>
        <w:t>或D类基金份额</w:t>
      </w:r>
      <w:r>
        <w:rPr>
          <w:rFonts w:ascii="宋体" w:hAnsi="宋体"/>
          <w:sz w:val="24"/>
        </w:rPr>
        <w:t>，不收取相应的申购费用。</w:t>
      </w:r>
    </w:p>
    <w:p w14:paraId="1037D11E" w14:textId="50684691"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903D65">
        <w:rPr>
          <w:rFonts w:ascii="宋体" w:hAnsi="宋体" w:hint="eastAsia"/>
          <w:sz w:val="24"/>
        </w:rPr>
        <w:t>或D类基金份额</w:t>
      </w:r>
      <w:r>
        <w:rPr>
          <w:rFonts w:ascii="宋体" w:hAnsi="宋体"/>
          <w:sz w:val="24"/>
        </w:rPr>
        <w:t>的养老金客户实施特定申购费率。</w:t>
      </w:r>
    </w:p>
    <w:p w14:paraId="485E36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616D0EF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14:paraId="7C379180" w14:textId="77777777" w:rsidTr="00BF436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FE2F0E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0413825"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5113B5F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EC1998" w14:paraId="11B6BDAB"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AD5C91E"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6917A3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460A3C4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EC1998" w14:paraId="2D3414AD"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A970F1B"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02B4B5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7F5010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EC1998" w14:paraId="1DE0A252"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209F11E"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273E7C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38EF1D8"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EC1998" w14:paraId="162F4BE0"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BFD5C4"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3789FF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59D7F7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EC1998" w14:paraId="16E14F86"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F7E95D6" w14:textId="77777777" w:rsidR="00EC1998"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646F4D5" w14:textId="565B7CF8"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BF4365">
              <w:rPr>
                <w:rFonts w:ascii="Times New Roman" w:hAnsi="Times New Roman"/>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0B2B4AC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AC19219" w14:textId="77777777" w:rsidR="00BF4365" w:rsidRDefault="00BF4365" w:rsidP="00BF436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BF4365" w14:paraId="6729DF55" w14:textId="77777777" w:rsidTr="005F422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F0E9EDF" w14:textId="77777777" w:rsidR="00BF4365" w:rsidRDefault="00BF4365"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6EF1D063" w14:textId="77777777" w:rsidR="00BF4365" w:rsidRDefault="00BF4365"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DD45E13" w14:textId="77777777" w:rsidR="00BF4365" w:rsidRDefault="00BF4365" w:rsidP="005F4223">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类基金份额特定申购费率</w:t>
            </w:r>
          </w:p>
        </w:tc>
      </w:tr>
      <w:tr w:rsidR="00BF4365" w14:paraId="3DBCBC49"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C69B750" w14:textId="77777777" w:rsidR="00BF4365"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EAA666F" w14:textId="77777777" w:rsidR="00BF4365" w:rsidRDefault="00BF4365"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A287928" w14:textId="77777777" w:rsidR="00BF4365" w:rsidRDefault="00BF4365"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BF4365" w14:paraId="5A396220"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C9024AC" w14:textId="77777777" w:rsidR="00BF4365"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0DBA065" w14:textId="77777777" w:rsidR="00BF4365" w:rsidRDefault="00BF4365"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4A50839" w14:textId="77777777" w:rsidR="00BF4365" w:rsidRDefault="00BF4365"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BF4365" w14:paraId="435A6B44"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6764349" w14:textId="77777777" w:rsidR="00BF4365"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200234E" w14:textId="77777777" w:rsidR="00BF4365" w:rsidRDefault="00BF4365"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5754BB" w14:textId="77777777" w:rsidR="00BF4365" w:rsidRDefault="00BF4365"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BF4365" w14:paraId="7DDB6E1D"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ED1E7AA" w14:textId="77777777" w:rsidR="00BF4365"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5B16E66" w14:textId="77777777" w:rsidR="00BF4365" w:rsidRDefault="00BF4365"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2E532D2" w14:textId="77777777" w:rsidR="00BF4365" w:rsidRDefault="00BF4365"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BF4365" w14:paraId="72DF0486"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61C47D8" w14:textId="77777777" w:rsidR="00BF4365"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5FD064E" w14:textId="77777777" w:rsidR="00BF4365" w:rsidRDefault="00BF4365"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6E7BA33" w14:textId="4841C0AD" w:rsidR="00BF4365" w:rsidRDefault="00BF4365" w:rsidP="00BF436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70BD8C40" w14:textId="77777777" w:rsidR="00BF4365" w:rsidRDefault="00BF4365" w:rsidP="00BF436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32BA71F4" w14:textId="77777777" w:rsidR="00BF4365" w:rsidRDefault="00BF4365" w:rsidP="00BF4365">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1FBD1002" w14:textId="0FAFBDFB"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331BD8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4E459E98" w14:textId="7330F9A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投资者赎回基金份额收取赎回费用，该费用随基金份额的持有时间递减。本基金A类基金份额</w:t>
      </w:r>
      <w:r w:rsidR="00E57CAC">
        <w:rPr>
          <w:rFonts w:ascii="宋体" w:hAnsi="宋体" w:hint="eastAsia"/>
          <w:sz w:val="24"/>
        </w:rPr>
        <w:t>、</w:t>
      </w:r>
      <w:r>
        <w:rPr>
          <w:rFonts w:ascii="宋体" w:hAnsi="宋体"/>
          <w:sz w:val="24"/>
        </w:rPr>
        <w:t>C类基金份额</w:t>
      </w:r>
      <w:r w:rsidR="00E57CAC">
        <w:rPr>
          <w:rFonts w:ascii="宋体" w:hAnsi="宋体" w:hint="eastAsia"/>
          <w:sz w:val="24"/>
        </w:rPr>
        <w:t>和D类基金份额</w:t>
      </w:r>
      <w:r>
        <w:rPr>
          <w:rFonts w:ascii="宋体" w:hAnsi="宋体"/>
          <w:sz w:val="24"/>
        </w:rPr>
        <w:t>的赎回费用由赎回</w:t>
      </w:r>
      <w:r w:rsidR="003927AE">
        <w:rPr>
          <w:rFonts w:ascii="宋体" w:hAnsi="宋体"/>
          <w:sz w:val="24"/>
        </w:rPr>
        <w:t>该类基金份额</w:t>
      </w:r>
      <w:r w:rsidR="003314F3">
        <w:rPr>
          <w:rFonts w:ascii="宋体" w:hAnsi="宋体" w:hint="eastAsia"/>
          <w:sz w:val="24"/>
        </w:rPr>
        <w:t>的基金份额持有</w:t>
      </w:r>
      <w:r>
        <w:rPr>
          <w:rFonts w:ascii="宋体" w:hAnsi="宋体"/>
          <w:sz w:val="24"/>
        </w:rPr>
        <w:t>人承担，赎回费总额的25%应归基金财产，其余用于支付登记费和其他必要的手续费。其中，对持续持有期少于7日的基金份额持有人收取不低于1.5%的赎回费并全额计入基金财产。</w:t>
      </w:r>
    </w:p>
    <w:p w14:paraId="5FE215E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14:paraId="4A7C8DE0"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F6EC28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5729110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5D7E1F1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EC1998" w14:paraId="569CDB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5BAB42" w14:textId="77777777" w:rsidR="00EC1998" w:rsidRDefault="00EC1998">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2C5D78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AE8F8C7"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EC1998" w14:paraId="4E339C2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A6AC5D" w14:textId="77777777" w:rsidR="00EC1998" w:rsidRDefault="00EC1998">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72F494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C1BB675"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EC1998" w14:paraId="49B43CD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CF9F1D0" w14:textId="77777777" w:rsidR="00EC1998" w:rsidRDefault="00EC1998">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BBE7F2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26208C5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28F0B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14:paraId="77835F9D" w14:textId="77777777" w:rsidTr="00782B9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4B90FF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2AA5F768"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C111C9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EC1998" w14:paraId="6579227B" w14:textId="77777777" w:rsidTr="00782B9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5F80D2A" w14:textId="77777777" w:rsidR="00EC1998" w:rsidRDefault="00EC199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81DB2F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4666813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EC1998" w14:paraId="2B818F98" w14:textId="77777777" w:rsidTr="00782B9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32CA54B" w14:textId="77777777" w:rsidR="00EC1998" w:rsidRDefault="00EC199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2CE1B9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0804641E"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9EDCFB6" w14:textId="77777777" w:rsidR="00782B9F" w:rsidRDefault="00782B9F" w:rsidP="00782B9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782B9F" w14:paraId="43AAA54C" w14:textId="77777777" w:rsidTr="005F422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13466BB0" w14:textId="2B1D271E" w:rsidR="00782B9F" w:rsidRDefault="00782B9F"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F9DE800" w14:textId="77777777" w:rsidR="00782B9F" w:rsidRDefault="00782B9F"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7DA1028" w14:textId="77777777" w:rsidR="00782B9F" w:rsidRDefault="00782B9F"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782B9F" w14:paraId="1C037F21"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4943B7D" w14:textId="77777777" w:rsidR="00782B9F" w:rsidRDefault="00782B9F" w:rsidP="005F422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5BAECF2" w14:textId="77777777" w:rsidR="00782B9F" w:rsidRDefault="00782B9F" w:rsidP="005F422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2F20E525" w14:textId="77777777" w:rsidR="00782B9F" w:rsidRDefault="00782B9F" w:rsidP="005F422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92880" w14:paraId="1D950276"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30E1CA" w14:textId="77777777" w:rsidR="00992880" w:rsidRDefault="00992880" w:rsidP="00992880">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752E330" w14:textId="196CF016" w:rsidR="00992880" w:rsidRDefault="00992880" w:rsidP="0099288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71E29C59" w14:textId="77777777" w:rsidR="00992880" w:rsidRDefault="00992880" w:rsidP="0099288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46E72A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3C30CE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77A646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6D6B1D7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4156015F" w14:textId="1414D394"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（1）申购的有效份额为净申购金额除以当日</w:t>
      </w:r>
      <w:r w:rsidR="008627F3" w:rsidRPr="008067C8">
        <w:rPr>
          <w:rFonts w:hint="eastAsia"/>
          <w:bCs/>
          <w:sz w:val="24"/>
        </w:rPr>
        <w:t>该类基金份额</w:t>
      </w:r>
      <w:r>
        <w:rPr>
          <w:rFonts w:ascii="宋体" w:hAnsi="宋体"/>
          <w:sz w:val="24"/>
        </w:rPr>
        <w:t>的基金份额净值，有效份额单位为份，申购份额计算结果按四舍五入方法，保留到小数点后2位，由此产生的收益或损失由基金财产承担。</w:t>
      </w:r>
    </w:p>
    <w:p w14:paraId="1B7F7AB2" w14:textId="469785E6"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w:t>
      </w:r>
      <w:r w:rsidR="008627F3" w:rsidRPr="00DE4CA2">
        <w:rPr>
          <w:rFonts w:ascii="宋体" w:hAnsi="宋体" w:hint="eastAsia"/>
          <w:sz w:val="24"/>
        </w:rPr>
        <w:t>该类基金份额的</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0492C8B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E2A19D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bookmarkStart w:id="13" w:name="_Hlk174718641"/>
      <w:r>
        <w:rPr>
          <w:rFonts w:ascii="宋体" w:hAnsi="宋体"/>
          <w:sz w:val="24"/>
        </w:rPr>
        <w:t>（1）A类基金份额的申购</w:t>
      </w:r>
    </w:p>
    <w:p w14:paraId="002D803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C9D235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36174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2CB209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525836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4B2FA338" w14:textId="76256CC3"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480A0F">
        <w:rPr>
          <w:rFonts w:ascii="宋体" w:hAnsi="宋体"/>
          <w:noProof/>
          <w:kern w:val="0"/>
          <w:sz w:val="24"/>
        </w:rPr>
        <w:drawing>
          <wp:inline distT="0" distB="0" distL="0" distR="0" wp14:anchorId="298DB397" wp14:editId="5A7FDBF0">
            <wp:extent cx="2018665" cy="56261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665" cy="562610"/>
                    </a:xfrm>
                    <a:prstGeom prst="rect">
                      <a:avLst/>
                    </a:prstGeom>
                    <a:noFill/>
                    <a:ln>
                      <a:noFill/>
                    </a:ln>
                  </pic:spPr>
                </pic:pic>
              </a:graphicData>
            </a:graphic>
          </wp:inline>
        </w:drawing>
      </w:r>
    </w:p>
    <w:bookmarkEnd w:id="13"/>
    <w:p w14:paraId="7D95852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例一：某投资者（非养老金客户）投资100,000元申购本基金的A类基金份额，假设申购当日A类基金份额净值为1.0400元，申购费率为0.8%，则其可得到的申购份额为：</w:t>
      </w:r>
    </w:p>
    <w:p w14:paraId="6C21A2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61585C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15E3D8A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60FB5E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26625AA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即：某投资者（非养老金客户）投资100,000元申购本基金，假设申购当日A类基金份额净值为1.0400元，如果其选择申购A类基金份额，则其可得到95,390.72份基金份额。</w:t>
      </w:r>
    </w:p>
    <w:p w14:paraId="263DB2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例二：某养老金客户投资100,000元通过基金管理人的直销柜台申购本基金的A类基金份额，假设申购当日A类基金份额净值为1.0400元，申购费率为0.32%，则其可得到的申购份额为：</w:t>
      </w:r>
    </w:p>
    <w:p w14:paraId="27EE46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7B0654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3CF702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6B3999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1BB7CAD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即：该养老金客户投资100,000元通过基金管理人的直销柜台申购本基金的A类基金份额，假设申购当日A类基金份额净值为1.0400元，则其可得到95,847.13份A类基金份额。</w:t>
      </w:r>
    </w:p>
    <w:p w14:paraId="74EE72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7A9C25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53674D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D07FE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76CBAC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7EA790F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7D7205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657D51F9"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（3）D类基金份额的申购</w:t>
      </w:r>
    </w:p>
    <w:p w14:paraId="13BE99B2"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121B0C25"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2ADB00C"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C479693"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7168538D"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A5A335F"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017193C4"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7D3E67EB"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：某投资者（非养老金客户）投资100,000元申购本基金的D类基金份额，假设申购当日D类基金份额净值为1.0400元，申购费率为0.9%，则其可得到的申购份额为：</w:t>
      </w:r>
    </w:p>
    <w:p w14:paraId="5E259888"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63599004"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w:t>
      </w:r>
      <w:r w:rsidRPr="00BE06B2">
        <w:rPr>
          <w:rFonts w:ascii="宋体" w:hAnsi="宋体"/>
          <w:sz w:val="24"/>
        </w:rPr>
        <w:t>99,108.03</w:t>
      </w:r>
      <w:r>
        <w:rPr>
          <w:rFonts w:ascii="宋体" w:hAnsi="宋体"/>
          <w:sz w:val="24"/>
        </w:rPr>
        <w:t>元</w:t>
      </w:r>
    </w:p>
    <w:p w14:paraId="7DF6D7E5"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01C5625C"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0C5B01C5"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1A5FABB4"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五</w:t>
      </w:r>
      <w:r>
        <w:rPr>
          <w:rFonts w:ascii="宋体" w:hAnsi="宋体"/>
          <w:sz w:val="24"/>
        </w:rPr>
        <w:t>：某养老金客户投资1,000,000元通过基金管理人的直销柜台申购本基金的D类基金份额，假设申购当日D类基金份额净值为1.0400元，申购费率为0.12%，则其可得到的申购份额为：</w:t>
      </w:r>
    </w:p>
    <w:p w14:paraId="634AC749"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46CC213C"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w:t>
      </w:r>
      <w:r w:rsidRPr="00002090">
        <w:rPr>
          <w:rFonts w:ascii="宋体" w:hAnsi="宋体"/>
          <w:sz w:val="24"/>
        </w:rPr>
        <w:t>998,801.44</w:t>
      </w:r>
      <w:r>
        <w:rPr>
          <w:rFonts w:ascii="宋体" w:hAnsi="宋体"/>
          <w:sz w:val="24"/>
        </w:rPr>
        <w:t>元</w:t>
      </w:r>
    </w:p>
    <w:p w14:paraId="2023D78F"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w:t>
      </w:r>
      <w:r w:rsidRPr="00002090">
        <w:rPr>
          <w:rFonts w:ascii="宋体" w:hAnsi="宋体"/>
          <w:sz w:val="24"/>
        </w:rPr>
        <w:t>998,801.44</w:t>
      </w:r>
      <w:r>
        <w:rPr>
          <w:rFonts w:ascii="宋体" w:hAnsi="宋体"/>
          <w:sz w:val="24"/>
        </w:rPr>
        <w:t>=</w:t>
      </w:r>
      <w:r w:rsidRPr="00002090">
        <w:rPr>
          <w:rFonts w:ascii="宋体" w:hAnsi="宋体"/>
          <w:sz w:val="24"/>
        </w:rPr>
        <w:t>1,198.56</w:t>
      </w:r>
      <w:r>
        <w:rPr>
          <w:rFonts w:ascii="宋体" w:hAnsi="宋体"/>
          <w:sz w:val="24"/>
        </w:rPr>
        <w:t>元</w:t>
      </w:r>
    </w:p>
    <w:p w14:paraId="1A115DD8" w14:textId="77777777" w:rsidR="00043F54"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002090">
        <w:rPr>
          <w:rFonts w:ascii="宋体" w:hAnsi="宋体"/>
          <w:sz w:val="24"/>
        </w:rPr>
        <w:t>998,801.44</w:t>
      </w:r>
      <w:r>
        <w:rPr>
          <w:rFonts w:ascii="宋体" w:hAnsi="宋体"/>
          <w:sz w:val="24"/>
        </w:rPr>
        <w:t>/1.0400=</w:t>
      </w:r>
      <w:r w:rsidRPr="00002090">
        <w:rPr>
          <w:rFonts w:ascii="宋体" w:hAnsi="宋体"/>
          <w:sz w:val="24"/>
        </w:rPr>
        <w:t>960,386.00</w:t>
      </w:r>
      <w:r>
        <w:rPr>
          <w:rFonts w:ascii="宋体" w:hAnsi="宋体"/>
          <w:sz w:val="24"/>
        </w:rPr>
        <w:t>份</w:t>
      </w:r>
    </w:p>
    <w:p w14:paraId="2749F998" w14:textId="77777777" w:rsidR="00043F54" w:rsidRPr="00C5414D" w:rsidRDefault="00043F54" w:rsidP="00043F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w:t>
      </w:r>
      <w:r>
        <w:rPr>
          <w:rFonts w:ascii="宋体" w:hAnsi="宋体" w:hint="eastAsia"/>
          <w:sz w:val="24"/>
        </w:rPr>
        <w:t>D</w:t>
      </w:r>
      <w:r>
        <w:rPr>
          <w:rFonts w:ascii="宋体" w:hAnsi="宋体"/>
          <w:sz w:val="24"/>
        </w:rPr>
        <w:t>类基金份额，假设申购当日D类基金份额净值为1.0400元，则其可得到</w:t>
      </w:r>
      <w:r w:rsidRPr="00002090">
        <w:rPr>
          <w:rFonts w:ascii="宋体" w:hAnsi="宋体"/>
          <w:sz w:val="24"/>
        </w:rPr>
        <w:t>960,386.00</w:t>
      </w:r>
      <w:r>
        <w:rPr>
          <w:rFonts w:ascii="宋体" w:hAnsi="宋体"/>
          <w:sz w:val="24"/>
        </w:rPr>
        <w:t>份D类基金份额。</w:t>
      </w:r>
    </w:p>
    <w:p w14:paraId="1A55D68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6A14BEE7" w14:textId="28A1404F"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w:t>
      </w:r>
      <w:r w:rsidR="00E7659D">
        <w:rPr>
          <w:rFonts w:ascii="宋体" w:hAnsi="宋体" w:hint="eastAsia"/>
          <w:sz w:val="24"/>
        </w:rPr>
        <w:t>该类基金份额的</w:t>
      </w:r>
      <w:r>
        <w:rPr>
          <w:rFonts w:ascii="宋体" w:hAnsi="宋体"/>
          <w:sz w:val="24"/>
        </w:rPr>
        <w:t>基金份额净值并扣除相应的费用，赎回金额单位为元，计算结果保留到小数点后两位，第三位四舍五入，由此产生的收益或损失由基金财产承担。</w:t>
      </w:r>
    </w:p>
    <w:p w14:paraId="38ECA2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691EED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6299C8B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40B6738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327B6B85" w14:textId="38E5A953"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02685">
        <w:rPr>
          <w:rFonts w:ascii="宋体" w:hAnsi="宋体" w:hint="eastAsia"/>
          <w:sz w:val="24"/>
        </w:rPr>
        <w:t>六</w:t>
      </w:r>
      <w:r>
        <w:rPr>
          <w:rFonts w:ascii="宋体" w:hAnsi="宋体"/>
          <w:sz w:val="24"/>
        </w:rPr>
        <w:t>：某投资者赎回100,000份A类基金份额，</w:t>
      </w:r>
      <w:r w:rsidR="008627F3">
        <w:rPr>
          <w:rFonts w:ascii="宋体" w:hAnsi="宋体"/>
          <w:sz w:val="24"/>
        </w:rPr>
        <w:t>持有期限为10日，</w:t>
      </w:r>
      <w:r>
        <w:rPr>
          <w:rFonts w:ascii="宋体" w:hAnsi="宋体"/>
          <w:sz w:val="24"/>
        </w:rPr>
        <w:t>对应的赎回费率为0.1%，假设赎回当日A类基金份额净值是1.0160元，则其可得到的赎回金额为：</w:t>
      </w:r>
    </w:p>
    <w:p w14:paraId="43D8A6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6985FBB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5416ABB7" w14:textId="30FE2EBD"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即：投资者赎回100,000份A类基金份额，</w:t>
      </w:r>
      <w:r w:rsidR="008627F3">
        <w:rPr>
          <w:rFonts w:ascii="宋体" w:hAnsi="宋体"/>
          <w:sz w:val="24"/>
        </w:rPr>
        <w:t>持有期限为10日，</w:t>
      </w:r>
      <w:r>
        <w:rPr>
          <w:rFonts w:ascii="宋体" w:hAnsi="宋体"/>
          <w:sz w:val="24"/>
        </w:rPr>
        <w:t>对应的赎回费率为0.1%，假设赎回当日A类基金份额净值是1.0160元，则其可得到的赎回金额为101,498.40元。</w:t>
      </w:r>
    </w:p>
    <w:p w14:paraId="04C67E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4DF280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6B4709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F40DA8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160C8813" w14:textId="5D9D972A"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02685">
        <w:rPr>
          <w:rFonts w:ascii="宋体" w:hAnsi="宋体" w:hint="eastAsia"/>
          <w:sz w:val="24"/>
        </w:rPr>
        <w:t>七</w:t>
      </w:r>
      <w:r>
        <w:rPr>
          <w:rFonts w:ascii="宋体" w:hAnsi="宋体"/>
          <w:sz w:val="24"/>
        </w:rPr>
        <w:t>：某投资者赎回100,000份C类基金份额，</w:t>
      </w:r>
      <w:r w:rsidR="008627F3">
        <w:rPr>
          <w:rFonts w:ascii="宋体" w:hAnsi="宋体"/>
          <w:sz w:val="24"/>
        </w:rPr>
        <w:t>持有期限为10日，</w:t>
      </w:r>
      <w:r>
        <w:rPr>
          <w:rFonts w:ascii="宋体" w:hAnsi="宋体"/>
          <w:sz w:val="24"/>
        </w:rPr>
        <w:t>对应的赎回费率为0，假设赎回当日C类基金份额净值是1.2500 元，则其可得到的赎回金额为：</w:t>
      </w:r>
    </w:p>
    <w:p w14:paraId="79CCED4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赎回费用=100,000×1.2500×0＝0元</w:t>
      </w:r>
    </w:p>
    <w:p w14:paraId="45B6EB3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赎回金额=100,000×1.2500-0=125,000.00 元</w:t>
      </w:r>
    </w:p>
    <w:p w14:paraId="1569BE80" w14:textId="1C7E2F46"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w:t>
      </w:r>
      <w:r w:rsidR="008627F3">
        <w:rPr>
          <w:rFonts w:ascii="宋体" w:hAnsi="宋体"/>
          <w:sz w:val="24"/>
        </w:rPr>
        <w:t>持有期限为10日，</w:t>
      </w:r>
      <w:r>
        <w:rPr>
          <w:rFonts w:ascii="宋体" w:hAnsi="宋体"/>
          <w:sz w:val="24"/>
        </w:rPr>
        <w:t>对应的赎回费率为0，假设赎回当日C类基金份额净值是1.2500元，则其可得到的赎回金额为125,000.00元。</w:t>
      </w:r>
    </w:p>
    <w:p w14:paraId="1F554D4D" w14:textId="77777777"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268350C0" w14:textId="77777777"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16BD9E0F" w14:textId="77777777"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036563CB" w14:textId="77777777"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赎回金额=赎回份额×T日D类基金份额净值-赎回费用</w:t>
      </w:r>
    </w:p>
    <w:p w14:paraId="63B21B04" w14:textId="0C751BFF"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八</w:t>
      </w:r>
      <w:r>
        <w:rPr>
          <w:rFonts w:ascii="宋体" w:hAnsi="宋体"/>
          <w:sz w:val="24"/>
        </w:rPr>
        <w:t>：某投资者赎回100,000份D类基金份额，持有期限为10日，对应的赎回费率为0，假设赎回当日D类基金份额净值是1.0160元，则其可得到的赎回金额为：</w:t>
      </w:r>
    </w:p>
    <w:p w14:paraId="42C3521A" w14:textId="03BFBAEA"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5A318DA1" w14:textId="6D725C1A"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3A133FB1" w14:textId="57443B05" w:rsidR="00102685" w:rsidRDefault="00102685" w:rsidP="0010268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即：投资者赎回100,000份D类基金份额，持有期限为10日，对应的赎回费率为0，假设赎回当日D类基金份额净值是1.0160元，则其可得到的赎回金额为101,600.00元。</w:t>
      </w:r>
    </w:p>
    <w:p w14:paraId="14BDE61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543156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03D8EAE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6E47305B" w14:textId="77777777" w:rsidR="003065B2" w:rsidRPr="005331D9" w:rsidRDefault="003065B2" w:rsidP="003065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33B83E6A" w14:textId="01BD0113"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w:t>
      </w:r>
      <w:r w:rsidR="00B46329">
        <w:rPr>
          <w:rFonts w:ascii="宋体" w:hAnsi="宋体" w:hint="eastAsia"/>
          <w:sz w:val="24"/>
        </w:rPr>
        <w:t>各类</w:t>
      </w:r>
      <w:r>
        <w:rPr>
          <w:rFonts w:ascii="宋体" w:hAnsi="宋体"/>
          <w:sz w:val="24"/>
        </w:rPr>
        <w:t>基金份额净值在当天收市后计算，并在T＋1日（包括该日）内公告。遇特殊情况，经中国证监会同意，可以适当延迟计算或公告。本基金A类基金份额</w:t>
      </w:r>
      <w:r w:rsidR="003065B2">
        <w:rPr>
          <w:rFonts w:ascii="宋体" w:hAnsi="宋体" w:hint="eastAsia"/>
          <w:sz w:val="24"/>
        </w:rPr>
        <w:t>、</w:t>
      </w:r>
      <w:r>
        <w:rPr>
          <w:rFonts w:ascii="宋体" w:hAnsi="宋体"/>
          <w:sz w:val="24"/>
        </w:rPr>
        <w:t>C类基金份额</w:t>
      </w:r>
      <w:r w:rsidR="003065B2">
        <w:rPr>
          <w:rFonts w:ascii="宋体" w:hAnsi="宋体" w:hint="eastAsia"/>
          <w:sz w:val="24"/>
        </w:rPr>
        <w:t>和D类基金份额</w:t>
      </w:r>
      <w:r>
        <w:rPr>
          <w:rFonts w:ascii="宋体" w:hAnsi="宋体"/>
          <w:sz w:val="24"/>
        </w:rPr>
        <w:t>的基金份额净值的计算，</w:t>
      </w:r>
      <w:r w:rsidR="003065B2">
        <w:rPr>
          <w:rFonts w:ascii="宋体" w:hAnsi="宋体" w:hint="eastAsia"/>
          <w:sz w:val="24"/>
        </w:rPr>
        <w:t>均</w:t>
      </w:r>
      <w:r>
        <w:rPr>
          <w:rFonts w:ascii="宋体" w:hAnsi="宋体"/>
          <w:sz w:val="24"/>
        </w:rPr>
        <w:t>保留到小数点后4位，小数点后第5位四舍五入，由此误差产生的收益或损失由基金财产承担。</w:t>
      </w:r>
    </w:p>
    <w:p w14:paraId="3E3F3F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B76C6C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36B50B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5A9277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00C27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2D5C11D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40260D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0ED6178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46525F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613504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14:paraId="49FC1F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6842747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87B37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09FD9E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61B8C4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0845A9A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7389FC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F957CC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74E053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5、基金管理人、基金托管人、基金销售机构、基金销售支付结算机构或登记机构的异常情况导致基金销售系统、基金销售支付结算系统、基金注册登记系统或基金会计系统无法正常运行。</w:t>
      </w:r>
    </w:p>
    <w:p w14:paraId="5CE7B01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6、继续接受赎回申请将损害现有基金份额持有人利益的情形时，可暂停接受投资人的赎回申请。</w:t>
      </w:r>
    </w:p>
    <w:p w14:paraId="3F5B78B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3333B35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6173F1C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80F9C6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9F053A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23C693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41D05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3879556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CD1C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4CBC938" w14:textId="08CE3A49"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B2B32">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8F35E4F" w14:textId="726CEDBA"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B75C4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10BC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6D10AC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14:paraId="33C69CA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657447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38F05F9F" w14:textId="3FC8CB25"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A03B86">
        <w:rPr>
          <w:rFonts w:ascii="宋体" w:hAnsi="宋体" w:hint="eastAsia"/>
          <w:sz w:val="24"/>
        </w:rPr>
        <w:t>各类基金份额</w:t>
      </w:r>
      <w:r>
        <w:rPr>
          <w:rFonts w:ascii="宋体" w:hAnsi="宋体"/>
          <w:sz w:val="24"/>
        </w:rPr>
        <w:t>的基金份额净值。</w:t>
      </w:r>
    </w:p>
    <w:p w14:paraId="789121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72B7EF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57F063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51F55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5E0F06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0184C4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5D84C6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9C840E9" w14:textId="7CA4CAC9"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本基金2016年1月25日刊登公告自2016年1月26日起开通</w:t>
      </w:r>
      <w:r w:rsidR="009F5B26" w:rsidRPr="00865528">
        <w:rPr>
          <w:rFonts w:ascii="宋体" w:hAnsi="宋体" w:hint="eastAsia"/>
          <w:sz w:val="24"/>
        </w:rPr>
        <w:t>A类基金份额</w:t>
      </w:r>
      <w:r w:rsidR="009F5B26">
        <w:rPr>
          <w:rFonts w:ascii="宋体" w:hAnsi="宋体" w:hint="eastAsia"/>
          <w:sz w:val="24"/>
        </w:rPr>
        <w:t>和C类基金份额的</w:t>
      </w:r>
      <w:r>
        <w:rPr>
          <w:rFonts w:ascii="宋体" w:hAnsi="宋体"/>
          <w:sz w:val="24"/>
        </w:rPr>
        <w:t>定期定额投资计划业务</w:t>
      </w:r>
      <w:r w:rsidR="006728DF" w:rsidRPr="00705383">
        <w:rPr>
          <w:rFonts w:ascii="宋体" w:hAnsi="宋体" w:hint="eastAsia"/>
          <w:sz w:val="24"/>
        </w:rPr>
        <w:t>，本基金</w:t>
      </w:r>
      <w:r w:rsidR="006728DF">
        <w:rPr>
          <w:rFonts w:ascii="宋体" w:hAnsi="宋体" w:hint="eastAsia"/>
          <w:sz w:val="24"/>
        </w:rPr>
        <w:t>202</w:t>
      </w:r>
      <w:r w:rsidR="006728DF">
        <w:rPr>
          <w:rFonts w:ascii="宋体" w:hAnsi="宋体"/>
          <w:sz w:val="24"/>
        </w:rPr>
        <w:t>4</w:t>
      </w:r>
      <w:r w:rsidR="006728DF" w:rsidRPr="00705383">
        <w:rPr>
          <w:rFonts w:ascii="宋体" w:hAnsi="宋体" w:hint="eastAsia"/>
          <w:sz w:val="24"/>
        </w:rPr>
        <w:t>年</w:t>
      </w:r>
      <w:r w:rsidR="00326461">
        <w:rPr>
          <w:rFonts w:ascii="宋体" w:hAnsi="宋体"/>
          <w:sz w:val="24"/>
        </w:rPr>
        <w:t>9</w:t>
      </w:r>
      <w:r w:rsidR="006728DF" w:rsidRPr="00705383">
        <w:rPr>
          <w:rFonts w:ascii="宋体" w:hAnsi="宋体" w:hint="eastAsia"/>
          <w:sz w:val="24"/>
        </w:rPr>
        <w:t>月</w:t>
      </w:r>
      <w:r w:rsidR="00447CBC">
        <w:rPr>
          <w:rFonts w:ascii="宋体" w:hAnsi="宋体"/>
          <w:sz w:val="24"/>
        </w:rPr>
        <w:t>5</w:t>
      </w:r>
      <w:r w:rsidR="006728DF" w:rsidRPr="00705383">
        <w:rPr>
          <w:rFonts w:ascii="宋体" w:hAnsi="宋体" w:hint="eastAsia"/>
          <w:sz w:val="24"/>
        </w:rPr>
        <w:t>日刊登公告自</w:t>
      </w:r>
      <w:r w:rsidR="006728DF">
        <w:rPr>
          <w:rFonts w:ascii="宋体" w:hAnsi="宋体" w:hint="eastAsia"/>
          <w:sz w:val="24"/>
        </w:rPr>
        <w:t>202</w:t>
      </w:r>
      <w:r w:rsidR="006728DF">
        <w:rPr>
          <w:rFonts w:ascii="宋体" w:hAnsi="宋体"/>
          <w:sz w:val="24"/>
        </w:rPr>
        <w:t>4</w:t>
      </w:r>
      <w:r w:rsidR="006728DF" w:rsidRPr="00705383">
        <w:rPr>
          <w:rFonts w:ascii="宋体" w:hAnsi="宋体" w:hint="eastAsia"/>
          <w:sz w:val="24"/>
        </w:rPr>
        <w:t>年</w:t>
      </w:r>
      <w:r w:rsidR="00326461">
        <w:rPr>
          <w:rFonts w:ascii="宋体" w:hAnsi="宋体" w:hint="eastAsia"/>
          <w:sz w:val="24"/>
        </w:rPr>
        <w:t>9</w:t>
      </w:r>
      <w:r w:rsidR="006728DF" w:rsidRPr="00705383">
        <w:rPr>
          <w:rFonts w:ascii="宋体" w:hAnsi="宋体" w:hint="eastAsia"/>
          <w:sz w:val="24"/>
        </w:rPr>
        <w:t>月</w:t>
      </w:r>
      <w:r w:rsidR="00447CBC">
        <w:rPr>
          <w:rFonts w:ascii="宋体" w:hAnsi="宋体"/>
          <w:sz w:val="24"/>
        </w:rPr>
        <w:t>6</w:t>
      </w:r>
      <w:r w:rsidR="006728DF" w:rsidRPr="00705383">
        <w:rPr>
          <w:rFonts w:ascii="宋体" w:hAnsi="宋体" w:hint="eastAsia"/>
          <w:sz w:val="24"/>
        </w:rPr>
        <w:t>日起增设D类基金份额并开通D类基金份额的定期定额投资计划业务</w:t>
      </w:r>
      <w:r>
        <w:rPr>
          <w:rFonts w:ascii="宋体" w:hAnsi="宋体"/>
          <w:sz w:val="24"/>
        </w:rPr>
        <w:t>，具体开通销售机构名单和业务规则参见相关公告。</w:t>
      </w:r>
    </w:p>
    <w:p w14:paraId="226EF5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15C1751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39B63C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14:paraId="1F3D48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D193C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14:paraId="1C38DAE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4C3218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14:paraId="38F0034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BA17A6"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02A343E" w14:textId="77777777" w:rsidR="00EC1998" w:rsidRDefault="0054105E">
      <w:pPr>
        <w:pStyle w:val="1"/>
        <w:snapToGrid w:val="0"/>
        <w:spacing w:beforeLines="0" w:before="240" w:after="240"/>
        <w:rPr>
          <w:rFonts w:ascii="宋体" w:hAnsi="宋体"/>
          <w:szCs w:val="30"/>
        </w:rPr>
      </w:pPr>
      <w:bookmarkStart w:id="14" w:name="_Toc154650802"/>
      <w:r>
        <w:rPr>
          <w:rFonts w:ascii="Times New Roman" w:hAnsi="Times New Roman"/>
          <w:sz w:val="30"/>
        </w:rPr>
        <w:t>九、</w:t>
      </w:r>
      <w:r>
        <w:rPr>
          <w:rFonts w:ascii="Times New Roman" w:hAnsi="Times New Roman"/>
          <w:sz w:val="30"/>
        </w:rPr>
        <w:t xml:space="preserve"> </w:t>
      </w:r>
      <w:r>
        <w:rPr>
          <w:rFonts w:ascii="Times New Roman" w:hAnsi="Times New Roman"/>
          <w:sz w:val="30"/>
        </w:rPr>
        <w:t>基金的转换</w:t>
      </w:r>
      <w:bookmarkEnd w:id="14"/>
    </w:p>
    <w:p w14:paraId="6E22E87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4C3C20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39B99FD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4FED5D80" w14:textId="0E05A9AE" w:rsidR="00BC485C" w:rsidRDefault="0054105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本基金2020年5月20日刊登公告自2020年5月22日起开放</w:t>
      </w:r>
      <w:r w:rsidR="00F0129F" w:rsidRPr="00F60062">
        <w:rPr>
          <w:rFonts w:ascii="宋体" w:hAnsi="宋体" w:hint="eastAsia"/>
          <w:sz w:val="24"/>
        </w:rPr>
        <w:t>A类基金份额</w:t>
      </w:r>
      <w:r w:rsidR="00F0129F">
        <w:rPr>
          <w:rFonts w:ascii="宋体" w:hAnsi="宋体" w:hint="eastAsia"/>
          <w:sz w:val="24"/>
        </w:rPr>
        <w:t>和</w:t>
      </w:r>
      <w:r w:rsidR="00F0129F">
        <w:rPr>
          <w:rFonts w:ascii="宋体" w:hAnsi="宋体"/>
          <w:sz w:val="24"/>
        </w:rPr>
        <w:t>C</w:t>
      </w:r>
      <w:r w:rsidR="00F0129F" w:rsidRPr="00FF0EDE">
        <w:rPr>
          <w:rFonts w:ascii="宋体" w:hAnsi="宋体" w:hint="eastAsia"/>
          <w:sz w:val="24"/>
        </w:rPr>
        <w:t>类基金份额</w:t>
      </w:r>
      <w:r w:rsidR="00F0129F">
        <w:rPr>
          <w:rFonts w:ascii="宋体" w:hAnsi="宋体" w:hint="eastAsia"/>
          <w:sz w:val="24"/>
        </w:rPr>
        <w:t>的</w:t>
      </w:r>
      <w:r>
        <w:rPr>
          <w:rFonts w:ascii="宋体" w:hAnsi="宋体"/>
          <w:sz w:val="24"/>
        </w:rPr>
        <w:t>日常转换业务</w:t>
      </w:r>
      <w:r w:rsidR="00F0129F" w:rsidRPr="00CA5D95">
        <w:rPr>
          <w:rFonts w:ascii="宋体" w:hAnsi="宋体" w:hint="eastAsia"/>
          <w:sz w:val="24"/>
        </w:rPr>
        <w:t>，本基金</w:t>
      </w:r>
      <w:r w:rsidR="00F0129F">
        <w:rPr>
          <w:rFonts w:ascii="宋体" w:hAnsi="宋体" w:hint="eastAsia"/>
          <w:sz w:val="24"/>
        </w:rPr>
        <w:t>202</w:t>
      </w:r>
      <w:r w:rsidR="00F0129F">
        <w:rPr>
          <w:rFonts w:ascii="宋体" w:hAnsi="宋体"/>
          <w:sz w:val="24"/>
        </w:rPr>
        <w:t>4</w:t>
      </w:r>
      <w:r w:rsidR="00F0129F" w:rsidRPr="00CA5D95">
        <w:rPr>
          <w:rFonts w:ascii="宋体" w:hAnsi="宋体" w:hint="eastAsia"/>
          <w:sz w:val="24"/>
        </w:rPr>
        <w:t>年</w:t>
      </w:r>
      <w:r w:rsidR="00326461">
        <w:rPr>
          <w:rFonts w:ascii="宋体" w:hAnsi="宋体"/>
          <w:sz w:val="24"/>
        </w:rPr>
        <w:t>9</w:t>
      </w:r>
      <w:r w:rsidR="00F0129F" w:rsidRPr="00CA5D95">
        <w:rPr>
          <w:rFonts w:ascii="宋体" w:hAnsi="宋体" w:hint="eastAsia"/>
          <w:sz w:val="24"/>
        </w:rPr>
        <w:t>月</w:t>
      </w:r>
      <w:r w:rsidR="00447CBC">
        <w:rPr>
          <w:rFonts w:ascii="宋体" w:hAnsi="宋体"/>
          <w:sz w:val="24"/>
        </w:rPr>
        <w:t>5</w:t>
      </w:r>
      <w:r w:rsidR="00F0129F" w:rsidRPr="00CA5D95">
        <w:rPr>
          <w:rFonts w:ascii="宋体" w:hAnsi="宋体" w:hint="eastAsia"/>
          <w:sz w:val="24"/>
        </w:rPr>
        <w:t>日刊登公告自</w:t>
      </w:r>
      <w:r w:rsidR="00F0129F">
        <w:rPr>
          <w:rFonts w:ascii="宋体" w:hAnsi="宋体" w:hint="eastAsia"/>
          <w:sz w:val="24"/>
        </w:rPr>
        <w:t>202</w:t>
      </w:r>
      <w:r w:rsidR="00F0129F">
        <w:rPr>
          <w:rFonts w:ascii="宋体" w:hAnsi="宋体"/>
          <w:sz w:val="24"/>
        </w:rPr>
        <w:t>4</w:t>
      </w:r>
      <w:r w:rsidR="00F0129F" w:rsidRPr="00CA5D95">
        <w:rPr>
          <w:rFonts w:ascii="宋体" w:hAnsi="宋体" w:hint="eastAsia"/>
          <w:sz w:val="24"/>
        </w:rPr>
        <w:t>年</w:t>
      </w:r>
      <w:r w:rsidR="00326461">
        <w:rPr>
          <w:rFonts w:ascii="宋体" w:hAnsi="宋体" w:hint="eastAsia"/>
          <w:sz w:val="24"/>
        </w:rPr>
        <w:t>9</w:t>
      </w:r>
      <w:r w:rsidR="00F0129F" w:rsidRPr="00CA5D95">
        <w:rPr>
          <w:rFonts w:ascii="宋体" w:hAnsi="宋体" w:hint="eastAsia"/>
          <w:sz w:val="24"/>
        </w:rPr>
        <w:t>月</w:t>
      </w:r>
      <w:r w:rsidR="00447CBC">
        <w:rPr>
          <w:rFonts w:ascii="宋体" w:hAnsi="宋体"/>
          <w:sz w:val="24"/>
        </w:rPr>
        <w:t>6</w:t>
      </w:r>
      <w:r w:rsidR="00F0129F" w:rsidRPr="00CA5D95">
        <w:rPr>
          <w:rFonts w:ascii="宋体" w:hAnsi="宋体" w:hint="eastAsia"/>
          <w:sz w:val="24"/>
        </w:rPr>
        <w:t>日起增设D类基金份额并开通D类基金份额的日常转换业务</w:t>
      </w:r>
      <w:r>
        <w:rPr>
          <w:rFonts w:ascii="宋体" w:hAnsi="宋体"/>
          <w:sz w:val="24"/>
        </w:rPr>
        <w:t>。</w:t>
      </w:r>
    </w:p>
    <w:p w14:paraId="21367E36" w14:textId="313B6DBB"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429495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935CFE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00752E6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2A80FC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317036B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8EF1C4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481D78B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2DAC282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08DDB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1D3819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0C2606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29CBA39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450A5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24E4A6C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2DEA0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61AF977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852DA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0DA81A8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050EF8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2A7058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310DB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28D142A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F5CA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367293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649E3F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25F310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78DC80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3E480C9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D184E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5896EC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310B01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0E41C2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0BBE73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468462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4F5746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6229B67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754A4E6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3EAE5D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4258C94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632F0A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1EC307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3AFB1F3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4EE8399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3DF66F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321343C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281CC3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727295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0EA6E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CA032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8C5D3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843FAA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62F3E28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414684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4942D2D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23A01A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50169C5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0E79366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B2839F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3143EB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15B91C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798AAAE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57CAC51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8F802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D8AD8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5293F4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111643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1E1686E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61418B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2A8DDF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1FC655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6C826B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178123F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04CFE5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34C61A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2EE0A6B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7B690B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07FA91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329BB4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1A77F4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06EDE85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6FF73C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AC5C9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10D03D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1FCC41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79FCDB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746D61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2353F0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66312D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7BDF54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1D76E79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59EE3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6B80B07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42FFAC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6578B7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63118F5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33B588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64CF1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0D18A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61AE1E6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6FD181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537439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CDD0923"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6B4577C" w14:textId="77777777" w:rsidR="00EC1998" w:rsidRDefault="0054105E">
      <w:pPr>
        <w:pStyle w:val="1"/>
        <w:snapToGrid w:val="0"/>
        <w:spacing w:beforeLines="0" w:before="240" w:after="240"/>
        <w:rPr>
          <w:rFonts w:ascii="宋体" w:hAnsi="宋体"/>
          <w:szCs w:val="30"/>
        </w:rPr>
      </w:pPr>
      <w:bookmarkStart w:id="15" w:name="_Toc154650803"/>
      <w:r>
        <w:rPr>
          <w:rFonts w:ascii="Times New Roman" w:hAnsi="Times New Roman"/>
          <w:sz w:val="30"/>
        </w:rPr>
        <w:t>十、基金的投资</w:t>
      </w:r>
      <w:bookmarkEnd w:id="15"/>
    </w:p>
    <w:p w14:paraId="3F8D0C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212E56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在严格控制风险的基础上，通过积极主动的投资管理，追求基金资产的长期稳健增值，力争实现超越业绩比较基准的投资回报。</w:t>
      </w:r>
    </w:p>
    <w:p w14:paraId="09AE9EF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B14AC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w:t>
      </w:r>
    </w:p>
    <w:p w14:paraId="3333AE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60A8BE9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和应收申购款等。</w:t>
      </w:r>
    </w:p>
    <w:p w14:paraId="44A4F5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762B51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70CAA0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p w14:paraId="287C4A9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434608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w:t>
      </w:r>
    </w:p>
    <w:p w14:paraId="70B47C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14:paraId="570E29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556CB6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469F81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w:t>
      </w:r>
    </w:p>
    <w:p w14:paraId="703E19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95A579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39DF9C4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527AB7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48CDE3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D94643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0D695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233B26C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F4ADC0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65E80CE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1243C64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4D1A22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EA795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7E2D89E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40FCF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5D9E6C8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21B61A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621A3E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3CB5E0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4BE2FC3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5DF1F9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26F247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37AB5DB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443721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11F9EF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3C76BC7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22888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（8）中小企业私募债券投资策略</w:t>
      </w:r>
    </w:p>
    <w:p w14:paraId="57F859B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D9709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56614B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DA227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0C14F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130669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7815C71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7684D9F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61AA0DE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53E339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14:paraId="4F103F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（7）本基金投资于同一原始权益人的各类资产支持证券的比例，不得超过基金资产净值的10%；</w:t>
      </w:r>
    </w:p>
    <w:p w14:paraId="3D6894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（8）本基金持有的全部资产支持证券，其市值不得超过基金资产净值的20%；</w:t>
      </w:r>
    </w:p>
    <w:p w14:paraId="701C01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（9）本基金持有的同一(指同一信用级别)资产支持证券的比例，不得超过该资产支持证券规模的10%；</w:t>
      </w:r>
    </w:p>
    <w:p w14:paraId="7D60E1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（10）本基金管理人管理的全部基金投资于同一原始权益人的各类资产支持证券，不得超过其各类资产支持证券合计规模的10%；</w:t>
      </w:r>
    </w:p>
    <w:p w14:paraId="08AB87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（11）本基金应投资于信用级别评级为BBB以上(含BBB)的资产支持证券。基金持有资产支持证券期间，如果其信用等级下降、不再符合投资标准，应在评级报告发布之日起3个月内予以全部卖出；</w:t>
      </w:r>
    </w:p>
    <w:p w14:paraId="378CCC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（12）本基金进入全国银行间同业市场进行债券回购的资金余额不得超过基金资产净值的40%；本基金在全国银行间同业市场中的债券回购最长期限为1年，债券回购到期后不得展期；</w:t>
      </w:r>
    </w:p>
    <w:p w14:paraId="2F8E314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（13）本基金持有单只中小企业私募债券，其市值不得超过基金资产净值的10%；</w:t>
      </w:r>
    </w:p>
    <w:p w14:paraId="7D0638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（14）本基金的基金资产总值不得超过基金资产净值的140%；</w:t>
      </w:r>
    </w:p>
    <w:p w14:paraId="72C1DF4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14:paraId="129F1C8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D16456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（17）法律法规及中国证监会规定的和《基金合同》约定的其他投资限制。</w:t>
      </w:r>
    </w:p>
    <w:p w14:paraId="5A7068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5329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11）、（15）、（16）项外，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27B9B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5B19832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CC84D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2B3FCD5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49B4C39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36C05A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C6C7B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38C7FC2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6B226D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2BD19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4B8474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373B5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7901B85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2095E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w:t>
      </w:r>
    </w:p>
    <w:p w14:paraId="4C8AD5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5390C6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89E0A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620238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风险与预期收益高于货币市场基金，低于混合型基金和股票型基金，属于证券投资基金中中等风险的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0A2D701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0C31F7A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73F583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2CCB3E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0C351C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6C8800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387536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3A57FC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7F23F7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21CA381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65D6C0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7A9EB3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本基金托管人兴业银行股份有限公司根据本基金合同规定，于2023年10月23日日复核了本报告中的财务指标、净值表现和投资组合报告等内容，保证复核内容不存在虚假记载、误导性陈述或者重大遗漏。</w:t>
      </w:r>
    </w:p>
    <w:p w14:paraId="354DE9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本报告期为2023年07月01日至09月30日。本报告财务资料未经审计师审计。</w:t>
      </w:r>
    </w:p>
    <w:p w14:paraId="08F14C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C1998" w14:paraId="48CBFE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C1FAC2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61B5E01"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F23B67"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1DDE5F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EC1998" w14:paraId="3251C7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FC23DE"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7F8EA7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5347C9DF"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184668"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46BAD7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6B741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350938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5389CB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E06622"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659EF1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E76FD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1B9DBD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2331641"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CE984F8"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377FBE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A890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C86DA4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6C6FE938"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745,417,895.45</w:t>
            </w:r>
          </w:p>
        </w:tc>
        <w:tc>
          <w:tcPr>
            <w:tcW w:w="400" w:type="pct"/>
            <w:tcBorders>
              <w:top w:val="single" w:sz="4" w:space="0" w:color="auto"/>
              <w:left w:val="single" w:sz="4" w:space="0" w:color="auto"/>
              <w:bottom w:val="single" w:sz="4" w:space="0" w:color="auto"/>
              <w:right w:val="single" w:sz="4" w:space="0" w:color="auto"/>
            </w:tcBorders>
            <w:vAlign w:val="center"/>
          </w:tcPr>
          <w:p w14:paraId="1C5301FB"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99.17</w:t>
            </w:r>
          </w:p>
        </w:tc>
      </w:tr>
      <w:tr w:rsidR="00EC1998" w14:paraId="6F096D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C56095"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116FAA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299A1622"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745,417,895.45</w:t>
            </w:r>
          </w:p>
        </w:tc>
        <w:tc>
          <w:tcPr>
            <w:tcW w:w="400" w:type="pct"/>
            <w:tcBorders>
              <w:top w:val="single" w:sz="4" w:space="0" w:color="auto"/>
              <w:left w:val="single" w:sz="4" w:space="0" w:color="auto"/>
              <w:bottom w:val="single" w:sz="4" w:space="0" w:color="auto"/>
              <w:right w:val="single" w:sz="4" w:space="0" w:color="auto"/>
            </w:tcBorders>
            <w:vAlign w:val="center"/>
          </w:tcPr>
          <w:p w14:paraId="174FE4CE"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99.17</w:t>
            </w:r>
          </w:p>
        </w:tc>
      </w:tr>
      <w:tr w:rsidR="00EC1998" w14:paraId="2A3885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AC70F7"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D7695D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95E1D7D"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A9DFE7B"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4AB9BB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702B7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B40FCE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7320C7F"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61625EC"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62D81B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48015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F68104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644DA3E"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A7558AF"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39484C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A1D78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6D549B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F79501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C014F33"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4BF1FE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9CE6A7"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F4960A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D0D7AD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2DC52C"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0E86E3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C2319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DF461A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353965D"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3,131,164.18</w:t>
            </w:r>
          </w:p>
        </w:tc>
        <w:tc>
          <w:tcPr>
            <w:tcW w:w="400" w:type="pct"/>
            <w:tcBorders>
              <w:top w:val="single" w:sz="4" w:space="0" w:color="auto"/>
              <w:left w:val="single" w:sz="4" w:space="0" w:color="auto"/>
              <w:bottom w:val="single" w:sz="4" w:space="0" w:color="auto"/>
              <w:right w:val="single" w:sz="4" w:space="0" w:color="auto"/>
            </w:tcBorders>
            <w:vAlign w:val="center"/>
          </w:tcPr>
          <w:p w14:paraId="18BC654C"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rsidR="00EC1998" w14:paraId="2AA144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D5B63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CBBB20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7A94E73"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3,102,508.72</w:t>
            </w:r>
          </w:p>
        </w:tc>
        <w:tc>
          <w:tcPr>
            <w:tcW w:w="400" w:type="pct"/>
            <w:tcBorders>
              <w:top w:val="single" w:sz="4" w:space="0" w:color="auto"/>
              <w:left w:val="single" w:sz="4" w:space="0" w:color="auto"/>
              <w:bottom w:val="single" w:sz="4" w:space="0" w:color="auto"/>
              <w:right w:val="single" w:sz="4" w:space="0" w:color="auto"/>
            </w:tcBorders>
            <w:vAlign w:val="center"/>
          </w:tcPr>
          <w:p w14:paraId="5533431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r>
      <w:tr w:rsidR="00EC1998" w14:paraId="7B84D7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BBEB15"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F3647F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0749A1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751,651,568.35</w:t>
            </w:r>
          </w:p>
        </w:tc>
        <w:tc>
          <w:tcPr>
            <w:tcW w:w="400" w:type="pct"/>
            <w:tcBorders>
              <w:top w:val="single" w:sz="4" w:space="0" w:color="auto"/>
              <w:left w:val="single" w:sz="4" w:space="0" w:color="auto"/>
              <w:bottom w:val="single" w:sz="4" w:space="0" w:color="auto"/>
              <w:right w:val="single" w:sz="4" w:space="0" w:color="auto"/>
            </w:tcBorders>
            <w:vAlign w:val="center"/>
          </w:tcPr>
          <w:p w14:paraId="444739E5"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24033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64118C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1036E3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CF27B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3A32657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A6AD6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2FBF512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59987D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A0C387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C1998" w14:paraId="0016E2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1DFBF6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BE511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338EF0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A3721C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EC1998" w14:paraId="473E84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EDA68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019D4F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1A0C0C6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41,654,690.96</w:t>
            </w:r>
          </w:p>
        </w:tc>
        <w:tc>
          <w:tcPr>
            <w:tcW w:w="400" w:type="pct"/>
            <w:tcBorders>
              <w:top w:val="single" w:sz="4" w:space="0" w:color="auto"/>
              <w:left w:val="single" w:sz="4" w:space="0" w:color="auto"/>
              <w:bottom w:val="single" w:sz="4" w:space="0" w:color="auto"/>
              <w:right w:val="single" w:sz="4" w:space="0" w:color="auto"/>
            </w:tcBorders>
            <w:vAlign w:val="center"/>
          </w:tcPr>
          <w:p w14:paraId="5B437DD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5.60</w:t>
            </w:r>
          </w:p>
        </w:tc>
      </w:tr>
      <w:tr w:rsidR="00EC1998" w14:paraId="127B2A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7110C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09EB66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3C797A2"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10E703"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599421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20AE07"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2C0F61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6FADCF5B"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31,389,361.64</w:t>
            </w:r>
          </w:p>
        </w:tc>
        <w:tc>
          <w:tcPr>
            <w:tcW w:w="400" w:type="pct"/>
            <w:tcBorders>
              <w:top w:val="single" w:sz="4" w:space="0" w:color="auto"/>
              <w:left w:val="single" w:sz="4" w:space="0" w:color="auto"/>
              <w:bottom w:val="single" w:sz="4" w:space="0" w:color="auto"/>
              <w:right w:val="single" w:sz="4" w:space="0" w:color="auto"/>
            </w:tcBorders>
            <w:vAlign w:val="center"/>
          </w:tcPr>
          <w:p w14:paraId="79F8D1C3"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4.22</w:t>
            </w:r>
          </w:p>
        </w:tc>
      </w:tr>
      <w:tr w:rsidR="00EC1998" w14:paraId="6E2F75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34CF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50D408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68707059"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C92FE38"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45444A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C6E99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2FB9DE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9E6215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80,586,769.78</w:t>
            </w:r>
          </w:p>
        </w:tc>
        <w:tc>
          <w:tcPr>
            <w:tcW w:w="400" w:type="pct"/>
            <w:tcBorders>
              <w:top w:val="single" w:sz="4" w:space="0" w:color="auto"/>
              <w:left w:val="single" w:sz="4" w:space="0" w:color="auto"/>
              <w:bottom w:val="single" w:sz="4" w:space="0" w:color="auto"/>
              <w:right w:val="single" w:sz="4" w:space="0" w:color="auto"/>
            </w:tcBorders>
            <w:vAlign w:val="center"/>
          </w:tcPr>
          <w:p w14:paraId="1C996F01"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10.83</w:t>
            </w:r>
          </w:p>
        </w:tc>
      </w:tr>
      <w:tr w:rsidR="00EC1998" w14:paraId="07BB09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F9B1EA"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2B5AD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2748B51C"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70,117,393.44</w:t>
            </w:r>
          </w:p>
        </w:tc>
        <w:tc>
          <w:tcPr>
            <w:tcW w:w="400" w:type="pct"/>
            <w:tcBorders>
              <w:top w:val="single" w:sz="4" w:space="0" w:color="auto"/>
              <w:left w:val="single" w:sz="4" w:space="0" w:color="auto"/>
              <w:bottom w:val="single" w:sz="4" w:space="0" w:color="auto"/>
              <w:right w:val="single" w:sz="4" w:space="0" w:color="auto"/>
            </w:tcBorders>
            <w:vAlign w:val="center"/>
          </w:tcPr>
          <w:p w14:paraId="2B58C645"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9.42</w:t>
            </w:r>
          </w:p>
        </w:tc>
      </w:tr>
      <w:tr w:rsidR="00EC1998" w14:paraId="2F54EF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4811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3B8626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3A42BF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521,669,679.63</w:t>
            </w:r>
          </w:p>
        </w:tc>
        <w:tc>
          <w:tcPr>
            <w:tcW w:w="400" w:type="pct"/>
            <w:tcBorders>
              <w:top w:val="single" w:sz="4" w:space="0" w:color="auto"/>
              <w:left w:val="single" w:sz="4" w:space="0" w:color="auto"/>
              <w:bottom w:val="single" w:sz="4" w:space="0" w:color="auto"/>
              <w:right w:val="single" w:sz="4" w:space="0" w:color="auto"/>
            </w:tcBorders>
            <w:vAlign w:val="center"/>
          </w:tcPr>
          <w:p w14:paraId="5C366F33"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70.11</w:t>
            </w:r>
          </w:p>
        </w:tc>
      </w:tr>
      <w:tr w:rsidR="00EC1998" w14:paraId="65E867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7A209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040718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334F545B"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563EF85"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2801DA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CD18D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A3E410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15266DD"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1410FA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0E11F4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36841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87723F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1DAC06B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B8951BF"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751E2D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F0574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C509ED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BEBC2AE"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745,417,895.45</w:t>
            </w:r>
          </w:p>
        </w:tc>
        <w:tc>
          <w:tcPr>
            <w:tcW w:w="400" w:type="pct"/>
            <w:tcBorders>
              <w:top w:val="single" w:sz="4" w:space="0" w:color="auto"/>
              <w:left w:val="single" w:sz="4" w:space="0" w:color="auto"/>
              <w:bottom w:val="single" w:sz="4" w:space="0" w:color="auto"/>
              <w:right w:val="single" w:sz="4" w:space="0" w:color="auto"/>
            </w:tcBorders>
            <w:vAlign w:val="center"/>
          </w:tcPr>
          <w:p w14:paraId="3E9855BE"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100.18</w:t>
            </w:r>
          </w:p>
        </w:tc>
      </w:tr>
    </w:tbl>
    <w:p w14:paraId="21BB825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EC1998" w14:paraId="72DE3C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184082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13A14D1"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C3D5C7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90FE53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1DA49F8"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E54B63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EC1998" w14:paraId="2CAF56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C2395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1F44C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102282193</w:t>
            </w:r>
          </w:p>
        </w:tc>
        <w:tc>
          <w:tcPr>
            <w:tcW w:w="750" w:type="pct"/>
            <w:tcBorders>
              <w:top w:val="single" w:sz="4" w:space="0" w:color="auto"/>
              <w:left w:val="single" w:sz="4" w:space="0" w:color="auto"/>
              <w:bottom w:val="single" w:sz="4" w:space="0" w:color="auto"/>
              <w:right w:val="single" w:sz="4" w:space="0" w:color="auto"/>
            </w:tcBorders>
            <w:vAlign w:val="center"/>
          </w:tcPr>
          <w:p w14:paraId="4A9E75A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盐城城南</w:t>
            </w:r>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3C13C4E9"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5D75E693"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40,281,927.87</w:t>
            </w:r>
          </w:p>
        </w:tc>
        <w:tc>
          <w:tcPr>
            <w:tcW w:w="750" w:type="pct"/>
            <w:tcBorders>
              <w:top w:val="single" w:sz="4" w:space="0" w:color="auto"/>
              <w:left w:val="single" w:sz="4" w:space="0" w:color="auto"/>
              <w:bottom w:val="single" w:sz="4" w:space="0" w:color="auto"/>
              <w:right w:val="single" w:sz="4" w:space="0" w:color="auto"/>
            </w:tcBorders>
            <w:vAlign w:val="center"/>
          </w:tcPr>
          <w:p w14:paraId="0F1B7DA2"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5.41</w:t>
            </w:r>
          </w:p>
        </w:tc>
      </w:tr>
      <w:tr w:rsidR="00EC1998" w14:paraId="086263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91158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1F4FEB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012382963</w:t>
            </w:r>
          </w:p>
        </w:tc>
        <w:tc>
          <w:tcPr>
            <w:tcW w:w="750" w:type="pct"/>
            <w:tcBorders>
              <w:top w:val="single" w:sz="4" w:space="0" w:color="auto"/>
              <w:left w:val="single" w:sz="4" w:space="0" w:color="auto"/>
              <w:bottom w:val="single" w:sz="4" w:space="0" w:color="auto"/>
              <w:right w:val="single" w:sz="4" w:space="0" w:color="auto"/>
            </w:tcBorders>
            <w:vAlign w:val="center"/>
          </w:tcPr>
          <w:p w14:paraId="4EDD992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邕水务</w:t>
            </w:r>
            <w:r>
              <w:rPr>
                <w:rFonts w:ascii="Times New Roman" w:hAnsi="Times New Roman"/>
                <w:color w:val="000000"/>
                <w:kern w:val="0"/>
                <w:sz w:val="25"/>
                <w:szCs w:val="24"/>
              </w:rPr>
              <w:t>SCP002</w:t>
            </w:r>
          </w:p>
        </w:tc>
        <w:tc>
          <w:tcPr>
            <w:tcW w:w="750" w:type="pct"/>
            <w:tcBorders>
              <w:top w:val="single" w:sz="4" w:space="0" w:color="auto"/>
              <w:left w:val="single" w:sz="4" w:space="0" w:color="auto"/>
              <w:bottom w:val="single" w:sz="4" w:space="0" w:color="auto"/>
              <w:right w:val="single" w:sz="4" w:space="0" w:color="auto"/>
            </w:tcBorders>
            <w:vAlign w:val="center"/>
          </w:tcPr>
          <w:p w14:paraId="2649A771"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72A962F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40,105,748.63</w:t>
            </w:r>
          </w:p>
        </w:tc>
        <w:tc>
          <w:tcPr>
            <w:tcW w:w="750" w:type="pct"/>
            <w:tcBorders>
              <w:top w:val="single" w:sz="4" w:space="0" w:color="auto"/>
              <w:left w:val="single" w:sz="4" w:space="0" w:color="auto"/>
              <w:bottom w:val="single" w:sz="4" w:space="0" w:color="auto"/>
              <w:right w:val="single" w:sz="4" w:space="0" w:color="auto"/>
            </w:tcBorders>
            <w:vAlign w:val="center"/>
          </w:tcPr>
          <w:p w14:paraId="674620BA"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5.39</w:t>
            </w:r>
          </w:p>
        </w:tc>
      </w:tr>
      <w:tr w:rsidR="00EC1998" w14:paraId="496CC7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93D13A"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ECE867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102282206</w:t>
            </w:r>
          </w:p>
        </w:tc>
        <w:tc>
          <w:tcPr>
            <w:tcW w:w="750" w:type="pct"/>
            <w:tcBorders>
              <w:top w:val="single" w:sz="4" w:space="0" w:color="auto"/>
              <w:left w:val="single" w:sz="4" w:space="0" w:color="auto"/>
              <w:bottom w:val="single" w:sz="4" w:space="0" w:color="auto"/>
              <w:right w:val="single" w:sz="4" w:space="0" w:color="auto"/>
            </w:tcBorders>
            <w:vAlign w:val="center"/>
          </w:tcPr>
          <w:p w14:paraId="34089E3A"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新郑投资</w:t>
            </w:r>
            <w:r>
              <w:rPr>
                <w:rFonts w:ascii="Times New Roman" w:hAnsi="Times New Roman"/>
                <w:color w:val="000000"/>
                <w:kern w:val="0"/>
                <w:sz w:val="25"/>
                <w:szCs w:val="24"/>
              </w:rPr>
              <w:t>MTN002A</w:t>
            </w:r>
          </w:p>
        </w:tc>
        <w:tc>
          <w:tcPr>
            <w:tcW w:w="750" w:type="pct"/>
            <w:tcBorders>
              <w:top w:val="single" w:sz="4" w:space="0" w:color="auto"/>
              <w:left w:val="single" w:sz="4" w:space="0" w:color="auto"/>
              <w:bottom w:val="single" w:sz="4" w:space="0" w:color="auto"/>
              <w:right w:val="single" w:sz="4" w:space="0" w:color="auto"/>
            </w:tcBorders>
            <w:vAlign w:val="center"/>
          </w:tcPr>
          <w:p w14:paraId="49AAF69B"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3EC3627D"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39,907,130.05</w:t>
            </w:r>
          </w:p>
        </w:tc>
        <w:tc>
          <w:tcPr>
            <w:tcW w:w="750" w:type="pct"/>
            <w:tcBorders>
              <w:top w:val="single" w:sz="4" w:space="0" w:color="auto"/>
              <w:left w:val="single" w:sz="4" w:space="0" w:color="auto"/>
              <w:bottom w:val="single" w:sz="4" w:space="0" w:color="auto"/>
              <w:right w:val="single" w:sz="4" w:space="0" w:color="auto"/>
            </w:tcBorders>
            <w:vAlign w:val="center"/>
          </w:tcPr>
          <w:p w14:paraId="68A62881"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5.36</w:t>
            </w:r>
          </w:p>
        </w:tc>
      </w:tr>
      <w:tr w:rsidR="00EC1998" w14:paraId="2391B0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30ABF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F41F59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102380024</w:t>
            </w:r>
          </w:p>
        </w:tc>
        <w:tc>
          <w:tcPr>
            <w:tcW w:w="750" w:type="pct"/>
            <w:tcBorders>
              <w:top w:val="single" w:sz="4" w:space="0" w:color="auto"/>
              <w:left w:val="single" w:sz="4" w:space="0" w:color="auto"/>
              <w:bottom w:val="single" w:sz="4" w:space="0" w:color="auto"/>
              <w:right w:val="single" w:sz="4" w:space="0" w:color="auto"/>
            </w:tcBorders>
            <w:vAlign w:val="center"/>
          </w:tcPr>
          <w:p w14:paraId="2077EAE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鄂州城投</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337AED7E"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0DF5CB4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32,328,739.73</w:t>
            </w:r>
          </w:p>
        </w:tc>
        <w:tc>
          <w:tcPr>
            <w:tcW w:w="750" w:type="pct"/>
            <w:tcBorders>
              <w:top w:val="single" w:sz="4" w:space="0" w:color="auto"/>
              <w:left w:val="single" w:sz="4" w:space="0" w:color="auto"/>
              <w:bottom w:val="single" w:sz="4" w:space="0" w:color="auto"/>
              <w:right w:val="single" w:sz="4" w:space="0" w:color="auto"/>
            </w:tcBorders>
            <w:vAlign w:val="center"/>
          </w:tcPr>
          <w:p w14:paraId="29830CE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4.34</w:t>
            </w:r>
          </w:p>
        </w:tc>
      </w:tr>
      <w:tr w:rsidR="00EC1998" w14:paraId="009085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38E15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C28E4C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232280014</w:t>
            </w:r>
          </w:p>
        </w:tc>
        <w:tc>
          <w:tcPr>
            <w:tcW w:w="750" w:type="pct"/>
            <w:tcBorders>
              <w:top w:val="single" w:sz="4" w:space="0" w:color="auto"/>
              <w:left w:val="single" w:sz="4" w:space="0" w:color="auto"/>
              <w:bottom w:val="single" w:sz="4" w:space="0" w:color="auto"/>
              <w:right w:val="single" w:sz="4" w:space="0" w:color="auto"/>
            </w:tcBorders>
            <w:vAlign w:val="center"/>
          </w:tcPr>
          <w:p w14:paraId="57DC6B0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东莞农商行二级资本债</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E038845"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288FA1E6"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31,389,361.64</w:t>
            </w:r>
          </w:p>
        </w:tc>
        <w:tc>
          <w:tcPr>
            <w:tcW w:w="750" w:type="pct"/>
            <w:tcBorders>
              <w:top w:val="single" w:sz="4" w:space="0" w:color="auto"/>
              <w:left w:val="single" w:sz="4" w:space="0" w:color="auto"/>
              <w:bottom w:val="single" w:sz="4" w:space="0" w:color="auto"/>
              <w:right w:val="single" w:sz="4" w:space="0" w:color="auto"/>
            </w:tcBorders>
            <w:vAlign w:val="center"/>
          </w:tcPr>
          <w:p w14:paraId="2942BE70"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4.22</w:t>
            </w:r>
          </w:p>
        </w:tc>
      </w:tr>
    </w:tbl>
    <w:p w14:paraId="436E107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707A706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364C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520F55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15888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2C73BEF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F729E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1B3DC6C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2BFFDD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1E3E7A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6F39F1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CE5C4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35B9FA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ACDD6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05A2409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3C943EF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1E4145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4921A32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2A7CB2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EC1998" w14:paraId="7CA833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CD161C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7A2054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DB0A49E"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EC1998" w14:paraId="439070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DE5A3A"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C3858A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8AD1878"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8,220.87</w:t>
            </w:r>
          </w:p>
        </w:tc>
      </w:tr>
      <w:tr w:rsidR="00EC1998" w14:paraId="33D904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335F2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8D70E7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D522818"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2,507,200.00</w:t>
            </w:r>
          </w:p>
        </w:tc>
      </w:tr>
      <w:tr w:rsidR="00EC1998" w14:paraId="131415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81011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B12CC2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3B2EF259"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3812E6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90636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242C3F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665524B"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1B4A7E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20D15A"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E0C4D4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28FD5FA1"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587,087.85</w:t>
            </w:r>
          </w:p>
        </w:tc>
      </w:tr>
      <w:tr w:rsidR="00EC1998" w14:paraId="649B84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D94FA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2D0EE8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45B10AC"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577D8C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3ECEB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D8D672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4BBE64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EC1998" w14:paraId="223146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71D3C5"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7D5DD4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2967C74" w14:textId="77777777" w:rsidR="00EC1998" w:rsidRDefault="0054105E">
            <w:pPr>
              <w:widowControl/>
              <w:snapToGrid w:val="0"/>
              <w:jc w:val="right"/>
              <w:rPr>
                <w:rFonts w:ascii="宋体" w:hAnsi="宋体"/>
                <w:color w:val="000000"/>
                <w:kern w:val="0"/>
                <w:sz w:val="25"/>
                <w:szCs w:val="24"/>
              </w:rPr>
            </w:pPr>
            <w:r>
              <w:rPr>
                <w:rFonts w:ascii="Times New Roman" w:hAnsi="Times New Roman"/>
                <w:color w:val="000000"/>
                <w:kern w:val="0"/>
                <w:sz w:val="25"/>
                <w:szCs w:val="24"/>
              </w:rPr>
              <w:t>3,102,508.72</w:t>
            </w:r>
          </w:p>
        </w:tc>
      </w:tr>
    </w:tbl>
    <w:p w14:paraId="576C9C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7CB584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A96C7A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657613A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DDDD50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424226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7ED404BB"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C67A5D" w14:textId="77777777" w:rsidR="00EC1998" w:rsidRDefault="0054105E">
      <w:pPr>
        <w:pStyle w:val="1"/>
        <w:snapToGrid w:val="0"/>
        <w:spacing w:beforeLines="0" w:before="240" w:after="240"/>
        <w:rPr>
          <w:rFonts w:ascii="宋体" w:hAnsi="宋体"/>
          <w:szCs w:val="30"/>
        </w:rPr>
      </w:pPr>
      <w:bookmarkStart w:id="16" w:name="_Toc154650804"/>
      <w:r>
        <w:rPr>
          <w:rFonts w:ascii="Times New Roman" w:hAnsi="Times New Roman"/>
          <w:sz w:val="30"/>
        </w:rPr>
        <w:t>十一、基金的业绩</w:t>
      </w:r>
      <w:bookmarkEnd w:id="16"/>
    </w:p>
    <w:p w14:paraId="2751022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69CC46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CC3BA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5BDD40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EC1998" w14:paraId="4081B1AE"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520B32D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2AB2BF1"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BC1865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A4C27A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69AF0CA"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114402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0EE496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EC1998" w14:paraId="20825C89"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4A8A36D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33663BF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416F0C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2F200D2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BA4C18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AA0E1E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90866C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225B380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03F035F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424B961"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E88E4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7A679E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4.09%</w:t>
            </w:r>
          </w:p>
        </w:tc>
        <w:tc>
          <w:tcPr>
            <w:tcW w:w="750" w:type="pct"/>
            <w:tcBorders>
              <w:top w:val="single" w:sz="4" w:space="0" w:color="auto"/>
              <w:left w:val="single" w:sz="4" w:space="0" w:color="auto"/>
              <w:bottom w:val="single" w:sz="4" w:space="0" w:color="auto"/>
              <w:right w:val="single" w:sz="4" w:space="0" w:color="auto"/>
            </w:tcBorders>
            <w:vAlign w:val="center"/>
          </w:tcPr>
          <w:p w14:paraId="389E88E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4F6C96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7A9A4DA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CA332C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2.87%</w:t>
            </w:r>
          </w:p>
        </w:tc>
        <w:tc>
          <w:tcPr>
            <w:tcW w:w="750" w:type="pct"/>
            <w:tcBorders>
              <w:top w:val="single" w:sz="4" w:space="0" w:color="auto"/>
              <w:left w:val="single" w:sz="4" w:space="0" w:color="auto"/>
              <w:bottom w:val="single" w:sz="4" w:space="0" w:color="auto"/>
              <w:right w:val="single" w:sz="4" w:space="0" w:color="auto"/>
            </w:tcBorders>
            <w:vAlign w:val="center"/>
          </w:tcPr>
          <w:p w14:paraId="6BDFCE0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1FD6EA0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541B87"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2B0E41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2BC66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456690F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AD546A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3303469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FB8AA6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14:paraId="0A6D580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2F970D5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DBB33B"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1779EE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516B2F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4.24%</w:t>
            </w:r>
          </w:p>
        </w:tc>
        <w:tc>
          <w:tcPr>
            <w:tcW w:w="750" w:type="pct"/>
            <w:tcBorders>
              <w:top w:val="single" w:sz="4" w:space="0" w:color="auto"/>
              <w:left w:val="single" w:sz="4" w:space="0" w:color="auto"/>
              <w:bottom w:val="single" w:sz="4" w:space="0" w:color="auto"/>
              <w:right w:val="single" w:sz="4" w:space="0" w:color="auto"/>
            </w:tcBorders>
            <w:vAlign w:val="center"/>
          </w:tcPr>
          <w:p w14:paraId="42DBB0E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11E503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02F8B7C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AAE5C8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2.14%</w:t>
            </w:r>
          </w:p>
        </w:tc>
        <w:tc>
          <w:tcPr>
            <w:tcW w:w="750" w:type="pct"/>
            <w:tcBorders>
              <w:top w:val="single" w:sz="4" w:space="0" w:color="auto"/>
              <w:left w:val="single" w:sz="4" w:space="0" w:color="auto"/>
              <w:bottom w:val="single" w:sz="4" w:space="0" w:color="auto"/>
              <w:right w:val="single" w:sz="4" w:space="0" w:color="auto"/>
            </w:tcBorders>
            <w:vAlign w:val="center"/>
          </w:tcPr>
          <w:p w14:paraId="2E207E3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07F9670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0E870E7"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040346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A26695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2.75%</w:t>
            </w:r>
          </w:p>
        </w:tc>
        <w:tc>
          <w:tcPr>
            <w:tcW w:w="750" w:type="pct"/>
            <w:tcBorders>
              <w:top w:val="single" w:sz="4" w:space="0" w:color="auto"/>
              <w:left w:val="single" w:sz="4" w:space="0" w:color="auto"/>
              <w:bottom w:val="single" w:sz="4" w:space="0" w:color="auto"/>
              <w:right w:val="single" w:sz="4" w:space="0" w:color="auto"/>
            </w:tcBorders>
            <w:vAlign w:val="center"/>
          </w:tcPr>
          <w:p w14:paraId="6EA340D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7FB360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B5352F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6A3046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14:paraId="46ECDD7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10D21D1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F2BCAF"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C3D351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2A203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3.47%</w:t>
            </w:r>
          </w:p>
        </w:tc>
        <w:tc>
          <w:tcPr>
            <w:tcW w:w="750" w:type="pct"/>
            <w:tcBorders>
              <w:top w:val="single" w:sz="4" w:space="0" w:color="auto"/>
              <w:left w:val="single" w:sz="4" w:space="0" w:color="auto"/>
              <w:bottom w:val="single" w:sz="4" w:space="0" w:color="auto"/>
              <w:right w:val="single" w:sz="4" w:space="0" w:color="auto"/>
            </w:tcBorders>
            <w:vAlign w:val="center"/>
          </w:tcPr>
          <w:p w14:paraId="622404E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ADBE61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11786C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E9977F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14:paraId="609D625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18A219F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7B2B666"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E0C45F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E5DA1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8.36%</w:t>
            </w:r>
          </w:p>
        </w:tc>
        <w:tc>
          <w:tcPr>
            <w:tcW w:w="750" w:type="pct"/>
            <w:tcBorders>
              <w:top w:val="single" w:sz="4" w:space="0" w:color="auto"/>
              <w:left w:val="single" w:sz="4" w:space="0" w:color="auto"/>
              <w:bottom w:val="single" w:sz="4" w:space="0" w:color="auto"/>
              <w:right w:val="single" w:sz="4" w:space="0" w:color="auto"/>
            </w:tcBorders>
            <w:vAlign w:val="center"/>
          </w:tcPr>
          <w:p w14:paraId="57EBB23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821B5D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104AA1C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A2BFAA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3.57%</w:t>
            </w:r>
          </w:p>
        </w:tc>
        <w:tc>
          <w:tcPr>
            <w:tcW w:w="750" w:type="pct"/>
            <w:tcBorders>
              <w:top w:val="single" w:sz="4" w:space="0" w:color="auto"/>
              <w:left w:val="single" w:sz="4" w:space="0" w:color="auto"/>
              <w:bottom w:val="single" w:sz="4" w:space="0" w:color="auto"/>
              <w:right w:val="single" w:sz="4" w:space="0" w:color="auto"/>
            </w:tcBorders>
            <w:vAlign w:val="center"/>
          </w:tcPr>
          <w:p w14:paraId="243B791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0668E5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DCAD6B3"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99B4CD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DEEC2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74177D0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42420A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3904850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D70FEE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4.38%</w:t>
            </w:r>
          </w:p>
        </w:tc>
        <w:tc>
          <w:tcPr>
            <w:tcW w:w="750" w:type="pct"/>
            <w:tcBorders>
              <w:top w:val="single" w:sz="4" w:space="0" w:color="auto"/>
              <w:left w:val="single" w:sz="4" w:space="0" w:color="auto"/>
              <w:bottom w:val="single" w:sz="4" w:space="0" w:color="auto"/>
              <w:right w:val="single" w:sz="4" w:space="0" w:color="auto"/>
            </w:tcBorders>
            <w:vAlign w:val="center"/>
          </w:tcPr>
          <w:p w14:paraId="72F043E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0C4724B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1420C6E"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DE3951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EDBE8A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557A1F2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490AAB3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3957E4E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BF45B8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686881C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43EC2D3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58DC53"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090D1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247A98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2409F0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420AAD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14473D9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0C12C63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474BD9B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EC1998" w14:paraId="6EDA4156"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568FEB8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6A4C661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FF6B4A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067DABD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E35EE8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60DB82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75F29C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14:paraId="08D1ACA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7C6DB0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096DF0"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CB670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03C656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3.88%</w:t>
            </w:r>
          </w:p>
        </w:tc>
        <w:tc>
          <w:tcPr>
            <w:tcW w:w="750" w:type="pct"/>
            <w:tcBorders>
              <w:top w:val="single" w:sz="4" w:space="0" w:color="auto"/>
              <w:left w:val="single" w:sz="4" w:space="0" w:color="auto"/>
              <w:bottom w:val="single" w:sz="4" w:space="0" w:color="auto"/>
              <w:right w:val="single" w:sz="4" w:space="0" w:color="auto"/>
            </w:tcBorders>
            <w:vAlign w:val="center"/>
          </w:tcPr>
          <w:p w14:paraId="280A6BE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2D9FD5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FD9EAD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161254C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2.66%</w:t>
            </w:r>
          </w:p>
        </w:tc>
        <w:tc>
          <w:tcPr>
            <w:tcW w:w="750" w:type="pct"/>
            <w:tcBorders>
              <w:top w:val="single" w:sz="4" w:space="0" w:color="auto"/>
              <w:left w:val="single" w:sz="4" w:space="0" w:color="auto"/>
              <w:bottom w:val="single" w:sz="4" w:space="0" w:color="auto"/>
              <w:right w:val="single" w:sz="4" w:space="0" w:color="auto"/>
            </w:tcBorders>
            <w:vAlign w:val="center"/>
          </w:tcPr>
          <w:p w14:paraId="584C267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2181C86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7247A13"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D6BD70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D254D9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14:paraId="7B1E3AB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1C0A79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66EB70E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15633B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130AD45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02FDA9E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AF10DDA"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CAD2B2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A5D518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3.82%</w:t>
            </w:r>
          </w:p>
        </w:tc>
        <w:tc>
          <w:tcPr>
            <w:tcW w:w="750" w:type="pct"/>
            <w:tcBorders>
              <w:top w:val="single" w:sz="4" w:space="0" w:color="auto"/>
              <w:left w:val="single" w:sz="4" w:space="0" w:color="auto"/>
              <w:bottom w:val="single" w:sz="4" w:space="0" w:color="auto"/>
              <w:right w:val="single" w:sz="4" w:space="0" w:color="auto"/>
            </w:tcBorders>
            <w:vAlign w:val="center"/>
          </w:tcPr>
          <w:p w14:paraId="690DAA7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4C5286C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150871E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0078CC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3CB1906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74D07A1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86B7B93"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7097E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7FB60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2.34%</w:t>
            </w:r>
          </w:p>
        </w:tc>
        <w:tc>
          <w:tcPr>
            <w:tcW w:w="750" w:type="pct"/>
            <w:tcBorders>
              <w:top w:val="single" w:sz="4" w:space="0" w:color="auto"/>
              <w:left w:val="single" w:sz="4" w:space="0" w:color="auto"/>
              <w:bottom w:val="single" w:sz="4" w:space="0" w:color="auto"/>
              <w:right w:val="single" w:sz="4" w:space="0" w:color="auto"/>
            </w:tcBorders>
            <w:vAlign w:val="center"/>
          </w:tcPr>
          <w:p w14:paraId="2E763CB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9036DE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39D013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943F52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sz="4" w:space="0" w:color="auto"/>
              <w:left w:val="single" w:sz="4" w:space="0" w:color="auto"/>
              <w:bottom w:val="single" w:sz="4" w:space="0" w:color="auto"/>
              <w:right w:val="single" w:sz="4" w:space="0" w:color="auto"/>
            </w:tcBorders>
            <w:vAlign w:val="center"/>
          </w:tcPr>
          <w:p w14:paraId="5F204A5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320A871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E7BA2F"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DE9F5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94FAE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4.80%</w:t>
            </w:r>
          </w:p>
        </w:tc>
        <w:tc>
          <w:tcPr>
            <w:tcW w:w="750" w:type="pct"/>
            <w:tcBorders>
              <w:top w:val="single" w:sz="4" w:space="0" w:color="auto"/>
              <w:left w:val="single" w:sz="4" w:space="0" w:color="auto"/>
              <w:bottom w:val="single" w:sz="4" w:space="0" w:color="auto"/>
              <w:right w:val="single" w:sz="4" w:space="0" w:color="auto"/>
            </w:tcBorders>
            <w:vAlign w:val="center"/>
          </w:tcPr>
          <w:p w14:paraId="096AE96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6589F58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789E253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605DC7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3.49%</w:t>
            </w:r>
          </w:p>
        </w:tc>
        <w:tc>
          <w:tcPr>
            <w:tcW w:w="750" w:type="pct"/>
            <w:tcBorders>
              <w:top w:val="single" w:sz="4" w:space="0" w:color="auto"/>
              <w:left w:val="single" w:sz="4" w:space="0" w:color="auto"/>
              <w:bottom w:val="single" w:sz="4" w:space="0" w:color="auto"/>
              <w:right w:val="single" w:sz="4" w:space="0" w:color="auto"/>
            </w:tcBorders>
            <w:vAlign w:val="center"/>
          </w:tcPr>
          <w:p w14:paraId="09E85B7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r w:rsidR="00EC1998" w14:paraId="7DDA98C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8EDCF3A"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33DBA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E7E91F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7.89%</w:t>
            </w:r>
          </w:p>
        </w:tc>
        <w:tc>
          <w:tcPr>
            <w:tcW w:w="750" w:type="pct"/>
            <w:tcBorders>
              <w:top w:val="single" w:sz="4" w:space="0" w:color="auto"/>
              <w:left w:val="single" w:sz="4" w:space="0" w:color="auto"/>
              <w:bottom w:val="single" w:sz="4" w:space="0" w:color="auto"/>
              <w:right w:val="single" w:sz="4" w:space="0" w:color="auto"/>
            </w:tcBorders>
            <w:vAlign w:val="center"/>
          </w:tcPr>
          <w:p w14:paraId="58B2E46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1F159C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030ED62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B3A775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3.10%</w:t>
            </w:r>
          </w:p>
        </w:tc>
        <w:tc>
          <w:tcPr>
            <w:tcW w:w="750" w:type="pct"/>
            <w:tcBorders>
              <w:top w:val="single" w:sz="4" w:space="0" w:color="auto"/>
              <w:left w:val="single" w:sz="4" w:space="0" w:color="auto"/>
              <w:bottom w:val="single" w:sz="4" w:space="0" w:color="auto"/>
              <w:right w:val="single" w:sz="4" w:space="0" w:color="auto"/>
            </w:tcBorders>
            <w:vAlign w:val="center"/>
          </w:tcPr>
          <w:p w14:paraId="3D0181B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EC1998" w14:paraId="2304070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2507AE"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A466F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F0EF9E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14:paraId="5C95190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EED4D9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50C7BC2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98B0E6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3.98%</w:t>
            </w:r>
          </w:p>
        </w:tc>
        <w:tc>
          <w:tcPr>
            <w:tcW w:w="750" w:type="pct"/>
            <w:tcBorders>
              <w:top w:val="single" w:sz="4" w:space="0" w:color="auto"/>
              <w:left w:val="single" w:sz="4" w:space="0" w:color="auto"/>
              <w:bottom w:val="single" w:sz="4" w:space="0" w:color="auto"/>
              <w:right w:val="single" w:sz="4" w:space="0" w:color="auto"/>
            </w:tcBorders>
            <w:vAlign w:val="center"/>
          </w:tcPr>
          <w:p w14:paraId="06B32E4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4F56C46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C8D92B1"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418EA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40999E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7F62A7A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06C5D4D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6E82C74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A237E6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2EB420B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EC1998" w14:paraId="10EF2F5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EBA3DD2" w14:textId="77777777" w:rsidR="00EC1998"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9E2924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412AAB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3B2B670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0B1B39E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2E8910A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5B50F0A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4B2CCE3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42F86B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4F48DAB1" w14:textId="77777777" w:rsidR="00EC1998" w:rsidRDefault="0054105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交银施罗德裕通纯债债券型证券投资基金</w:t>
      </w:r>
    </w:p>
    <w:p w14:paraId="38FA8D45" w14:textId="77777777" w:rsidR="00EC1998" w:rsidRDefault="0054105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7F0A6927" w14:textId="77777777" w:rsidR="00EC1998" w:rsidRDefault="0054105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（2015年12月29日至2023年09月30日）</w:t>
      </w:r>
    </w:p>
    <w:p w14:paraId="4D70FC3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（1）交银裕通纯债债券A</w:t>
      </w:r>
    </w:p>
    <w:p w14:paraId="0289D921" w14:textId="44F12278" w:rsidR="00EC1998" w:rsidRDefault="00480A0F">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3C2F7003" wp14:editId="137D31EE">
            <wp:extent cx="5584825" cy="4382135"/>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4825" cy="4382135"/>
                    </a:xfrm>
                    <a:prstGeom prst="rect">
                      <a:avLst/>
                    </a:prstGeom>
                    <a:noFill/>
                    <a:ln>
                      <a:noFill/>
                    </a:ln>
                  </pic:spPr>
                </pic:pic>
              </a:graphicData>
            </a:graphic>
          </wp:inline>
        </w:drawing>
      </w:r>
    </w:p>
    <w:p w14:paraId="7D5B6B1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728B36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（2）交银裕通纯债债券C</w:t>
      </w:r>
    </w:p>
    <w:p w14:paraId="2F77DABA" w14:textId="628B4F84" w:rsidR="00EC1998" w:rsidRDefault="00480A0F">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02E8F9DC" wp14:editId="3E5F213F">
            <wp:extent cx="5584825" cy="4382135"/>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4825" cy="4382135"/>
                    </a:xfrm>
                    <a:prstGeom prst="rect">
                      <a:avLst/>
                    </a:prstGeom>
                    <a:noFill/>
                    <a:ln>
                      <a:noFill/>
                    </a:ln>
                  </pic:spPr>
                </pic:pic>
              </a:graphicData>
            </a:graphic>
          </wp:inline>
        </w:drawing>
      </w:r>
    </w:p>
    <w:p w14:paraId="240ED6A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684DB0A3"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77E539B" w14:textId="77777777" w:rsidR="00EC1998" w:rsidRDefault="0054105E">
      <w:pPr>
        <w:pStyle w:val="1"/>
        <w:snapToGrid w:val="0"/>
        <w:spacing w:beforeLines="0" w:before="240" w:after="240"/>
        <w:rPr>
          <w:rFonts w:ascii="宋体" w:hAnsi="宋体"/>
          <w:szCs w:val="30"/>
        </w:rPr>
      </w:pPr>
      <w:bookmarkStart w:id="17" w:name="_Toc154650805"/>
      <w:r>
        <w:rPr>
          <w:rFonts w:ascii="Times New Roman" w:hAnsi="Times New Roman"/>
          <w:sz w:val="30"/>
        </w:rPr>
        <w:t>十二、基金的财产</w:t>
      </w:r>
      <w:bookmarkEnd w:id="17"/>
    </w:p>
    <w:p w14:paraId="145A147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5ED0B5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07C49C2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CA66AB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3758C8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6409C3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59C5F4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3AFF35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BA8D7A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765A0EB"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DB3868" w14:textId="77777777" w:rsidR="00EC1998" w:rsidRDefault="0054105E">
      <w:pPr>
        <w:pStyle w:val="1"/>
        <w:snapToGrid w:val="0"/>
        <w:spacing w:beforeLines="0" w:before="240" w:after="240"/>
        <w:rPr>
          <w:rFonts w:ascii="宋体" w:hAnsi="宋体"/>
          <w:szCs w:val="30"/>
        </w:rPr>
      </w:pPr>
      <w:bookmarkStart w:id="18" w:name="_Toc154650806"/>
      <w:r>
        <w:rPr>
          <w:rFonts w:ascii="Times New Roman" w:hAnsi="Times New Roman"/>
          <w:sz w:val="30"/>
        </w:rPr>
        <w:t>十三、基金资产的估值</w:t>
      </w:r>
      <w:bookmarkEnd w:id="18"/>
    </w:p>
    <w:p w14:paraId="150FA9E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4F4C3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D07752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7224F9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0F79430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3A0CC5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170179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9347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6334BA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（3）交易所市场上市交易的可转换债券，按估值日收盘价减去可转换债券收盘价中所含债券应收利息后得到的净价进行估值；</w:t>
      </w:r>
    </w:p>
    <w:p w14:paraId="78D3CB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（4）交易所市场挂牌转让的资产支持证券和私募债券，采用估值技术确定公允价值。</w:t>
      </w:r>
    </w:p>
    <w:p w14:paraId="702B966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2、交易所市场发行未上市或未挂牌转让的债券，采用估值技术确定公允价值。</w:t>
      </w:r>
    </w:p>
    <w:p w14:paraId="5336AF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74046F4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4、如有确凿证据表明按上述方法进行估值不能客观反映其公允价值的，基金管理人可根据具体情况与基金托管人商定后，按最能反映公允价值的方法估值。</w:t>
      </w:r>
    </w:p>
    <w:p w14:paraId="692E862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5、相关法律法规以及监管部门有强制规定的，从其规定。如有新增事项，按法律法规以及监管部门最新规定估值。</w:t>
      </w:r>
    </w:p>
    <w:p w14:paraId="38DE8F5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2CF2E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06ECD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45DBE0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1F3E0407" w14:textId="0C80375B"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基金管理人于每个工作日计算基金资产净值及基金份额净值，并按规定公告。如遇特殊情况，经中国证监会同意，可以适当延迟计算或公告。</w:t>
      </w:r>
    </w:p>
    <w:p w14:paraId="292D4421" w14:textId="51A6608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89B79A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0F9804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55E9834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5EAA1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1CB0FA8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4C878E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076017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0C651B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1DEFBD8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146F79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6A94B5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F7FD2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75B6BD2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830C5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047CF5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48DA0A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6FC5E7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164EC9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7A769B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C90636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6A426E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18CE63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6569B3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231A69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4749DF2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780262A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0E8FCD8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3DCC8FA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BB0E5A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7C67BAB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327215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5DC123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5568D6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320341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41E5EC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14:paraId="2CB554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389FA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1F5BC7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1F0B2D5A"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D7A14D" w14:textId="77777777" w:rsidR="00EC1998" w:rsidRDefault="0054105E">
      <w:pPr>
        <w:pStyle w:val="1"/>
        <w:snapToGrid w:val="0"/>
        <w:spacing w:beforeLines="0" w:before="240" w:after="240"/>
        <w:rPr>
          <w:rFonts w:ascii="宋体" w:hAnsi="宋体"/>
          <w:szCs w:val="30"/>
        </w:rPr>
      </w:pPr>
      <w:bookmarkStart w:id="19" w:name="_Toc154650807"/>
      <w:r>
        <w:rPr>
          <w:rFonts w:ascii="Times New Roman" w:hAnsi="Times New Roman"/>
          <w:sz w:val="30"/>
        </w:rPr>
        <w:t>十四、基金收益与分配</w:t>
      </w:r>
      <w:bookmarkEnd w:id="19"/>
    </w:p>
    <w:p w14:paraId="0D53C5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1B9ED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34CE2AC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644AE4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282A6A9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7E48DF46" w14:textId="5C2EA54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8879F1" w:rsidRPr="008879F1">
        <w:rPr>
          <w:rFonts w:ascii="宋体" w:hAnsi="宋体" w:hint="eastAsia"/>
          <w:sz w:val="24"/>
        </w:rPr>
        <w:t>和D类基金份额</w:t>
      </w:r>
      <w:r>
        <w:rPr>
          <w:rFonts w:ascii="宋体" w:hAnsi="宋体"/>
          <w:sz w:val="24"/>
        </w:rPr>
        <w:t>不收取销售服务费，C类基金份额收取销售服务费，各基金份额类别对应的可供分配利润将有所不同；</w:t>
      </w:r>
    </w:p>
    <w:p w14:paraId="4CAA834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2、若基金合同生效不满3个月可不进行收益分配；</w:t>
      </w:r>
    </w:p>
    <w:p w14:paraId="447A3426" w14:textId="57E8DA33"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8879F1" w:rsidRPr="00A22ACB">
        <w:rPr>
          <w:rFonts w:hint="eastAsia"/>
          <w:bCs/>
          <w:sz w:val="24"/>
        </w:rPr>
        <w:t>相应类别的</w:t>
      </w:r>
      <w:r>
        <w:rPr>
          <w:rFonts w:ascii="宋体" w:hAnsi="宋体"/>
          <w:sz w:val="24"/>
        </w:rPr>
        <w:t>基金份额进行再投资；若投资者不选择，本基金默认的收益分配方式是现金分红；基金份额持有人可对其持有的A类</w:t>
      </w:r>
      <w:r w:rsidR="008879F1">
        <w:rPr>
          <w:rFonts w:ascii="宋体" w:hAnsi="宋体" w:hint="eastAsia"/>
          <w:sz w:val="24"/>
        </w:rPr>
        <w:t>、</w:t>
      </w:r>
      <w:r>
        <w:rPr>
          <w:rFonts w:ascii="宋体" w:hAnsi="宋体"/>
          <w:sz w:val="24"/>
        </w:rPr>
        <w:t>C类</w:t>
      </w:r>
      <w:r w:rsidR="008879F1" w:rsidRPr="00EC2A62">
        <w:rPr>
          <w:rFonts w:ascii="宋体" w:hAnsi="宋体" w:hint="eastAsia"/>
          <w:sz w:val="24"/>
        </w:rPr>
        <w:t>和D类</w:t>
      </w:r>
      <w:r>
        <w:rPr>
          <w:rFonts w:ascii="宋体" w:hAnsi="宋体"/>
          <w:sz w:val="24"/>
        </w:rPr>
        <w:t>基金份额分别选择不同的收益分配方式；</w:t>
      </w:r>
    </w:p>
    <w:p w14:paraId="1F2F5FFC" w14:textId="5D34A1A6"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w:t>
      </w:r>
      <w:r w:rsidR="00036B89">
        <w:rPr>
          <w:rFonts w:hint="eastAsia"/>
          <w:bCs/>
          <w:sz w:val="24"/>
        </w:rPr>
        <w:t>任一类</w:t>
      </w:r>
      <w:r>
        <w:rPr>
          <w:rFonts w:ascii="宋体" w:hAnsi="宋体"/>
          <w:sz w:val="24"/>
        </w:rPr>
        <w:t>基金份额净值不能低于面值，即基金收益分配基准日的</w:t>
      </w:r>
      <w:r w:rsidR="00036B89">
        <w:rPr>
          <w:rFonts w:hint="eastAsia"/>
          <w:bCs/>
          <w:sz w:val="24"/>
        </w:rPr>
        <w:t>任一类</w:t>
      </w:r>
      <w:r>
        <w:rPr>
          <w:rFonts w:ascii="宋体" w:hAnsi="宋体"/>
          <w:sz w:val="24"/>
        </w:rPr>
        <w:t>基金份额净值减去</w:t>
      </w:r>
      <w:r w:rsidR="00036B89">
        <w:rPr>
          <w:rFonts w:hint="eastAsia"/>
          <w:bCs/>
          <w:sz w:val="24"/>
        </w:rPr>
        <w:t>该类</w:t>
      </w:r>
      <w:r>
        <w:rPr>
          <w:rFonts w:ascii="宋体" w:hAnsi="宋体"/>
          <w:sz w:val="24"/>
        </w:rPr>
        <w:t>每单位基金份额收益分配金额后不能低于面值；</w:t>
      </w:r>
    </w:p>
    <w:p w14:paraId="778219A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551E934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1104D77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1CA03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3DECDD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42F31F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03FC2B0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7C0B0F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F67DD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5EA2387A" w14:textId="72462A1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w:t>
      </w:r>
      <w:r w:rsidR="0019284F">
        <w:rPr>
          <w:rFonts w:hint="eastAsia"/>
          <w:bCs/>
          <w:sz w:val="24"/>
        </w:rPr>
        <w:t>相应类别的</w:t>
      </w:r>
      <w:r>
        <w:rPr>
          <w:rFonts w:ascii="宋体" w:hAnsi="宋体"/>
          <w:sz w:val="24"/>
        </w:rPr>
        <w:t>基金份额。红利再投资的计算方法，依照《业务规则》执行。</w:t>
      </w:r>
    </w:p>
    <w:p w14:paraId="105D88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6F3DD06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317015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33FA3C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21E8DB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D2D0876"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3AAA322" w14:textId="77777777" w:rsidR="00EC1998" w:rsidRDefault="0054105E">
      <w:pPr>
        <w:pStyle w:val="1"/>
        <w:snapToGrid w:val="0"/>
        <w:spacing w:beforeLines="0" w:before="240" w:after="240"/>
        <w:rPr>
          <w:rFonts w:ascii="宋体" w:hAnsi="宋体"/>
          <w:szCs w:val="30"/>
        </w:rPr>
      </w:pPr>
      <w:bookmarkStart w:id="20" w:name="_Toc154650808"/>
      <w:r>
        <w:rPr>
          <w:rFonts w:ascii="Times New Roman" w:hAnsi="Times New Roman"/>
          <w:sz w:val="30"/>
        </w:rPr>
        <w:t>十五、基金的费用与税收</w:t>
      </w:r>
      <w:bookmarkEnd w:id="20"/>
    </w:p>
    <w:p w14:paraId="04412A6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53040C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D5CAF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7C954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C71C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14:paraId="1EA141E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2B68E0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71797C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5C9E61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42FC514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64C722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4692D96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0AAB03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5DC3A90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638D9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3DEC6BB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31ED46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6A5B3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DF5267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按月支付。由基金管理人向基金托管人发送划款指令，由基金托管人复核后于次月首日起第3个工作日从基金财产中一次性支付给基金管理人，若遇法定节假日、休息日或不可抗力致使无法按时支付的，支付日期顺延。</w:t>
      </w:r>
    </w:p>
    <w:p w14:paraId="50D1EE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0C928A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本基金的托管费按前一日基金资产净值的0.10%的年费率计提。托管费的计算方法如下：</w:t>
      </w:r>
    </w:p>
    <w:p w14:paraId="6028C3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H＝E×0.10%÷当年天数</w:t>
      </w:r>
    </w:p>
    <w:p w14:paraId="16ECF1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1AEC69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7A8F387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按月支付。由基金管理人向基金托管人发送划款指令，由基金托管人复核后于次月首日起第3个工作日从基金财产中一次性支取，若遇法定节假日、休息日或不可抗力致使无法按时支付的，支付日期顺延。</w:t>
      </w:r>
    </w:p>
    <w:p w14:paraId="6375C9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38CAB913" w14:textId="31FE14E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7749E4" w:rsidRPr="007749E4">
        <w:rPr>
          <w:rFonts w:ascii="宋体" w:hAnsi="宋体" w:hint="eastAsia"/>
          <w:sz w:val="24"/>
        </w:rPr>
        <w:t>和D类基金份额</w:t>
      </w:r>
      <w:r>
        <w:rPr>
          <w:rFonts w:ascii="宋体" w:hAnsi="宋体"/>
          <w:sz w:val="24"/>
        </w:rPr>
        <w:t>不收取销售服务费，C类基金份额的销售服务费按前一日C类基金资产净值的0.4%年费率计提。计算方法如下：</w:t>
      </w:r>
    </w:p>
    <w:p w14:paraId="542AE9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14:paraId="0D4592F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412476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2EECC6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14:paraId="4C8A9D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CCB84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上述“（一）基金费用的种类”中第3－8项、第10项费用，根据有关法规及相应协议规定，按费用实际支出金额列入当期费用，由基金托管人从基金财产中支付。</w:t>
      </w:r>
    </w:p>
    <w:p w14:paraId="26B7CD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442018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23416C6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1FE8E6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4DA5F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087CF9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D8F6CA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248F5C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040A81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222473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6B7DE6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57F39C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14:paraId="37D7BE1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6AA510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597FF0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1C4BE01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25E09A37"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88EAE0" w14:textId="77777777" w:rsidR="00EC1998" w:rsidRDefault="0054105E">
      <w:pPr>
        <w:pStyle w:val="1"/>
        <w:snapToGrid w:val="0"/>
        <w:spacing w:beforeLines="0" w:before="240" w:after="240"/>
        <w:rPr>
          <w:rFonts w:ascii="宋体" w:hAnsi="宋体"/>
          <w:szCs w:val="30"/>
        </w:rPr>
      </w:pPr>
      <w:bookmarkStart w:id="21" w:name="_Toc154650809"/>
      <w:r>
        <w:rPr>
          <w:rFonts w:ascii="Times New Roman" w:hAnsi="Times New Roman"/>
          <w:sz w:val="30"/>
        </w:rPr>
        <w:t>十六、基金的会计与审计</w:t>
      </w:r>
      <w:bookmarkEnd w:id="21"/>
    </w:p>
    <w:p w14:paraId="03A7646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47C277E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0A7F18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48ED5D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53254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06CF9D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65EBD06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22A666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64C9EFD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320410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60F744A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91245D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3、基金管理人认为有充足理由更换会计师事务所，须通报基金托管人。更换会计师事务所需依照《信息披露办法》的有关规定在指定媒介公告。</w:t>
      </w:r>
    </w:p>
    <w:p w14:paraId="1D0EFEC9"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513424" w14:textId="77777777" w:rsidR="00EC1998" w:rsidRDefault="0054105E">
      <w:pPr>
        <w:pStyle w:val="1"/>
        <w:snapToGrid w:val="0"/>
        <w:spacing w:beforeLines="0" w:before="240" w:after="240"/>
        <w:rPr>
          <w:rFonts w:ascii="宋体" w:hAnsi="宋体"/>
          <w:szCs w:val="30"/>
        </w:rPr>
      </w:pPr>
      <w:bookmarkStart w:id="22" w:name="_Toc154650810"/>
      <w:r>
        <w:rPr>
          <w:rFonts w:ascii="Times New Roman" w:hAnsi="Times New Roman"/>
          <w:sz w:val="30"/>
        </w:rPr>
        <w:t>十七、基金的信息披露</w:t>
      </w:r>
      <w:bookmarkEnd w:id="22"/>
    </w:p>
    <w:p w14:paraId="3D4A42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64D62D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079288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1B9AD68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E2557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98995A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4E3EA17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53C48FB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36C96E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8922F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4B2950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0B0CC44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03D387E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651273A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FEB9E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5D2747A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6F595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566CD8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28B6BA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5299D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289671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7DA07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248149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0EFADD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4902FA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124D4E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3AC6CC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779931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14:paraId="4AFA4E61" w14:textId="1B07CA7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w:t>
      </w:r>
      <w:r w:rsidR="00E343C9">
        <w:rPr>
          <w:rFonts w:hint="eastAsia"/>
          <w:bCs/>
          <w:sz w:val="24"/>
        </w:rPr>
        <w:t>分别</w:t>
      </w:r>
      <w:r>
        <w:rPr>
          <w:rFonts w:ascii="宋体" w:hAnsi="宋体"/>
          <w:sz w:val="24"/>
        </w:rPr>
        <w:t>披露开放日的A类基金份额</w:t>
      </w:r>
      <w:r w:rsidR="00B454B1">
        <w:rPr>
          <w:rFonts w:ascii="宋体" w:hAnsi="宋体" w:hint="eastAsia"/>
          <w:sz w:val="24"/>
        </w:rPr>
        <w:t>、</w:t>
      </w:r>
      <w:r>
        <w:rPr>
          <w:rFonts w:ascii="宋体" w:hAnsi="宋体"/>
          <w:sz w:val="24"/>
        </w:rPr>
        <w:t>C类基金份额</w:t>
      </w:r>
      <w:r w:rsidR="00B454B1">
        <w:rPr>
          <w:rFonts w:ascii="宋体" w:hAnsi="宋体" w:hint="eastAsia"/>
          <w:sz w:val="24"/>
        </w:rPr>
        <w:t>和D类基金份额</w:t>
      </w:r>
      <w:r>
        <w:rPr>
          <w:rFonts w:ascii="宋体" w:hAnsi="宋体"/>
          <w:sz w:val="24"/>
        </w:rPr>
        <w:t>所对应的基金份额净值和基金份额累计净值。</w:t>
      </w:r>
    </w:p>
    <w:p w14:paraId="7F9DB6AD" w14:textId="14EE2AD1"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w:t>
      </w:r>
      <w:r w:rsidR="00E343C9">
        <w:rPr>
          <w:rFonts w:hint="eastAsia"/>
          <w:bCs/>
          <w:sz w:val="24"/>
        </w:rPr>
        <w:t>分别</w:t>
      </w:r>
      <w:r>
        <w:rPr>
          <w:rFonts w:ascii="宋体" w:hAnsi="宋体"/>
          <w:sz w:val="24"/>
        </w:rPr>
        <w:t>披露半年度和年度最后一日的A类基金份额</w:t>
      </w:r>
      <w:r w:rsidR="00E62B97">
        <w:rPr>
          <w:rFonts w:ascii="宋体" w:hAnsi="宋体" w:hint="eastAsia"/>
          <w:sz w:val="24"/>
        </w:rPr>
        <w:t>、</w:t>
      </w:r>
      <w:r>
        <w:rPr>
          <w:rFonts w:ascii="宋体" w:hAnsi="宋体"/>
          <w:sz w:val="24"/>
        </w:rPr>
        <w:t>C类基金份额</w:t>
      </w:r>
      <w:r w:rsidR="00E62B97">
        <w:rPr>
          <w:rFonts w:ascii="宋体" w:hAnsi="宋体" w:hint="eastAsia"/>
          <w:sz w:val="24"/>
        </w:rPr>
        <w:t>和D类基金份额</w:t>
      </w:r>
      <w:r>
        <w:rPr>
          <w:rFonts w:ascii="宋体" w:hAnsi="宋体"/>
          <w:sz w:val="24"/>
        </w:rPr>
        <w:t>所对应的基金份额净值和基金份额累计净值。</w:t>
      </w:r>
    </w:p>
    <w:p w14:paraId="60760A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2B6D653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ED1323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5A815C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FB33FE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0AA804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6AD4705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2E5D0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5875E2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6533BB6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0CA887E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38717E1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74FEC01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6C1B67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726168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1DE408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019EED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DEBFE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317C2EA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41773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12AA2E0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25B4DA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264061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EE1128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6B9072D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91E1D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A90EE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65246E87" w14:textId="21EB841C"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w:t>
      </w:r>
      <w:r w:rsidR="00A2681E">
        <w:rPr>
          <w:rFonts w:hint="eastAsia"/>
          <w:bCs/>
          <w:sz w:val="24"/>
        </w:rPr>
        <w:t>该类</w:t>
      </w:r>
      <w:r>
        <w:rPr>
          <w:rFonts w:ascii="宋体" w:hAnsi="宋体"/>
          <w:sz w:val="24"/>
        </w:rPr>
        <w:t>基金份额净值百分之零点五；</w:t>
      </w:r>
    </w:p>
    <w:p w14:paraId="41B11A0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423FF7A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2B0C803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19A04A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35690F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1A8DCB5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（22）本基金连续30、40、45个工作日出现基金份额持有人数量不满200人或者基金资产净值低于5000万元情形，基金管理人应当发布提示性公告；</w:t>
      </w:r>
    </w:p>
    <w:p w14:paraId="4CBE57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14:paraId="3D30426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7F709F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EAC2D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4E4982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52AB61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298EA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3F7933B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27C258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65BD1BD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2E13BF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35C5D25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12401A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5D5FD1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001CF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208B788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219B97FB" w14:textId="57F88DB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9222F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F92BCD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B62C3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36F0A94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99A0F5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364B1F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7AF9A46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5624BCF6"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721663" w14:textId="77777777" w:rsidR="00EC1998" w:rsidRDefault="0054105E">
      <w:pPr>
        <w:pStyle w:val="1"/>
        <w:snapToGrid w:val="0"/>
        <w:spacing w:beforeLines="0" w:before="240" w:after="240"/>
        <w:rPr>
          <w:rFonts w:ascii="宋体" w:hAnsi="宋体"/>
          <w:szCs w:val="30"/>
        </w:rPr>
      </w:pPr>
      <w:bookmarkStart w:id="23" w:name="_Toc154650811"/>
      <w:r>
        <w:rPr>
          <w:rFonts w:ascii="Times New Roman" w:hAnsi="Times New Roman"/>
          <w:sz w:val="30"/>
        </w:rPr>
        <w:t>十八、侧袋机制</w:t>
      </w:r>
      <w:bookmarkEnd w:id="23"/>
    </w:p>
    <w:p w14:paraId="65D1B8D1"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39AC16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9E7E78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70AA9E6D"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5C8CC1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ED990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1B7A77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445320C8"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441D77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39849AE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F36C0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62724E12"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5629ED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1964120"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1C4D314F" w14:textId="0663A430"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150FC1">
        <w:rPr>
          <w:rFonts w:ascii="宋体" w:hAnsi="宋体" w:hint="eastAsia"/>
          <w:sz w:val="24"/>
        </w:rPr>
        <w:t>等</w:t>
      </w:r>
      <w:r>
        <w:rPr>
          <w:rFonts w:ascii="宋体" w:hAnsi="宋体"/>
          <w:sz w:val="24"/>
        </w:rPr>
        <w:t>按主袋账户基金资产净值作为基数计提。</w:t>
      </w:r>
    </w:p>
    <w:p w14:paraId="58695E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5D5BDE58"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286DC1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5A4CB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6E1A07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77A2527E"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2943AAC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23FB69A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7F1067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336A4E2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104426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21794C3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456C9DFC"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2F5B080" w14:textId="77777777" w:rsidR="00EC1998" w:rsidRDefault="0054105E">
      <w:pPr>
        <w:pStyle w:val="1"/>
        <w:snapToGrid w:val="0"/>
        <w:spacing w:beforeLines="0" w:before="240" w:after="240"/>
        <w:rPr>
          <w:rFonts w:ascii="宋体" w:hAnsi="宋体"/>
          <w:szCs w:val="30"/>
        </w:rPr>
      </w:pPr>
      <w:bookmarkStart w:id="24" w:name="_Toc154650812"/>
      <w:r>
        <w:rPr>
          <w:rFonts w:ascii="Times New Roman" w:hAnsi="Times New Roman"/>
          <w:sz w:val="30"/>
        </w:rPr>
        <w:t>十九、风险揭示</w:t>
      </w:r>
      <w:bookmarkEnd w:id="24"/>
    </w:p>
    <w:p w14:paraId="568104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E8A1EEC" w14:textId="492D97B5"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FB04ED">
        <w:rPr>
          <w:rFonts w:ascii="宋体" w:hAnsi="宋体" w:hint="eastAsia"/>
          <w:sz w:val="24"/>
        </w:rPr>
        <w:t>前一开放日</w:t>
      </w:r>
      <w:r>
        <w:rPr>
          <w:rFonts w:ascii="宋体" w:hAnsi="宋体"/>
          <w:sz w:val="24"/>
        </w:rPr>
        <w:t>基金总份额的百分之十时，投资人将可能无法及时赎回持有的全部基金份额。</w:t>
      </w:r>
    </w:p>
    <w:p w14:paraId="03D0FE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3CAF73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1C7B4B3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101E42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099D4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2868DF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5A54DC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048D63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3F31B32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0B2B4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12B85BA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5A1D09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6BCC1B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104423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1129A5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1B73E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DD8AD3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C792C2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F9EED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2F07E0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C469B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BC6088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174212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5CB9D74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085997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05E15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45FEF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F6ABD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D02144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3D00D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FA00C8E" w14:textId="0FAEE97A"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474398">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0A0E641A" w14:textId="56F5E1D9"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6522FB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0A29B16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7C87F2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066334F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6F3C89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16403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4E9343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2185869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1A89097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163C5C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4AC6E3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060D728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4CEF552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4A25D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3F5A1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7136C51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5D333A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115ED1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7D97B60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402EE9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62C2E3A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69A422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58D922D0"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1972CF" w14:textId="77777777" w:rsidR="00EC1998" w:rsidRDefault="0054105E">
      <w:pPr>
        <w:pStyle w:val="1"/>
        <w:snapToGrid w:val="0"/>
        <w:spacing w:beforeLines="0" w:before="240" w:after="240"/>
        <w:rPr>
          <w:rFonts w:ascii="宋体" w:hAnsi="宋体"/>
          <w:szCs w:val="30"/>
        </w:rPr>
      </w:pPr>
      <w:bookmarkStart w:id="25" w:name="_Toc154650813"/>
      <w:r>
        <w:rPr>
          <w:rFonts w:ascii="Times New Roman" w:hAnsi="Times New Roman"/>
          <w:sz w:val="30"/>
        </w:rPr>
        <w:t>二十、基金合同的变更、终止与基金财产的清算</w:t>
      </w:r>
      <w:bookmarkEnd w:id="25"/>
    </w:p>
    <w:p w14:paraId="7456429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2C45A1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64EB52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1487875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E609C2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4B5271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4D1BC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D4A29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5133F1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4、连续50个工作日出现基金份额持有人数量不满200人或者基金资产净值低于5000万元情形的，基金管理人提前终止基金合同，不需召开基金份额持有人大会；</w:t>
      </w:r>
    </w:p>
    <w:p w14:paraId="50B53D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540EB7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539A186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9A6F9B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5C5BFB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E587CB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3B62D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EF8EB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E6831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E41F81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53D76C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0A6D955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90775E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E4257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721B72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2211B4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1C52829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4683AA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4D9E55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E3006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237F78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C48FDE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474237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524C9218"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8D7224" w14:textId="77777777" w:rsidR="00EC1998" w:rsidRDefault="0054105E">
      <w:pPr>
        <w:pStyle w:val="1"/>
        <w:snapToGrid w:val="0"/>
        <w:spacing w:beforeLines="0" w:before="240" w:after="240"/>
        <w:rPr>
          <w:rFonts w:ascii="宋体" w:hAnsi="宋体"/>
          <w:szCs w:val="30"/>
        </w:rPr>
      </w:pPr>
      <w:bookmarkStart w:id="26" w:name="_Toc154650814"/>
      <w:bookmarkStart w:id="27" w:name="_Hlk174882655"/>
      <w:r>
        <w:rPr>
          <w:rFonts w:ascii="Times New Roman" w:hAnsi="Times New Roman"/>
          <w:sz w:val="30"/>
        </w:rPr>
        <w:t>二十一、基金合同内容摘要</w:t>
      </w:r>
      <w:bookmarkEnd w:id="26"/>
    </w:p>
    <w:p w14:paraId="7360BD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61566D5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4BADD65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670557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5309C92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3977AD2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3F3A50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3B31824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55F88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6D0D247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C3D65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A6C42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364FA2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2826BC7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7118069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41C139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13）以基金管理人的名义，代表基金份额持有人的利益行使诉讼权利或者实施其他法律行为；</w:t>
      </w:r>
    </w:p>
    <w:p w14:paraId="2CBC46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14）选择、更换律师事务所、会计师事务所、证券经纪商或其他为基金提供服务的外部机构；</w:t>
      </w:r>
    </w:p>
    <w:p w14:paraId="4DF6CD3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15）在符合有关法律、法规的前提下，制定和调整有关基金认购、申购、赎回、转换等的业务规则；</w:t>
      </w:r>
    </w:p>
    <w:p w14:paraId="102AD34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16）法律法规及中国证监会规定的和《基金合同》约定的其他权利。</w:t>
      </w:r>
    </w:p>
    <w:p w14:paraId="55F721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04BFCC6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4D107E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0CD994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1226062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57C5C5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948E52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5C8CFBF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27ABF0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0A3365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0C713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203143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7F17686" w14:textId="31E63778" w:rsidR="00EC1998" w:rsidRDefault="0054105E" w:rsidP="0049303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655CE2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75AB6B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2E2172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543E5C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7773148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E83D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2C803DD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D248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7443F59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6E32D2F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2ED33C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78D3F2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7617C6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093340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E3B83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1C25CB3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70F1EEF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C689E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248E72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07CD5E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C212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6C5E35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752F547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33C91B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4541F95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0F07641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29966B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0A9545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95954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548BC7F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18311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6C31A35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7534FD7" w14:textId="67EAD72D"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w:t>
      </w:r>
      <w:r w:rsidR="00D02829">
        <w:rPr>
          <w:rFonts w:ascii="宋体" w:hAnsi="宋体" w:hint="eastAsia"/>
          <w:sz w:val="24"/>
        </w:rPr>
        <w:t>资产净值、</w:t>
      </w:r>
      <w:r w:rsidR="005F13CD" w:rsidRPr="005F13CD">
        <w:rPr>
          <w:rFonts w:ascii="宋体" w:hAnsi="宋体" w:hint="eastAsia"/>
          <w:sz w:val="24"/>
        </w:rPr>
        <w:t>基金份额净值、</w:t>
      </w:r>
      <w:r>
        <w:rPr>
          <w:rFonts w:ascii="宋体" w:hAnsi="宋体"/>
          <w:sz w:val="24"/>
        </w:rPr>
        <w:t>基金份额申购、赎回价格；</w:t>
      </w:r>
    </w:p>
    <w:p w14:paraId="622AB6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1BB5E1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BA815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6A4B3E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639E4C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AF8DEA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4881C6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35B605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23060EA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3A6C057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5D1A6AF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598568A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E0DBF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208572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3A90DD7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628DC9C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483523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6CF660F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42F30B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010CD54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645F3CA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34A73C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0EBE1C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2E511F7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7930585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B8F7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28FF1F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5E68E59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793DAF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4E959C0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5C90BDC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37CE067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75DBB8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095191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95205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7A9ECFD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39995D0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B92A6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540064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2E0B24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7C76FF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3F48A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22D4683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49AF15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5CE8AF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65A4F7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04C3DD1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905EF8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23C414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14:paraId="3461734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19900A1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45E0D18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5CD2FD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55274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674879C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27459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48923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3C213FC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62978E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1）调低基金管理费、基金托管费、销售服务费和其他应由本基金或基金份额持有人承担的费用；</w:t>
      </w:r>
    </w:p>
    <w:p w14:paraId="6B37387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7EAD7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3）在法律法规和《基金合同》规定的范围内调整本基金的申购费率、调低赎回费率、在对现有基金份额持有人利益无实质性不利影响的前提下变更或增加收费方式；</w:t>
      </w:r>
    </w:p>
    <w:p w14:paraId="56D24F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5D53132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5713414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18BCD0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1EA82FE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354170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9）按照法律法规和《基金合同》规定不需召开基金份额持有人大会的以外的其他情形。</w:t>
      </w:r>
    </w:p>
    <w:p w14:paraId="2A748E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547C13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370D74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A3579D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090CC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E062E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E2FD67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C42E53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6D60A7D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30134DF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FA3414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650BB88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0DB3D3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6D75C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4F150B2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75589D5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6399273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5813DC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A2B868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02D4F2B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3E6F174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6DC50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0B926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FFB8C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14:paraId="405A12F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A96C11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647B23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00F3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697B3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4D7F0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3F605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6960BE2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3F6BCD5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5B2318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4023634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28A4AD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509E1A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C6B433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9FD8C7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F0266A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A2902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6241012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72D5C0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0D43391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66F0E8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30951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和中国证监会另有规定的除外）以特别决议通过方为有效。</w:t>
      </w:r>
    </w:p>
    <w:p w14:paraId="5794452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6E2D793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18F94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C4BB5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5F73E2C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BD010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81FD7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789032D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EFA740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79425D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211937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753046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46DC20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05E0A3E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15FC224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04BB6CA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25436C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69AC9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1B25A0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0D802D0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094C57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0C8DA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447345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153E3A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0F4437E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4721058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8DD4A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3C87CC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40C141C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10475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330C9D0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5F07B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75D19B6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544DB3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D9A005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14:paraId="580B77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（4）连续50个工作日出现基金份额持有人数量不满200人或者基金资产净值低于5000万元情形的，基金管理人提前终止基金合同，不需召开基金份额持有人大会；</w:t>
      </w:r>
    </w:p>
    <w:p w14:paraId="4AED78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133C6B2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0FE7A83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52DE3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C761B8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A0BBF8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FBE4B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626BB0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586C81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5AA16B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936EC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08EE0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30A072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657C6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4079DF7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E7E558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FA42DE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0882D0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1D73DBB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0BFB0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4E015F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3B8ADA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4EEAD9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2295AB7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2DF51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C5650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065B3E2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756D31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7922C6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4637E3D9"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2CC7E2" w14:textId="77777777" w:rsidR="00EC1998" w:rsidRDefault="0054105E">
      <w:pPr>
        <w:pStyle w:val="1"/>
        <w:snapToGrid w:val="0"/>
        <w:spacing w:beforeLines="0" w:before="240" w:after="240"/>
        <w:rPr>
          <w:rFonts w:ascii="宋体" w:hAnsi="宋体"/>
          <w:szCs w:val="30"/>
        </w:rPr>
      </w:pPr>
      <w:bookmarkStart w:id="28" w:name="_Toc154650815"/>
      <w:bookmarkStart w:id="29" w:name="_Hlk174882668"/>
      <w:bookmarkEnd w:id="27"/>
      <w:r>
        <w:rPr>
          <w:rFonts w:ascii="Times New Roman" w:hAnsi="Times New Roman"/>
          <w:sz w:val="30"/>
        </w:rPr>
        <w:t>二十二、托管协议的内容摘要</w:t>
      </w:r>
      <w:bookmarkEnd w:id="28"/>
    </w:p>
    <w:p w14:paraId="75FD10F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88031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8E622B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FCF081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4766857" w14:textId="374DB85C"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5C14E1">
        <w:rPr>
          <w:rFonts w:hint="eastAsia"/>
          <w:bCs/>
          <w:sz w:val="24"/>
        </w:rPr>
        <w:t>谢卫（代为履行法定代表人职责）</w:t>
      </w:r>
    </w:p>
    <w:p w14:paraId="7D8DD9E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5ED35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383CA78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14:paraId="09F42C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775477A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E7E971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5977E06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6E93B3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C919EB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名称：兴业银行股份有限公司（简称：兴业银行）</w:t>
      </w:r>
    </w:p>
    <w:p w14:paraId="1982EEB5" w14:textId="72D0D98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w:t>
      </w:r>
      <w:r w:rsidR="005F13CD" w:rsidRPr="005F13CD">
        <w:rPr>
          <w:rFonts w:ascii="宋体" w:hAnsi="宋体" w:hint="eastAsia"/>
          <w:sz w:val="24"/>
        </w:rPr>
        <w:t>福建省福州市台江区江滨中大道398号兴业银行大厦</w:t>
      </w:r>
    </w:p>
    <w:p w14:paraId="4F0C64E1" w14:textId="26D19C5B"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sidR="005F13CD" w:rsidRPr="005F13CD">
        <w:rPr>
          <w:rFonts w:ascii="宋体" w:hAnsi="宋体" w:hint="eastAsia"/>
          <w:sz w:val="24"/>
        </w:rPr>
        <w:t>上海市浦东新区银城路167号</w:t>
      </w:r>
    </w:p>
    <w:p w14:paraId="2986DE6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邮政编码：350013</w:t>
      </w:r>
    </w:p>
    <w:p w14:paraId="360E3CDB" w14:textId="52680621"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5F13CD" w:rsidRPr="00610E0B">
        <w:rPr>
          <w:rFonts w:hint="eastAsia"/>
          <w:sz w:val="24"/>
        </w:rPr>
        <w:t>吕家进</w:t>
      </w:r>
    </w:p>
    <w:p w14:paraId="5B415C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7589440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2E03851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5816181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62A684B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注册资本：207.74190751亿元人民币</w:t>
      </w:r>
    </w:p>
    <w:p w14:paraId="293F3FD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A802A1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以上范围凡涉及国家专项专营规定的从其规定）。</w:t>
      </w:r>
    </w:p>
    <w:p w14:paraId="21DC77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21E7D2E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5593DF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4EAB44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w:t>
      </w:r>
    </w:p>
    <w:p w14:paraId="5B13458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14:paraId="0D5E892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者到期日在一年以内的政府债券的投资比例合计不低于基金资产净值的5%，其中现金不包括结算备付金、存出保证金和应收申购款等。</w:t>
      </w:r>
    </w:p>
    <w:p w14:paraId="7EBFAF5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1AB5D20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w:t>
      </w:r>
    </w:p>
    <w:p w14:paraId="4C4820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基金托管人按下述比例和调整期限进行监督：</w:t>
      </w:r>
    </w:p>
    <w:p w14:paraId="0623122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0A7BA8D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4509686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14F6C32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59AAA96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0331D1A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14:paraId="2943AE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（7）本基金投资于同一原始权益人的各类资产支持证券的比例，不得超过基金资产净值的10%；</w:t>
      </w:r>
    </w:p>
    <w:p w14:paraId="248E551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（8）本基金持有的全部资产支持证券，其市值不得超过基金资产净值的20%；</w:t>
      </w:r>
    </w:p>
    <w:p w14:paraId="0363299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（9）本基金持有的同一(指同一信用级别)资产支持证券的比例，不得超过该资产支持证券规模的10%；</w:t>
      </w:r>
    </w:p>
    <w:p w14:paraId="0E3FAF0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（10）本基金管理人管理的全部基金投资于同一原始权益人的各类资产支持证券，不得超过其各类资产支持证券合计规模的10%；</w:t>
      </w:r>
    </w:p>
    <w:p w14:paraId="5C5323D8" w14:textId="7BC00D3B" w:rsidR="00EC1998" w:rsidRDefault="0054105E" w:rsidP="0066077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（11）本基金应投资于信用级别评级为BBB以上(含BBB)的资产支持证券。基金持有资产支持证券期间，如果其信用等级下降、不再符合投资标准，应在评级报告发布之日起3个月内予以全部卖出；</w:t>
      </w:r>
    </w:p>
    <w:p w14:paraId="7C92F0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（12）本基金进入全国银行间同业市场进行债券回购的资金余额不得超过基金资产净值的40%；本基金在全国银行间同业市场中的债券回购最长期限为1年，债券回购到期后不得展期；</w:t>
      </w:r>
    </w:p>
    <w:p w14:paraId="2C2CF8C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（13）本基金持有单只中小企业私募债券，其市值不得超过基金资产净值的10%；</w:t>
      </w:r>
    </w:p>
    <w:p w14:paraId="54510AD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（14）本基金的基金资产总值不得超过基金资产净值的140%；</w:t>
      </w:r>
    </w:p>
    <w:p w14:paraId="441AA3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14:paraId="4D101E5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E695F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（17）法律法规及中国证监会规定的和《基金合同》约定的其他投资限制。</w:t>
      </w:r>
    </w:p>
    <w:p w14:paraId="2B8848C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11）、（15）、（16）项外，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265D383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六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614341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法律法规对上述投资组合比例限制进行变更的，以变更后的规定为准。法律法规或监管部门取消上述限制，如适用于本基金，基金管理人履行适当程序后，则本基金投资不再受相关限制。</w:t>
      </w:r>
    </w:p>
    <w:p w14:paraId="6C2AD3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3、基金托管人根据有关法律法规的规定及基金合同的约定，对本托管协议第十五章第九条基金投资禁止行为进行监督。基金托管人通过事后监督方式对基金管理人基金投资禁止行为进行监督。</w:t>
      </w:r>
    </w:p>
    <w:p w14:paraId="42007F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1B21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基金管理人收到基金托管人书面确认后，新的关联交易名单开始生效。</w:t>
      </w:r>
    </w:p>
    <w:p w14:paraId="33DE7B7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9342D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则根据银行间债券市场成交单对合同履行情况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w:t>
      </w:r>
    </w:p>
    <w:p w14:paraId="61D28376" w14:textId="11C88A3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40A1FB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6、基金托管人对基金投资银行存款进行监督。</w:t>
      </w:r>
    </w:p>
    <w:p w14:paraId="736F346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0C3B12F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5154423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287CE45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5A50A5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2E8811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7、基金托管人对基金投资中期票据和中小企业私募债进行监督</w:t>
      </w:r>
    </w:p>
    <w:p w14:paraId="0CAE79A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14:paraId="1C7CB0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（2）如未来有关监管部门发布的法律法规对证券投资基金投资中期票据和中小企业私募债另有规定的，从其约定。</w:t>
      </w:r>
    </w:p>
    <w:p w14:paraId="767F08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14:paraId="026AC8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5876D7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7F09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若基金托管人发现基金管理人依据交易程序已经生效的指令违反法律、行政法规和其他有关规定，或者违反基金合同约定的，应当立即以书面或以双方认可的其他方式通知基金管理人，基金管理人应依法承担相应责任。</w:t>
      </w:r>
    </w:p>
    <w:p w14:paraId="6FADCE6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9D4FD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B1EF85D" w14:textId="556A5A15"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p w14:paraId="6E2B04B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35FCC5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D2F48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69F48C6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65BA551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385FCDE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4E6B736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（3）基金托管人按照规定开设基金财产的资金账户、证券账户及投资所需的其他账户。</w:t>
      </w:r>
    </w:p>
    <w:p w14:paraId="0B38329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（4）基金托管人对所托管的不同基金财产分别设置账户，独立核算，分账管理，确保基金财产的完整与独立。</w:t>
      </w:r>
    </w:p>
    <w:p w14:paraId="05FA30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合法合规指令，不得自行运用、处分、分配本基金的任何资产（不包含基金托管人依据中国证券登记结算有限责任公司结算数据完成场内交易交收、托管资产开户银行扣收结算费和账户维护费等费用）。</w:t>
      </w:r>
    </w:p>
    <w:p w14:paraId="6A23E10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14:paraId="7D7C1E9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1DAF1D7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620938B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（1）基金募集期间募集的资金应存于基金管理人开立的“基金募集专户”。该账户由基金管理人或基金管理人委托的登记机构开立并管理。</w:t>
      </w:r>
    </w:p>
    <w:p w14:paraId="16D194F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14C31A1" w14:textId="444C9FEF"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r w:rsidR="00AD4806">
        <w:rPr>
          <w:rFonts w:ascii="宋体" w:hAnsi="宋体" w:hint="eastAsia"/>
          <w:sz w:val="24"/>
        </w:rPr>
        <w:t>。</w:t>
      </w:r>
    </w:p>
    <w:p w14:paraId="6318B0E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454839D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的名义开设本基金的基金托管专户，也称为资金账户，保管基金财产的银行存款。该基金托管专户同时也是基金托管人在法人集中清算模式下，代表所托管的包括本基金财产在内的所有托管资产与中国证券登记结算有限责任公司（以下简称“中登公司”）进行一级结算的专用账户。该账户的开设和管理由基金托管人承担。本基金的一切货币收支活动，均需通过基金托管人的基金托管专户进行。</w:t>
      </w:r>
    </w:p>
    <w:p w14:paraId="7EE06FF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（2）基金托管人可根据实际情况需要，为本基金开立资金清算辅助账户，以办理相关的资金汇划业务。</w:t>
      </w:r>
    </w:p>
    <w:p w14:paraId="0334DFD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（3）基金托管专户的开立和使用，限于满足开展本基金业务的需要。基金托管人和基金管理人不得假借本基金的名义开立任何其他银行账户；亦不得使用基金的任何账户进行本基金业务以外的活动。</w:t>
      </w:r>
    </w:p>
    <w:p w14:paraId="1E7B945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（4）基金托管专户的开立和管理应符合银行业监督管理机构的有关规定。</w:t>
      </w:r>
    </w:p>
    <w:p w14:paraId="05F7B7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（5）在符合法律法规规定的条件下，基金托管人可以通过基金托管专户办理基金资产的支付。</w:t>
      </w:r>
    </w:p>
    <w:p w14:paraId="0B47F38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4、定期存款账户</w:t>
      </w:r>
    </w:p>
    <w:p w14:paraId="625590A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079C1D82" w14:textId="6C0EC120"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w:t>
      </w:r>
      <w:r w:rsidR="00AD4806">
        <w:rPr>
          <w:rFonts w:ascii="宋体" w:hAnsi="宋体" w:hint="eastAsia"/>
          <w:sz w:val="24"/>
        </w:rPr>
        <w:t>设</w:t>
      </w:r>
      <w:r>
        <w:rPr>
          <w:rFonts w:ascii="宋体" w:hAnsi="宋体"/>
          <w:sz w:val="24"/>
        </w:rPr>
        <w:t>和管理</w:t>
      </w:r>
    </w:p>
    <w:p w14:paraId="0B24C3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14:paraId="1C79F11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6、基金证券账户和结算备付金账户的开立和管理</w:t>
      </w:r>
    </w:p>
    <w:p w14:paraId="0D23AF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2D1032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17FFE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06508D7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5B50D1D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68F38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7、其他账户的开立和管理</w:t>
      </w:r>
    </w:p>
    <w:p w14:paraId="7F7F97D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（1）因业务发展需要而开立的其他账户，可以根据法律法规和基金合同的规定，在基金管理人和基金托管人协商一致后开立。新账户按有关规定使用并管理。</w:t>
      </w:r>
    </w:p>
    <w:p w14:paraId="5CF24C9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5670D2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8、基金财产投资的有关有价凭证等的保管</w:t>
      </w:r>
    </w:p>
    <w:p w14:paraId="414E71C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14:paraId="796F33E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9、与基金财产有关的重大合同的保管</w:t>
      </w:r>
    </w:p>
    <w:p w14:paraId="3A2744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F8D90F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w:t>
      </w:r>
    </w:p>
    <w:p w14:paraId="44FF60B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142F536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769EA1D4" w14:textId="0D13DF3D"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w:t>
      </w:r>
      <w:r w:rsidR="000856FF" w:rsidRPr="000856FF">
        <w:rPr>
          <w:rFonts w:ascii="宋体" w:hAnsi="宋体" w:hint="eastAsia"/>
          <w:sz w:val="24"/>
        </w:rPr>
        <w:t>各类基金份额的</w:t>
      </w:r>
      <w:r>
        <w:rPr>
          <w:rFonts w:ascii="宋体" w:hAnsi="宋体"/>
          <w:sz w:val="24"/>
        </w:rPr>
        <w:t>基金份额净值是指</w:t>
      </w:r>
      <w:r w:rsidR="000856FF" w:rsidRPr="000856FF">
        <w:rPr>
          <w:rFonts w:ascii="宋体" w:hAnsi="宋体" w:hint="eastAsia"/>
          <w:sz w:val="24"/>
        </w:rPr>
        <w:t>该类基金份额的</w:t>
      </w:r>
      <w:r>
        <w:rPr>
          <w:rFonts w:ascii="宋体" w:hAnsi="宋体"/>
          <w:sz w:val="24"/>
        </w:rPr>
        <w:t>基金资产净值除以计算日</w:t>
      </w:r>
      <w:r w:rsidR="000856FF">
        <w:rPr>
          <w:rFonts w:ascii="宋体" w:hAnsi="宋体" w:hint="eastAsia"/>
          <w:sz w:val="24"/>
        </w:rPr>
        <w:t>该类</w:t>
      </w:r>
      <w:r>
        <w:rPr>
          <w:rFonts w:ascii="宋体" w:hAnsi="宋体"/>
          <w:sz w:val="24"/>
        </w:rPr>
        <w:t>基金份额总数，</w:t>
      </w:r>
      <w:r w:rsidR="000856FF" w:rsidRPr="000856FF">
        <w:rPr>
          <w:rFonts w:ascii="宋体" w:hAnsi="宋体" w:hint="eastAsia"/>
          <w:sz w:val="24"/>
        </w:rPr>
        <w:t>各类基金份额的</w:t>
      </w:r>
      <w:r>
        <w:rPr>
          <w:rFonts w:ascii="宋体" w:hAnsi="宋体"/>
          <w:sz w:val="24"/>
        </w:rPr>
        <w:t>基金份额净值的计算，均精确到0.0001元，小数点后第5位四舍五入，国家另有规定的，从其规定。基金管理人每个工作日计算基金资产净值及基金份额净值，经基金托管人复核，按规定公告。</w:t>
      </w:r>
    </w:p>
    <w:p w14:paraId="3EB329F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7A5CD9FD" w14:textId="4E67EF51"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但基金管理人根据法律法规或基金合同的规定暂停估值时除外。基金管理人每个工作日对基金资产估值后，将基金份额净值结果以双方约定的方式提交给基金托管人，经基金托管人复核无误后，由基金管理人按规定对外公布。</w:t>
      </w:r>
    </w:p>
    <w:p w14:paraId="5723BE2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11422F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331362C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09C2605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00F5B0F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6C9377C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06805E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b）交易所市场上市交易或挂牌转让的固定收益品种（另有规定的除外），选取第三方估值机构提供的相应品种当日的估值净价进行估值；</w:t>
      </w:r>
    </w:p>
    <w:p w14:paraId="61B691A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c）交易所市场上市交易的可转换债券，按估值日收盘价减去可转换债券收盘价中所含债券应收利息后得到的净价进行估值；</w:t>
      </w:r>
    </w:p>
    <w:p w14:paraId="33FDC8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d）交易所市场挂牌转让的资产支持证券和私募债券，采用估值技术确定公允价值。</w:t>
      </w:r>
    </w:p>
    <w:p w14:paraId="29F9DA4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2）交易所市场发行未上市或未挂牌转让的债券，采用估值技术确定公允价值。</w:t>
      </w:r>
    </w:p>
    <w:p w14:paraId="7137F1B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0A40F97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4）如有确凿证据表明按上述方法进行估值不能客观反映其公允价值的，基金管理人可根据具体情况与基金托管人商定后，按最能反映公允价值的方法估值。</w:t>
      </w:r>
    </w:p>
    <w:p w14:paraId="79AEE0A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5）相关法律法规以及监管部门有强制规定的，从其规定。如有新增事项，按法律法规以及监管部门最新规定估值。</w:t>
      </w:r>
    </w:p>
    <w:p w14:paraId="44EC8C9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DAE3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558C93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3A2BAB1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基金管理人、基金托管人按估值方法的第4）项进行估值时，所造成的误差不作为基金估值错误处理。</w:t>
      </w:r>
    </w:p>
    <w:p w14:paraId="384EFA4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交易所、证券经纪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8E451B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7A2047E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0.50%时，基金管理人和基金托管人应当公告；当发生基金份额净值错误时，由基金管理人负责处理，由此给基金份额持有人和基金造成损失的，应由基金管理人先行赔付，基金管理人按差错情形，有权向其他当事人追偿。</w:t>
      </w:r>
    </w:p>
    <w:p w14:paraId="4373420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基金管理人和基金托管人计算基金净值错误导致该基金财产或基金份额持有人的实际损失的，基金管理人和基金托管人应根据实际情况界定双方承担的责任进行赔偿，基金管理人和基金托管人有权向获得不当得利之主体主张返还不当得利。</w:t>
      </w:r>
    </w:p>
    <w:p w14:paraId="37B81F8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2D9DEE2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1EC6614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4、暂停估值的情形：</w:t>
      </w:r>
    </w:p>
    <w:p w14:paraId="3B8DC3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489574E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28B2EE8E" w14:textId="0454CD3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737684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24BC236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60A6069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14:paraId="5C57E49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32E83F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14:paraId="12C5E94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D92E9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14:paraId="1804D5D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0C8CAC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0BB0DD0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1B1CA7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355544D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233E937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14:paraId="32AB3DC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6E6CD7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14:paraId="609700A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C0140B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基金管理人应留足充分的时间，便于基金托管人复核相关报表及报告。</w:t>
      </w:r>
    </w:p>
    <w:p w14:paraId="771C86D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8、基金管理人应在编制季度报告、中期报告或者年度报告之前及时向基金托管人提供基金业绩比较基准的基础数据和编制结果。</w:t>
      </w:r>
    </w:p>
    <w:p w14:paraId="1C6DE8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3F7F72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另有规定或有权机关另有要求的除外。如不能妥善保管，则按相关法规承担责任。</w:t>
      </w:r>
    </w:p>
    <w:p w14:paraId="175AFC7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895431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基金管理人应当及时向基金托管人提交《基金合同》生效日、《基金合同》终止日、中期报告、年报等涉及到基金重要事项及信息披露期间的基金份额持有人名册。</w:t>
      </w:r>
    </w:p>
    <w:p w14:paraId="313CAB7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7F8ADEB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0D8E7D8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E7176B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51E4DEF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544A8D4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4B1BF8E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本协议双方当事人经协商一致，可以对协议进行修改。修改后的新协议，其内容不得与基金合同的规定有任何冲突。基金托管协议的变更应报中国证监会备案后生效。</w:t>
      </w:r>
    </w:p>
    <w:p w14:paraId="0B286A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288297D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3506D4D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6220F50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2564159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0B9CD664"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D964F7" w14:textId="77777777" w:rsidR="00EC1998" w:rsidRDefault="0054105E">
      <w:pPr>
        <w:pStyle w:val="1"/>
        <w:snapToGrid w:val="0"/>
        <w:spacing w:beforeLines="0" w:before="240" w:after="240"/>
        <w:rPr>
          <w:rFonts w:ascii="宋体" w:hAnsi="宋体"/>
          <w:szCs w:val="30"/>
        </w:rPr>
      </w:pPr>
      <w:bookmarkStart w:id="30" w:name="_Toc154650816"/>
      <w:bookmarkEnd w:id="29"/>
      <w:r>
        <w:rPr>
          <w:rFonts w:ascii="Times New Roman" w:hAnsi="Times New Roman"/>
          <w:sz w:val="30"/>
        </w:rPr>
        <w:t>二十三、对基金份额持有人的服务</w:t>
      </w:r>
      <w:bookmarkEnd w:id="30"/>
    </w:p>
    <w:p w14:paraId="210318C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0EDA0A8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5DD258B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69A1905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762B0DC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6CBB8F22" w14:textId="2624A99E"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和定期定额投资、转换等业务。通过网上直销交易平台办理本基金A类基金份额</w:t>
      </w:r>
      <w:r w:rsidR="00995DA0">
        <w:rPr>
          <w:rFonts w:ascii="宋体" w:hAnsi="宋体" w:hint="eastAsia"/>
          <w:sz w:val="24"/>
        </w:rPr>
        <w:t>或D类基金份额</w:t>
      </w:r>
      <w:r>
        <w:rPr>
          <w:rFonts w:ascii="宋体" w:hAnsi="宋体"/>
          <w:sz w:val="24"/>
        </w:rPr>
        <w:t>的申购和定期定额投资业务的个人投资者将享受申购费率的优惠，其他费率标准不变。具体优惠费率请参见公司网站列示的网上直销交易平台申购及定期定额投资费率表或相关公告。</w:t>
      </w:r>
    </w:p>
    <w:p w14:paraId="726F0C73"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293D96C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3ACE4C0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1746719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047FB22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1E239E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4ED4A53E"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4ED41031" w14:textId="7A76F1E2"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w:t>
      </w:r>
      <w:r w:rsidR="00150CD1" w:rsidRPr="00150CD1">
        <w:rPr>
          <w:rFonts w:ascii="宋体" w:hAnsi="宋体" w:hint="eastAsia"/>
          <w:sz w:val="24"/>
        </w:rPr>
        <w:t>相应类别的</w:t>
      </w:r>
      <w:r>
        <w:rPr>
          <w:rFonts w:ascii="宋体" w:hAnsi="宋体"/>
          <w:sz w:val="24"/>
        </w:rPr>
        <w:t>基金份额进行再投资，若投资人不选择，本基金默认的收益分配方式是现金分红；基金份额持有人可对其持有的A类</w:t>
      </w:r>
      <w:r w:rsidR="00995DA0">
        <w:rPr>
          <w:rFonts w:ascii="宋体" w:hAnsi="宋体" w:hint="eastAsia"/>
          <w:sz w:val="24"/>
        </w:rPr>
        <w:t>基金份额、</w:t>
      </w:r>
      <w:r>
        <w:rPr>
          <w:rFonts w:ascii="宋体" w:hAnsi="宋体"/>
          <w:sz w:val="24"/>
        </w:rPr>
        <w:t>C类基金份额</w:t>
      </w:r>
      <w:r w:rsidR="00995DA0">
        <w:rPr>
          <w:rFonts w:ascii="宋体" w:hAnsi="宋体" w:hint="eastAsia"/>
          <w:sz w:val="24"/>
        </w:rPr>
        <w:t>和D类基金份额</w:t>
      </w:r>
      <w:r>
        <w:rPr>
          <w:rFonts w:ascii="宋体" w:hAnsi="宋体"/>
          <w:sz w:val="24"/>
        </w:rPr>
        <w:t>分别选择不同的收益分配方式。再投资红利按红利再投日（即除息日）除息后的基金份额净值自动转为</w:t>
      </w:r>
      <w:r w:rsidR="00877462">
        <w:rPr>
          <w:rFonts w:ascii="宋体" w:hAnsi="宋体" w:hint="eastAsia"/>
          <w:sz w:val="24"/>
        </w:rPr>
        <w:t>相应类别</w:t>
      </w:r>
      <w:r w:rsidR="00150CD1">
        <w:rPr>
          <w:rFonts w:ascii="宋体" w:hAnsi="宋体" w:hint="eastAsia"/>
          <w:sz w:val="24"/>
        </w:rPr>
        <w:t>的</w:t>
      </w:r>
      <w:r>
        <w:rPr>
          <w:rFonts w:ascii="宋体" w:hAnsi="宋体"/>
          <w:sz w:val="24"/>
        </w:rPr>
        <w:t>基金份额，并免收申购费用。</w:t>
      </w:r>
    </w:p>
    <w:p w14:paraId="387E0B62"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56877170"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2517B06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8D81E2A"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3609FF8F"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89DE3A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1C34055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12BDBBDE" w14:textId="77777777" w:rsidR="00EC1998" w:rsidRDefault="0054105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14:paraId="13DCDE49"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48578F" w14:textId="77777777" w:rsidR="00EC1998" w:rsidRDefault="0054105E">
      <w:pPr>
        <w:pStyle w:val="1"/>
        <w:snapToGrid w:val="0"/>
        <w:spacing w:beforeLines="0" w:before="240" w:after="240"/>
        <w:rPr>
          <w:rFonts w:ascii="宋体" w:hAnsi="宋体"/>
          <w:szCs w:val="30"/>
        </w:rPr>
      </w:pPr>
      <w:bookmarkStart w:id="31" w:name="_Toc154650817"/>
      <w:r>
        <w:rPr>
          <w:rFonts w:ascii="Times New Roman" w:hAnsi="Times New Roman"/>
          <w:sz w:val="30"/>
        </w:rPr>
        <w:t>二十四、其他应披露事项</w:t>
      </w:r>
      <w:bookmarkEnd w:id="31"/>
    </w:p>
    <w:p w14:paraId="4153D5E7"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841C74C"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C1998" w14:paraId="4E4933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879A4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33696A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703F082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3D284E1B"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EC1998" w14:paraId="44A5DB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4BAEF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783440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交银施罗德基金管理有限公司关于交银施罗德裕通纯债债券型证券投资基金调整大额申购（转换转入、定期定额投资）业务限额的公告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1D53FF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02EF60"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2022-12-19</w:t>
            </w:r>
          </w:p>
        </w:tc>
      </w:tr>
      <w:tr w:rsidR="00EC1998" w14:paraId="0731C7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EDAAC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DBD585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交银施罗德基金管理有限公司关于交银施罗德裕通纯债债券型证券投资基金分红公告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03F265A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32C16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2022-12-21</w:t>
            </w:r>
          </w:p>
        </w:tc>
      </w:tr>
      <w:tr w:rsidR="00EC1998" w14:paraId="2D5280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B6161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379D4B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3E1FC9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A5239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EC1998" w14:paraId="1CF031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1DDCEF"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1B1900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3EDF4F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DA8A1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EC1998" w14:paraId="274D2D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B64DF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DD9022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9343F5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6F278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EC1998" w14:paraId="5627E8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D698A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1AC329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461E7DF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D41B4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EC1998" w14:paraId="3B66BF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11876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F84188A"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交银施罗德基金管理有限公司关于交银施罗德裕通纯债债券型证券投资基金于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9AE40B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F5C3D6"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EC1998" w14:paraId="655F4E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C5257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93C21A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2E4A7A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00F90D"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EC1998" w14:paraId="5945A9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5FCC1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A258D9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DB5774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AEAD9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EC1998" w14:paraId="53F168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8E4AA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DD28D9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218F623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B7382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EC1998" w14:paraId="60B50A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55765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CA8FB6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9C1B9E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055C5C"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EC1998" w14:paraId="578F21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70968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64B01D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交银施罗德基金管理有限公司关于交银施罗德裕通纯债债券型证券投资基金于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691B42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B8EDF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EC1998" w14:paraId="7788FB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036CD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0372ED5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B08D54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EB3CD1"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EC1998" w14:paraId="254C88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36E4A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1DEDF3C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CAE7D8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126228"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2023-06-30</w:t>
            </w:r>
          </w:p>
        </w:tc>
      </w:tr>
      <w:tr w:rsidR="00EC1998" w14:paraId="63553A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2231C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EDC55F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55DBBBA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BBC3D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EC1998" w14:paraId="0588A3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A5516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C307E5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B6C7420"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AFCE43"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EC1998" w14:paraId="4717B1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FCEF2E"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37099CB"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1C8D1A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206D8F"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EC1998" w14:paraId="48BDCB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077F67"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01AF788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3B05C84"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D9FCA2"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2023-07-25</w:t>
            </w:r>
          </w:p>
        </w:tc>
      </w:tr>
      <w:tr w:rsidR="00EC1998" w14:paraId="5ADCA9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22FF99"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3DB45691"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A69C52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BE3AA5"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2023-08-24</w:t>
            </w:r>
          </w:p>
        </w:tc>
      </w:tr>
      <w:tr w:rsidR="00EC1998" w14:paraId="51AEF1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71B416"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B1688C8"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8A43D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5A3BA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EC1998" w14:paraId="0C7B9A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83C16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3CA0528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D8A0BE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F6C1F4"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EC1998" w14:paraId="26C0FC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DDAAC3"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5EECF7E5"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交银施罗德基金管理有限公司关于交银施罗德裕通纯债债券型证券投资基金于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3EEEC2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E747F9"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2023-09-26</w:t>
            </w:r>
          </w:p>
        </w:tc>
      </w:tr>
      <w:tr w:rsidR="00EC1998" w14:paraId="7C8AE7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97AA62"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59704F7C"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交银施罗德裕通纯债债券型证券投资基金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4A638BD" w14:textId="77777777" w:rsidR="00EC1998" w:rsidRDefault="0054105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DB8BB1" w14:textId="77777777" w:rsidR="00EC1998" w:rsidRDefault="0054105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bl>
    <w:p w14:paraId="77E9CAE0"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18E5A4" w14:textId="77777777" w:rsidR="00EC1998" w:rsidRDefault="0054105E">
      <w:pPr>
        <w:pStyle w:val="1"/>
        <w:snapToGrid w:val="0"/>
        <w:spacing w:beforeLines="0" w:before="240" w:after="240"/>
        <w:rPr>
          <w:rFonts w:ascii="宋体" w:hAnsi="宋体"/>
          <w:szCs w:val="30"/>
        </w:rPr>
      </w:pPr>
      <w:bookmarkStart w:id="32" w:name="_Toc154650818"/>
      <w:r>
        <w:rPr>
          <w:rFonts w:ascii="Times New Roman" w:hAnsi="Times New Roman"/>
          <w:sz w:val="30"/>
        </w:rPr>
        <w:t>二十五、招募说明书的存放及查阅方式</w:t>
      </w:r>
      <w:bookmarkEnd w:id="32"/>
    </w:p>
    <w:p w14:paraId="592E9E91"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C860048"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6BC5C1AA" w14:textId="77777777" w:rsidR="005F4223" w:rsidRDefault="0054105E" w:rsidP="005F422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A38C2C" w14:textId="06A0619E" w:rsidR="00EC1998" w:rsidRDefault="0054105E" w:rsidP="004B4154">
      <w:pPr>
        <w:pStyle w:val="1"/>
        <w:snapToGrid w:val="0"/>
        <w:spacing w:beforeLines="0" w:before="240" w:after="240"/>
        <w:rPr>
          <w:rFonts w:ascii="宋体" w:hAnsi="宋体"/>
          <w:szCs w:val="30"/>
        </w:rPr>
      </w:pPr>
      <w:bookmarkStart w:id="33" w:name="_Toc154650819"/>
      <w:r>
        <w:rPr>
          <w:rFonts w:ascii="Times New Roman" w:hAnsi="Times New Roman"/>
          <w:sz w:val="30"/>
        </w:rPr>
        <w:t>二十六、备查文件</w:t>
      </w:r>
      <w:bookmarkEnd w:id="33"/>
    </w:p>
    <w:p w14:paraId="49453FB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0AB01A4"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（一）中国证监会准予交银施罗德裕通纯债债券型证券投资基金募集注册的文件</w:t>
      </w:r>
    </w:p>
    <w:p w14:paraId="3B6AAB19"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（二）《交银施罗德裕通纯债债券型证券投资基金基金合同》</w:t>
      </w:r>
    </w:p>
    <w:p w14:paraId="0632B29B"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（三）《交银施罗德裕通纯债债券型证券投资基金托管协议》</w:t>
      </w:r>
    </w:p>
    <w:p w14:paraId="61FA9F0D"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6B49F25"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A4A3E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（六）关于申请募集注册交银施罗德裕通纯债债券型证券投资基金的法律意见书</w:t>
      </w:r>
    </w:p>
    <w:sectPr w:rsidR="00EC1998">
      <w:footerReference w:type="default" r:id="rId17"/>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E892C" w16cid:durableId="2A69F69D"/>
  <w16cid:commentId w16cid:paraId="1B754A17" w16cid:durableId="2A69F69E"/>
  <w16cid:commentId w16cid:paraId="64587687" w16cid:durableId="2A6DAFF3"/>
  <w16cid:commentId w16cid:paraId="25337905" w16cid:durableId="2A6DB049"/>
  <w16cid:commentId w16cid:paraId="71239BFB" w16cid:durableId="2A6DB0AC"/>
  <w16cid:commentId w16cid:paraId="006E3D91" w16cid:durableId="2A6C7F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A90FB" w14:textId="77777777" w:rsidR="00F45D52" w:rsidRDefault="00F45D52">
      <w:r>
        <w:separator/>
      </w:r>
    </w:p>
  </w:endnote>
  <w:endnote w:type="continuationSeparator" w:id="0">
    <w:p w14:paraId="69DC38A6" w14:textId="77777777" w:rsidR="00F45D52" w:rsidRDefault="00F4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3858" w14:textId="5D4C8984" w:rsidR="00941CED" w:rsidRDefault="00941CE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159E1B40" wp14:editId="5E0768CE">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6BD4" w14:textId="17538CC7" w:rsidR="00941CED" w:rsidRDefault="00941C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712F1">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E1B40"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33A46BD4" w14:textId="17538CC7" w:rsidR="00941CED" w:rsidRDefault="00941C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712F1">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A0A8" w14:textId="63F89D7B" w:rsidR="00941CED" w:rsidRDefault="00941CE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7E83E22" wp14:editId="3689EA9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D863" w14:textId="3BC87A51" w:rsidR="00941CED" w:rsidRDefault="00941C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712F1">
                            <w:rPr>
                              <w:rFonts w:ascii="Times New Roman" w:hAnsi="Times New Roman"/>
                              <w:noProof/>
                              <w:kern w:val="0"/>
                              <w:sz w:val="18"/>
                              <w:szCs w:val="18"/>
                            </w:rPr>
                            <w:t>16</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83E2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CDFD863" w14:textId="3BC87A51" w:rsidR="00941CED" w:rsidRDefault="00941CE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712F1">
                      <w:rPr>
                        <w:rFonts w:ascii="Times New Roman" w:hAnsi="Times New Roman"/>
                        <w:noProof/>
                        <w:kern w:val="0"/>
                        <w:sz w:val="18"/>
                        <w:szCs w:val="18"/>
                      </w:rPr>
                      <w:t>16</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78A6" w14:textId="77777777" w:rsidR="00F45D52" w:rsidRDefault="00F45D52">
      <w:r>
        <w:separator/>
      </w:r>
    </w:p>
  </w:footnote>
  <w:footnote w:type="continuationSeparator" w:id="0">
    <w:p w14:paraId="536F9B37" w14:textId="77777777" w:rsidR="00F45D52" w:rsidRDefault="00F45D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0A6E" w14:textId="2D66F820" w:rsidR="00941CED" w:rsidRDefault="00941CED">
    <w:pPr>
      <w:pStyle w:val="a3"/>
      <w:jc w:val="right"/>
    </w:pPr>
    <w:r>
      <w:rPr>
        <w:noProof/>
      </w:rPr>
      <w:drawing>
        <wp:anchor distT="0" distB="0" distL="114300" distR="114300" simplePos="0" relativeHeight="251655680" behindDoc="0" locked="0" layoutInCell="1" allowOverlap="1" wp14:anchorId="7640237B" wp14:editId="45D23C7A">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B9BD69A" w14:textId="77777777" w:rsidR="00941CED" w:rsidRDefault="00941CED">
    <w:pPr>
      <w:pStyle w:val="a3"/>
      <w:jc w:val="right"/>
      <w:rPr>
        <w:rFonts w:ascii="宋体" w:hAnsi="宋体"/>
      </w:rPr>
    </w:pPr>
    <w:r>
      <w:rPr>
        <w:rFonts w:ascii="宋体" w:hAnsi="宋体" w:hint="eastAsia"/>
      </w:rPr>
      <w:t>交银施罗德裕通纯债债券型证券投资基金(更新)招募说明书(2023年第1号)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D17C" w14:textId="77777777" w:rsidR="00941CED" w:rsidRDefault="00941CED">
    <w:pPr>
      <w:pStyle w:val="11"/>
      <w:jc w:val="right"/>
    </w:pPr>
  </w:p>
  <w:p w14:paraId="0B677271" w14:textId="77777777" w:rsidR="00941CED" w:rsidRDefault="00941CED">
    <w:pPr>
      <w:pStyle w:val="11"/>
      <w:jc w:val="right"/>
    </w:pPr>
  </w:p>
  <w:p w14:paraId="1A9E1E36" w14:textId="77777777" w:rsidR="00941CED" w:rsidRDefault="00941CED">
    <w:pPr>
      <w:pStyle w:val="a3"/>
      <w:jc w:val="right"/>
    </w:pPr>
  </w:p>
  <w:p w14:paraId="3EF9CA32" w14:textId="4FF500B7" w:rsidR="00941CED" w:rsidRDefault="00941CED">
    <w:pPr>
      <w:pStyle w:val="a3"/>
      <w:jc w:val="right"/>
    </w:pPr>
    <w:r>
      <w:rPr>
        <w:noProof/>
      </w:rPr>
      <w:drawing>
        <wp:anchor distT="0" distB="0" distL="114300" distR="114300" simplePos="0" relativeHeight="251656704" behindDoc="0" locked="0" layoutInCell="1" allowOverlap="1" wp14:anchorId="6D881993" wp14:editId="5D63926B">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FCEAC12" w14:textId="77A23D11" w:rsidR="00941CED" w:rsidRDefault="00941CED">
    <w:pPr>
      <w:pStyle w:val="a3"/>
      <w:jc w:val="right"/>
      <w:rPr>
        <w:rFonts w:ascii="宋体" w:hAnsi="宋体"/>
      </w:rPr>
    </w:pPr>
    <w:r>
      <w:rPr>
        <w:rFonts w:ascii="宋体" w:hAnsi="宋体" w:hint="eastAsia"/>
      </w:rPr>
      <w:t>交银施罗德裕通纯债债券型证券投资基金招募说明书</w:t>
    </w:r>
    <w:r w:rsidR="006B6771">
      <w:rPr>
        <w:rFonts w:ascii="宋体" w:hAnsi="宋体" w:hint="eastAsia"/>
      </w:rPr>
      <w:t>更新</w:t>
    </w:r>
    <w:r w:rsidR="00E1102C" w:rsidDel="00E1102C">
      <w:rPr>
        <w:rFonts w:ascii="宋体" w:hAnsi="宋体" w:hint="eastAsi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6500" w14:textId="77777777" w:rsidR="00941CED" w:rsidRDefault="00941CED">
    <w:pPr>
      <w:pStyle w:val="a3"/>
      <w:jc w:val="right"/>
    </w:pPr>
  </w:p>
  <w:p w14:paraId="1BE85FE8" w14:textId="77777777" w:rsidR="00941CED" w:rsidRDefault="00941CED">
    <w:pPr>
      <w:pStyle w:val="a3"/>
      <w:jc w:val="right"/>
    </w:pPr>
  </w:p>
  <w:p w14:paraId="3CB415E2" w14:textId="77777777" w:rsidR="00941CED" w:rsidRDefault="00941CED">
    <w:pPr>
      <w:pStyle w:val="a3"/>
      <w:jc w:val="right"/>
    </w:pPr>
  </w:p>
  <w:p w14:paraId="63B84755" w14:textId="17E68B82" w:rsidR="00941CED" w:rsidRDefault="00941CED">
    <w:pPr>
      <w:pStyle w:val="a3"/>
      <w:jc w:val="right"/>
    </w:pPr>
    <w:r>
      <w:rPr>
        <w:noProof/>
      </w:rPr>
      <w:drawing>
        <wp:anchor distT="0" distB="0" distL="114300" distR="114300" simplePos="0" relativeHeight="251657728" behindDoc="0" locked="0" layoutInCell="1" allowOverlap="1" wp14:anchorId="194A0681" wp14:editId="1DC489C8">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F95659E" w14:textId="23EC06C3" w:rsidR="00941CED" w:rsidRDefault="00941CED">
    <w:pPr>
      <w:pStyle w:val="a3"/>
      <w:jc w:val="right"/>
      <w:rPr>
        <w:rFonts w:ascii="宋体" w:hAnsi="宋体"/>
      </w:rPr>
    </w:pPr>
    <w:r>
      <w:rPr>
        <w:rFonts w:ascii="宋体" w:hAnsi="宋体" w:hint="eastAsia"/>
      </w:rPr>
      <w:t>交银施罗德裕通纯债债券型证券投资基金招募说明书</w:t>
    </w:r>
    <w:r w:rsidR="006B6771">
      <w:rPr>
        <w:rFonts w:ascii="宋体" w:hAnsi="宋体" w:hint="eastAsia"/>
      </w:rPr>
      <w:t>更新</w:t>
    </w:r>
    <w:r w:rsidR="00E1102C" w:rsidDel="00E1102C">
      <w:rPr>
        <w:rFonts w:ascii="宋体" w:hAnsi="宋体"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7F43"/>
    <w:rsid w:val="00026A29"/>
    <w:rsid w:val="00026D00"/>
    <w:rsid w:val="00027C73"/>
    <w:rsid w:val="00030964"/>
    <w:rsid w:val="00030F3E"/>
    <w:rsid w:val="000368A2"/>
    <w:rsid w:val="00036B89"/>
    <w:rsid w:val="00043F54"/>
    <w:rsid w:val="00044AFD"/>
    <w:rsid w:val="00044E2C"/>
    <w:rsid w:val="000457B7"/>
    <w:rsid w:val="0004614E"/>
    <w:rsid w:val="00046212"/>
    <w:rsid w:val="000500B8"/>
    <w:rsid w:val="000506ED"/>
    <w:rsid w:val="00051192"/>
    <w:rsid w:val="000543D5"/>
    <w:rsid w:val="00055792"/>
    <w:rsid w:val="00055F52"/>
    <w:rsid w:val="00061C0D"/>
    <w:rsid w:val="0006212F"/>
    <w:rsid w:val="0006220F"/>
    <w:rsid w:val="000647B8"/>
    <w:rsid w:val="0006506B"/>
    <w:rsid w:val="0006551A"/>
    <w:rsid w:val="000662FE"/>
    <w:rsid w:val="000700AC"/>
    <w:rsid w:val="000705A6"/>
    <w:rsid w:val="0007638A"/>
    <w:rsid w:val="00076B6E"/>
    <w:rsid w:val="000816EA"/>
    <w:rsid w:val="00081703"/>
    <w:rsid w:val="00081744"/>
    <w:rsid w:val="000828CE"/>
    <w:rsid w:val="000833CB"/>
    <w:rsid w:val="00083491"/>
    <w:rsid w:val="00084078"/>
    <w:rsid w:val="000843B3"/>
    <w:rsid w:val="000856FF"/>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D7685"/>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2685"/>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384"/>
    <w:rsid w:val="00144B52"/>
    <w:rsid w:val="00150CD1"/>
    <w:rsid w:val="00150FC1"/>
    <w:rsid w:val="00153D66"/>
    <w:rsid w:val="0015725E"/>
    <w:rsid w:val="00162F69"/>
    <w:rsid w:val="00164946"/>
    <w:rsid w:val="00165756"/>
    <w:rsid w:val="0017362C"/>
    <w:rsid w:val="0017392F"/>
    <w:rsid w:val="00173B0B"/>
    <w:rsid w:val="0018184C"/>
    <w:rsid w:val="0018198F"/>
    <w:rsid w:val="00181C62"/>
    <w:rsid w:val="00183642"/>
    <w:rsid w:val="001860C4"/>
    <w:rsid w:val="00186FAE"/>
    <w:rsid w:val="001917D4"/>
    <w:rsid w:val="001917FC"/>
    <w:rsid w:val="00191D7F"/>
    <w:rsid w:val="00192336"/>
    <w:rsid w:val="001925A2"/>
    <w:rsid w:val="0019284F"/>
    <w:rsid w:val="00195218"/>
    <w:rsid w:val="00197A55"/>
    <w:rsid w:val="00197F7E"/>
    <w:rsid w:val="001A1623"/>
    <w:rsid w:val="001A2263"/>
    <w:rsid w:val="001A4295"/>
    <w:rsid w:val="001B4531"/>
    <w:rsid w:val="001B5BDB"/>
    <w:rsid w:val="001B75F9"/>
    <w:rsid w:val="001C2B9E"/>
    <w:rsid w:val="001C38DA"/>
    <w:rsid w:val="001C6DB1"/>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7AE"/>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39A"/>
    <w:rsid w:val="00280C42"/>
    <w:rsid w:val="00281B73"/>
    <w:rsid w:val="002833C9"/>
    <w:rsid w:val="00285E5C"/>
    <w:rsid w:val="00286D5F"/>
    <w:rsid w:val="00290B63"/>
    <w:rsid w:val="00290E73"/>
    <w:rsid w:val="00293415"/>
    <w:rsid w:val="00294689"/>
    <w:rsid w:val="0029539A"/>
    <w:rsid w:val="002A0B15"/>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5CD"/>
    <w:rsid w:val="002E4922"/>
    <w:rsid w:val="002E4B2C"/>
    <w:rsid w:val="002E5261"/>
    <w:rsid w:val="002F00BB"/>
    <w:rsid w:val="002F1DE7"/>
    <w:rsid w:val="002F2627"/>
    <w:rsid w:val="002F2748"/>
    <w:rsid w:val="002F5896"/>
    <w:rsid w:val="002F6445"/>
    <w:rsid w:val="002F6580"/>
    <w:rsid w:val="002F6DE8"/>
    <w:rsid w:val="002F74D8"/>
    <w:rsid w:val="002F7C72"/>
    <w:rsid w:val="002F7EDC"/>
    <w:rsid w:val="003003A8"/>
    <w:rsid w:val="0030091B"/>
    <w:rsid w:val="00301E62"/>
    <w:rsid w:val="00304063"/>
    <w:rsid w:val="0030456E"/>
    <w:rsid w:val="00304AB0"/>
    <w:rsid w:val="0030555F"/>
    <w:rsid w:val="00305A3B"/>
    <w:rsid w:val="00305BB4"/>
    <w:rsid w:val="0030645F"/>
    <w:rsid w:val="003065B2"/>
    <w:rsid w:val="003117B9"/>
    <w:rsid w:val="00311C71"/>
    <w:rsid w:val="00313073"/>
    <w:rsid w:val="0031336C"/>
    <w:rsid w:val="0031339F"/>
    <w:rsid w:val="00313F3E"/>
    <w:rsid w:val="00323F65"/>
    <w:rsid w:val="00326147"/>
    <w:rsid w:val="00326461"/>
    <w:rsid w:val="0033051E"/>
    <w:rsid w:val="003314F3"/>
    <w:rsid w:val="0033401D"/>
    <w:rsid w:val="00334456"/>
    <w:rsid w:val="00336150"/>
    <w:rsid w:val="00336E99"/>
    <w:rsid w:val="00342417"/>
    <w:rsid w:val="00344E1A"/>
    <w:rsid w:val="003454EC"/>
    <w:rsid w:val="00346537"/>
    <w:rsid w:val="00347B94"/>
    <w:rsid w:val="003527DD"/>
    <w:rsid w:val="003547A2"/>
    <w:rsid w:val="00355171"/>
    <w:rsid w:val="003576BD"/>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3CB4"/>
    <w:rsid w:val="003843BB"/>
    <w:rsid w:val="003859DA"/>
    <w:rsid w:val="00386153"/>
    <w:rsid w:val="00386BA7"/>
    <w:rsid w:val="00390B48"/>
    <w:rsid w:val="0039213A"/>
    <w:rsid w:val="003927AE"/>
    <w:rsid w:val="00393BF6"/>
    <w:rsid w:val="00395D4D"/>
    <w:rsid w:val="00396D64"/>
    <w:rsid w:val="00397A06"/>
    <w:rsid w:val="003A0CB5"/>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59D1"/>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3A2D"/>
    <w:rsid w:val="004254D3"/>
    <w:rsid w:val="0042746B"/>
    <w:rsid w:val="00433B69"/>
    <w:rsid w:val="004369AD"/>
    <w:rsid w:val="00436DD6"/>
    <w:rsid w:val="00442AF2"/>
    <w:rsid w:val="00444FB7"/>
    <w:rsid w:val="00447CBC"/>
    <w:rsid w:val="00450674"/>
    <w:rsid w:val="004533FE"/>
    <w:rsid w:val="00454715"/>
    <w:rsid w:val="00454D80"/>
    <w:rsid w:val="00456785"/>
    <w:rsid w:val="00462EB0"/>
    <w:rsid w:val="00463933"/>
    <w:rsid w:val="00464346"/>
    <w:rsid w:val="00470325"/>
    <w:rsid w:val="00470F42"/>
    <w:rsid w:val="00471605"/>
    <w:rsid w:val="0047297A"/>
    <w:rsid w:val="00474398"/>
    <w:rsid w:val="00474709"/>
    <w:rsid w:val="00480184"/>
    <w:rsid w:val="00480516"/>
    <w:rsid w:val="00480658"/>
    <w:rsid w:val="00480A0F"/>
    <w:rsid w:val="00480D3C"/>
    <w:rsid w:val="0048170B"/>
    <w:rsid w:val="00481BD4"/>
    <w:rsid w:val="00482AA2"/>
    <w:rsid w:val="004835BD"/>
    <w:rsid w:val="0048579F"/>
    <w:rsid w:val="00487005"/>
    <w:rsid w:val="004901A7"/>
    <w:rsid w:val="00493039"/>
    <w:rsid w:val="004A084F"/>
    <w:rsid w:val="004A1FA1"/>
    <w:rsid w:val="004A3225"/>
    <w:rsid w:val="004A3F90"/>
    <w:rsid w:val="004A5F59"/>
    <w:rsid w:val="004A6F1F"/>
    <w:rsid w:val="004B17D8"/>
    <w:rsid w:val="004B2323"/>
    <w:rsid w:val="004B31CF"/>
    <w:rsid w:val="004B4154"/>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105E"/>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4B45"/>
    <w:rsid w:val="00574C59"/>
    <w:rsid w:val="00576912"/>
    <w:rsid w:val="00576CE2"/>
    <w:rsid w:val="005770AC"/>
    <w:rsid w:val="00577C1A"/>
    <w:rsid w:val="00577FAA"/>
    <w:rsid w:val="0058041D"/>
    <w:rsid w:val="00581834"/>
    <w:rsid w:val="005826AA"/>
    <w:rsid w:val="00583CE7"/>
    <w:rsid w:val="005856E9"/>
    <w:rsid w:val="005867BB"/>
    <w:rsid w:val="00587452"/>
    <w:rsid w:val="00591289"/>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14E1"/>
    <w:rsid w:val="005C2E15"/>
    <w:rsid w:val="005C403B"/>
    <w:rsid w:val="005C63CB"/>
    <w:rsid w:val="005D0AA6"/>
    <w:rsid w:val="005D165F"/>
    <w:rsid w:val="005D21F3"/>
    <w:rsid w:val="005D3CF8"/>
    <w:rsid w:val="005D5D89"/>
    <w:rsid w:val="005E0D2D"/>
    <w:rsid w:val="005E3FB6"/>
    <w:rsid w:val="005F13CD"/>
    <w:rsid w:val="005F4223"/>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077F"/>
    <w:rsid w:val="00661FC1"/>
    <w:rsid w:val="00663FED"/>
    <w:rsid w:val="00664B64"/>
    <w:rsid w:val="006678E3"/>
    <w:rsid w:val="00667A9C"/>
    <w:rsid w:val="006712E8"/>
    <w:rsid w:val="006728DF"/>
    <w:rsid w:val="00677DA7"/>
    <w:rsid w:val="00680212"/>
    <w:rsid w:val="00680C90"/>
    <w:rsid w:val="00681036"/>
    <w:rsid w:val="006823AD"/>
    <w:rsid w:val="00682C29"/>
    <w:rsid w:val="00685872"/>
    <w:rsid w:val="00685AD7"/>
    <w:rsid w:val="0069078E"/>
    <w:rsid w:val="00691963"/>
    <w:rsid w:val="00692124"/>
    <w:rsid w:val="00692D96"/>
    <w:rsid w:val="00693C96"/>
    <w:rsid w:val="00696339"/>
    <w:rsid w:val="00696982"/>
    <w:rsid w:val="006A0DB9"/>
    <w:rsid w:val="006A3B2A"/>
    <w:rsid w:val="006A3F85"/>
    <w:rsid w:val="006A48FA"/>
    <w:rsid w:val="006A56F1"/>
    <w:rsid w:val="006A6E5C"/>
    <w:rsid w:val="006B0972"/>
    <w:rsid w:val="006B3153"/>
    <w:rsid w:val="006B5871"/>
    <w:rsid w:val="006B6771"/>
    <w:rsid w:val="006B6BB1"/>
    <w:rsid w:val="006B7212"/>
    <w:rsid w:val="006C14C3"/>
    <w:rsid w:val="006C4B6F"/>
    <w:rsid w:val="006C589D"/>
    <w:rsid w:val="006C6BC7"/>
    <w:rsid w:val="006C769C"/>
    <w:rsid w:val="006C7A95"/>
    <w:rsid w:val="006D11E8"/>
    <w:rsid w:val="006D4B0E"/>
    <w:rsid w:val="006D753C"/>
    <w:rsid w:val="006E0A00"/>
    <w:rsid w:val="006E306D"/>
    <w:rsid w:val="006E32D9"/>
    <w:rsid w:val="006E4BEC"/>
    <w:rsid w:val="006E6968"/>
    <w:rsid w:val="006F04C6"/>
    <w:rsid w:val="006F08A0"/>
    <w:rsid w:val="006F2A97"/>
    <w:rsid w:val="006F7AD7"/>
    <w:rsid w:val="00702627"/>
    <w:rsid w:val="007032AE"/>
    <w:rsid w:val="0070359F"/>
    <w:rsid w:val="0070464C"/>
    <w:rsid w:val="00705474"/>
    <w:rsid w:val="00705B46"/>
    <w:rsid w:val="007076B2"/>
    <w:rsid w:val="00711BBB"/>
    <w:rsid w:val="00712559"/>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49E4"/>
    <w:rsid w:val="0077578C"/>
    <w:rsid w:val="00781ACA"/>
    <w:rsid w:val="007823CF"/>
    <w:rsid w:val="00782B9F"/>
    <w:rsid w:val="00783E35"/>
    <w:rsid w:val="00784F67"/>
    <w:rsid w:val="00786754"/>
    <w:rsid w:val="00786D49"/>
    <w:rsid w:val="00787061"/>
    <w:rsid w:val="00790F0A"/>
    <w:rsid w:val="00790F5E"/>
    <w:rsid w:val="007927A6"/>
    <w:rsid w:val="00797F6E"/>
    <w:rsid w:val="007A17F3"/>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0F6D"/>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3B5F"/>
    <w:rsid w:val="00856135"/>
    <w:rsid w:val="00857A96"/>
    <w:rsid w:val="00861FE5"/>
    <w:rsid w:val="008627F3"/>
    <w:rsid w:val="0086376D"/>
    <w:rsid w:val="00864551"/>
    <w:rsid w:val="00864607"/>
    <w:rsid w:val="008703C2"/>
    <w:rsid w:val="008712F1"/>
    <w:rsid w:val="0087209F"/>
    <w:rsid w:val="00877462"/>
    <w:rsid w:val="008806CC"/>
    <w:rsid w:val="008849E6"/>
    <w:rsid w:val="0088513E"/>
    <w:rsid w:val="00886300"/>
    <w:rsid w:val="008879F1"/>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085B"/>
    <w:rsid w:val="008C0F40"/>
    <w:rsid w:val="008C3FAB"/>
    <w:rsid w:val="008C3FBE"/>
    <w:rsid w:val="008C4D11"/>
    <w:rsid w:val="008D54FA"/>
    <w:rsid w:val="008D5690"/>
    <w:rsid w:val="008D5C05"/>
    <w:rsid w:val="008D6490"/>
    <w:rsid w:val="008D6FFD"/>
    <w:rsid w:val="008E1191"/>
    <w:rsid w:val="008E342E"/>
    <w:rsid w:val="008E4D9C"/>
    <w:rsid w:val="008E566D"/>
    <w:rsid w:val="008E588C"/>
    <w:rsid w:val="008F52D9"/>
    <w:rsid w:val="008F6BC6"/>
    <w:rsid w:val="00902B4C"/>
    <w:rsid w:val="00903D65"/>
    <w:rsid w:val="00903FC5"/>
    <w:rsid w:val="0090403F"/>
    <w:rsid w:val="009071FF"/>
    <w:rsid w:val="009108DB"/>
    <w:rsid w:val="009112EB"/>
    <w:rsid w:val="00913191"/>
    <w:rsid w:val="009131F2"/>
    <w:rsid w:val="00913A19"/>
    <w:rsid w:val="0091472D"/>
    <w:rsid w:val="00916431"/>
    <w:rsid w:val="00917DBE"/>
    <w:rsid w:val="0092605A"/>
    <w:rsid w:val="0092689A"/>
    <w:rsid w:val="00926FC3"/>
    <w:rsid w:val="0093228E"/>
    <w:rsid w:val="009325E1"/>
    <w:rsid w:val="00933052"/>
    <w:rsid w:val="00933602"/>
    <w:rsid w:val="009338B2"/>
    <w:rsid w:val="009351EF"/>
    <w:rsid w:val="0093698F"/>
    <w:rsid w:val="00940914"/>
    <w:rsid w:val="009409E8"/>
    <w:rsid w:val="00941CED"/>
    <w:rsid w:val="00942250"/>
    <w:rsid w:val="00942706"/>
    <w:rsid w:val="00942E51"/>
    <w:rsid w:val="00946A6A"/>
    <w:rsid w:val="00947EB7"/>
    <w:rsid w:val="0095056B"/>
    <w:rsid w:val="00951FC3"/>
    <w:rsid w:val="009520BD"/>
    <w:rsid w:val="00952B29"/>
    <w:rsid w:val="00953DBA"/>
    <w:rsid w:val="00954137"/>
    <w:rsid w:val="00955882"/>
    <w:rsid w:val="00955ABF"/>
    <w:rsid w:val="00956D91"/>
    <w:rsid w:val="00956F74"/>
    <w:rsid w:val="00956F84"/>
    <w:rsid w:val="009575A0"/>
    <w:rsid w:val="00957C6C"/>
    <w:rsid w:val="00960AA2"/>
    <w:rsid w:val="009649DC"/>
    <w:rsid w:val="00966EB2"/>
    <w:rsid w:val="00970C67"/>
    <w:rsid w:val="00974456"/>
    <w:rsid w:val="00983EA5"/>
    <w:rsid w:val="00991483"/>
    <w:rsid w:val="00992880"/>
    <w:rsid w:val="0099296D"/>
    <w:rsid w:val="009935AA"/>
    <w:rsid w:val="00993F94"/>
    <w:rsid w:val="009951B2"/>
    <w:rsid w:val="00995DA0"/>
    <w:rsid w:val="009A039C"/>
    <w:rsid w:val="009A2859"/>
    <w:rsid w:val="009A2F52"/>
    <w:rsid w:val="009A4E90"/>
    <w:rsid w:val="009A50B8"/>
    <w:rsid w:val="009A737B"/>
    <w:rsid w:val="009B1823"/>
    <w:rsid w:val="009B406F"/>
    <w:rsid w:val="009B443A"/>
    <w:rsid w:val="009B4D09"/>
    <w:rsid w:val="009B6DD1"/>
    <w:rsid w:val="009C1332"/>
    <w:rsid w:val="009C4A4F"/>
    <w:rsid w:val="009C5C36"/>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5B26"/>
    <w:rsid w:val="009F6453"/>
    <w:rsid w:val="009F6AD6"/>
    <w:rsid w:val="009F6F30"/>
    <w:rsid w:val="009F7BFB"/>
    <w:rsid w:val="00A0081F"/>
    <w:rsid w:val="00A01B61"/>
    <w:rsid w:val="00A03B86"/>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81E"/>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38D5"/>
    <w:rsid w:val="00A75807"/>
    <w:rsid w:val="00A77913"/>
    <w:rsid w:val="00A81BA5"/>
    <w:rsid w:val="00A8209D"/>
    <w:rsid w:val="00A82697"/>
    <w:rsid w:val="00A82740"/>
    <w:rsid w:val="00A860C9"/>
    <w:rsid w:val="00A9137F"/>
    <w:rsid w:val="00A9483B"/>
    <w:rsid w:val="00A94F2C"/>
    <w:rsid w:val="00A972E1"/>
    <w:rsid w:val="00AA3F8C"/>
    <w:rsid w:val="00AA6E6B"/>
    <w:rsid w:val="00AB1261"/>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5728"/>
    <w:rsid w:val="00AC692A"/>
    <w:rsid w:val="00AD0F08"/>
    <w:rsid w:val="00AD1585"/>
    <w:rsid w:val="00AD1747"/>
    <w:rsid w:val="00AD235B"/>
    <w:rsid w:val="00AD4806"/>
    <w:rsid w:val="00AD560B"/>
    <w:rsid w:val="00AD5BBB"/>
    <w:rsid w:val="00AE02B5"/>
    <w:rsid w:val="00AE0494"/>
    <w:rsid w:val="00AE0B28"/>
    <w:rsid w:val="00AE0C8D"/>
    <w:rsid w:val="00AE0D50"/>
    <w:rsid w:val="00AE1161"/>
    <w:rsid w:val="00AE1256"/>
    <w:rsid w:val="00AE1947"/>
    <w:rsid w:val="00AE242E"/>
    <w:rsid w:val="00AE2D8E"/>
    <w:rsid w:val="00AE35AE"/>
    <w:rsid w:val="00AE4C9F"/>
    <w:rsid w:val="00AE7A40"/>
    <w:rsid w:val="00AE7EF9"/>
    <w:rsid w:val="00AF3C88"/>
    <w:rsid w:val="00AF4A88"/>
    <w:rsid w:val="00AF60FC"/>
    <w:rsid w:val="00AF619D"/>
    <w:rsid w:val="00B01A75"/>
    <w:rsid w:val="00B02D39"/>
    <w:rsid w:val="00B03711"/>
    <w:rsid w:val="00B03B6B"/>
    <w:rsid w:val="00B04CC3"/>
    <w:rsid w:val="00B17DE2"/>
    <w:rsid w:val="00B2096A"/>
    <w:rsid w:val="00B20E8D"/>
    <w:rsid w:val="00B31282"/>
    <w:rsid w:val="00B31D78"/>
    <w:rsid w:val="00B32541"/>
    <w:rsid w:val="00B3267F"/>
    <w:rsid w:val="00B34CA0"/>
    <w:rsid w:val="00B35F87"/>
    <w:rsid w:val="00B379DA"/>
    <w:rsid w:val="00B37A67"/>
    <w:rsid w:val="00B41203"/>
    <w:rsid w:val="00B41500"/>
    <w:rsid w:val="00B454B1"/>
    <w:rsid w:val="00B46329"/>
    <w:rsid w:val="00B5297F"/>
    <w:rsid w:val="00B52E16"/>
    <w:rsid w:val="00B53812"/>
    <w:rsid w:val="00B53C36"/>
    <w:rsid w:val="00B54134"/>
    <w:rsid w:val="00B623DA"/>
    <w:rsid w:val="00B62736"/>
    <w:rsid w:val="00B62A71"/>
    <w:rsid w:val="00B62EF9"/>
    <w:rsid w:val="00B630C6"/>
    <w:rsid w:val="00B65DC0"/>
    <w:rsid w:val="00B67C2D"/>
    <w:rsid w:val="00B70838"/>
    <w:rsid w:val="00B70D91"/>
    <w:rsid w:val="00B72FA0"/>
    <w:rsid w:val="00B73209"/>
    <w:rsid w:val="00B7708B"/>
    <w:rsid w:val="00B7721B"/>
    <w:rsid w:val="00B80E25"/>
    <w:rsid w:val="00B8347E"/>
    <w:rsid w:val="00B84B4A"/>
    <w:rsid w:val="00B8589C"/>
    <w:rsid w:val="00B86BAC"/>
    <w:rsid w:val="00B872BB"/>
    <w:rsid w:val="00B97B35"/>
    <w:rsid w:val="00BA3196"/>
    <w:rsid w:val="00BA3509"/>
    <w:rsid w:val="00BA5877"/>
    <w:rsid w:val="00BB124C"/>
    <w:rsid w:val="00BB17E3"/>
    <w:rsid w:val="00BB1CDB"/>
    <w:rsid w:val="00BB2110"/>
    <w:rsid w:val="00BB3645"/>
    <w:rsid w:val="00BB371F"/>
    <w:rsid w:val="00BB3EE9"/>
    <w:rsid w:val="00BB547E"/>
    <w:rsid w:val="00BB69B7"/>
    <w:rsid w:val="00BC2581"/>
    <w:rsid w:val="00BC3F55"/>
    <w:rsid w:val="00BC481A"/>
    <w:rsid w:val="00BC485C"/>
    <w:rsid w:val="00BC4D26"/>
    <w:rsid w:val="00BC555D"/>
    <w:rsid w:val="00BC658E"/>
    <w:rsid w:val="00BD0218"/>
    <w:rsid w:val="00BD1869"/>
    <w:rsid w:val="00BD200B"/>
    <w:rsid w:val="00BD63DF"/>
    <w:rsid w:val="00BD64D4"/>
    <w:rsid w:val="00BD7C4B"/>
    <w:rsid w:val="00BE33E8"/>
    <w:rsid w:val="00BF2BEB"/>
    <w:rsid w:val="00BF3197"/>
    <w:rsid w:val="00BF4365"/>
    <w:rsid w:val="00BF5E23"/>
    <w:rsid w:val="00BF6AD1"/>
    <w:rsid w:val="00C01DB8"/>
    <w:rsid w:val="00C02BBE"/>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55C73"/>
    <w:rsid w:val="00C610B6"/>
    <w:rsid w:val="00C6257F"/>
    <w:rsid w:val="00C63117"/>
    <w:rsid w:val="00C640C7"/>
    <w:rsid w:val="00C65784"/>
    <w:rsid w:val="00C67BDD"/>
    <w:rsid w:val="00C70F24"/>
    <w:rsid w:val="00C717F6"/>
    <w:rsid w:val="00C72136"/>
    <w:rsid w:val="00C72FD7"/>
    <w:rsid w:val="00C8155C"/>
    <w:rsid w:val="00C907F0"/>
    <w:rsid w:val="00C93A91"/>
    <w:rsid w:val="00C9554F"/>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1F00"/>
    <w:rsid w:val="00D02829"/>
    <w:rsid w:val="00D02C90"/>
    <w:rsid w:val="00D04CD8"/>
    <w:rsid w:val="00D04DEC"/>
    <w:rsid w:val="00D0695E"/>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316"/>
    <w:rsid w:val="00D84DEB"/>
    <w:rsid w:val="00D877A6"/>
    <w:rsid w:val="00D87AB9"/>
    <w:rsid w:val="00D904D9"/>
    <w:rsid w:val="00D93B2D"/>
    <w:rsid w:val="00D946F0"/>
    <w:rsid w:val="00D95156"/>
    <w:rsid w:val="00D95BD9"/>
    <w:rsid w:val="00D95DC3"/>
    <w:rsid w:val="00D96A46"/>
    <w:rsid w:val="00D96A67"/>
    <w:rsid w:val="00DA12D5"/>
    <w:rsid w:val="00DA2BA8"/>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16A0"/>
    <w:rsid w:val="00DD4F7A"/>
    <w:rsid w:val="00DD5050"/>
    <w:rsid w:val="00DD5306"/>
    <w:rsid w:val="00DD5903"/>
    <w:rsid w:val="00DD5E1E"/>
    <w:rsid w:val="00DE229B"/>
    <w:rsid w:val="00DE3A2B"/>
    <w:rsid w:val="00DE4A81"/>
    <w:rsid w:val="00DE4CA2"/>
    <w:rsid w:val="00DE7AB8"/>
    <w:rsid w:val="00DF3188"/>
    <w:rsid w:val="00DF5529"/>
    <w:rsid w:val="00DF6DE8"/>
    <w:rsid w:val="00DF6FB0"/>
    <w:rsid w:val="00DF76B3"/>
    <w:rsid w:val="00DF76F2"/>
    <w:rsid w:val="00E00083"/>
    <w:rsid w:val="00E009E2"/>
    <w:rsid w:val="00E01DE7"/>
    <w:rsid w:val="00E0411F"/>
    <w:rsid w:val="00E0572E"/>
    <w:rsid w:val="00E10005"/>
    <w:rsid w:val="00E1102C"/>
    <w:rsid w:val="00E1238E"/>
    <w:rsid w:val="00E124B9"/>
    <w:rsid w:val="00E13F21"/>
    <w:rsid w:val="00E1612B"/>
    <w:rsid w:val="00E17515"/>
    <w:rsid w:val="00E20591"/>
    <w:rsid w:val="00E22766"/>
    <w:rsid w:val="00E2572E"/>
    <w:rsid w:val="00E2692D"/>
    <w:rsid w:val="00E271C2"/>
    <w:rsid w:val="00E27AC2"/>
    <w:rsid w:val="00E30031"/>
    <w:rsid w:val="00E329A6"/>
    <w:rsid w:val="00E343C9"/>
    <w:rsid w:val="00E34CB5"/>
    <w:rsid w:val="00E36419"/>
    <w:rsid w:val="00E37789"/>
    <w:rsid w:val="00E42265"/>
    <w:rsid w:val="00E431B9"/>
    <w:rsid w:val="00E45DAA"/>
    <w:rsid w:val="00E46560"/>
    <w:rsid w:val="00E47307"/>
    <w:rsid w:val="00E47601"/>
    <w:rsid w:val="00E50DB1"/>
    <w:rsid w:val="00E51053"/>
    <w:rsid w:val="00E51A6B"/>
    <w:rsid w:val="00E51A9F"/>
    <w:rsid w:val="00E52CA8"/>
    <w:rsid w:val="00E550CE"/>
    <w:rsid w:val="00E57CAC"/>
    <w:rsid w:val="00E60B86"/>
    <w:rsid w:val="00E62B97"/>
    <w:rsid w:val="00E62E45"/>
    <w:rsid w:val="00E62F7D"/>
    <w:rsid w:val="00E700B8"/>
    <w:rsid w:val="00E702B9"/>
    <w:rsid w:val="00E70588"/>
    <w:rsid w:val="00E75FA1"/>
    <w:rsid w:val="00E76419"/>
    <w:rsid w:val="00E7659D"/>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1998"/>
    <w:rsid w:val="00EC5ACF"/>
    <w:rsid w:val="00ED22A8"/>
    <w:rsid w:val="00ED2479"/>
    <w:rsid w:val="00ED4EB4"/>
    <w:rsid w:val="00ED52E9"/>
    <w:rsid w:val="00ED5D09"/>
    <w:rsid w:val="00ED7107"/>
    <w:rsid w:val="00EE2221"/>
    <w:rsid w:val="00EE276F"/>
    <w:rsid w:val="00EE2982"/>
    <w:rsid w:val="00EE3FB8"/>
    <w:rsid w:val="00EE634F"/>
    <w:rsid w:val="00EF369D"/>
    <w:rsid w:val="00EF38A7"/>
    <w:rsid w:val="00EF6A39"/>
    <w:rsid w:val="00EF74AC"/>
    <w:rsid w:val="00F00B38"/>
    <w:rsid w:val="00F0129F"/>
    <w:rsid w:val="00F0376E"/>
    <w:rsid w:val="00F044B3"/>
    <w:rsid w:val="00F05E83"/>
    <w:rsid w:val="00F07DC4"/>
    <w:rsid w:val="00F07E05"/>
    <w:rsid w:val="00F10842"/>
    <w:rsid w:val="00F13C42"/>
    <w:rsid w:val="00F161F7"/>
    <w:rsid w:val="00F206E8"/>
    <w:rsid w:val="00F21755"/>
    <w:rsid w:val="00F21F2E"/>
    <w:rsid w:val="00F23947"/>
    <w:rsid w:val="00F23B61"/>
    <w:rsid w:val="00F2460E"/>
    <w:rsid w:val="00F276F1"/>
    <w:rsid w:val="00F32680"/>
    <w:rsid w:val="00F33A66"/>
    <w:rsid w:val="00F34368"/>
    <w:rsid w:val="00F34E5A"/>
    <w:rsid w:val="00F35452"/>
    <w:rsid w:val="00F45532"/>
    <w:rsid w:val="00F45D52"/>
    <w:rsid w:val="00F45ED2"/>
    <w:rsid w:val="00F53C4F"/>
    <w:rsid w:val="00F56A51"/>
    <w:rsid w:val="00F61899"/>
    <w:rsid w:val="00F66CD4"/>
    <w:rsid w:val="00F66E01"/>
    <w:rsid w:val="00F7129A"/>
    <w:rsid w:val="00F7180D"/>
    <w:rsid w:val="00F727A7"/>
    <w:rsid w:val="00F729D7"/>
    <w:rsid w:val="00F737CC"/>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04ED"/>
    <w:rsid w:val="00FB1DCD"/>
    <w:rsid w:val="00FB2B32"/>
    <w:rsid w:val="00FB2F0E"/>
    <w:rsid w:val="00FB31CC"/>
    <w:rsid w:val="00FC05EE"/>
    <w:rsid w:val="00FC2EC6"/>
    <w:rsid w:val="00FC339A"/>
    <w:rsid w:val="00FC36E0"/>
    <w:rsid w:val="00FC533E"/>
    <w:rsid w:val="00FC546F"/>
    <w:rsid w:val="00FC6F5E"/>
    <w:rsid w:val="00FC711A"/>
    <w:rsid w:val="00FC7D31"/>
    <w:rsid w:val="00FD13AC"/>
    <w:rsid w:val="00FD2D28"/>
    <w:rsid w:val="00FD4C35"/>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9FBB8D"/>
  <w15:docId w15:val="{35E450AD-D72E-4DB8-9E1A-C50D356D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8627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1CBB9-ACF9-4958-B734-E0BB21F7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137</Pages>
  <Words>14311</Words>
  <Characters>81574</Characters>
  <Application>Microsoft Office Word</Application>
  <DocSecurity>0</DocSecurity>
  <Lines>679</Lines>
  <Paragraphs>191</Paragraphs>
  <ScaleCrop>false</ScaleCrop>
  <Company>Microsoft</Company>
  <LinksUpToDate>false</LinksUpToDate>
  <CharactersWithSpaces>95694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王子晴</cp:lastModifiedBy>
  <cp:revision>40</cp:revision>
  <cp:lastPrinted>2024-09-04T08:01:00Z</cp:lastPrinted>
  <dcterms:created xsi:type="dcterms:W3CDTF">2024-08-19T04:14:00Z</dcterms:created>
  <dcterms:modified xsi:type="dcterms:W3CDTF">2024-09-04T08:01:00Z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