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C9DC0" w14:textId="77777777" w:rsidR="003D3E21" w:rsidRPr="00EB07BC" w:rsidRDefault="003D3E21">
      <w:pPr>
        <w:rPr>
          <w:sz w:val="32"/>
        </w:rPr>
      </w:pPr>
    </w:p>
    <w:p w14:paraId="3D0CBE78" w14:textId="77777777" w:rsidR="003D3E21" w:rsidRPr="00EB07BC" w:rsidRDefault="003D3E21">
      <w:pPr>
        <w:rPr>
          <w:sz w:val="32"/>
        </w:rPr>
      </w:pPr>
    </w:p>
    <w:p w14:paraId="2CF3D4C4" w14:textId="77777777" w:rsidR="003D3E21" w:rsidRPr="00EB07BC" w:rsidRDefault="003D3E21">
      <w:pPr>
        <w:rPr>
          <w:sz w:val="32"/>
        </w:rPr>
      </w:pPr>
    </w:p>
    <w:p w14:paraId="21362E82" w14:textId="3FF2BAC7" w:rsidR="003D3E21" w:rsidRPr="00EB07BC" w:rsidRDefault="006C507A">
      <w:pPr>
        <w:jc w:val="center"/>
        <w:rPr>
          <w:sz w:val="32"/>
        </w:rPr>
      </w:pPr>
      <w:r>
        <w:rPr>
          <w:noProof/>
        </w:rPr>
        <w:drawing>
          <wp:inline distT="0" distB="0" distL="0" distR="0" wp14:anchorId="4B447AA6" wp14:editId="23243ADB">
            <wp:extent cx="4343400" cy="571500"/>
            <wp:effectExtent l="0" t="0" r="0" b="0"/>
            <wp:docPr id="7"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6A2F9C2" w14:textId="77777777" w:rsidR="00CB5326" w:rsidRDefault="00CB532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5545AB9" w14:textId="77777777" w:rsidR="00CB5326" w:rsidRDefault="00CB5326">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0293D7B" w14:textId="77777777" w:rsidR="00CB5326" w:rsidRDefault="000C1687">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交银施罗德纯债债券型发起式证券投资基金</w:t>
      </w:r>
    </w:p>
    <w:p w14:paraId="39285C18" w14:textId="77777777" w:rsidR="00CB5326" w:rsidRDefault="000C168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5C61D856" w14:textId="1F9A914B" w:rsidR="00CB5326" w:rsidRDefault="000C1687">
      <w:pPr>
        <w:snapToGrid w:val="0"/>
        <w:spacing w:line="360" w:lineRule="auto"/>
        <w:jc w:val="center"/>
        <w:rPr>
          <w:rFonts w:ascii="宋体" w:hAnsi="宋体"/>
          <w:b/>
          <w:sz w:val="30"/>
          <w:szCs w:val="30"/>
        </w:rPr>
      </w:pPr>
      <w:r>
        <w:rPr>
          <w:rFonts w:ascii="Times New Roman" w:hAnsi="Times New Roman"/>
          <w:b/>
          <w:color w:val="000000"/>
          <w:sz w:val="32"/>
          <w:szCs w:val="32"/>
        </w:rPr>
        <w:t>(</w:t>
      </w:r>
      <w:r w:rsidR="009F25DA">
        <w:rPr>
          <w:rFonts w:ascii="Times New Roman" w:hAnsi="Times New Roman"/>
          <w:b/>
          <w:color w:val="000000"/>
          <w:sz w:val="32"/>
          <w:szCs w:val="32"/>
        </w:rPr>
        <w:t>2024</w:t>
      </w:r>
      <w:r>
        <w:rPr>
          <w:rFonts w:ascii="Times New Roman" w:hAnsi="Times New Roman"/>
          <w:b/>
          <w:color w:val="000000"/>
          <w:sz w:val="32"/>
          <w:szCs w:val="32"/>
        </w:rPr>
        <w:t>年</w:t>
      </w:r>
      <w:r w:rsidR="009F25DA">
        <w:rPr>
          <w:rFonts w:ascii="Times New Roman" w:hAnsi="Times New Roman"/>
          <w:b/>
          <w:color w:val="000000"/>
          <w:sz w:val="32"/>
          <w:szCs w:val="32"/>
        </w:rPr>
        <w:t>第</w:t>
      </w:r>
      <w:r w:rsidR="00AD3261">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14:paraId="30B5505B"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6D8893A"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C154B91"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800B6D1"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E725228"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2C6A763"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A107F84" w14:textId="77777777" w:rsidR="00CB5326" w:rsidRDefault="000C168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65F8E323" w14:textId="77777777" w:rsidR="00CB5326" w:rsidRDefault="000C168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14:paraId="182E9D0B"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F4B74FA" w14:textId="77777777" w:rsidR="00CB5326" w:rsidRDefault="00CB5326">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CD38DB0" w14:textId="1DF1C7BA" w:rsidR="00CB5326" w:rsidRDefault="000C1687">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9F25DA">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年</w:t>
      </w:r>
      <w:r w:rsidR="00AD3261">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月</w:t>
      </w:r>
    </w:p>
    <w:p w14:paraId="7AEF5DDE" w14:textId="77777777" w:rsidR="00CB5326" w:rsidRDefault="00CB5326">
      <w:pPr>
        <w:autoSpaceDE w:val="0"/>
        <w:autoSpaceDN w:val="0"/>
        <w:adjustRightInd w:val="0"/>
        <w:snapToGrid w:val="0"/>
        <w:spacing w:line="360" w:lineRule="auto"/>
        <w:ind w:left="1347" w:rightChars="6" w:right="13"/>
        <w:rPr>
          <w:rFonts w:ascii="宋体" w:hAnsi="宋体"/>
          <w:kern w:val="0"/>
          <w:sz w:val="32"/>
          <w:szCs w:val="32"/>
        </w:rPr>
        <w:sectPr w:rsidR="00CB5326">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4BF1120C" w14:textId="77777777" w:rsidR="00CB5326" w:rsidRDefault="000C1687">
      <w:pPr>
        <w:pStyle w:val="1"/>
        <w:snapToGrid w:val="0"/>
        <w:spacing w:beforeLines="0" w:before="240" w:after="240"/>
        <w:rPr>
          <w:rFonts w:ascii="宋体" w:hAnsi="宋体"/>
          <w:kern w:val="0"/>
        </w:rPr>
      </w:pPr>
      <w:bookmarkStart w:id="0" w:name="_Toc324920538"/>
      <w:bookmarkStart w:id="1" w:name="_Toc496884613"/>
      <w:bookmarkStart w:id="2" w:name="_Toc154495290"/>
      <w:r>
        <w:rPr>
          <w:rFonts w:ascii="Times New Roman" w:hAnsi="Times New Roman"/>
          <w:kern w:val="0"/>
        </w:rPr>
        <w:lastRenderedPageBreak/>
        <w:t>重要提示</w:t>
      </w:r>
      <w:bookmarkEnd w:id="0"/>
      <w:bookmarkEnd w:id="1"/>
      <w:bookmarkEnd w:id="2"/>
    </w:p>
    <w:p w14:paraId="7A4E2EB2"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交银施罗德纯债债券型发起式证券投资基金（以下简称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2012</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日中国证券监督管理委员会证监许可【</w:t>
      </w:r>
      <w:r>
        <w:rPr>
          <w:rFonts w:ascii="Times New Roman" w:hAnsi="Times New Roman"/>
          <w:kern w:val="0"/>
          <w:sz w:val="24"/>
        </w:rPr>
        <w:t>2012</w:t>
      </w:r>
      <w:r>
        <w:rPr>
          <w:rFonts w:ascii="Times New Roman" w:hAnsi="Times New Roman"/>
          <w:kern w:val="0"/>
          <w:sz w:val="24"/>
        </w:rPr>
        <w:t>】</w:t>
      </w:r>
      <w:r>
        <w:rPr>
          <w:rFonts w:ascii="Times New Roman" w:hAnsi="Times New Roman"/>
          <w:kern w:val="0"/>
          <w:sz w:val="24"/>
        </w:rPr>
        <w:t>1287</w:t>
      </w:r>
      <w:r>
        <w:rPr>
          <w:rFonts w:ascii="Times New Roman" w:hAnsi="Times New Roman"/>
          <w:kern w:val="0"/>
          <w:sz w:val="24"/>
        </w:rPr>
        <w:t>号文核准募集。本基金基金合同于</w:t>
      </w:r>
      <w:r>
        <w:rPr>
          <w:rFonts w:ascii="Times New Roman" w:hAnsi="Times New Roman"/>
          <w:kern w:val="0"/>
          <w:sz w:val="24"/>
        </w:rPr>
        <w:t>2012</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19</w:t>
      </w:r>
      <w:r>
        <w:rPr>
          <w:rFonts w:ascii="Times New Roman" w:hAnsi="Times New Roman"/>
          <w:kern w:val="0"/>
          <w:sz w:val="24"/>
        </w:rPr>
        <w:t>日正式生效。</w:t>
      </w:r>
    </w:p>
    <w:p w14:paraId="246268CA"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14:paraId="6E5AC640"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B748049"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投资本基金特有的其他风险等等。本基金是一只债券型基金，属于证券投资基金中中等风险的品种，其长期平均的预期收益和风险高于货币市场基金，低于混合型基金和股票型基金。</w:t>
      </w:r>
    </w:p>
    <w:p w14:paraId="2F6A2DE3"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为发起式基金，基金管理人将公平对待所管理的全部基金，基金管理人并不能保证发起式基金不发生亏损，也不能保证发起式基金的收益将优于基金管理人管理的其他非发起式基金。基金管理人运用固有资金认购本基金</w:t>
      </w:r>
      <w:r>
        <w:rPr>
          <w:rFonts w:ascii="Times New Roman" w:hAnsi="Times New Roman"/>
          <w:kern w:val="0"/>
          <w:sz w:val="24"/>
        </w:rPr>
        <w:t>1000</w:t>
      </w:r>
      <w:r>
        <w:rPr>
          <w:rFonts w:ascii="Times New Roman" w:hAnsi="Times New Roman"/>
          <w:kern w:val="0"/>
          <w:sz w:val="24"/>
        </w:rPr>
        <w:t>万元，持有期限并不低于三年。但基金管理人对本基金的发起认购，并不代表对本基金的风险或收益的任何判断、预测、推荐和保证，基金管理人认购的发起资金也并不用于对投资者投资亏损的补偿，投资者及基金管理人均自行承担投资风险。基金管理人认购的发起份额持有期限满三年后，基金管理人将根据自身情况决定是否继续持有，届时，基金管理人有可能赎回认购的本基金份额。基金合同生效之日起满</w:t>
      </w:r>
      <w:r>
        <w:rPr>
          <w:rFonts w:ascii="Times New Roman" w:hAnsi="Times New Roman"/>
          <w:kern w:val="0"/>
          <w:sz w:val="24"/>
        </w:rPr>
        <w:t>3</w:t>
      </w:r>
      <w:r>
        <w:rPr>
          <w:rFonts w:ascii="Times New Roman" w:hAnsi="Times New Roman"/>
          <w:kern w:val="0"/>
          <w:sz w:val="24"/>
        </w:rPr>
        <w:t>年后的对应日（如该对应日为非工作日，则顺延至下一个工作日），若</w:t>
      </w:r>
      <w:r>
        <w:rPr>
          <w:rFonts w:ascii="Times New Roman" w:hAnsi="Times New Roman"/>
          <w:kern w:val="0"/>
          <w:sz w:val="24"/>
        </w:rPr>
        <w:lastRenderedPageBreak/>
        <w:t>本基金的资产净值低于</w:t>
      </w:r>
      <w:r>
        <w:rPr>
          <w:rFonts w:ascii="Times New Roman" w:hAnsi="Times New Roman"/>
          <w:kern w:val="0"/>
          <w:sz w:val="24"/>
        </w:rPr>
        <w:t>2</w:t>
      </w:r>
      <w:r>
        <w:rPr>
          <w:rFonts w:ascii="Times New Roman" w:hAnsi="Times New Roman"/>
          <w:kern w:val="0"/>
          <w:sz w:val="24"/>
        </w:rPr>
        <w:t>亿元，基金合同将自动终止，且无法通过召开持有人大会延续基金合同期限，因此投资者将面临基金合同可能终止的不确定性风险。</w:t>
      </w:r>
    </w:p>
    <w:p w14:paraId="176F2E3E" w14:textId="77777777" w:rsidR="00CB5326" w:rsidRDefault="000C168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投资有风险，投资者在投资本基金前应认真阅读本基金的招募说明书、基金合同、基金产品资料概要。基金的过往业绩并不代表其未来表现。基金管理人管理的其他基金的业绩并不构成新基金业绩表现的保证。</w:t>
      </w:r>
    </w:p>
    <w:p w14:paraId="1F4DACA9" w14:textId="3480668E" w:rsidR="00CB5326" w:rsidRDefault="009B048B">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本次更新招募说明书主要对调整管理费率和托管费率相关事项</w:t>
      </w:r>
      <w:r w:rsidR="00D26D46">
        <w:rPr>
          <w:rFonts w:ascii="Times New Roman" w:hAnsi="Times New Roman" w:hint="eastAsia"/>
          <w:kern w:val="0"/>
          <w:sz w:val="24"/>
        </w:rPr>
        <w:t>、基金管理人章节</w:t>
      </w:r>
      <w:r w:rsidR="006B4211" w:rsidRPr="006B4211">
        <w:rPr>
          <w:rFonts w:ascii="Times New Roman" w:hAnsi="Times New Roman" w:hint="eastAsia"/>
          <w:kern w:val="0"/>
          <w:sz w:val="24"/>
        </w:rPr>
        <w:t>主要成员情况</w:t>
      </w:r>
      <w:r>
        <w:rPr>
          <w:rFonts w:ascii="Times New Roman" w:hAnsi="Times New Roman" w:hint="eastAsia"/>
          <w:kern w:val="0"/>
          <w:sz w:val="24"/>
        </w:rPr>
        <w:t>进行了相应更新，更新截止日为</w:t>
      </w:r>
      <w:r>
        <w:rPr>
          <w:rFonts w:ascii="Times New Roman" w:hAnsi="Times New Roman"/>
          <w:kern w:val="0"/>
          <w:sz w:val="24"/>
        </w:rPr>
        <w:t>2024</w:t>
      </w:r>
      <w:r>
        <w:rPr>
          <w:rFonts w:ascii="Times New Roman" w:hAnsi="Times New Roman" w:hint="eastAsia"/>
          <w:kern w:val="0"/>
          <w:sz w:val="24"/>
        </w:rPr>
        <w:t>年</w:t>
      </w:r>
      <w:r w:rsidR="00481A59">
        <w:rPr>
          <w:rFonts w:ascii="Times New Roman" w:hAnsi="Times New Roman"/>
          <w:kern w:val="0"/>
          <w:sz w:val="24"/>
        </w:rPr>
        <w:t>5</w:t>
      </w:r>
      <w:r>
        <w:rPr>
          <w:rFonts w:ascii="Times New Roman" w:hAnsi="Times New Roman" w:hint="eastAsia"/>
          <w:kern w:val="0"/>
          <w:sz w:val="24"/>
        </w:rPr>
        <w:t>月</w:t>
      </w:r>
      <w:r w:rsidR="00253620">
        <w:rPr>
          <w:rFonts w:ascii="Times New Roman" w:hAnsi="Times New Roman"/>
          <w:kern w:val="0"/>
          <w:sz w:val="24"/>
        </w:rPr>
        <w:t>21</w:t>
      </w:r>
      <w:r>
        <w:rPr>
          <w:rFonts w:ascii="Times New Roman" w:hAnsi="Times New Roman" w:hint="eastAsia"/>
          <w:kern w:val="0"/>
          <w:sz w:val="24"/>
        </w:rPr>
        <w:t>日；</w:t>
      </w:r>
      <w:r>
        <w:rPr>
          <w:rFonts w:ascii="Times New Roman" w:hAnsi="Times New Roman"/>
          <w:kern w:val="0"/>
          <w:sz w:val="24"/>
        </w:rPr>
        <w:t>除非另有说明，</w:t>
      </w:r>
      <w:r w:rsidR="000C1687">
        <w:rPr>
          <w:rFonts w:ascii="Times New Roman" w:hAnsi="Times New Roman"/>
          <w:kern w:val="0"/>
          <w:sz w:val="24"/>
        </w:rPr>
        <w:t>本招募说明书</w:t>
      </w:r>
      <w:r w:rsidR="00066485">
        <w:rPr>
          <w:rFonts w:ascii="Times New Roman" w:hAnsi="Times New Roman" w:hint="eastAsia"/>
          <w:kern w:val="0"/>
          <w:sz w:val="24"/>
        </w:rPr>
        <w:t>其他</w:t>
      </w:r>
      <w:r w:rsidR="000C1687">
        <w:rPr>
          <w:rFonts w:ascii="Times New Roman" w:hAnsi="Times New Roman"/>
          <w:kern w:val="0"/>
          <w:sz w:val="24"/>
        </w:rPr>
        <w:t>所载内容截止日为</w:t>
      </w:r>
      <w:r w:rsidR="000C1687">
        <w:rPr>
          <w:rFonts w:ascii="Times New Roman" w:hAnsi="Times New Roman"/>
          <w:kern w:val="0"/>
          <w:sz w:val="24"/>
        </w:rPr>
        <w:t>2023</w:t>
      </w:r>
      <w:r w:rsidR="000C1687">
        <w:rPr>
          <w:rFonts w:ascii="Times New Roman" w:hAnsi="Times New Roman"/>
          <w:kern w:val="0"/>
          <w:sz w:val="24"/>
        </w:rPr>
        <w:t>年</w:t>
      </w:r>
      <w:r w:rsidR="000C1687">
        <w:rPr>
          <w:rFonts w:ascii="Times New Roman" w:hAnsi="Times New Roman"/>
          <w:kern w:val="0"/>
          <w:sz w:val="24"/>
        </w:rPr>
        <w:t>12</w:t>
      </w:r>
      <w:r w:rsidR="000C1687">
        <w:rPr>
          <w:rFonts w:ascii="Times New Roman" w:hAnsi="Times New Roman"/>
          <w:kern w:val="0"/>
          <w:sz w:val="24"/>
        </w:rPr>
        <w:t>月</w:t>
      </w:r>
      <w:r w:rsidR="000C1687">
        <w:rPr>
          <w:rFonts w:ascii="Times New Roman" w:hAnsi="Times New Roman"/>
          <w:kern w:val="0"/>
          <w:sz w:val="24"/>
        </w:rPr>
        <w:t>03</w:t>
      </w:r>
      <w:r w:rsidR="000C1687">
        <w:rPr>
          <w:rFonts w:ascii="Times New Roman" w:hAnsi="Times New Roman"/>
          <w:kern w:val="0"/>
          <w:sz w:val="24"/>
        </w:rPr>
        <w:t>日，有关财务数据和净值表现截止日为</w:t>
      </w:r>
      <w:r w:rsidR="000C1687">
        <w:rPr>
          <w:rFonts w:ascii="Times New Roman" w:hAnsi="Times New Roman"/>
          <w:kern w:val="0"/>
          <w:sz w:val="24"/>
        </w:rPr>
        <w:t>2023</w:t>
      </w:r>
      <w:r w:rsidR="000C1687">
        <w:rPr>
          <w:rFonts w:ascii="Times New Roman" w:hAnsi="Times New Roman"/>
          <w:kern w:val="0"/>
          <w:sz w:val="24"/>
        </w:rPr>
        <w:t>年</w:t>
      </w:r>
      <w:r w:rsidR="000C1687">
        <w:rPr>
          <w:rFonts w:ascii="Times New Roman" w:hAnsi="Times New Roman"/>
          <w:kern w:val="0"/>
          <w:sz w:val="24"/>
        </w:rPr>
        <w:t>09</w:t>
      </w:r>
      <w:r w:rsidR="000C1687">
        <w:rPr>
          <w:rFonts w:ascii="Times New Roman" w:hAnsi="Times New Roman"/>
          <w:kern w:val="0"/>
          <w:sz w:val="24"/>
        </w:rPr>
        <w:t>月</w:t>
      </w:r>
      <w:r w:rsidR="000C1687">
        <w:rPr>
          <w:rFonts w:ascii="Times New Roman" w:hAnsi="Times New Roman"/>
          <w:kern w:val="0"/>
          <w:sz w:val="24"/>
        </w:rPr>
        <w:t>30</w:t>
      </w:r>
      <w:r w:rsidR="000C1687">
        <w:rPr>
          <w:rFonts w:ascii="Times New Roman" w:hAnsi="Times New Roman"/>
          <w:kern w:val="0"/>
          <w:sz w:val="24"/>
        </w:rPr>
        <w:t>日。本招募说明书所载的财务数据未经审计。</w:t>
      </w:r>
    </w:p>
    <w:p w14:paraId="01E5825A" w14:textId="77777777" w:rsidR="00CB5326" w:rsidRDefault="00CB5326">
      <w:pPr>
        <w:autoSpaceDE w:val="0"/>
        <w:autoSpaceDN w:val="0"/>
        <w:adjustRightInd w:val="0"/>
        <w:snapToGrid w:val="0"/>
        <w:spacing w:before="51" w:line="360" w:lineRule="auto"/>
        <w:ind w:left="120" w:rightChars="6" w:right="13" w:firstLine="480"/>
        <w:rPr>
          <w:rFonts w:ascii="宋体" w:hAnsi="宋体"/>
          <w:kern w:val="0"/>
          <w:szCs w:val="24"/>
        </w:rPr>
        <w:sectPr w:rsidR="00CB5326">
          <w:headerReference w:type="default" r:id="rId12"/>
          <w:pgSz w:w="11920" w:h="16840"/>
          <w:pgMar w:top="1440" w:right="1680" w:bottom="280" w:left="1680" w:header="0" w:footer="1073" w:gutter="0"/>
          <w:pgNumType w:start="1"/>
          <w:cols w:space="720"/>
        </w:sectPr>
      </w:pPr>
    </w:p>
    <w:p w14:paraId="5CC65796" w14:textId="77777777" w:rsidR="004940B8" w:rsidRPr="004940B8" w:rsidRDefault="000C1687" w:rsidP="004940B8">
      <w:pPr>
        <w:pStyle w:val="af3"/>
        <w:snapToGrid w:val="0"/>
        <w:spacing w:after="240" w:line="360" w:lineRule="auto"/>
        <w:jc w:val="center"/>
        <w:rPr>
          <w:rFonts w:ascii="宋体" w:hAnsi="宋体"/>
          <w:noProof/>
          <w:sz w:val="24"/>
        </w:rPr>
      </w:pPr>
      <w:r w:rsidRPr="004940B8">
        <w:rPr>
          <w:rFonts w:ascii="宋体" w:hAnsi="宋体"/>
          <w:color w:val="000000"/>
          <w:position w:val="-4"/>
          <w:sz w:val="24"/>
          <w:szCs w:val="30"/>
        </w:rPr>
        <w:lastRenderedPageBreak/>
        <w:t>目</w:t>
      </w:r>
      <w:r w:rsidRPr="004940B8">
        <w:rPr>
          <w:rFonts w:ascii="宋体" w:hAnsi="宋体"/>
          <w:color w:val="000000"/>
          <w:position w:val="-4"/>
          <w:sz w:val="24"/>
          <w:szCs w:val="30"/>
        </w:rPr>
        <w:tab/>
        <w:t>录</w:t>
      </w:r>
      <w:r w:rsidR="004940B8" w:rsidRPr="004940B8">
        <w:rPr>
          <w:rFonts w:ascii="宋体" w:hAnsi="宋体"/>
          <w:color w:val="000000"/>
          <w:position w:val="-4"/>
          <w:sz w:val="24"/>
          <w:szCs w:val="30"/>
        </w:rPr>
        <w:fldChar w:fldCharType="begin"/>
      </w:r>
      <w:r w:rsidR="004940B8" w:rsidRPr="004940B8">
        <w:rPr>
          <w:rFonts w:ascii="宋体" w:hAnsi="宋体"/>
          <w:color w:val="000000"/>
          <w:position w:val="-4"/>
          <w:sz w:val="24"/>
          <w:szCs w:val="30"/>
        </w:rPr>
        <w:instrText xml:space="preserve"> TOC \o "1-3" \f - \h \t "-1" </w:instrText>
      </w:r>
      <w:r w:rsidR="004940B8" w:rsidRPr="004940B8">
        <w:rPr>
          <w:rFonts w:ascii="宋体" w:hAnsi="宋体"/>
          <w:color w:val="000000"/>
          <w:position w:val="-4"/>
          <w:sz w:val="24"/>
          <w:szCs w:val="30"/>
        </w:rPr>
        <w:fldChar w:fldCharType="separate"/>
      </w:r>
    </w:p>
    <w:p w14:paraId="401B0BBB" w14:textId="790BD259" w:rsidR="004940B8" w:rsidRPr="001363AD" w:rsidRDefault="00F0162A" w:rsidP="004940B8">
      <w:pPr>
        <w:pStyle w:val="11"/>
        <w:tabs>
          <w:tab w:val="right" w:leader="dot" w:pos="8550"/>
        </w:tabs>
        <w:spacing w:line="360" w:lineRule="auto"/>
        <w:rPr>
          <w:rFonts w:ascii="宋体" w:hAnsi="宋体"/>
          <w:noProof/>
          <w:sz w:val="24"/>
        </w:rPr>
      </w:pPr>
      <w:hyperlink w:anchor="_Toc154495290" w:history="1">
        <w:r w:rsidR="004940B8" w:rsidRPr="004940B8">
          <w:rPr>
            <w:rStyle w:val="af0"/>
            <w:rFonts w:ascii="宋体" w:hAnsi="宋体" w:hint="eastAsia"/>
            <w:noProof/>
            <w:kern w:val="0"/>
            <w:sz w:val="24"/>
          </w:rPr>
          <w:t>重要提示</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_Toc154495290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w:t>
        </w:r>
        <w:r w:rsidR="004940B8" w:rsidRPr="004940B8">
          <w:rPr>
            <w:rFonts w:ascii="宋体" w:hAnsi="宋体"/>
            <w:noProof/>
            <w:sz w:val="24"/>
          </w:rPr>
          <w:fldChar w:fldCharType="end"/>
        </w:r>
      </w:hyperlink>
    </w:p>
    <w:p w14:paraId="689DE789" w14:textId="2550AFF0" w:rsidR="004940B8" w:rsidRPr="001363AD" w:rsidRDefault="00255DA1" w:rsidP="004940B8">
      <w:pPr>
        <w:pStyle w:val="11"/>
        <w:tabs>
          <w:tab w:val="right" w:leader="dot" w:pos="8550"/>
        </w:tabs>
        <w:spacing w:line="360" w:lineRule="auto"/>
        <w:rPr>
          <w:rFonts w:ascii="宋体" w:hAnsi="宋体"/>
          <w:noProof/>
          <w:sz w:val="24"/>
        </w:rPr>
      </w:pPr>
      <w:hyperlink w:anchor="_Toc154495291" w:history="1">
        <w:r w:rsidR="004940B8" w:rsidRPr="004940B8">
          <w:rPr>
            <w:rStyle w:val="af0"/>
            <w:rFonts w:ascii="宋体" w:hAnsi="宋体" w:hint="eastAsia"/>
            <w:noProof/>
            <w:sz w:val="24"/>
          </w:rPr>
          <w:t>一、绪言</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_Toc154495291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4</w:t>
        </w:r>
        <w:r w:rsidR="004940B8" w:rsidRPr="004940B8">
          <w:rPr>
            <w:rFonts w:ascii="宋体" w:hAnsi="宋体"/>
            <w:noProof/>
            <w:sz w:val="24"/>
          </w:rPr>
          <w:fldChar w:fldCharType="end"/>
        </w:r>
      </w:hyperlink>
    </w:p>
    <w:p w14:paraId="0CC87479" w14:textId="2A3AC174" w:rsidR="004940B8" w:rsidRPr="001363AD" w:rsidRDefault="00255DA1" w:rsidP="004940B8">
      <w:pPr>
        <w:pStyle w:val="11"/>
        <w:tabs>
          <w:tab w:val="right" w:leader="dot" w:pos="8550"/>
        </w:tabs>
        <w:spacing w:line="360" w:lineRule="auto"/>
        <w:rPr>
          <w:rFonts w:ascii="宋体" w:hAnsi="宋体"/>
          <w:noProof/>
          <w:sz w:val="24"/>
        </w:rPr>
      </w:pPr>
      <w:hyperlink w:anchor="_Toc154495292" w:history="1">
        <w:r w:rsidR="004940B8" w:rsidRPr="004940B8">
          <w:rPr>
            <w:rStyle w:val="af0"/>
            <w:rFonts w:ascii="宋体" w:hAnsi="宋体" w:hint="eastAsia"/>
            <w:noProof/>
            <w:sz w:val="24"/>
          </w:rPr>
          <w:t>二、释义</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_Toc154495292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5</w:t>
        </w:r>
        <w:r w:rsidR="004940B8" w:rsidRPr="004940B8">
          <w:rPr>
            <w:rFonts w:ascii="宋体" w:hAnsi="宋体"/>
            <w:noProof/>
            <w:sz w:val="24"/>
          </w:rPr>
          <w:fldChar w:fldCharType="end"/>
        </w:r>
      </w:hyperlink>
    </w:p>
    <w:p w14:paraId="0129098C" w14:textId="070F745D" w:rsidR="004940B8" w:rsidRPr="001363AD" w:rsidRDefault="00255DA1" w:rsidP="004940B8">
      <w:pPr>
        <w:pStyle w:val="11"/>
        <w:tabs>
          <w:tab w:val="right" w:leader="dot" w:pos="8550"/>
        </w:tabs>
        <w:spacing w:line="360" w:lineRule="auto"/>
        <w:rPr>
          <w:rFonts w:ascii="宋体" w:hAnsi="宋体"/>
          <w:noProof/>
          <w:sz w:val="24"/>
        </w:rPr>
      </w:pPr>
      <w:hyperlink w:anchor="_Toc154495293" w:history="1">
        <w:r w:rsidR="004940B8" w:rsidRPr="004940B8">
          <w:rPr>
            <w:rStyle w:val="af0"/>
            <w:rFonts w:ascii="宋体" w:hAnsi="宋体" w:hint="eastAsia"/>
            <w:noProof/>
            <w:sz w:val="24"/>
          </w:rPr>
          <w:t>三、基金管理人</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_Toc154495293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11</w:t>
        </w:r>
        <w:r w:rsidR="004940B8" w:rsidRPr="004940B8">
          <w:rPr>
            <w:rFonts w:ascii="宋体" w:hAnsi="宋体"/>
            <w:noProof/>
            <w:sz w:val="24"/>
          </w:rPr>
          <w:fldChar w:fldCharType="end"/>
        </w:r>
      </w:hyperlink>
    </w:p>
    <w:p w14:paraId="1E5FED32" w14:textId="3A185BB2" w:rsidR="004940B8" w:rsidRPr="001363AD" w:rsidRDefault="00255DA1" w:rsidP="004940B8">
      <w:pPr>
        <w:pStyle w:val="11"/>
        <w:tabs>
          <w:tab w:val="right" w:leader="dot" w:pos="8550"/>
        </w:tabs>
        <w:spacing w:line="360" w:lineRule="auto"/>
        <w:rPr>
          <w:rFonts w:ascii="宋体" w:hAnsi="宋体"/>
          <w:noProof/>
          <w:sz w:val="24"/>
        </w:rPr>
      </w:pPr>
      <w:hyperlink w:anchor="_Toc154495294" w:history="1">
        <w:r w:rsidR="004940B8" w:rsidRPr="004940B8">
          <w:rPr>
            <w:rStyle w:val="af0"/>
            <w:rFonts w:ascii="宋体" w:hAnsi="宋体" w:hint="eastAsia"/>
            <w:noProof/>
            <w:sz w:val="24"/>
          </w:rPr>
          <w:t>四、基金托管人</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_Toc154495294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20</w:t>
        </w:r>
        <w:r w:rsidR="004940B8" w:rsidRPr="004940B8">
          <w:rPr>
            <w:rFonts w:ascii="宋体" w:hAnsi="宋体"/>
            <w:noProof/>
            <w:sz w:val="24"/>
          </w:rPr>
          <w:fldChar w:fldCharType="end"/>
        </w:r>
      </w:hyperlink>
    </w:p>
    <w:p w14:paraId="611B4685" w14:textId="3730AB12" w:rsidR="004940B8" w:rsidRPr="001363AD" w:rsidRDefault="00255DA1" w:rsidP="004940B8">
      <w:pPr>
        <w:pStyle w:val="11"/>
        <w:tabs>
          <w:tab w:val="right" w:leader="dot" w:pos="8550"/>
        </w:tabs>
        <w:spacing w:line="360" w:lineRule="auto"/>
        <w:rPr>
          <w:rFonts w:ascii="宋体" w:hAnsi="宋体"/>
          <w:noProof/>
          <w:sz w:val="24"/>
        </w:rPr>
      </w:pPr>
      <w:hyperlink w:anchor="_Toc154495295" w:history="1">
        <w:r w:rsidR="004940B8" w:rsidRPr="004940B8">
          <w:rPr>
            <w:rStyle w:val="af0"/>
            <w:rFonts w:ascii="宋体" w:hAnsi="宋体" w:hint="eastAsia"/>
            <w:noProof/>
            <w:sz w:val="24"/>
          </w:rPr>
          <w:t>五、相关服务机构</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_Toc154495295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23</w:t>
        </w:r>
        <w:r w:rsidR="004940B8" w:rsidRPr="004940B8">
          <w:rPr>
            <w:rFonts w:ascii="宋体" w:hAnsi="宋体"/>
            <w:noProof/>
            <w:sz w:val="24"/>
          </w:rPr>
          <w:fldChar w:fldCharType="end"/>
        </w:r>
      </w:hyperlink>
    </w:p>
    <w:p w14:paraId="6E6D39DD" w14:textId="517C6E97" w:rsidR="004940B8" w:rsidRPr="001363AD" w:rsidRDefault="00255DA1" w:rsidP="004940B8">
      <w:pPr>
        <w:pStyle w:val="11"/>
        <w:tabs>
          <w:tab w:val="right" w:leader="dot" w:pos="8550"/>
        </w:tabs>
        <w:spacing w:line="360" w:lineRule="auto"/>
        <w:rPr>
          <w:rFonts w:ascii="宋体" w:hAnsi="宋体"/>
          <w:noProof/>
          <w:sz w:val="24"/>
        </w:rPr>
      </w:pPr>
      <w:hyperlink w:anchor="_Toc154495296" w:history="1">
        <w:r w:rsidR="004940B8" w:rsidRPr="004940B8">
          <w:rPr>
            <w:rStyle w:val="af0"/>
            <w:rFonts w:ascii="宋体" w:hAnsi="宋体" w:hint="eastAsia"/>
            <w:noProof/>
            <w:sz w:val="24"/>
          </w:rPr>
          <w:t>六、基金的历史沿革</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_Toc154495296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59</w:t>
        </w:r>
        <w:r w:rsidR="004940B8" w:rsidRPr="004940B8">
          <w:rPr>
            <w:rFonts w:ascii="宋体" w:hAnsi="宋体"/>
            <w:noProof/>
            <w:sz w:val="24"/>
          </w:rPr>
          <w:fldChar w:fldCharType="end"/>
        </w:r>
      </w:hyperlink>
    </w:p>
    <w:p w14:paraId="6F51B7D6" w14:textId="14EE7169" w:rsidR="004940B8" w:rsidRPr="001363AD" w:rsidRDefault="00255DA1" w:rsidP="004940B8">
      <w:pPr>
        <w:pStyle w:val="11"/>
        <w:tabs>
          <w:tab w:val="right" w:leader="dot" w:pos="8550"/>
        </w:tabs>
        <w:spacing w:line="360" w:lineRule="auto"/>
        <w:rPr>
          <w:rFonts w:ascii="宋体" w:hAnsi="宋体"/>
          <w:noProof/>
          <w:sz w:val="24"/>
        </w:rPr>
      </w:pPr>
      <w:hyperlink w:anchor="_Toc154495297" w:history="1">
        <w:r w:rsidR="004940B8" w:rsidRPr="004940B8">
          <w:rPr>
            <w:rStyle w:val="af0"/>
            <w:rFonts w:ascii="宋体" w:hAnsi="宋体" w:hint="eastAsia"/>
            <w:noProof/>
            <w:sz w:val="24"/>
          </w:rPr>
          <w:t>七</w:t>
        </w:r>
        <w:r w:rsidR="004940B8" w:rsidRPr="004940B8">
          <w:rPr>
            <w:rStyle w:val="af0"/>
            <w:rFonts w:ascii="宋体" w:hAnsi="宋体"/>
            <w:noProof/>
            <w:sz w:val="24"/>
          </w:rPr>
          <w:t xml:space="preserve"> </w:t>
        </w:r>
        <w:r w:rsidR="004940B8" w:rsidRPr="004940B8">
          <w:rPr>
            <w:rStyle w:val="af0"/>
            <w:rFonts w:ascii="宋体" w:hAnsi="宋体" w:hint="eastAsia"/>
            <w:noProof/>
            <w:sz w:val="24"/>
          </w:rPr>
          <w:t>、基金合同的生效</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_Toc154495297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60</w:t>
        </w:r>
        <w:r w:rsidR="004940B8" w:rsidRPr="004940B8">
          <w:rPr>
            <w:rFonts w:ascii="宋体" w:hAnsi="宋体"/>
            <w:noProof/>
            <w:sz w:val="24"/>
          </w:rPr>
          <w:fldChar w:fldCharType="end"/>
        </w:r>
      </w:hyperlink>
    </w:p>
    <w:p w14:paraId="2D0683F4" w14:textId="4249157F" w:rsidR="004940B8" w:rsidRPr="001363AD" w:rsidRDefault="00255DA1" w:rsidP="004940B8">
      <w:pPr>
        <w:pStyle w:val="11"/>
        <w:tabs>
          <w:tab w:val="right" w:leader="dot" w:pos="8550"/>
        </w:tabs>
        <w:spacing w:line="360" w:lineRule="auto"/>
        <w:rPr>
          <w:rFonts w:ascii="宋体" w:hAnsi="宋体"/>
          <w:noProof/>
          <w:sz w:val="24"/>
        </w:rPr>
      </w:pPr>
      <w:hyperlink w:anchor="_Toc154495298" w:history="1">
        <w:r w:rsidR="004940B8" w:rsidRPr="004940B8">
          <w:rPr>
            <w:rStyle w:val="af0"/>
            <w:rFonts w:ascii="宋体" w:hAnsi="宋体" w:hint="eastAsia"/>
            <w:noProof/>
            <w:sz w:val="24"/>
          </w:rPr>
          <w:t>八、基金份额的申购与赎回</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_Toc154495298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61</w:t>
        </w:r>
        <w:r w:rsidR="004940B8" w:rsidRPr="004940B8">
          <w:rPr>
            <w:rFonts w:ascii="宋体" w:hAnsi="宋体"/>
            <w:noProof/>
            <w:sz w:val="24"/>
          </w:rPr>
          <w:fldChar w:fldCharType="end"/>
        </w:r>
      </w:hyperlink>
    </w:p>
    <w:p w14:paraId="6E01012D" w14:textId="2A76C1EC" w:rsidR="004940B8" w:rsidRPr="001363AD" w:rsidRDefault="00255DA1" w:rsidP="004940B8">
      <w:pPr>
        <w:pStyle w:val="11"/>
        <w:tabs>
          <w:tab w:val="right" w:leader="dot" w:pos="8550"/>
        </w:tabs>
        <w:spacing w:line="360" w:lineRule="auto"/>
        <w:rPr>
          <w:rFonts w:ascii="宋体" w:hAnsi="宋体"/>
          <w:noProof/>
          <w:sz w:val="24"/>
        </w:rPr>
      </w:pPr>
      <w:hyperlink w:anchor="_Toc154495299" w:history="1">
        <w:r w:rsidR="004940B8" w:rsidRPr="004940B8">
          <w:rPr>
            <w:rStyle w:val="af0"/>
            <w:rFonts w:ascii="宋体" w:hAnsi="宋体" w:hint="eastAsia"/>
            <w:noProof/>
            <w:sz w:val="24"/>
          </w:rPr>
          <w:t>九、基金的转换</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_Toc154495299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76</w:t>
        </w:r>
        <w:r w:rsidR="004940B8" w:rsidRPr="004940B8">
          <w:rPr>
            <w:rFonts w:ascii="宋体" w:hAnsi="宋体"/>
            <w:noProof/>
            <w:sz w:val="24"/>
          </w:rPr>
          <w:fldChar w:fldCharType="end"/>
        </w:r>
      </w:hyperlink>
    </w:p>
    <w:p w14:paraId="37971DE0" w14:textId="7F40CDFB" w:rsidR="004940B8" w:rsidRPr="001363AD" w:rsidRDefault="00255DA1" w:rsidP="004940B8">
      <w:pPr>
        <w:pStyle w:val="11"/>
        <w:tabs>
          <w:tab w:val="right" w:leader="dot" w:pos="8550"/>
        </w:tabs>
        <w:spacing w:line="360" w:lineRule="auto"/>
        <w:rPr>
          <w:rFonts w:ascii="宋体" w:hAnsi="宋体"/>
          <w:noProof/>
          <w:sz w:val="24"/>
        </w:rPr>
      </w:pPr>
      <w:hyperlink w:anchor="_Toc154495300" w:history="1">
        <w:r w:rsidR="004940B8" w:rsidRPr="004940B8">
          <w:rPr>
            <w:rStyle w:val="af0"/>
            <w:rFonts w:ascii="宋体" w:hAnsi="宋体" w:hint="eastAsia"/>
            <w:noProof/>
            <w:sz w:val="24"/>
          </w:rPr>
          <w:t>十、基金的投资</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_Toc154495300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83</w:t>
        </w:r>
        <w:r w:rsidR="004940B8" w:rsidRPr="004940B8">
          <w:rPr>
            <w:rFonts w:ascii="宋体" w:hAnsi="宋体"/>
            <w:noProof/>
            <w:sz w:val="24"/>
          </w:rPr>
          <w:fldChar w:fldCharType="end"/>
        </w:r>
      </w:hyperlink>
    </w:p>
    <w:p w14:paraId="3B61DE09" w14:textId="62B4F003" w:rsidR="004940B8" w:rsidRPr="001363AD" w:rsidRDefault="00255DA1" w:rsidP="004940B8">
      <w:pPr>
        <w:pStyle w:val="11"/>
        <w:tabs>
          <w:tab w:val="right" w:leader="dot" w:pos="8550"/>
        </w:tabs>
        <w:spacing w:line="360" w:lineRule="auto"/>
        <w:rPr>
          <w:rFonts w:ascii="宋体" w:hAnsi="宋体"/>
          <w:noProof/>
          <w:sz w:val="24"/>
        </w:rPr>
      </w:pPr>
      <w:hyperlink w:anchor="_Toc154495301" w:history="1">
        <w:r w:rsidR="004940B8" w:rsidRPr="004940B8">
          <w:rPr>
            <w:rStyle w:val="af0"/>
            <w:rFonts w:ascii="宋体" w:hAnsi="宋体" w:hint="eastAsia"/>
            <w:noProof/>
            <w:sz w:val="24"/>
          </w:rPr>
          <w:t>十一、基金的业绩</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_Toc154495301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94</w:t>
        </w:r>
        <w:r w:rsidR="004940B8" w:rsidRPr="004940B8">
          <w:rPr>
            <w:rFonts w:ascii="宋体" w:hAnsi="宋体"/>
            <w:noProof/>
            <w:sz w:val="24"/>
          </w:rPr>
          <w:fldChar w:fldCharType="end"/>
        </w:r>
      </w:hyperlink>
    </w:p>
    <w:p w14:paraId="348FD9EF" w14:textId="345DBEE5" w:rsidR="004940B8" w:rsidRPr="001363AD" w:rsidRDefault="00255DA1" w:rsidP="004940B8">
      <w:pPr>
        <w:pStyle w:val="11"/>
        <w:tabs>
          <w:tab w:val="right" w:leader="dot" w:pos="8550"/>
        </w:tabs>
        <w:spacing w:line="360" w:lineRule="auto"/>
        <w:rPr>
          <w:rFonts w:ascii="宋体" w:hAnsi="宋体"/>
          <w:noProof/>
          <w:sz w:val="24"/>
        </w:rPr>
      </w:pPr>
      <w:hyperlink w:anchor="_Toc154495302" w:history="1">
        <w:r w:rsidR="004940B8" w:rsidRPr="004940B8">
          <w:rPr>
            <w:rStyle w:val="af0"/>
            <w:rFonts w:ascii="宋体" w:hAnsi="宋体" w:hint="eastAsia"/>
            <w:noProof/>
            <w:sz w:val="24"/>
          </w:rPr>
          <w:t>十二、基金的财产</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_Toc154495302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98</w:t>
        </w:r>
        <w:r w:rsidR="004940B8" w:rsidRPr="004940B8">
          <w:rPr>
            <w:rFonts w:ascii="宋体" w:hAnsi="宋体"/>
            <w:noProof/>
            <w:sz w:val="24"/>
          </w:rPr>
          <w:fldChar w:fldCharType="end"/>
        </w:r>
      </w:hyperlink>
    </w:p>
    <w:p w14:paraId="0DA8776D" w14:textId="0A3878D1" w:rsidR="004940B8" w:rsidRPr="001363AD" w:rsidRDefault="00255DA1" w:rsidP="004940B8">
      <w:pPr>
        <w:pStyle w:val="11"/>
        <w:tabs>
          <w:tab w:val="right" w:leader="dot" w:pos="8550"/>
        </w:tabs>
        <w:spacing w:line="360" w:lineRule="auto"/>
        <w:rPr>
          <w:rFonts w:ascii="宋体" w:hAnsi="宋体"/>
          <w:noProof/>
          <w:sz w:val="24"/>
        </w:rPr>
      </w:pPr>
      <w:hyperlink w:anchor="_Toc154495303" w:history="1">
        <w:r w:rsidR="004940B8" w:rsidRPr="004940B8">
          <w:rPr>
            <w:rStyle w:val="af0"/>
            <w:rFonts w:ascii="宋体" w:hAnsi="宋体" w:hint="eastAsia"/>
            <w:noProof/>
            <w:sz w:val="24"/>
          </w:rPr>
          <w:t>十三、基金资产的估值</w:t>
        </w:r>
        <w:bookmarkStart w:id="3" w:name="_GoBack"/>
        <w:bookmarkEnd w:id="3"/>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_Toc154495303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99</w:t>
        </w:r>
        <w:r w:rsidR="004940B8" w:rsidRPr="004940B8">
          <w:rPr>
            <w:rFonts w:ascii="宋体" w:hAnsi="宋体"/>
            <w:noProof/>
            <w:sz w:val="24"/>
          </w:rPr>
          <w:fldChar w:fldCharType="end"/>
        </w:r>
      </w:hyperlink>
    </w:p>
    <w:p w14:paraId="12FA3CA9" w14:textId="3E32A7F9" w:rsidR="004940B8" w:rsidRPr="001363AD" w:rsidRDefault="00255DA1" w:rsidP="004940B8">
      <w:pPr>
        <w:pStyle w:val="11"/>
        <w:tabs>
          <w:tab w:val="right" w:leader="dot" w:pos="8550"/>
        </w:tabs>
        <w:spacing w:line="360" w:lineRule="auto"/>
        <w:rPr>
          <w:rFonts w:ascii="宋体" w:hAnsi="宋体"/>
          <w:noProof/>
          <w:sz w:val="24"/>
        </w:rPr>
      </w:pPr>
      <w:hyperlink w:anchor="_Toc154495304" w:history="1">
        <w:r w:rsidR="004940B8" w:rsidRPr="004940B8">
          <w:rPr>
            <w:rStyle w:val="af0"/>
            <w:rFonts w:ascii="宋体" w:hAnsi="宋体" w:hint="eastAsia"/>
            <w:noProof/>
            <w:sz w:val="24"/>
          </w:rPr>
          <w:t>十四、基金的收益与分配</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_Toc154495304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105</w:t>
        </w:r>
        <w:r w:rsidR="004940B8" w:rsidRPr="004940B8">
          <w:rPr>
            <w:rFonts w:ascii="宋体" w:hAnsi="宋体"/>
            <w:noProof/>
            <w:sz w:val="24"/>
          </w:rPr>
          <w:fldChar w:fldCharType="end"/>
        </w:r>
      </w:hyperlink>
    </w:p>
    <w:p w14:paraId="24F5CB61" w14:textId="1333F7AC" w:rsidR="004940B8" w:rsidRPr="001363AD" w:rsidRDefault="00255DA1" w:rsidP="004940B8">
      <w:pPr>
        <w:pStyle w:val="11"/>
        <w:tabs>
          <w:tab w:val="right" w:leader="dot" w:pos="8550"/>
        </w:tabs>
        <w:spacing w:line="360" w:lineRule="auto"/>
        <w:rPr>
          <w:rFonts w:ascii="宋体" w:hAnsi="宋体"/>
          <w:noProof/>
          <w:sz w:val="24"/>
        </w:rPr>
      </w:pPr>
      <w:hyperlink w:anchor="_Toc154495305" w:history="1">
        <w:r w:rsidR="004940B8" w:rsidRPr="004940B8">
          <w:rPr>
            <w:rStyle w:val="af0"/>
            <w:rFonts w:ascii="宋体" w:hAnsi="宋体" w:hint="eastAsia"/>
            <w:noProof/>
            <w:sz w:val="24"/>
          </w:rPr>
          <w:t>十五、基金的费用与税收</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_Toc154495305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107</w:t>
        </w:r>
        <w:r w:rsidR="004940B8" w:rsidRPr="004940B8">
          <w:rPr>
            <w:rFonts w:ascii="宋体" w:hAnsi="宋体"/>
            <w:noProof/>
            <w:sz w:val="24"/>
          </w:rPr>
          <w:fldChar w:fldCharType="end"/>
        </w:r>
      </w:hyperlink>
    </w:p>
    <w:p w14:paraId="0488139F" w14:textId="14C8999B" w:rsidR="004940B8" w:rsidRPr="001363AD" w:rsidRDefault="00255DA1" w:rsidP="004940B8">
      <w:pPr>
        <w:pStyle w:val="11"/>
        <w:tabs>
          <w:tab w:val="right" w:leader="dot" w:pos="8550"/>
        </w:tabs>
        <w:spacing w:line="360" w:lineRule="auto"/>
        <w:rPr>
          <w:rFonts w:ascii="宋体" w:hAnsi="宋体"/>
          <w:noProof/>
          <w:sz w:val="24"/>
        </w:rPr>
      </w:pPr>
      <w:hyperlink w:anchor="_Toc154495306" w:history="1">
        <w:r w:rsidR="004940B8" w:rsidRPr="004940B8">
          <w:rPr>
            <w:rStyle w:val="af0"/>
            <w:rFonts w:ascii="宋体" w:hAnsi="宋体" w:hint="eastAsia"/>
            <w:noProof/>
            <w:sz w:val="24"/>
          </w:rPr>
          <w:t>十六、基金的会计与审计</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_Toc154495306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110</w:t>
        </w:r>
        <w:r w:rsidR="004940B8" w:rsidRPr="004940B8">
          <w:rPr>
            <w:rFonts w:ascii="宋体" w:hAnsi="宋体"/>
            <w:noProof/>
            <w:sz w:val="24"/>
          </w:rPr>
          <w:fldChar w:fldCharType="end"/>
        </w:r>
      </w:hyperlink>
    </w:p>
    <w:p w14:paraId="736563E5" w14:textId="4F44C48B" w:rsidR="004940B8" w:rsidRPr="001363AD" w:rsidRDefault="00255DA1" w:rsidP="004940B8">
      <w:pPr>
        <w:pStyle w:val="11"/>
        <w:tabs>
          <w:tab w:val="right" w:leader="dot" w:pos="8550"/>
        </w:tabs>
        <w:spacing w:line="360" w:lineRule="auto"/>
        <w:rPr>
          <w:rFonts w:ascii="宋体" w:hAnsi="宋体"/>
          <w:noProof/>
          <w:sz w:val="24"/>
        </w:rPr>
      </w:pPr>
      <w:hyperlink w:anchor="_Toc154495307" w:history="1">
        <w:r w:rsidR="004940B8" w:rsidRPr="004940B8">
          <w:rPr>
            <w:rStyle w:val="af0"/>
            <w:rFonts w:ascii="宋体" w:hAnsi="宋体" w:hint="eastAsia"/>
            <w:noProof/>
            <w:sz w:val="24"/>
          </w:rPr>
          <w:t>十七、基金的信息披露</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_Toc154495307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111</w:t>
        </w:r>
        <w:r w:rsidR="004940B8" w:rsidRPr="004940B8">
          <w:rPr>
            <w:rFonts w:ascii="宋体" w:hAnsi="宋体"/>
            <w:noProof/>
            <w:sz w:val="24"/>
          </w:rPr>
          <w:fldChar w:fldCharType="end"/>
        </w:r>
      </w:hyperlink>
    </w:p>
    <w:p w14:paraId="13B63DAF" w14:textId="14A3C192" w:rsidR="004940B8" w:rsidRPr="001363AD" w:rsidRDefault="00255DA1" w:rsidP="004940B8">
      <w:pPr>
        <w:pStyle w:val="11"/>
        <w:tabs>
          <w:tab w:val="right" w:leader="dot" w:pos="8550"/>
        </w:tabs>
        <w:spacing w:line="360" w:lineRule="auto"/>
        <w:rPr>
          <w:rFonts w:ascii="宋体" w:hAnsi="宋体"/>
          <w:noProof/>
          <w:sz w:val="24"/>
        </w:rPr>
      </w:pPr>
      <w:hyperlink w:anchor="_Toc154495308" w:history="1">
        <w:r w:rsidR="004940B8" w:rsidRPr="004940B8">
          <w:rPr>
            <w:rStyle w:val="af0"/>
            <w:rFonts w:ascii="宋体" w:hAnsi="宋体" w:hint="eastAsia"/>
            <w:noProof/>
            <w:sz w:val="24"/>
          </w:rPr>
          <w:t>十八、侧袋机制</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_Toc154495308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117</w:t>
        </w:r>
        <w:r w:rsidR="004940B8" w:rsidRPr="004940B8">
          <w:rPr>
            <w:rFonts w:ascii="宋体" w:hAnsi="宋体"/>
            <w:noProof/>
            <w:sz w:val="24"/>
          </w:rPr>
          <w:fldChar w:fldCharType="end"/>
        </w:r>
      </w:hyperlink>
    </w:p>
    <w:p w14:paraId="51690EDB" w14:textId="49671256" w:rsidR="004940B8" w:rsidRPr="001363AD" w:rsidRDefault="00255DA1" w:rsidP="004940B8">
      <w:pPr>
        <w:pStyle w:val="11"/>
        <w:tabs>
          <w:tab w:val="right" w:leader="dot" w:pos="8550"/>
        </w:tabs>
        <w:spacing w:line="360" w:lineRule="auto"/>
        <w:rPr>
          <w:rFonts w:ascii="宋体" w:hAnsi="宋体"/>
          <w:noProof/>
          <w:sz w:val="24"/>
        </w:rPr>
      </w:pPr>
      <w:hyperlink w:anchor="_Toc154495309" w:history="1">
        <w:r w:rsidR="004940B8" w:rsidRPr="004940B8">
          <w:rPr>
            <w:rStyle w:val="af0"/>
            <w:rFonts w:ascii="宋体" w:hAnsi="宋体" w:hint="eastAsia"/>
            <w:noProof/>
            <w:sz w:val="24"/>
          </w:rPr>
          <w:t>十九、风险揭示</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_Toc154495309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120</w:t>
        </w:r>
        <w:r w:rsidR="004940B8" w:rsidRPr="004940B8">
          <w:rPr>
            <w:rFonts w:ascii="宋体" w:hAnsi="宋体"/>
            <w:noProof/>
            <w:sz w:val="24"/>
          </w:rPr>
          <w:fldChar w:fldCharType="end"/>
        </w:r>
      </w:hyperlink>
    </w:p>
    <w:p w14:paraId="466BCECF" w14:textId="21A5A460" w:rsidR="004940B8" w:rsidRPr="001363AD" w:rsidRDefault="00255DA1" w:rsidP="004940B8">
      <w:pPr>
        <w:pStyle w:val="11"/>
        <w:tabs>
          <w:tab w:val="right" w:leader="dot" w:pos="8550"/>
        </w:tabs>
        <w:spacing w:line="360" w:lineRule="auto"/>
        <w:rPr>
          <w:rFonts w:ascii="宋体" w:hAnsi="宋体"/>
          <w:noProof/>
          <w:sz w:val="24"/>
        </w:rPr>
      </w:pPr>
      <w:hyperlink w:anchor="_Toc154495310" w:history="1">
        <w:r w:rsidR="004940B8" w:rsidRPr="004940B8">
          <w:rPr>
            <w:rStyle w:val="af0"/>
            <w:rFonts w:ascii="宋体" w:hAnsi="宋体" w:hint="eastAsia"/>
            <w:noProof/>
            <w:sz w:val="24"/>
          </w:rPr>
          <w:t>二十、基金合同的终止与基金财产的清算</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_Toc154495310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126</w:t>
        </w:r>
        <w:r w:rsidR="004940B8" w:rsidRPr="004940B8">
          <w:rPr>
            <w:rFonts w:ascii="宋体" w:hAnsi="宋体"/>
            <w:noProof/>
            <w:sz w:val="24"/>
          </w:rPr>
          <w:fldChar w:fldCharType="end"/>
        </w:r>
      </w:hyperlink>
    </w:p>
    <w:p w14:paraId="30E9C094" w14:textId="2D05E95D" w:rsidR="004940B8" w:rsidRPr="001363AD" w:rsidRDefault="00255DA1" w:rsidP="004940B8">
      <w:pPr>
        <w:pStyle w:val="11"/>
        <w:tabs>
          <w:tab w:val="right" w:leader="dot" w:pos="8550"/>
        </w:tabs>
        <w:spacing w:line="360" w:lineRule="auto"/>
        <w:rPr>
          <w:rFonts w:ascii="宋体" w:hAnsi="宋体"/>
          <w:noProof/>
          <w:sz w:val="24"/>
        </w:rPr>
      </w:pPr>
      <w:hyperlink w:anchor="_Toc154495311" w:history="1">
        <w:r w:rsidR="004940B8" w:rsidRPr="004940B8">
          <w:rPr>
            <w:rStyle w:val="af0"/>
            <w:rFonts w:ascii="宋体" w:hAnsi="宋体" w:hint="eastAsia"/>
            <w:noProof/>
            <w:sz w:val="24"/>
          </w:rPr>
          <w:t>二十一、基金合同内容摘要</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_Toc154495311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128</w:t>
        </w:r>
        <w:r w:rsidR="004940B8" w:rsidRPr="004940B8">
          <w:rPr>
            <w:rFonts w:ascii="宋体" w:hAnsi="宋体"/>
            <w:noProof/>
            <w:sz w:val="24"/>
          </w:rPr>
          <w:fldChar w:fldCharType="end"/>
        </w:r>
      </w:hyperlink>
    </w:p>
    <w:p w14:paraId="128DBE64" w14:textId="05B2E482" w:rsidR="004940B8" w:rsidRPr="001363AD" w:rsidRDefault="00255DA1" w:rsidP="004940B8">
      <w:pPr>
        <w:pStyle w:val="11"/>
        <w:tabs>
          <w:tab w:val="right" w:leader="dot" w:pos="8550"/>
        </w:tabs>
        <w:spacing w:line="360" w:lineRule="auto"/>
        <w:rPr>
          <w:rFonts w:ascii="宋体" w:hAnsi="宋体"/>
          <w:noProof/>
          <w:sz w:val="24"/>
        </w:rPr>
      </w:pPr>
      <w:hyperlink w:anchor="_Toc154495312" w:history="1">
        <w:r w:rsidR="004940B8" w:rsidRPr="004940B8">
          <w:rPr>
            <w:rStyle w:val="af0"/>
            <w:rFonts w:ascii="宋体" w:hAnsi="宋体" w:hint="eastAsia"/>
            <w:noProof/>
            <w:sz w:val="24"/>
          </w:rPr>
          <w:t>二十二、托管协议的内容摘要</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_Toc154495312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144</w:t>
        </w:r>
        <w:r w:rsidR="004940B8" w:rsidRPr="004940B8">
          <w:rPr>
            <w:rFonts w:ascii="宋体" w:hAnsi="宋体"/>
            <w:noProof/>
            <w:sz w:val="24"/>
          </w:rPr>
          <w:fldChar w:fldCharType="end"/>
        </w:r>
      </w:hyperlink>
    </w:p>
    <w:p w14:paraId="62CDC6E3" w14:textId="742F6B01" w:rsidR="004940B8" w:rsidRPr="001363AD" w:rsidRDefault="00255DA1" w:rsidP="004940B8">
      <w:pPr>
        <w:pStyle w:val="11"/>
        <w:tabs>
          <w:tab w:val="right" w:leader="dot" w:pos="8550"/>
        </w:tabs>
        <w:spacing w:line="360" w:lineRule="auto"/>
        <w:rPr>
          <w:rFonts w:ascii="宋体" w:hAnsi="宋体"/>
          <w:noProof/>
          <w:sz w:val="24"/>
        </w:rPr>
      </w:pPr>
      <w:hyperlink w:anchor="_Toc154495313" w:history="1">
        <w:r w:rsidR="004940B8" w:rsidRPr="004940B8">
          <w:rPr>
            <w:rStyle w:val="af0"/>
            <w:rFonts w:ascii="宋体" w:hAnsi="宋体" w:hint="eastAsia"/>
            <w:noProof/>
            <w:sz w:val="24"/>
          </w:rPr>
          <w:t>二十三、对基金份额持有人的服务</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_Toc154495313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161</w:t>
        </w:r>
        <w:r w:rsidR="004940B8" w:rsidRPr="004940B8">
          <w:rPr>
            <w:rFonts w:ascii="宋体" w:hAnsi="宋体"/>
            <w:noProof/>
            <w:sz w:val="24"/>
          </w:rPr>
          <w:fldChar w:fldCharType="end"/>
        </w:r>
      </w:hyperlink>
    </w:p>
    <w:p w14:paraId="0B53D406" w14:textId="45CEB1BD" w:rsidR="004940B8" w:rsidRPr="001363AD" w:rsidRDefault="00255DA1" w:rsidP="004940B8">
      <w:pPr>
        <w:pStyle w:val="11"/>
        <w:tabs>
          <w:tab w:val="right" w:leader="dot" w:pos="8550"/>
        </w:tabs>
        <w:spacing w:line="360" w:lineRule="auto"/>
        <w:rPr>
          <w:rFonts w:ascii="宋体" w:hAnsi="宋体"/>
          <w:noProof/>
          <w:sz w:val="24"/>
        </w:rPr>
      </w:pPr>
      <w:hyperlink w:anchor="_Toc154495314" w:history="1">
        <w:r w:rsidR="004940B8" w:rsidRPr="004940B8">
          <w:rPr>
            <w:rStyle w:val="af0"/>
            <w:rFonts w:ascii="宋体" w:hAnsi="宋体" w:hint="eastAsia"/>
            <w:noProof/>
            <w:sz w:val="24"/>
          </w:rPr>
          <w:t>二十四、其他应披露事项</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_Toc154495314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163</w:t>
        </w:r>
        <w:r w:rsidR="004940B8" w:rsidRPr="004940B8">
          <w:rPr>
            <w:rFonts w:ascii="宋体" w:hAnsi="宋体"/>
            <w:noProof/>
            <w:sz w:val="24"/>
          </w:rPr>
          <w:fldChar w:fldCharType="end"/>
        </w:r>
      </w:hyperlink>
    </w:p>
    <w:p w14:paraId="29F9B0B0" w14:textId="771FC62E" w:rsidR="004940B8" w:rsidRPr="001363AD" w:rsidRDefault="00255DA1" w:rsidP="004940B8">
      <w:pPr>
        <w:pStyle w:val="11"/>
        <w:tabs>
          <w:tab w:val="right" w:leader="dot" w:pos="8550"/>
        </w:tabs>
        <w:spacing w:line="360" w:lineRule="auto"/>
        <w:rPr>
          <w:rFonts w:ascii="宋体" w:hAnsi="宋体"/>
          <w:noProof/>
          <w:sz w:val="24"/>
        </w:rPr>
      </w:pPr>
      <w:hyperlink w:anchor="_Toc154495315" w:history="1">
        <w:r w:rsidR="004940B8" w:rsidRPr="004940B8">
          <w:rPr>
            <w:rStyle w:val="af0"/>
            <w:rFonts w:ascii="宋体" w:hAnsi="宋体" w:hint="eastAsia"/>
            <w:noProof/>
            <w:sz w:val="24"/>
          </w:rPr>
          <w:t>二十五、招募说明书的存放及查阅方式</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_Toc154495315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166</w:t>
        </w:r>
        <w:r w:rsidR="004940B8" w:rsidRPr="004940B8">
          <w:rPr>
            <w:rFonts w:ascii="宋体" w:hAnsi="宋体"/>
            <w:noProof/>
            <w:sz w:val="24"/>
          </w:rPr>
          <w:fldChar w:fldCharType="end"/>
        </w:r>
      </w:hyperlink>
    </w:p>
    <w:p w14:paraId="6AFC26DA" w14:textId="2903369C" w:rsidR="004940B8" w:rsidRPr="001363AD" w:rsidRDefault="00255DA1" w:rsidP="004940B8">
      <w:pPr>
        <w:pStyle w:val="11"/>
        <w:tabs>
          <w:tab w:val="right" w:leader="dot" w:pos="8550"/>
        </w:tabs>
        <w:spacing w:line="360" w:lineRule="auto"/>
        <w:rPr>
          <w:rFonts w:ascii="宋体" w:hAnsi="宋体"/>
          <w:noProof/>
          <w:sz w:val="24"/>
        </w:rPr>
      </w:pPr>
      <w:hyperlink w:anchor="_Toc154495316" w:history="1">
        <w:r w:rsidR="004940B8" w:rsidRPr="004940B8">
          <w:rPr>
            <w:rStyle w:val="af0"/>
            <w:rFonts w:ascii="宋体" w:hAnsi="宋体" w:hint="eastAsia"/>
            <w:noProof/>
            <w:sz w:val="24"/>
          </w:rPr>
          <w:t>二十六、备查文件</w:t>
        </w:r>
        <w:r w:rsidR="004940B8" w:rsidRPr="004940B8">
          <w:rPr>
            <w:rFonts w:ascii="宋体" w:hAnsi="宋体"/>
            <w:noProof/>
            <w:sz w:val="24"/>
          </w:rPr>
          <w:tab/>
        </w:r>
        <w:r w:rsidR="004940B8" w:rsidRPr="004940B8">
          <w:rPr>
            <w:rFonts w:ascii="宋体" w:hAnsi="宋体"/>
            <w:noProof/>
            <w:sz w:val="24"/>
          </w:rPr>
          <w:fldChar w:fldCharType="begin"/>
        </w:r>
        <w:r w:rsidR="004940B8" w:rsidRPr="004940B8">
          <w:rPr>
            <w:rFonts w:ascii="宋体" w:hAnsi="宋体"/>
            <w:noProof/>
            <w:sz w:val="24"/>
          </w:rPr>
          <w:instrText xml:space="preserve"> PAGEREF _Toc154495316 \h </w:instrText>
        </w:r>
        <w:r w:rsidR="004940B8" w:rsidRPr="004940B8">
          <w:rPr>
            <w:rFonts w:ascii="宋体" w:hAnsi="宋体"/>
            <w:noProof/>
            <w:sz w:val="24"/>
          </w:rPr>
        </w:r>
        <w:r w:rsidR="004940B8" w:rsidRPr="004940B8">
          <w:rPr>
            <w:rFonts w:ascii="宋体" w:hAnsi="宋体"/>
            <w:noProof/>
            <w:sz w:val="24"/>
          </w:rPr>
          <w:fldChar w:fldCharType="separate"/>
        </w:r>
        <w:r w:rsidR="004C7D58">
          <w:rPr>
            <w:rFonts w:ascii="宋体" w:hAnsi="宋体"/>
            <w:noProof/>
            <w:sz w:val="24"/>
          </w:rPr>
          <w:t>167</w:t>
        </w:r>
        <w:r w:rsidR="004940B8" w:rsidRPr="004940B8">
          <w:rPr>
            <w:rFonts w:ascii="宋体" w:hAnsi="宋体"/>
            <w:noProof/>
            <w:sz w:val="24"/>
          </w:rPr>
          <w:fldChar w:fldCharType="end"/>
        </w:r>
      </w:hyperlink>
    </w:p>
    <w:p w14:paraId="42682376" w14:textId="02EEA93D" w:rsidR="00CB5326" w:rsidRDefault="004940B8" w:rsidP="00E46F31">
      <w:pPr>
        <w:pStyle w:val="af3"/>
        <w:snapToGrid w:val="0"/>
        <w:spacing w:after="240" w:line="360" w:lineRule="auto"/>
        <w:jc w:val="center"/>
        <w:sectPr w:rsidR="00CB5326">
          <w:pgSz w:w="11920" w:h="16840"/>
          <w:pgMar w:top="1480" w:right="1680" w:bottom="280" w:left="1680" w:header="0" w:footer="1073" w:gutter="0"/>
          <w:cols w:space="720"/>
        </w:sectPr>
      </w:pPr>
      <w:r w:rsidRPr="004940B8">
        <w:rPr>
          <w:rFonts w:ascii="宋体" w:hAnsi="宋体"/>
          <w:color w:val="000000"/>
          <w:position w:val="-4"/>
          <w:sz w:val="24"/>
          <w:szCs w:val="30"/>
        </w:rPr>
        <w:fldChar w:fldCharType="end"/>
      </w:r>
    </w:p>
    <w:p w14:paraId="30252C73" w14:textId="77777777" w:rsidR="00CB5326" w:rsidRDefault="000C1687">
      <w:pPr>
        <w:pStyle w:val="1"/>
        <w:snapToGrid w:val="0"/>
        <w:spacing w:beforeLines="0" w:before="240" w:after="240"/>
        <w:rPr>
          <w:rFonts w:ascii="宋体" w:hAnsi="宋体"/>
          <w:szCs w:val="30"/>
        </w:rPr>
      </w:pPr>
      <w:bookmarkStart w:id="4" w:name="_Toc154495291"/>
      <w:r>
        <w:rPr>
          <w:rFonts w:ascii="Times New Roman" w:hAnsi="Times New Roman"/>
          <w:sz w:val="30"/>
        </w:rPr>
        <w:lastRenderedPageBreak/>
        <w:t>一、绪言</w:t>
      </w:r>
      <w:bookmarkEnd w:id="4"/>
    </w:p>
    <w:p w14:paraId="1D2715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纯债债券型发起式证券投资基金招募说明书》（以下简称“本招募说明书”）依据《中华人民共和国证券投资基金法》、《证券投资基金运作管理办法》、《证券投资基金销售管理办法》、《公开募集证券投资基金信息披露管理办法》、《公开募集开放式证券投资基金流动性风险管理规定》（以下简称“《流动性规定》”）和其他相关法律法规的规定以及《交银施罗德纯债债券型发起式证券投资基金基金合同》（以下简称“基金合同”）编写。</w:t>
      </w:r>
    </w:p>
    <w:p w14:paraId="7F76E5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F3F5E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14:paraId="0D06EEB7"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E00907C" w14:textId="77777777" w:rsidR="00CB5326" w:rsidRDefault="000C1687">
      <w:pPr>
        <w:pStyle w:val="1"/>
        <w:snapToGrid w:val="0"/>
        <w:spacing w:beforeLines="0" w:before="240" w:after="240"/>
        <w:rPr>
          <w:rFonts w:ascii="宋体" w:hAnsi="宋体"/>
          <w:szCs w:val="30"/>
        </w:rPr>
      </w:pPr>
      <w:bookmarkStart w:id="5" w:name="_Toc154495292"/>
      <w:r>
        <w:rPr>
          <w:rFonts w:ascii="Times New Roman" w:hAnsi="Times New Roman"/>
          <w:sz w:val="30"/>
        </w:rPr>
        <w:lastRenderedPageBreak/>
        <w:t>二、释义</w:t>
      </w:r>
      <w:bookmarkEnd w:id="5"/>
    </w:p>
    <w:p w14:paraId="56B3D3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4BB6F9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1、基金或本基金：指交银施罗德纯债债券型发起式证券投资基金</w:t>
      </w:r>
    </w:p>
    <w:p w14:paraId="4583B2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6866E4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3、基金托管人或本基金托管人：指中国农业银行股份有限公司</w:t>
      </w:r>
    </w:p>
    <w:p w14:paraId="4E63A0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4、基金合同：指《交银施罗德纯债债券型发起式证券投资基金基金合同》及对该基金合同的任何有效修订和补充</w:t>
      </w:r>
    </w:p>
    <w:p w14:paraId="5F16F1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5、托管协议：指基金管理人与基金托管人就本基金签订之《交银施罗德纯债债券型发起式证券投资基金托管协议》及对该托管协议的任何有效修订和补充</w:t>
      </w:r>
    </w:p>
    <w:p w14:paraId="0E4AC6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6、招募说明书或本招募说明书：指《交银施罗德纯债债券型发起式证券投资基金招募说明书》，及其更新</w:t>
      </w:r>
    </w:p>
    <w:p w14:paraId="659F44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7、基金份额发售公告：指《交银施罗德纯债债券型发起式证券投资基金基金份额发售公告》</w:t>
      </w:r>
    </w:p>
    <w:p w14:paraId="2A0AB6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8、基金产品资料概要：指《交银施罗德纯债债券型发起式证券投资基金基金产品资料概要》及其更新</w:t>
      </w:r>
    </w:p>
    <w:p w14:paraId="780BF9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9、法律法规：指中国现行有效并公布实施的法律、行政法规、司法解释、部门规章、地方性法规、地方政府规章及其他对基金合同当事人有约束力的规范性文件及对该等法律法规不时作出的修订</w:t>
      </w:r>
    </w:p>
    <w:p w14:paraId="7E7DEE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10、《基金法》：指2003年10月28日经第十届全国人民代表大会常务委员会第五次会议通过，自2004年6月1日起实施的《中华人民共和国证券投资基金法》及颁布机关对其不时作出的修订</w:t>
      </w:r>
    </w:p>
    <w:p w14:paraId="403756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11、《销售办法》：指中国证监会2011年6月9日颁布、同年10月1日实施的《证券投资基金销售管理办法》及对其不时作出的修订</w:t>
      </w:r>
    </w:p>
    <w:p w14:paraId="260D7E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12、《信息披露办法》：指中国证监会2019年7月26日颁布、同年9月1日实施的《公开募集证券投资基金信息披露管理办法》及颁布机关对其不时做出的修订</w:t>
      </w:r>
    </w:p>
    <w:p w14:paraId="6EA805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13、《运作办法》：指中国证监会2004年6月29日颁布、同年7月1日实施的《证券投资基金运作管理办法》及对其不时作出的修订</w:t>
      </w:r>
    </w:p>
    <w:p w14:paraId="3EE2BD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w:t>
      </w:r>
      <w:r>
        <w:rPr>
          <w:rFonts w:ascii="宋体" w:hAnsi="宋体"/>
          <w:sz w:val="24"/>
        </w:rPr>
        <w:lastRenderedPageBreak/>
        <w:t>修订</w:t>
      </w:r>
    </w:p>
    <w:p w14:paraId="1B8E41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15、中国：指中华人民共和国，就本基金合同而言，不包括香港特别行政区、澳门特别行政区和台湾地区</w:t>
      </w:r>
    </w:p>
    <w:p w14:paraId="3B77B5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16、中国证监会：指中国证券监督管理委员会</w:t>
      </w:r>
    </w:p>
    <w:p w14:paraId="7A77A9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17、中国银监会：指中国银行业监督管理委员会</w:t>
      </w:r>
    </w:p>
    <w:p w14:paraId="5B9F45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18、基金合同当事人：指受基金合同约束，根据基金合同享有权利并承担义务的法律主体，包括基金管理人、基金托管人和基金份额持有人</w:t>
      </w:r>
    </w:p>
    <w:p w14:paraId="08393D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19、个人投资者：指符合法律法规规定的条件可以投资证券投资基金的自然人</w:t>
      </w:r>
    </w:p>
    <w:p w14:paraId="16E7EC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20、机构投资者：指符合法律法规规定可以投资证券投资基金的在中国境内注册登记或经政府有关部门批准设立的机构</w:t>
      </w:r>
    </w:p>
    <w:p w14:paraId="5A6896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合格境外机构投资者：指符合《合格境外机构投资者境内证券投资管理办法》及其他相关法律法规规定的条件，经中国证监会批准可投资于中国证券市场，并取得国家外汇管理局额度批准的中国境外的机构投资者</w:t>
      </w:r>
    </w:p>
    <w:p w14:paraId="79679E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22、基金投资者或投资者：指个人投资者、机构投资者、合格境外机构投资者和使用发起资金认购的投资人，以及法律法规或中国证监会允许购买证券投资基金的其他投资者</w:t>
      </w:r>
    </w:p>
    <w:p w14:paraId="172B9E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23、基金份额持有人：指依招募说明书和基金合同合法取得基金份额的基金投资者</w:t>
      </w:r>
    </w:p>
    <w:p w14:paraId="7F7AED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24、基金销售业务：指基金的宣传推介、认购、申购、赎回、转换、转托管及定期定额投资等业务</w:t>
      </w:r>
    </w:p>
    <w:p w14:paraId="29FD4B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25、销售机构：指直销机构和代销机构</w:t>
      </w:r>
    </w:p>
    <w:p w14:paraId="75469A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26、直销机构：指交银施罗德基金管理有限公司</w:t>
      </w:r>
    </w:p>
    <w:p w14:paraId="30A816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代销机构：指符合《销售办法》和中国证监会规定的其他条件，取得基金代销业务资格并与基金管理人签订了基金销售服务代理协议，代为办理基金销售业务的机构以及可通过上海证券交易所交易系统办理基金销售业务的会员单位</w:t>
      </w:r>
    </w:p>
    <w:p w14:paraId="3B72C1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会员单位：指具有开放式基金代销资格，经上海证券交易所和中国证券登记结算有限责任公司认可的、可通过上海证券交易所交易系统办理开放式基金的认购、申购、赎回和转托管等业务的上海证券交易所会员单位</w:t>
      </w:r>
    </w:p>
    <w:p w14:paraId="3C7FB9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29、基金销售网点：指直销机构的直销中心及代销机构的代销网点</w:t>
      </w:r>
    </w:p>
    <w:p w14:paraId="0AFCE3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30、注册登记业务：指基金登记、存管、过户、清算和结算业务，具体内容包</w:t>
      </w:r>
      <w:r>
        <w:rPr>
          <w:rFonts w:ascii="宋体" w:hAnsi="宋体"/>
          <w:sz w:val="24"/>
        </w:rPr>
        <w:lastRenderedPageBreak/>
        <w:t>括基金投资者基金账户的建立和管理、基金份额注册登记、基金销售业务的确认、清算和结算、代理发放红利、建立并保管基金份额持有人名册、办理非交易过户业务等</w:t>
      </w:r>
    </w:p>
    <w:p w14:paraId="22BD24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31、注册登记机构：指办理注册登记业务的机构。基金的注册登记机构为交银施罗德基金管理有限公司或接受交银施罗德基金管理有限公司委托代为办理注册登记业务的机构</w:t>
      </w:r>
    </w:p>
    <w:p w14:paraId="4D3E0A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32、基金账户：指注册登记机构为基金投资者开立的、记录其持有的、基金管理人所管理的基金份额余额及其变动情况的账户</w:t>
      </w:r>
    </w:p>
    <w:p w14:paraId="601B88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33、基金交易账户：指销售机构为基金投资者开立的、记录基金投资者通过该销售机构办理交易业务而引起的基金份额的变动及结余情况的账户</w:t>
      </w:r>
    </w:p>
    <w:p w14:paraId="1B5DB9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34、基金合同生效日：指基金募集期结束后达到法律法规规定及基金合同约定的备案条件，基金管理人聘请法定机构验资并向中国证监会办理基金备案手续完毕，并收到其书面确认的日期</w:t>
      </w:r>
    </w:p>
    <w:p w14:paraId="75A75C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35、基金合同终止日：指基金合同规定的基金合同终止事由出现后，基金财产清算完毕，清算结果报中国证监会备案并予以公告的日期</w:t>
      </w:r>
    </w:p>
    <w:p w14:paraId="309A8C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36、基金募集期限：指自基金份额发售之日起至发售结束之日止的期间，最长不得超过3个月</w:t>
      </w:r>
    </w:p>
    <w:p w14:paraId="341DF9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37、存续期：指基金合同生效至终止之间的不定期期限</w:t>
      </w:r>
    </w:p>
    <w:p w14:paraId="7D0332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38、工作日：指上海证券交易所、深圳证券交易所的正常交易日</w:t>
      </w:r>
    </w:p>
    <w:p w14:paraId="7EC022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39、日：指公历日</w:t>
      </w:r>
    </w:p>
    <w:p w14:paraId="2BF4E4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40、月：指公历月</w:t>
      </w:r>
    </w:p>
    <w:p w14:paraId="6CECBC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41、T日：指销售机构在规定时间受理基金投资者有效申购、赎回或其他基金业务申请的工作日</w:t>
      </w:r>
    </w:p>
    <w:p w14:paraId="50FD32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42、T+n日：指自T日起第n个工作日（不包含T日）</w:t>
      </w:r>
    </w:p>
    <w:p w14:paraId="1C84F6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43、开放日：指为基金投资者办理基金份额申购、赎回或其他业务的工作日</w:t>
      </w:r>
    </w:p>
    <w:p w14:paraId="33E560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44、交易时间：指开放日基金接受申购、赎回或其他交易的时间段</w:t>
      </w:r>
    </w:p>
    <w:p w14:paraId="01BFC9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45、认购：指在基金募集期间，基金投资者按基金合同和招募说明书的规定申请购买基金份额的行为</w:t>
      </w:r>
    </w:p>
    <w:p w14:paraId="3591E2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46、申购：指在基金存续期内，基金投资者按基金合同和招募说明书的规定申请购买基金份额的行为</w:t>
      </w:r>
    </w:p>
    <w:p w14:paraId="38BD5B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47、赎回：指在基金存续期内，基金份额持有人按基金合同和招募说明书规定的条件申请将基金份额兑换为现金的行为</w:t>
      </w:r>
    </w:p>
    <w:p w14:paraId="535BD8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48、场外：指不通过上海证券交易所的交易系统办理基金份额认购、申购和赎回等业务的销售机构和场所</w:t>
      </w:r>
    </w:p>
    <w:p w14:paraId="059F7F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49、场内：指通过上海证券交易所的交易系统办理基金份额认购、申购和赎回等业务的销售机构和场所</w:t>
      </w:r>
    </w:p>
    <w:p w14:paraId="52EF2B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50、注册登记系统：指中国证券登记结算有限责任公司开放式基金登记结算系统</w:t>
      </w:r>
    </w:p>
    <w:p w14:paraId="3C5793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51、证券登记结算系统：指中国证券登记结算有限责任公司上海分公司证券登记结算系统</w:t>
      </w:r>
    </w:p>
    <w:p w14:paraId="06B5B9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52、销售服务费：指从基金资产中计提的，用于本基金市场推广、销售以及基金份额持有人服务的费用</w:t>
      </w:r>
    </w:p>
    <w:p w14:paraId="048EDE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份额类别：指本基金根据认购/申购费用、赎回费用、销售服务费收取方式的不同，将基金份额分为不同的类别。在投资者认购/申购时收取前端认购/申购费用、赎回时收取赎回费用的，称为A类基金份额；在投资者认购/申购时不收取认购/申购费用、赎回时收取后端认购/申购费用和赎回费用的，称为B类基金份额；在投资者认购/申购时不收取认购/申购费用、赎回时收取赎回费用，并从本类别基金资产中计提销售服务费的，称为C类基金份额</w:t>
      </w:r>
    </w:p>
    <w:p w14:paraId="780A03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转换：指基金份额持有人按照本基金合同和基金管理人届时公告规定的条件，向基金管理人提出申请将其所持有的基金管理人管理的某一开放式基金（转出基金）的全部或部分基金份额转换为基金管理人管理的其他开放式基金（转入基金）的基金份额的行为</w:t>
      </w:r>
    </w:p>
    <w:p w14:paraId="333C1A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14:paraId="23C432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56、转托管：指基金份额持有人在本基金的不同销售机构之间实施变更所持基金份额销售机构的操作，包括系统内转托管及跨系统转托管</w:t>
      </w:r>
    </w:p>
    <w:p w14:paraId="38CE19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57、系统内转托管：指基金份额持有人将持有的基金份额在注册登记系统内不同销售机构之间或证券登记结算系统内不同会员单位之间进行转登记的行为</w:t>
      </w:r>
    </w:p>
    <w:p w14:paraId="55B7B7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58、跨系统转托管：指基金份额持有人将持有的基金份额在注册登记系统和证</w:t>
      </w:r>
      <w:r>
        <w:rPr>
          <w:rFonts w:ascii="宋体" w:hAnsi="宋体"/>
          <w:sz w:val="24"/>
        </w:rPr>
        <w:lastRenderedPageBreak/>
        <w:t>券登记结算系统间进行转登记的行为</w:t>
      </w:r>
    </w:p>
    <w:p w14:paraId="0405A6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巨额赎回：指本基金单个开放日，基金净赎回申请（赎回申请份额总数加上基金转换中转出申请份额总数后扣除申购申请份额总数及基金转换中转入申请份额总数后的余额）超过上一工作日基金总份额的10%的情形</w:t>
      </w:r>
    </w:p>
    <w:p w14:paraId="67D409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60、元：指人民币元</w:t>
      </w:r>
    </w:p>
    <w:p w14:paraId="4C70F0E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61、基金利润：指基金利息收入、投资收益、公允价值变动收益和其他收入扣除相关费用后的余额</w:t>
      </w:r>
    </w:p>
    <w:p w14:paraId="23D64A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62、基金资产总值：指基金拥有的各类有价证券、银行存款本息、基金应收申购款及其他资产的价值总和</w:t>
      </w:r>
    </w:p>
    <w:p w14:paraId="6EE570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63、基金资产净值：指基金资产总值减去基金负债后的净资产值</w:t>
      </w:r>
    </w:p>
    <w:p w14:paraId="732572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64、基金份额净值：指计算日基金资产净值除以计算日基金份额总数的数值</w:t>
      </w:r>
    </w:p>
    <w:p w14:paraId="7EB475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65、基金资产估值：指计算评估基金资产和负债的价值，以确定基金资产净值和基金份额净值的过程</w:t>
      </w:r>
    </w:p>
    <w:p w14:paraId="6BF996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14:paraId="611A54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67、指定媒介：指中国证监会指定的用以进行信息披露的全国性报刊及指定互联网网站（包括基金管理人网站、基金托管人网站、中国证监会基金电子披露网站）等媒介</w:t>
      </w:r>
    </w:p>
    <w:p w14:paraId="4A2463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业务规则》：指《交银施罗德基金管理有限公司开放式基金业务规则》，是规范基金管理人所管理的开放式证券投资基金注册登记方面的业务规则，由基金管理人和基金投资者共同遵守；此外，投资者通过场内认购、申购、赎回本基金还须遵守上海证券交易所及中国证券登记结算有限责任公司场内业务有关规则</w:t>
      </w:r>
    </w:p>
    <w:p w14:paraId="70FCE5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107BA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70、特定资产：包括：（一）无可参考的活跃市场价格且采用估值技术仍导致公允价值存在重大不确定性的资产；（二）按摊余成本计量且计提资产减值准备仍</w:t>
      </w:r>
      <w:r>
        <w:rPr>
          <w:rFonts w:ascii="宋体" w:hAnsi="宋体"/>
          <w:sz w:val="24"/>
        </w:rPr>
        <w:lastRenderedPageBreak/>
        <w:t>导致资产价值存在重大不确定性的资产；（三）其他资产价值存在重大不确定性的资产</w:t>
      </w:r>
    </w:p>
    <w:p w14:paraId="108B2E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71、不可抗力：指本基金合同当事人不能预见、不能避免且不能克服的客观事件</w:t>
      </w:r>
    </w:p>
    <w:p w14:paraId="46910C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72、发起式基金：指符合中国证监会发布的《关于增设发起式基金审核通道有关问题的通知》中相关条件而募集、运作的证券投资基金</w:t>
      </w:r>
    </w:p>
    <w:p w14:paraId="45AAC9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73、发起资金：指来源于基金管理人的公司股东的资金、公司固有资金、公司高级管理人员或基金经理（指基金管理人员工中依法具有基金经理资格者，包括但可能不限于本基金的基金经理）等人员的资金</w:t>
      </w:r>
    </w:p>
    <w:p w14:paraId="4400292F"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538BE13" w14:textId="77777777" w:rsidR="00CB5326" w:rsidRDefault="000C1687">
      <w:pPr>
        <w:pStyle w:val="1"/>
        <w:snapToGrid w:val="0"/>
        <w:spacing w:beforeLines="0" w:before="240" w:after="240"/>
        <w:rPr>
          <w:rFonts w:ascii="宋体" w:hAnsi="宋体"/>
          <w:szCs w:val="30"/>
        </w:rPr>
      </w:pPr>
      <w:bookmarkStart w:id="6" w:name="_Toc154495293"/>
      <w:r>
        <w:rPr>
          <w:rFonts w:ascii="Times New Roman" w:hAnsi="Times New Roman"/>
          <w:sz w:val="30"/>
        </w:rPr>
        <w:lastRenderedPageBreak/>
        <w:t>三、基金管理人</w:t>
      </w:r>
      <w:bookmarkEnd w:id="6"/>
    </w:p>
    <w:p w14:paraId="7CE0BC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549D7C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38CC7D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17EC40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D6BD9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0D7C97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7FDC11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38899F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12B669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7AEBB7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14:paraId="3FEBC9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53A2B9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24A1C4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CB5326" w14:paraId="284C6E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FC0C6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1C73FA0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CB5326" w14:paraId="204311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309F4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3F5AFA5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CB5326" w14:paraId="5CC020D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80FE8A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255C309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CB5326" w14:paraId="70EEDE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B89CB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3261E73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16E71B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3B27DD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7EB3EE09"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57BFDDC8"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童洁萍女士，董事，硕士。现任交通银行总行个人金融业务部副总经理。历任交通银行南京分行个人金融业务部副高级经理、江苏省分行个人金融业务部副总经</w:t>
      </w:r>
      <w:r w:rsidRPr="00155A41">
        <w:rPr>
          <w:rFonts w:ascii="宋体" w:hAnsi="宋体" w:hint="eastAsia"/>
          <w:sz w:val="24"/>
        </w:rPr>
        <w:lastRenderedPageBreak/>
        <w:t>理、总经理、玄武支行行长。</w:t>
      </w:r>
    </w:p>
    <w:p w14:paraId="76AC2E13"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王贤家先生，董事，学士。现任交银国际控股有限公司执行董事、副行政总裁、首席风险官。历任交通银行总行国际业务部外汇资金处交易员、澳门分行资金部主管、总行金融市场部债券投资部副高级经理、外汇交易部高级经理、总行风险管理部/内控案防办副总经理。</w:t>
      </w:r>
    </w:p>
    <w:p w14:paraId="467088BC"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谢卫先生，董事，总经理，博士，高级经济师。现任交银施罗德基金管理有限公司总经理、首席信息官，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63A7B9F"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6CA56F1B"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21A451AD"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37DE1EDC"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F529C8F"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7F4D1474"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2、基金管理人监事会成员</w:t>
      </w:r>
    </w:p>
    <w:p w14:paraId="4B16A5AB"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lastRenderedPageBreak/>
        <w:t>梅津芝女士，监事长，学士。高级经济师、审计师。现任交通银行工会办公室主任、企业文化部总经理。历任交通银行山西省分行个人金融业务部高级经理，交通银行山西省分行副行长，交通银行个人金融业务部副总经理、私人银行部总经理。</w:t>
      </w:r>
    </w:p>
    <w:p w14:paraId="3EDE70F4"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76A026B1"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78F93D46"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14:paraId="0CB092B4"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3、基金管理人高级管理人员</w:t>
      </w:r>
    </w:p>
    <w:p w14:paraId="6CF8C8FF"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谢卫先生，总经理。简历同上。</w:t>
      </w:r>
    </w:p>
    <w:p w14:paraId="1F43D507"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14:paraId="085020B9" w14:textId="77777777" w:rsidR="00155A41" w:rsidRPr="00155A41" w:rsidRDefault="00155A41" w:rsidP="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108EA9F4" w14:textId="77777777" w:rsidR="00155A41" w:rsidRDefault="00155A41">
      <w:pPr>
        <w:autoSpaceDE w:val="0"/>
        <w:autoSpaceDN w:val="0"/>
        <w:adjustRightInd w:val="0"/>
        <w:snapToGrid w:val="0"/>
        <w:spacing w:line="360" w:lineRule="auto"/>
        <w:ind w:firstLineChars="200" w:firstLine="480"/>
        <w:jc w:val="left"/>
        <w:rPr>
          <w:rFonts w:ascii="宋体" w:hAnsi="宋体"/>
          <w:sz w:val="24"/>
        </w:rPr>
      </w:pPr>
      <w:r w:rsidRPr="00155A41">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7B04AC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7D6C5765" w14:textId="2EDB1ACB" w:rsidR="00CB5326" w:rsidRPr="00E46F31" w:rsidRDefault="000C1687" w:rsidP="003D6EF4">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于海颖女士:基金经理。天津大学数量经济学硕士、经济学学士，1</w:t>
      </w:r>
      <w:r w:rsidR="00486FDF">
        <w:rPr>
          <w:rFonts w:ascii="宋体" w:hAnsi="宋体"/>
          <w:sz w:val="24"/>
        </w:rPr>
        <w:t>8</w:t>
      </w:r>
      <w:r>
        <w:rPr>
          <w:rFonts w:ascii="宋体" w:hAnsi="宋体"/>
          <w:sz w:val="24"/>
        </w:rPr>
        <w:t>年证券投资行业从业经验。2004年至2006年任北方国际信托投资股份有限公司固定收益研究</w:t>
      </w:r>
      <w:r>
        <w:rPr>
          <w:rFonts w:ascii="宋体" w:hAnsi="宋体"/>
          <w:sz w:val="24"/>
        </w:rPr>
        <w:lastRenderedPageBreak/>
        <w:t>员，2006年至2010年任光大保德信基金管理有限公司交易员、基金经理助理、基金经理，2010年至2014年任银华基金管理有限公司基金经理，2014年至2016年任五矿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任固定收益（公募）投资总监、基金经理。曾任交银施罗德丰盈收益债券型证券投资基金(2016年12月29日至2020年08月21日)、交银施罗德强化回报债券型证券投资基金(2017年06月10日至2019年03月14日)、交银施罗德增强收益债券型证券投资基金(2017年06月10日至2019年03月15日)、交银施罗德荣鑫灵活配置混合型证券投资基金(2017年06月10日至2019年03月15日)、交银施罗德稳固收益债券型证券投资基金(2017年06月10日至2019年03月15日)、交银施罗德增利债券证券投资基金(2017年06月10日至2020年08月21日)、交银施罗德定期支付月月丰债券型证券投资基金(2017年06月10日至2019年03月14日)、交银施罗德增利增强债券型证券投资基金(2017年06月10日至2019年03月15日)、交银施罗德裕如纯债债券型证券投资基金(2018年05月25日至2021年01月15日)</w:t>
      </w:r>
      <w:r w:rsidR="001F5F92" w:rsidRPr="001F5F92">
        <w:rPr>
          <w:rFonts w:ascii="宋体" w:hAnsi="宋体"/>
          <w:sz w:val="24"/>
        </w:rPr>
        <w:t xml:space="preserve"> </w:t>
      </w:r>
      <w:r w:rsidR="001F5F92">
        <w:rPr>
          <w:rFonts w:ascii="宋体" w:hAnsi="宋体"/>
          <w:sz w:val="24"/>
        </w:rPr>
        <w:t>、交银施罗德裕泰两年定期开放债券型证券投资基金(2019年12月10日至2024年</w:t>
      </w:r>
      <w:r w:rsidR="001F5F92">
        <w:rPr>
          <w:rFonts w:ascii="宋体" w:hAnsi="宋体" w:hint="eastAsia"/>
          <w:sz w:val="24"/>
        </w:rPr>
        <w:t>4</w:t>
      </w:r>
      <w:r w:rsidR="001F5F92">
        <w:rPr>
          <w:rFonts w:ascii="宋体" w:hAnsi="宋体"/>
          <w:sz w:val="24"/>
        </w:rPr>
        <w:t>月11日)</w:t>
      </w:r>
      <w:r>
        <w:rPr>
          <w:rFonts w:ascii="宋体" w:hAnsi="宋体"/>
          <w:sz w:val="24"/>
        </w:rPr>
        <w:t>的基金经理。现任交银施罗德纯债债券型发起式证券投资基金(2017年06月10日至今)、交银施罗德丰晟收益债券型证券投资基金(2018年05月23日至今)、交银施罗德裕坤纯债一年定期开放债券型发起式证券投资基金(2019年12月26日至今)、交银施罗德鸿光一年持有期混合型证券投资基金(2021年03月08日至今)、交银施罗德鸿福六个月持有期混合型证券投资基金(2021年03月30日至今)、交银施罗德鸿信一年持有期混合型证券投资基金(2021年08月06日至今)、交银施罗德鸿泰一年持有期混合型证券投资基金(2021年11月24日至今)、交银施罗德裕盈纯债债券型证券投资基金(2022年11月12日至今)、交银施</w:t>
      </w:r>
      <w:r>
        <w:rPr>
          <w:rFonts w:ascii="宋体" w:hAnsi="宋体"/>
          <w:sz w:val="24"/>
        </w:rPr>
        <w:lastRenderedPageBreak/>
        <w:t>罗德裕如纯债债券型证券投资基金(2023年09月07日至今)</w:t>
      </w:r>
      <w:r w:rsidR="003D6EF4" w:rsidRPr="003D6EF4">
        <w:rPr>
          <w:rFonts w:hint="eastAsia"/>
        </w:rPr>
        <w:t xml:space="preserve"> </w:t>
      </w:r>
      <w:r w:rsidR="003D6EF4" w:rsidRPr="003D6EF4">
        <w:rPr>
          <w:rFonts w:ascii="宋体" w:hAnsi="宋体" w:hint="eastAsia"/>
          <w:sz w:val="24"/>
        </w:rPr>
        <w:t>、交银施罗德裕道纯债一年定期开放债券型发起式证券投资基金(2024年03月29日至今)</w:t>
      </w:r>
      <w:r>
        <w:rPr>
          <w:rFonts w:ascii="宋体" w:hAnsi="宋体"/>
          <w:sz w:val="24"/>
        </w:rPr>
        <w:t>的基金经理。</w:t>
      </w:r>
    </w:p>
    <w:p w14:paraId="4061AB9D" w14:textId="5A3DF6BA" w:rsidR="00CB5326" w:rsidRDefault="000C1687">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魏玉敏女士:基金经理。厦门大学金融学硕士、学士，</w:t>
      </w:r>
      <w:r w:rsidR="00486FDF">
        <w:rPr>
          <w:rFonts w:ascii="宋体" w:hAnsi="宋体"/>
          <w:sz w:val="24"/>
        </w:rPr>
        <w:t>12</w:t>
      </w:r>
      <w:r>
        <w:rPr>
          <w:rFonts w:ascii="宋体" w:hAnsi="宋体"/>
          <w:sz w:val="24"/>
        </w:rPr>
        <w:t>年证券投资行业从业经验。2012年至2013年任招商证券固定收益研究员，2013年至2016年任国信证券固定收益高级分析师。2016年加入交银施罗德基金管理有限公司，现任固定收益部基金经理。曾任交银施罗德丰晟收益债券型证券投资基金(2018年08月29日至2020年10月16日)、交银施罗德裕如纯债债券型证券投资基金(2018年08月29日至2023年09月11日)、交银施罗德丰润收益债券型证券投资基金(2018年11月02日至2021年12月16日)、交银施罗德中债1-3年农发行债券指数证券投资基金(2019年01月23日至2021年12月16日)的基金经理。现任交银施罗德增利债券证券投资基金(2018年08月29日至今)、交银施罗德纯债债券型发起式证券投资基金(2018年08月29日至今)、交银施罗德增利增强债券型证券投资基金(2018年11月02日至今)、交银施罗德可转债债券型证券投资基金(2019年07月11日至今)、交银施罗德裕泰两年定期开放债券型证券投资基金(2019年12月10日至今)、交银施罗德鑫选回报混合型证券投资基金(2021年04月29日至今)、交银施罗德安心收益债券型证券投资基金(2022年01月27日至今)、交银施罗德双利债券证券投资基金(2022年08月18日至今)、交银施罗德强化回报债券型证券投资基金(2023年04月15日至今)的基金经理。</w:t>
      </w:r>
    </w:p>
    <w:p w14:paraId="7E016B7D" w14:textId="77777777" w:rsidR="000558D7" w:rsidRDefault="000558D7" w:rsidP="000558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1785A93A" w14:textId="77777777" w:rsidR="000558D7" w:rsidRDefault="000558D7" w:rsidP="000558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胡军华女士(2012年12月19日至2014年03月30日)；</w:t>
      </w:r>
    </w:p>
    <w:p w14:paraId="7DB9D1A3" w14:textId="77777777" w:rsidR="000558D7" w:rsidRDefault="000558D7" w:rsidP="000558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林洪钧先生(2014年03月31日至2015年05月31日)；</w:t>
      </w:r>
    </w:p>
    <w:p w14:paraId="5CAC4390" w14:textId="77777777" w:rsidR="000558D7" w:rsidRDefault="000558D7" w:rsidP="000558D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孙超先生(2015年05月09日至2017年06月21日)。</w:t>
      </w:r>
    </w:p>
    <w:p w14:paraId="57A8D4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02DF20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4500DD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14:paraId="4D4335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14:paraId="26784D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14:paraId="703BDB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43681461" w14:textId="3A6F1632"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上述人员之间不存在近亲属关系，上述各项人员信息更新截止日为202</w:t>
      </w:r>
      <w:r w:rsidR="00120997">
        <w:rPr>
          <w:rFonts w:ascii="宋体" w:hAnsi="宋体"/>
          <w:sz w:val="24"/>
        </w:rPr>
        <w:t>4</w:t>
      </w:r>
      <w:r>
        <w:rPr>
          <w:rFonts w:ascii="宋体" w:hAnsi="宋体"/>
          <w:sz w:val="24"/>
        </w:rPr>
        <w:t>年</w:t>
      </w:r>
      <w:r w:rsidR="00DA5B1C">
        <w:rPr>
          <w:rFonts w:ascii="宋体" w:hAnsi="宋体" w:hint="eastAsia"/>
          <w:sz w:val="24"/>
        </w:rPr>
        <w:t>5</w:t>
      </w:r>
      <w:r>
        <w:rPr>
          <w:rFonts w:ascii="宋体" w:hAnsi="宋体"/>
          <w:sz w:val="24"/>
        </w:rPr>
        <w:t>月</w:t>
      </w:r>
      <w:r w:rsidR="00DA5B1C">
        <w:rPr>
          <w:rFonts w:ascii="宋体" w:hAnsi="宋体"/>
          <w:sz w:val="24"/>
        </w:rPr>
        <w:t>2</w:t>
      </w:r>
      <w:r w:rsidR="000B5516">
        <w:rPr>
          <w:rFonts w:ascii="宋体" w:hAnsi="宋体"/>
          <w:sz w:val="24"/>
        </w:rPr>
        <w:t>1</w:t>
      </w:r>
      <w:r>
        <w:rPr>
          <w:rFonts w:ascii="宋体" w:hAnsi="宋体"/>
          <w:sz w:val="24"/>
        </w:rPr>
        <w:t>日，期后变动（如有）敬请关注基金管理人发布的相关公告。</w:t>
      </w:r>
    </w:p>
    <w:p w14:paraId="0AE2A9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348C77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1、依法募集基金，办理或者委托经中国证监会认定的其他机构代为办理基金份额的发售、申购、赎回和登记事宜；</w:t>
      </w:r>
    </w:p>
    <w:p w14:paraId="0BDCBC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2E2825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5532AD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14:paraId="1443AF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03B19E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500CAB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111F71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7E5358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14:paraId="5E7CEE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79CC5F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307759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6DA24A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061DA8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14:paraId="3AC47F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1F657C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136185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1F533C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575372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375EA4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（5）依照法律法规有关规定，由中国证监会规定禁止的其他行为。</w:t>
      </w:r>
    </w:p>
    <w:p w14:paraId="44CF1B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585D684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1275CF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4CB374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（五）基金经理承诺</w:t>
      </w:r>
    </w:p>
    <w:p w14:paraId="1B9596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54CCA9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14:paraId="4A7CD5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14:paraId="32268B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0BB182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33DF06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0E0C25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02F8E9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222012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437773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588471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6BF262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4CB50E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5906FB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7BE30DA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0900D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41515A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690BC1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03004DB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3DB183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5DFC63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36806E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7809B2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2722D4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7E4A32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7F7AB9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2221D7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0756BC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2593CF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3291A1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7F7B8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14:paraId="1562F1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0FE799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42F277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6AE6C0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316F25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0FFD83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公司建立、健全了内控体系，通过高管人员关于内控的明确分工，确保各项业务活动有恰当的组织和授权，确保监察活动独立，并得到高管人员的支持，同时置备操作手册，并定期更新。</w:t>
      </w:r>
    </w:p>
    <w:p w14:paraId="0BB8F7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520CFB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57143A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3E0352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208FFD0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4EEB97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3F291A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26E8CA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4BAB96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10C1A4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6FCCC6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1DEA05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35EEAAE6"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01F1053" w14:textId="77777777" w:rsidR="00CB5326" w:rsidRDefault="000C1687">
      <w:pPr>
        <w:pStyle w:val="1"/>
        <w:snapToGrid w:val="0"/>
        <w:spacing w:beforeLines="0" w:before="240" w:after="240"/>
        <w:rPr>
          <w:rFonts w:ascii="宋体" w:hAnsi="宋体"/>
          <w:szCs w:val="30"/>
        </w:rPr>
      </w:pPr>
      <w:bookmarkStart w:id="7" w:name="_Toc154495294"/>
      <w:r>
        <w:rPr>
          <w:rFonts w:ascii="Times New Roman" w:hAnsi="Times New Roman"/>
          <w:sz w:val="30"/>
        </w:rPr>
        <w:lastRenderedPageBreak/>
        <w:t>四、基金托管人</w:t>
      </w:r>
      <w:bookmarkEnd w:id="7"/>
    </w:p>
    <w:p w14:paraId="62C200AA"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14:paraId="47A062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6EF5AC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14:paraId="61DE49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27A45E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67C9F6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14:paraId="4A0311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14:paraId="72C801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14:paraId="7DF3B4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14:paraId="095662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14:paraId="521CEA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3A5155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5D4751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141EB9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14:paraId="79B8A9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3C41DF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2022年在权威杂志《财资》年度评选中首次荣获“中国最佳保险托管银行”。</w:t>
      </w:r>
    </w:p>
    <w:p w14:paraId="461512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风险合规部/综合管理部、业务管理部、客户一部、客户二部、客户三部、客户四部、系统与信息管理部、营运管理部、营运一部、营运二部，拥有先进的安全防范设施和基金托管业务系统。</w:t>
      </w:r>
    </w:p>
    <w:p w14:paraId="317E98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14:paraId="60B37D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283名，其中具有高级职称的专家60名，服务团队成员专业水平高、业务素质好、服务能力强，高级管理层均有20年以上金融从业经验和高级技术职称，精通国内外证券市场的运作。</w:t>
      </w:r>
    </w:p>
    <w:p w14:paraId="60F415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14:paraId="0EF4D4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截止到2023年9月30日，中国农业银行托管的封闭式证券投资基金和开放式证券投资基金共831只。</w:t>
      </w:r>
    </w:p>
    <w:p w14:paraId="619878AF"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14:paraId="315AB8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0062FC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0845E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2、内部控制组织结构</w:t>
      </w:r>
    </w:p>
    <w:p w14:paraId="2119E7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79E456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14:paraId="47E3DF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BEFEB7C"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14:paraId="0E29A2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E51B9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14:paraId="505020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14:paraId="2CEFD4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14:paraId="07A64E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14:paraId="120F7725"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65A7A4A" w14:textId="77777777" w:rsidR="00CB5326" w:rsidRDefault="000C1687">
      <w:pPr>
        <w:pStyle w:val="1"/>
        <w:snapToGrid w:val="0"/>
        <w:spacing w:beforeLines="0" w:before="240" w:after="240"/>
        <w:rPr>
          <w:rFonts w:ascii="宋体" w:hAnsi="宋体"/>
          <w:szCs w:val="30"/>
        </w:rPr>
      </w:pPr>
      <w:bookmarkStart w:id="8" w:name="_Toc154495295"/>
      <w:r>
        <w:rPr>
          <w:rFonts w:ascii="Times New Roman" w:hAnsi="Times New Roman"/>
          <w:sz w:val="30"/>
        </w:rPr>
        <w:lastRenderedPageBreak/>
        <w:t>五、相关服务机构</w:t>
      </w:r>
      <w:bookmarkEnd w:id="8"/>
    </w:p>
    <w:p w14:paraId="08125D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4395D6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6662A6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14:paraId="718A03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56AD06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46D778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533056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0067F6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2F630F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065F00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591E4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901F8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6B9C14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DCFEB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14:paraId="0C99FC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14:paraId="0A7960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2、场内代销机构</w:t>
      </w:r>
    </w:p>
    <w:p w14:paraId="6D89DE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具有基金代销资格的上海证券交易所场内会员单位。（具体名单见基金份额发售公告）。</w:t>
      </w:r>
    </w:p>
    <w:p w14:paraId="5D19E3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3、场外代销机构</w:t>
      </w:r>
    </w:p>
    <w:p w14:paraId="453CB3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14:paraId="44ADF7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14:paraId="60FAEF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14:paraId="15B11A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14:paraId="4654EE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14:paraId="434FF1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14:paraId="6CDDC1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14:paraId="12553B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网址：www.ccb.com</w:t>
      </w:r>
    </w:p>
    <w:p w14:paraId="6AD086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（2）名称：杭州银行股份有限公司</w:t>
      </w:r>
    </w:p>
    <w:p w14:paraId="5CC04B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14:paraId="580FB9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14:paraId="6E5A0A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14:paraId="0F54D1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14:paraId="4405EB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14:paraId="32278F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14:paraId="32BD9A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客户服务电话:96523</w:t>
      </w:r>
    </w:p>
    <w:p w14:paraId="2EE10F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14:paraId="0B2E40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（3）名称：中国农业银行股份有限公司</w:t>
      </w:r>
    </w:p>
    <w:p w14:paraId="086E9E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16BF14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3B91D3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14:paraId="645ACA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14:paraId="0A27D6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14:paraId="3550E5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14:paraId="7B7F49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14:paraId="5D4087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14:paraId="0F9B6E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（4）名称：东莞农村商业银行股份有限公司</w:t>
      </w:r>
    </w:p>
    <w:p w14:paraId="58E365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14:paraId="26B11E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14:paraId="73E9EA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14:paraId="6FD46B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14:paraId="433409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14:paraId="3E4BB7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14:paraId="79BFEE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14:paraId="533ECE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14:paraId="2B903E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（5）名称：中信银行股份有限公司</w:t>
      </w:r>
    </w:p>
    <w:p w14:paraId="57CBDE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14:paraId="431530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办公地址：北京市东城区朝阳门北大街9号</w:t>
      </w:r>
    </w:p>
    <w:p w14:paraId="1EE0D53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14:paraId="326144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14:paraId="588702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14:paraId="4E7FE2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14:paraId="1B2C8E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14:paraId="17605E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14:paraId="670FDD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（6）名称：招商银行股份有限公司</w:t>
      </w:r>
    </w:p>
    <w:p w14:paraId="66AA18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14:paraId="26717F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14:paraId="6B3FF3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0F695E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14:paraId="58587B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14:paraId="559239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14:paraId="65A719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14:paraId="5696CE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14:paraId="7280DC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（7）名称：交通银行股份有限公司</w:t>
      </w:r>
    </w:p>
    <w:p w14:paraId="54871D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14:paraId="5E8EAF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14:paraId="22EC57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14:paraId="5FF76C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14:paraId="31FC20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14:paraId="306B57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14:paraId="210EA4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14:paraId="49D4D4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14:paraId="04EE69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（8）名称：江苏常熟农村商业银行股份有限公司</w:t>
      </w:r>
    </w:p>
    <w:p w14:paraId="4959D4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14:paraId="1647FE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14:paraId="62EDC5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14:paraId="56CA4D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14:paraId="29FA9D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传真：（0512）52909122</w:t>
      </w:r>
    </w:p>
    <w:p w14:paraId="0E80BB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14:paraId="7BB0ED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14:paraId="4D84EB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14:paraId="7F4CF8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（9）名称：江苏江南农村商业银行股份有限公司</w:t>
      </w:r>
    </w:p>
    <w:p w14:paraId="46F791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住所：江苏省常州市和平中路413号</w:t>
      </w:r>
    </w:p>
    <w:p w14:paraId="228601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14:paraId="09EC36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14:paraId="4601CB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14:paraId="4DE1FF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14:paraId="7212BA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14:paraId="53849A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14:paraId="211C0E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14:paraId="4C76BF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（10）名称：上海浦东发展银行股份有限公司</w:t>
      </w:r>
    </w:p>
    <w:p w14:paraId="02AE72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住所：上海市中山东一路12 号</w:t>
      </w:r>
    </w:p>
    <w:p w14:paraId="797795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办公地址：上海市中山东一路12 号</w:t>
      </w:r>
    </w:p>
    <w:p w14:paraId="7BBC31B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法定代表人：郑杨</w:t>
      </w:r>
    </w:p>
    <w:p w14:paraId="7DCD58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电话：（021）61618888</w:t>
      </w:r>
    </w:p>
    <w:p w14:paraId="49CF11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传真：（021）61618888</w:t>
      </w:r>
    </w:p>
    <w:p w14:paraId="27CC23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联系人：朱瑛</w:t>
      </w:r>
    </w:p>
    <w:p w14:paraId="5D7946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客户服务电话：95528</w:t>
      </w:r>
    </w:p>
    <w:p w14:paraId="108DA8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网址：www.spdb.com.cn</w:t>
      </w:r>
    </w:p>
    <w:p w14:paraId="259603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（11）名称：平安银行股份有限公司</w:t>
      </w:r>
    </w:p>
    <w:p w14:paraId="0707C4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14:paraId="4FFE04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14:paraId="5EF81E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法定代表人：谢永林</w:t>
      </w:r>
    </w:p>
    <w:p w14:paraId="6FAD1E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14:paraId="5F7E60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14:paraId="0E4571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14:paraId="1919DE3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14:paraId="106F96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网址：bank.pingan.com</w:t>
      </w:r>
    </w:p>
    <w:p w14:paraId="23EDFC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（12）名称：中国民生银行股份有限公司</w:t>
      </w:r>
    </w:p>
    <w:p w14:paraId="7C0DDC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14:paraId="3AD30B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14:paraId="4D5DC44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14:paraId="213FBD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14:paraId="2562F0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14:paraId="5FAF0B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14:paraId="594F54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95568</w:t>
      </w:r>
    </w:p>
    <w:p w14:paraId="5375A3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14:paraId="62FEF9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（13）名称：宁波银行股份有限公司</w:t>
      </w:r>
    </w:p>
    <w:p w14:paraId="6ABF5A3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14:paraId="49F5D8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14:paraId="77727C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14:paraId="7E19724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14:paraId="314198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14:paraId="3C7ECC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14:paraId="677544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14:paraId="18D645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（14）名称：上海银行股份有限公司</w:t>
      </w:r>
    </w:p>
    <w:p w14:paraId="6F26D3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14:paraId="3F96B2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14:paraId="134466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14:paraId="422223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电话：（021）68475888</w:t>
      </w:r>
    </w:p>
    <w:p w14:paraId="32A882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14:paraId="0590C5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14:paraId="1E00DD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14:paraId="22433E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14:paraId="08AEA8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（15）名称：中国邮政储蓄银行股份有限公司</w:t>
      </w:r>
    </w:p>
    <w:p w14:paraId="2F7E0F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住所：北京市西城区金融大街3号</w:t>
      </w:r>
    </w:p>
    <w:p w14:paraId="1228ED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办公地址：北京市西城区金融大街3号</w:t>
      </w:r>
    </w:p>
    <w:p w14:paraId="473957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法定代表人：李国华</w:t>
      </w:r>
    </w:p>
    <w:p w14:paraId="7DCE6B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传真：（010）68858117</w:t>
      </w:r>
    </w:p>
    <w:p w14:paraId="72FB90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联系人：陈春林</w:t>
      </w:r>
    </w:p>
    <w:p w14:paraId="37E2A9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客户服务电话：95580</w:t>
      </w:r>
    </w:p>
    <w:p w14:paraId="0D9D00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网址：www.psbc.com</w:t>
      </w:r>
    </w:p>
    <w:p w14:paraId="5B2612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（16）名称：光大证券股份有限公司</w:t>
      </w:r>
    </w:p>
    <w:p w14:paraId="5EA3FF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14:paraId="54803B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14:paraId="56870A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15B334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14:paraId="16E180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14:paraId="6413AE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14:paraId="622292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14:paraId="634F81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14:paraId="7C2F7B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（17）名称：中国中金财富证券有限公司</w:t>
      </w:r>
    </w:p>
    <w:p w14:paraId="449B34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14:paraId="113673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14:paraId="70F595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14:paraId="1878F9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14:paraId="7402EB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联系人：胡芷境</w:t>
      </w:r>
    </w:p>
    <w:p w14:paraId="2F1B20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14:paraId="3EC75D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14:paraId="0157F4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（18）名称：国投证券股份有限公司</w:t>
      </w:r>
    </w:p>
    <w:p w14:paraId="264A59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住所：深圳市福田区福田街道福华一路119号安信金融大厦</w:t>
      </w:r>
    </w:p>
    <w:p w14:paraId="0D4D60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办公地址：深圳市福田区福田街道福华一路119号安信金融大厦</w:t>
      </w:r>
    </w:p>
    <w:p w14:paraId="6C8006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法定代表人：段文务</w:t>
      </w:r>
    </w:p>
    <w:p w14:paraId="0687D7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电话：（0755）81688000</w:t>
      </w:r>
    </w:p>
    <w:p w14:paraId="246BD8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14:paraId="586D0A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14:paraId="6A27A9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客户服务电话：95517</w:t>
      </w:r>
    </w:p>
    <w:p w14:paraId="0EA835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网址：http://www.essence.com.cn/</w:t>
      </w:r>
    </w:p>
    <w:p w14:paraId="662571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（19）名称：国信证券股份有限公司</w:t>
      </w:r>
    </w:p>
    <w:p w14:paraId="458264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14:paraId="365A1F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14:paraId="3A8188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法定代表人：张纳沙</w:t>
      </w:r>
    </w:p>
    <w:p w14:paraId="165ACE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14:paraId="34AA50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14:paraId="04DDF1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联系人：于智勇</w:t>
      </w:r>
    </w:p>
    <w:p w14:paraId="517DD0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14:paraId="62B6FE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14:paraId="2157EE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（20）名称：华泰证券股份有限公司</w:t>
      </w:r>
    </w:p>
    <w:p w14:paraId="457133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住所：江苏省南京市江东中路228号</w:t>
      </w:r>
    </w:p>
    <w:p w14:paraId="22D62B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14:paraId="0D6238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14:paraId="0C1DFA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14:paraId="751A8B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14:paraId="165E76F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14:paraId="4107B1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14:paraId="5F2AF9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14:paraId="0EB355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（21）名称：兴业证券股份有限公司</w:t>
      </w:r>
    </w:p>
    <w:p w14:paraId="10F28E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14:paraId="445299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14:paraId="2FCC10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14:paraId="4299F4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14:paraId="273732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14:paraId="0B8C34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14:paraId="1CB872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14:paraId="6B0633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（22）名称：海通证券股份有限公司</w:t>
      </w:r>
    </w:p>
    <w:p w14:paraId="680086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14:paraId="7725144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办公地址：上海市广东路689号</w:t>
      </w:r>
    </w:p>
    <w:p w14:paraId="648774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14:paraId="3B99DA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14:paraId="1855F4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14:paraId="34A047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14:paraId="03EBE1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14:paraId="0B28FB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14:paraId="3E49B8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（23）名称：华宝证券股份有限公司</w:t>
      </w:r>
    </w:p>
    <w:p w14:paraId="2D3A2F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14:paraId="2C497E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14:paraId="1A8229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14:paraId="0E6EB5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14:paraId="484691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14:paraId="564BA8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14:paraId="2F9EE4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14:paraId="7D9EAC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网址：www.cnhbstock.com</w:t>
      </w:r>
    </w:p>
    <w:p w14:paraId="4B4D4B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（24）名称：爱建证券有限责任公司</w:t>
      </w:r>
    </w:p>
    <w:p w14:paraId="6F4AB8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14:paraId="208659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14:paraId="5D32AD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14:paraId="7C30703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14:paraId="694ED6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14:paraId="108C01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14:paraId="66283B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14:paraId="307ED9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14:paraId="0D66A6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（25）名称：招商证券股份有限公司</w:t>
      </w:r>
    </w:p>
    <w:p w14:paraId="361D89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14:paraId="26371C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办公地址：深圳市福田区益田路江苏大厦A座38-45层</w:t>
      </w:r>
    </w:p>
    <w:p w14:paraId="2B5B4F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14:paraId="691465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14:paraId="4E911A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传真：（0755）82943636</w:t>
      </w:r>
    </w:p>
    <w:p w14:paraId="2FA4E6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14:paraId="6430FC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14:paraId="464C87F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14:paraId="0109E9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（26）名称：国泰君安证券股份有限公司</w:t>
      </w:r>
    </w:p>
    <w:p w14:paraId="74527F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14:paraId="1BE3B6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14:paraId="09DC79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14:paraId="6A3013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14:paraId="51690A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14:paraId="45BD7F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14:paraId="11D99B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14:paraId="643BA9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14:paraId="5FDA92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（27）名称：信达证券股份有限公司</w:t>
      </w:r>
    </w:p>
    <w:p w14:paraId="5F3582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14:paraId="22EA4F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14:paraId="11F2D4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14:paraId="2BDCD9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14:paraId="528B65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14:paraId="48BA34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14:paraId="2A85CA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14:paraId="69A8A9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14:paraId="067F9A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（28）名称：国金证券股份有限公司</w:t>
      </w:r>
    </w:p>
    <w:p w14:paraId="68455FB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14:paraId="48754F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14:paraId="577FD2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14:paraId="5DB5D3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14:paraId="2387C1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14:paraId="2A0840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14:paraId="19A960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14:paraId="11F216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网址：www.gjzq.com.cn</w:t>
      </w:r>
    </w:p>
    <w:p w14:paraId="0F58B0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（29）名称：长城证券有限责任公司</w:t>
      </w:r>
    </w:p>
    <w:p w14:paraId="5888AF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14:paraId="0EB2FA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14:paraId="03326A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14:paraId="402C984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14:paraId="09DAA5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14:paraId="24016C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14:paraId="65B9A5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14:paraId="1E07B7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（30）名称：中国国际金融股份有限公司</w:t>
      </w:r>
    </w:p>
    <w:p w14:paraId="2922B6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14:paraId="33BC1D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14:paraId="52CE3F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14:paraId="4D6792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14:paraId="197D78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14:paraId="7D96DC9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14:paraId="1F99A1E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14:paraId="63E466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（31）名称：中泰证券股份有限公司</w:t>
      </w:r>
    </w:p>
    <w:p w14:paraId="4C333E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14:paraId="64E3372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14:paraId="7BC7B1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14:paraId="36FA0F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14:paraId="3227EC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14:paraId="40ADC9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14:paraId="660FC5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14:paraId="06175F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14:paraId="49AAAE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（32）名称：平安证券股份有限公司</w:t>
      </w:r>
    </w:p>
    <w:p w14:paraId="33F6CD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14:paraId="1E3B90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14:paraId="6E13FD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14:paraId="0FF1F3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电话：（0755）22627802</w:t>
      </w:r>
    </w:p>
    <w:p w14:paraId="50246A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14:paraId="200A2F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14:paraId="41DA2F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14:paraId="6A6616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14:paraId="698BC9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（33）名称：申万宏源证券有限公司</w:t>
      </w:r>
    </w:p>
    <w:p w14:paraId="32B021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14:paraId="2A02FB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14:paraId="4F7383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14:paraId="1D8B5A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14:paraId="060D28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14:paraId="41CB73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客户服务电话：95523或4008895523</w:t>
      </w:r>
    </w:p>
    <w:p w14:paraId="351B13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14:paraId="6AC038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（34）名称：中国银河证券股份有限公司</w:t>
      </w:r>
    </w:p>
    <w:p w14:paraId="6B56BE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14:paraId="79C468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14:paraId="7EDEA1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14:paraId="3DE5B8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14:paraId="30E90D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14:paraId="77BE4B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14:paraId="5A6D4E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14:paraId="2E5F17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（35）名称：中信证券股份有限公司</w:t>
      </w:r>
    </w:p>
    <w:p w14:paraId="1124FD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14:paraId="5319C4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14:paraId="1E969C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14:paraId="13112C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14:paraId="14EF1E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14:paraId="346040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14:paraId="6B9255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（36）名称：方正证券股份有限公司</w:t>
      </w:r>
    </w:p>
    <w:p w14:paraId="67D6AE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14:paraId="31F3C3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办公地址：湖南长沙芙蓉中路二段华侨国际大厦22-24层</w:t>
      </w:r>
    </w:p>
    <w:p w14:paraId="6F9EC7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14:paraId="396320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14:paraId="2AEDDD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14:paraId="024B8B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14:paraId="273939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14:paraId="596ED0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14:paraId="0B4DF5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（37）名称：中航证券有限公司</w:t>
      </w:r>
    </w:p>
    <w:p w14:paraId="48DCDB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14:paraId="5BE33F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14:paraId="37F5D3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14:paraId="6CC274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14:paraId="7B0345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14:paraId="479F56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14:paraId="46B96F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客户服务电话：400-8895-335</w:t>
      </w:r>
    </w:p>
    <w:p w14:paraId="530431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14:paraId="62F621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（38）名称：中信建投证券股份有限公司</w:t>
      </w:r>
    </w:p>
    <w:p w14:paraId="177FF5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14:paraId="22FC49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14:paraId="43A97D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14:paraId="58369F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14:paraId="42A2DA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14:paraId="7CA0C8C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14:paraId="3F4358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14:paraId="15AEC6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14:paraId="6CF3F0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（39）名称：国都证券股份有限公司</w:t>
      </w:r>
    </w:p>
    <w:p w14:paraId="656D8C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14:paraId="36B8FE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14:paraId="71F6A1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14:paraId="1DA412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14:paraId="3A7516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网址：www.guodu.com</w:t>
      </w:r>
    </w:p>
    <w:p w14:paraId="38F7D6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（40）名称：中信证券（山东）有限责任公司</w:t>
      </w:r>
    </w:p>
    <w:p w14:paraId="16F4FF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14:paraId="4FEA58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14:paraId="6C5286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14:paraId="350E73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14:paraId="065EEF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14:paraId="0328A1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14:paraId="48BD5D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14:paraId="23AE2D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14:paraId="6C249B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（41）名称：申万宏源西部证券有限公司</w:t>
      </w:r>
    </w:p>
    <w:p w14:paraId="537D35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14:paraId="057C0C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14:paraId="030614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14:paraId="1B5EEE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电话：（010）88085858</w:t>
      </w:r>
    </w:p>
    <w:p w14:paraId="23E988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14:paraId="5119DC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14:paraId="682521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14:paraId="737200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14:paraId="779AAB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（42）名称：江海证券有限公司</w:t>
      </w:r>
    </w:p>
    <w:p w14:paraId="03AECC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14:paraId="63DD11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14:paraId="32E9CC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14:paraId="4E5F2D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14:paraId="345891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14:paraId="44C06E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14:paraId="256267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14:paraId="4B2EF0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（43）名称：瑞银证券有限责任公司</w:t>
      </w:r>
    </w:p>
    <w:p w14:paraId="62C929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14:paraId="5A3CD4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14:paraId="6AC04E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法定代表人：程宜荪</w:t>
      </w:r>
    </w:p>
    <w:p w14:paraId="6E9341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14:paraId="223686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14:paraId="20C44C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14:paraId="25AEDA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14:paraId="3FFA3A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14:paraId="7DAEC1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（44）名称：渤海证券股份有限公司</w:t>
      </w:r>
    </w:p>
    <w:p w14:paraId="344090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14:paraId="2BF187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14:paraId="6BDDAF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法定代表人：安志勇</w:t>
      </w:r>
    </w:p>
    <w:p w14:paraId="32B250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电话：（022）28451991</w:t>
      </w:r>
    </w:p>
    <w:p w14:paraId="7DC4CD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14:paraId="021DC7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14:paraId="4B76C7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956066</w:t>
      </w:r>
    </w:p>
    <w:p w14:paraId="26DDDA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网址：www.ewww.com.cn</w:t>
      </w:r>
    </w:p>
    <w:p w14:paraId="28125F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（45）名称：国新证券股份有限公司</w:t>
      </w:r>
    </w:p>
    <w:p w14:paraId="63F880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14:paraId="4F54DC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14:paraId="0597E3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14:paraId="2F02C3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14:paraId="18173A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14:paraId="4E3A58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14:paraId="2F7057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客户服务电话：（010）58568118</w:t>
      </w:r>
    </w:p>
    <w:p w14:paraId="03D4DB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14:paraId="17E5B3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（46）名称：联讯证券股份有限公司</w:t>
      </w:r>
    </w:p>
    <w:p w14:paraId="621DA3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14:paraId="261B83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14:paraId="0888E7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14:paraId="072DD0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14:paraId="039990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传真：（021）33606760</w:t>
      </w:r>
    </w:p>
    <w:p w14:paraId="3538BD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14:paraId="5CDC3B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14:paraId="07E042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14:paraId="41611F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（47）名称：华西证券股份有限公司</w:t>
      </w:r>
    </w:p>
    <w:p w14:paraId="45F5B1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14:paraId="7D971A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14:paraId="28EB9F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14:paraId="723FF1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14:paraId="1A26A3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14:paraId="5756A9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14:paraId="32A0A9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14:paraId="588304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14:paraId="355886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（48）名称：东莞证券股份有限公司</w:t>
      </w:r>
    </w:p>
    <w:p w14:paraId="202E66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住所：广东省东莞市莞城区可园南路一号</w:t>
      </w:r>
    </w:p>
    <w:p w14:paraId="2F2B8E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14:paraId="351273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14:paraId="1FD615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14:paraId="730A12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14:paraId="64772F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14:paraId="4B6702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14:paraId="49D49B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（49）名称：第一创业证券股份有限公司</w:t>
      </w:r>
    </w:p>
    <w:p w14:paraId="7C5BE5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14:paraId="6C92ED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14:paraId="5BB327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14:paraId="03072C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14:paraId="45331F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14:paraId="555DDD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14:paraId="0CFF1D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14:paraId="3228EF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14:paraId="678B94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（50）名称：德邦证券有限责任公司</w:t>
      </w:r>
    </w:p>
    <w:p w14:paraId="70D858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14:paraId="36D2E8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14:paraId="542D082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法定代表人：姚文平</w:t>
      </w:r>
    </w:p>
    <w:p w14:paraId="5E9EA1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14:paraId="06AF23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14:paraId="07E18D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14:paraId="72F212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14:paraId="4BBD7F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（51）名称：中信证券华南股份有限公司</w:t>
      </w:r>
    </w:p>
    <w:p w14:paraId="3FCAEC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14:paraId="66DAC2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14:paraId="7154D4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14:paraId="5E6665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14:paraId="1947AB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传真：020-88836984</w:t>
      </w:r>
    </w:p>
    <w:p w14:paraId="6D85B1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14:paraId="3CE813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14:paraId="2E45D19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14:paraId="478680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（52）名称：大同证券有限责任公司</w:t>
      </w:r>
    </w:p>
    <w:p w14:paraId="0DF69E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注册地址：山西省大同市城区迎宾街15号桐城中央21层</w:t>
      </w:r>
    </w:p>
    <w:p w14:paraId="493677A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办公地址：太原市长治路 111 号山西世贸中心 A 座 F12、F13</w:t>
      </w:r>
    </w:p>
    <w:p w14:paraId="499964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邮政编码：030600</w:t>
      </w:r>
    </w:p>
    <w:p w14:paraId="1CBC5D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法定代表人：董祥</w:t>
      </w:r>
    </w:p>
    <w:p w14:paraId="0158A9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 话：（0351）4130322</w:t>
      </w:r>
    </w:p>
    <w:p w14:paraId="4158BB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 真：（0351）7219891</w:t>
      </w:r>
    </w:p>
    <w:p w14:paraId="041BD8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客服电话：4007121212</w:t>
      </w:r>
    </w:p>
    <w:p w14:paraId="3B558A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网址：www.dtsbc.com.cn</w:t>
      </w:r>
    </w:p>
    <w:p w14:paraId="5BA83B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（53）名称：西部证券股份有限公司</w:t>
      </w:r>
    </w:p>
    <w:p w14:paraId="5FF475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14:paraId="403E96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14:paraId="3C1FD3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14:paraId="2C03FD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电话：029-87211668</w:t>
      </w:r>
    </w:p>
    <w:p w14:paraId="302E53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14:paraId="7C354F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14:paraId="2437AE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14:paraId="0726A0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14:paraId="6FF5C6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（54）名称：天风证券股份有限公司</w:t>
      </w:r>
    </w:p>
    <w:p w14:paraId="42BCC2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注册地址：湖北省武汉市东湖新技术开发区关东园路2号高科大厦4楼</w:t>
      </w:r>
    </w:p>
    <w:p w14:paraId="5E8E2F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办公地址：武汉市武昌区中南路99号保利广场A座37楼</w:t>
      </w:r>
    </w:p>
    <w:p w14:paraId="0FCC86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法定代表人：余磊</w:t>
      </w:r>
    </w:p>
    <w:p w14:paraId="344015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联系电话：027-87107535</w:t>
      </w:r>
    </w:p>
    <w:p w14:paraId="198BEC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传真：027-87618863</w:t>
      </w:r>
    </w:p>
    <w:p w14:paraId="27F451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联系人：王雅薇</w:t>
      </w:r>
    </w:p>
    <w:p w14:paraId="62EBA4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客户服务电话：95391 / 400-800-5000</w:t>
      </w:r>
    </w:p>
    <w:p w14:paraId="0504C4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网址：www.tfzq.com</w:t>
      </w:r>
    </w:p>
    <w:p w14:paraId="22E32C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（55）名称：联储证券有限责任公司</w:t>
      </w:r>
    </w:p>
    <w:p w14:paraId="0034C0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住所：深圳市福田区福田街道岗厦社区深南大道南侧金地中心大厦9楼</w:t>
      </w:r>
    </w:p>
    <w:p w14:paraId="02B7EA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办公地址：北京市朝阳区安定路5号院3号楼中建财富国际中心27层联储证券</w:t>
      </w:r>
    </w:p>
    <w:p w14:paraId="649A7A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法定代表人：吕春卫</w:t>
      </w:r>
    </w:p>
    <w:p w14:paraId="155A1B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传真：010-86499401</w:t>
      </w:r>
    </w:p>
    <w:p w14:paraId="3CDC66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祝博文、张婉婷</w:t>
      </w:r>
    </w:p>
    <w:p w14:paraId="6E5F52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 400-620-6868</w:t>
      </w:r>
    </w:p>
    <w:p w14:paraId="59EA2F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www.lczq.com</w:t>
      </w:r>
    </w:p>
    <w:p w14:paraId="081A53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（56）名称：广发证券股份有限公司</w:t>
      </w:r>
    </w:p>
    <w:p w14:paraId="74F095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14:paraId="4C9F6F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14:paraId="1B8728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14:paraId="2B278E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14:paraId="278F02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传真：（020）87553600</w:t>
      </w:r>
    </w:p>
    <w:p w14:paraId="3458FC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14:paraId="54CD26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14:paraId="5D4BC6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网址：www.gf.com.cn</w:t>
      </w:r>
    </w:p>
    <w:p w14:paraId="3F15DA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（57）名称：湘财证券股份有限公司</w:t>
      </w:r>
    </w:p>
    <w:p w14:paraId="44636D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14:paraId="3565BD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14:paraId="1B35FB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14:paraId="010AF6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14:paraId="1C9856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14:paraId="1B3739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14:paraId="30B091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14:paraId="00D902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14:paraId="2050FC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（58）名称：山西证券股份有限公司</w:t>
      </w:r>
    </w:p>
    <w:p w14:paraId="5DF17D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住所：山西省太原市府西街69号山西国际贸易中心东塔楼</w:t>
      </w:r>
    </w:p>
    <w:p w14:paraId="145B96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办公地址：山西省太原市府西街69号山西国际贸易中心东塔楼</w:t>
      </w:r>
    </w:p>
    <w:p w14:paraId="18A918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法定代表人：侯巍</w:t>
      </w:r>
    </w:p>
    <w:p w14:paraId="2A14E7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电话：0351—8686815</w:t>
      </w:r>
    </w:p>
    <w:p w14:paraId="7EF8A0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联系人：谢武兵</w:t>
      </w:r>
    </w:p>
    <w:p w14:paraId="233D99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客户服务电话：400-666-1618、95573</w:t>
      </w:r>
    </w:p>
    <w:p w14:paraId="0D3423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网址：www.i618.com.cn</w:t>
      </w:r>
    </w:p>
    <w:p w14:paraId="244C29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（59）名称：南京证券股份有限公司</w:t>
      </w:r>
    </w:p>
    <w:p w14:paraId="18EE9D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住所：南京市江东中路389号</w:t>
      </w:r>
    </w:p>
    <w:p w14:paraId="152613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办公地址：南京市江东中路389号</w:t>
      </w:r>
    </w:p>
    <w:p w14:paraId="70CEDB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法定代表人：李剑锋</w:t>
      </w:r>
    </w:p>
    <w:p w14:paraId="4AC781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电话：（025）58519529</w:t>
      </w:r>
    </w:p>
    <w:p w14:paraId="62C6FB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传真：（025）83369725</w:t>
      </w:r>
    </w:p>
    <w:p w14:paraId="06B6D0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联系人：曹梦媛</w:t>
      </w:r>
    </w:p>
    <w:p w14:paraId="2E6A71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客户服务电话：95386</w:t>
      </w:r>
    </w:p>
    <w:p w14:paraId="44905C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网址：www.nizq.com.cn</w:t>
      </w:r>
    </w:p>
    <w:p w14:paraId="71391B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（60）名称：东兴证券股份有限公司</w:t>
      </w:r>
    </w:p>
    <w:p w14:paraId="36DA18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14:paraId="67FABA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14:paraId="18C708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电话：（010）66555316</w:t>
      </w:r>
    </w:p>
    <w:p w14:paraId="2690AC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传真：（010）66555246</w:t>
      </w:r>
    </w:p>
    <w:p w14:paraId="1728B1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14:paraId="0F1F0B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14:paraId="351B9E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14:paraId="7FA46F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（61）名称：北京钱景财富投资管理有限公司</w:t>
      </w:r>
    </w:p>
    <w:p w14:paraId="625B40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14:paraId="61BB57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14:paraId="6B24E4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14:paraId="01708A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14:paraId="558802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14:paraId="5DDF5F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14:paraId="5D4CEFC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14:paraId="6B9758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14:paraId="281E50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（62）名称：上海大智慧基金销售有限公司</w:t>
      </w:r>
    </w:p>
    <w:p w14:paraId="2DFA61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14:paraId="797E1D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14:paraId="764123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法定代表人：申健</w:t>
      </w:r>
    </w:p>
    <w:p w14:paraId="3BF658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14:paraId="74B250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14:paraId="77D7A8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14:paraId="2771DC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14:paraId="561EC2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14:paraId="751AB0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（63）名称：上海利得基金销售有限公司</w:t>
      </w:r>
    </w:p>
    <w:p w14:paraId="1BEB72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328876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3824B5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73472F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0CF720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7F9408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6D1708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客服电话：400-005-6355</w:t>
      </w:r>
    </w:p>
    <w:p w14:paraId="27AF81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130DD6B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（64）名称：上海凯石财富基金销售有限公司</w:t>
      </w:r>
    </w:p>
    <w:p w14:paraId="14F1CA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14:paraId="1AF04D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14:paraId="0FCEC3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14:paraId="0A25FF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14:paraId="6ED3AE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14:paraId="49EA5D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14:paraId="3F1ECD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14:paraId="1BB71F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14:paraId="5B31D6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（65）名称：北京虹点基金销售有限公司</w:t>
      </w:r>
    </w:p>
    <w:p w14:paraId="22098D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14:paraId="63834F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14:paraId="3F7ECE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14:paraId="7EB46D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14:paraId="6AE3E1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14:paraId="434547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联系人：姜颖</w:t>
      </w:r>
    </w:p>
    <w:p w14:paraId="53D74E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14:paraId="05DD3A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14:paraId="131F08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（66）名称：诺亚正行(上海)基金销售投资顾问有限公司</w:t>
      </w:r>
    </w:p>
    <w:p w14:paraId="28A48A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14:paraId="4B5437D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14:paraId="78EFAF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14:paraId="1E3C78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14:paraId="10E0092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14:paraId="7DCBD5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14:paraId="0FBF73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14:paraId="3EC76A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14:paraId="035A33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（67）名称：上海好买基金销售有限公司</w:t>
      </w:r>
    </w:p>
    <w:p w14:paraId="3665C3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住所：上海市虹口区场中路685弄37号4号楼449室</w:t>
      </w:r>
    </w:p>
    <w:p w14:paraId="79158B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14:paraId="4A8C19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14:paraId="7BADAD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14:paraId="50DB95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14:paraId="1311FD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14:paraId="342BA8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14:paraId="09F102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（68）名称：上海长量基金销售投资顾问有限公司</w:t>
      </w:r>
    </w:p>
    <w:p w14:paraId="7DED62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14:paraId="16E691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14:paraId="265746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14:paraId="7D4832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14:paraId="55C2B0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14:paraId="290752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14:paraId="18F1A7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14:paraId="09BAFC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14:paraId="6573CF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（69）名称：深圳众禄基金销售有限公司</w:t>
      </w:r>
    </w:p>
    <w:p w14:paraId="26DCCD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14:paraId="7FC72B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14:paraId="16DEFE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14:paraId="03E07B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14:paraId="55F820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14:paraId="2AFE38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14:paraId="75C385E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14:paraId="68F46F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14:paraId="046426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（70）名称：蚂蚁（杭州）基金销售有限公司</w:t>
      </w:r>
    </w:p>
    <w:p w14:paraId="112139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42A3AF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1C93C3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6BBD97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6369CD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客户服务电话：95188-8</w:t>
      </w:r>
    </w:p>
    <w:p w14:paraId="6D1017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1D5A24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（71）名称：天相投资顾问有限公司</w:t>
      </w:r>
    </w:p>
    <w:p w14:paraId="26272E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14:paraId="482D85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14:paraId="156F56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14:paraId="6B5F25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14:paraId="3C3F58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14:paraId="653331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14:paraId="77FE86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14:paraId="7A7864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14:paraId="77B2BA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（72）名称：一路财富（北京）信息科技有限公司</w:t>
      </w:r>
    </w:p>
    <w:p w14:paraId="1EA558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14:paraId="4849E6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14:paraId="5609C0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14:paraId="4F18BC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14:paraId="0306A8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14:paraId="318DF9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14:paraId="2EA7C7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14:paraId="759EAE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14:paraId="63A9CA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（73）名称：北京展恒基金销售股份有限公司</w:t>
      </w:r>
    </w:p>
    <w:p w14:paraId="03C412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14:paraId="13F510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14:paraId="3B927C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14:paraId="7DBABB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14:paraId="7FC0BF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14:paraId="2084AD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马林</w:t>
      </w:r>
    </w:p>
    <w:p w14:paraId="1D0C66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14:paraId="7FBFF64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14:paraId="025791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（74）名称：深圳市新兰德证券投资咨询有限公司</w:t>
      </w:r>
    </w:p>
    <w:p w14:paraId="748526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住所：深圳市福田区华强北路赛格科技园4栋10层1006#</w:t>
      </w:r>
    </w:p>
    <w:p w14:paraId="333074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14:paraId="64F34F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14:paraId="6532A1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14:paraId="626053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14:paraId="247944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14:paraId="5B4361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14:paraId="42F378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14:paraId="115CE4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（75）名称：和讯信息科技有限公司</w:t>
      </w:r>
    </w:p>
    <w:p w14:paraId="33B0E10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14:paraId="23B5BA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14:paraId="0DB950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14:paraId="1959C1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14:paraId="235BDA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14:paraId="15DC8E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14:paraId="495828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14:paraId="56074C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14:paraId="70FE84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（76）名称：上海天天基金销售有限公司</w:t>
      </w:r>
    </w:p>
    <w:p w14:paraId="6F3DE3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3441B5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57CC97D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5EEA93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682412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4AE0F0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14:paraId="3265BE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04509C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14:paraId="239C80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（77）名称：上海联泰基金销售有限公司</w:t>
      </w:r>
    </w:p>
    <w:p w14:paraId="45F0E2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14:paraId="453E89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14:paraId="0B2CA5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14:paraId="4AD9B2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电话：021-52822063</w:t>
      </w:r>
    </w:p>
    <w:p w14:paraId="1CAA62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14:paraId="4F9AA5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14:paraId="7ADE66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14:paraId="410762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14:paraId="536724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（78）名称：珠海盈米财富管理有限公司</w:t>
      </w:r>
    </w:p>
    <w:p w14:paraId="36E39E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14:paraId="5554B6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2DD6F7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2AF1A4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134649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0A815B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1F8CFD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7EE98D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60F7AC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（79）名称：上海基煜基金销售有限公司</w:t>
      </w:r>
    </w:p>
    <w:p w14:paraId="189D88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6E7BB0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1A22A0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3D8400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0C144A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017531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07F2BD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066A5F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39EF56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（80）名称：宜信普泽投资顾问（北京）有限公司</w:t>
      </w:r>
    </w:p>
    <w:p w14:paraId="2DCF0E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14:paraId="7B634F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办公地址：北京市朝阳区建国路88号SOHO现代城C座1809</w:t>
      </w:r>
    </w:p>
    <w:p w14:paraId="2BDD55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14:paraId="653397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14:paraId="073BE4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14:paraId="1FAAA7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联系人：程刚</w:t>
      </w:r>
    </w:p>
    <w:p w14:paraId="70DDC6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14:paraId="07201D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14:paraId="76097A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（81）名称：浙江同花顺基金销售有限公司</w:t>
      </w:r>
    </w:p>
    <w:p w14:paraId="649B94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14:paraId="3F95DA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14:paraId="72F573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14:paraId="4D5922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14:paraId="6F7DA6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14:paraId="427A5C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14:paraId="6B3D17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14:paraId="21A9AC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14:paraId="054F85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（82）名称：中信期货有限公司</w:t>
      </w:r>
    </w:p>
    <w:p w14:paraId="56BBE6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14:paraId="017738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14:paraId="55BD9F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14:paraId="668F22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14:paraId="1C2EB9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14:paraId="4780B1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14:paraId="2F36BE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14:paraId="624528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14:paraId="122DFA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（83）名称：上海陆金所资产管理有限公司</w:t>
      </w:r>
    </w:p>
    <w:p w14:paraId="08E568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14:paraId="63DC34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14:paraId="11E1FA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法定代表人：郭坚</w:t>
      </w:r>
    </w:p>
    <w:p w14:paraId="254C62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14:paraId="7E75F0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14:paraId="0D9D8B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14:paraId="7000C2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客户服务电话：4008219031</w:t>
      </w:r>
    </w:p>
    <w:p w14:paraId="682E92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14:paraId="5DC1C0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（84）名称：北京中植基金销售有限公司</w:t>
      </w:r>
    </w:p>
    <w:p w14:paraId="6CFBF6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14:paraId="1929E8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14:paraId="77D0F5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14:paraId="2676F8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14:paraId="3D287F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14:paraId="55B5D6C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14:paraId="3BFD51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14:paraId="001D57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14:paraId="00A7D4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（85）名称：北京汇成基金销售有限公司</w:t>
      </w:r>
    </w:p>
    <w:p w14:paraId="41803A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14:paraId="6F52B3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14:paraId="52C04C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14:paraId="364097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14:paraId="66F8B3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14:paraId="6E0613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7A36A7A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14:paraId="1DCAEC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14:paraId="0CD8A4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（86）名称：奕丰基金销售有限公司</w:t>
      </w:r>
    </w:p>
    <w:p w14:paraId="6E3A5A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4FB0B5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14:paraId="491CC2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14:paraId="6F6BF6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14:paraId="1BE4BC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传真：（0755）21674453</w:t>
      </w:r>
    </w:p>
    <w:p w14:paraId="3118862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14:paraId="14DF58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14:paraId="57452B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14:paraId="13B4F9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（87）名称：北京创金启富基金销售有限公司</w:t>
      </w:r>
    </w:p>
    <w:p w14:paraId="20E4C6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14:paraId="039A28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14:paraId="4C13DD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14:paraId="312C38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14:paraId="0875BE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14:paraId="281F94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14:paraId="5EA087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14:paraId="4F8410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14:paraId="18671F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（88）名称：上海云湾投资管理有限公司</w:t>
      </w:r>
    </w:p>
    <w:p w14:paraId="4729A3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14:paraId="238536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14:paraId="487EC2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14:paraId="42019A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14:paraId="529CE2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14:paraId="67A440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14:paraId="23489C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14:paraId="33A77F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14:paraId="3BD854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（89）名称：中证金牛（北京）投资咨询有限公司</w:t>
      </w:r>
    </w:p>
    <w:p w14:paraId="751F32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14:paraId="48E6F5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14:paraId="5F7472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14:paraId="115807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14:paraId="7911D8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14:paraId="3CA6D6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14:paraId="677A48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14:paraId="592C44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www.jnlc.com</w:t>
      </w:r>
    </w:p>
    <w:p w14:paraId="124B66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（90）名称：北京新浪仓石基金销售有限公司</w:t>
      </w:r>
    </w:p>
    <w:p w14:paraId="719D35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14:paraId="3724FF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办公地址：北京市海淀区东北旺西路中关村软件园二期(西扩)N-1、N-2地块新浪总部科研楼5层518室</w:t>
      </w:r>
    </w:p>
    <w:p w14:paraId="216763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14:paraId="1662A3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14:paraId="613148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14:paraId="3ABC2B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14:paraId="5FE512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14:paraId="71F139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14:paraId="4E2AB0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（91）名称：北京肯特瑞基金销售有限公司</w:t>
      </w:r>
    </w:p>
    <w:p w14:paraId="56C54A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kern w:val="0"/>
          <w:sz w:val="24"/>
        </w:rPr>
        <w:t>住所： 北京市海淀区西三旗建材城中路12号17号平房157</w:t>
      </w:r>
    </w:p>
    <w:p w14:paraId="69C6F7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14:paraId="1122DF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14:paraId="01EAA9E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14:paraId="228447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14:paraId="47B212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14:paraId="156A68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14:paraId="2E2CDF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14:paraId="0A820D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（92）名称：北京雪球基金销售有限公司</w:t>
      </w:r>
    </w:p>
    <w:p w14:paraId="3A55D7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14:paraId="0A35C9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14:paraId="4C7F7A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14:paraId="519BD0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14:paraId="61AD02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14:paraId="45524A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14:paraId="00F154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14:paraId="454B83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14:paraId="7CFB57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（93）名称：深圳市金斧子基金销售有限公司</w:t>
      </w:r>
    </w:p>
    <w:p w14:paraId="516946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14:paraId="4EB95B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14:paraId="37F6F0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法定代表人：赖任军</w:t>
      </w:r>
    </w:p>
    <w:p w14:paraId="176F53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14:paraId="24E09F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14:paraId="58593A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14:paraId="721339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14:paraId="66A481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14:paraId="5017DF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（94）名称：格上富信投资顾问有限公司</w:t>
      </w:r>
    </w:p>
    <w:p w14:paraId="3EEE72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14:paraId="5C9E39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14:paraId="3D2316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14:paraId="062978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14:paraId="0008A8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14:paraId="673E7D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14:paraId="6371E5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14:paraId="237BAF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14:paraId="5B1671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（95）名称：上海万得基金销售有限公司</w:t>
      </w:r>
    </w:p>
    <w:p w14:paraId="070468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住所：中国（上海）自由贸易试验区福山路33号11楼B座</w:t>
      </w:r>
    </w:p>
    <w:p w14:paraId="4F39B4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14:paraId="73D6DD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14:paraId="14F385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14:paraId="5D5617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14:paraId="4ABF68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14:paraId="2C2540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14:paraId="2C2233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14:paraId="372662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（96）名称：天津万家财富资产管理有限公司</w:t>
      </w:r>
    </w:p>
    <w:p w14:paraId="568B4D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14:paraId="392EF8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14:paraId="5A0CAB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14:paraId="332934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14:paraId="4EC5FF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14:paraId="1CF6D8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联系人：王芳芳</w:t>
      </w:r>
    </w:p>
    <w:p w14:paraId="44CC09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14:paraId="628BA6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14:paraId="227F7C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（97）名称：上海挖财金融信息服务有限公司</w:t>
      </w:r>
    </w:p>
    <w:p w14:paraId="0FE876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14:paraId="641D97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14:paraId="5E583B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14:paraId="79F80F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14:paraId="3C8160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14:paraId="4A5AB6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14:paraId="1512DA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14:paraId="0F612C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14:paraId="1E04CE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（98）名称：嘉实财富管理有限公司</w:t>
      </w:r>
    </w:p>
    <w:p w14:paraId="39672F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14:paraId="4684EC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14:paraId="746733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14:paraId="36214C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14:paraId="367F0B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14:paraId="42F5B0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14:paraId="667BAC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14:paraId="318D57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14:paraId="166ECA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（99）名称：南京苏宁基金销售有限公司</w:t>
      </w:r>
    </w:p>
    <w:p w14:paraId="336D17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14:paraId="7B307A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14:paraId="0DDDC8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14:paraId="106C8D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14:paraId="2F788B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14:paraId="3E81BA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14:paraId="11CACB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14:paraId="2BE16A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14:paraId="01BA7D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（100）名称：北京度小满基金销售有限公司</w:t>
      </w:r>
    </w:p>
    <w:p w14:paraId="6A5A55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14:paraId="2691A3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14:paraId="3C3842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14:paraId="55564C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14:paraId="6ACCAF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14:paraId="49853E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14:paraId="17CB2C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14:paraId="686BFC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14:paraId="11D478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（101）名称：北京唐鼎耀华投资咨询有限公司</w:t>
      </w:r>
    </w:p>
    <w:p w14:paraId="1F1BFE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14:paraId="0FF020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14:paraId="0A2963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14:paraId="70DECF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14:paraId="2EDCA8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14:paraId="623E96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14:paraId="1610A3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客户服务电话：400-819-9868</w:t>
      </w:r>
    </w:p>
    <w:p w14:paraId="175015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14:paraId="764AB7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（102）名称：上海华夏财富投资管理有限公司</w:t>
      </w:r>
    </w:p>
    <w:p w14:paraId="2B5F04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14:paraId="774D30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14:paraId="674492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14:paraId="4CC4C0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14:paraId="332154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14:paraId="20B41C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14:paraId="38B07E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14:paraId="65F9FA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14:paraId="41FA17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（103）名称：江苏汇林保大基金销售有限公司</w:t>
      </w:r>
    </w:p>
    <w:p w14:paraId="3251D5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14:paraId="088917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14:paraId="0E6015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 吴言林</w:t>
      </w:r>
    </w:p>
    <w:p w14:paraId="1729CF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14:paraId="3A13B6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14:paraId="214FAC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14:paraId="08A8AD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客户服务电话：025-66046166</w:t>
      </w:r>
    </w:p>
    <w:p w14:paraId="4A0E24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14:paraId="1BA358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（104）名称：玄元保险代理有限公司</w:t>
      </w:r>
    </w:p>
    <w:p w14:paraId="64990F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14:paraId="5EFF8F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14:paraId="0D266B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14:paraId="15F8E5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14:paraId="087616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14:paraId="354DF7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14:paraId="0B1BBB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14:paraId="41F599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（105）名称：阳光人寿保险股份有限公司</w:t>
      </w:r>
    </w:p>
    <w:p w14:paraId="0613BE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14:paraId="3E72EA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14:paraId="59959F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14:paraId="5C1476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14:paraId="1824EB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14:paraId="5B7AAE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14:paraId="0C7D67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14:paraId="420B08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14:paraId="3C47CF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（106）名称：大连网金基金销售有限公司</w:t>
      </w:r>
    </w:p>
    <w:p w14:paraId="29FF65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14:paraId="45F21D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14:paraId="74544D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14:paraId="6138E6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14:paraId="5EFCC9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14:paraId="22CF10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14:paraId="7CBFC7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 4000-899-100</w:t>
      </w:r>
    </w:p>
    <w:p w14:paraId="64459C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14:paraId="5D8102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（107）名称：腾安基金销售（深圳）有限公司</w:t>
      </w:r>
    </w:p>
    <w:p w14:paraId="394710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14:paraId="763E9C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14:paraId="5B108B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14:paraId="24C4A3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14:paraId="26B636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14:paraId="3748EA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14:paraId="035963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14:paraId="1753C2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（108）名称：泛华普益基金销售有限公司</w:t>
      </w:r>
    </w:p>
    <w:p w14:paraId="036C5DB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14:paraId="6F5529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14:paraId="311A67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14:paraId="5D1236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14:paraId="1ED233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14:paraId="00FBB8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14:paraId="53ED91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14:paraId="5C04EC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14:paraId="43EAF1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（109）名称：和耕传承基金销售有限公司</w:t>
      </w:r>
    </w:p>
    <w:p w14:paraId="273856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14:paraId="37609D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14:paraId="108651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14:paraId="0BF533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14:paraId="58BAE6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14:paraId="153BD3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14:paraId="332A9E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14:paraId="050E18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14:paraId="08E09E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（110）名称：上海中欧财富基金销售有限公司</w:t>
      </w:r>
    </w:p>
    <w:p w14:paraId="2C2CE4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14:paraId="513FFF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14:paraId="1F397F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14:paraId="7BE045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14:paraId="65E2BF0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14:paraId="46C795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14:paraId="71D0C2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14:paraId="70B341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14:paraId="27D469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（111）名称：北京植信基金销售有限公司</w:t>
      </w:r>
    </w:p>
    <w:p w14:paraId="1AEC50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14:paraId="76E340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14:paraId="073CAA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14:paraId="3D6FEF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14:paraId="0A43FA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14:paraId="6CF114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14:paraId="77A67B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14:paraId="48E021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14:paraId="595EF2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（112）名称：上海钜派钰茂基金销售有限公司</w:t>
      </w:r>
    </w:p>
    <w:p w14:paraId="2A8698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14:paraId="08892E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14:paraId="11C7B0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14:paraId="34C7CD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14:paraId="7010EB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14:paraId="542BEC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14:paraId="340CB9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14:paraId="67417F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（113）名称：中国人寿保险股份有限公司</w:t>
      </w:r>
    </w:p>
    <w:p w14:paraId="56B63C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14:paraId="283BC0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14:paraId="175421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14:paraId="1197E3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客户服务电话：95519</w:t>
      </w:r>
    </w:p>
    <w:p w14:paraId="0AF253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www.e-chinalife.com</w:t>
      </w:r>
    </w:p>
    <w:p w14:paraId="0D7CB9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（114）名称：济安财富（北京）基金销售有限公司</w:t>
      </w:r>
    </w:p>
    <w:p w14:paraId="04F62B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14:paraId="72E98B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14:paraId="04A570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14:paraId="59E9D6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14:paraId="7AE1E1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14:paraId="46833E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14:paraId="340C6C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14:paraId="5B9CEF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14:paraId="2EAD2A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（115）名称：博时财富基金销售有限公司</w:t>
      </w:r>
    </w:p>
    <w:p w14:paraId="445543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14:paraId="160012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14:paraId="1BC1A0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14:paraId="6E2685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14:paraId="56CD9A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14:paraId="28B3C3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14:paraId="135EF6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14:paraId="3D360F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14:paraId="5DF674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14:paraId="52D60B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7884D2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14:paraId="1A8B27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14:paraId="677DE8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14:paraId="645A8D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14:paraId="010170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14:paraId="2F577C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14:paraId="4A4129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14:paraId="40EF29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（三）出具法律意见书的律师事务所</w:t>
      </w:r>
    </w:p>
    <w:p w14:paraId="32174C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42D7AA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66A93A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052892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008B27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7580EC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6E01D9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联系人：黎明</w:t>
      </w:r>
    </w:p>
    <w:p w14:paraId="580DEE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经办律师：吕红、黎明</w:t>
      </w:r>
    </w:p>
    <w:p w14:paraId="297D10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3DF8F9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14:paraId="1389B7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14:paraId="254F26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14:paraId="687726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14:paraId="3E19F8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14:paraId="05574E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14:paraId="016D7A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14:paraId="5FFB7D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14:paraId="4DFFEC31"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14FC19" w14:textId="77777777" w:rsidR="00CB5326" w:rsidRDefault="000C1687">
      <w:pPr>
        <w:pStyle w:val="1"/>
        <w:snapToGrid w:val="0"/>
        <w:spacing w:beforeLines="0" w:before="240" w:after="240"/>
        <w:rPr>
          <w:rFonts w:ascii="宋体" w:hAnsi="宋体"/>
          <w:szCs w:val="30"/>
        </w:rPr>
      </w:pPr>
      <w:bookmarkStart w:id="9" w:name="_Toc154495296"/>
      <w:r>
        <w:rPr>
          <w:rFonts w:ascii="Times New Roman" w:hAnsi="Times New Roman"/>
          <w:sz w:val="30"/>
        </w:rPr>
        <w:lastRenderedPageBreak/>
        <w:t>六、基金的历史沿革</w:t>
      </w:r>
      <w:bookmarkEnd w:id="9"/>
    </w:p>
    <w:p w14:paraId="361845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本基金由基金管理人依照《基金法》、《运作办法》、基金合同及其他有关规定，并经中国证监会证监许可[2012]1287号文核准募集发售。</w:t>
      </w:r>
    </w:p>
    <w:p w14:paraId="5C270B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本基金为契约型开放式债券型发起式基金。基金存续期间为不定期。</w:t>
      </w:r>
    </w:p>
    <w:p w14:paraId="60F556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本基金募集期间基金份额净值为人民币1.00元，按面值发售。</w:t>
      </w:r>
    </w:p>
    <w:p w14:paraId="3F1015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本基金自2012年11月26日至2012年12月14日进行发售。本基金设立募集期共募集2,116,634,959.21份基金份额，有效认购户数为7,477户。</w:t>
      </w:r>
    </w:p>
    <w:p w14:paraId="671D26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交银施罗德纯债债券型发起式证券投资基金基金合同》的有关约定，本基金管理人运用固有资金作为发起资金认购本基金的净认购金额为10,000,000.00元人民币，认购基金份额（含募集期利息结转份额）10,003,472.22份。自本基金基金合同生效之日起，本基金管理人所认购的基金份额持有期限不低于三年。</w:t>
      </w:r>
    </w:p>
    <w:p w14:paraId="646D32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本基金管理人持有的上述发起份额已于2017年一季度全部赎回，相应份额的持有期限符合基金合同的约定。</w:t>
      </w:r>
    </w:p>
    <w:p w14:paraId="4C34E8ED"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4D897B4" w14:textId="77777777" w:rsidR="00CB5326" w:rsidRDefault="000C1687">
      <w:pPr>
        <w:pStyle w:val="1"/>
        <w:snapToGrid w:val="0"/>
        <w:spacing w:beforeLines="0" w:before="240" w:after="240"/>
        <w:rPr>
          <w:rFonts w:ascii="宋体" w:hAnsi="宋体"/>
          <w:szCs w:val="30"/>
        </w:rPr>
      </w:pPr>
      <w:bookmarkStart w:id="10" w:name="_Toc154495297"/>
      <w:r>
        <w:rPr>
          <w:rFonts w:ascii="Times New Roman" w:hAnsi="Times New Roman"/>
          <w:sz w:val="30"/>
        </w:rPr>
        <w:lastRenderedPageBreak/>
        <w:t>七</w:t>
      </w:r>
      <w:r>
        <w:rPr>
          <w:rFonts w:ascii="Times New Roman" w:hAnsi="Times New Roman"/>
          <w:sz w:val="30"/>
        </w:rPr>
        <w:t xml:space="preserve"> </w:t>
      </w:r>
      <w:r>
        <w:rPr>
          <w:rFonts w:ascii="Times New Roman" w:hAnsi="Times New Roman"/>
          <w:sz w:val="30"/>
        </w:rPr>
        <w:t>、基金合同的生效</w:t>
      </w:r>
      <w:bookmarkEnd w:id="10"/>
    </w:p>
    <w:p w14:paraId="244092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根据有关规定，本基金满足基金合同生效条件，基金合同已于2012年12月19日正式生效。自基金合同生效之日起，本基金管理人正式开始管理本基金。</w:t>
      </w:r>
    </w:p>
    <w:p w14:paraId="5C3E6F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出现基金份额持有人数量不满200人或者基金资产净值低于5000万元情形的，基金管理人应当及时报告中国证监会；连续20个工作日出现前述情形的，基金管理人应当及时向中国证监会报告，说明出现上述情况的原因并提出解决方案。</w:t>
      </w:r>
    </w:p>
    <w:p w14:paraId="623872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基金合同生效之日起满3年后的对应日（如该对应日为非工作日，则顺延至下一个工作日），若基金资产净值低于2亿元的，基金合同自动终止，且不得通过召开基金份额持有人大会延续基金合同期限。</w:t>
      </w:r>
    </w:p>
    <w:p w14:paraId="2A977F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法律法规或监管机构另有规定时，从其规定。</w:t>
      </w:r>
    </w:p>
    <w:p w14:paraId="11042BF9"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179F56" w14:textId="77777777" w:rsidR="00CB5326" w:rsidRDefault="000C1687">
      <w:pPr>
        <w:pStyle w:val="1"/>
        <w:snapToGrid w:val="0"/>
        <w:spacing w:beforeLines="0" w:before="240" w:after="240"/>
        <w:rPr>
          <w:rFonts w:ascii="宋体" w:hAnsi="宋体"/>
          <w:szCs w:val="30"/>
        </w:rPr>
      </w:pPr>
      <w:bookmarkStart w:id="11" w:name="_Toc154495298"/>
      <w:r>
        <w:rPr>
          <w:rFonts w:ascii="Times New Roman" w:hAnsi="Times New Roman"/>
          <w:sz w:val="30"/>
        </w:rPr>
        <w:lastRenderedPageBreak/>
        <w:t>八、基金份额的申购与赎回</w:t>
      </w:r>
      <w:bookmarkEnd w:id="11"/>
    </w:p>
    <w:p w14:paraId="6D4882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（一）申购和赎回的场所</w:t>
      </w:r>
    </w:p>
    <w:p w14:paraId="11CB12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投资者可通过下述场所按照规定的方式进行申购或赎回：</w:t>
      </w:r>
    </w:p>
    <w:p w14:paraId="369C18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1D68FA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本基金直销机构为本公司以及本公司的网上直销交易平台。</w:t>
      </w:r>
    </w:p>
    <w:p w14:paraId="5F712E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14176A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6158B7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237411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6CA34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0654F8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04CDD3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67363F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2740C8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个人投资者可以通过本公司网上直销交易平台办理开户、本基金的申购、赎回、转换及定期定额投资等业务，具体交易细则请参阅本公司网站。网上直销交易平台网址：www.fund001.com。</w:t>
      </w:r>
    </w:p>
    <w:p w14:paraId="7B5365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2、通过上海证券交易所交易系统办理相关业务的上海证券交易所会员单位，目前场内交易只支持A类基金份额的申购。具体名单详见上海证券交易所网站。</w:t>
      </w:r>
    </w:p>
    <w:p w14:paraId="49608E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3、不通过上海证券交易所交易系统办理相关业务的场外代销机构</w:t>
      </w:r>
    </w:p>
    <w:p w14:paraId="1839A3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本基金场外代销机构参见本招募说明书“五、相关服务机构”章节或拨打本公司客户服务电话进行咨询。</w:t>
      </w:r>
    </w:p>
    <w:p w14:paraId="7646A2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投资者可通过上述销售机构办理基金销售业务的营业场所或按上述销售机构提供的其他方式进行申购或赎回。本基金管理人可根据情况变更或增减基金场外代销机构，并在管理人网站公示。</w:t>
      </w:r>
    </w:p>
    <w:p w14:paraId="0EC70C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若基金管理人或其指定的代销机构开通电话、传真或网上等交易方式，投资者可以通过上述方式进行申购与赎回。</w:t>
      </w:r>
    </w:p>
    <w:p w14:paraId="0530D6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（二）申购和赎回的开放日及时间</w:t>
      </w:r>
    </w:p>
    <w:p w14:paraId="3DAEFE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7D6B18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基金投资者在开放日办理基金份额的申购和赎回，具体办理时间为上海证券交</w:t>
      </w:r>
      <w:r>
        <w:rPr>
          <w:rFonts w:ascii="宋体" w:hAnsi="宋体"/>
          <w:sz w:val="24"/>
        </w:rPr>
        <w:lastRenderedPageBreak/>
        <w:t>易所、深圳证券交易所的正常交易日的交易时间，但基金管理人根据法律法规、中国证监会的要求或本基金合同的规定公告暂停申购、赎回时除外。</w:t>
      </w:r>
    </w:p>
    <w:p w14:paraId="10852D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14:paraId="603989A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基金投资者在基金合同约定之外的日期和时间提出申购、赎回或转换申请的，其基金份额申购、赎回及转换价格为下次办理基金份额申购、赎回及转换时间所在开放日的价格。</w:t>
      </w:r>
    </w:p>
    <w:p w14:paraId="1A6290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14:paraId="524102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本基金已于2013年3月19日起开放场外、场内申购业务。</w:t>
      </w:r>
    </w:p>
    <w:p w14:paraId="231397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14:paraId="4198BD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本基金已于2013年3月19日起开放场外、场内赎回业务。</w:t>
      </w:r>
    </w:p>
    <w:p w14:paraId="1BA4F7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（三）申购和赎回的原则</w:t>
      </w:r>
    </w:p>
    <w:p w14:paraId="22BE2A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1、“未知价”原则，即基金份额的申购与赎回价格以申请当日收市后计算的基金份额净值为基准进行计算；</w:t>
      </w:r>
    </w:p>
    <w:p w14:paraId="745EE5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2、基金采用金额申购和份额赎回的原则，即申购以金额申请，赎回以份额申请；</w:t>
      </w:r>
    </w:p>
    <w:p w14:paraId="77A75B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赎回时，除指定赎回外，基金管理人按“先进先出”的原则，对该持有人账户在该销售机构托管的基金份额进行处理，即注册登记确认日期在先的基金份额先赎回，注册登记确认日期在后的基金份额后赎回，以确定被赎回基金份额的持有期限和所适用的赎回费率；</w:t>
      </w:r>
    </w:p>
    <w:p w14:paraId="6A80B6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4、当日的申购与赎回申请一经注册登记机构正式受理不得撤销；</w:t>
      </w:r>
    </w:p>
    <w:p w14:paraId="66F491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5、基金管理人在不损害基金份额持有人权益的情况下可更改上述原则，但最迟应在新的原则实施前依照《信息披露办法》的有关规定在指定媒介上公告。</w:t>
      </w:r>
    </w:p>
    <w:p w14:paraId="4F82C6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（四）申购和赎回的数额限定</w:t>
      </w:r>
    </w:p>
    <w:p w14:paraId="66F937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01DEF8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场外申购时，场外代销机构每个账户单笔申购的最低金额为单笔1元，如果代销机构业务规则规定的最低单笔认购金额高于1元，以代销机构的规定为准。</w:t>
      </w:r>
    </w:p>
    <w:p w14:paraId="61EBAE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直销机构每个账户首次申购的最低金额为单笔100万元，追加申购的最低金额</w:t>
      </w:r>
      <w:r>
        <w:rPr>
          <w:rFonts w:ascii="宋体" w:hAnsi="宋体"/>
          <w:sz w:val="24"/>
        </w:rPr>
        <w:lastRenderedPageBreak/>
        <w:t>为单笔10万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1元。本基金直销机构单笔申购最低金额可由基金管理人酌情调整。</w:t>
      </w:r>
    </w:p>
    <w:p w14:paraId="29A2A6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场内申购时，每笔申购金额最低为100元人民币，同时每笔申购必须是100元的整数倍，并且单笔申购最高不超过99,999,900元。</w:t>
      </w:r>
    </w:p>
    <w:p w14:paraId="5FD846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072587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的最低份额为1份基金份额，如果销售机构业务规则规定的最低单笔赎回份额高于1份，以该销售机构的规定为准。场内赎回时，赎回的最低份额为50份基金份额，同时赎回份额必须是整数份额，并且单笔赎回最多不超过99,999,999份基金份额。</w:t>
      </w:r>
    </w:p>
    <w:p w14:paraId="45CFFD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14:paraId="5748A0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每个工作日投资者在单个交易账户保留的本基金份额余额少于1份时，若当日该账户同时有份额减少类业务（如赎回、转换出等）被确认，则基金管理人有权将投资者在该账户保留的本基金份额一次性全部赎回。</w:t>
      </w:r>
    </w:p>
    <w:p w14:paraId="182FFE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43E1D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5、基金管理人可以根据市场情况，在法律法规允许的情况下，调整上述规定的数量或比例限制。基金管理人必须在调整前依照《信息披露办法》的有关规定在指定媒介上公告。</w:t>
      </w:r>
    </w:p>
    <w:p w14:paraId="5DEFA7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（五）申购和赎回的程序</w:t>
      </w:r>
    </w:p>
    <w:p w14:paraId="4DFA65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w:t>
      </w:r>
    </w:p>
    <w:p w14:paraId="1A20EE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基金投资者必须根据销售机构规定的程序，在开放日的具体业务办理时间内提出申购或赎回的申请。</w:t>
      </w:r>
    </w:p>
    <w:p w14:paraId="7C5FDE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基金投资者在提交申购申请时须按销售机构规定的方式备足申购资金，基金投资者在提交赎回申请时须持有足够的基金份额余额，否则所提交的申购、赎回申请无效而不予成交。</w:t>
      </w:r>
    </w:p>
    <w:p w14:paraId="04F0F7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14:paraId="2B4BAA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T 日规定时间受理的申请，正常情况下，注册登记机构在T+1 日内（包括该日）为投资者对该交易的有效性进行确认，基金投资者应在T+2日后（包括该日）及时到销售网点柜台或以销售机构规定的其他方式查询申请的确认情况。</w:t>
      </w:r>
    </w:p>
    <w:p w14:paraId="10E52B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基金管理人可以在法律法规允许的范围内，依法对上述申购和赎回申请的确认时间进行调整，并必须在调整实施日前按照《信息披露办法》的有关规定在指定媒介上公告。</w:t>
      </w:r>
    </w:p>
    <w:p w14:paraId="42BFFF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销售机构对申购、赎回申请的受理并不代表该申请一定成功，而仅代表销售机构确实接收到申购、赎回申请。申购、赎回申请的确认以注册登记机构的确认结果为准。</w:t>
      </w:r>
    </w:p>
    <w:p w14:paraId="5AB75B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14:paraId="4748D7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14:paraId="5078A8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基金投资者赎回申请成功后，基金管理人将通过注册登记机构及其相关销售机构在T＋7日（包括该日）内将赎回款项划往基金份额持有人账户。在发生巨额赎回时，款项的支付办法参照基金合同有关条款处理。</w:t>
      </w:r>
    </w:p>
    <w:p w14:paraId="3FE11B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（六）申购与赎回的注册登记</w:t>
      </w:r>
    </w:p>
    <w:p w14:paraId="39E73F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1、投资者T 日申购基金成功后，正常情况下，注册登记机构在T＋1 日为投资者增加权益并办理注册登记手续，投资者自T＋2 日（包括该日）起有权赎回该部分基金份额。投资者应及时查询有关申请的确认情况。</w:t>
      </w:r>
    </w:p>
    <w:p w14:paraId="777C16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2、投资者T 日赎回基金成功后，正常情况下，注册登记机构在T＋1 日为投资者扣除权益并办理相应的注册登记手续。</w:t>
      </w:r>
    </w:p>
    <w:p w14:paraId="6E6C70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3、基金管理人可在法律法规允许的范围内，对上述注册登记办理时间进行调整，并最迟于开始实施前按照《信息披露办法》的有关规定在指定媒介上公告。</w:t>
      </w:r>
    </w:p>
    <w:p w14:paraId="511D28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（七）基金的申购费和赎回费</w:t>
      </w:r>
    </w:p>
    <w:p w14:paraId="66B2C0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72805C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B类和C类基金份额。投资者申购A类基金份额支付申购费用，申购B类基金份额在赎回时才支付相应的申购费用，申购C类基金份额不支付申购费用，而是从该类别基金资产中计提销售服务费。</w:t>
      </w:r>
    </w:p>
    <w:p w14:paraId="416741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A/B类基金份额的申购费用由A/B类基金份额申购人承担，不列入基金财产，主</w:t>
      </w:r>
      <w:r>
        <w:rPr>
          <w:rFonts w:ascii="宋体" w:hAnsi="宋体"/>
          <w:sz w:val="24"/>
        </w:rPr>
        <w:lastRenderedPageBreak/>
        <w:t>要用于本基金的市场推广、销售、登记结算等各项费用。</w:t>
      </w:r>
    </w:p>
    <w:p w14:paraId="31420B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投资者可以多次申购本基金，申购费率按每笔申购申请单独计算。</w:t>
      </w:r>
    </w:p>
    <w:p w14:paraId="4DB0F1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本基金A类基金份额的申购费率如下：</w:t>
      </w:r>
    </w:p>
    <w:tbl>
      <w:tblPr>
        <w:tblW w:w="5000" w:type="pct"/>
        <w:tblCellMar>
          <w:left w:w="0" w:type="dxa"/>
          <w:right w:w="0" w:type="dxa"/>
        </w:tblCellMar>
        <w:tblLook w:val="0000" w:firstRow="0" w:lastRow="0" w:firstColumn="0" w:lastColumn="0" w:noHBand="0" w:noVBand="0"/>
      </w:tblPr>
      <w:tblGrid>
        <w:gridCol w:w="2162"/>
        <w:gridCol w:w="6488"/>
      </w:tblGrid>
      <w:tr w:rsidR="00CB5326" w14:paraId="04A795E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31CF9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49F6304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类基金份额前端申购费率</w:t>
            </w:r>
          </w:p>
        </w:tc>
      </w:tr>
      <w:tr w:rsidR="00CB5326" w14:paraId="3B24172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2F4F0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2DF8C18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CB5326" w14:paraId="266BB7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9A04B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9B3EBD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CB5326" w14:paraId="2C92808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7DCAF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DE1053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CB5326" w14:paraId="06A742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B5A6C1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6F1005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CB5326" w14:paraId="777B5D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A77A5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万元（含）以上</w:t>
            </w:r>
          </w:p>
        </w:tc>
        <w:tc>
          <w:tcPr>
            <w:tcW w:w="750" w:type="pct"/>
            <w:tcBorders>
              <w:top w:val="single" w:sz="4" w:space="0" w:color="auto"/>
              <w:left w:val="single" w:sz="4" w:space="0" w:color="auto"/>
              <w:bottom w:val="single" w:sz="4" w:space="0" w:color="auto"/>
              <w:right w:val="single" w:sz="4" w:space="0" w:color="auto"/>
            </w:tcBorders>
            <w:vAlign w:val="center"/>
          </w:tcPr>
          <w:p w14:paraId="090DF4F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52BFED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本基金B类基金份额的申购费率如下：</w:t>
      </w:r>
    </w:p>
    <w:tbl>
      <w:tblPr>
        <w:tblW w:w="5000" w:type="pct"/>
        <w:tblCellMar>
          <w:left w:w="0" w:type="dxa"/>
          <w:right w:w="0" w:type="dxa"/>
        </w:tblCellMar>
        <w:tblLook w:val="0000" w:firstRow="0" w:lastRow="0" w:firstColumn="0" w:lastColumn="0" w:noHBand="0" w:noVBand="0"/>
      </w:tblPr>
      <w:tblGrid>
        <w:gridCol w:w="2162"/>
        <w:gridCol w:w="6488"/>
      </w:tblGrid>
      <w:tr w:rsidR="00CB5326" w14:paraId="029C964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171D2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14:paraId="19C701C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r>
              <w:rPr>
                <w:rFonts w:ascii="Times New Roman" w:hAnsi="Times New Roman"/>
                <w:color w:val="000000"/>
                <w:kern w:val="0"/>
                <w:sz w:val="25"/>
                <w:szCs w:val="24"/>
              </w:rPr>
              <w:t>类基金份额后端申购费率</w:t>
            </w:r>
          </w:p>
        </w:tc>
      </w:tr>
      <w:tr w:rsidR="00CB5326" w14:paraId="2F004E4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3EBB6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14:paraId="1DA71C95"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r>
      <w:tr w:rsidR="00CB5326" w14:paraId="4C5FDD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C7E4F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44A6C1A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CB5326" w14:paraId="6928395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CD4C9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23009A3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CB5326" w14:paraId="0C6CE8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2DB6B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3FC890E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49245C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持有A/B类基金份额的基金投资者因红利自动再投资而产生的A/B类基金份额，不收取相应的申购费用。</w:t>
      </w:r>
    </w:p>
    <w:p w14:paraId="13012E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本基金自2013年4月11日起，对通过本公司直销柜台申购本基金A类基金份额的养老金客户实施特定申购费率。</w:t>
      </w:r>
    </w:p>
    <w:p w14:paraId="2F6970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7AFC99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CB5326" w14:paraId="6BFFEDF3"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479BDFE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特定申购费率（</w:t>
            </w:r>
            <w:r>
              <w:rPr>
                <w:rFonts w:ascii="Times New Roman" w:hAnsi="Times New Roman"/>
                <w:color w:val="000000"/>
                <w:kern w:val="0"/>
                <w:sz w:val="25"/>
                <w:szCs w:val="24"/>
              </w:rPr>
              <w:t>A</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41EABDB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657C48C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类特定申购费率</w:t>
            </w:r>
          </w:p>
        </w:tc>
      </w:tr>
      <w:tr w:rsidR="00CB5326" w14:paraId="3A0F92A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4587B50" w14:textId="77777777" w:rsidR="00CB5326" w:rsidRDefault="00CB5326">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617F859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7435411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CB5326" w14:paraId="0A0F326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27B1061" w14:textId="77777777" w:rsidR="00CB5326" w:rsidRDefault="00CB5326">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463013A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D6FEE2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CB5326" w14:paraId="29580AC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40D0E55" w14:textId="77777777" w:rsidR="00CB5326" w:rsidRDefault="00CB5326">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03EB8AD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E3A9AF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CB5326" w14:paraId="186D709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1A1BF9F" w14:textId="77777777" w:rsidR="00CB5326" w:rsidRDefault="00CB5326">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2540F60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482A438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CB5326" w14:paraId="56E6507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985A6A0" w14:textId="77777777" w:rsidR="00CB5326" w:rsidRDefault="00CB5326">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57562A6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1FA6A3C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5CA944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有关养老金客户实施特定申购费率的具体规定以及活动时间如有变化，敬请投资人留意本公司发布的相关公告。</w:t>
      </w:r>
    </w:p>
    <w:p w14:paraId="64AF7B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B1053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A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C50DA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A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44E783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00BEF7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本基金管理人可根据业务情况调整上述交易费用和限额要求，并依据相关法规的要求提前进行公告。</w:t>
      </w:r>
    </w:p>
    <w:p w14:paraId="393CB3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68CD61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基金份额收取赎回费用，该费用随基金份额的持有时间递减。本基金基金份额的赎回费用由基金份额赎回人承担，赎回费用的25%归基金财产，其余用于支付注册登记费和其他必要的手续费。其中，对持续持有期少于7日的基金份额持有人收取不低于1.5%的赎回费并全额计入基金财产。</w:t>
      </w:r>
    </w:p>
    <w:p w14:paraId="2A2B21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本基金A/B类基金份额的赎回费率如下：</w:t>
      </w:r>
    </w:p>
    <w:tbl>
      <w:tblPr>
        <w:tblW w:w="5000" w:type="pct"/>
        <w:tblCellMar>
          <w:left w:w="0" w:type="dxa"/>
          <w:right w:w="0" w:type="dxa"/>
        </w:tblCellMar>
        <w:tblLook w:val="0000" w:firstRow="0" w:lastRow="0" w:firstColumn="0" w:lastColumn="0" w:noHBand="0" w:noVBand="0"/>
      </w:tblPr>
      <w:tblGrid>
        <w:gridCol w:w="2162"/>
        <w:gridCol w:w="6488"/>
      </w:tblGrid>
      <w:tr w:rsidR="00CB5326" w14:paraId="29C588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3B3A15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14:paraId="2D40CB5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CB5326" w14:paraId="5177C17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104DF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7E8BBA5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B5326" w14:paraId="2A7C79A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45DEC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65813FE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CB5326" w14:paraId="4BF070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549AA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3CBD79A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CB5326" w14:paraId="2319B5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2103C9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23F257A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2C4958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本基金C类基金份额的赎回费率如下：</w:t>
      </w:r>
    </w:p>
    <w:tbl>
      <w:tblPr>
        <w:tblW w:w="5000" w:type="pct"/>
        <w:tblCellMar>
          <w:left w:w="0" w:type="dxa"/>
          <w:right w:w="0" w:type="dxa"/>
        </w:tblCellMar>
        <w:tblLook w:val="0000" w:firstRow="0" w:lastRow="0" w:firstColumn="0" w:lastColumn="0" w:noHBand="0" w:noVBand="0"/>
      </w:tblPr>
      <w:tblGrid>
        <w:gridCol w:w="2162"/>
        <w:gridCol w:w="6488"/>
      </w:tblGrid>
      <w:tr w:rsidR="00CB5326" w14:paraId="59DB3BF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CDFFC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14:paraId="3DD97145"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CB5326" w14:paraId="704A8BD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A98025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449DAED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B5326" w14:paraId="1DF7EFD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E4518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14:paraId="3017D94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4BB893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3、基金管理人可以在履行相关手续后，在基金合同约定的范围内调整申购、赎回费率或调整收费方式，基金管理人应于新的费率或收费方式实施日前依照有关规定在指定媒介上公告。</w:t>
      </w:r>
    </w:p>
    <w:p w14:paraId="02F3D6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14:paraId="5F7FB2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（八）申购和赎回的数额和价格</w:t>
      </w:r>
    </w:p>
    <w:p w14:paraId="40E2F7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5E2ED5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申购的有效份额按实际确认的申购金额在扣除申购费用（如有）后，以当日基金份额净值为基准计算，场外申购的有效份额按照四舍五入的原则保留到小数点后2位，由此误差产生的损失由基金财产承担，产生的收益归基金财产所有。场内申购的有效份额的计算截位保留到整数位，剩余部分折回金额返还投资者，折回金额的计算保留到小数点后两位，小数点两位以后的部分四舍五入，由此误差产生的损失由基金财产承担，产生的收益归基金财产所有。</w:t>
      </w:r>
    </w:p>
    <w:p w14:paraId="45C8F6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余额的处理方式：赎回金额为按实际确认的有效赎回份额乘以当日基金份额净值并扣除赎回费用（如有），赎回金额计算结果按照四舍五入的原则保留到小数点后2位，由此误差产生的损失由基金财产承担，产生的收益归基金财产所有。</w:t>
      </w:r>
    </w:p>
    <w:p w14:paraId="49A217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6A77DE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14:paraId="139BE1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5E25A0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48905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77B0D2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申购费用=申购总金额-净申购金额</w:t>
      </w:r>
    </w:p>
    <w:p w14:paraId="558B65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5FC8D665" w14:textId="5348D471"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6C507A">
        <w:rPr>
          <w:rFonts w:ascii="宋体" w:hAnsi="宋体"/>
          <w:noProof/>
          <w:kern w:val="0"/>
          <w:sz w:val="24"/>
        </w:rPr>
        <w:drawing>
          <wp:inline distT="0" distB="0" distL="0" distR="0" wp14:anchorId="1D22203A" wp14:editId="47E91148">
            <wp:extent cx="2755900" cy="660400"/>
            <wp:effectExtent l="0" t="0" r="0" b="0"/>
            <wp:docPr id="6"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5900" cy="660400"/>
                    </a:xfrm>
                    <a:prstGeom prst="rect">
                      <a:avLst/>
                    </a:prstGeom>
                    <a:noFill/>
                    <a:ln>
                      <a:noFill/>
                    </a:ln>
                  </pic:spPr>
                </pic:pic>
              </a:graphicData>
            </a:graphic>
          </wp:inline>
        </w:drawing>
      </w:r>
    </w:p>
    <w:p w14:paraId="36D5C9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场内申购的有效份额保留到整数位，剩余部分对应申购资金返还投资者。</w:t>
      </w:r>
    </w:p>
    <w:p w14:paraId="42924B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例一：某投资者投资100,000元申购本基金的A类基金份额，假设申购当日A/B类基金份额净值为1.0400元，申购费率为0.8%，如果该投资者是场外申购，则其可得到的申购份额为：</w:t>
      </w:r>
    </w:p>
    <w:p w14:paraId="017512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034D37C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44625C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0C8A87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397042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如果该投资者是场内申购，申购份额为95,390份，其余0.72份对应金额返回给投资者。</w:t>
      </w:r>
    </w:p>
    <w:p w14:paraId="22C0A0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（2）B类基金份额的申购</w:t>
      </w:r>
    </w:p>
    <w:p w14:paraId="52D72E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241306C8" w14:textId="69BE62A6"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w:t>
      </w:r>
      <w:r w:rsidR="006C507A">
        <w:rPr>
          <w:rFonts w:ascii="宋体" w:hAnsi="宋体"/>
          <w:noProof/>
          <w:kern w:val="0"/>
          <w:sz w:val="24"/>
        </w:rPr>
        <w:drawing>
          <wp:inline distT="0" distB="0" distL="0" distR="0" wp14:anchorId="413B1674" wp14:editId="25E5536E">
            <wp:extent cx="2755900" cy="66040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5900" cy="660400"/>
                    </a:xfrm>
                    <a:prstGeom prst="rect">
                      <a:avLst/>
                    </a:prstGeom>
                    <a:noFill/>
                    <a:ln>
                      <a:noFill/>
                    </a:ln>
                  </pic:spPr>
                </pic:pic>
              </a:graphicData>
            </a:graphic>
          </wp:inline>
        </w:drawing>
      </w:r>
    </w:p>
    <w:p w14:paraId="08F7F4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当投资者提出赎回时，后端申购费用的计算方法为：</w:t>
      </w:r>
    </w:p>
    <w:p w14:paraId="2B662E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后端申购费用＝赎回份额×T日A/B类基金份额净值×后端申购费率</w:t>
      </w:r>
    </w:p>
    <w:p w14:paraId="0A1CB1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例二：某投资者投资100,000元申购本基金的B类基金份额，假设申购当日A/B类基金份额净值为1.0400元，则其可得到的申购份额为：</w:t>
      </w:r>
    </w:p>
    <w:p w14:paraId="09CAB5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409785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即：投资者投资100,000元申购本基金的B类基金份额，假设申购当日A/B类基金份额净值为1.0400元，则可得到96,153.85份基金份额，但其在赎回时需根据其持有时间按对应的后端申购费率交纳后端申购费用。</w:t>
      </w:r>
    </w:p>
    <w:p w14:paraId="0FED57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（3）C类基金份额的申购</w:t>
      </w:r>
    </w:p>
    <w:p w14:paraId="1F4BAB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14:paraId="3503FB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4CBD1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申购份额=申购总金额/T日C类基金份额净值</w:t>
      </w:r>
    </w:p>
    <w:p w14:paraId="4A1F95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例三：某投资者投资100,000元申购本基金的C类基金份额，假设申购当日C类基金份额净值为1.0400元，则其可得到的申购份额为：</w:t>
      </w:r>
    </w:p>
    <w:p w14:paraId="38BDB8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申购份额＝100,000/1.0400＝96,153.85份</w:t>
      </w:r>
    </w:p>
    <w:p w14:paraId="616C6D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即：投资者投资100,000元申购本基金的C类基金份额，假设申购当日C类基金份额净值为1.0400元，则其可得到96,153.85份C类基金份额。</w:t>
      </w:r>
    </w:p>
    <w:p w14:paraId="17AA4A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7AF0C3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14:paraId="01894F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14:paraId="0BAD9D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赎回费用=赎回份额×T日A/B类基金份额净值×赎回费率</w:t>
      </w:r>
    </w:p>
    <w:p w14:paraId="1E7C27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赎回金额=赎回份额×T日A/B类基金份额净值-赎回费用</w:t>
      </w:r>
    </w:p>
    <w:p w14:paraId="1C1474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例四：某投资者赎回100,000份A类基金份额，对应的赎回费率为0.1%，假设赎回当日A/B类基金份额净值是1.0160元，则其可得到的赎回金额为：</w:t>
      </w:r>
    </w:p>
    <w:p w14:paraId="57BB64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赎回费用=100,000×1.0160×0.1%＝101.60元</w:t>
      </w:r>
    </w:p>
    <w:p w14:paraId="4B0FE2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赎回金额=100,000×1.0160-101.60＝101,498.40元</w:t>
      </w:r>
    </w:p>
    <w:p w14:paraId="3B72C8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即：投资者赎回100,000万份A类基金份额，假设赎回当日A/B类基金份额净值是1.0160元，则其可得到的赎回金额为101,498.40元。</w:t>
      </w:r>
    </w:p>
    <w:p w14:paraId="3D797D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（2）B类基金份额的赎回</w:t>
      </w:r>
    </w:p>
    <w:p w14:paraId="78BEEC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如果投资者赎回B类基金份额，则赎回金额的计算方法如下：</w:t>
      </w:r>
    </w:p>
    <w:p w14:paraId="4F8405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赎回总额＝赎回份额×T日A/B类基金份额净值</w:t>
      </w:r>
    </w:p>
    <w:p w14:paraId="16C39F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后端（认）申购费用＝赎回份额×（认）申购日基金份额净值×后端（认）申购费率</w:t>
      </w:r>
    </w:p>
    <w:p w14:paraId="69CF31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赎回费用＝赎回总额×赎回费率</w:t>
      </w:r>
    </w:p>
    <w:p w14:paraId="4CAE22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14:paraId="4F69C9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例五：某投资者赎回100,000份B类基金份额，对应的后端申购费率是1.0%，赎回费率为0.1%，假设赎回当日A/B类基金份额净值是1.0160元，申购时的A/B类基金份额净值为1.0100元，则其可得到的赎回金额为：</w:t>
      </w:r>
    </w:p>
    <w:p w14:paraId="286D44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赎回总额=100,000×1.0160=101,600元</w:t>
      </w:r>
    </w:p>
    <w:p w14:paraId="02D9AD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后端申购费用=100,000×1.0100×1.0%=1,010.00元</w:t>
      </w:r>
    </w:p>
    <w:p w14:paraId="73D27F4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赎回费用=101,600×0.1%=101.60元</w:t>
      </w:r>
    </w:p>
    <w:p w14:paraId="6D68E5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赎回金额=101,600-1,010.00-101.60=100,488.40元</w:t>
      </w:r>
    </w:p>
    <w:p w14:paraId="6C34F2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B类基金份额，对应的赎回费率为0.1%，假设赎回当日A/B类基金份额净值是1.0160元，投资者对应的后端申购费率是1.0%，申购时的A/B类基金份额净值为1.0100元，则其可得到的赎回金额为100,488.40元。</w:t>
      </w:r>
    </w:p>
    <w:p w14:paraId="4652F1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（3）C类基金份额的赎回</w:t>
      </w:r>
    </w:p>
    <w:p w14:paraId="77094A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14:paraId="3A750A0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14:paraId="370F5B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14:paraId="633CFC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例六：某投资者赎回100,000份C类基金份额，对应的赎回费率为0，假设赎回当日C类基金份额净值是1.2500元，则其可得到的赎回金额为：</w:t>
      </w:r>
    </w:p>
    <w:p w14:paraId="35B26F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赎回费用=100,000×1.2500×0＝0元</w:t>
      </w:r>
    </w:p>
    <w:p w14:paraId="196BF1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赎回金额=100,000×1.2500-0=125,000 元</w:t>
      </w:r>
    </w:p>
    <w:p w14:paraId="5D1581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即：投资者赎回100,000份C类基金份额，对应的赎回费率为0，假设赎回当日C类基金份额净值是1.2500元，则其可得到的赎回金额为125,000元。</w:t>
      </w:r>
    </w:p>
    <w:p w14:paraId="1D0D33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1E8CAD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A/B类基金份额净值＝A/B类基金份额的基金资产净值总额/发行在外的A/B类基金份额总数</w:t>
      </w:r>
    </w:p>
    <w:p w14:paraId="15E476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14:paraId="78A697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本基金不同类别基金份额T日的基金份额净值在当日收市后分别计算，并在T＋1日分别公告。遇特殊情况，经中国证监会同意，可以适当延迟计算或公告。</w:t>
      </w:r>
    </w:p>
    <w:p w14:paraId="2A1F89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（九）拒绝或暂停申购的情形及处理方式</w:t>
      </w:r>
    </w:p>
    <w:p w14:paraId="16DEB6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发生下列情况时，基金管理人可拒绝或暂停接受基金投资者的申购申请：</w:t>
      </w:r>
    </w:p>
    <w:p w14:paraId="790C31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1、因不可抗力导致基金无法正常运作或无法接受申购；</w:t>
      </w:r>
    </w:p>
    <w:p w14:paraId="63E535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2、证券交易所交易时间临时停市，导致基金管理人无法计算当日基金资产净值；</w:t>
      </w:r>
    </w:p>
    <w:p w14:paraId="6B37FF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3、发生本基金合同规定的暂停基金资产估值情况；</w:t>
      </w:r>
    </w:p>
    <w:p w14:paraId="5E4A62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4、基金资产规模过大，使基金管理人无法找到合适的投资品种，或基金管理人认为会损害已有基金份额持有人利益的其他情形；</w:t>
      </w:r>
    </w:p>
    <w:p w14:paraId="66B56C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5、基金管理人认为会有损于现有基金份额持有人利益的某笔申购；</w:t>
      </w:r>
    </w:p>
    <w:p w14:paraId="591C2A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6、当前一估值日基金资产净值50%以上的资产出现无可参考的活跃市场价格且采用估值技术仍导致公允价值存在重大不确定性时，经与基金托管人协商确认后，基金管理人应当暂停接受基金申购申请；</w:t>
      </w:r>
    </w:p>
    <w:p w14:paraId="288DA6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7、基金管理人接受某笔或者某些申购申请有可能导致单一投资者持有基金份额的比例超过50%，或者变相规避50%集中度的情形。出现上述情形时，基金管理人有权将上述申购申请全部或部分确认失败。</w:t>
      </w:r>
    </w:p>
    <w:p w14:paraId="5D2821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8、法律法规规定或中国证监会认定的其他情形。</w:t>
      </w:r>
    </w:p>
    <w:p w14:paraId="679B2B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除第5、7项以外的暂停申购情形且基金管理人决定暂停接受基金投资者的申购申请时，基金管理人应当在规定期限内在指定媒介上刊登暂停申购公告。如果基金投资者的申购申请被拒绝，被拒绝的申购款项将退还给投资者。在暂停申购的情况消除时，基金管理人应及时恢复申购业务的办理。</w:t>
      </w:r>
    </w:p>
    <w:p w14:paraId="46F22F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（十）暂停赎回或者延缓支付赎回款项的情形及处理方式</w:t>
      </w:r>
    </w:p>
    <w:p w14:paraId="541F63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发生下列情形时，基金管理人可暂停接受基金投资者的赎回申请或延缓支付赎回款项：</w:t>
      </w:r>
    </w:p>
    <w:p w14:paraId="53302B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1、因不可抗力导致基金无法正常运作或基金管理人不能支付赎回款项；</w:t>
      </w:r>
    </w:p>
    <w:p w14:paraId="7A049A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2、证券交易所交易时间临时停市，导致基金管理人无法计算当日基金资产净值；</w:t>
      </w:r>
    </w:p>
    <w:p w14:paraId="1DAC6E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3、连续两个或两个以上开放日发生巨额赎回，导致本基金的现金支付出现困难；</w:t>
      </w:r>
    </w:p>
    <w:p w14:paraId="7B1E9D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4、发生本基金合同规定的暂停基金资产估值情况；</w:t>
      </w:r>
    </w:p>
    <w:p w14:paraId="608233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14:paraId="7E0EE9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6、法律法规规定或中国证监会认定的其他情形。</w:t>
      </w:r>
    </w:p>
    <w:p w14:paraId="1D1295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且基金管理人决定暂停接受基金投资者的赎回申请或延缓支付赎回款项时，基金管理人应在规定期限内在指定媒介上刊登暂停公告，已确认成功的赎回申请，基金管理人应按时足额支付；如暂时不能足额支付，可支付部分按单个账户申请量占申请总量的比例分配给赎回申请人，未支付部分可延期确认，并以后续开放日的基金份额净值为依据计算赎回金额，若出现上述第3项所述情形，按基金合同的相关条款处理。投资者在申请赎回时可事先选择将当日可能未获受理部分</w:t>
      </w:r>
      <w:r>
        <w:rPr>
          <w:rFonts w:ascii="宋体" w:hAnsi="宋体"/>
          <w:sz w:val="24"/>
        </w:rPr>
        <w:lastRenderedPageBreak/>
        <w:t>予以撤销。暂停赎回或延缓支付款项的场内处理，按照上海证券交易所及中国证券登记结算有限责任公司的有关规定办理。在暂停赎回的情况消除时，基金管理人应及时恢复赎回业务的办理并公告。</w:t>
      </w:r>
    </w:p>
    <w:p w14:paraId="6D02A7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（十一）巨额赎回的情形及处理方式</w:t>
      </w:r>
    </w:p>
    <w:p w14:paraId="19DA7F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14:paraId="6E55B7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10%，即认为是发生了巨额赎回。</w:t>
      </w:r>
    </w:p>
    <w:p w14:paraId="69632A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1C52EF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当基金出现巨额赎回时，基金管理人可以根据基金当时的资产组合状况决定全额赎回或部分顺延赎回。</w:t>
      </w:r>
    </w:p>
    <w:p w14:paraId="34A7BEB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（1）全额赎回：当基金管理人认为有能力支付基金投资者的赎回申请时，按正常赎回程序执行。</w:t>
      </w:r>
    </w:p>
    <w:p w14:paraId="224D86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14:paraId="133BD8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14:paraId="79EF74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巨额赎回业务的场内处理，按照上海证券交易所及中国证券登记结算有限责任公司的有关规定办理。</w:t>
      </w:r>
    </w:p>
    <w:p w14:paraId="724BFC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681F52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当发生巨额赎回并顺延赎回时，基金管理人应当通过邮寄、传真、刊登公告或者通知代销机构代为告知等方式在3个交易日内通知基金份额持有人，说明有关处理方法，并在2日内在指定媒介上刊登公告。</w:t>
      </w:r>
    </w:p>
    <w:p w14:paraId="14B9BD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连续2日以上（含本数）发生巨额赎回，如基金管理人认为有必要，可暂停接受基金的赎回申请；已经确认成功的赎回申请可以延缓支付赎回款项，但不得超过20个工作日，并应当在指定媒介上进行公告。</w:t>
      </w:r>
    </w:p>
    <w:p w14:paraId="34B9D8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（十二）暂停申购或赎回的公告和重新开放申购或赎回的公告</w:t>
      </w:r>
    </w:p>
    <w:p w14:paraId="58AC73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14:paraId="6ADC46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2、暂停结束，基金重新开放申购或赎回时，基金管理人应依照《信息披露管理办法》的有关规定，在指定媒介上刊登基金重新开放申购或赎回公告，并公告最近1个开放日的基金份额净值。</w:t>
      </w:r>
    </w:p>
    <w:p w14:paraId="1F7EB9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（十三）转托管</w:t>
      </w:r>
    </w:p>
    <w:p w14:paraId="5BA5C1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00FEC4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14:paraId="48D71E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w:t>
      </w:r>
    </w:p>
    <w:p w14:paraId="7FC988B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（1）系统内转托管是指基金份额持有人将持有的基金份额在注册登记系统内不同销售机构之间或证券登记结算系统内不同会员单位之间进行转登记的行为。</w:t>
      </w:r>
    </w:p>
    <w:p w14:paraId="718DCE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（2）基金份额登记在注册登记系统的基金份额持有人在变更办理基金赎回业务的销售机构（网点）时，销售机构（网点）之间不能通存通兑时的，可办理已持有基金份额的系统内转托管。</w:t>
      </w:r>
    </w:p>
    <w:p w14:paraId="683833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2、跨系统转托管</w:t>
      </w:r>
    </w:p>
    <w:p w14:paraId="4F266D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（1）跨系统转托管是指基金份额持有人将所持有的基金份额在注册登记系统和证券登记结算系统之间进行转登记的行为。</w:t>
      </w:r>
    </w:p>
    <w:p w14:paraId="1053C5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（2）本基金跨系统转托管的具体业务按照中国证券登记结算有限责任公司的相关规定办理。</w:t>
      </w:r>
    </w:p>
    <w:p w14:paraId="78C91C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如果基金管理人、注册登记机构、办理转托管的销售机构出现技术系统性能限制或出于其它合理原因，可以暂停该业务或者拒绝基金份额持有人的转托管申请。</w:t>
      </w:r>
    </w:p>
    <w:p w14:paraId="565135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（十四）定期定额投资计划</w:t>
      </w:r>
    </w:p>
    <w:p w14:paraId="048178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2013年3月14日刊登公告自2013年3月19日起开通定期定额投资计划业务，具体开通销售机构名单和业务规则参见相关公告。</w:t>
      </w:r>
    </w:p>
    <w:p w14:paraId="75EF61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（十五）定期定额赎回业务</w:t>
      </w:r>
    </w:p>
    <w:p w14:paraId="7B85100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2013年3月14日刊登公告自2013年3月19日起在中国农业银行股份有限公司下属各代销网点开通定期定额赎回业务。</w:t>
      </w:r>
    </w:p>
    <w:p w14:paraId="3AC4FF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电话（95599）。</w:t>
      </w:r>
    </w:p>
    <w:p w14:paraId="3290E0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（十六）基金的非交易过户</w:t>
      </w:r>
    </w:p>
    <w:p w14:paraId="7B0F82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指注册登记机构受理继承、捐赠、司法强制执行和经注册登记机构认可的其它情况而产生的非交易过户。无论在上述何种情况下，接受划转的主体必须是依法可以持有本基金基金份额的投资者。</w:t>
      </w:r>
    </w:p>
    <w:p w14:paraId="1D182B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w:t>
      </w:r>
      <w:r>
        <w:rPr>
          <w:rFonts w:ascii="宋体" w:hAnsi="宋体"/>
          <w:sz w:val="24"/>
        </w:rPr>
        <w:lastRenderedPageBreak/>
        <w:t>构要求提供的相关资料，对于符合条件的非交易过户申请按注册登记机构的有关规定办理，并按注册登记机构规定的标准收费。</w:t>
      </w:r>
    </w:p>
    <w:p w14:paraId="4351B9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（十七）基金份额的冻结和解冻</w:t>
      </w:r>
    </w:p>
    <w:p w14:paraId="315417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只受理国家有关机关依法要求的基金份额的冻结与解冻以及注册登记机构认可的其他情况的基金份额的冻结与解冻。基金份额被冻结的，被冻结基金份额所产生的权益按照法律法规、监管规章以及国家有权机关的要求来决定是否冻结。</w:t>
      </w:r>
    </w:p>
    <w:p w14:paraId="02153B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当基金份额处于冻结状态时，注册登记机构或其他相关机构有权拒绝该部分基金份额的赎回申请、转出申请、非交易过户以及基金的转托管申请。</w:t>
      </w:r>
    </w:p>
    <w:p w14:paraId="039F10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（十八）实施侧袋机制期间本基金的申购与赎回</w:t>
      </w:r>
    </w:p>
    <w:p w14:paraId="084C92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7CA1FB2C"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D2DCFFB" w14:textId="77777777" w:rsidR="00CB5326" w:rsidRDefault="000C1687">
      <w:pPr>
        <w:pStyle w:val="1"/>
        <w:snapToGrid w:val="0"/>
        <w:spacing w:beforeLines="0" w:before="240" w:after="240"/>
        <w:rPr>
          <w:rFonts w:ascii="宋体" w:hAnsi="宋体"/>
          <w:szCs w:val="30"/>
        </w:rPr>
      </w:pPr>
      <w:bookmarkStart w:id="12" w:name="_Toc154495299"/>
      <w:r>
        <w:rPr>
          <w:rFonts w:ascii="Times New Roman" w:hAnsi="Times New Roman"/>
          <w:sz w:val="30"/>
        </w:rPr>
        <w:lastRenderedPageBreak/>
        <w:t>九、基金的转换</w:t>
      </w:r>
      <w:bookmarkEnd w:id="12"/>
    </w:p>
    <w:p w14:paraId="1190B3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（一）基金转换</w:t>
      </w:r>
    </w:p>
    <w:p w14:paraId="77306A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w:t>
      </w:r>
    </w:p>
    <w:p w14:paraId="176EFC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（二）转换业务办理时间</w:t>
      </w:r>
    </w:p>
    <w:p w14:paraId="17D340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本基金2013年3月28日刊登公告自2013年4月2日起开放日常转换业务。</w:t>
      </w:r>
    </w:p>
    <w:p w14:paraId="1E4E8B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办理基金间转换的时间为上海证券交易所、深圳证券交易所交易日。若出现新的证券交易市场或交易所交易时间更改或其它原因，基金管理人将视情况进行相应的调整并公告。</w:t>
      </w:r>
    </w:p>
    <w:p w14:paraId="4656CC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0AEF78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14:paraId="1FF577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（三）基金转换的程序</w:t>
      </w:r>
    </w:p>
    <w:p w14:paraId="26F8AC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14:paraId="2D0528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14:paraId="39F998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14:paraId="3756BA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14:paraId="154CA2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14:paraId="38117A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（四）基金转换的数额限制</w:t>
      </w:r>
    </w:p>
    <w:p w14:paraId="119D845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基金转换以份额为单位进行申请，申请转换份额精确到小数点后两位，小数点后两位以后的部分四舍五入，误差部分归基金财产。</w:t>
      </w:r>
    </w:p>
    <w:p w14:paraId="62E9D5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本基金遵循“份额转换”的原则，单笔转换份额不得低于1份。基金持有人可将其全部或部分基金份额转换成其它基金，单笔转换申请不受转入基金最低申购限额限制。</w:t>
      </w:r>
    </w:p>
    <w:p w14:paraId="3FC33E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403F9F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（五）基金转换费用</w:t>
      </w:r>
    </w:p>
    <w:p w14:paraId="63C608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14:paraId="3F3268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14:paraId="0BEF1F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6F859FA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14:paraId="744B13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14:paraId="7F4A21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14:paraId="59FEC5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w:t>
      </w:r>
      <w:r>
        <w:rPr>
          <w:rFonts w:ascii="宋体" w:hAnsi="宋体"/>
          <w:sz w:val="24"/>
        </w:rPr>
        <w:lastRenderedPageBreak/>
        <w:t>转入基金的后端申购费。后端申购补差费用按照转出份额持有时间对应分档的转出基金后端申购费率减去转入基金后端申购费率差额进行补差。</w:t>
      </w:r>
    </w:p>
    <w:p w14:paraId="1DFB1D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14:paraId="45A528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C0DD1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6、基金管理人可以根据法律法规及基金合同的规定对上述收费方式和费率进行调整，并应于调整后的收费方式和费率在实施前依照《信息披露办法》的有关规定在中国证监会规定媒介上公告。</w:t>
      </w:r>
    </w:p>
    <w:p w14:paraId="69186F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（六）基金转换份额的计算公式</w:t>
      </w:r>
    </w:p>
    <w:p w14:paraId="6974B4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14:paraId="3D4DAA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679DAD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272232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65E8B6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14:paraId="2BB33E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14:paraId="1675FE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14:paraId="47A208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E3E6CD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2BE2DC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393EB7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362437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w:t>
      </w:r>
      <w:r>
        <w:rPr>
          <w:rFonts w:ascii="宋体" w:hAnsi="宋体"/>
          <w:sz w:val="24"/>
        </w:rPr>
        <w:lastRenderedPageBreak/>
        <w:t>半年，转换申请当日交银趋势的A类基金份额净值为1.0100元，交银成长的基金份额净值为2.2700元。若该投资者将100,000份交银趋势前端A类基金份额转换为交银成长前端基金份额，则转入交银成长确认的基金份额为：</w:t>
      </w:r>
    </w:p>
    <w:p w14:paraId="266D44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14:paraId="48D6A3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14:paraId="6D5C3C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14:paraId="068EAB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14:paraId="2A5364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14:paraId="5C47CA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14:paraId="492042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14:paraId="75A1FF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14:paraId="62DF6D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14:paraId="30732F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14:paraId="4DE1BEC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14:paraId="686087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14:paraId="5A439D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6EF365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0A87F3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14:paraId="1C953F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14:paraId="24BBA9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14:paraId="4E5609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份额转换为交银增利A类基金份额，则转入确认的交银增利A类基金份额为：</w:t>
      </w:r>
    </w:p>
    <w:p w14:paraId="55C796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转出确认金额=100,000×1.00=100,000元</w:t>
      </w:r>
    </w:p>
    <w:p w14:paraId="64D718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2AE5F0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523557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14:paraId="636F08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14:paraId="35A75C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14:paraId="708897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14:paraId="432019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14:paraId="41753E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14:paraId="49D8AE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14:paraId="18A8E5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14:paraId="226A6E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14:paraId="6830B7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14:paraId="2FFC90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14:paraId="0738BB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14:paraId="268D76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1BFEF7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1F6514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03D2A7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14:paraId="436B66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14:paraId="0A46A8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份额净值为1.00元。若该投资者将100,000份交银先锋后端A类基金份额转换为交银</w:t>
      </w:r>
      <w:r>
        <w:rPr>
          <w:rFonts w:ascii="宋体" w:hAnsi="宋体"/>
          <w:sz w:val="24"/>
        </w:rPr>
        <w:lastRenderedPageBreak/>
        <w:t>货币，则转入交银货币的基金份额为：</w:t>
      </w:r>
    </w:p>
    <w:p w14:paraId="53B111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14:paraId="4AEC4C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14:paraId="663BE4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14:paraId="22BD07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14:paraId="48E18E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14:paraId="102B74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6E1075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14:paraId="086F50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14:paraId="31814A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14:paraId="480F25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14:paraId="0819F8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14:paraId="676495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18D4AF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14:paraId="3252E2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14:paraId="30D90B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14:paraId="118B85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14:paraId="309B49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14:paraId="506261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（七）业务规则</w:t>
      </w:r>
    </w:p>
    <w:p w14:paraId="694412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73808A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w:t>
      </w:r>
      <w:r>
        <w:rPr>
          <w:rFonts w:ascii="宋体" w:hAnsi="宋体"/>
          <w:sz w:val="24"/>
        </w:rPr>
        <w:lastRenderedPageBreak/>
        <w:t>只能转换到前端收费模式的其他基金，后端收费模式的基金只能转换到后端收费模式的其他基金。货币市场基金、债券基金C类基金份额与其他基金之间的转换不受上述收费模式的限制。</w:t>
      </w:r>
    </w:p>
    <w:p w14:paraId="254BEE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14:paraId="6CF7B9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14:paraId="76868D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14:paraId="22E284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（八）暂停基金转换</w:t>
      </w:r>
    </w:p>
    <w:p w14:paraId="670074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17868B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1F9E6BCC"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B9A3D3D" w14:textId="77777777" w:rsidR="00CB5326" w:rsidRDefault="000C1687">
      <w:pPr>
        <w:pStyle w:val="1"/>
        <w:snapToGrid w:val="0"/>
        <w:spacing w:beforeLines="0" w:before="240" w:after="240"/>
        <w:rPr>
          <w:rFonts w:ascii="宋体" w:hAnsi="宋体"/>
          <w:szCs w:val="30"/>
        </w:rPr>
      </w:pPr>
      <w:bookmarkStart w:id="13" w:name="_Toc154495300"/>
      <w:r>
        <w:rPr>
          <w:rFonts w:ascii="Times New Roman" w:hAnsi="Times New Roman"/>
          <w:sz w:val="30"/>
        </w:rPr>
        <w:lastRenderedPageBreak/>
        <w:t>十、基金的投资</w:t>
      </w:r>
      <w:bookmarkEnd w:id="13"/>
    </w:p>
    <w:p w14:paraId="072C159F"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14:paraId="41461A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本基金为纯债基金，在严格控制投资风险的基础上，追求稳定的当期收益和基金资产的稳健增值。</w:t>
      </w:r>
    </w:p>
    <w:p w14:paraId="397A353E"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14:paraId="20594F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30个交易日内卖出。同时本基金不参与可转换债券投资。如法律法规或监管机构以后允许基金投资其他品种，基金管理人履行适当程序后，可以将其纳入投资范围，其投资比例遵循届时有效法律法规或相关规定。</w:t>
      </w:r>
    </w:p>
    <w:p w14:paraId="1D4DF8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本基金的投资组合比例范围为：固定收益类资产的比例不低于基金资产的80%；现金或到期日在一年以内的政府债券的比例合计不低于基金资产净值的5%，其中现金不包括结算备付金、存出保证金和应收申购款等。</w:t>
      </w:r>
    </w:p>
    <w:p w14:paraId="53336DB6"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14:paraId="7704B3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p w14:paraId="0A63AA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14:paraId="2C870A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分析和判断国内外宏观经济形势的基础上，通过“自上而下”的定性分析和定量分析相结合，形成对大类资产的预测和判断，在基金合同约定的范围内确定债券类资产和现金类资产的配置比例，并随着各类证券风险收益特征的相对变化，动态调整大类资产的投资比例，以规避市场风险，提高基金收益率。</w:t>
      </w:r>
    </w:p>
    <w:p w14:paraId="53A411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2、债券投资策略</w:t>
      </w:r>
    </w:p>
    <w:p w14:paraId="583BA0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（1）久期管理策略</w:t>
      </w:r>
    </w:p>
    <w:p w14:paraId="0285C4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作为债券基金最基本的投资策略，久期管理策略本质上是一种自上而下，通过灵活的久期策略对管理利率风险的策略。</w:t>
      </w:r>
    </w:p>
    <w:p w14:paraId="60D99C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175EF8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基金管理人通过以下方面的分析来确定债券组合的目标久期：</w:t>
      </w:r>
    </w:p>
    <w:p w14:paraId="316478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766E79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2）利率变动趋势分析。在宏观经济环境分析的基础上，密切关注月度CPI、PPI等物价指数，货币信贷、汇率等金融运行数据，预测未来利率的变动趋势。</w:t>
      </w:r>
    </w:p>
    <w:p w14:paraId="0734F8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16269A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6208F6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0CF6BE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0E93A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（3）债券的类别配置策略</w:t>
      </w:r>
    </w:p>
    <w:p w14:paraId="3E6AAF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w:t>
      </w:r>
      <w:r>
        <w:rPr>
          <w:rFonts w:ascii="宋体" w:hAnsi="宋体"/>
          <w:sz w:val="24"/>
        </w:rPr>
        <w:lastRenderedPageBreak/>
        <w:t>配置。</w:t>
      </w:r>
    </w:p>
    <w:p w14:paraId="1DDD02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（4）骑乘策略</w:t>
      </w:r>
    </w:p>
    <w:p w14:paraId="42A63F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7ECE3B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（5）杠杆放大策略</w:t>
      </w:r>
    </w:p>
    <w:p w14:paraId="48D447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12BA34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（6）信用债券投资策略</w:t>
      </w:r>
    </w:p>
    <w:p w14:paraId="0C7C04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本基金信用债券的投资遵循以下流程：</w:t>
      </w:r>
    </w:p>
    <w:p w14:paraId="0CC8C7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1）信用债券研究</w:t>
      </w:r>
    </w:p>
    <w:p w14:paraId="0D91F8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3F1CE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w:t>
      </w:r>
    </w:p>
    <w:p w14:paraId="5E7E2A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基金经理从信用债券池中精选债券构建信用债券投资组合。</w:t>
      </w:r>
    </w:p>
    <w:p w14:paraId="292E47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14:paraId="6F8A2F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①信用债券信用评级的变化。</w:t>
      </w:r>
    </w:p>
    <w:p w14:paraId="233A26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②不同信用等级的信用债券，以及同一信用等级不同标的债券之间的信用利差变化。</w:t>
      </w:r>
    </w:p>
    <w:p w14:paraId="08DF62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原则上，购买信用（拟）增级的信用债券，减持信用（拟）降级的信用债券；购买信用利差扩大后存在收窄趋势的信用债券，减持信用利差缩小后存在放宽趋势的信用债券。</w:t>
      </w:r>
    </w:p>
    <w:p w14:paraId="7CD3C8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（7）资产支持证券（含资产收益计划）投资策略</w:t>
      </w:r>
    </w:p>
    <w:p w14:paraId="63C2D9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w:t>
      </w:r>
      <w:r>
        <w:rPr>
          <w:rFonts w:ascii="宋体" w:hAnsi="宋体"/>
          <w:sz w:val="24"/>
        </w:rPr>
        <w:lastRenderedPageBreak/>
        <w:t>积极策略，在严格控制风险的情况下，通过信用研究和流动性管理，选择风险调整后的收益高的品种进行投资，以期获得长期稳定收益。</w:t>
      </w:r>
    </w:p>
    <w:p w14:paraId="451B96E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（四）业绩比较基准</w:t>
      </w:r>
    </w:p>
    <w:p w14:paraId="4E788B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w:t>
      </w:r>
    </w:p>
    <w:p w14:paraId="0189FC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14类券种，能够综合反映我国债券市场的整体投资收益情况，适合作为本基金的业绩比较基准。</w:t>
      </w:r>
    </w:p>
    <w:p w14:paraId="25AEC9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p>
    <w:p w14:paraId="3D6F08AA"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（五）投资决策依据和投资流程</w:t>
      </w:r>
    </w:p>
    <w:p w14:paraId="67AC42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为了保证整个投资组合计划的顺利贯彻与实施，本基金遵循以下投资决策依据以及具体的投资流程：</w:t>
      </w:r>
    </w:p>
    <w:p w14:paraId="569251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14:paraId="464C9B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14:paraId="03EE94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（2）宏观经济发展态势、证券市场运行环境和走势；</w:t>
      </w:r>
    </w:p>
    <w:p w14:paraId="72C83B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（3）投资对象的风险和预期收益的匹配关系，本基金将在承担适度风险的前提下，选择风险和预期收益配比最佳的品种进行投资。</w:t>
      </w:r>
    </w:p>
    <w:p w14:paraId="0699D04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2、投资决策流程</w:t>
      </w:r>
    </w:p>
    <w:p w14:paraId="55D6F8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本基金实行投资决策委员会领导下的基金经理负责制，投资总监是投资决策委员会的执行代表。</w:t>
      </w:r>
    </w:p>
    <w:p w14:paraId="32F8B0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投资决策委员会和投资总监的主要职责是确定基金的资产配置政策，审批重大单项投资决定等。</w:t>
      </w:r>
    </w:p>
    <w:p w14:paraId="0999C0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14:paraId="6A69A0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中央交易室负责交易执行和一线监控。通过严格的交易制度和实时的一线监控功能，保证基金经理的投资指令在合法、合规的前提下得到高效的执行。</w:t>
      </w:r>
    </w:p>
    <w:p w14:paraId="71477F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w:t>
      </w:r>
    </w:p>
    <w:p w14:paraId="5EE77E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基金经理、分析师、交易员在投资管理过程中既密切合作，又责任明确，在各自职责内按照业务程序独立工作并合理地相互制衡。</w:t>
      </w:r>
    </w:p>
    <w:p w14:paraId="71EDC1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具体的投资管理流程如下：</w:t>
      </w:r>
    </w:p>
    <w:p w14:paraId="49160E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1、投资决策委员会每月召开投资决策会议，决定基金的资产配置比例和债券的投资重点等；</w:t>
      </w:r>
    </w:p>
    <w:p w14:paraId="6E2DF8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2、研究部策略分析师、债券分析师、数量分析师各自独立完成相应的研究报告，为投资决策提供依据；</w:t>
      </w:r>
    </w:p>
    <w:p w14:paraId="74930C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3、固定收益部总经理每周召集固定收益业务投资例会，根据投资决策委员会的决定，结合市场和公司基本面的变化，决定具体的投资策略；</w:t>
      </w:r>
    </w:p>
    <w:p w14:paraId="48405C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依据策略分析师的宏观经济分析和策略建议、债券分析师的债券市场研究和券种选择和数量分析师的定量投资策略研究，结合本基金产品定位及风险控制的要求，在权限范围内制定具体的投资组合方案；</w:t>
      </w:r>
    </w:p>
    <w:p w14:paraId="681E08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5、基金经理根据基金投资组合方案，向中央交易室下达交易指令；</w:t>
      </w:r>
    </w:p>
    <w:p w14:paraId="633E35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6、中央交易室执行基金经理的交易指令，对交易情况及时反馈；</w:t>
      </w:r>
    </w:p>
    <w:p w14:paraId="649A12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7、数量分析师负责完成有关投资风险监控报告及内部基金业绩评估报告。</w:t>
      </w:r>
    </w:p>
    <w:p w14:paraId="05C4D1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投资决策委员会有权根据市场变化和实际情况的需要，对上述投资管理程序做出调整。</w:t>
      </w:r>
    </w:p>
    <w:p w14:paraId="6AA0588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（六）投资限制</w:t>
      </w:r>
    </w:p>
    <w:p w14:paraId="24708C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本基金的投资组合将遵循以下限制：</w:t>
      </w:r>
    </w:p>
    <w:p w14:paraId="0CC089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1、本基金与由本基金管理人管理的其他基金持有一家公司发行的证券，不超过该证券的10%；</w:t>
      </w:r>
    </w:p>
    <w:p w14:paraId="51744E0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2、进入全国银行间同业市场进行债券回购的资金余额不得超过基金资产净值的40%。债券回购最长期限为1年，债券回购到期后不得展期；</w:t>
      </w:r>
    </w:p>
    <w:p w14:paraId="75E31F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3、保持不低于基金资产净值5%的现金或者到期日在一年以内的政府债券，其中现金不包括结算备付金、存出保证金和应收申购款等；</w:t>
      </w:r>
    </w:p>
    <w:p w14:paraId="254A44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4、本基金持有的全部权证的市值不超过基金资产净值的 3%，本基金管理人管理的全部基金持有同一权证的比例不超过该权证的10%。投资于其他权证的投资比例，遵从法律法规或监管部门的相关规定；</w:t>
      </w:r>
    </w:p>
    <w:p w14:paraId="2D381C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5、本基金应投资于信用级别评级为BBB以上(含BBB)的资产支持证券。基金持有资产支持证券期间，如果其信用等级下降、不再符合投资标准，应在评级报告发</w:t>
      </w:r>
      <w:r>
        <w:rPr>
          <w:rFonts w:ascii="宋体" w:hAnsi="宋体"/>
          <w:sz w:val="24"/>
        </w:rPr>
        <w:lastRenderedPageBreak/>
        <w:t>布之日起3个月内予以全部卖出；</w:t>
      </w:r>
    </w:p>
    <w:p w14:paraId="5C97E0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同一（指同一信用级别）资产支持证券的比例，不得超过该资产支持证券规模的10%；本基金投资于同一原始权益人的各类资产支持证券的比例，不得超过基金资产净值的10%；基金管理人管理的全部证券投资基金投资于同一原始权益人的各类资产支持证券，不得超过其各类资产支持证券合计规模的10%；本基金持有的全部资产支持证券，其市值不得超过基金资产净值的20%；</w:t>
      </w:r>
    </w:p>
    <w:p w14:paraId="499A00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341BEC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8、本基金与私募类证券资管产品及中国证监会认定的其他主体为交易对手开展逆回购交易的，可接受质押品的资质要求应当与本基金合同约定的投资范围保持一致；</w:t>
      </w:r>
    </w:p>
    <w:p w14:paraId="2E3D11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9、本基金不得违反基金合同中有关投资范围、投资策略、投资比例的规定；</w:t>
      </w:r>
    </w:p>
    <w:p w14:paraId="77D4A7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10、法律法规或监管部门对上述比例限制另有规定的，从其规定。</w:t>
      </w:r>
    </w:p>
    <w:p w14:paraId="343630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六个月内使基金的投资组合比例符合基金合同的约定。基金托管人对基金投资的监督与检查自本基金合同生效之日起开始。在符合相关法律法规规定的前提下，除上述第3、5、7、8项外，因证券市场波动、上市公司合并、基金规模变动等非本基金管理人的因素致使基金的投资组合不符合上述规定的投资比例的，基金管理人应当在10个交易日内进行调整。法律法规或监管部门另有规定的，从其规定。</w:t>
      </w:r>
    </w:p>
    <w:p w14:paraId="1DF24D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法规或监管部门对上述约定的投资组合比例限制规定进行变更，在履行适当程序后，以变更后的规定为准；当法律法规或监管部门取消上述限制，履行适当程序后，本基金投资可不受上述规定限制。</w:t>
      </w:r>
    </w:p>
    <w:p w14:paraId="739F4F2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（七）禁止行为</w:t>
      </w:r>
    </w:p>
    <w:p w14:paraId="41AC15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为维护基金份额持有人的合法权益，本基金禁止从事下列行为：</w:t>
      </w:r>
    </w:p>
    <w:p w14:paraId="01C4D8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77B4C1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2、向他人贷款或者提供担保；</w:t>
      </w:r>
    </w:p>
    <w:p w14:paraId="6C6517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7D4737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4、买卖其他基金份额，但是法律法规或国务院另有规定的除外；</w:t>
      </w:r>
    </w:p>
    <w:p w14:paraId="302536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5、向基金管理人、基金托管人出资或者买卖基金管理人、基金托管人发行的债券；</w:t>
      </w:r>
    </w:p>
    <w:p w14:paraId="1EB301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6、买卖与基金管理人、基金托管人有控股关系的股东或者与基金管理人、基金托管人有其他重大利害关系的公司发行的证券或者承销期内承销的证券；</w:t>
      </w:r>
    </w:p>
    <w:p w14:paraId="543A4A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14:paraId="5B3F26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8、依照法律法规有关规定，由中国证监会规定禁止的其他活动。</w:t>
      </w:r>
    </w:p>
    <w:p w14:paraId="20AC78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若法律法规或监管部门取消上述禁止性规定，履行适当程序后，本基金投资可不受上述相关规定限制。</w:t>
      </w:r>
    </w:p>
    <w:p w14:paraId="13926A52"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（八）风险收益特征</w:t>
      </w:r>
    </w:p>
    <w:p w14:paraId="730579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属于证券投资基金中中等风险的品种，其长期平均的预期收益和风险高于货币市场基金，低于混合型基金和股票型基金。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41E4ED1"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（九）基金管理人代表基金行使股东及债权人权利的处理原则及方法</w:t>
      </w:r>
    </w:p>
    <w:p w14:paraId="09C27B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0501D9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14:paraId="32EE91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14:paraId="0543F2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14:paraId="1ACDC1FB"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（十）基金的融资、融券</w:t>
      </w:r>
    </w:p>
    <w:p w14:paraId="62978D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本基金可以按照有关法律法规和政策的规定进行融资、融券。</w:t>
      </w:r>
    </w:p>
    <w:p w14:paraId="6B1C671A"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（十一）侧袋机制的实施和投资运作安排</w:t>
      </w:r>
    </w:p>
    <w:p w14:paraId="3BAC37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8CA8E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6DBF20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侧袋账户的实施条件、实施程序、运作安排、投资安排、特定资产的处置变现和支付等对投资者权益有重大影响的事项详见本招募说明书“侧袋机制”部分的规定。</w:t>
      </w:r>
    </w:p>
    <w:p w14:paraId="58447D7B"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（十二）基金投资组合报告</w:t>
      </w:r>
    </w:p>
    <w:p w14:paraId="568EAF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3AFDF6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本基金托管人中国农业银行根据本基金合同规定,于2023年10月23日复核了本报告中的财务指标、净值表现和投资组合报告等内容,保证复核内容不存在虚假记载、误导性陈述或者重大遗漏。</w:t>
      </w:r>
    </w:p>
    <w:p w14:paraId="3BDAC3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本报告期为2023年07月01日至09月30日。本报告财务资料未经审计师审计。</w:t>
      </w:r>
    </w:p>
    <w:p w14:paraId="528A7E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B5326" w14:paraId="1D2BBA4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262DA4F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01EF61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ED4BAE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42143B1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5326" w14:paraId="0581D7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196C06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F5F7A7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CE9312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90F2817"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638B5C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31EE4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538EDB6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2A84E94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7F6D663"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1AE5268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45FA7C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4B40F3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5AB8014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014D967"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747E2F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02CD6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A8F88A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4F7AD93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6,027,660,614.82</w:t>
            </w:r>
          </w:p>
        </w:tc>
        <w:tc>
          <w:tcPr>
            <w:tcW w:w="400" w:type="pct"/>
            <w:tcBorders>
              <w:top w:val="single" w:sz="4" w:space="0" w:color="auto"/>
              <w:left w:val="single" w:sz="4" w:space="0" w:color="auto"/>
              <w:bottom w:val="single" w:sz="4" w:space="0" w:color="auto"/>
              <w:right w:val="single" w:sz="4" w:space="0" w:color="auto"/>
            </w:tcBorders>
            <w:vAlign w:val="center"/>
          </w:tcPr>
          <w:p w14:paraId="36EB1B2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99.69</w:t>
            </w:r>
          </w:p>
        </w:tc>
      </w:tr>
      <w:tr w:rsidR="00CB5326" w14:paraId="60E1E8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FD2DA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6CE547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248A199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6,027,660,614.82</w:t>
            </w:r>
          </w:p>
        </w:tc>
        <w:tc>
          <w:tcPr>
            <w:tcW w:w="400" w:type="pct"/>
            <w:tcBorders>
              <w:top w:val="single" w:sz="4" w:space="0" w:color="auto"/>
              <w:left w:val="single" w:sz="4" w:space="0" w:color="auto"/>
              <w:bottom w:val="single" w:sz="4" w:space="0" w:color="auto"/>
              <w:right w:val="single" w:sz="4" w:space="0" w:color="auto"/>
            </w:tcBorders>
            <w:vAlign w:val="center"/>
          </w:tcPr>
          <w:p w14:paraId="6103911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99.69</w:t>
            </w:r>
          </w:p>
        </w:tc>
      </w:tr>
      <w:tr w:rsidR="00CB5326" w14:paraId="241123C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5AC412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C4C891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2F338D2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7BBA0B5"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439FD20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969C4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6CF71E5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5F541725"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808C5FA"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10795B0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481D1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A910C6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4996318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1F6B48D"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26D699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A5817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A64AA5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2E7ABF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CBCECD5"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705591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1D9C87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AEC6FD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0B8C946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B261DE5"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07E4E6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CC836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9DA9AF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6278535E"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4,274,374.59</w:t>
            </w:r>
          </w:p>
        </w:tc>
        <w:tc>
          <w:tcPr>
            <w:tcW w:w="400" w:type="pct"/>
            <w:tcBorders>
              <w:top w:val="single" w:sz="4" w:space="0" w:color="auto"/>
              <w:left w:val="single" w:sz="4" w:space="0" w:color="auto"/>
              <w:bottom w:val="single" w:sz="4" w:space="0" w:color="auto"/>
              <w:right w:val="single" w:sz="4" w:space="0" w:color="auto"/>
            </w:tcBorders>
            <w:vAlign w:val="center"/>
          </w:tcPr>
          <w:p w14:paraId="3D23223A"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rsidR="00CB5326" w14:paraId="2F1441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5F6E1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F1054F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20980FC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14,719,295.15</w:t>
            </w:r>
          </w:p>
        </w:tc>
        <w:tc>
          <w:tcPr>
            <w:tcW w:w="400" w:type="pct"/>
            <w:tcBorders>
              <w:top w:val="single" w:sz="4" w:space="0" w:color="auto"/>
              <w:left w:val="single" w:sz="4" w:space="0" w:color="auto"/>
              <w:bottom w:val="single" w:sz="4" w:space="0" w:color="auto"/>
              <w:right w:val="single" w:sz="4" w:space="0" w:color="auto"/>
            </w:tcBorders>
            <w:vAlign w:val="center"/>
          </w:tcPr>
          <w:p w14:paraId="04A0FCF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0.24</w:t>
            </w:r>
          </w:p>
        </w:tc>
      </w:tr>
      <w:tr w:rsidR="00CB5326" w14:paraId="08B45C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31160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12705F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011C1B57"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6,046,654,284.56</w:t>
            </w:r>
          </w:p>
        </w:tc>
        <w:tc>
          <w:tcPr>
            <w:tcW w:w="400" w:type="pct"/>
            <w:tcBorders>
              <w:top w:val="single" w:sz="4" w:space="0" w:color="auto"/>
              <w:left w:val="single" w:sz="4" w:space="0" w:color="auto"/>
              <w:bottom w:val="single" w:sz="4" w:space="0" w:color="auto"/>
              <w:right w:val="single" w:sz="4" w:space="0" w:color="auto"/>
            </w:tcBorders>
            <w:vAlign w:val="center"/>
          </w:tcPr>
          <w:p w14:paraId="2E5186FD"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0A3DF5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05F84E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21E367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C1861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3E71DE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318255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7016C3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3.1 报告期末按公允价值占基金资产净值比例大小排序的前十名股票投资明细</w:t>
      </w:r>
    </w:p>
    <w:p w14:paraId="3445A25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E729F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B5326" w14:paraId="3307E22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E4F8A8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C83543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542614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E9B9DF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5326" w14:paraId="02AA36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07BA85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2F5F7F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2136507E"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40,321,205.48</w:t>
            </w:r>
          </w:p>
        </w:tc>
        <w:tc>
          <w:tcPr>
            <w:tcW w:w="400" w:type="pct"/>
            <w:tcBorders>
              <w:top w:val="single" w:sz="4" w:space="0" w:color="auto"/>
              <w:left w:val="single" w:sz="4" w:space="0" w:color="auto"/>
              <w:bottom w:val="single" w:sz="4" w:space="0" w:color="auto"/>
              <w:right w:val="single" w:sz="4" w:space="0" w:color="auto"/>
            </w:tcBorders>
            <w:vAlign w:val="center"/>
          </w:tcPr>
          <w:p w14:paraId="3BBAA71F"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0.84</w:t>
            </w:r>
          </w:p>
        </w:tc>
      </w:tr>
      <w:tr w:rsidR="00CB5326" w14:paraId="4508EBC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00E36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58204AE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69E7172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6170F23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50C644C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4A8CF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010F68E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47383917"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868,503,196.97</w:t>
            </w:r>
          </w:p>
        </w:tc>
        <w:tc>
          <w:tcPr>
            <w:tcW w:w="400" w:type="pct"/>
            <w:tcBorders>
              <w:top w:val="single" w:sz="4" w:space="0" w:color="auto"/>
              <w:left w:val="single" w:sz="4" w:space="0" w:color="auto"/>
              <w:bottom w:val="single" w:sz="4" w:space="0" w:color="auto"/>
              <w:right w:val="single" w:sz="4" w:space="0" w:color="auto"/>
            </w:tcBorders>
            <w:vAlign w:val="center"/>
          </w:tcPr>
          <w:p w14:paraId="52F309A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18.15</w:t>
            </w:r>
          </w:p>
        </w:tc>
      </w:tr>
      <w:tr w:rsidR="00CB5326" w14:paraId="1747225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4867F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31C9765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18CE2BB2"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275,670,025.38</w:t>
            </w:r>
          </w:p>
        </w:tc>
        <w:tc>
          <w:tcPr>
            <w:tcW w:w="400" w:type="pct"/>
            <w:tcBorders>
              <w:top w:val="single" w:sz="4" w:space="0" w:color="auto"/>
              <w:left w:val="single" w:sz="4" w:space="0" w:color="auto"/>
              <w:bottom w:val="single" w:sz="4" w:space="0" w:color="auto"/>
              <w:right w:val="single" w:sz="4" w:space="0" w:color="auto"/>
            </w:tcBorders>
            <w:vAlign w:val="center"/>
          </w:tcPr>
          <w:p w14:paraId="386F0CB4"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5.76</w:t>
            </w:r>
          </w:p>
        </w:tc>
      </w:tr>
      <w:tr w:rsidR="00CB5326" w14:paraId="21570E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EFD525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74D0C0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61D25CE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1,282,360,966.20</w:t>
            </w:r>
          </w:p>
        </w:tc>
        <w:tc>
          <w:tcPr>
            <w:tcW w:w="400" w:type="pct"/>
            <w:tcBorders>
              <w:top w:val="single" w:sz="4" w:space="0" w:color="auto"/>
              <w:left w:val="single" w:sz="4" w:space="0" w:color="auto"/>
              <w:bottom w:val="single" w:sz="4" w:space="0" w:color="auto"/>
              <w:right w:val="single" w:sz="4" w:space="0" w:color="auto"/>
            </w:tcBorders>
            <w:vAlign w:val="center"/>
          </w:tcPr>
          <w:p w14:paraId="5E41E76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26.79</w:t>
            </w:r>
          </w:p>
        </w:tc>
      </w:tr>
      <w:tr w:rsidR="00CB5326" w14:paraId="5C32DDF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DC7A7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C52137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53C1DB4D"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80,069,890.72</w:t>
            </w:r>
          </w:p>
        </w:tc>
        <w:tc>
          <w:tcPr>
            <w:tcW w:w="400" w:type="pct"/>
            <w:tcBorders>
              <w:top w:val="single" w:sz="4" w:space="0" w:color="auto"/>
              <w:left w:val="single" w:sz="4" w:space="0" w:color="auto"/>
              <w:bottom w:val="single" w:sz="4" w:space="0" w:color="auto"/>
              <w:right w:val="single" w:sz="4" w:space="0" w:color="auto"/>
            </w:tcBorders>
            <w:vAlign w:val="center"/>
          </w:tcPr>
          <w:p w14:paraId="4F070AB7"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1.67</w:t>
            </w:r>
          </w:p>
        </w:tc>
      </w:tr>
      <w:tr w:rsidR="00CB5326" w14:paraId="4DB52F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7AB54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4C8A6A5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751E993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3,756,405,355.45</w:t>
            </w:r>
          </w:p>
        </w:tc>
        <w:tc>
          <w:tcPr>
            <w:tcW w:w="400" w:type="pct"/>
            <w:tcBorders>
              <w:top w:val="single" w:sz="4" w:space="0" w:color="auto"/>
              <w:left w:val="single" w:sz="4" w:space="0" w:color="auto"/>
              <w:bottom w:val="single" w:sz="4" w:space="0" w:color="auto"/>
              <w:right w:val="single" w:sz="4" w:space="0" w:color="auto"/>
            </w:tcBorders>
            <w:vAlign w:val="center"/>
          </w:tcPr>
          <w:p w14:paraId="31E8DEB9"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78.49</w:t>
            </w:r>
          </w:p>
        </w:tc>
      </w:tr>
      <w:tr w:rsidR="00CB5326" w14:paraId="3572B29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FBA2C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62A1BCA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71CE801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A15127B"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4E2BEC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3AA77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13690A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655891D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1DFB4E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54B199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2CB58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7C3D0B2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4CE1D4D2"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EAE6DA9"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436CF1F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496B7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67AC11E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F38108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6,027,660,614.82</w:t>
            </w:r>
          </w:p>
        </w:tc>
        <w:tc>
          <w:tcPr>
            <w:tcW w:w="400" w:type="pct"/>
            <w:tcBorders>
              <w:top w:val="single" w:sz="4" w:space="0" w:color="auto"/>
              <w:left w:val="single" w:sz="4" w:space="0" w:color="auto"/>
              <w:bottom w:val="single" w:sz="4" w:space="0" w:color="auto"/>
              <w:right w:val="single" w:sz="4" w:space="0" w:color="auto"/>
            </w:tcBorders>
            <w:vAlign w:val="center"/>
          </w:tcPr>
          <w:p w14:paraId="34DDFE2E"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125.94</w:t>
            </w:r>
          </w:p>
        </w:tc>
      </w:tr>
    </w:tbl>
    <w:p w14:paraId="458B86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B5326" w14:paraId="62C44B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14C5A3B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D25C81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D791D4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A65E6D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254C39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8DFF4F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5326" w14:paraId="7BAF0BC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8F06F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D0C090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184082</w:t>
            </w:r>
          </w:p>
        </w:tc>
        <w:tc>
          <w:tcPr>
            <w:tcW w:w="750" w:type="pct"/>
            <w:tcBorders>
              <w:top w:val="single" w:sz="4" w:space="0" w:color="auto"/>
              <w:left w:val="single" w:sz="4" w:space="0" w:color="auto"/>
              <w:bottom w:val="single" w:sz="4" w:space="0" w:color="auto"/>
              <w:right w:val="single" w:sz="4" w:space="0" w:color="auto"/>
            </w:tcBorders>
            <w:vAlign w:val="center"/>
          </w:tcPr>
          <w:p w14:paraId="61C41C3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汉江</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3B7AC09F"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14:paraId="6F3C6368"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153,416,893.16</w:t>
            </w:r>
          </w:p>
        </w:tc>
        <w:tc>
          <w:tcPr>
            <w:tcW w:w="750" w:type="pct"/>
            <w:tcBorders>
              <w:top w:val="single" w:sz="4" w:space="0" w:color="auto"/>
              <w:left w:val="single" w:sz="4" w:space="0" w:color="auto"/>
              <w:bottom w:val="single" w:sz="4" w:space="0" w:color="auto"/>
              <w:right w:val="single" w:sz="4" w:space="0" w:color="auto"/>
            </w:tcBorders>
            <w:vAlign w:val="center"/>
          </w:tcPr>
          <w:p w14:paraId="7ABE9034"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3.21</w:t>
            </w:r>
          </w:p>
        </w:tc>
      </w:tr>
      <w:tr w:rsidR="00CB5326" w14:paraId="5FA7051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64D3D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82008F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102380363</w:t>
            </w:r>
          </w:p>
        </w:tc>
        <w:tc>
          <w:tcPr>
            <w:tcW w:w="750" w:type="pct"/>
            <w:tcBorders>
              <w:top w:val="single" w:sz="4" w:space="0" w:color="auto"/>
              <w:left w:val="single" w:sz="4" w:space="0" w:color="auto"/>
              <w:bottom w:val="single" w:sz="4" w:space="0" w:color="auto"/>
              <w:right w:val="single" w:sz="4" w:space="0" w:color="auto"/>
            </w:tcBorders>
            <w:vAlign w:val="center"/>
          </w:tcPr>
          <w:p w14:paraId="5004E37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港城开发</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6697301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1,300,000</w:t>
            </w:r>
          </w:p>
        </w:tc>
        <w:tc>
          <w:tcPr>
            <w:tcW w:w="750" w:type="pct"/>
            <w:tcBorders>
              <w:top w:val="single" w:sz="4" w:space="0" w:color="auto"/>
              <w:left w:val="single" w:sz="4" w:space="0" w:color="auto"/>
              <w:bottom w:val="single" w:sz="4" w:space="0" w:color="auto"/>
              <w:right w:val="single" w:sz="4" w:space="0" w:color="auto"/>
            </w:tcBorders>
            <w:vAlign w:val="center"/>
          </w:tcPr>
          <w:p w14:paraId="511D80E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134,438,896.17</w:t>
            </w:r>
          </w:p>
        </w:tc>
        <w:tc>
          <w:tcPr>
            <w:tcW w:w="750" w:type="pct"/>
            <w:tcBorders>
              <w:top w:val="single" w:sz="4" w:space="0" w:color="auto"/>
              <w:left w:val="single" w:sz="4" w:space="0" w:color="auto"/>
              <w:bottom w:val="single" w:sz="4" w:space="0" w:color="auto"/>
              <w:right w:val="single" w:sz="4" w:space="0" w:color="auto"/>
            </w:tcBorders>
            <w:vAlign w:val="center"/>
          </w:tcPr>
          <w:p w14:paraId="73E6285A"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2.81</w:t>
            </w:r>
          </w:p>
        </w:tc>
      </w:tr>
      <w:tr w:rsidR="00CB5326" w14:paraId="5D7F15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57C5CF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F0830E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190203</w:t>
            </w:r>
          </w:p>
        </w:tc>
        <w:tc>
          <w:tcPr>
            <w:tcW w:w="750" w:type="pct"/>
            <w:tcBorders>
              <w:top w:val="single" w:sz="4" w:space="0" w:color="auto"/>
              <w:left w:val="single" w:sz="4" w:space="0" w:color="auto"/>
              <w:bottom w:val="single" w:sz="4" w:space="0" w:color="auto"/>
              <w:right w:val="single" w:sz="4" w:space="0" w:color="auto"/>
            </w:tcBorders>
            <w:vAlign w:val="center"/>
          </w:tcPr>
          <w:p w14:paraId="6847C87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国开</w:t>
            </w:r>
            <w:r>
              <w:rPr>
                <w:rFonts w:ascii="Times New Roman" w:hAnsi="Times New Roman"/>
                <w:color w:val="000000"/>
                <w:kern w:val="0"/>
                <w:sz w:val="25"/>
                <w:szCs w:val="24"/>
              </w:rPr>
              <w:t>03</w:t>
            </w:r>
          </w:p>
        </w:tc>
        <w:tc>
          <w:tcPr>
            <w:tcW w:w="750" w:type="pct"/>
            <w:tcBorders>
              <w:top w:val="single" w:sz="4" w:space="0" w:color="auto"/>
              <w:left w:val="single" w:sz="4" w:space="0" w:color="auto"/>
              <w:bottom w:val="single" w:sz="4" w:space="0" w:color="auto"/>
              <w:right w:val="single" w:sz="4" w:space="0" w:color="auto"/>
            </w:tcBorders>
            <w:vAlign w:val="center"/>
          </w:tcPr>
          <w:p w14:paraId="24E2FEF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1,100,000</w:t>
            </w:r>
          </w:p>
        </w:tc>
        <w:tc>
          <w:tcPr>
            <w:tcW w:w="750" w:type="pct"/>
            <w:tcBorders>
              <w:top w:val="single" w:sz="4" w:space="0" w:color="auto"/>
              <w:left w:val="single" w:sz="4" w:space="0" w:color="auto"/>
              <w:bottom w:val="single" w:sz="4" w:space="0" w:color="auto"/>
              <w:right w:val="single" w:sz="4" w:space="0" w:color="auto"/>
            </w:tcBorders>
            <w:vAlign w:val="center"/>
          </w:tcPr>
          <w:p w14:paraId="335CDD65"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112,802,739.73</w:t>
            </w:r>
          </w:p>
        </w:tc>
        <w:tc>
          <w:tcPr>
            <w:tcW w:w="750" w:type="pct"/>
            <w:tcBorders>
              <w:top w:val="single" w:sz="4" w:space="0" w:color="auto"/>
              <w:left w:val="single" w:sz="4" w:space="0" w:color="auto"/>
              <w:bottom w:val="single" w:sz="4" w:space="0" w:color="auto"/>
              <w:right w:val="single" w:sz="4" w:space="0" w:color="auto"/>
            </w:tcBorders>
            <w:vAlign w:val="center"/>
          </w:tcPr>
          <w:p w14:paraId="0CA628FC"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2.36</w:t>
            </w:r>
          </w:p>
        </w:tc>
      </w:tr>
      <w:tr w:rsidR="00CB5326" w14:paraId="15EE155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F62F44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2437A0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210207</w:t>
            </w:r>
          </w:p>
        </w:tc>
        <w:tc>
          <w:tcPr>
            <w:tcW w:w="750" w:type="pct"/>
            <w:tcBorders>
              <w:top w:val="single" w:sz="4" w:space="0" w:color="auto"/>
              <w:left w:val="single" w:sz="4" w:space="0" w:color="auto"/>
              <w:bottom w:val="single" w:sz="4" w:space="0" w:color="auto"/>
              <w:right w:val="single" w:sz="4" w:space="0" w:color="auto"/>
            </w:tcBorders>
            <w:vAlign w:val="center"/>
          </w:tcPr>
          <w:p w14:paraId="31AC433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国开</w:t>
            </w:r>
            <w:r>
              <w:rPr>
                <w:rFonts w:ascii="Times New Roman" w:hAnsi="Times New Roman"/>
                <w:color w:val="000000"/>
                <w:kern w:val="0"/>
                <w:sz w:val="25"/>
                <w:szCs w:val="24"/>
              </w:rPr>
              <w:t>07</w:t>
            </w:r>
          </w:p>
        </w:tc>
        <w:tc>
          <w:tcPr>
            <w:tcW w:w="750" w:type="pct"/>
            <w:tcBorders>
              <w:top w:val="single" w:sz="4" w:space="0" w:color="auto"/>
              <w:left w:val="single" w:sz="4" w:space="0" w:color="auto"/>
              <w:bottom w:val="single" w:sz="4" w:space="0" w:color="auto"/>
              <w:right w:val="single" w:sz="4" w:space="0" w:color="auto"/>
            </w:tcBorders>
            <w:vAlign w:val="center"/>
          </w:tcPr>
          <w:p w14:paraId="389B806E"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1,100,000</w:t>
            </w:r>
          </w:p>
        </w:tc>
        <w:tc>
          <w:tcPr>
            <w:tcW w:w="750" w:type="pct"/>
            <w:tcBorders>
              <w:top w:val="single" w:sz="4" w:space="0" w:color="auto"/>
              <w:left w:val="single" w:sz="4" w:space="0" w:color="auto"/>
              <w:bottom w:val="single" w:sz="4" w:space="0" w:color="auto"/>
              <w:right w:val="single" w:sz="4" w:space="0" w:color="auto"/>
            </w:tcBorders>
            <w:vAlign w:val="center"/>
          </w:tcPr>
          <w:p w14:paraId="409AC192"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111,538,737.70</w:t>
            </w:r>
          </w:p>
        </w:tc>
        <w:tc>
          <w:tcPr>
            <w:tcW w:w="750" w:type="pct"/>
            <w:tcBorders>
              <w:top w:val="single" w:sz="4" w:space="0" w:color="auto"/>
              <w:left w:val="single" w:sz="4" w:space="0" w:color="auto"/>
              <w:bottom w:val="single" w:sz="4" w:space="0" w:color="auto"/>
              <w:right w:val="single" w:sz="4" w:space="0" w:color="auto"/>
            </w:tcBorders>
            <w:vAlign w:val="center"/>
          </w:tcPr>
          <w:p w14:paraId="0C00CE1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2.33</w:t>
            </w:r>
          </w:p>
        </w:tc>
      </w:tr>
      <w:tr w:rsidR="00CB5326" w14:paraId="0567C9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B5F9D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53F307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102102101</w:t>
            </w:r>
          </w:p>
        </w:tc>
        <w:tc>
          <w:tcPr>
            <w:tcW w:w="750" w:type="pct"/>
            <w:tcBorders>
              <w:top w:val="single" w:sz="4" w:space="0" w:color="auto"/>
              <w:left w:val="single" w:sz="4" w:space="0" w:color="auto"/>
              <w:bottom w:val="single" w:sz="4" w:space="0" w:color="auto"/>
              <w:right w:val="single" w:sz="4" w:space="0" w:color="auto"/>
            </w:tcBorders>
            <w:vAlign w:val="center"/>
          </w:tcPr>
          <w:p w14:paraId="6431DF0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空港兴城</w:t>
            </w:r>
            <w:r>
              <w:rPr>
                <w:rFonts w:ascii="Times New Roman" w:hAnsi="Times New Roman"/>
                <w:color w:val="000000"/>
                <w:kern w:val="0"/>
                <w:sz w:val="25"/>
                <w:szCs w:val="24"/>
              </w:rPr>
              <w:t>MTN002</w:t>
            </w:r>
          </w:p>
        </w:tc>
        <w:tc>
          <w:tcPr>
            <w:tcW w:w="750" w:type="pct"/>
            <w:tcBorders>
              <w:top w:val="single" w:sz="4" w:space="0" w:color="auto"/>
              <w:left w:val="single" w:sz="4" w:space="0" w:color="auto"/>
              <w:bottom w:val="single" w:sz="4" w:space="0" w:color="auto"/>
              <w:right w:val="single" w:sz="4" w:space="0" w:color="auto"/>
            </w:tcBorders>
            <w:vAlign w:val="center"/>
          </w:tcPr>
          <w:p w14:paraId="6846CF8F"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7F9598FB"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104,761,972.60</w:t>
            </w:r>
          </w:p>
        </w:tc>
        <w:tc>
          <w:tcPr>
            <w:tcW w:w="750" w:type="pct"/>
            <w:tcBorders>
              <w:top w:val="single" w:sz="4" w:space="0" w:color="auto"/>
              <w:left w:val="single" w:sz="4" w:space="0" w:color="auto"/>
              <w:bottom w:val="single" w:sz="4" w:space="0" w:color="auto"/>
              <w:right w:val="single" w:sz="4" w:space="0" w:color="auto"/>
            </w:tcBorders>
            <w:vAlign w:val="center"/>
          </w:tcPr>
          <w:p w14:paraId="291AD4F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2.19</w:t>
            </w:r>
          </w:p>
        </w:tc>
      </w:tr>
    </w:tbl>
    <w:p w14:paraId="79A993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797E47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7C7E9D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20705B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1745A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37C988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49775B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02F5D3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9.1 本期国债期货投资政策</w:t>
      </w:r>
    </w:p>
    <w:p w14:paraId="2BBD5A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A3E74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6911B1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6CEC8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260016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C58E4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293A4F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3D0169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7A3A6C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2023年9月8日，国家外汇管理局宁波市分局公示甬外管罚20238号行政处罚决定书，给予宁波银行罚款670万元，没收违法所得183.02万元人民币罚款的行政处罚。</w:t>
      </w:r>
    </w:p>
    <w:p w14:paraId="2E5FAD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2023年1月13日，宁波银保监局公示甬银保监罚决字〔2023〕1号行政处罚决定书，给予宁波银行罚款220万元人民币罚款的行政处罚。　</w:t>
      </w:r>
    </w:p>
    <w:p w14:paraId="278F0D9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2023年9月27日，国家金融监督管理总局厦门监管局公示厦金罚决字20236号行政处罚决定书，给予厦门国际银行股份有限公司罚款220万元人民币罚款的行政处罚。</w:t>
      </w:r>
    </w:p>
    <w:p w14:paraId="360945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2023年8月7日，国家外汇管理局厦门市分局公示厦门汇检罚20232号行政处罚决定书，给予厦门国际银行股份有限公司罚款644.30万元人民币罚款的行政处罚。</w:t>
      </w:r>
    </w:p>
    <w:p w14:paraId="1CC5C6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6A503D4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除上述主体外，本基金投资的前十名证券的其他发行主体本期没有出现被监管部门立案调查，或在报告编制日前一年内受到公开谴责、处罚的情形。</w:t>
      </w:r>
    </w:p>
    <w:p w14:paraId="234BCE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2E4EE0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231885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CB5326" w14:paraId="6962A10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7EBC99D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467237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3C8CCB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CB5326" w14:paraId="0E55B9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C8A93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8107FB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6C0170EA"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20,434.68</w:t>
            </w:r>
          </w:p>
        </w:tc>
      </w:tr>
      <w:tr w:rsidR="00CB5326" w14:paraId="7C1D1EC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B9F39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DC3838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1099ECC6"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8,415,298.05</w:t>
            </w:r>
          </w:p>
        </w:tc>
      </w:tr>
      <w:tr w:rsidR="00CB5326" w14:paraId="23AACC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3290A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2E376B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0B4CFDA1"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6E09E5E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64C74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73DD3B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59F02D62"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400857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C514C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FBACB9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3C205923"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6,283,437.42</w:t>
            </w:r>
          </w:p>
        </w:tc>
      </w:tr>
      <w:tr w:rsidR="00CB5326" w14:paraId="4F8D7E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01590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DC2502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428A528B"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125.00</w:t>
            </w:r>
          </w:p>
        </w:tc>
      </w:tr>
      <w:tr w:rsidR="00CB5326" w14:paraId="0B4846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4B418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C1DECC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43115720"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5326" w14:paraId="6643471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C0FCA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7CAAB2A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3B9535F2" w14:textId="77777777" w:rsidR="00CB5326" w:rsidRDefault="000C1687">
            <w:pPr>
              <w:widowControl/>
              <w:snapToGrid w:val="0"/>
              <w:jc w:val="right"/>
              <w:rPr>
                <w:rFonts w:ascii="宋体" w:hAnsi="宋体"/>
                <w:color w:val="000000"/>
                <w:kern w:val="0"/>
                <w:sz w:val="25"/>
                <w:szCs w:val="24"/>
              </w:rPr>
            </w:pPr>
            <w:r>
              <w:rPr>
                <w:rFonts w:ascii="Times New Roman" w:hAnsi="Times New Roman"/>
                <w:color w:val="000000"/>
                <w:kern w:val="0"/>
                <w:sz w:val="25"/>
                <w:szCs w:val="24"/>
              </w:rPr>
              <w:t>14,719,295.15</w:t>
            </w:r>
          </w:p>
        </w:tc>
      </w:tr>
    </w:tbl>
    <w:p w14:paraId="3E0A8C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35C2B9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A64DD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5A8A78A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0D43D3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7E0BE8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29DB0E8A"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3C98BB0" w14:textId="77777777" w:rsidR="00CB5326" w:rsidRDefault="000C1687">
      <w:pPr>
        <w:pStyle w:val="1"/>
        <w:snapToGrid w:val="0"/>
        <w:spacing w:beforeLines="0" w:before="240" w:after="240"/>
        <w:rPr>
          <w:rFonts w:ascii="宋体" w:hAnsi="宋体"/>
          <w:szCs w:val="30"/>
        </w:rPr>
      </w:pPr>
      <w:bookmarkStart w:id="14" w:name="_Toc154495301"/>
      <w:r>
        <w:rPr>
          <w:rFonts w:ascii="Times New Roman" w:hAnsi="Times New Roman"/>
          <w:sz w:val="30"/>
        </w:rPr>
        <w:lastRenderedPageBreak/>
        <w:t>十一、基金的业绩</w:t>
      </w:r>
      <w:bookmarkEnd w:id="14"/>
    </w:p>
    <w:p w14:paraId="7600CA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基金业绩截止日为2023年09月30日，所载财务数据未经审计师审计。</w:t>
      </w:r>
    </w:p>
    <w:p w14:paraId="176C7D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80668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14:paraId="68D30F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03"/>
        <w:gridCol w:w="1204"/>
        <w:gridCol w:w="1204"/>
        <w:gridCol w:w="1204"/>
        <w:gridCol w:w="1204"/>
        <w:gridCol w:w="1204"/>
        <w:gridCol w:w="771"/>
        <w:gridCol w:w="656"/>
      </w:tblGrid>
      <w:tr w:rsidR="00CB5326" w14:paraId="2AD4546B" w14:textId="77777777">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14:paraId="0412B53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5CBFF01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4A69FFF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5F8D724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0652B69"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543F4864"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1AC8F7B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CB5326" w14:paraId="1D9E74F3"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2EB7490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A/B</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4879D90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0586C31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0.90%</w:t>
            </w:r>
          </w:p>
        </w:tc>
        <w:tc>
          <w:tcPr>
            <w:tcW w:w="750" w:type="pct"/>
            <w:tcBorders>
              <w:top w:val="single" w:sz="4" w:space="0" w:color="auto"/>
              <w:left w:val="single" w:sz="4" w:space="0" w:color="auto"/>
              <w:bottom w:val="single" w:sz="4" w:space="0" w:color="auto"/>
              <w:right w:val="single" w:sz="4" w:space="0" w:color="auto"/>
            </w:tcBorders>
            <w:vAlign w:val="center"/>
          </w:tcPr>
          <w:p w14:paraId="1DF65CD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F553D2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5418348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3FA4B2D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0.89%</w:t>
            </w:r>
          </w:p>
        </w:tc>
        <w:tc>
          <w:tcPr>
            <w:tcW w:w="750" w:type="pct"/>
            <w:tcBorders>
              <w:top w:val="single" w:sz="4" w:space="0" w:color="auto"/>
              <w:left w:val="single" w:sz="4" w:space="0" w:color="auto"/>
              <w:bottom w:val="single" w:sz="4" w:space="0" w:color="auto"/>
              <w:right w:val="single" w:sz="4" w:space="0" w:color="auto"/>
            </w:tcBorders>
            <w:vAlign w:val="center"/>
          </w:tcPr>
          <w:p w14:paraId="2C6E46C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1367578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2F93F47"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EFD7F0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2E00040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3.20%</w:t>
            </w:r>
          </w:p>
        </w:tc>
        <w:tc>
          <w:tcPr>
            <w:tcW w:w="750" w:type="pct"/>
            <w:tcBorders>
              <w:top w:val="single" w:sz="4" w:space="0" w:color="auto"/>
              <w:left w:val="single" w:sz="4" w:space="0" w:color="auto"/>
              <w:bottom w:val="single" w:sz="4" w:space="0" w:color="auto"/>
              <w:right w:val="single" w:sz="4" w:space="0" w:color="auto"/>
            </w:tcBorders>
            <w:vAlign w:val="center"/>
          </w:tcPr>
          <w:p w14:paraId="51A6F5A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0D2BE11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6766F0C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732F7EF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1.98%</w:t>
            </w:r>
          </w:p>
        </w:tc>
        <w:tc>
          <w:tcPr>
            <w:tcW w:w="750" w:type="pct"/>
            <w:tcBorders>
              <w:top w:val="single" w:sz="4" w:space="0" w:color="auto"/>
              <w:left w:val="single" w:sz="4" w:space="0" w:color="auto"/>
              <w:bottom w:val="single" w:sz="4" w:space="0" w:color="auto"/>
              <w:right w:val="single" w:sz="4" w:space="0" w:color="auto"/>
            </w:tcBorders>
            <w:vAlign w:val="center"/>
          </w:tcPr>
          <w:p w14:paraId="0027D6C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4CD27A53"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E968C18"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089750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45C5B3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14:paraId="4623878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C12EAE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5CCAAE3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6689FE9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sz="4" w:space="0" w:color="auto"/>
              <w:left w:val="single" w:sz="4" w:space="0" w:color="auto"/>
              <w:bottom w:val="single" w:sz="4" w:space="0" w:color="auto"/>
              <w:right w:val="single" w:sz="4" w:space="0" w:color="auto"/>
            </w:tcBorders>
            <w:vAlign w:val="center"/>
          </w:tcPr>
          <w:p w14:paraId="56F9EBA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11FC8B0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1ABAA61"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1B4181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250DF85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5.25%</w:t>
            </w:r>
          </w:p>
        </w:tc>
        <w:tc>
          <w:tcPr>
            <w:tcW w:w="750" w:type="pct"/>
            <w:tcBorders>
              <w:top w:val="single" w:sz="4" w:space="0" w:color="auto"/>
              <w:left w:val="single" w:sz="4" w:space="0" w:color="auto"/>
              <w:bottom w:val="single" w:sz="4" w:space="0" w:color="auto"/>
              <w:right w:val="single" w:sz="4" w:space="0" w:color="auto"/>
            </w:tcBorders>
            <w:vAlign w:val="center"/>
          </w:tcPr>
          <w:p w14:paraId="23FBDE9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109641C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6F667F1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A2611E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3.15%</w:t>
            </w:r>
          </w:p>
        </w:tc>
        <w:tc>
          <w:tcPr>
            <w:tcW w:w="750" w:type="pct"/>
            <w:tcBorders>
              <w:top w:val="single" w:sz="4" w:space="0" w:color="auto"/>
              <w:left w:val="single" w:sz="4" w:space="0" w:color="auto"/>
              <w:bottom w:val="single" w:sz="4" w:space="0" w:color="auto"/>
              <w:right w:val="single" w:sz="4" w:space="0" w:color="auto"/>
            </w:tcBorders>
            <w:vAlign w:val="center"/>
          </w:tcPr>
          <w:p w14:paraId="3189E3F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CB5326" w14:paraId="2137245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06D3EEB"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A136E8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683EA8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2.83%</w:t>
            </w:r>
          </w:p>
        </w:tc>
        <w:tc>
          <w:tcPr>
            <w:tcW w:w="750" w:type="pct"/>
            <w:tcBorders>
              <w:top w:val="single" w:sz="4" w:space="0" w:color="auto"/>
              <w:left w:val="single" w:sz="4" w:space="0" w:color="auto"/>
              <w:bottom w:val="single" w:sz="4" w:space="0" w:color="auto"/>
              <w:right w:val="single" w:sz="4" w:space="0" w:color="auto"/>
            </w:tcBorders>
            <w:vAlign w:val="center"/>
          </w:tcPr>
          <w:p w14:paraId="3DC889A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15541B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4EC66A2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CE3839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2.90%</w:t>
            </w:r>
          </w:p>
        </w:tc>
        <w:tc>
          <w:tcPr>
            <w:tcW w:w="750" w:type="pct"/>
            <w:tcBorders>
              <w:top w:val="single" w:sz="4" w:space="0" w:color="auto"/>
              <w:left w:val="single" w:sz="4" w:space="0" w:color="auto"/>
              <w:bottom w:val="single" w:sz="4" w:space="0" w:color="auto"/>
              <w:right w:val="single" w:sz="4" w:space="0" w:color="auto"/>
            </w:tcBorders>
            <w:vAlign w:val="center"/>
          </w:tcPr>
          <w:p w14:paraId="2F3BB90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611B0BF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B7986FA"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03C043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97A217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4.74%</w:t>
            </w:r>
          </w:p>
        </w:tc>
        <w:tc>
          <w:tcPr>
            <w:tcW w:w="750" w:type="pct"/>
            <w:tcBorders>
              <w:top w:val="single" w:sz="4" w:space="0" w:color="auto"/>
              <w:left w:val="single" w:sz="4" w:space="0" w:color="auto"/>
              <w:bottom w:val="single" w:sz="4" w:space="0" w:color="auto"/>
              <w:right w:val="single" w:sz="4" w:space="0" w:color="auto"/>
            </w:tcBorders>
            <w:vAlign w:val="center"/>
          </w:tcPr>
          <w:p w14:paraId="5D63E07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BA76BF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40E656D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5F9E946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3.43%</w:t>
            </w:r>
          </w:p>
        </w:tc>
        <w:tc>
          <w:tcPr>
            <w:tcW w:w="750" w:type="pct"/>
            <w:tcBorders>
              <w:top w:val="single" w:sz="4" w:space="0" w:color="auto"/>
              <w:left w:val="single" w:sz="4" w:space="0" w:color="auto"/>
              <w:bottom w:val="single" w:sz="4" w:space="0" w:color="auto"/>
              <w:right w:val="single" w:sz="4" w:space="0" w:color="auto"/>
            </w:tcBorders>
            <w:vAlign w:val="center"/>
          </w:tcPr>
          <w:p w14:paraId="61B1126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478E32E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5A634A7"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43EE08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B38908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9.27%</w:t>
            </w:r>
          </w:p>
        </w:tc>
        <w:tc>
          <w:tcPr>
            <w:tcW w:w="750" w:type="pct"/>
            <w:tcBorders>
              <w:top w:val="single" w:sz="4" w:space="0" w:color="auto"/>
              <w:left w:val="single" w:sz="4" w:space="0" w:color="auto"/>
              <w:bottom w:val="single" w:sz="4" w:space="0" w:color="auto"/>
              <w:right w:val="single" w:sz="4" w:space="0" w:color="auto"/>
            </w:tcBorders>
            <w:vAlign w:val="center"/>
          </w:tcPr>
          <w:p w14:paraId="740D840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458FCE0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38E08EC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19D2622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4.48%</w:t>
            </w:r>
          </w:p>
        </w:tc>
        <w:tc>
          <w:tcPr>
            <w:tcW w:w="750" w:type="pct"/>
            <w:tcBorders>
              <w:top w:val="single" w:sz="4" w:space="0" w:color="auto"/>
              <w:left w:val="single" w:sz="4" w:space="0" w:color="auto"/>
              <w:bottom w:val="single" w:sz="4" w:space="0" w:color="auto"/>
              <w:right w:val="single" w:sz="4" w:space="0" w:color="auto"/>
            </w:tcBorders>
            <w:vAlign w:val="center"/>
          </w:tcPr>
          <w:p w14:paraId="370B4CC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1EDA2AB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542DCD9"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11F350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541BF8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c>
          <w:tcPr>
            <w:tcW w:w="750" w:type="pct"/>
            <w:tcBorders>
              <w:top w:val="single" w:sz="4" w:space="0" w:color="auto"/>
              <w:left w:val="single" w:sz="4" w:space="0" w:color="auto"/>
              <w:bottom w:val="single" w:sz="4" w:space="0" w:color="auto"/>
              <w:right w:val="single" w:sz="4" w:space="0" w:color="auto"/>
            </w:tcBorders>
            <w:vAlign w:val="center"/>
          </w:tcPr>
          <w:p w14:paraId="465D9F8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10BD865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sz="4" w:space="0" w:color="auto"/>
              <w:left w:val="single" w:sz="4" w:space="0" w:color="auto"/>
              <w:bottom w:val="single" w:sz="4" w:space="0" w:color="auto"/>
              <w:right w:val="single" w:sz="4" w:space="0" w:color="auto"/>
            </w:tcBorders>
            <w:vAlign w:val="center"/>
          </w:tcPr>
          <w:p w14:paraId="51D8577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73A0DE4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3.09%</w:t>
            </w:r>
          </w:p>
        </w:tc>
        <w:tc>
          <w:tcPr>
            <w:tcW w:w="750" w:type="pct"/>
            <w:tcBorders>
              <w:top w:val="single" w:sz="4" w:space="0" w:color="auto"/>
              <w:left w:val="single" w:sz="4" w:space="0" w:color="auto"/>
              <w:bottom w:val="single" w:sz="4" w:space="0" w:color="auto"/>
              <w:right w:val="single" w:sz="4" w:space="0" w:color="auto"/>
            </w:tcBorders>
            <w:vAlign w:val="center"/>
          </w:tcPr>
          <w:p w14:paraId="7D7C266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6359714E"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2A66F1A"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600F52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DC91E7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-2.73%</w:t>
            </w:r>
          </w:p>
        </w:tc>
        <w:tc>
          <w:tcPr>
            <w:tcW w:w="750" w:type="pct"/>
            <w:tcBorders>
              <w:top w:val="single" w:sz="4" w:space="0" w:color="auto"/>
              <w:left w:val="single" w:sz="4" w:space="0" w:color="auto"/>
              <w:bottom w:val="single" w:sz="4" w:space="0" w:color="auto"/>
              <w:right w:val="single" w:sz="4" w:space="0" w:color="auto"/>
            </w:tcBorders>
            <w:vAlign w:val="center"/>
          </w:tcPr>
          <w:p w14:paraId="07A3E5B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35B0C02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58C858C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1901D3F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14:paraId="762E254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CB5326" w14:paraId="71A2672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95CAD0D"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367C54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F07406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10.86%</w:t>
            </w:r>
          </w:p>
        </w:tc>
        <w:tc>
          <w:tcPr>
            <w:tcW w:w="750" w:type="pct"/>
            <w:tcBorders>
              <w:top w:val="single" w:sz="4" w:space="0" w:color="auto"/>
              <w:left w:val="single" w:sz="4" w:space="0" w:color="auto"/>
              <w:bottom w:val="single" w:sz="4" w:space="0" w:color="auto"/>
              <w:right w:val="single" w:sz="4" w:space="0" w:color="auto"/>
            </w:tcBorders>
            <w:vAlign w:val="center"/>
          </w:tcPr>
          <w:p w14:paraId="043F928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14:paraId="15E430E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sz="4" w:space="0" w:color="auto"/>
              <w:left w:val="single" w:sz="4" w:space="0" w:color="auto"/>
              <w:bottom w:val="single" w:sz="4" w:space="0" w:color="auto"/>
              <w:right w:val="single" w:sz="4" w:space="0" w:color="auto"/>
            </w:tcBorders>
            <w:vAlign w:val="center"/>
          </w:tcPr>
          <w:p w14:paraId="6E35308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0992F19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6.68%</w:t>
            </w:r>
          </w:p>
        </w:tc>
        <w:tc>
          <w:tcPr>
            <w:tcW w:w="750" w:type="pct"/>
            <w:tcBorders>
              <w:top w:val="single" w:sz="4" w:space="0" w:color="auto"/>
              <w:left w:val="single" w:sz="4" w:space="0" w:color="auto"/>
              <w:bottom w:val="single" w:sz="4" w:space="0" w:color="auto"/>
              <w:right w:val="single" w:sz="4" w:space="0" w:color="auto"/>
            </w:tcBorders>
            <w:vAlign w:val="center"/>
          </w:tcPr>
          <w:p w14:paraId="654A621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r>
      <w:tr w:rsidR="00CB5326" w14:paraId="4D45765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E5BDF43"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591120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96DD77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10.10%</w:t>
            </w:r>
          </w:p>
        </w:tc>
        <w:tc>
          <w:tcPr>
            <w:tcW w:w="750" w:type="pct"/>
            <w:tcBorders>
              <w:top w:val="single" w:sz="4" w:space="0" w:color="auto"/>
              <w:left w:val="single" w:sz="4" w:space="0" w:color="auto"/>
              <w:bottom w:val="single" w:sz="4" w:space="0" w:color="auto"/>
              <w:right w:val="single" w:sz="4" w:space="0" w:color="auto"/>
            </w:tcBorders>
            <w:vAlign w:val="center"/>
          </w:tcPr>
          <w:p w14:paraId="15F07F5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0.15%</w:t>
            </w:r>
          </w:p>
        </w:tc>
        <w:tc>
          <w:tcPr>
            <w:tcW w:w="750" w:type="pct"/>
            <w:tcBorders>
              <w:top w:val="single" w:sz="4" w:space="0" w:color="auto"/>
              <w:left w:val="single" w:sz="4" w:space="0" w:color="auto"/>
              <w:bottom w:val="single" w:sz="4" w:space="0" w:color="auto"/>
              <w:right w:val="single" w:sz="4" w:space="0" w:color="auto"/>
            </w:tcBorders>
            <w:vAlign w:val="center"/>
          </w:tcPr>
          <w:p w14:paraId="46514D5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14:paraId="3812148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28AA187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3.56%</w:t>
            </w:r>
          </w:p>
        </w:tc>
        <w:tc>
          <w:tcPr>
            <w:tcW w:w="750" w:type="pct"/>
            <w:tcBorders>
              <w:top w:val="single" w:sz="4" w:space="0" w:color="auto"/>
              <w:left w:val="single" w:sz="4" w:space="0" w:color="auto"/>
              <w:bottom w:val="single" w:sz="4" w:space="0" w:color="auto"/>
              <w:right w:val="single" w:sz="4" w:space="0" w:color="auto"/>
            </w:tcBorders>
            <w:vAlign w:val="center"/>
          </w:tcPr>
          <w:p w14:paraId="207896F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CB5326" w14:paraId="3B08E55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CDA19A2"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6164BD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06972C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5864B15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9F4B5F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-3.75%</w:t>
            </w:r>
          </w:p>
        </w:tc>
        <w:tc>
          <w:tcPr>
            <w:tcW w:w="750" w:type="pct"/>
            <w:tcBorders>
              <w:top w:val="single" w:sz="4" w:space="0" w:color="auto"/>
              <w:left w:val="single" w:sz="4" w:space="0" w:color="auto"/>
              <w:bottom w:val="single" w:sz="4" w:space="0" w:color="auto"/>
              <w:right w:val="single" w:sz="4" w:space="0" w:color="auto"/>
            </w:tcBorders>
            <w:vAlign w:val="center"/>
          </w:tcPr>
          <w:p w14:paraId="2BF5B0A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B85D98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3.24%</w:t>
            </w:r>
          </w:p>
        </w:tc>
        <w:tc>
          <w:tcPr>
            <w:tcW w:w="750" w:type="pct"/>
            <w:tcBorders>
              <w:top w:val="single" w:sz="4" w:space="0" w:color="auto"/>
              <w:left w:val="single" w:sz="4" w:space="0" w:color="auto"/>
              <w:bottom w:val="single" w:sz="4" w:space="0" w:color="auto"/>
              <w:right w:val="single" w:sz="4" w:space="0" w:color="auto"/>
            </w:tcBorders>
            <w:vAlign w:val="center"/>
          </w:tcPr>
          <w:p w14:paraId="28F7872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70EA0C4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F5241D2"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1B3F69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200909B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15C7080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0F8AC34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 xml:space="preserve">　</w:t>
            </w: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971C45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 xml:space="preserve">　</w:t>
            </w: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7C85559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2231F0A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11563361" w14:textId="77777777">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14:paraId="5DE7242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14:paraId="0762533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621F528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14:paraId="66ADCDF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34C2B30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2C59EB0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09A583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0.78%</w:t>
            </w:r>
          </w:p>
        </w:tc>
        <w:tc>
          <w:tcPr>
            <w:tcW w:w="750" w:type="pct"/>
            <w:tcBorders>
              <w:top w:val="single" w:sz="4" w:space="0" w:color="auto"/>
              <w:left w:val="single" w:sz="4" w:space="0" w:color="auto"/>
              <w:bottom w:val="single" w:sz="4" w:space="0" w:color="auto"/>
              <w:right w:val="single" w:sz="4" w:space="0" w:color="auto"/>
            </w:tcBorders>
            <w:vAlign w:val="center"/>
          </w:tcPr>
          <w:p w14:paraId="0C3611D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0F44CB5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2FDC969"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D248B5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0E01C24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3.00%</w:t>
            </w:r>
          </w:p>
        </w:tc>
        <w:tc>
          <w:tcPr>
            <w:tcW w:w="750" w:type="pct"/>
            <w:tcBorders>
              <w:top w:val="single" w:sz="4" w:space="0" w:color="auto"/>
              <w:left w:val="single" w:sz="4" w:space="0" w:color="auto"/>
              <w:bottom w:val="single" w:sz="4" w:space="0" w:color="auto"/>
              <w:right w:val="single" w:sz="4" w:space="0" w:color="auto"/>
            </w:tcBorders>
            <w:vAlign w:val="center"/>
          </w:tcPr>
          <w:p w14:paraId="7485D59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4D5FA82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14:paraId="69C2666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61DEC0B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1.78%</w:t>
            </w:r>
          </w:p>
        </w:tc>
        <w:tc>
          <w:tcPr>
            <w:tcW w:w="750" w:type="pct"/>
            <w:tcBorders>
              <w:top w:val="single" w:sz="4" w:space="0" w:color="auto"/>
              <w:left w:val="single" w:sz="4" w:space="0" w:color="auto"/>
              <w:bottom w:val="single" w:sz="4" w:space="0" w:color="auto"/>
              <w:right w:val="single" w:sz="4" w:space="0" w:color="auto"/>
            </w:tcBorders>
            <w:vAlign w:val="center"/>
          </w:tcPr>
          <w:p w14:paraId="3994747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506FA34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D3A1888"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8CBF54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38D261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0.57%</w:t>
            </w:r>
          </w:p>
        </w:tc>
        <w:tc>
          <w:tcPr>
            <w:tcW w:w="750" w:type="pct"/>
            <w:tcBorders>
              <w:top w:val="single" w:sz="4" w:space="0" w:color="auto"/>
              <w:left w:val="single" w:sz="4" w:space="0" w:color="auto"/>
              <w:bottom w:val="single" w:sz="4" w:space="0" w:color="auto"/>
              <w:right w:val="single" w:sz="4" w:space="0" w:color="auto"/>
            </w:tcBorders>
            <w:vAlign w:val="center"/>
          </w:tcPr>
          <w:p w14:paraId="38FA376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722BA94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100AF51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0F6978F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C51FD4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561B5C9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5D7C3FE"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186C20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9CDC5A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4.83%</w:t>
            </w:r>
          </w:p>
        </w:tc>
        <w:tc>
          <w:tcPr>
            <w:tcW w:w="750" w:type="pct"/>
            <w:tcBorders>
              <w:top w:val="single" w:sz="4" w:space="0" w:color="auto"/>
              <w:left w:val="single" w:sz="4" w:space="0" w:color="auto"/>
              <w:bottom w:val="single" w:sz="4" w:space="0" w:color="auto"/>
              <w:right w:val="single" w:sz="4" w:space="0" w:color="auto"/>
            </w:tcBorders>
            <w:vAlign w:val="center"/>
          </w:tcPr>
          <w:p w14:paraId="76248C5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73286B9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14:paraId="70B4BAC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06F2BC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2.73%</w:t>
            </w:r>
          </w:p>
        </w:tc>
        <w:tc>
          <w:tcPr>
            <w:tcW w:w="750" w:type="pct"/>
            <w:tcBorders>
              <w:top w:val="single" w:sz="4" w:space="0" w:color="auto"/>
              <w:left w:val="single" w:sz="4" w:space="0" w:color="auto"/>
              <w:bottom w:val="single" w:sz="4" w:space="0" w:color="auto"/>
              <w:right w:val="single" w:sz="4" w:space="0" w:color="auto"/>
            </w:tcBorders>
            <w:vAlign w:val="center"/>
          </w:tcPr>
          <w:p w14:paraId="23F055E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CB5326" w14:paraId="4A5AFF9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2BD2F54"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ECD951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0FDE4D1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2.46%</w:t>
            </w:r>
          </w:p>
        </w:tc>
        <w:tc>
          <w:tcPr>
            <w:tcW w:w="750" w:type="pct"/>
            <w:tcBorders>
              <w:top w:val="single" w:sz="4" w:space="0" w:color="auto"/>
              <w:left w:val="single" w:sz="4" w:space="0" w:color="auto"/>
              <w:bottom w:val="single" w:sz="4" w:space="0" w:color="auto"/>
              <w:right w:val="single" w:sz="4" w:space="0" w:color="auto"/>
            </w:tcBorders>
            <w:vAlign w:val="center"/>
          </w:tcPr>
          <w:p w14:paraId="5E3FE66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5477246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79BD8B7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779B551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2.53%</w:t>
            </w:r>
          </w:p>
        </w:tc>
        <w:tc>
          <w:tcPr>
            <w:tcW w:w="750" w:type="pct"/>
            <w:tcBorders>
              <w:top w:val="single" w:sz="4" w:space="0" w:color="auto"/>
              <w:left w:val="single" w:sz="4" w:space="0" w:color="auto"/>
              <w:bottom w:val="single" w:sz="4" w:space="0" w:color="auto"/>
              <w:right w:val="single" w:sz="4" w:space="0" w:color="auto"/>
            </w:tcBorders>
            <w:vAlign w:val="center"/>
          </w:tcPr>
          <w:p w14:paraId="1D1BB0D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1947910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00C3081"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EAD86E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321C1A3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4.38%</w:t>
            </w:r>
          </w:p>
        </w:tc>
        <w:tc>
          <w:tcPr>
            <w:tcW w:w="750" w:type="pct"/>
            <w:tcBorders>
              <w:top w:val="single" w:sz="4" w:space="0" w:color="auto"/>
              <w:left w:val="single" w:sz="4" w:space="0" w:color="auto"/>
              <w:bottom w:val="single" w:sz="4" w:space="0" w:color="auto"/>
              <w:right w:val="single" w:sz="4" w:space="0" w:color="auto"/>
            </w:tcBorders>
            <w:vAlign w:val="center"/>
          </w:tcPr>
          <w:p w14:paraId="7B2582F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691E54A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4BA1C47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7FAB52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3.07%</w:t>
            </w:r>
          </w:p>
        </w:tc>
        <w:tc>
          <w:tcPr>
            <w:tcW w:w="750" w:type="pct"/>
            <w:tcBorders>
              <w:top w:val="single" w:sz="4" w:space="0" w:color="auto"/>
              <w:left w:val="single" w:sz="4" w:space="0" w:color="auto"/>
              <w:bottom w:val="single" w:sz="4" w:space="0" w:color="auto"/>
              <w:right w:val="single" w:sz="4" w:space="0" w:color="auto"/>
            </w:tcBorders>
            <w:vAlign w:val="center"/>
          </w:tcPr>
          <w:p w14:paraId="0803EA7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08F37D6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993AEA7"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1A0393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ABF2F0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8.84%</w:t>
            </w:r>
          </w:p>
        </w:tc>
        <w:tc>
          <w:tcPr>
            <w:tcW w:w="750" w:type="pct"/>
            <w:tcBorders>
              <w:top w:val="single" w:sz="4" w:space="0" w:color="auto"/>
              <w:left w:val="single" w:sz="4" w:space="0" w:color="auto"/>
              <w:bottom w:val="single" w:sz="4" w:space="0" w:color="auto"/>
              <w:right w:val="single" w:sz="4" w:space="0" w:color="auto"/>
            </w:tcBorders>
            <w:vAlign w:val="center"/>
          </w:tcPr>
          <w:p w14:paraId="737BB65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6C0E4A0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7B3A80B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0E6A24F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4.05%</w:t>
            </w:r>
          </w:p>
        </w:tc>
        <w:tc>
          <w:tcPr>
            <w:tcW w:w="750" w:type="pct"/>
            <w:tcBorders>
              <w:top w:val="single" w:sz="4" w:space="0" w:color="auto"/>
              <w:left w:val="single" w:sz="4" w:space="0" w:color="auto"/>
              <w:bottom w:val="single" w:sz="4" w:space="0" w:color="auto"/>
              <w:right w:val="single" w:sz="4" w:space="0" w:color="auto"/>
            </w:tcBorders>
            <w:vAlign w:val="center"/>
          </w:tcPr>
          <w:p w14:paraId="1919AC4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CB5326" w14:paraId="09B0DF4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01FCA0B"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E96BCB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7D3C06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14:paraId="718A2A6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C89A79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sz="4" w:space="0" w:color="auto"/>
              <w:left w:val="single" w:sz="4" w:space="0" w:color="auto"/>
              <w:bottom w:val="single" w:sz="4" w:space="0" w:color="auto"/>
              <w:right w:val="single" w:sz="4" w:space="0" w:color="auto"/>
            </w:tcBorders>
            <w:vAlign w:val="center"/>
          </w:tcPr>
          <w:p w14:paraId="27EEC3D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0DDBD83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2.69%</w:t>
            </w:r>
          </w:p>
        </w:tc>
        <w:tc>
          <w:tcPr>
            <w:tcW w:w="750" w:type="pct"/>
            <w:tcBorders>
              <w:top w:val="single" w:sz="4" w:space="0" w:color="auto"/>
              <w:left w:val="single" w:sz="4" w:space="0" w:color="auto"/>
              <w:bottom w:val="single" w:sz="4" w:space="0" w:color="auto"/>
              <w:right w:val="single" w:sz="4" w:space="0" w:color="auto"/>
            </w:tcBorders>
            <w:vAlign w:val="center"/>
          </w:tcPr>
          <w:p w14:paraId="46035A6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5BA7017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171FB1C"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CBB3EF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66C0CE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-3.20%</w:t>
            </w:r>
          </w:p>
        </w:tc>
        <w:tc>
          <w:tcPr>
            <w:tcW w:w="750" w:type="pct"/>
            <w:tcBorders>
              <w:top w:val="single" w:sz="4" w:space="0" w:color="auto"/>
              <w:left w:val="single" w:sz="4" w:space="0" w:color="auto"/>
              <w:bottom w:val="single" w:sz="4" w:space="0" w:color="auto"/>
              <w:right w:val="single" w:sz="4" w:space="0" w:color="auto"/>
            </w:tcBorders>
            <w:vAlign w:val="center"/>
          </w:tcPr>
          <w:p w14:paraId="5A38058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3238354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14:paraId="3160B19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6589F50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-1.57%</w:t>
            </w:r>
          </w:p>
        </w:tc>
        <w:tc>
          <w:tcPr>
            <w:tcW w:w="750" w:type="pct"/>
            <w:tcBorders>
              <w:top w:val="single" w:sz="4" w:space="0" w:color="auto"/>
              <w:left w:val="single" w:sz="4" w:space="0" w:color="auto"/>
              <w:bottom w:val="single" w:sz="4" w:space="0" w:color="auto"/>
              <w:right w:val="single" w:sz="4" w:space="0" w:color="auto"/>
            </w:tcBorders>
            <w:vAlign w:val="center"/>
          </w:tcPr>
          <w:p w14:paraId="7889DB1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CB5326" w14:paraId="1466D26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0F0BCE7"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E8BAF0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FC57EF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10.28%</w:t>
            </w:r>
          </w:p>
        </w:tc>
        <w:tc>
          <w:tcPr>
            <w:tcW w:w="750" w:type="pct"/>
            <w:tcBorders>
              <w:top w:val="single" w:sz="4" w:space="0" w:color="auto"/>
              <w:left w:val="single" w:sz="4" w:space="0" w:color="auto"/>
              <w:bottom w:val="single" w:sz="4" w:space="0" w:color="auto"/>
              <w:right w:val="single" w:sz="4" w:space="0" w:color="auto"/>
            </w:tcBorders>
            <w:vAlign w:val="center"/>
          </w:tcPr>
          <w:p w14:paraId="06A4E67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14:paraId="7F2AD63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sz="4" w:space="0" w:color="auto"/>
              <w:left w:val="single" w:sz="4" w:space="0" w:color="auto"/>
              <w:bottom w:val="single" w:sz="4" w:space="0" w:color="auto"/>
              <w:right w:val="single" w:sz="4" w:space="0" w:color="auto"/>
            </w:tcBorders>
            <w:vAlign w:val="center"/>
          </w:tcPr>
          <w:p w14:paraId="296924D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41B842A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6.10%</w:t>
            </w:r>
          </w:p>
        </w:tc>
        <w:tc>
          <w:tcPr>
            <w:tcW w:w="750" w:type="pct"/>
            <w:tcBorders>
              <w:top w:val="single" w:sz="4" w:space="0" w:color="auto"/>
              <w:left w:val="single" w:sz="4" w:space="0" w:color="auto"/>
              <w:bottom w:val="single" w:sz="4" w:space="0" w:color="auto"/>
              <w:right w:val="single" w:sz="4" w:space="0" w:color="auto"/>
            </w:tcBorders>
            <w:vAlign w:val="center"/>
          </w:tcPr>
          <w:p w14:paraId="54E29B2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r>
      <w:tr w:rsidR="00CB5326" w14:paraId="6B93F2B0"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7A28BD7"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1DB897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E34F28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9.44%</w:t>
            </w:r>
          </w:p>
        </w:tc>
        <w:tc>
          <w:tcPr>
            <w:tcW w:w="750" w:type="pct"/>
            <w:tcBorders>
              <w:top w:val="single" w:sz="4" w:space="0" w:color="auto"/>
              <w:left w:val="single" w:sz="4" w:space="0" w:color="auto"/>
              <w:bottom w:val="single" w:sz="4" w:space="0" w:color="auto"/>
              <w:right w:val="single" w:sz="4" w:space="0" w:color="auto"/>
            </w:tcBorders>
            <w:vAlign w:val="center"/>
          </w:tcPr>
          <w:p w14:paraId="7048A7D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14:paraId="2E5ACC0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14:paraId="6C52E15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429CBA6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2.90%</w:t>
            </w:r>
          </w:p>
        </w:tc>
        <w:tc>
          <w:tcPr>
            <w:tcW w:w="750" w:type="pct"/>
            <w:tcBorders>
              <w:top w:val="single" w:sz="4" w:space="0" w:color="auto"/>
              <w:left w:val="single" w:sz="4" w:space="0" w:color="auto"/>
              <w:bottom w:val="single" w:sz="4" w:space="0" w:color="auto"/>
              <w:right w:val="single" w:sz="4" w:space="0" w:color="auto"/>
            </w:tcBorders>
            <w:vAlign w:val="center"/>
          </w:tcPr>
          <w:p w14:paraId="11A7C09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CB5326" w14:paraId="1473C5A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5D22C9F"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B068BC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52D3E1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14:paraId="03B3C84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23182AE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-3.75%</w:t>
            </w:r>
          </w:p>
        </w:tc>
        <w:tc>
          <w:tcPr>
            <w:tcW w:w="750" w:type="pct"/>
            <w:tcBorders>
              <w:top w:val="single" w:sz="4" w:space="0" w:color="auto"/>
              <w:left w:val="single" w:sz="4" w:space="0" w:color="auto"/>
              <w:bottom w:val="single" w:sz="4" w:space="0" w:color="auto"/>
              <w:right w:val="single" w:sz="4" w:space="0" w:color="auto"/>
            </w:tcBorders>
            <w:vAlign w:val="center"/>
          </w:tcPr>
          <w:p w14:paraId="7132E69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48C40BD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2.64%</w:t>
            </w:r>
          </w:p>
        </w:tc>
        <w:tc>
          <w:tcPr>
            <w:tcW w:w="750" w:type="pct"/>
            <w:tcBorders>
              <w:top w:val="single" w:sz="4" w:space="0" w:color="auto"/>
              <w:left w:val="single" w:sz="4" w:space="0" w:color="auto"/>
              <w:bottom w:val="single" w:sz="4" w:space="0" w:color="auto"/>
              <w:right w:val="single" w:sz="4" w:space="0" w:color="auto"/>
            </w:tcBorders>
            <w:vAlign w:val="center"/>
          </w:tcPr>
          <w:p w14:paraId="2405FAD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CB5326" w14:paraId="7DC45D71"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8721ABE" w14:textId="77777777" w:rsidR="00CB5326" w:rsidRDefault="00CB5326">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C78AFA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2012</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0CF7A88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140A385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14:paraId="6720128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473DCB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c>
          <w:tcPr>
            <w:tcW w:w="750" w:type="pct"/>
            <w:tcBorders>
              <w:top w:val="single" w:sz="4" w:space="0" w:color="auto"/>
              <w:left w:val="single" w:sz="4" w:space="0" w:color="auto"/>
              <w:bottom w:val="single" w:sz="4" w:space="0" w:color="auto"/>
              <w:right w:val="single" w:sz="4" w:space="0" w:color="auto"/>
            </w:tcBorders>
            <w:vAlign w:val="center"/>
          </w:tcPr>
          <w:p w14:paraId="7BE68B1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5672661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7141C25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02CA75FB" w14:textId="77777777" w:rsidR="00CB5326" w:rsidRDefault="000C16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交银施罗德纯债债券型发起式证券投资基金</w:t>
      </w:r>
    </w:p>
    <w:p w14:paraId="2C1CCBF7" w14:textId="77777777" w:rsidR="00CB5326" w:rsidRDefault="000C16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14:paraId="67C99BE5" w14:textId="77777777" w:rsidR="00CB5326" w:rsidRDefault="000C1687">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（2012年12月19日至2023年09月30日）</w:t>
      </w:r>
    </w:p>
    <w:p w14:paraId="3C6E96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（1）交银纯债债券发起A/B</w:t>
      </w:r>
    </w:p>
    <w:p w14:paraId="799F04C9" w14:textId="3A1F02C9" w:rsidR="00CB5326" w:rsidRDefault="006C507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12D941A0" wp14:editId="49FAEB3B">
            <wp:extent cx="5575300" cy="4381500"/>
            <wp:effectExtent l="0" t="0" r="0" b="0"/>
            <wp:docPr id="4"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5300" cy="4381500"/>
                    </a:xfrm>
                    <a:prstGeom prst="rect">
                      <a:avLst/>
                    </a:prstGeom>
                    <a:noFill/>
                    <a:ln>
                      <a:noFill/>
                    </a:ln>
                  </pic:spPr>
                </pic:pic>
              </a:graphicData>
            </a:graphic>
          </wp:inline>
        </w:drawing>
      </w:r>
    </w:p>
    <w:p w14:paraId="648785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3E087B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（2）交银纯债债券发起C</w:t>
      </w:r>
    </w:p>
    <w:p w14:paraId="6688CC08" w14:textId="70F807ED" w:rsidR="00CB5326" w:rsidRDefault="006C507A">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33B756AA" wp14:editId="1941160F">
            <wp:extent cx="5575300" cy="4381500"/>
            <wp:effectExtent l="0" t="0" r="0" b="0"/>
            <wp:docPr id="5" name="图片 5"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5300" cy="4381500"/>
                    </a:xfrm>
                    <a:prstGeom prst="rect">
                      <a:avLst/>
                    </a:prstGeom>
                    <a:noFill/>
                    <a:ln>
                      <a:noFill/>
                    </a:ln>
                  </pic:spPr>
                </pic:pic>
              </a:graphicData>
            </a:graphic>
          </wp:inline>
        </w:drawing>
      </w:r>
    </w:p>
    <w:p w14:paraId="290841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3CB90EE6"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27D6632" w14:textId="77777777" w:rsidR="00CB5326" w:rsidRDefault="000C1687">
      <w:pPr>
        <w:pStyle w:val="1"/>
        <w:snapToGrid w:val="0"/>
        <w:spacing w:beforeLines="0" w:before="240" w:after="240"/>
        <w:rPr>
          <w:rFonts w:ascii="宋体" w:hAnsi="宋体"/>
          <w:szCs w:val="30"/>
        </w:rPr>
      </w:pPr>
      <w:bookmarkStart w:id="15" w:name="_Toc154495302"/>
      <w:r>
        <w:rPr>
          <w:rFonts w:ascii="Times New Roman" w:hAnsi="Times New Roman"/>
          <w:sz w:val="30"/>
        </w:rPr>
        <w:lastRenderedPageBreak/>
        <w:t>十二、基金的财产</w:t>
      </w:r>
      <w:bookmarkEnd w:id="15"/>
    </w:p>
    <w:p w14:paraId="3FC661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（一）基金资产总值</w:t>
      </w:r>
    </w:p>
    <w:p w14:paraId="3894AD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基金资产总值是指基金拥有的各类有价证券、银行存款本息、基金应收申购款以及其他资产的价值总和。</w:t>
      </w:r>
    </w:p>
    <w:p w14:paraId="3AE125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14:paraId="6A61E5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基金资产净值是指基金资产总值减去基金负债后的净资产值。</w:t>
      </w:r>
    </w:p>
    <w:p w14:paraId="48A4AB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14:paraId="70412E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以本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0FA704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（四）基金财产的处分</w:t>
      </w:r>
    </w:p>
    <w:p w14:paraId="1574A6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371801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w:t>
      </w:r>
    </w:p>
    <w:p w14:paraId="2EFA022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基金财产的债权，不得与基金管理人、基金托管人固有财产的债务相抵销；不同基金财产的债权债务，不得相互抵销。</w:t>
      </w:r>
    </w:p>
    <w:p w14:paraId="4831DE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除依据《基金法》、基金合同及其他有关规定处分外，基金财产不得被处分。非因基金财产本身承担的债务，不得对基金财产强制执行。</w:t>
      </w:r>
    </w:p>
    <w:p w14:paraId="3C3FF424"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C85EED4" w14:textId="77777777" w:rsidR="00CB5326" w:rsidRDefault="000C1687">
      <w:pPr>
        <w:pStyle w:val="1"/>
        <w:snapToGrid w:val="0"/>
        <w:spacing w:beforeLines="0" w:before="240" w:after="240"/>
        <w:rPr>
          <w:rFonts w:ascii="宋体" w:hAnsi="宋体"/>
          <w:szCs w:val="30"/>
        </w:rPr>
      </w:pPr>
      <w:bookmarkStart w:id="16" w:name="_Toc154495303"/>
      <w:r>
        <w:rPr>
          <w:rFonts w:ascii="Times New Roman" w:hAnsi="Times New Roman"/>
          <w:sz w:val="30"/>
        </w:rPr>
        <w:lastRenderedPageBreak/>
        <w:t>十三、基金资产的估值</w:t>
      </w:r>
      <w:bookmarkEnd w:id="16"/>
    </w:p>
    <w:p w14:paraId="39282E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（一）估值目的</w:t>
      </w:r>
    </w:p>
    <w:p w14:paraId="558BFB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基金资产的估值目的是客观、准确地反映基金资产是否保值、增值，并为基金份额提供计价依据。</w:t>
      </w:r>
    </w:p>
    <w:p w14:paraId="762BF2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（二）估值日</w:t>
      </w:r>
    </w:p>
    <w:p w14:paraId="0EFB4B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本基金的估值日为相关的证券交易场所的正常交易日，以及国家法律法规规定需要对外披露基金净值的非交易日。</w:t>
      </w:r>
    </w:p>
    <w:p w14:paraId="597D7A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（三）估值对象</w:t>
      </w:r>
    </w:p>
    <w:p w14:paraId="3DE330F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基金依法拥有的债券、权证及其他基金资产和负债。</w:t>
      </w:r>
    </w:p>
    <w:p w14:paraId="4FDB634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（四）估值程序</w:t>
      </w:r>
    </w:p>
    <w:p w14:paraId="2E7B8C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日常估值由基金管理人进行。基金管理人每个工作日分别计算本基金A/B类基金份额和C类基金份额的基金资产净值及基金份额净值。基金份额净值由基金管理人完成估值后，将估值结果以书面形式或双方约定的其他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54C72D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（五）估值方法</w:t>
      </w:r>
    </w:p>
    <w:p w14:paraId="7821DE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1、债券估值方法：</w:t>
      </w:r>
    </w:p>
    <w:p w14:paraId="46712E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（1）在交易所市场上市交易或挂牌转让的固定收益品种（另有规定的除外），选取第三方估值机构提供的相应品种当日的估值净价进行估值。</w:t>
      </w:r>
    </w:p>
    <w:p w14:paraId="7F0D90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466DD7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（3）首次发行未上市债券采用估值技术确定的公允价值进行估值，在估值技术难以可靠计量公允价值的情况下，按成本估值。</w:t>
      </w:r>
    </w:p>
    <w:p w14:paraId="7EFC57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（4）交易所以大宗交易方式转让的资产支持证券，采用估值技术确定公允价</w:t>
      </w:r>
      <w:r>
        <w:rPr>
          <w:rFonts w:ascii="宋体" w:hAnsi="宋体"/>
          <w:sz w:val="24"/>
        </w:rPr>
        <w:lastRenderedPageBreak/>
        <w:t>值，在估值技术难以可靠计量公允价值的情况下，按成本进行后续计量。</w:t>
      </w:r>
    </w:p>
    <w:p w14:paraId="31ADBC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（5）在全国银行间债券市场交易的债券、资产支持证券等固定收益品种，采用估值技术确定公允价值。</w:t>
      </w:r>
    </w:p>
    <w:p w14:paraId="7119D6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（6）同一债券同时在两个或两个以上市场交易的，按债券所处的市场分别估值。</w:t>
      </w:r>
    </w:p>
    <w:p w14:paraId="0741352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6BA005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（8）国家有最新规定的，按其规定进行估值。</w:t>
      </w:r>
    </w:p>
    <w:p w14:paraId="74F97F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2、权证估值方法：</w:t>
      </w:r>
    </w:p>
    <w:p w14:paraId="22A1C6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34587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（2）首次发行未上市的权证，采用估值技术确定公允价值，在估值技术难以可靠计量公允价值的情况下，按成本估值。</w:t>
      </w:r>
    </w:p>
    <w:p w14:paraId="0D63A6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（3）停止交易、但未行权的权证，采用估值技术确定公允价值进行估值。</w:t>
      </w:r>
    </w:p>
    <w:p w14:paraId="42F86C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14:paraId="4F7778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（5）国家有最新规定的，按其规定进行估值。</w:t>
      </w:r>
    </w:p>
    <w:p w14:paraId="355477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3、其他有价证券等资产按国家有关规定进行估值。</w:t>
      </w:r>
    </w:p>
    <w:p w14:paraId="047FB5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w:t>
      </w:r>
      <w:r>
        <w:rPr>
          <w:rFonts w:ascii="宋体" w:hAnsi="宋体"/>
          <w:sz w:val="24"/>
        </w:rPr>
        <w:lastRenderedPageBreak/>
        <w:t>方，共同查明原因，双方协商解决，以约定的方法、程序和相关法律法规的规定进行估值，以维护基金份额持有人的利益。</w:t>
      </w:r>
    </w:p>
    <w:p w14:paraId="3256B2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43107D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（六）估值错误的处理</w:t>
      </w:r>
    </w:p>
    <w:p w14:paraId="6AB2E5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w:t>
      </w:r>
    </w:p>
    <w:p w14:paraId="6C088B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本基金合同的当事人应按照以下约定处理：</w:t>
      </w:r>
    </w:p>
    <w:p w14:paraId="1EE1ED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5C5FD4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注册登记机构或代销机构或投资者自身的过错造成估值错误，导致其他当事人遭受损失的，估值错误的责任人应当对由于该估值错误遭受损失的当事人（“受损方”）按下述“估值错误处理原则”给予赔偿，承担赔偿责任。</w:t>
      </w:r>
    </w:p>
    <w:p w14:paraId="6373D6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对于因技术原因引起的估值错误，若系同行业现有技术水平不能预见、不能避免、不能克服，则属不可抗力，按照下述规定执行。</w:t>
      </w:r>
    </w:p>
    <w:p w14:paraId="6DEE3E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者的交易资料灭失或被错误处理或造成其他估值错误，因不可抗力原因出现估值错误的当事人不对其他当事人承担赔偿责任，但因该估值错误取得不当得利的当事人仍应负有返还不当得利的义务。</w:t>
      </w:r>
    </w:p>
    <w:p w14:paraId="67DD76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3614E8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承担；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B1F93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（2）估值错误的责任方对可能导致有关当事人的直接损失负责，不对间接损失负责，并且仅对估值错误的有关直接当事人负责，不对第三方负责；</w:t>
      </w:r>
    </w:p>
    <w:p w14:paraId="656AA0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因估值错误而获得不当得利的当事人负有及时返还不当得利的义务。但估值错误责任方仍应对估值错误负责。如果由于获得不当得利的当事人不返还或不全部返还不当得利造成其他当事人的利益损失，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68A9A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4E4B10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估值错误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估值错误方追偿，追偿过程中产生的有关费用，由责任方承担；</w:t>
      </w:r>
    </w:p>
    <w:p w14:paraId="30B604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如果出现估值错误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51C80B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（7）按法律法规规定的其他原则处理估值错误。</w:t>
      </w:r>
    </w:p>
    <w:p w14:paraId="0270CD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3C917C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345438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1E0AC1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1DB6FF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107384F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（4）根据估值错误处理的方法，需要修改注册登记机构交易数据的，由注册登记机构进行更正，并就估值错误的更正向有关当事人进行确认。</w:t>
      </w:r>
    </w:p>
    <w:p w14:paraId="3AC016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4、基金份额净值错误处理的原则和方法</w:t>
      </w:r>
    </w:p>
    <w:p w14:paraId="762822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（1）当基金份额净值小数点后4位以内（含第4位）发生估值错误时，视为基</w:t>
      </w:r>
      <w:r>
        <w:rPr>
          <w:rFonts w:ascii="宋体" w:hAnsi="宋体"/>
          <w:sz w:val="24"/>
        </w:rPr>
        <w:lastRenderedPageBreak/>
        <w:t>金份额净值错误；基金份额净值出现错误时，基金管理人应当立即予以纠正，通报基金托管人，并采取合理的措施防止损失进一步扩大；当错误达到或超过基金资产净值的0.25%时，基金管理人应当及时通知基金托管人并报中国证监会；错误偏差达到基金份额净值的0.5%时，基金管理人应当公告、通报基金托管人并报中国证监会备案；当发生基金份额净值错误时，由基金管理人负责处理，由此给基金份额持有人和基金造成损失的，应由基金管理人先行赔付，基金管理人按估值错误情形，有权向其他当事人追偿。</w:t>
      </w:r>
    </w:p>
    <w:p w14:paraId="7CCA9F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（2）当基金份额净值错误给基金和基金份额持有人造成损失需要进行赔偿时，基金管理人和基金托管人应根据实际情况界定双方承担的责任，经确认后按以下条款进行赔偿：</w:t>
      </w:r>
    </w:p>
    <w:p w14:paraId="045AC9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29DE7D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 若基金管理人计算的基金份额净值已由基金托管人复核确认后公告，当发生基金份额净值错误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50%，基金托管人承担50%；</w:t>
      </w:r>
    </w:p>
    <w:p w14:paraId="57719E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CDFD7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 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72653A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14:paraId="307088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（4）前述内容如法律法规或者监管部门另有规定的，从其规定。如果行业有通行做法，双方当事人应本着平等和保护基金份额持有人利益的原则进行协商。</w:t>
      </w:r>
    </w:p>
    <w:p w14:paraId="683320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14:paraId="0C73A1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1、基金投资所涉及的证券投资市场遇法定节假日或因其他原因暂停交易时；</w:t>
      </w:r>
    </w:p>
    <w:p w14:paraId="4B00D5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2、因不可抗力或其他情形致使基金管理人、基金托管人无法准确评估基金资产价值时；</w:t>
      </w:r>
    </w:p>
    <w:p w14:paraId="7A0C76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14:paraId="4B388F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4、当特定资产占前一估值日基金资产净值50%以上的，经与基金托管人协商确认后，基金管理人应当暂停估值；</w:t>
      </w:r>
    </w:p>
    <w:p w14:paraId="53D655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14:paraId="60AD0B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（八）基金净值的确认</w:t>
      </w:r>
    </w:p>
    <w:p w14:paraId="699FD3E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3390C5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基金份额净值的计算精确到0.0001元，小数点后第五位四舍五入，由此产生的误差计入基金财产。国家另有规定的，从其规定。</w:t>
      </w:r>
    </w:p>
    <w:p w14:paraId="53EAC4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（九）特殊情形的处理</w:t>
      </w:r>
    </w:p>
    <w:p w14:paraId="7088A1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1、基金管理人或基金托管人按债券估值方法的第（7）项、权证估值方法的第（4）项进行估值时，所造成的误差不作为基金资产估值错误处理。</w:t>
      </w:r>
    </w:p>
    <w:p w14:paraId="44B603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错误，基金管理人、基金托管人免除赔偿责任。但基金管理人、基金托管人应积极采取必要的措施消除由此造成的影响。</w:t>
      </w:r>
    </w:p>
    <w:p w14:paraId="15A123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（十）实施侧袋机制期间的基金资产估值</w:t>
      </w:r>
    </w:p>
    <w:p w14:paraId="61D0754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本基金实施侧袋机制的，应根据本部分的约定对主袋账户资产进行估值并披露主袋账户的基金净值信息，暂停披露侧袋账户份额净值。</w:t>
      </w:r>
    </w:p>
    <w:p w14:paraId="15301A82"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175AE69" w14:textId="77777777" w:rsidR="00CB5326" w:rsidRDefault="000C1687">
      <w:pPr>
        <w:pStyle w:val="1"/>
        <w:snapToGrid w:val="0"/>
        <w:spacing w:beforeLines="0" w:before="240" w:after="240"/>
        <w:rPr>
          <w:rFonts w:ascii="宋体" w:hAnsi="宋体"/>
          <w:szCs w:val="30"/>
        </w:rPr>
      </w:pPr>
      <w:bookmarkStart w:id="17" w:name="_Toc154495304"/>
      <w:r>
        <w:rPr>
          <w:rFonts w:ascii="Times New Roman" w:hAnsi="Times New Roman"/>
          <w:sz w:val="30"/>
        </w:rPr>
        <w:lastRenderedPageBreak/>
        <w:t>十四、基金的收益与分配</w:t>
      </w:r>
      <w:bookmarkEnd w:id="17"/>
    </w:p>
    <w:p w14:paraId="4AB0F3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（一）基金利润的构成</w:t>
      </w:r>
    </w:p>
    <w:p w14:paraId="017650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32F234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（二）基金可供分配利润</w:t>
      </w:r>
    </w:p>
    <w:p w14:paraId="10C54C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7C041B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14:paraId="449569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本基金收益分配应遵循下列原则：</w:t>
      </w:r>
    </w:p>
    <w:p w14:paraId="330146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1、由于本基金A类和B类基金份额不收取销售服务费，C类基金份额收取销售服务费，各基金份额类别对应的可供分配利润将有所不同，本基金同一基金份额类别的每份基金份额享有同等分配权；</w:t>
      </w:r>
    </w:p>
    <w:p w14:paraId="52F421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2、收益分配时所发生的银行转账或其他手续费用由基金投资者自行承担；</w:t>
      </w:r>
    </w:p>
    <w:p w14:paraId="7ABE46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3、每季度末最后一个工作日为收益分配基准日，在符合有关基金分红条件的前提下，当收益分配基准日每份基金份额可供分配利润大于0.01 元时，本基金进行收益分配，本基金每年收益分配次数最多为12次，每份基金份额每次分配比例不得低于收益分配基准日每份基金份额可供分配利润的50%；若基金合同生效不满3个月，可不进行收益分配；</w:t>
      </w:r>
    </w:p>
    <w:p w14:paraId="70A22D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4、基金收益分配基准日的基金份额净值减去每单位基金份额收益分配金额后不能低于面值；</w:t>
      </w:r>
    </w:p>
    <w:p w14:paraId="18A651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收益分配方式分为两种：现金分红与红利再投资，基金投资者可选择现金红利或将现金红利自动转为基金份额进行再投资；若投资者不选择，本基金默认的收益分配方式是现金分红；基金份额持有人可对A类、B类以及C类基金份额分别选择不同的收益分配方式；</w:t>
      </w:r>
    </w:p>
    <w:p w14:paraId="3F97C4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6、法律法规或监管机构另有规定的从其规定。</w:t>
      </w:r>
    </w:p>
    <w:p w14:paraId="3C6578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在不影响基金份额持有人利益的情况下，基金管理人可在法律法规允许的前提下酌情调整以上基金收益分配原则，并于变更实施日前在指定媒介上公告。</w:t>
      </w:r>
    </w:p>
    <w:p w14:paraId="1BB9E3E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14:paraId="456811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基金收益分配方案中应载明基金收益分配基准日可供分配利润、基金收益分配</w:t>
      </w:r>
      <w:r>
        <w:rPr>
          <w:rFonts w:ascii="宋体" w:hAnsi="宋体"/>
          <w:sz w:val="24"/>
        </w:rPr>
        <w:lastRenderedPageBreak/>
        <w:t>对象、分配时间、分配数额及比例、分配方式等内容。</w:t>
      </w:r>
    </w:p>
    <w:p w14:paraId="4485374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14:paraId="45A641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1、本基金收益分配方案由基金管理人拟定、由基金托管人复核，依照《信息披露办法》的有关规定在指定媒介公告。</w:t>
      </w:r>
    </w:p>
    <w:p w14:paraId="16282F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的发放日距离收益分配基准日的时间不超过15个工作日。在分配方案公布后（依据具体方案的规定），基金管理人就支付的现金红利向基金托管人发送划款指令，基金托管人按照基金管理人的指令及时进行分红资金的划付。</w:t>
      </w:r>
    </w:p>
    <w:p w14:paraId="1EC004A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3、法律法规或监管机关另有规定的，从其规定。</w:t>
      </w:r>
    </w:p>
    <w:p w14:paraId="477F41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（六）收益分配中发生的费用</w:t>
      </w:r>
    </w:p>
    <w:p w14:paraId="77F9F2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14:paraId="4AC5FC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14:paraId="28853E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投资者可至销售机构办理收益分配方式的修改，投资者对不同的交易账户可设置不同的收益分配方式。</w:t>
      </w:r>
    </w:p>
    <w:p w14:paraId="1AB41C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投资者同一日多次申报分红方式变更的，按照《业务规则》执行，最终确认的分红方式以注册登记机构记录为准。</w:t>
      </w:r>
    </w:p>
    <w:p w14:paraId="0AAC2B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（八）实施侧袋机制期间的收益分配</w:t>
      </w:r>
    </w:p>
    <w:p w14:paraId="0A0211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0C6A2521"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F1F10D8" w14:textId="77777777" w:rsidR="00CB5326" w:rsidRDefault="000C1687">
      <w:pPr>
        <w:pStyle w:val="1"/>
        <w:snapToGrid w:val="0"/>
        <w:spacing w:beforeLines="0" w:before="240" w:after="240"/>
        <w:rPr>
          <w:rFonts w:ascii="宋体" w:hAnsi="宋体"/>
          <w:szCs w:val="30"/>
        </w:rPr>
      </w:pPr>
      <w:bookmarkStart w:id="18" w:name="_Toc154495305"/>
      <w:r>
        <w:rPr>
          <w:rFonts w:ascii="Times New Roman" w:hAnsi="Times New Roman"/>
          <w:sz w:val="30"/>
        </w:rPr>
        <w:lastRenderedPageBreak/>
        <w:t>十五、基金的费用与税收</w:t>
      </w:r>
      <w:bookmarkEnd w:id="18"/>
    </w:p>
    <w:p w14:paraId="45D60E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14:paraId="3FFB05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1C0F24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0C006E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3、基金合同生效后的信息披露费用；</w:t>
      </w:r>
    </w:p>
    <w:p w14:paraId="078F8B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4、基金份额持有人大会费用；</w:t>
      </w:r>
    </w:p>
    <w:p w14:paraId="28DB9E4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5、基金合同生效后与基金有关的会计师费和律师费；</w:t>
      </w:r>
    </w:p>
    <w:p w14:paraId="0C5414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10B3FA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7、基金财产拨划支付的银行费用；</w:t>
      </w:r>
    </w:p>
    <w:p w14:paraId="639B0D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8、证券账户开户费用和银行账户维护费；</w:t>
      </w:r>
    </w:p>
    <w:p w14:paraId="4E5363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9、本基金从C类基金份额的基金财产中计提销售服务费；</w:t>
      </w:r>
    </w:p>
    <w:p w14:paraId="7010E4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10、按照国家有关规定可以在基金财产中列支的其他费用。</w:t>
      </w:r>
    </w:p>
    <w:p w14:paraId="5324A2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14:paraId="3F77C8B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715B4F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6F64447" w14:textId="52B350FB"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在通常情况下，基金管理费按前一日基金资产净值的0.</w:t>
      </w:r>
      <w:r w:rsidR="00C1456B">
        <w:rPr>
          <w:rFonts w:ascii="宋体" w:hAnsi="宋体"/>
          <w:sz w:val="24"/>
        </w:rPr>
        <w:t>3</w:t>
      </w:r>
      <w:r>
        <w:rPr>
          <w:rFonts w:ascii="宋体" w:hAnsi="宋体"/>
          <w:sz w:val="24"/>
        </w:rPr>
        <w:t>%年费率计提。计算方法如下：</w:t>
      </w:r>
    </w:p>
    <w:p w14:paraId="40A63B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H＝E×年管理费率÷当年天数</w:t>
      </w:r>
    </w:p>
    <w:p w14:paraId="444C14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35AF8C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E为前一日基金资产净值</w:t>
      </w:r>
    </w:p>
    <w:p w14:paraId="2AAABE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736BBD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074DE573" w14:textId="44369EB3"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在通常情况下，基金托管费按前一日基金资产净值的0.</w:t>
      </w:r>
      <w:r w:rsidR="00C1456B">
        <w:rPr>
          <w:rFonts w:ascii="宋体" w:hAnsi="宋体"/>
          <w:sz w:val="24"/>
        </w:rPr>
        <w:t>1</w:t>
      </w:r>
      <w:r>
        <w:rPr>
          <w:rFonts w:ascii="宋体" w:hAnsi="宋体"/>
          <w:sz w:val="24"/>
        </w:rPr>
        <w:t>%年费率计提。计算方法如下：</w:t>
      </w:r>
    </w:p>
    <w:p w14:paraId="526815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H＝E×年托管费率÷当年天数</w:t>
      </w:r>
    </w:p>
    <w:p w14:paraId="7E17C1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7062F4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E为前一日基金资产净值</w:t>
      </w:r>
    </w:p>
    <w:p w14:paraId="1F3FC8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6CFDE3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（3）上述（一）中3到8、10项费用由基金托管人根据其他有关法律法规及相应协议的规定，按费用支出金额支付，列入或摊入当期基金费用。</w:t>
      </w:r>
    </w:p>
    <w:p w14:paraId="62FC40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0231A3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（1）A类和B类基金份额的申购费</w:t>
      </w:r>
    </w:p>
    <w:p w14:paraId="454978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本基金A类和B类基金份额申购费的费率水平、计算公式和收取方式详见“基金份额的申购与赎回”一章。</w:t>
      </w:r>
    </w:p>
    <w:p w14:paraId="2E9053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（2）A类和B类基金份额的赎回费</w:t>
      </w:r>
    </w:p>
    <w:p w14:paraId="71EEF3E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本基金A类和B类基金份额赎回费的费率水平、计算公式和收取方式详见“基金份额的申购与赎回”一章。</w:t>
      </w:r>
    </w:p>
    <w:p w14:paraId="771071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14:paraId="4CCC56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本基金A类和B类基金份额不收取销售服务费，C类基金份额的销售服务费按前一日C类基金资产净值的0.4%年费率计提。计算方法如下：</w:t>
      </w:r>
    </w:p>
    <w:p w14:paraId="562456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H＝E×年销售服务费率÷当年天数</w:t>
      </w:r>
    </w:p>
    <w:p w14:paraId="4B268B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14:paraId="20BF8E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E为C类基金份额前一日基金资产净值</w:t>
      </w:r>
    </w:p>
    <w:p w14:paraId="6FBFC7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服务费每日计提，按月支付。由基金管理人向基金托管人发送销售服务费划付指令，经基金托管人复核后于次月首日起3个工作日内从基金财产中一次性支付给基金管理人，若遇法定节假日、休息日或不可抗力致使无法按时支付的，顺延至最近可支付日支付。</w:t>
      </w:r>
    </w:p>
    <w:p w14:paraId="2B6755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14:paraId="36546C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（4）转换费</w:t>
      </w:r>
    </w:p>
    <w:p w14:paraId="5FD9E7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14:paraId="458CBAD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14:paraId="42E79EF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基金管理人和基金托管人因未履行或未完全履行义务导致的费用支出或基金财</w:t>
      </w:r>
      <w:r>
        <w:rPr>
          <w:rFonts w:ascii="宋体" w:hAnsi="宋体"/>
          <w:sz w:val="24"/>
        </w:rPr>
        <w:lastRenderedPageBreak/>
        <w:t>产的损失，以及处理与基金运作无关的事项发生的费用等不列入基金费用。基金募集期间的信息披露费、律师费和会计师费以及其他费用不得从基金财产中列支。</w:t>
      </w:r>
    </w:p>
    <w:p w14:paraId="4ACA6F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（四）基金管理费和基金托管费的调整</w:t>
      </w:r>
    </w:p>
    <w:p w14:paraId="53123EB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调整基金管理费率、基金托管费率和C类基金份额销售服务费。降低基金管理费率、基金托管费率和C类基金份额销售服务费，无须召开基金份额持有人大会。基金管理人必须依照有关规定最迟于新的费率实施日前在指定媒介和基金管理人网站上刊登公告。</w:t>
      </w:r>
    </w:p>
    <w:p w14:paraId="7DFC4D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（五）实施侧袋机制期间的基金费用</w:t>
      </w:r>
    </w:p>
    <w:p w14:paraId="532653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004D28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（六）基金税收</w:t>
      </w:r>
    </w:p>
    <w:p w14:paraId="2B2750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基金和基金份额持有人根据国家法律法规的规定，履行纳税义务。</w:t>
      </w:r>
    </w:p>
    <w:p w14:paraId="1E579B18"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1E59C2C" w14:textId="77777777" w:rsidR="00CB5326" w:rsidRDefault="000C1687">
      <w:pPr>
        <w:pStyle w:val="1"/>
        <w:snapToGrid w:val="0"/>
        <w:spacing w:beforeLines="0" w:before="240" w:after="240"/>
        <w:rPr>
          <w:rFonts w:ascii="宋体" w:hAnsi="宋体"/>
          <w:szCs w:val="30"/>
        </w:rPr>
      </w:pPr>
      <w:bookmarkStart w:id="19" w:name="_Toc154495306"/>
      <w:r>
        <w:rPr>
          <w:rFonts w:ascii="Times New Roman" w:hAnsi="Times New Roman"/>
          <w:sz w:val="30"/>
        </w:rPr>
        <w:lastRenderedPageBreak/>
        <w:t>十六、基金的会计与审计</w:t>
      </w:r>
      <w:bookmarkEnd w:id="19"/>
    </w:p>
    <w:p w14:paraId="00A4FD2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（一）基金的会计政策</w:t>
      </w:r>
    </w:p>
    <w:p w14:paraId="5490B1B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1、基金管理人为本基金的会计责任方；</w:t>
      </w:r>
    </w:p>
    <w:p w14:paraId="4DFE66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2、本基金的会计年度为公历每年的1月1日至12月31日；</w:t>
      </w:r>
    </w:p>
    <w:p w14:paraId="33A41B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3、本基金的会计核算以人民币为记账本位币，以人民币元为记账单位；</w:t>
      </w:r>
    </w:p>
    <w:p w14:paraId="39CA8C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4、会计制度执行国家有关的会计制度；</w:t>
      </w:r>
    </w:p>
    <w:p w14:paraId="2A74DB6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60120D8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6、基金管理人及基金托管人分别保留完整的会计账目、凭证并进行日常的会计核算，按照有关规定编制基金会计报表；</w:t>
      </w:r>
    </w:p>
    <w:p w14:paraId="2F9DF1B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7、基金托管人定期与基金管理人就基金的会计核算、报表编制等进行核对并书面确认。</w:t>
      </w:r>
    </w:p>
    <w:p w14:paraId="594E2A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（二）基金的审计</w:t>
      </w:r>
    </w:p>
    <w:p w14:paraId="26D2C5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1、基金管理人聘请具有从事证券、期货相关业务资格的会计师事务所及其注册会计师对本基金年度财务报表及其他规定事项进行审计。会计师事务所及其注册会计师与基金管理人、基金托管人相互独立。</w:t>
      </w:r>
    </w:p>
    <w:p w14:paraId="7EDE91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2、会计师事务所更换经办注册会计师时，应事先征得基金管理人同意。</w:t>
      </w:r>
    </w:p>
    <w:p w14:paraId="3B91749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3、基金管理人认为有充足理由更换会计师事务所，须通报基金托管人。更换会计师事务所需按照《信息披露办法》的有关规定在指定媒介公告。</w:t>
      </w:r>
    </w:p>
    <w:p w14:paraId="56327495"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8AF6D04" w14:textId="77777777" w:rsidR="00CB5326" w:rsidRDefault="000C1687">
      <w:pPr>
        <w:pStyle w:val="1"/>
        <w:snapToGrid w:val="0"/>
        <w:spacing w:beforeLines="0" w:before="240" w:after="240"/>
        <w:rPr>
          <w:rFonts w:ascii="宋体" w:hAnsi="宋体"/>
          <w:szCs w:val="30"/>
        </w:rPr>
      </w:pPr>
      <w:bookmarkStart w:id="20" w:name="_Toc154495307"/>
      <w:r>
        <w:rPr>
          <w:rFonts w:ascii="Times New Roman" w:hAnsi="Times New Roman"/>
          <w:sz w:val="30"/>
        </w:rPr>
        <w:lastRenderedPageBreak/>
        <w:t>十七、基金的信息披露</w:t>
      </w:r>
      <w:bookmarkEnd w:id="20"/>
    </w:p>
    <w:p w14:paraId="2CF61A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（一）本基金的信息披露应符合《基金法》、《运作办法》、《信息披露办法》、《流动性规定》、基金合同及其他有关规定。</w:t>
      </w:r>
    </w:p>
    <w:p w14:paraId="785353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（二）信息披露义务人</w:t>
      </w:r>
    </w:p>
    <w:p w14:paraId="2FA8AE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14:paraId="7540B6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4EA430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BECEB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（三）本基金信息披露义务人在承诺公开披露的基金信息时，不得有下列行为：</w:t>
      </w:r>
    </w:p>
    <w:p w14:paraId="1B0498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1A4F75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756635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6D1794E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3CB92C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26F5B3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3AECD2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（四）本基金公开披露的信息应采用中文文本。如同时采用外文文本的，基金信息披露义务人应保证不同文本的内容一致。不同文本之间发生歧义的，以中文文本为准。</w:t>
      </w:r>
    </w:p>
    <w:p w14:paraId="2A51EC6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23E608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（五）公开披露的基金信息</w:t>
      </w:r>
    </w:p>
    <w:p w14:paraId="4AF31A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6B3CB1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1、招募说明书、基金合同、托管协议、基金产品资料概要</w:t>
      </w:r>
    </w:p>
    <w:p w14:paraId="127F0B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基金经中国证监会准予变更注册后，基金管理人根据《信息披露办法》的规定将招募说明书、基金合同摘要登载在指定媒介上；基金管理人、基金托管人应当将基金合同、托管协议登载在网站上。</w:t>
      </w:r>
    </w:p>
    <w:p w14:paraId="2EDC8C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5DFD30F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54D4D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11A3F1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98539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2、发售公告</w:t>
      </w:r>
    </w:p>
    <w:p w14:paraId="66E904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基金管理人应当就基金份额发售的具体事宜编制发售公告，并在披露招募说明书的当日登载于指定媒介上。</w:t>
      </w:r>
    </w:p>
    <w:p w14:paraId="144F35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3DBFC5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基金管理人应当在本基金合同生效的次日在指定报刊和基金管理人网站上登载基金合同生效公告。基金合同生效公告中将说明基金募集情况。</w:t>
      </w:r>
    </w:p>
    <w:p w14:paraId="010B4B2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4、基金开始申购、赎回公告</w:t>
      </w:r>
    </w:p>
    <w:p w14:paraId="294E09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基金管理人应于申购开始日、赎回开始日前在指定媒介上公告。</w:t>
      </w:r>
    </w:p>
    <w:p w14:paraId="31D71A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242568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w:t>
      </w:r>
      <w:r>
        <w:rPr>
          <w:rFonts w:ascii="宋体" w:hAnsi="宋体"/>
          <w:sz w:val="24"/>
        </w:rPr>
        <w:lastRenderedPageBreak/>
        <w:t>申购、赎回价格的计算方式及有关申购、赎回费率，并保证投资者能够在基金销售机构网站或营业网点查阅或者复制前述信息资料。</w:t>
      </w:r>
    </w:p>
    <w:p w14:paraId="4A259A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6、基金净值信息</w:t>
      </w:r>
    </w:p>
    <w:p w14:paraId="1FB251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《基金合同》生效后，在开始办理基金份额申购或者赎回前，基金管理人应当至少每周在指定网站披露一次A/B类基金份额和C类基金份额所对应的基金份额净值和基金份额累计净值。</w:t>
      </w:r>
    </w:p>
    <w:p w14:paraId="16EBD6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次日，通过指定网站、基金销售机构网站或者营业网点披露开放日的A/B类基金份额和C类基金份额所对应的基金份额净值和基金份额累计净值。</w:t>
      </w:r>
    </w:p>
    <w:p w14:paraId="709AC7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基金管理人应当在不晚于半年度和年度最后一日的次日，在指定网站披露半年度和年度最后一日的A/B类基金份额和C类基金份额所对应的基金份额净值和基金份额累计净值。</w:t>
      </w:r>
    </w:p>
    <w:p w14:paraId="7CF144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7、基金定期报告，包括基金年度报告、基金中期报告和基金季度报告</w:t>
      </w:r>
    </w:p>
    <w:p w14:paraId="4ED00C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E7847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14:paraId="074E49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14:paraId="615681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4EA0873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F7020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0B8D28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8、临时报告</w:t>
      </w:r>
    </w:p>
    <w:p w14:paraId="415C09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w:t>
      </w:r>
      <w:r>
        <w:rPr>
          <w:rFonts w:ascii="宋体" w:hAnsi="宋体"/>
          <w:sz w:val="24"/>
        </w:rPr>
        <w:lastRenderedPageBreak/>
        <w:t>登载在指定报刊和指定网站上。</w:t>
      </w:r>
    </w:p>
    <w:p w14:paraId="02F272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2A11C4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06B1A1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6781CE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14:paraId="79EC83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017E06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5ACCCC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7DC276A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284DC2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4A3DA5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39F747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5E879F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13F493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28CC1D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98802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31CAD5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（15）管理费、托管费、申购费、赎回费等费用计提标准、计提方式和费率发生变更；</w:t>
      </w:r>
    </w:p>
    <w:p w14:paraId="4D6E36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（16）基金份额净值计价错误达基金份额净值百分之零点五；</w:t>
      </w:r>
    </w:p>
    <w:p w14:paraId="1835FD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（17）本基金开始办理申购、赎回；</w:t>
      </w:r>
    </w:p>
    <w:p w14:paraId="6A56437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14:paraId="0A67FE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14:paraId="528B46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14:paraId="440EBD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（21）基金推出新业务或服务；</w:t>
      </w:r>
    </w:p>
    <w:p w14:paraId="047969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（22）发生涉及基金申购、赎回事项调整或潜在影响投资者赎回等重大事项时；</w:t>
      </w:r>
    </w:p>
    <w:p w14:paraId="40C228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14:paraId="73A2DF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9、澄清公告</w:t>
      </w:r>
    </w:p>
    <w:p w14:paraId="4A77BF4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EF112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10、基金份额持有人大会决议</w:t>
      </w:r>
    </w:p>
    <w:p w14:paraId="315CDC6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528133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4192C0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管理人应当在基金合同生效公告、基金季度报告、中期报告、年度报告等定期报告中分别披露基金管理人、基金管理人的公司高级管理人员、基金经理等投资管理人员以及基金管理人的股东持有本基金的份额、期限及期间的变动情况.</w:t>
      </w:r>
    </w:p>
    <w:p w14:paraId="35EF7D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12、实施侧袋机制期间的信息披露</w:t>
      </w:r>
    </w:p>
    <w:p w14:paraId="3FA544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424F9D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13、中国证监会规定的其他信息。</w:t>
      </w:r>
    </w:p>
    <w:p w14:paraId="0363322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（六）信息披露事务管理</w:t>
      </w:r>
    </w:p>
    <w:p w14:paraId="0F86E6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455871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基金信息披露义务人公开披露基金信息，应当符合中国证监会相关基金信息披露内容与格式准则等法律法规规定。</w:t>
      </w:r>
    </w:p>
    <w:p w14:paraId="6CFF2D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493A0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E84B9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4DB3A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29617F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C5D65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（七）信息披露文件的存放与查阅</w:t>
      </w:r>
    </w:p>
    <w:p w14:paraId="45FF054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14:paraId="637B3D4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（八）本基金信息披露事项以法律法规规定及本章节约定的内容为准。</w:t>
      </w:r>
    </w:p>
    <w:p w14:paraId="09EAB2A0"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BD351D6" w14:textId="77777777" w:rsidR="00CB5326" w:rsidRDefault="000C1687">
      <w:pPr>
        <w:pStyle w:val="1"/>
        <w:snapToGrid w:val="0"/>
        <w:spacing w:beforeLines="0" w:before="240" w:after="240"/>
        <w:rPr>
          <w:rFonts w:ascii="宋体" w:hAnsi="宋体"/>
          <w:szCs w:val="30"/>
        </w:rPr>
      </w:pPr>
      <w:bookmarkStart w:id="21" w:name="_Toc154495308"/>
      <w:r>
        <w:rPr>
          <w:rFonts w:ascii="Times New Roman" w:hAnsi="Times New Roman"/>
          <w:sz w:val="30"/>
        </w:rPr>
        <w:lastRenderedPageBreak/>
        <w:t>十八、侧袋机制</w:t>
      </w:r>
      <w:bookmarkEnd w:id="21"/>
    </w:p>
    <w:p w14:paraId="44F72A9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（一）侧袋机制的实施条件</w:t>
      </w:r>
    </w:p>
    <w:p w14:paraId="59292D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BB821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01FD020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（二）实施侧袋机制期间基金份额的申购与赎回</w:t>
      </w:r>
    </w:p>
    <w:p w14:paraId="624306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4067EA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6D97F6F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79EA262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（三）实施侧袋机制期间的基金投资</w:t>
      </w:r>
    </w:p>
    <w:p w14:paraId="26C606C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15FEAF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66A8253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5BA8CD7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（四）实施侧袋机制期间的基金估值</w:t>
      </w:r>
    </w:p>
    <w:p w14:paraId="75DEBB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7CCBE79A"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（五）实施侧袋账户期间的基金费用</w:t>
      </w:r>
    </w:p>
    <w:p w14:paraId="3580F1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14:paraId="2EBDFE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49C9877B"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（六）侧袋账户中特定资产的处置变现和支付</w:t>
      </w:r>
    </w:p>
    <w:p w14:paraId="535F4C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0A0019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0E959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531E79C0"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（七）侧袋机制的信息披露</w:t>
      </w:r>
    </w:p>
    <w:p w14:paraId="5331A5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32AD99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48D501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2EA788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6C372F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1C16FF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p>
    <w:p w14:paraId="39535E5C"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4E57B900" w14:textId="77777777" w:rsidR="00CB5326" w:rsidRDefault="000C1687">
      <w:pPr>
        <w:pStyle w:val="1"/>
        <w:snapToGrid w:val="0"/>
        <w:spacing w:beforeLines="0" w:before="240" w:after="240"/>
        <w:rPr>
          <w:rFonts w:ascii="宋体" w:hAnsi="宋体"/>
          <w:szCs w:val="30"/>
        </w:rPr>
      </w:pPr>
      <w:bookmarkStart w:id="22" w:name="_Toc154495309"/>
      <w:r>
        <w:rPr>
          <w:rFonts w:ascii="Times New Roman" w:hAnsi="Times New Roman"/>
          <w:sz w:val="30"/>
        </w:rPr>
        <w:lastRenderedPageBreak/>
        <w:t>十九、风险揭示</w:t>
      </w:r>
      <w:bookmarkEnd w:id="22"/>
    </w:p>
    <w:p w14:paraId="16611D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26A547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2DA985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5B8304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14:paraId="4C49C5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45243E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1A75C89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作出投资决策后，基金运营状况与基金净值变化引致的投资风险，由投资者自行负</w:t>
      </w:r>
      <w:r>
        <w:rPr>
          <w:rFonts w:ascii="宋体" w:hAnsi="宋体"/>
          <w:sz w:val="24"/>
        </w:rPr>
        <w:lastRenderedPageBreak/>
        <w:t>担。</w:t>
      </w:r>
    </w:p>
    <w:p w14:paraId="339D15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2C4C0F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14:paraId="7CF0FD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市场风险是指证券市场价格因受到经济因素、政治因素、投资心理和交易制度等各种因素的影响而引起的波动，对基金收益水平产生的潜在风险，主要包括：</w:t>
      </w:r>
    </w:p>
    <w:p w14:paraId="444C85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469E57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14:paraId="439A69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14:paraId="15C39A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w:t>
      </w:r>
    </w:p>
    <w:p w14:paraId="0BFEB4D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456BBB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5105D8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6849B1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6E3B20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（二）管理风险</w:t>
      </w:r>
    </w:p>
    <w:p w14:paraId="6D67D9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4049E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14:paraId="00508C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14:paraId="2D2C395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14A082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CC392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25EA5B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2ABBD6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0311AF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14:paraId="5888F4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当基金出现巨额赎回时，基金管理人可以根据基金当时的资产组合状况决定全额赎回或部分顺延赎回。</w:t>
      </w:r>
    </w:p>
    <w:p w14:paraId="19155C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（1）全额赎回：当基金管理人认为有能力支付基金投资者的赎回申请时，按正常赎回程序执行。</w:t>
      </w:r>
    </w:p>
    <w:p w14:paraId="639705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（2）部分顺延赎回：当基金管理人认为支付基金投资者的赎回申请有困难或</w:t>
      </w:r>
      <w:r>
        <w:rPr>
          <w:rFonts w:ascii="宋体" w:hAnsi="宋体"/>
          <w:sz w:val="24"/>
        </w:rPr>
        <w:lastRenderedPageBreak/>
        <w:t>认为支付投资者的赎回申请而进行的财产变现可能会对基金资产净值造成较大波动时，基金管理人在当日接受赎回比例不低于上一工作日基金总份额的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14:paraId="33AAEF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14:paraId="3FA6E8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确认成功的赎回申请可以延缓支付赎回款项，但不得超过20个工作日，并应当在指定媒介上进行公告。</w:t>
      </w:r>
    </w:p>
    <w:p w14:paraId="01286A4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巨额赎回业务的场内处理，按照上海证券交易所及中国证券登记结算有限责任公司的有关规定办理。</w:t>
      </w:r>
    </w:p>
    <w:p w14:paraId="0681811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3141B5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40EE473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102FB1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10B6CF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03EB7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基金管理人将根据主袋账户运作情况合理确定申购政策，因此实施侧袋机制后主袋账户份额存在暂停申购的可能。</w:t>
      </w:r>
    </w:p>
    <w:p w14:paraId="1106D5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4E43FA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（四）交易对手违约风险</w:t>
      </w:r>
    </w:p>
    <w:p w14:paraId="20E443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7002BA1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（五）投资本基金特有的风险</w:t>
      </w:r>
    </w:p>
    <w:p w14:paraId="33AB1A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1、本基金为债券型基金，固定收益类资产的比例不低于基金资产的80%，因投资固定收益类资产而面临的固定收益类资产市场的系统性风险和个券风险；</w:t>
      </w:r>
    </w:p>
    <w:p w14:paraId="4617B4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67339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为发起式基金，基金管理人运用固有资金认购本基金1000万元，持有期限并不低于三年。但基金管理人对本基金的发起认购，并不代表对本基金的风险或收益的任何判断、预测、推荐和保证，基金管理人认购的发起资金也并不用于对投资者投资亏损的补偿，投资者及基金管理人均自行承担投资风险。基金管理人认购的发起份额持有期限满三年后，基金管理人将根据自身情况决定是否继续持</w:t>
      </w:r>
      <w:r>
        <w:rPr>
          <w:rFonts w:ascii="宋体" w:hAnsi="宋体"/>
          <w:sz w:val="24"/>
        </w:rPr>
        <w:lastRenderedPageBreak/>
        <w:t>有，届时，基金管理人有可能赎回认购的本基金份额。基金合同生效之日起满3年后的对应日（如该对应日为非工作日，则顺延至下一个工作日），若本基金的资产净值低于2亿元，基金合同将自动终止，且无法通过召开持有人大会延续基金合同期限，因此投资者将面临基金合同可能终止的不确定性风险。</w:t>
      </w:r>
    </w:p>
    <w:p w14:paraId="5D60C9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（六）其他风险</w:t>
      </w:r>
    </w:p>
    <w:p w14:paraId="652486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454B81C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7CBDA67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12A8563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5F0113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4751A3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220478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208199B4"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6F250B4" w14:textId="77777777" w:rsidR="00CB5326" w:rsidRDefault="000C1687">
      <w:pPr>
        <w:pStyle w:val="1"/>
        <w:snapToGrid w:val="0"/>
        <w:spacing w:beforeLines="0" w:before="240" w:after="240"/>
        <w:rPr>
          <w:rFonts w:ascii="宋体" w:hAnsi="宋体"/>
          <w:szCs w:val="30"/>
        </w:rPr>
      </w:pPr>
      <w:bookmarkStart w:id="23" w:name="_Toc154495310"/>
      <w:r>
        <w:rPr>
          <w:rFonts w:ascii="Times New Roman" w:hAnsi="Times New Roman"/>
          <w:sz w:val="30"/>
        </w:rPr>
        <w:lastRenderedPageBreak/>
        <w:t>二十、基金合同的终止与基金财产的清算</w:t>
      </w:r>
      <w:bookmarkEnd w:id="23"/>
    </w:p>
    <w:p w14:paraId="390ED9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（一）基金合同的终止</w:t>
      </w:r>
    </w:p>
    <w:p w14:paraId="09C310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有下列情形之一的，基金合同经中国证监会核准后将终止：</w:t>
      </w:r>
    </w:p>
    <w:p w14:paraId="1B5DFD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7FC2F9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2、基金管理人职责终止，而在6个月内没有新的基金管理人承接的；</w:t>
      </w:r>
    </w:p>
    <w:p w14:paraId="75FDB7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3、基金托管人职责终止，而在6个月内没有新的基金托管人承接的；</w:t>
      </w:r>
    </w:p>
    <w:p w14:paraId="216275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4、基金合同生效之日起满3年后的对应日（如该对应日为非工作日，则顺延至下一个工作日），基金资产净值低于2亿元的；</w:t>
      </w:r>
    </w:p>
    <w:p w14:paraId="5942D57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74041C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（二）基金财产的清算</w:t>
      </w:r>
    </w:p>
    <w:p w14:paraId="5CD4DE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w:t>
      </w:r>
    </w:p>
    <w:p w14:paraId="6D5930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（1）自出现基金合同终止事由之日起30个工作日内成立基金财产清算小组，基金管理人组织基金财产清算小组并在中国证监会的监督下进行基金清算。</w:t>
      </w:r>
    </w:p>
    <w:p w14:paraId="11A20E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（2）基金财产清算小组成员由基金管理人、基金托管人、具有从事证券相关业务资格的注册会计师、律师以及中国证监会指定的人员组成。基金财产清算小组可以聘用必要的工作人员。</w:t>
      </w:r>
    </w:p>
    <w:p w14:paraId="1112F16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（3）基金财产清算小组负责基金财产的保管、清理、估价、变现和分配。基金财产清算小组可以依法进行必要的民事活动。</w:t>
      </w:r>
    </w:p>
    <w:p w14:paraId="1EC30E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2、基金财产清算程序</w:t>
      </w:r>
    </w:p>
    <w:p w14:paraId="3C1E6B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（1）基金合同终止时，由基金财产清算小组统一接管基金财产；</w:t>
      </w:r>
    </w:p>
    <w:p w14:paraId="7619D1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（2）对基金财产进行清理和确认；</w:t>
      </w:r>
    </w:p>
    <w:p w14:paraId="578C4F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（3）对基金财产进行估价和变现；</w:t>
      </w:r>
    </w:p>
    <w:p w14:paraId="3CCC1F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7DEB31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（5）聘请会计师事务所对清算报告进行审计；</w:t>
      </w:r>
    </w:p>
    <w:p w14:paraId="42E7A39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（6）聘请律师事务所对清算报告出具法律意见书；</w:t>
      </w:r>
    </w:p>
    <w:p w14:paraId="4B7AFAB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（7）将基金清算结果报告中国证监会；</w:t>
      </w:r>
    </w:p>
    <w:p w14:paraId="47F147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（8）公布基金清算报告；</w:t>
      </w:r>
    </w:p>
    <w:p w14:paraId="0E4362A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（9）对基金剩余财产进行分配。</w:t>
      </w:r>
    </w:p>
    <w:p w14:paraId="4A2BB4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3、基金财产清算的期限为6个月（若遇基金持有的上市证券出现长期休市、停</w:t>
      </w:r>
      <w:r>
        <w:rPr>
          <w:rFonts w:ascii="宋体" w:hAnsi="宋体"/>
          <w:sz w:val="24"/>
        </w:rPr>
        <w:lastRenderedPageBreak/>
        <w:t>牌或其他流通受限的情形除外）。</w:t>
      </w:r>
    </w:p>
    <w:p w14:paraId="09C893E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6EDFF54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20D109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5、基金财产按下列顺序清偿：</w:t>
      </w:r>
    </w:p>
    <w:p w14:paraId="0E6428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14:paraId="338086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（2）交纳所欠税款；</w:t>
      </w:r>
    </w:p>
    <w:p w14:paraId="64C5B1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14:paraId="0F386A0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（4）按基金份额持有人持有的基金份额比例进行分配。</w:t>
      </w:r>
    </w:p>
    <w:p w14:paraId="02493E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基金财产未按前款（1）－（3）项规定清偿前，不分配给基金份额持有人。</w:t>
      </w:r>
    </w:p>
    <w:p w14:paraId="4EF657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5B83DB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清算过程中的有关重大事项须及时公告；基金财产清算报告经会计师事务所审计，律师事务所出具法律意见书后，由基金财产清算小组报中国证监会备案后5个工作日内由基金财产清算小组公告。</w:t>
      </w:r>
    </w:p>
    <w:p w14:paraId="6C79F0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1D0980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14:paraId="108D04BD"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CFB818F" w14:textId="77777777" w:rsidR="00CB5326" w:rsidRDefault="000C1687">
      <w:pPr>
        <w:pStyle w:val="1"/>
        <w:snapToGrid w:val="0"/>
        <w:spacing w:beforeLines="0" w:before="240" w:after="240"/>
        <w:rPr>
          <w:rFonts w:ascii="宋体" w:hAnsi="宋体"/>
          <w:szCs w:val="30"/>
        </w:rPr>
      </w:pPr>
      <w:bookmarkStart w:id="24" w:name="_Toc154495311"/>
      <w:r>
        <w:rPr>
          <w:rFonts w:ascii="Times New Roman" w:hAnsi="Times New Roman"/>
          <w:sz w:val="30"/>
        </w:rPr>
        <w:lastRenderedPageBreak/>
        <w:t>二十一、基金合同内容摘要</w:t>
      </w:r>
      <w:bookmarkEnd w:id="24"/>
    </w:p>
    <w:p w14:paraId="27A5F596"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（一）基金合同当事人的权利与义务</w:t>
      </w:r>
    </w:p>
    <w:p w14:paraId="24CB3C88"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1、基金管理人的权利与义务</w:t>
      </w:r>
    </w:p>
    <w:p w14:paraId="23DDFA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14:paraId="15DA63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w:t>
      </w:r>
    </w:p>
    <w:p w14:paraId="76339B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（2）自本基金合同生效之日起，依照有关法律法规和本基金合同的规定独立运用并管理基金财产；</w:t>
      </w:r>
    </w:p>
    <w:p w14:paraId="34D3B4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（3）依照本基金合同获得基金管理费以及法律法规规定或中国证监会批准的其他收入；</w:t>
      </w:r>
    </w:p>
    <w:p w14:paraId="38D1DE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6657FA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（5）依照法律法规为基金的利益行使因基金财产投资于证券所产生的权利；</w:t>
      </w:r>
    </w:p>
    <w:p w14:paraId="582ED2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（6）在符合有关法律法规和本基金合同的前提下，制订和调整有关基金认购、申购、赎回、转换、转托管等业务的规则，决定基金的除调高托管费和管理费、销售服务费之外的费率结构和收费方式；</w:t>
      </w:r>
    </w:p>
    <w:p w14:paraId="175B07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根据本基金合同及有关规定监督基金托管人，对于基金托管人违反了本基金合同或有关法律法规规定的行为，对基金财产、其他基金当事人的利益造成重大损失的情形，应及时呈报中国证监会和其他监管部门，并采取必要措施保护基金及相关基金当事人的利益；</w:t>
      </w:r>
    </w:p>
    <w:p w14:paraId="1A4715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（8）在基金合同约定的范围内，拒绝或暂停受理申购、赎回和转换等申请；</w:t>
      </w:r>
    </w:p>
    <w:p w14:paraId="341CE4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（9）自行担任注册登记机构或选择、更换注册登记机构，获取基金份额持有人名册，并对注册登记机构的代理行为进行必要的监督和检查；</w:t>
      </w:r>
    </w:p>
    <w:p w14:paraId="537D43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（10）选择、更换代销机构，并依据销售代理协议和有关法律法规，对其行为进行必要的监督和检查；</w:t>
      </w:r>
    </w:p>
    <w:p w14:paraId="0797F9E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（11）依据基金合同及有关法律规定决定基金收益的分配方案；</w:t>
      </w:r>
    </w:p>
    <w:p w14:paraId="6C5A4C1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（12）在基金托管人更换时，提名新的基金托管人；</w:t>
      </w:r>
    </w:p>
    <w:p w14:paraId="5F26B5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（13）依法召集基金份额持有人大会；</w:t>
      </w:r>
    </w:p>
    <w:p w14:paraId="6B0AD5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（14）选择、更换律师事务所、会计师事务所、证券经纪商或其他为基金提供服务的外部机构；</w:t>
      </w:r>
    </w:p>
    <w:p w14:paraId="19B7786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（15）根据国家有关规定，在法律法规允许的前提下，以基金的名义依法为基金融资、融券；</w:t>
      </w:r>
    </w:p>
    <w:p w14:paraId="2E92C3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（16）以基金管理人的名义，代表基金份额持有人的利益行使诉讼权利或者实施其他法律行为；</w:t>
      </w:r>
    </w:p>
    <w:p w14:paraId="4F71A5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（17）法律法规和基金合同规定的其他权利。</w:t>
      </w:r>
    </w:p>
    <w:p w14:paraId="55E0FE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14:paraId="339262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（1）依法募集基金，办理或者委托经由中国证监会认定的其他机构代为办理基金份额的发售、申购、赎回和注册登记事宜；</w:t>
      </w:r>
    </w:p>
    <w:p w14:paraId="11D5FA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590883C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（3）自基金合同生效之日起，以诚实信用、勤勉尽责的原则管理和运用基金财产；</w:t>
      </w:r>
    </w:p>
    <w:p w14:paraId="36B46B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427F3B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（5）建立健全内部风险控制、监察与稽核、财务管理及人事管理等制度，保证所管理的基金财产和基金管理人的财产相互独立，对所管理的不同基金财产分别管理，分别记账，进行证券投资；</w:t>
      </w:r>
    </w:p>
    <w:p w14:paraId="262C3E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（6）除依据《基金法》、基金合同及其他有关规定外，不得为自己及任何第三人谋取利益，不得委托第三人运作基金财产；</w:t>
      </w:r>
    </w:p>
    <w:p w14:paraId="0A5A67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49430A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（8）计算并公告基金净值信息，确定基金份额申购、赎回价格；</w:t>
      </w:r>
    </w:p>
    <w:p w14:paraId="2BF6A3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（9）采取适当合理的措施使计算基金份额认购、申购、赎回和注销价格的方法符合基金合同等法律文件的规定；</w:t>
      </w:r>
    </w:p>
    <w:p w14:paraId="2FEC09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（10）按规定受理基金份额的申购和赎回申请，及时、足额支付赎回款项；</w:t>
      </w:r>
    </w:p>
    <w:p w14:paraId="0D23E22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（11）进行基金会计核算并编制基金财务会计报告；</w:t>
      </w:r>
    </w:p>
    <w:p w14:paraId="34A704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（12）编制季度报告、中期报告和年度报告；</w:t>
      </w:r>
    </w:p>
    <w:p w14:paraId="0671D22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（13）严格按照《基金法》、基金合同及其他有关规定，履行信息披露及报告义务；</w:t>
      </w:r>
    </w:p>
    <w:p w14:paraId="5797C3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（14）保守基金商业秘密，不得泄露基金投资计划、投资意向等。除《基金法》、基金合同及其他有关规定另有规定外，在基金信息公开披露前应予保密，不</w:t>
      </w:r>
      <w:r>
        <w:rPr>
          <w:rFonts w:ascii="宋体" w:hAnsi="宋体"/>
          <w:sz w:val="24"/>
        </w:rPr>
        <w:lastRenderedPageBreak/>
        <w:t>得向他人泄露；</w:t>
      </w:r>
    </w:p>
    <w:p w14:paraId="74230C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（15）按照基金合同的约定确定基金收益分配方案，及时向基金份额持有人分配收益；</w:t>
      </w:r>
    </w:p>
    <w:p w14:paraId="7FAA87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（16）依据《基金法》、基金合同及其他有关规定召集基金份额持有人大会或配合基金托管人、基金份额持有人依法召集基金份额持有人大会；</w:t>
      </w:r>
    </w:p>
    <w:p w14:paraId="4C1E9D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D9159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（18）保存基金财产管理业务活动的记录、账册、报表和其他相关资料；</w:t>
      </w:r>
    </w:p>
    <w:p w14:paraId="5C3063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（19）以基金管理人名义，代表基金份额持有人利益行使诉讼权利或者实施其他法律行为；</w:t>
      </w:r>
    </w:p>
    <w:p w14:paraId="476E89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（20）组织并参加基金财产清算小组，参与基金财产的保管、清理、估价、变现和分配；</w:t>
      </w:r>
    </w:p>
    <w:p w14:paraId="769041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（21）因违反基金合同导致基金财产的损失或损害基金份额持有人合法权益，应当承担赔偿责任，其赔偿责任不因其退任而免除；</w:t>
      </w:r>
    </w:p>
    <w:p w14:paraId="1730D5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（22）监督基金托管人按法律法规和基金合同规定履行自己的义务，基金托管人违反基金合同造成基金财产损失时，基金管理人应为基金份额持有人利益向基金托管人追偿；</w:t>
      </w:r>
    </w:p>
    <w:p w14:paraId="477F8B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（23）当基金管理人将其义务委托第三方处理时，应当对第三方处理有关基金事务的行为承担责任；</w:t>
      </w:r>
    </w:p>
    <w:p w14:paraId="03169D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（24）按规定向基金托管人提供基金份额持有人名册资料；</w:t>
      </w:r>
    </w:p>
    <w:p w14:paraId="15B5D92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（25）建立并保存基金份额持有人名册；</w:t>
      </w:r>
    </w:p>
    <w:p w14:paraId="7C5791C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（26）面临解散、依法被撤销或者被依法宣告破产时，及时报告中国证监会并通知基金托管人；</w:t>
      </w:r>
    </w:p>
    <w:p w14:paraId="468007A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（27）基金管理人在募集期间未能达到基金的备案条件，基金合同不能生效，基金管理人承担全部募集费用，将已募集资金并加计银行同期存款利息在基金募集期结束后30日内退还投资者；</w:t>
      </w:r>
    </w:p>
    <w:p w14:paraId="38B3AB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（28）执行生效的基金份额持有人大会的决议；</w:t>
      </w:r>
    </w:p>
    <w:p w14:paraId="5FCB03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（29）不从事任何有损基金及其他基金合同当事人合法权益的活动；</w:t>
      </w:r>
    </w:p>
    <w:p w14:paraId="0A4EFCD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（30）法律法规、基金合同规定的以及中国证监会要求的其他义务。</w:t>
      </w:r>
    </w:p>
    <w:p w14:paraId="1347475C"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2、基金托管人的权利与义务</w:t>
      </w:r>
    </w:p>
    <w:p w14:paraId="30895A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14:paraId="205574A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（1）依基金合同约定获得基金托管费以及法律法规规定或监管部门批准的其他收入；</w:t>
      </w:r>
    </w:p>
    <w:p w14:paraId="0969BBC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（2）监督基金管理人对本基金的投资运作；</w:t>
      </w:r>
    </w:p>
    <w:p w14:paraId="3855C4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（3）自本基金合同生效之日起，依法律法规和基金合同的规定安全保管基金财产；</w:t>
      </w:r>
    </w:p>
    <w:p w14:paraId="4D62D18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（4）在基金管理人更换时，提名新任基金管理人；</w:t>
      </w:r>
    </w:p>
    <w:p w14:paraId="630C321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根据本基金合同及有关规定监督基金管理人，如发现基金管理人有违反本基金合同或有关法律法规规定的行为，对基金财产、其他基金合同当事人的利益造成重大损失的情形，应及时呈报中国证监会，并采取必要措施保护基金及相关基金合同当事人的利益；</w:t>
      </w:r>
    </w:p>
    <w:p w14:paraId="65EB13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（6）提议召开或依法召集基金份额持有人大会；</w:t>
      </w:r>
    </w:p>
    <w:p w14:paraId="0653DE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（7）根据相关市场规则，为本基金开设证券账户、为本基金办理证券交易资金清算；</w:t>
      </w:r>
    </w:p>
    <w:p w14:paraId="5A8C12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（8）按规定取得基金份额持有人名册；</w:t>
      </w:r>
    </w:p>
    <w:p w14:paraId="4AB7E3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14:paraId="0BB1EF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14:paraId="44446B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0FC9F72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（2）设立专门的基金托管部，具有符合要求的营业场所，配备足够的、合格的熟悉基金托管业务的专职人员，负责基金财产托管事宜；</w:t>
      </w:r>
    </w:p>
    <w:p w14:paraId="521C76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28EE8D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62BF78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667EAA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（6）按规定开设基金财产的资金账户和证券账户；</w:t>
      </w:r>
    </w:p>
    <w:p w14:paraId="24556A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（7）保守基金商业秘密，除《基金法》、基金合同及其他有关规定另有规定外，在基金信息公开披露前应予以保密，不得向他人泄露；</w:t>
      </w:r>
    </w:p>
    <w:p w14:paraId="7BD845B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32F8B0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（9）保存基金托管业务活动的记录、账册、报表和其他相关资料不少于15年；</w:t>
      </w:r>
    </w:p>
    <w:p w14:paraId="098743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（10）按照基金合同的约定，根据基金管理人的投资指令，及时办理清算、交割事宜；</w:t>
      </w:r>
    </w:p>
    <w:p w14:paraId="2532C93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（11）办理与基金托管业务活动有关的信息披露事项；</w:t>
      </w:r>
    </w:p>
    <w:p w14:paraId="285D752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（12）复核、审查基金管理人计算的基金资产净值、基金份额净值和基金份额申购、赎回价格；</w:t>
      </w:r>
    </w:p>
    <w:p w14:paraId="246357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（13）按照法律法规和基金合同的规定监督基金管理人的投资运作；</w:t>
      </w:r>
    </w:p>
    <w:p w14:paraId="121C80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（14）按规定制作相关账册并与基金管理人核对；</w:t>
      </w:r>
    </w:p>
    <w:p w14:paraId="6A78B5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（15）依据基金管理人的指令或有关规定向基金份额持有人支付基金收益和赎回款项；</w:t>
      </w:r>
    </w:p>
    <w:p w14:paraId="33E788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（16）按照规定召集基金份额持有人大会或配合基金管理人、基金份额持有人依法召集基金份额持有人大会；</w:t>
      </w:r>
    </w:p>
    <w:p w14:paraId="5465F2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（17）因违反基金合同导致基金财产损失或损害基金份额持有人合法权益，应承担赔偿责任，其赔偿责任不因其退任而免除；</w:t>
      </w:r>
    </w:p>
    <w:p w14:paraId="66209F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（18）按规定监督基金管理人按照法律法规规定和基金合同履行其义务，基金管理人因违反基金合同造成基金财产损失时，应为基金份额持有人利益向基金管理人追偿；</w:t>
      </w:r>
    </w:p>
    <w:p w14:paraId="0C839EB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（19）根据本基金合同和托管协议规定建立并保存基金份额持有人名册；</w:t>
      </w:r>
    </w:p>
    <w:p w14:paraId="306D24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（20）参加基金财产清算组，参与基金财产的保管、清理、估价、变现和分配；</w:t>
      </w:r>
    </w:p>
    <w:p w14:paraId="662F87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（21）面临解散、依法被撤销、破产或者由接管人接管其资产时，及时报告中国证监会和中国银监会，并通知基金管理人；</w:t>
      </w:r>
    </w:p>
    <w:p w14:paraId="486457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（22）执行生效的基金份额持有人大会的决议；</w:t>
      </w:r>
    </w:p>
    <w:p w14:paraId="4C730F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（23）法律法规、基金合同规定的以及中国证监会要求的其他义务。</w:t>
      </w:r>
    </w:p>
    <w:p w14:paraId="752C73B9"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3、基金份额持有人的权利与义务</w:t>
      </w:r>
    </w:p>
    <w:p w14:paraId="45607C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14:paraId="218CF4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同一基金份额类别的每份基金份额具有同等的合法权益。根据《基金法》、《运作办法》及其他有关法律法规的规定，基金份额持有人的权利包括但不限于：</w:t>
      </w:r>
    </w:p>
    <w:p w14:paraId="379D24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22878A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44D91E2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（3）依法申请赎回其持有的基金份额；</w:t>
      </w:r>
    </w:p>
    <w:p w14:paraId="586592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w:t>
      </w:r>
    </w:p>
    <w:p w14:paraId="4BAC9A0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379CF6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1B9FBF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5A8571C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（8）对基金管理人、基金托管人、基金销售机构损害其合法权益的行为依法提起诉讼或仲裁；</w:t>
      </w:r>
    </w:p>
    <w:p w14:paraId="4C6B81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（9）法律法规和基金合同规定的其他权利。</w:t>
      </w:r>
    </w:p>
    <w:p w14:paraId="535665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根据《基金法》、《运作办法》及其他有关法律法规的规定，基金份额持有人的义务包括但不限于：</w:t>
      </w:r>
    </w:p>
    <w:p w14:paraId="34707C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（1）认真阅读基金合同，遵守法律法规、基金合同及其他有关规定；</w:t>
      </w:r>
    </w:p>
    <w:p w14:paraId="5A5577A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（2）了解所投资基金产品，了解自身风险承受能力，自行承担投资风险；</w:t>
      </w:r>
    </w:p>
    <w:p w14:paraId="1BDC91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77C770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（4）缴纳基金认购、申购款项及法律法规、基金合同和招募说明书规定的费用；</w:t>
      </w:r>
    </w:p>
    <w:p w14:paraId="392899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659EC47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16E518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（7）执行生效的基金份额持有人大会决议；</w:t>
      </w:r>
    </w:p>
    <w:p w14:paraId="6DD685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（8）遵守基金管理人、基金托管人及销售机构和注册登记机构的相关交易及业务规则；</w:t>
      </w:r>
    </w:p>
    <w:p w14:paraId="59DF8B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（9）返还在基金交易过程中因任何原因获得的不当得利；</w:t>
      </w:r>
    </w:p>
    <w:p w14:paraId="6FEC6E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（10）使用发起资金认购的投资人持有认购的基金份额不少于3年；</w:t>
      </w:r>
    </w:p>
    <w:p w14:paraId="5C698C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（11）法律法规、基金合同规定的以及中国证监会要求的其他义务。</w:t>
      </w:r>
    </w:p>
    <w:p w14:paraId="5849F41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4、本基金合同当事人各方的权利义务以本基金合同为依据，不因基金账户名称而有所改变。</w:t>
      </w:r>
    </w:p>
    <w:p w14:paraId="2825519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（二）基金份额持有人大会</w:t>
      </w:r>
    </w:p>
    <w:p w14:paraId="3AB731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由基金份额持有人组成，基金份额持有人的合法授权代表有权代表基金份额持有人出席会议并表决。基金份额持有人持有的每一基金份额（包括发起资金认购的基金份额）拥有平等的投票权。但基金管理人不能作为基金份额持有人向基金份额持有人大会提出议案，对涉及基金管理人利益的表决事项应当回避。</w:t>
      </w:r>
    </w:p>
    <w:p w14:paraId="20F763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2、召开事由</w:t>
      </w:r>
    </w:p>
    <w:p w14:paraId="4DB4BF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2A1C85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1）终止基金合同，属于基金合同约定的自动终止情形除外，即基金合同生效之日起满3年后的对应日（如该对应日为非工作日，则顺延至下一个工作日），若基金资产净值低于2亿元的，基金合同自动终止；</w:t>
      </w:r>
    </w:p>
    <w:p w14:paraId="2334C25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2）转换基金运作方式；</w:t>
      </w:r>
    </w:p>
    <w:p w14:paraId="3A11162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3）变更基金类别；</w:t>
      </w:r>
    </w:p>
    <w:p w14:paraId="3C8B51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4）变更基金投资目标、投资范围或投资策略（法律法规和中国证监会另有规定的除外）；</w:t>
      </w:r>
    </w:p>
    <w:p w14:paraId="47BAB1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5）变更基金份额持有人大会议事程序；</w:t>
      </w:r>
    </w:p>
    <w:p w14:paraId="604662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6）更换基金管理人、基金托管人；</w:t>
      </w:r>
    </w:p>
    <w:p w14:paraId="07433B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7）提高基金管理人、基金托管人的报酬标准和提高销售服务费；</w:t>
      </w:r>
    </w:p>
    <w:p w14:paraId="39486B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8）本基金与其他基金的合并；</w:t>
      </w:r>
    </w:p>
    <w:p w14:paraId="2A61051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9）对基金合同当事人权利、义务产生重大影响，需召开基金份额持有人大会的变更基金合同等其他事项；</w:t>
      </w:r>
    </w:p>
    <w:p w14:paraId="670E15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10）法律法规、基金合同或中国证监会规定的其他情形。</w:t>
      </w:r>
    </w:p>
    <w:p w14:paraId="22506C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（2）出现以下情形之一的，可由基金管理人和基金托管人协商后修改，不需召开基金份额持有人大会：</w:t>
      </w:r>
    </w:p>
    <w:p w14:paraId="026985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1）调低基金管理费、基金托管费、销售服务费和其他应由基金或基金份额持有人承担的费用；</w:t>
      </w:r>
    </w:p>
    <w:p w14:paraId="2528DC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2BA8E9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3）在法律法规和本基金合同规定的范围内调整基金的申购费率、调低赎回费率；</w:t>
      </w:r>
    </w:p>
    <w:p w14:paraId="0A21DF9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4）因相应的法律法规、证券交易所或者注册登记机构的相关业务规则发生变动必须对基金合同进行修改；</w:t>
      </w:r>
    </w:p>
    <w:p w14:paraId="508C79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5）基金合同的修改不涉及本基金合同当事人权利义务关系发生重大变化；</w:t>
      </w:r>
    </w:p>
    <w:p w14:paraId="3824D4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6）基金合同的修改对基金份额持有人利益无实质性不利影响；</w:t>
      </w:r>
    </w:p>
    <w:p w14:paraId="77F5B5E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7）按照法律法规或本基金合同规定不需召开基金份额持有人大会的其他情形。</w:t>
      </w:r>
    </w:p>
    <w:p w14:paraId="285159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3、召集人及召集方式</w:t>
      </w:r>
    </w:p>
    <w:p w14:paraId="53F5C90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（1）除法律法规或本基金合同另有约定外，基金份额持有人大会由基金管理人召集。基金管理人未按规定召集或者不能召集时，由基金托管人召集。</w:t>
      </w:r>
    </w:p>
    <w:p w14:paraId="172DD90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54EB9F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6E645F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（4）代表基金份额10%以上的基金份额持有人就同一事项要求召开基金份额持</w:t>
      </w:r>
      <w:r>
        <w:rPr>
          <w:rFonts w:ascii="宋体" w:hAnsi="宋体"/>
          <w:sz w:val="24"/>
        </w:rPr>
        <w:lastRenderedPageBreak/>
        <w:t>有人大会，而基金管理人、基金托管人都不召集的，代表基金份额10%以上的基金份额持有人有权自行召集基金份额持有人大会，但应当至少提前30日向中国证监会备案。</w:t>
      </w:r>
    </w:p>
    <w:p w14:paraId="1BB4A2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（5）基金份额持有人依法自行召集基金份额持有人大会的，基金管理人、基金托管人应当配合，不得阻碍、干扰。</w:t>
      </w:r>
    </w:p>
    <w:p w14:paraId="7BD7CA6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4、召开基金份额持有人大会的通知时间、通知内容、通知方式</w:t>
      </w:r>
    </w:p>
    <w:p w14:paraId="207BAE8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集人（以下简称“召集人”）负责选择确定开会时间、地点、方式和权益登记日。召开基金份额持有人大会，召集人必须于会议召开日前40日在指定媒介公告。基金份额持有人大会通知须至少载明以下内容：</w:t>
      </w:r>
    </w:p>
    <w:p w14:paraId="43E329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1）会议召开的时间、地点和出席方式；</w:t>
      </w:r>
    </w:p>
    <w:p w14:paraId="7CA94C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2）会议拟审议的主要事项；</w:t>
      </w:r>
    </w:p>
    <w:p w14:paraId="05DE3B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3）会议形式；</w:t>
      </w:r>
    </w:p>
    <w:p w14:paraId="39A6A6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4）议事程序；</w:t>
      </w:r>
    </w:p>
    <w:p w14:paraId="494BFC4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5）有权出席基金份额持有人大会的基金份额持有人的权益登记日；</w:t>
      </w:r>
    </w:p>
    <w:p w14:paraId="031A88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6）授权委托证明的内容要求（包括但不限于代理人身份、代理权限和代理有效期限等）、送达时间和地点；</w:t>
      </w:r>
    </w:p>
    <w:p w14:paraId="2BF002B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7）表决方式；</w:t>
      </w:r>
    </w:p>
    <w:p w14:paraId="31A496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8）会务常设联系人姓名、电话；</w:t>
      </w:r>
    </w:p>
    <w:p w14:paraId="121E29D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9）出席会议者必须准备的文件和必须履行的手续；</w:t>
      </w:r>
    </w:p>
    <w:p w14:paraId="2A38469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10）召集人需要通知的其他事项。</w:t>
      </w:r>
    </w:p>
    <w:p w14:paraId="4BF90A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2C05CC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758925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5、基金份额持有人出席会议的方式</w:t>
      </w:r>
    </w:p>
    <w:p w14:paraId="297E91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（1）会议方式</w:t>
      </w:r>
    </w:p>
    <w:p w14:paraId="77A11C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1）基金份额持有人大会的召开方式包括现场开会、通讯方式开会或法律法规和监管机关允许的其他方式。</w:t>
      </w:r>
    </w:p>
    <w:p w14:paraId="7AD869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2）现场开会由基金份额持有人本人出席或通过授权委托证明委派其代理人出席，现场开会时基金管理人和基金托管人的授权代表应当出席，基金管理人或基金托管人拒不派代表出席的，不影响表决效力。</w:t>
      </w:r>
    </w:p>
    <w:p w14:paraId="5B5FFA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3）通讯方式开会指按照本基金合同的相关规定以通讯的书面方式进行表决。</w:t>
      </w:r>
    </w:p>
    <w:p w14:paraId="0C17D5F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（2）召开基金份额持有人大会的条件</w:t>
      </w:r>
    </w:p>
    <w:p w14:paraId="0977089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1）现场开会方式</w:t>
      </w:r>
    </w:p>
    <w:p w14:paraId="36916F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在同时符合以下条件时，现场会议方可举行：</w:t>
      </w:r>
    </w:p>
    <w:p w14:paraId="047841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①经核对、汇总，到会者出示的在权益登记日持有基金份额的凭证显示，全部有效凭证所对应的基金份额应占权益登记日基金总份额的50%以上（含50%，下同）；</w:t>
      </w:r>
    </w:p>
    <w:p w14:paraId="14826D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14:paraId="6AB3BC5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未能满足上述条件的情况下，则召集人可另行确定并公告重新开会的时间（至少应在25个工作日后）和地点，但确定有权出席会议的基金份额持有人资格的权益登记日不变。</w:t>
      </w:r>
    </w:p>
    <w:p w14:paraId="0C4DE2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2）通讯开会方式</w:t>
      </w:r>
    </w:p>
    <w:p w14:paraId="22EC85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在同时符合以下条件时，通讯会议方可举行：</w:t>
      </w:r>
    </w:p>
    <w:p w14:paraId="66CAE68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①召集人按本基金合同规定公布会议通知后，在2个工作日内连续公布相关提示性公告；</w:t>
      </w:r>
    </w:p>
    <w:p w14:paraId="10F9BC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召集人在基金托管人（如果基金托管人为召集人，则为基金管理人；以下称为“监督人”）和公证机关的监督下按照会议通知规定的方式收取和统计基金份额持有人的书面表决意见，监督人经通知拒不参加收取和统计书面表决意见的，不影响表决效力；</w:t>
      </w:r>
    </w:p>
    <w:p w14:paraId="57C637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③本人直接出具书面意见或授权他人代表出具书面意见的基金份额持有人所代表的基金份额应占权益登记日基金总份额的50%以上；</w:t>
      </w:r>
    </w:p>
    <w:p w14:paraId="6A4030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3B8A3A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如果开会条件达不到上述的条件，则召集人可另行确定并公告重新表决的时间（至少应在25个工作日后），且确定有权出席会议的基金份额持有人资格的权益登记日不变。</w:t>
      </w:r>
    </w:p>
    <w:p w14:paraId="4102F2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3）在法律法规或监管机构允许的情况下，经会议通知载明，基金份额持有人也可以采用网络、电话或其他方式进行表决，或者采用网络、电话或其他方式授权他人代为出席会议并表决。</w:t>
      </w:r>
    </w:p>
    <w:p w14:paraId="291594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6、议事内容与程序</w:t>
      </w:r>
    </w:p>
    <w:p w14:paraId="3BF7F5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329887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1）议事内容为本基金合同规定的召开基金份额持有人大会事由所涉及的内容以及会议召集人认为需提交基金份额持有人大会讨论的其他事项。</w:t>
      </w:r>
    </w:p>
    <w:p w14:paraId="20896B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14:paraId="52FA8C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3）对于基金份额持有人提交的提案（包括临时提案），大会召集人应当按照以下原则对提案进行审核：</w:t>
      </w:r>
    </w:p>
    <w:p w14:paraId="70DD33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113A4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w:t>
      </w:r>
      <w:r>
        <w:rPr>
          <w:rFonts w:ascii="宋体" w:hAnsi="宋体"/>
          <w:sz w:val="24"/>
        </w:rPr>
        <w:lastRenderedPageBreak/>
        <w:t>份额持有人大会决定的程序进行审议。</w:t>
      </w:r>
    </w:p>
    <w:p w14:paraId="19894F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43BAE3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14:paraId="73B83E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7E4B9A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3562946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21E43AF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14:paraId="4BB6DFC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召集人应当制作出席会议人员的签名册。签名册载明参加会议人员姓名（或单位名称）、身份证号码、持有或代表有表决权的基金份额、委托人姓名（或单位名称）等事项。</w:t>
      </w:r>
    </w:p>
    <w:p w14:paraId="41B301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14:paraId="0B3A29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表决开会的方式下，首先由召集人提前30日公布提案，在所通知的表决截止日期第2日在公证机构监督下由召集人统计全部有效表决并形成决议。如监督人经通知但拒绝到场监督，则在公正机关监督下形成的决议有效。</w:t>
      </w:r>
    </w:p>
    <w:p w14:paraId="5159DEA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（3）基金份额持有人大会不得对未事先公告的议事内容进行表决。</w:t>
      </w:r>
    </w:p>
    <w:p w14:paraId="7FC0200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7、决议形成的条件、表决方式、程序</w:t>
      </w:r>
    </w:p>
    <w:p w14:paraId="0899D1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（1）基金份额持有人所持每一基金份额享有平等的表决权。</w:t>
      </w:r>
    </w:p>
    <w:p w14:paraId="1016ACF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（2）基金份额持有人大会决议分为一般决议和特别决议：</w:t>
      </w:r>
    </w:p>
    <w:p w14:paraId="50F73B7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1）一般决议</w:t>
      </w:r>
    </w:p>
    <w:p w14:paraId="37B1A1C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一般决议须经出席会议的基金份额持有人及其代理人所持表决权的50%以上通过方为有效，除下列2）所规定的须以特别决议通过事项以外的其他事项均以一般决议的方式通过。</w:t>
      </w:r>
    </w:p>
    <w:p w14:paraId="3498C6D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w:t>
      </w:r>
    </w:p>
    <w:p w14:paraId="64119EC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1305A6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3）基金份额持有人大会决定的事项，应当依法报中国证监会核准，或者备案，并予以公告。</w:t>
      </w:r>
    </w:p>
    <w:p w14:paraId="5ACE14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2EE5793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5）基金份额持有人大会采取记名方式进行投票表决。</w:t>
      </w:r>
    </w:p>
    <w:p w14:paraId="3467278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6）基金份额持有人大会的各项提案或同一项提案内并列的各项议题应当分开审议、逐项表决。</w:t>
      </w:r>
    </w:p>
    <w:p w14:paraId="7464B1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8、计票</w:t>
      </w:r>
    </w:p>
    <w:p w14:paraId="5601EE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2320DF5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14:paraId="3F23CE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2）监票人应当在基金份额持有人表决后立即进行清点，由大会主持人当场公布计票结果。</w:t>
      </w:r>
    </w:p>
    <w:p w14:paraId="5BC4B79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3）如会议主持人对于提交的表决结果有怀疑，可以对投票数进行重新清点；如会议主持人未进行重新清点，而出席会议的基金份额持有人或代理人对会议主持</w:t>
      </w:r>
      <w:r>
        <w:rPr>
          <w:rFonts w:ascii="宋体" w:hAnsi="宋体"/>
          <w:sz w:val="24"/>
        </w:rPr>
        <w:lastRenderedPageBreak/>
        <w:t>人宣布的表决结果有异议，其有权在宣布表决结果后立即要求重新清点，会议主持人应当立即重新清点并公布重新清点结果。重新清点仅限一次。</w:t>
      </w:r>
    </w:p>
    <w:p w14:paraId="24C460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w:t>
      </w:r>
    </w:p>
    <w:p w14:paraId="1CAFE74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14:paraId="23497A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54DBE8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9、基金份额持有人大会决议报中国证监会核准或备案后的公告时间、方式</w:t>
      </w:r>
    </w:p>
    <w:p w14:paraId="1377A91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通过的一般决议和特别决议，召集人应当自通过之日起5日内报中国证监会核准或者备案。基金份额持有人大会决定的事项自中国证监会依法核准或者出具无异议意见之日起生效，并在生效后方可执行。</w:t>
      </w:r>
    </w:p>
    <w:p w14:paraId="709F0A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（2）生效的基金份额持有人大会决议对全体基金份额持有人、基金管理人、基金托管人均有约束力。基金管理人、基金托管人和基金份额持有人应当执行生效的基金份额持有人大会的决定。</w:t>
      </w:r>
    </w:p>
    <w:p w14:paraId="2068C26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（3）基金份额持有人大会决议应自生效之日起2日内在指定媒介上公告。</w:t>
      </w:r>
    </w:p>
    <w:p w14:paraId="6DF778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（4）如果采用通讯方式进行表决，在公告基金份额持有人大会决议时，必须将公证书全文、公证机关、公证员姓名等一同公告。</w:t>
      </w:r>
    </w:p>
    <w:p w14:paraId="49D9D3A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10、实施侧袋机制期间基金份额持有人大会的特殊约定</w:t>
      </w:r>
    </w:p>
    <w:p w14:paraId="449A954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95C86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6D9A02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48584B2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w:t>
      </w:r>
      <w:r>
        <w:rPr>
          <w:rFonts w:ascii="宋体" w:hAnsi="宋体"/>
          <w:sz w:val="24"/>
        </w:rPr>
        <w:lastRenderedPageBreak/>
        <w:t>一）；</w:t>
      </w:r>
    </w:p>
    <w:p w14:paraId="7E48BE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47B409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60D5CA1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04B64B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60874FA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420721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（三）基金合同的变更与终止</w:t>
      </w:r>
    </w:p>
    <w:p w14:paraId="26A458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09DE080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按照法律法规或本基金合同的规定，对基金合同的变更应当召开基金份额持有人大会的，基金合同变更的内容应经基金份额持有人大会决议通过，并依法报中国证监会核准或备案，自中国证监会核准或出具无异议意见之日起生效。</w:t>
      </w:r>
    </w:p>
    <w:p w14:paraId="25E6C9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（2）但出现下列情况时，可不经基金份额持有人大会决议，由基金管理人和基金托管人同意变更后公布经修订的基金合同，并报中国证监会备案：</w:t>
      </w:r>
    </w:p>
    <w:p w14:paraId="21BF20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1）调低基金管理费、基金托管费、销售服务费和其他应由基金或基金份额持有人承担的费用；</w:t>
      </w:r>
    </w:p>
    <w:p w14:paraId="3C47FD7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14:paraId="30D3E5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3）在法律法规和本基金合同规定的范围内调整基金的申购费率、调低赎回费率、变更或增加收费方式；</w:t>
      </w:r>
    </w:p>
    <w:p w14:paraId="4C1156E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4）因相应的法律法规、证券交易所或者注册登记机构的相关业务规则发生变动必须对基金合同进行修改；</w:t>
      </w:r>
    </w:p>
    <w:p w14:paraId="503EB24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5）基金合同的修改不涉及本基金合同当事人权利义务关系发生重大变化；</w:t>
      </w:r>
    </w:p>
    <w:p w14:paraId="104A45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6）基金合同的修改对基金份额持有人利益无实质性不利影响；</w:t>
      </w:r>
    </w:p>
    <w:p w14:paraId="0C4610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7）按照法律法规或本基金合同规定不需召开基金份额持有人大会的其他情形。</w:t>
      </w:r>
    </w:p>
    <w:p w14:paraId="77006A3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w:t>
      </w:r>
    </w:p>
    <w:p w14:paraId="65F761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有下列情形之一的，本基金合同经中国证监会核准后将终止：</w:t>
      </w:r>
    </w:p>
    <w:p w14:paraId="5E5AA09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55D011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（2）基金管理人职责终止，而在6个月内没有新的基金管理人承接的；</w:t>
      </w:r>
    </w:p>
    <w:p w14:paraId="2A34C3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（3）基金托管人职责终止，而在6个月内没有新的基金托管人承接的；</w:t>
      </w:r>
    </w:p>
    <w:p w14:paraId="454135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（4）基金合同生效之日起满3年后的对应日（如该对应日为非工作日，则顺延至下一个工作日），基金资产净值低于2亿元的；</w:t>
      </w:r>
    </w:p>
    <w:p w14:paraId="71B042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14:paraId="11E2F92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（四）争议的处理</w:t>
      </w:r>
    </w:p>
    <w:p w14:paraId="4B7C9CD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0699B7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522FE9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本基金合同适用中华人民共和国法律并从其解释。</w:t>
      </w:r>
    </w:p>
    <w:p w14:paraId="130CD8BE"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（五）基金合同存放及投资者取得基金合同的方式</w:t>
      </w:r>
    </w:p>
    <w:p w14:paraId="6EE3A0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1、本基金合同正本一式六份，除上报相关监管部门两份外，基金管理人和基金托管人各持有两份。每份均具有同等的法律效力。</w:t>
      </w:r>
    </w:p>
    <w:p w14:paraId="2DA09A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2、本基金合同可印制成册，供基金投资者在基金管理人和基金托管人办公场所查阅。基金合同条款及内容应以基金合同正本为准。</w:t>
      </w:r>
    </w:p>
    <w:p w14:paraId="054F5AC7"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05A281C" w14:textId="77777777" w:rsidR="00CB5326" w:rsidRDefault="000C1687">
      <w:pPr>
        <w:pStyle w:val="1"/>
        <w:snapToGrid w:val="0"/>
        <w:spacing w:beforeLines="0" w:before="240" w:after="240"/>
        <w:rPr>
          <w:rFonts w:ascii="宋体" w:hAnsi="宋体"/>
          <w:szCs w:val="30"/>
        </w:rPr>
      </w:pPr>
      <w:bookmarkStart w:id="25" w:name="_Toc154495312"/>
      <w:r>
        <w:rPr>
          <w:rFonts w:ascii="Times New Roman" w:hAnsi="Times New Roman"/>
          <w:sz w:val="30"/>
        </w:rPr>
        <w:lastRenderedPageBreak/>
        <w:t>二十二、托管协议的内容摘要</w:t>
      </w:r>
      <w:bookmarkEnd w:id="25"/>
    </w:p>
    <w:p w14:paraId="2DC18D45"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14:paraId="7555546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6593C0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703C45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注册地址：中国(上海)自由贸易试验区银城中路188号交通银行大楼二层（裙）</w:t>
      </w:r>
    </w:p>
    <w:p w14:paraId="534282C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14:paraId="39A1143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14:paraId="73926E9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批准设立机关及批准设立文号：中国证监会证监基金字[2005]128号</w:t>
      </w:r>
    </w:p>
    <w:p w14:paraId="53A91E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14:paraId="1A0C7B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注册资本：贰亿元人民币</w:t>
      </w:r>
    </w:p>
    <w:p w14:paraId="6BF9CE1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69652B2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6934E0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2C99CD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14:paraId="23692D7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14:paraId="1501707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14:paraId="734551D6" w14:textId="5C6AAA38"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w:t>
      </w:r>
      <w:bookmarkStart w:id="26" w:name="_Hlk159252778"/>
      <w:r w:rsidR="003D3E21">
        <w:rPr>
          <w:rFonts w:ascii="宋体" w:hAnsi="宋体"/>
          <w:sz w:val="24"/>
        </w:rPr>
        <w:t>澍</w:t>
      </w:r>
      <w:bookmarkEnd w:id="26"/>
    </w:p>
    <w:p w14:paraId="456164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14:paraId="444DA9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14:paraId="727BF7A7" w14:textId="03111012"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w:t>
      </w:r>
      <w:r w:rsidR="00C53A59" w:rsidRPr="00C53A59">
        <w:rPr>
          <w:rFonts w:ascii="宋体" w:hAnsi="宋体" w:hint="eastAsia"/>
          <w:sz w:val="24"/>
        </w:rPr>
        <w:t>文及</w:t>
      </w:r>
      <w:r>
        <w:rPr>
          <w:rFonts w:ascii="宋体" w:hAnsi="宋体"/>
          <w:sz w:val="24"/>
        </w:rPr>
        <w:t>文号：中国证监会证监基字[1998]23号</w:t>
      </w:r>
    </w:p>
    <w:p w14:paraId="18D8C1B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14:paraId="4E8C9A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2FD740F" w14:textId="43967682"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w:t>
      </w:r>
      <w:bookmarkStart w:id="27" w:name="_Hlk159253165"/>
      <w:r>
        <w:rPr>
          <w:rFonts w:ascii="宋体" w:hAnsi="宋体"/>
          <w:sz w:val="24"/>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w:t>
      </w:r>
      <w:r>
        <w:rPr>
          <w:rFonts w:ascii="宋体" w:hAnsi="宋体"/>
          <w:sz w:val="24"/>
        </w:rPr>
        <w:lastRenderedPageBreak/>
        <w:t>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00C53A59" w:rsidRPr="00C53A59">
        <w:rPr>
          <w:rFonts w:ascii="宋体" w:hAnsi="宋体" w:hint="eastAsia"/>
          <w:sz w:val="24"/>
        </w:rPr>
        <w:t>；保险兼业代理业务</w:t>
      </w:r>
      <w:r>
        <w:rPr>
          <w:rFonts w:ascii="宋体" w:hAnsi="宋体"/>
          <w:sz w:val="24"/>
        </w:rPr>
        <w:t>。</w:t>
      </w:r>
    </w:p>
    <w:bookmarkEnd w:id="27"/>
    <w:p w14:paraId="505A0671"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14:paraId="28B5F0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66CD9D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30个交易日内卖出。同时本基金不参与可转换债券投资。如法律法规或监管机构以后允许基金投资其他品种，基金管理人履行适当程序后，可以将其纳入投资范围，其投资比例遵循届时有效法律法规或相关规定。</w:t>
      </w:r>
    </w:p>
    <w:p w14:paraId="790D61E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本基金的投资组合比例范围为：固定收益类资产的比例不低于基金资产的80%；现金或到期日在一年以内的政府债券的比例合计不低于基金资产净值的5%，其中现金不包括结算备付金、存出保证金和应收申购款等。</w:t>
      </w:r>
    </w:p>
    <w:p w14:paraId="1172487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2、基金托管人根据有关法律法规的规定及基金合同的约定，对基金投资、融资、融券比例进行监督。基金托管人按下述比例和调整期限进行监督：</w:t>
      </w:r>
    </w:p>
    <w:p w14:paraId="6851E9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（1）本基金与本基金管理人管理的其他基金持有一家公司发行的证券，其市值不超过该证券的10%；</w:t>
      </w:r>
    </w:p>
    <w:p w14:paraId="2973B96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（2）进入全国银行间同业市场进行债券回购的资金余额不超过基金资产净值</w:t>
      </w:r>
      <w:r>
        <w:rPr>
          <w:rFonts w:ascii="宋体" w:hAnsi="宋体"/>
          <w:sz w:val="24"/>
        </w:rPr>
        <w:lastRenderedPageBreak/>
        <w:t>的40%。债券回购最长期限为1年，债券回购到期后不得展期；</w:t>
      </w:r>
    </w:p>
    <w:p w14:paraId="579DA6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的全部权证，其市值不得超过基金资产净值的3%；本基金与本基金管理人管理的其他基金持有的同一权证，不得超过该权证的10%。投资于其他权证的投资比例，遵从法律法规或监管部门的相关规定；</w:t>
      </w:r>
    </w:p>
    <w:p w14:paraId="5615BBC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（4）本基金应投资于信用级别评级为BBB 以上(含BBB)的资产支持证券。基金持有资产支持证券期间，如果其信用等级下降、不再符合投资标准，应在评级报告发布之日起3个月内予以全部卖出；</w:t>
      </w:r>
    </w:p>
    <w:p w14:paraId="1AD193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同一（指同一信用级别）资产支持证券的比例，不得超过该资产支持证券规模的10%；本基金投资于同一原始权益人的各类资产支持证券的比例，不得超过基金资产净值的10%；本基金管理人管理的全部证券投资基金投资于同一原始权益人的各类资产支持证券，不得超过其各类资产支持证券合计规模的10%；本基金持有的全部资产支持证券，其市值不得超过基金资产净值的20%；</w:t>
      </w:r>
    </w:p>
    <w:p w14:paraId="7525457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（6）保持不低于基金资产净值5%的现金或者到期日在一年以内的政府债券，其中现金不包括结算备付金、存出保证金和应收申购款等；</w:t>
      </w:r>
    </w:p>
    <w:p w14:paraId="31E5BF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5DFBFD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（8）本基金与私募类证券资管产品及中国证监会认定的其他主体为交易对手开展逆回购交易的，可接受质押品的资质要求应当与基金合同约定的投资范围保持一致；</w:t>
      </w:r>
    </w:p>
    <w:p w14:paraId="03D0BFE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（9）本基金不得违反基金合同中有关投资范围、投资策略、投资比例的规定；</w:t>
      </w:r>
    </w:p>
    <w:p w14:paraId="7A5EDE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（10）法律法规或监管部门对上述比例限制另有规定的，从其规定。</w:t>
      </w:r>
    </w:p>
    <w:p w14:paraId="24850F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符合相关法律法规规定的前提下，除上述第（4）、（6）、（7）、（8）项外，因证券市场波动、上市公司合并、基金规模变动等基金管理人之外的因素致使基金投资比例不符合上述规定的投资比例的，基金管理人应当在10个交易日内进行调整。法律法规或监管部门另有规定的，从其规定。</w:t>
      </w:r>
    </w:p>
    <w:p w14:paraId="1FC164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上述投资组合限制条款中，若属法律法规或监管部门的强制性规定，则当法律法规或监管部门对上述约定的投资组合比例限制规定进行变更，在履行适当程序</w:t>
      </w:r>
      <w:r>
        <w:rPr>
          <w:rFonts w:ascii="宋体" w:hAnsi="宋体"/>
          <w:sz w:val="24"/>
        </w:rPr>
        <w:lastRenderedPageBreak/>
        <w:t>后，以变更后的规定为准；当法律法规或监管部门取消上述限制，在履行适当程序后，本基金投资可不受上述规定限制。</w:t>
      </w:r>
    </w:p>
    <w:p w14:paraId="5929DA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基金托管人对基金投资的监督和检查自基金合同生效之日起开始。</w:t>
      </w:r>
    </w:p>
    <w:p w14:paraId="35BE2A9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5B741E8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10C3BB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3FF6EF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5、基金托管人根据有关法律法规的规定及基金合同的约定，对基金管理人选择存款银行进行监督。</w:t>
      </w:r>
    </w:p>
    <w:p w14:paraId="7F4C9F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397E061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14:paraId="32BBA6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14:paraId="63E78F9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（2）基金托管人应加强对基金银行存款业务的监督与核查，严格审查、复核相关协议、账户资料、投资指令、存款证实书等有关文件，切实履行托管职责。</w:t>
      </w:r>
    </w:p>
    <w:p w14:paraId="457BA55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（3）基金管理人与基金托管人在开展基金存款业务时，应严格遵守《基金法》、《运作办法》等有关法律法规，以及国家有关账户管理、利率管理、支付结算等的各项规定。</w:t>
      </w:r>
    </w:p>
    <w:p w14:paraId="3382B12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37D3080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5E6B1E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如果基金管理人未经基金托管人的审核擅自将不实的业绩表现数据印制在宣传推介材料上，则基金托管人对此不承担任何责任，并将在发现后立即报告中国证监会。</w:t>
      </w:r>
    </w:p>
    <w:p w14:paraId="6E42E2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7、基金托管人根据有关法律法规的规定及基金合同的约定，对基金投资流通受限证券进行监督。</w:t>
      </w:r>
    </w:p>
    <w:p w14:paraId="16F15EF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（1）基金投资流通受限证券，应遵守《关于规范基金投资非公开发行证券行为的紧急通知》、《关于基金投资非公开发行股票等流通受限证券有关问题的通知》等有关法律法规规定。</w:t>
      </w:r>
    </w:p>
    <w:p w14:paraId="44D541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4442DEA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5463A1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（4）在投资流通受限证券之前，基金管理人应至少提前一个交易日向基金托管人提供有关非公开定向增发流通受限证券的相关信息，具体应当包括但不限于如下文件（如有）：</w:t>
      </w:r>
    </w:p>
    <w:p w14:paraId="0D49C5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2248C6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F2BE1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保证基金投资的受限证券登记存管在本基金名下，并保证基金托管人能够正常查询。因基金管理人原因产生的受限证券登记存管问题，造成基金财产的损失或基金托管人无法安全保管基金财产的责任与损失，由基金管理人承担。</w:t>
      </w:r>
    </w:p>
    <w:p w14:paraId="417E816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w:t>
      </w:r>
      <w:r>
        <w:rPr>
          <w:rFonts w:ascii="宋体" w:hAnsi="宋体"/>
          <w:sz w:val="24"/>
        </w:rPr>
        <w:lastRenderedPageBreak/>
        <w:t>因投资流通受限证券产生的损失，基金托管人按照本协议履行监督职责后不承担上述损失。</w:t>
      </w:r>
    </w:p>
    <w:p w14:paraId="2D36D2B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B3E73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15EF1C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12938CF"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14:paraId="7575102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26F96F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w:t>
      </w:r>
      <w:r>
        <w:rPr>
          <w:rFonts w:ascii="宋体" w:hAnsi="宋体"/>
          <w:sz w:val="24"/>
        </w:rPr>
        <w:lastRenderedPageBreak/>
        <w:t>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4A3478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A01656E"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（四）基金财产保管</w:t>
      </w:r>
    </w:p>
    <w:p w14:paraId="029D0D3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5E11ED0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70BECF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（2）基金托管人应安全保管基金财产。未经基金管理人依据合法程序作出的合法合规指令，基金托管人不得自行运用、处分、分配基金的任何财产。</w:t>
      </w:r>
    </w:p>
    <w:p w14:paraId="63288E0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14:paraId="25DE29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56DE23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14:paraId="22F367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EDDAD1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4946499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2882C20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（1）基金募集期间的认购款项应存于专用账户。该账户由基金管理人委托的注册登记机构开立并管理。</w:t>
      </w:r>
    </w:p>
    <w:p w14:paraId="3B5B91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募集期满或基金停止募集时，募集的基金份额总额、基金募集金额、基金份额持有人人数符合《基金法》、《运作办法》等有关规定后，基金管理人应将募集到的全部资金划入基金托管人开立的基金托管资金账户，同时在规定时间内，聘请具有从事证券相关业务资格的会计师事务所进行验资，出具验资报告。出具的验资报告由参加验资的2名或2名以上中国注册会计师签字方为有效。</w:t>
      </w:r>
    </w:p>
    <w:p w14:paraId="42F7B20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（3）若基金募集期限届满，未能达到基金合同生效的条件，由基金管理人按规定办理退款等事宜，基金托管人应提供充分协助。</w:t>
      </w:r>
    </w:p>
    <w:p w14:paraId="3374F80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3、基金资金账户的开立和管理</w:t>
      </w:r>
    </w:p>
    <w:p w14:paraId="295CF8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（1）基金托管人应负责本基金的资金账户的开设和管理。</w:t>
      </w:r>
    </w:p>
    <w:p w14:paraId="6EAA581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1802B14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（3）基金托管资金账户的开立和使用，限于满足开展本基金业务的需要。基金托管人和基金管理人不得假借本基金的名义开立任何其他银行账户；亦不得使用基金的任何账户进行本基金业务以外的活动。</w:t>
      </w:r>
    </w:p>
    <w:p w14:paraId="3A5847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（4）基金托管资金账户的开立和管理应符合相关法律法规的有关规定。</w:t>
      </w:r>
    </w:p>
    <w:p w14:paraId="67C022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（5）在符合法律法规规定的条件下，基金托管人可以通过基金托管人专用账户办理基金资产的支付。</w:t>
      </w:r>
    </w:p>
    <w:p w14:paraId="510431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4、基金证券账户和结算备付金账户的开立和管理</w:t>
      </w:r>
    </w:p>
    <w:p w14:paraId="28F352F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14:paraId="19C32E7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14:paraId="6FD974E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046773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w:t>
      </w:r>
      <w:r>
        <w:rPr>
          <w:rFonts w:ascii="宋体" w:hAnsi="宋体"/>
          <w:sz w:val="24"/>
        </w:rPr>
        <w:lastRenderedPageBreak/>
        <w:t>的管理和运用由基金管理人负责。</w:t>
      </w:r>
    </w:p>
    <w:p w14:paraId="0FCE7E8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7FD80AF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14:paraId="1E2928A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2C096B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00798F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（1）因业务发展需要而开立的其他账户，可以根据法律法规和基金合同的规定，在基金管理人和基金托管人商议后由基金托管人负责开立。新账户按有关规则使用并管理。</w:t>
      </w:r>
    </w:p>
    <w:p w14:paraId="5277C82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（2）法律法规等有关规定对相关账户的开立和管理另有规定的，从其规定办理。7、基金财产投资的有关有价凭证等的保管</w:t>
      </w:r>
    </w:p>
    <w:p w14:paraId="58459F1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01F3FE8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0878797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10D82D04"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（五）基金资产净值计算和会计核算</w:t>
      </w:r>
    </w:p>
    <w:p w14:paraId="50439CB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1、基金资产净值的计算及复核程序</w:t>
      </w:r>
    </w:p>
    <w:p w14:paraId="4CDF811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356738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基金资产净值是指基金资产总值减去基金负债后的净资产值。</w:t>
      </w:r>
    </w:p>
    <w:p w14:paraId="53FEB39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基金份额净值是指计算日基金资产净值除以计算日基金份额总数的数值。基金</w:t>
      </w:r>
      <w:r>
        <w:rPr>
          <w:rFonts w:ascii="宋体" w:hAnsi="宋体"/>
          <w:sz w:val="24"/>
        </w:rPr>
        <w:lastRenderedPageBreak/>
        <w:t>份额净值的计算，精确到0.0001元，小数点后第五位四舍五入，由此产生的误差计入基金财产。国家另有规定的，从其规定。</w:t>
      </w:r>
    </w:p>
    <w:p w14:paraId="6D3C47C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基金管理人每个工作日分别计算本基金A/B类基金份额和C类基金份额的基金资产净值及基金份额净值，经基金托管人复核，按规定公告。</w:t>
      </w:r>
    </w:p>
    <w:p w14:paraId="3C9A5F4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09470E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本基金A/B类基金份额和C类基金份额的基金份额净值结果发送基金托管人，经基金托管人复核无误后，由基金管理人依据基金合同和相关法律法规的规定对外公布。月末、年中和年末估值复核与基金会计账目的核对同时进行。</w:t>
      </w:r>
    </w:p>
    <w:p w14:paraId="05F987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14:paraId="50C4E8A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2D1F085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基金依法拥有的债券、权证及其他基金资产和负债。</w:t>
      </w:r>
    </w:p>
    <w:p w14:paraId="1A8EF2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78FDDC5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1）债券估值方法：</w:t>
      </w:r>
    </w:p>
    <w:p w14:paraId="3DFB63C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交易所市场上市交易或挂牌转让的固定收益品种（另有规定的除外），选取第三方估值机构提供的相应品种当日的估值净价进行估值。</w:t>
      </w:r>
    </w:p>
    <w:p w14:paraId="70309A1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139476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首次发行未上市债券采用估值技术确定的公允价值进行估值，在估值技术难以可靠计量公允价值的情况下，按成本估值。</w:t>
      </w:r>
    </w:p>
    <w:p w14:paraId="419D145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交易所以大宗交易方式转让的资产支持证券，采用估值技术确定公允价值，在估值技术难以可靠计量公允价值的情况下，按成本进行后续计量。</w:t>
      </w:r>
    </w:p>
    <w:p w14:paraId="4222575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在全国银行间债券市场交易的债券、资产支持证券等固定收益品种，采用估值技术确定公允价值。</w:t>
      </w:r>
    </w:p>
    <w:p w14:paraId="3A7CDF7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同一债券同时在两个或两个以上市场交易的，按债券所处的市场分别估值。</w:t>
      </w:r>
    </w:p>
    <w:p w14:paraId="6394FF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在任何情况下，基金管理人如采用本项第01-06小项规定的方法对基金资产进</w:t>
      </w:r>
      <w:r>
        <w:rPr>
          <w:rFonts w:ascii="宋体" w:hAnsi="宋体"/>
          <w:sz w:val="24"/>
        </w:rPr>
        <w:lastRenderedPageBreak/>
        <w:t>行估值，均应被认为采用了适当的估值方法。但是，如果基金管理人认为按本项第01-06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661B426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国家有最新规定的，按其规定进行估值。</w:t>
      </w:r>
    </w:p>
    <w:p w14:paraId="3ECEF58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2）权证估值方法：</w:t>
      </w:r>
    </w:p>
    <w:p w14:paraId="24AF32C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703B251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首次发行未上市的权证，采用估值技术确定公允价值，在估值技术难以可靠计量公允价值的情况下，按成本估值。</w:t>
      </w:r>
    </w:p>
    <w:p w14:paraId="280A399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停止交易、但未行权的权证，采用估值技术确定公允价值进行估值。</w:t>
      </w:r>
    </w:p>
    <w:p w14:paraId="2B515C0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14:paraId="6B438AF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国家有最新规定的，按其规定进行估值。</w:t>
      </w:r>
    </w:p>
    <w:p w14:paraId="1938436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3）其他有价证券等资产按国家有关规定进行估值。</w:t>
      </w:r>
    </w:p>
    <w:p w14:paraId="1E7EE6D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以约定的方法、程序和相关法律法规的规定进行估值，以维护基金份额持有人的利益。</w:t>
      </w:r>
    </w:p>
    <w:p w14:paraId="056A9BD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65E8BF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14:paraId="2D0F0BE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1）基金管理人、基金托管人按债券估值方法的第7项、权证估值方法的第4项</w:t>
      </w:r>
      <w:r>
        <w:rPr>
          <w:rFonts w:ascii="宋体" w:hAnsi="宋体"/>
          <w:sz w:val="24"/>
        </w:rPr>
        <w:lastRenderedPageBreak/>
        <w:t>进行估值时，所造成的误差不作为基金份额净值错误处理。</w:t>
      </w:r>
    </w:p>
    <w:p w14:paraId="3548302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错误，基金管理人、基金托管人免除赔偿责任。但基金管理人、基金托管人应积极采取必要的措施消除由此造成的影响。</w:t>
      </w:r>
    </w:p>
    <w:p w14:paraId="2D6CFBF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3、基金份额净值错误的处理方式</w:t>
      </w:r>
    </w:p>
    <w:p w14:paraId="490B603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4位以内（含第4位）发生估值错误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份额净值的0.50%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p w14:paraId="5475FE6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（2）当基金份额净值错误给基金和基金份额持有人造成损失需要进行赔偿时，基金管理人和基金托管人应根据实际情况界定双方承担的责任，经确认后按以下条款进行赔偿：</w:t>
      </w:r>
    </w:p>
    <w:p w14:paraId="4DACD37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7A3A2CB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若基金管理人计算的基金份额净值已由基金托管人复核确认后公告，当发生基金份额净值错误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其中基金管理人承担50%，基金托管人承担50%。</w:t>
      </w:r>
    </w:p>
    <w:p w14:paraId="24D32FB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4D97BD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14:paraId="36706EC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（3）基金管理人和基金托管人由于各自技术系统设置而产生的净值计算尾差，以基金管理人计算结果为准。</w:t>
      </w:r>
    </w:p>
    <w:p w14:paraId="1255837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（4）前述内容如法律法规或监管机关另有规定的，从其规定处理。如果行业有通行做法，双方当事人应本着平等和保护基金份额持有人利益的原则进行协商。</w:t>
      </w:r>
    </w:p>
    <w:p w14:paraId="75A0F2D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14:paraId="3A9061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（1）基金投资所涉及的证券投资市场遇法定节假日或因其他原因暂停交易时；</w:t>
      </w:r>
    </w:p>
    <w:p w14:paraId="50084E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（2）因不可抗力或其他情形致使基金管理人、基金托管人无法准确评估基金资产价值时；</w:t>
      </w:r>
    </w:p>
    <w:p w14:paraId="69BA788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（3）占基金相当比例的投资品种的估值出现重大转变，而基金管理人为保障基金份额持有人的利益，决定延迟估值时；</w:t>
      </w:r>
    </w:p>
    <w:p w14:paraId="31AF805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（4）当前一估值日基金资产净值50%以上的资产出现无可参考的活跃市场价格且采用估值技术仍导致公允价值存在重大不确定性时，经与基金托管人协商确认后，基金管理人应当暂停估值；</w:t>
      </w:r>
    </w:p>
    <w:p w14:paraId="34DAFED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14:paraId="506E6BC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14:paraId="3729483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按国家有关部门规定的会计制度执行。</w:t>
      </w:r>
    </w:p>
    <w:p w14:paraId="45C47C8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14:paraId="1DE9843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2281BE3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14:paraId="666A4EF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14:paraId="17635808"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基金管理人应当及时编制并对外提供真实、完整的基金财务会计报告。月度报表的编制，基金管理人应于每月终了后5个工作日内完成；季度报告应在季度结束</w:t>
      </w:r>
      <w:r>
        <w:rPr>
          <w:rFonts w:ascii="宋体" w:hAnsi="宋体"/>
          <w:sz w:val="24"/>
        </w:rPr>
        <w:lastRenderedPageBreak/>
        <w:t>之日起15个工作日内编制完毕并予以公告；中期报告在会计年度半年终了后两个月内编制完毕并予以公告；年度报告在会计年度结束后三个月内编制完毕并予以公告。基金合同生效不足2个月的，基金管理人可以不编制当期季度报告、中期报告或者年度报告。</w:t>
      </w:r>
    </w:p>
    <w:p w14:paraId="5934F4A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14:paraId="5F99E0D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基金管理人在报表或定期报告完成当日，对报表盖章后，以加密传真方式或双方书面商定的其他方式将有关报表提供基金托管人复核。</w:t>
      </w:r>
    </w:p>
    <w:p w14:paraId="2D545B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中期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14:paraId="18412FB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17D1274D"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（六）基金份额持有人名册的的登记与保管</w:t>
      </w:r>
    </w:p>
    <w:p w14:paraId="4DDD6CF2"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42A94DB1"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基金份额持有人名册由注册登记机构编制，由基金管理人审核并提交基金托管人保管。基金托管人有权要求基金管理人提供任意一个交易日或全部交易日的基金</w:t>
      </w:r>
      <w:r>
        <w:rPr>
          <w:rFonts w:ascii="宋体" w:hAnsi="宋体"/>
          <w:sz w:val="24"/>
        </w:rPr>
        <w:lastRenderedPageBreak/>
        <w:t>份额持有人名册，基金管理人应及时提供，不得拖延或拒绝提供。</w:t>
      </w:r>
    </w:p>
    <w:p w14:paraId="7416479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15C5EA0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64AF53B9"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14:paraId="352BC9D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6BEBB4B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4C81C33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本协议适用中华人民共和国法律并从其解释。</w:t>
      </w:r>
    </w:p>
    <w:p w14:paraId="292B589F"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（八）托管协议的变更与终止</w:t>
      </w:r>
    </w:p>
    <w:p w14:paraId="7EF3895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5FE9275F"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本协议双方当事人经协商一致，可以对协议进行修改。修改后的新协议，其内容不得与基金合同的规定有任何冲突。基金托管协议的变更报中国证监会核准或备案后生效。</w:t>
      </w:r>
    </w:p>
    <w:p w14:paraId="0E98541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04DE8B0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6888B73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5FE9250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0E3F316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2957E3F0"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14:paraId="2BD030A7" w14:textId="77777777" w:rsidR="00CB5326" w:rsidRDefault="000C1687">
      <w:pPr>
        <w:pStyle w:val="1"/>
        <w:snapToGrid w:val="0"/>
        <w:spacing w:beforeLines="0" w:before="240" w:after="240"/>
        <w:rPr>
          <w:rFonts w:ascii="宋体" w:hAnsi="宋体"/>
          <w:szCs w:val="30"/>
        </w:rPr>
      </w:pPr>
      <w:bookmarkStart w:id="28" w:name="_Toc154495313"/>
      <w:r>
        <w:rPr>
          <w:rFonts w:ascii="Times New Roman" w:hAnsi="Times New Roman"/>
          <w:sz w:val="30"/>
        </w:rPr>
        <w:lastRenderedPageBreak/>
        <w:t>二十三、对基金份额持有人的服务</w:t>
      </w:r>
      <w:bookmarkEnd w:id="28"/>
    </w:p>
    <w:p w14:paraId="6CE72E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本基金管理人承诺为基金份额持有人提供一系列的服务。本基金管理人根据基金份额持有人的需要和市场的变化，有权增加或变更服务项目。主要服务内容如下：</w:t>
      </w:r>
    </w:p>
    <w:p w14:paraId="7BF2377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w:t>
      </w:r>
      <w:r w:rsidRPr="00BB248E">
        <w:rPr>
          <w:rFonts w:ascii="宋体" w:hAnsi="宋体" w:hint="eastAsia"/>
          <w:b/>
          <w:kern w:val="0"/>
          <w:sz w:val="24"/>
        </w:rPr>
        <w:t>一）持有人交易资料的寄送服务</w:t>
      </w:r>
    </w:p>
    <w:p w14:paraId="16475C8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4AB6523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4F7D8670"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14:paraId="1D9B4AD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A类及C类基金份额的申购、赎回、定期定额投资和转换等业务。本公司暂不开展网上直销本基金B类基金份额的认/申购业务，通过转托管转入网上直销账户的本基金B类基金份额只能办理赎回业务。通过网上直销交易平台办理本基金A类基金份额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6992A68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14:paraId="3A0C022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在条件成熟的时候，本基金管理人将根据基金网上直销业务的发展状况，适时调整可用于网上直销交易平台的银行卡种类，敬请投资者留意相关公告。</w:t>
      </w:r>
    </w:p>
    <w:p w14:paraId="79BC76D3"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14:paraId="4E276D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如果想查询申购、赎回等交易情况、分红方式状态、基金账户余额、基金产品与服务等信息，请拨打本基金管理人客户服务电话（400-700-5000，021-61055000）或登录本基金管理人网站（www.fund001.com）进行咨询、查询。</w:t>
      </w:r>
    </w:p>
    <w:p w14:paraId="59AEC92B"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本基金管理人为投资者预设基金查询密码，预设的基金查询密码为投资者开户证件号码的后6位数字，不足6位数字的，前面加“0”补足。基金查询密码用于投</w:t>
      </w:r>
      <w:r>
        <w:rPr>
          <w:rFonts w:ascii="宋体" w:hAnsi="宋体"/>
          <w:sz w:val="24"/>
        </w:rPr>
        <w:lastRenderedPageBreak/>
        <w:t>资者通过客户服务电话查询基金账户下的账户和交易信息。投资者请在其知晓基金账号后，及时拨打本基金管理人客户服务电话修改基金查询密码。</w:t>
      </w:r>
    </w:p>
    <w:p w14:paraId="21686990"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投资者可以拨打本基金管理人客户服务电话投诉直销机构的人员和服务。</w:t>
      </w:r>
    </w:p>
    <w:p w14:paraId="3DA68537"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（四）基金红利再投资</w:t>
      </w:r>
    </w:p>
    <w:p w14:paraId="385168E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本基金收益分配时，基金投资者可以选择将当期分配所得的红利再投资于本基金，再投资红利按红利再投日（即除息日）除息后的基金份额净值自动转为基金份额，并免收申购费用。</w:t>
      </w:r>
    </w:p>
    <w:p w14:paraId="2631F1D5"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（五）定期定额投资计划</w:t>
      </w:r>
    </w:p>
    <w:p w14:paraId="65174DA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14:paraId="4A0AA7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15D8378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基金管理人的互联网地址及电子信箱</w:t>
      </w:r>
    </w:p>
    <w:p w14:paraId="22D67A54"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91FA4E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14:paraId="6E06418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010DC64C" w14:textId="77777777" w:rsidR="00CB5326" w:rsidRDefault="000C1687">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（六）如本招募说明书存在任何您/贵机构无法理解的内容，请通过上述方式联系基金管理人。请确保投资前，您/贵机构已经全面理解了本招募说明书。</w:t>
      </w:r>
    </w:p>
    <w:p w14:paraId="087CFFB2"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E69F7FA" w14:textId="77777777" w:rsidR="00CB5326" w:rsidRDefault="000C1687">
      <w:pPr>
        <w:pStyle w:val="1"/>
        <w:snapToGrid w:val="0"/>
        <w:spacing w:beforeLines="0" w:before="240" w:after="240"/>
        <w:rPr>
          <w:rFonts w:ascii="宋体" w:hAnsi="宋体"/>
          <w:szCs w:val="30"/>
        </w:rPr>
      </w:pPr>
      <w:bookmarkStart w:id="29" w:name="_Toc154495314"/>
      <w:r>
        <w:rPr>
          <w:rFonts w:ascii="Times New Roman" w:hAnsi="Times New Roman"/>
          <w:sz w:val="30"/>
        </w:rPr>
        <w:lastRenderedPageBreak/>
        <w:t>二十四、其他应披露事项</w:t>
      </w:r>
      <w:bookmarkEnd w:id="29"/>
    </w:p>
    <w:p w14:paraId="025B0C86"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14:paraId="79FC329D"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B5326" w14:paraId="3B236D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2EAB3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286C642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614C1FD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406D4601"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CB5326" w14:paraId="103DC55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22343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03B172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元旦</w:t>
            </w:r>
            <w:r>
              <w:rPr>
                <w:rFonts w:ascii="Times New Roman" w:hAnsi="Times New Roman"/>
                <w:color w:val="000000"/>
                <w:kern w:val="0"/>
                <w:sz w:val="25"/>
                <w:szCs w:val="24"/>
              </w:rPr>
              <w:t>”</w:t>
            </w:r>
            <w:r>
              <w:rPr>
                <w:rFonts w:ascii="Times New Roman" w:hAnsi="Times New Roman"/>
                <w:color w:val="000000"/>
                <w:kern w:val="0"/>
                <w:sz w:val="25"/>
                <w:szCs w:val="24"/>
              </w:rPr>
              <w:t>假期前暂停及节后恢复大额申购（转换转入、定期定额投资）业务的公告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5F2EFF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3ED435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2022-12-29</w:t>
            </w:r>
          </w:p>
        </w:tc>
      </w:tr>
      <w:tr w:rsidR="00CB5326" w14:paraId="5D0B551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C9495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10E7BA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3AB47C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CECA1E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2022-12-30</w:t>
            </w:r>
          </w:p>
        </w:tc>
      </w:tr>
      <w:tr w:rsidR="00CB5326" w14:paraId="3BC912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CBFBB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A857E3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AB</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E46F34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2F067C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2022-12-30</w:t>
            </w:r>
          </w:p>
        </w:tc>
      </w:tr>
      <w:tr w:rsidR="00CB5326" w14:paraId="10A0EC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BEA060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4BF6AC3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51387F4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F76EE4D"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2022-12-30</w:t>
            </w:r>
          </w:p>
        </w:tc>
      </w:tr>
      <w:tr w:rsidR="00CB5326" w14:paraId="2586973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896D27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D140BE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春节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251A328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9113E0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CB5326" w14:paraId="01C341D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63399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74A573A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A52BC0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304948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2023-01-19</w:t>
            </w:r>
          </w:p>
        </w:tc>
      </w:tr>
      <w:tr w:rsidR="00CB5326" w14:paraId="57B5DAA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C2529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BE7312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交银施罗德基金管理有限公司关于增加济安财富（北京）基金销售有限公司为旗下基金销售机构的公告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F550B1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C97697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2023-02-10</w:t>
            </w:r>
          </w:p>
        </w:tc>
      </w:tr>
      <w:tr w:rsidR="00CB5326" w14:paraId="15020C7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927CE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CCE9F4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交银施罗德基金管理有限公司关于增加海通证券股份有限公司为旗下基金销售机构的公告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4DC06BD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F5C7E2"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2023-02-17</w:t>
            </w:r>
          </w:p>
        </w:tc>
      </w:tr>
      <w:tr w:rsidR="00CB5326" w14:paraId="65EDBB1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A4B8C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6C52513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2022</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2D025C0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E92846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2023-03-30</w:t>
            </w:r>
          </w:p>
        </w:tc>
      </w:tr>
      <w:tr w:rsidR="00CB5326" w14:paraId="56E72A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2FDF4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0395E39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2849CDB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2648FA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2023-04-21</w:t>
            </w:r>
          </w:p>
        </w:tc>
      </w:tr>
      <w:tr w:rsidR="00CB5326" w14:paraId="4F8F8F2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5AD76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2106426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劳动节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082DC42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ECBE7F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CB5326" w14:paraId="37A3723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72C3F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3AD5F3C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交银施罗德基金管理有限公司关于增加平安银行股份有限公司为旗下基金销售机构的公告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CF56FC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ECE33BC"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2023-04-27</w:t>
            </w:r>
          </w:p>
        </w:tc>
      </w:tr>
      <w:tr w:rsidR="00CB5326" w14:paraId="44CD7EF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6257D1"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1BCFB59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0A76DC7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CF597C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CB5326" w14:paraId="467695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8DC93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4C6D0EE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0EE0CE0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14C481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2023-07-06</w:t>
            </w:r>
          </w:p>
        </w:tc>
      </w:tr>
      <w:tr w:rsidR="00CB5326" w14:paraId="4E7E1E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64D98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DF93ED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14:paraId="2DEBDC07"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64B4EF"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CB5326" w14:paraId="7EAA371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5586C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0720C7D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0F9EDEB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CD1FB80"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CB5326" w14:paraId="7FD09C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1136A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266AFD9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718F378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E536183"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2023-07-11</w:t>
            </w:r>
          </w:p>
        </w:tc>
      </w:tr>
      <w:tr w:rsidR="00CB5326" w14:paraId="5C85EC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01968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34F8369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152591B"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F312C8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CB5326" w14:paraId="7374796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8C92EC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19</w:t>
            </w:r>
          </w:p>
        </w:tc>
        <w:tc>
          <w:tcPr>
            <w:tcW w:w="750" w:type="pct"/>
            <w:tcBorders>
              <w:top w:val="single" w:sz="4" w:space="0" w:color="auto"/>
              <w:left w:val="single" w:sz="4" w:space="0" w:color="auto"/>
              <w:bottom w:val="single" w:sz="4" w:space="0" w:color="auto"/>
              <w:right w:val="single" w:sz="4" w:space="0" w:color="auto"/>
            </w:tcBorders>
            <w:vAlign w:val="center"/>
          </w:tcPr>
          <w:p w14:paraId="791492A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交银施罗德基金管理有限公司关于增加中国邮政储蓄银行股份有限公司为旗下基金的销售机构的公告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54C3039"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6E2BCDE"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2023-07-21</w:t>
            </w:r>
          </w:p>
        </w:tc>
      </w:tr>
      <w:tr w:rsidR="00CB5326" w14:paraId="3458580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62157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0BDF821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交银施罗德基金管理有限公司关于增加南京证券股份有限公司为旗下基金的销售机构的公告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88E040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3DFE7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2023-08-14</w:t>
            </w:r>
          </w:p>
        </w:tc>
      </w:tr>
      <w:tr w:rsidR="00CB5326" w14:paraId="26AE4E1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36BA5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1A98AB93"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交银施罗德基金管理有限公司关于增加东兴证券股份有限公司为旗下基金的销售机构的公告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6DFAF0C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EF4F6D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2023-08-23</w:t>
            </w:r>
          </w:p>
        </w:tc>
      </w:tr>
      <w:tr w:rsidR="00CB5326" w14:paraId="7AFD2E5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F6230C"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08AB254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28C2DFAE"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70BCE7B"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CB5326" w14:paraId="10C5148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E7511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0E1DB91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交银施罗德基金管理有限公司关于交银施罗德纯债债券型发起式证券投资基金于</w:t>
            </w:r>
            <w:r>
              <w:rPr>
                <w:rFonts w:ascii="Times New Roman" w:hAnsi="Times New Roman"/>
                <w:color w:val="000000"/>
                <w:kern w:val="0"/>
                <w:sz w:val="25"/>
                <w:szCs w:val="24"/>
              </w:rPr>
              <w:t>2023</w:t>
            </w:r>
            <w:r>
              <w:rPr>
                <w:rFonts w:ascii="Times New Roman" w:hAnsi="Times New Roman"/>
                <w:color w:val="000000"/>
                <w:kern w:val="0"/>
                <w:sz w:val="25"/>
                <w:szCs w:val="24"/>
              </w:rPr>
              <w:t>年</w:t>
            </w:r>
            <w:r>
              <w:rPr>
                <w:rFonts w:ascii="Times New Roman" w:hAnsi="Times New Roman"/>
                <w:color w:val="000000"/>
                <w:kern w:val="0"/>
                <w:sz w:val="25"/>
                <w:szCs w:val="24"/>
              </w:rPr>
              <w:t>“</w:t>
            </w:r>
            <w:r>
              <w:rPr>
                <w:rFonts w:ascii="Times New Roman" w:hAnsi="Times New Roman"/>
                <w:color w:val="000000"/>
                <w:kern w:val="0"/>
                <w:sz w:val="25"/>
                <w:szCs w:val="24"/>
              </w:rPr>
              <w:t>国庆节</w:t>
            </w:r>
            <w:r>
              <w:rPr>
                <w:rFonts w:ascii="Times New Roman" w:hAnsi="Times New Roman"/>
                <w:color w:val="000000"/>
                <w:kern w:val="0"/>
                <w:sz w:val="25"/>
                <w:szCs w:val="24"/>
              </w:rPr>
              <w:t>”</w:t>
            </w:r>
            <w:r>
              <w:rPr>
                <w:rFonts w:ascii="Times New Roman" w:hAnsi="Times New Roman"/>
                <w:color w:val="000000"/>
                <w:kern w:val="0"/>
                <w:sz w:val="25"/>
                <w:szCs w:val="24"/>
              </w:rPr>
              <w:t>假期前调整大额申购（转换转入、定期定额投资）业务限额的公告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25527EE0"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8DA10D8"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2023-09-26</w:t>
            </w:r>
          </w:p>
        </w:tc>
      </w:tr>
      <w:tr w:rsidR="00CB5326" w14:paraId="63B023C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B11B4A"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6C70D214"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交银施罗德基金管理有限公司关于交银施罗德纯债债券型发起式证券投资基金调整大额申购（转换转入、定期定额投资）业务限额的公告</w:t>
            </w:r>
          </w:p>
        </w:tc>
        <w:tc>
          <w:tcPr>
            <w:tcW w:w="750" w:type="pct"/>
            <w:tcBorders>
              <w:top w:val="single" w:sz="4" w:space="0" w:color="auto"/>
              <w:left w:val="single" w:sz="4" w:space="0" w:color="auto"/>
              <w:bottom w:val="single" w:sz="4" w:space="0" w:color="auto"/>
              <w:right w:val="single" w:sz="4" w:space="0" w:color="auto"/>
            </w:tcBorders>
            <w:vAlign w:val="center"/>
          </w:tcPr>
          <w:p w14:paraId="3F382E32"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951016A"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2023-10-13</w:t>
            </w:r>
          </w:p>
        </w:tc>
      </w:tr>
      <w:tr w:rsidR="00CB5326" w14:paraId="1D051C6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58CB0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2471A78F"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交银施罗德基金管理有限公司关于交银施罗德纯债债券型发起式证券投资基金分红公告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3735CE86"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640BFA6"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2023-10-18</w:t>
            </w:r>
          </w:p>
        </w:tc>
      </w:tr>
      <w:tr w:rsidR="00CB5326" w14:paraId="5CA67F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1F2768"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0E379D05"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交银施罗德纯债债券型发起式证券投资基金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68F934D" w14:textId="77777777" w:rsidR="00CB5326" w:rsidRDefault="000C168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129337" w14:textId="77777777" w:rsidR="00CB5326" w:rsidRDefault="000C168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bl>
    <w:p w14:paraId="7A6A6F50"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03D3B35" w14:textId="77777777" w:rsidR="00CB5326" w:rsidRDefault="000C1687">
      <w:pPr>
        <w:pStyle w:val="1"/>
        <w:snapToGrid w:val="0"/>
        <w:spacing w:beforeLines="0" w:before="240" w:after="240"/>
        <w:rPr>
          <w:rFonts w:ascii="宋体" w:hAnsi="宋体"/>
          <w:szCs w:val="30"/>
        </w:rPr>
      </w:pPr>
      <w:bookmarkStart w:id="30" w:name="_Toc154495315"/>
      <w:r>
        <w:rPr>
          <w:rFonts w:ascii="Times New Roman" w:hAnsi="Times New Roman"/>
          <w:sz w:val="30"/>
        </w:rPr>
        <w:lastRenderedPageBreak/>
        <w:t>二十五、招募说明书的存放及查阅方式</w:t>
      </w:r>
      <w:bookmarkEnd w:id="30"/>
    </w:p>
    <w:p w14:paraId="281556DE"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14:paraId="55B24ABA"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投资者还可以直接登录基金管理人的网站（www.fund001.com）查阅和下载招募说明书。</w:t>
      </w:r>
    </w:p>
    <w:p w14:paraId="33E9B7BC" w14:textId="77777777" w:rsidR="003D3E21" w:rsidRDefault="000C1687" w:rsidP="003D3E21">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83A6BEF" w14:textId="77777777" w:rsidR="00CB5326" w:rsidRDefault="000C1687">
      <w:pPr>
        <w:pStyle w:val="1"/>
        <w:snapToGrid w:val="0"/>
        <w:spacing w:beforeLines="0" w:before="240" w:after="240"/>
        <w:rPr>
          <w:rFonts w:ascii="宋体" w:hAnsi="宋体"/>
          <w:szCs w:val="30"/>
        </w:rPr>
      </w:pPr>
      <w:bookmarkStart w:id="31" w:name="_Toc154495316"/>
      <w:r>
        <w:rPr>
          <w:rFonts w:ascii="Times New Roman" w:hAnsi="Times New Roman"/>
          <w:sz w:val="30"/>
        </w:rPr>
        <w:lastRenderedPageBreak/>
        <w:t>二十六、备查文件</w:t>
      </w:r>
      <w:bookmarkEnd w:id="31"/>
    </w:p>
    <w:p w14:paraId="644B71F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3D60B94C"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（一）中国证监会核准交银施罗德纯债债券型发起式证券投资基金募集的文件</w:t>
      </w:r>
    </w:p>
    <w:p w14:paraId="42B16FE7"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（二）《交银施罗德纯债债券型发起式证券投资基金基金合同》</w:t>
      </w:r>
    </w:p>
    <w:p w14:paraId="2C1EBBD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（三）《交银施罗德纯债债券型发起式证券投资基金托管协议》</w:t>
      </w:r>
    </w:p>
    <w:p w14:paraId="32193FE3"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0DB4A8F5"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66C26909" w14:textId="77777777" w:rsidR="00CB5326" w:rsidRDefault="000C168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（六）关于申请募集交银施罗德纯债债券型发起式证券投资基金之法律意见书</w:t>
      </w:r>
    </w:p>
    <w:sectPr w:rsidR="00CB5326">
      <w:footerReference w:type="default" r:id="rId17"/>
      <w:pgSz w:w="11920" w:h="16840"/>
      <w:pgMar w:top="1360" w:right="1580" w:bottom="280" w:left="1680" w:header="0" w:footer="1186"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8006A2F" w16cid:durableId="297DFF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C0D0B" w14:textId="77777777" w:rsidR="00F0162A" w:rsidRDefault="00F0162A">
      <w:r>
        <w:separator/>
      </w:r>
    </w:p>
  </w:endnote>
  <w:endnote w:type="continuationSeparator" w:id="0">
    <w:p w14:paraId="2AE03B79" w14:textId="77777777" w:rsidR="00F0162A" w:rsidRDefault="00F01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6FA79B" w14:textId="03040BB4" w:rsidR="00173FD4" w:rsidRDefault="00173FD4">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2F242319" wp14:editId="768C64CD">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CDD6B" w14:textId="7E5ADFEE" w:rsidR="00173FD4" w:rsidRDefault="00173FD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C7D58">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242319"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14:paraId="75CCDD6B" w14:textId="7E5ADFEE" w:rsidR="00173FD4" w:rsidRDefault="00173FD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C7D58">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82C42" w14:textId="20F31714" w:rsidR="00173FD4" w:rsidRDefault="00173FD4">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402F689B" wp14:editId="35FC0907">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C7CED" w14:textId="2B55333B" w:rsidR="00173FD4" w:rsidRDefault="00173FD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C7D58">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2F689B"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14:paraId="633C7CED" w14:textId="2B55333B" w:rsidR="00173FD4" w:rsidRDefault="00173FD4">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4C7D58">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8135A" w14:textId="77777777" w:rsidR="00F0162A" w:rsidRDefault="00F0162A">
      <w:r>
        <w:separator/>
      </w:r>
    </w:p>
  </w:footnote>
  <w:footnote w:type="continuationSeparator" w:id="0">
    <w:p w14:paraId="7FD55BFD" w14:textId="77777777" w:rsidR="00F0162A" w:rsidRDefault="00F01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636D7" w14:textId="4A82028D" w:rsidR="00173FD4" w:rsidRDefault="00173FD4">
    <w:pPr>
      <w:pStyle w:val="a3"/>
      <w:jc w:val="right"/>
    </w:pPr>
    <w:r>
      <w:rPr>
        <w:noProof/>
      </w:rPr>
      <w:drawing>
        <wp:anchor distT="0" distB="0" distL="114300" distR="114300" simplePos="0" relativeHeight="251655680" behindDoc="0" locked="0" layoutInCell="1" allowOverlap="1" wp14:anchorId="78ECCA91" wp14:editId="0FBC6BD8">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08729619" w14:textId="77777777" w:rsidR="00173FD4" w:rsidRDefault="00173FD4">
    <w:pPr>
      <w:pStyle w:val="a3"/>
      <w:jc w:val="right"/>
      <w:rPr>
        <w:rFonts w:ascii="宋体" w:hAnsi="宋体"/>
      </w:rPr>
    </w:pPr>
    <w:r>
      <w:rPr>
        <w:rFonts w:ascii="宋体" w:hAnsi="宋体" w:hint="eastAsia"/>
      </w:rPr>
      <w:t>交银施罗德纯债债券型发起式证券投资基金(更新)招募说明书(2023年第1号)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E12F6" w14:textId="77777777" w:rsidR="00173FD4" w:rsidRDefault="00173FD4">
    <w:pPr>
      <w:pStyle w:val="11"/>
      <w:jc w:val="right"/>
    </w:pPr>
  </w:p>
  <w:p w14:paraId="5F6A6552" w14:textId="77777777" w:rsidR="00173FD4" w:rsidRDefault="00173FD4">
    <w:pPr>
      <w:pStyle w:val="11"/>
      <w:jc w:val="right"/>
    </w:pPr>
  </w:p>
  <w:p w14:paraId="0FBDE198" w14:textId="77777777" w:rsidR="00173FD4" w:rsidRDefault="00173FD4">
    <w:pPr>
      <w:pStyle w:val="a3"/>
      <w:jc w:val="right"/>
    </w:pPr>
  </w:p>
  <w:p w14:paraId="02843FCA" w14:textId="0362E372" w:rsidR="00173FD4" w:rsidRDefault="00173FD4">
    <w:pPr>
      <w:pStyle w:val="a3"/>
      <w:jc w:val="right"/>
    </w:pPr>
    <w:r>
      <w:rPr>
        <w:noProof/>
      </w:rPr>
      <w:drawing>
        <wp:anchor distT="0" distB="0" distL="114300" distR="114300" simplePos="0" relativeHeight="251656704" behindDoc="0" locked="0" layoutInCell="1" allowOverlap="1" wp14:anchorId="18634AD4" wp14:editId="69A53EB0">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268FEB5F" w14:textId="36C08BE8" w:rsidR="00173FD4" w:rsidRDefault="00173FD4">
    <w:pPr>
      <w:pStyle w:val="a3"/>
      <w:jc w:val="right"/>
      <w:rPr>
        <w:rFonts w:ascii="宋体" w:hAnsi="宋体"/>
      </w:rPr>
    </w:pPr>
    <w:r>
      <w:rPr>
        <w:rFonts w:ascii="宋体" w:hAnsi="宋体" w:hint="eastAsia"/>
      </w:rPr>
      <w:t>交银施罗德纯债债券型发起式证券投资基金(更新)招募说明书(202</w:t>
    </w:r>
    <w:r>
      <w:rPr>
        <w:rFonts w:ascii="宋体" w:hAnsi="宋体"/>
      </w:rPr>
      <w:t>4</w:t>
    </w:r>
    <w:r>
      <w:rPr>
        <w:rFonts w:ascii="宋体" w:hAnsi="宋体" w:hint="eastAsia"/>
      </w:rPr>
      <w:t>年第</w:t>
    </w:r>
    <w:r w:rsidR="00AD3261">
      <w:rPr>
        <w:rFonts w:ascii="宋体" w:hAnsi="宋体"/>
      </w:rPr>
      <w:t>1</w:t>
    </w:r>
    <w:r>
      <w:rPr>
        <w:rFonts w:ascii="宋体" w:hAnsi="宋体" w:hint="eastAsia"/>
      </w:rPr>
      <w:t>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D4EFA" w14:textId="77777777" w:rsidR="00173FD4" w:rsidRDefault="00173FD4">
    <w:pPr>
      <w:pStyle w:val="a3"/>
      <w:jc w:val="right"/>
    </w:pPr>
  </w:p>
  <w:p w14:paraId="2F3BB93E" w14:textId="77777777" w:rsidR="00173FD4" w:rsidRDefault="00173FD4">
    <w:pPr>
      <w:pStyle w:val="a3"/>
      <w:jc w:val="right"/>
    </w:pPr>
  </w:p>
  <w:p w14:paraId="213E52FF" w14:textId="77777777" w:rsidR="00173FD4" w:rsidRDefault="00173FD4">
    <w:pPr>
      <w:pStyle w:val="a3"/>
      <w:jc w:val="right"/>
    </w:pPr>
  </w:p>
  <w:p w14:paraId="6F02C172" w14:textId="2CB24316" w:rsidR="00173FD4" w:rsidRDefault="00173FD4">
    <w:pPr>
      <w:pStyle w:val="a3"/>
      <w:jc w:val="right"/>
    </w:pPr>
    <w:r>
      <w:rPr>
        <w:noProof/>
      </w:rPr>
      <w:drawing>
        <wp:anchor distT="0" distB="0" distL="114300" distR="114300" simplePos="0" relativeHeight="251657728" behindDoc="0" locked="0" layoutInCell="1" allowOverlap="1" wp14:anchorId="343A6B34" wp14:editId="264B2AB6">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14:paraId="57C43730" w14:textId="63145D29" w:rsidR="00173FD4" w:rsidRDefault="00173FD4">
    <w:pPr>
      <w:pStyle w:val="a3"/>
      <w:jc w:val="right"/>
      <w:rPr>
        <w:rFonts w:ascii="宋体" w:hAnsi="宋体"/>
      </w:rPr>
    </w:pPr>
    <w:r>
      <w:rPr>
        <w:rFonts w:ascii="宋体" w:hAnsi="宋体" w:hint="eastAsia"/>
      </w:rPr>
      <w:t>交银施罗德纯债债券型发起式证券投资基金(更新)招募说明书(202</w:t>
    </w:r>
    <w:r>
      <w:rPr>
        <w:rFonts w:ascii="宋体" w:hAnsi="宋体"/>
      </w:rPr>
      <w:t>4</w:t>
    </w:r>
    <w:r>
      <w:rPr>
        <w:rFonts w:ascii="宋体" w:hAnsi="宋体" w:hint="eastAsia"/>
      </w:rPr>
      <w:t>年第</w:t>
    </w:r>
    <w:r w:rsidR="00AD3261">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154A5"/>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8D7"/>
    <w:rsid w:val="00055F52"/>
    <w:rsid w:val="00060B09"/>
    <w:rsid w:val="00061C0D"/>
    <w:rsid w:val="0006212F"/>
    <w:rsid w:val="0006220F"/>
    <w:rsid w:val="000647B8"/>
    <w:rsid w:val="0006506B"/>
    <w:rsid w:val="0006551A"/>
    <w:rsid w:val="00066485"/>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32B9"/>
    <w:rsid w:val="00094253"/>
    <w:rsid w:val="00095030"/>
    <w:rsid w:val="000A01A0"/>
    <w:rsid w:val="000A352B"/>
    <w:rsid w:val="000B0F8B"/>
    <w:rsid w:val="000B359E"/>
    <w:rsid w:val="000B3894"/>
    <w:rsid w:val="000B4E04"/>
    <w:rsid w:val="000B5516"/>
    <w:rsid w:val="000C1687"/>
    <w:rsid w:val="000C1E1E"/>
    <w:rsid w:val="000C38F1"/>
    <w:rsid w:val="000C5E77"/>
    <w:rsid w:val="000C68E9"/>
    <w:rsid w:val="000D0ADE"/>
    <w:rsid w:val="000D179E"/>
    <w:rsid w:val="000D583C"/>
    <w:rsid w:val="000D66DC"/>
    <w:rsid w:val="000E1F3B"/>
    <w:rsid w:val="000E3AB4"/>
    <w:rsid w:val="000E4176"/>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0997"/>
    <w:rsid w:val="001240EB"/>
    <w:rsid w:val="0012443D"/>
    <w:rsid w:val="00127053"/>
    <w:rsid w:val="0013182D"/>
    <w:rsid w:val="00131CEE"/>
    <w:rsid w:val="0013315B"/>
    <w:rsid w:val="00134FCF"/>
    <w:rsid w:val="00135AD8"/>
    <w:rsid w:val="0013630D"/>
    <w:rsid w:val="001363AD"/>
    <w:rsid w:val="001367F2"/>
    <w:rsid w:val="001412E8"/>
    <w:rsid w:val="0014250F"/>
    <w:rsid w:val="00144B52"/>
    <w:rsid w:val="00153D66"/>
    <w:rsid w:val="00155A41"/>
    <w:rsid w:val="0015623B"/>
    <w:rsid w:val="0015725E"/>
    <w:rsid w:val="00162F69"/>
    <w:rsid w:val="00164946"/>
    <w:rsid w:val="00165756"/>
    <w:rsid w:val="0017362C"/>
    <w:rsid w:val="0017392F"/>
    <w:rsid w:val="00173FD4"/>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078"/>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12B4"/>
    <w:rsid w:val="001F33EB"/>
    <w:rsid w:val="001F4DEA"/>
    <w:rsid w:val="001F4ECB"/>
    <w:rsid w:val="001F5F92"/>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52A13"/>
    <w:rsid w:val="00253620"/>
    <w:rsid w:val="00255DA1"/>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472"/>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3D0"/>
    <w:rsid w:val="00334456"/>
    <w:rsid w:val="00336150"/>
    <w:rsid w:val="00336E99"/>
    <w:rsid w:val="003406A1"/>
    <w:rsid w:val="00342417"/>
    <w:rsid w:val="003454EC"/>
    <w:rsid w:val="00346537"/>
    <w:rsid w:val="00347B94"/>
    <w:rsid w:val="003527DD"/>
    <w:rsid w:val="003547A2"/>
    <w:rsid w:val="00355171"/>
    <w:rsid w:val="00356112"/>
    <w:rsid w:val="00362702"/>
    <w:rsid w:val="00362A37"/>
    <w:rsid w:val="00362CF0"/>
    <w:rsid w:val="00362D5D"/>
    <w:rsid w:val="00364AC5"/>
    <w:rsid w:val="00365D15"/>
    <w:rsid w:val="0036702F"/>
    <w:rsid w:val="00367F3A"/>
    <w:rsid w:val="00370BDF"/>
    <w:rsid w:val="00372FA2"/>
    <w:rsid w:val="003735E9"/>
    <w:rsid w:val="003739FE"/>
    <w:rsid w:val="003749D5"/>
    <w:rsid w:val="00381057"/>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D3E21"/>
    <w:rsid w:val="003D6EF4"/>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A59"/>
    <w:rsid w:val="00481BD4"/>
    <w:rsid w:val="00482AA2"/>
    <w:rsid w:val="0048579F"/>
    <w:rsid w:val="00486FDF"/>
    <w:rsid w:val="00487005"/>
    <w:rsid w:val="004901A7"/>
    <w:rsid w:val="004940B8"/>
    <w:rsid w:val="004A084F"/>
    <w:rsid w:val="004A1FA1"/>
    <w:rsid w:val="004A24B6"/>
    <w:rsid w:val="004A3225"/>
    <w:rsid w:val="004A3F90"/>
    <w:rsid w:val="004A5F59"/>
    <w:rsid w:val="004A6F1F"/>
    <w:rsid w:val="004B17D8"/>
    <w:rsid w:val="004B2323"/>
    <w:rsid w:val="004B62C3"/>
    <w:rsid w:val="004C0BC8"/>
    <w:rsid w:val="004C461A"/>
    <w:rsid w:val="004C7D23"/>
    <w:rsid w:val="004C7D58"/>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4211"/>
    <w:rsid w:val="006B5871"/>
    <w:rsid w:val="006B6BB1"/>
    <w:rsid w:val="006B7212"/>
    <w:rsid w:val="006C14C3"/>
    <w:rsid w:val="006C4B6F"/>
    <w:rsid w:val="006C507A"/>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6C43"/>
    <w:rsid w:val="007076B2"/>
    <w:rsid w:val="00711BBB"/>
    <w:rsid w:val="0071340A"/>
    <w:rsid w:val="00713FC7"/>
    <w:rsid w:val="00716FD1"/>
    <w:rsid w:val="007172B5"/>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5C6F"/>
    <w:rsid w:val="00856135"/>
    <w:rsid w:val="00857A96"/>
    <w:rsid w:val="00861FE5"/>
    <w:rsid w:val="0086376D"/>
    <w:rsid w:val="00864E03"/>
    <w:rsid w:val="008703C2"/>
    <w:rsid w:val="0087209F"/>
    <w:rsid w:val="008806CC"/>
    <w:rsid w:val="008849E6"/>
    <w:rsid w:val="0088513E"/>
    <w:rsid w:val="00886300"/>
    <w:rsid w:val="0089099F"/>
    <w:rsid w:val="00890AAF"/>
    <w:rsid w:val="00892F7A"/>
    <w:rsid w:val="00893127"/>
    <w:rsid w:val="00893E84"/>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4FBB"/>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048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25DA"/>
    <w:rsid w:val="009F2E8D"/>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3261"/>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110"/>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C714F"/>
    <w:rsid w:val="00BD0218"/>
    <w:rsid w:val="00BD1869"/>
    <w:rsid w:val="00BD200B"/>
    <w:rsid w:val="00BD63DF"/>
    <w:rsid w:val="00BD64D4"/>
    <w:rsid w:val="00BD7C4B"/>
    <w:rsid w:val="00BE33E8"/>
    <w:rsid w:val="00BF2BEB"/>
    <w:rsid w:val="00BF3197"/>
    <w:rsid w:val="00BF5E23"/>
    <w:rsid w:val="00BF6AD1"/>
    <w:rsid w:val="00C00AFB"/>
    <w:rsid w:val="00C01DB8"/>
    <w:rsid w:val="00C0300F"/>
    <w:rsid w:val="00C04C13"/>
    <w:rsid w:val="00C0523E"/>
    <w:rsid w:val="00C06C3C"/>
    <w:rsid w:val="00C0751C"/>
    <w:rsid w:val="00C07D81"/>
    <w:rsid w:val="00C07F14"/>
    <w:rsid w:val="00C10FE5"/>
    <w:rsid w:val="00C11247"/>
    <w:rsid w:val="00C11B64"/>
    <w:rsid w:val="00C1218B"/>
    <w:rsid w:val="00C12B6B"/>
    <w:rsid w:val="00C135F1"/>
    <w:rsid w:val="00C140D0"/>
    <w:rsid w:val="00C1456B"/>
    <w:rsid w:val="00C14775"/>
    <w:rsid w:val="00C150A5"/>
    <w:rsid w:val="00C22B21"/>
    <w:rsid w:val="00C23593"/>
    <w:rsid w:val="00C23845"/>
    <w:rsid w:val="00C31846"/>
    <w:rsid w:val="00C32A33"/>
    <w:rsid w:val="00C367FB"/>
    <w:rsid w:val="00C41389"/>
    <w:rsid w:val="00C41BB7"/>
    <w:rsid w:val="00C42379"/>
    <w:rsid w:val="00C44004"/>
    <w:rsid w:val="00C445F4"/>
    <w:rsid w:val="00C526CE"/>
    <w:rsid w:val="00C53A59"/>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326"/>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0CAE"/>
    <w:rsid w:val="00CF41D0"/>
    <w:rsid w:val="00D00CF9"/>
    <w:rsid w:val="00D012FF"/>
    <w:rsid w:val="00D04CD8"/>
    <w:rsid w:val="00D04DEC"/>
    <w:rsid w:val="00D114ED"/>
    <w:rsid w:val="00D1261E"/>
    <w:rsid w:val="00D13F32"/>
    <w:rsid w:val="00D14B5E"/>
    <w:rsid w:val="00D1685E"/>
    <w:rsid w:val="00D171BA"/>
    <w:rsid w:val="00D25B74"/>
    <w:rsid w:val="00D25CA1"/>
    <w:rsid w:val="00D26D46"/>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77E18"/>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5B1C"/>
    <w:rsid w:val="00DA630F"/>
    <w:rsid w:val="00DA6A38"/>
    <w:rsid w:val="00DA6B30"/>
    <w:rsid w:val="00DA7040"/>
    <w:rsid w:val="00DA73BC"/>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6F31"/>
    <w:rsid w:val="00E47307"/>
    <w:rsid w:val="00E47601"/>
    <w:rsid w:val="00E50DB1"/>
    <w:rsid w:val="00E51053"/>
    <w:rsid w:val="00E51A6B"/>
    <w:rsid w:val="00E51A9F"/>
    <w:rsid w:val="00E52CA8"/>
    <w:rsid w:val="00E550CE"/>
    <w:rsid w:val="00E60B86"/>
    <w:rsid w:val="00E6108D"/>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986"/>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162A"/>
    <w:rsid w:val="00F0376E"/>
    <w:rsid w:val="00F044B3"/>
    <w:rsid w:val="00F05E83"/>
    <w:rsid w:val="00F07DC4"/>
    <w:rsid w:val="00F07E05"/>
    <w:rsid w:val="00F10842"/>
    <w:rsid w:val="00F13C42"/>
    <w:rsid w:val="00F161F7"/>
    <w:rsid w:val="00F206E8"/>
    <w:rsid w:val="00F21755"/>
    <w:rsid w:val="00F21F2E"/>
    <w:rsid w:val="00F2309F"/>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67D78"/>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B7CCD"/>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7301F3"/>
  <w15:docId w15:val="{35D81F48-0112-49C1-88EB-730CFBED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7172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23" Type="http://schemas.microsoft.com/office/2016/09/relationships/commentsIds" Target="commentsIds.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168</Pages>
  <Words>17398</Words>
  <Characters>99171</Characters>
  <Application>Microsoft Office Word</Application>
  <DocSecurity>0</DocSecurity>
  <Lines>826</Lines>
  <Paragraphs>232</Paragraphs>
  <ScaleCrop>false</ScaleCrop>
  <Company>Microsoft</Company>
  <LinksUpToDate>false</LinksUpToDate>
  <CharactersWithSpaces>116337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49</cp:revision>
  <cp:lastPrinted>2013-02-18T03:10:00Z</cp:lastPrinted>
  <dcterms:created xsi:type="dcterms:W3CDTF">2024-02-19T08:40:00Z</dcterms:created>
  <dcterms:modified xsi:type="dcterms:W3CDTF">2024-05-20T05:25:00Z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