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bookmarkEnd w:id="0"/>
      <w:r>
        <w:rPr>
          <w:rFonts w:ascii="宋体" w:hAnsi="宋体" w:eastAsia="宋体" w:cs="宋体"/>
          <w:b/>
          <w:sz w:val="30"/>
          <w:rtl w:val="0"/>
        </w:rPr>
        <w:t>交银施罗德基金管理有限公司关于增加华西证券股份有限公司为旗下基金的销售机构的公告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根据交银施罗德基金管理有限公司（以下简称“本公司”）与华西证券股份有限公司（以下简称“华西证券”）签署的销售协议，本公司自2024年05月06日起增加华西证券作为旗下基金的销售机构。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交银施罗德安心收益债券型证券投资基金E</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019268</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交银施罗德产业机遇混合型证券投资基金</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010094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3</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交银施罗德核心资产混合型证券投资基金C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020523</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4</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交银施罗德科锐科技创新混合型证券投资基金C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013949</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5</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交银施罗德启诚混合型证券投资基金A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014038</w:t>
            </w:r>
            <w:r>
              <w:rPr>
                <w:rtl w:val="0"/>
              </w:rPr>
              <w:t xml:space="preserve"> </w:t>
            </w:r>
          </w:p>
        </w:tc>
      </w:tr>
      <w:tr>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6</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交银施罗德启诚混合型证券投资基金C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014039</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7</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交银施罗德启汇混合型证券投资基金A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009618</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8</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交银施罗德启汇混合型证券投资基金C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014080</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9</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交银施罗德荣鑫灵活配置混合型证券投资基金C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019514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10</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交银施罗德中证海外中国互联网指数型证券投资基金（LOF）C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013945</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、华西证券股份有限公司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95584</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 xml:space="preserve">www.hx168.com.cn </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2024年05月06日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62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qFormat/>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2024-04-25T06:18:08Z</dcterms:created>
  <dc:creator>limeng</dc:creator>
  <cp:lastModifiedBy>李梦</cp:lastModifiedBy>
  <dcterms:modified xsi:type="dcterms:W3CDTF">2024-04-25T06:18:58Z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8C343657A06742F3948F75B3DA72C8AC</vt:lpwstr>
  </property>
</Properties>
</file>