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D233F2">
      <w:pPr>
        <w:rPr>
          <w:sz w:val="32"/>
        </w:rPr>
      </w:pPr>
    </w:p>
    <w:p w:rsidR="00C92FC0" w:rsidRPr="00EB07BC" w:rsidRDefault="00D233F2">
      <w:pPr>
        <w:rPr>
          <w:sz w:val="32"/>
        </w:rPr>
      </w:pPr>
    </w:p>
    <w:p w:rsidR="00C92FC0" w:rsidRPr="00EB07BC" w:rsidRDefault="00D233F2">
      <w:pPr>
        <w:rPr>
          <w:sz w:val="32"/>
        </w:rPr>
      </w:pPr>
    </w:p>
    <w:p w:rsidR="00C92FC0" w:rsidRPr="00EB07BC" w:rsidRDefault="00277894">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8413B1" w:rsidRDefault="008413B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8413B1" w:rsidRDefault="008413B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8413B1" w:rsidRDefault="00277894">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交银施罗德活期通货币市场基金</w:t>
      </w:r>
    </w:p>
    <w:p w:rsidR="008413B1" w:rsidRDefault="00277894">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8413B1" w:rsidRDefault="00277894">
      <w:pPr>
        <w:snapToGrid w:val="0"/>
        <w:spacing w:line="360" w:lineRule="auto"/>
        <w:jc w:val="center"/>
        <w:rPr>
          <w:rFonts w:ascii="宋体" w:hAnsi="宋体"/>
          <w:b/>
          <w:sz w:val="30"/>
          <w:szCs w:val="30"/>
        </w:rPr>
      </w:pPr>
      <w:r>
        <w:rPr>
          <w:rFonts w:ascii="Times New Roman" w:hAnsi="Times New Roman"/>
          <w:b/>
          <w:color w:val="000000"/>
          <w:sz w:val="32"/>
          <w:szCs w:val="32"/>
        </w:rPr>
        <w:t>(2024</w:t>
      </w:r>
      <w:r>
        <w:rPr>
          <w:rFonts w:ascii="Times New Roman" w:hAnsi="Times New Roman"/>
          <w:b/>
          <w:color w:val="000000"/>
          <w:sz w:val="32"/>
          <w:szCs w:val="32"/>
        </w:rPr>
        <w:t>年第</w:t>
      </w:r>
      <w:r>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277894">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8413B1" w:rsidRDefault="00277894">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w:t>
      </w:r>
      <w:proofErr w:type="gramStart"/>
      <w:r>
        <w:rPr>
          <w:rFonts w:ascii="宋体" w:hAnsi="宋体"/>
          <w:b/>
          <w:spacing w:val="2"/>
          <w:w w:val="99"/>
          <w:kern w:val="0"/>
          <w:sz w:val="28"/>
          <w:szCs w:val="32"/>
        </w:rPr>
        <w:t>信建投证券</w:t>
      </w:r>
      <w:proofErr w:type="gramEnd"/>
      <w:r>
        <w:rPr>
          <w:rFonts w:ascii="宋体" w:hAnsi="宋体"/>
          <w:b/>
          <w:spacing w:val="2"/>
          <w:w w:val="99"/>
          <w:kern w:val="0"/>
          <w:sz w:val="28"/>
          <w:szCs w:val="32"/>
        </w:rPr>
        <w:t>股份有限公司</w:t>
      </w: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8413B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8413B1" w:rsidRDefault="00277894">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二〇二四年四月</w:t>
      </w:r>
    </w:p>
    <w:p w:rsidR="008413B1" w:rsidRDefault="008413B1">
      <w:pPr>
        <w:autoSpaceDE w:val="0"/>
        <w:autoSpaceDN w:val="0"/>
        <w:adjustRightInd w:val="0"/>
        <w:snapToGrid w:val="0"/>
        <w:spacing w:line="360" w:lineRule="auto"/>
        <w:ind w:left="1347" w:rightChars="6" w:right="13"/>
        <w:rPr>
          <w:rFonts w:ascii="宋体" w:hAnsi="宋体"/>
          <w:kern w:val="0"/>
          <w:sz w:val="32"/>
          <w:szCs w:val="32"/>
        </w:rPr>
        <w:sectPr w:rsidR="008413B1">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8413B1" w:rsidRDefault="00277894">
      <w:pPr>
        <w:pStyle w:val="1"/>
        <w:snapToGrid w:val="0"/>
        <w:spacing w:beforeLines="0" w:before="240" w:after="240"/>
        <w:rPr>
          <w:rFonts w:ascii="宋体" w:hAnsi="宋体"/>
          <w:kern w:val="0"/>
        </w:rPr>
      </w:pPr>
      <w:bookmarkStart w:id="0" w:name="_Toc324920538"/>
      <w:bookmarkStart w:id="1" w:name="_Toc496884613"/>
      <w:bookmarkStart w:id="2" w:name="_Toc165036832"/>
      <w:r>
        <w:rPr>
          <w:rFonts w:ascii="Times New Roman" w:hAnsi="Times New Roman"/>
          <w:kern w:val="0"/>
        </w:rPr>
        <w:lastRenderedPageBreak/>
        <w:t>重要提示</w:t>
      </w:r>
      <w:bookmarkEnd w:id="0"/>
      <w:bookmarkEnd w:id="1"/>
      <w:bookmarkEnd w:id="2"/>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交银施罗德活期通货币市场基金（以下简称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12</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1570</w:t>
      </w:r>
      <w:r>
        <w:rPr>
          <w:rFonts w:ascii="Times New Roman" w:hAnsi="Times New Roman"/>
          <w:kern w:val="0"/>
          <w:sz w:val="24"/>
        </w:rPr>
        <w:t>号文准予募集注册。本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日正式生效。</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实质性判断或保证，也不表明投资于本基金没有风险。中国证监会不对基金的投资价值及市场前景等</w:t>
      </w:r>
      <w:proofErr w:type="gramStart"/>
      <w:r>
        <w:rPr>
          <w:rFonts w:ascii="Times New Roman" w:hAnsi="Times New Roman"/>
          <w:kern w:val="0"/>
          <w:sz w:val="24"/>
        </w:rPr>
        <w:t>作出</w:t>
      </w:r>
      <w:proofErr w:type="gramEnd"/>
      <w:r>
        <w:rPr>
          <w:rFonts w:ascii="Times New Roman" w:hAnsi="Times New Roman"/>
          <w:kern w:val="0"/>
          <w:sz w:val="24"/>
        </w:rPr>
        <w:t>实质性判断或者保证。</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货币市场基金特有的其他风险等等。本基金属于货币市场基金，长期风险收益水平低于股票型基金、混合型基金和债券型基金。</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货币市场工具，面临货币市场利率波动的风险，基金每日的收益将根据市场情况上下波动，在极端情况下可能为负值。由于货币市场基金的特殊要求，为满足投资者的赎回需要，基金必须保持一定的现金比例以应对赎回的需求，在管理现金头寸时，有可能存在现金不足的风险或现金过多而带来的机会成本风险。</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当影子定价确定的基金资产净值与摊</w:t>
      </w:r>
      <w:proofErr w:type="gramStart"/>
      <w:r>
        <w:rPr>
          <w:rFonts w:ascii="Times New Roman" w:hAnsi="Times New Roman"/>
          <w:kern w:val="0"/>
          <w:sz w:val="24"/>
        </w:rPr>
        <w:t>余成本</w:t>
      </w:r>
      <w:proofErr w:type="gramEnd"/>
      <w:r>
        <w:rPr>
          <w:rFonts w:ascii="Times New Roman" w:hAnsi="Times New Roman"/>
          <w:kern w:val="0"/>
          <w:sz w:val="24"/>
        </w:rPr>
        <w:t>法计算的基金资产净值的正偏离度绝对值达到</w:t>
      </w:r>
      <w:r>
        <w:rPr>
          <w:rFonts w:ascii="Times New Roman" w:hAnsi="Times New Roman"/>
          <w:kern w:val="0"/>
          <w:sz w:val="24"/>
        </w:rPr>
        <w:t>0.5%</w:t>
      </w:r>
      <w:r>
        <w:rPr>
          <w:rFonts w:ascii="Times New Roman" w:hAnsi="Times New Roman"/>
          <w:kern w:val="0"/>
          <w:sz w:val="24"/>
        </w:rPr>
        <w:t>时，基金管理人应当暂停接受申购并在</w:t>
      </w:r>
      <w:r>
        <w:rPr>
          <w:rFonts w:ascii="Times New Roman" w:hAnsi="Times New Roman"/>
          <w:kern w:val="0"/>
          <w:sz w:val="24"/>
        </w:rPr>
        <w:t>5</w:t>
      </w:r>
      <w:r>
        <w:rPr>
          <w:rFonts w:ascii="Times New Roman" w:hAnsi="Times New Roman"/>
          <w:kern w:val="0"/>
          <w:sz w:val="24"/>
        </w:rPr>
        <w:t>个交易日内将正偏离度绝对值调整到</w:t>
      </w:r>
      <w:r>
        <w:rPr>
          <w:rFonts w:ascii="Times New Roman" w:hAnsi="Times New Roman"/>
          <w:kern w:val="0"/>
          <w:sz w:val="24"/>
        </w:rPr>
        <w:t>0.5%</w:t>
      </w:r>
      <w:r>
        <w:rPr>
          <w:rFonts w:ascii="Times New Roman" w:hAnsi="Times New Roman"/>
          <w:kern w:val="0"/>
          <w:sz w:val="24"/>
        </w:rPr>
        <w:t>以内。故投资者可能面临暂停申购的风险。当负偏离度绝对值连续两个交易日超过</w:t>
      </w:r>
      <w:r>
        <w:rPr>
          <w:rFonts w:ascii="Times New Roman" w:hAnsi="Times New Roman"/>
          <w:kern w:val="0"/>
          <w:sz w:val="24"/>
        </w:rPr>
        <w:t>0.5%</w:t>
      </w:r>
      <w:r>
        <w:rPr>
          <w:rFonts w:ascii="Times New Roman" w:hAnsi="Times New Roman"/>
          <w:kern w:val="0"/>
          <w:sz w:val="24"/>
        </w:rPr>
        <w:t>时，基金管理人应当采用公允价值估值方法对持有投</w:t>
      </w:r>
      <w:r>
        <w:rPr>
          <w:rFonts w:ascii="Times New Roman" w:hAnsi="Times New Roman"/>
          <w:kern w:val="0"/>
          <w:sz w:val="24"/>
        </w:rPr>
        <w:lastRenderedPageBreak/>
        <w:t>资组合的账面价值进行调整，或者采取暂停接受所有赎回申请并终止基金合同进行财产清算等措施。故投资者可能面临上述估值调整或暂停赎回及基金合同提前终止的风险。</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在满足相关流动性风险管理要求的前提下，当本基金持有的现金、国债、中央银行票据、政策性金融债券以及</w:t>
      </w:r>
      <w:r>
        <w:rPr>
          <w:rFonts w:ascii="Times New Roman" w:hAnsi="Times New Roman"/>
          <w:kern w:val="0"/>
          <w:sz w:val="24"/>
        </w:rPr>
        <w:t>5</w:t>
      </w:r>
      <w:r>
        <w:rPr>
          <w:rFonts w:ascii="Times New Roman" w:hAnsi="Times New Roman"/>
          <w:kern w:val="0"/>
          <w:sz w:val="24"/>
        </w:rPr>
        <w:t>个交易日内到期的其他金融工具占基金资产净值的比例合计低于</w:t>
      </w:r>
      <w:r>
        <w:rPr>
          <w:rFonts w:ascii="Times New Roman" w:hAnsi="Times New Roman"/>
          <w:kern w:val="0"/>
          <w:sz w:val="24"/>
        </w:rPr>
        <w:t>5%</w:t>
      </w:r>
      <w:r>
        <w:rPr>
          <w:rFonts w:ascii="Times New Roman" w:hAnsi="Times New Roman"/>
          <w:kern w:val="0"/>
          <w:sz w:val="24"/>
        </w:rPr>
        <w:t>且偏离度为负时，当日单个基金份额持有人申请赎回基金份额超过基金总份额</w:t>
      </w:r>
      <w:r>
        <w:rPr>
          <w:rFonts w:ascii="Times New Roman" w:hAnsi="Times New Roman"/>
          <w:kern w:val="0"/>
          <w:sz w:val="24"/>
        </w:rPr>
        <w:t>1%</w:t>
      </w:r>
      <w:r>
        <w:rPr>
          <w:rFonts w:ascii="Times New Roman" w:hAnsi="Times New Roman"/>
          <w:kern w:val="0"/>
          <w:sz w:val="24"/>
        </w:rPr>
        <w:t>以上的，该基金份额持有人可能面临被征收</w:t>
      </w:r>
      <w:r>
        <w:rPr>
          <w:rFonts w:ascii="Times New Roman" w:hAnsi="Times New Roman"/>
          <w:kern w:val="0"/>
          <w:sz w:val="24"/>
        </w:rPr>
        <w:t>1%</w:t>
      </w:r>
      <w:r>
        <w:rPr>
          <w:rFonts w:ascii="Times New Roman" w:hAnsi="Times New Roman"/>
          <w:kern w:val="0"/>
          <w:sz w:val="24"/>
        </w:rPr>
        <w:t>的强制赎回费用的风险，上述赎回费用全额计入基金财产；当本基金前</w:t>
      </w:r>
      <w:r>
        <w:rPr>
          <w:rFonts w:ascii="Times New Roman" w:hAnsi="Times New Roman"/>
          <w:kern w:val="0"/>
          <w:sz w:val="24"/>
        </w:rPr>
        <w:t xml:space="preserve">10 </w:t>
      </w:r>
      <w:proofErr w:type="gramStart"/>
      <w:r>
        <w:rPr>
          <w:rFonts w:ascii="Times New Roman" w:hAnsi="Times New Roman"/>
          <w:kern w:val="0"/>
          <w:sz w:val="24"/>
        </w:rPr>
        <w:t>名基金</w:t>
      </w:r>
      <w:proofErr w:type="gramEnd"/>
      <w:r>
        <w:rPr>
          <w:rFonts w:ascii="Times New Roman" w:hAnsi="Times New Roman"/>
          <w:kern w:val="0"/>
          <w:sz w:val="24"/>
        </w:rPr>
        <w:t>份额持有人的持有份额合计超过基金总份额</w:t>
      </w:r>
      <w:r>
        <w:rPr>
          <w:rFonts w:ascii="Times New Roman" w:hAnsi="Times New Roman"/>
          <w:kern w:val="0"/>
          <w:sz w:val="24"/>
        </w:rPr>
        <w:t>50%</w:t>
      </w:r>
      <w:r>
        <w:rPr>
          <w:rFonts w:ascii="Times New Roman" w:hAnsi="Times New Roman"/>
          <w:kern w:val="0"/>
          <w:sz w:val="24"/>
        </w:rPr>
        <w:t>，且本基金投资组合中现金、国债、中央银行票据、政策性金融债券以及</w:t>
      </w:r>
      <w:r>
        <w:rPr>
          <w:rFonts w:ascii="Times New Roman" w:hAnsi="Times New Roman"/>
          <w:kern w:val="0"/>
          <w:sz w:val="24"/>
        </w:rPr>
        <w:t xml:space="preserve">5 </w:t>
      </w:r>
      <w:proofErr w:type="gramStart"/>
      <w:r>
        <w:rPr>
          <w:rFonts w:ascii="Times New Roman" w:hAnsi="Times New Roman"/>
          <w:kern w:val="0"/>
          <w:sz w:val="24"/>
        </w:rPr>
        <w:t>个</w:t>
      </w:r>
      <w:proofErr w:type="gramEnd"/>
      <w:r>
        <w:rPr>
          <w:rFonts w:ascii="Times New Roman" w:hAnsi="Times New Roman"/>
          <w:kern w:val="0"/>
          <w:sz w:val="24"/>
        </w:rPr>
        <w:t>交易日内到期的其他金融工具占基金资产净值的比例合计低于</w:t>
      </w:r>
      <w:r>
        <w:rPr>
          <w:rFonts w:ascii="Times New Roman" w:hAnsi="Times New Roman"/>
          <w:kern w:val="0"/>
          <w:sz w:val="24"/>
        </w:rPr>
        <w:t>10%</w:t>
      </w:r>
      <w:r>
        <w:rPr>
          <w:rFonts w:ascii="Times New Roman" w:hAnsi="Times New Roman"/>
          <w:kern w:val="0"/>
          <w:sz w:val="24"/>
        </w:rPr>
        <w:t>且偏离度为负时，基金管理人应当对当日单个基金份额持有人超过基金总份额</w:t>
      </w:r>
      <w:r>
        <w:rPr>
          <w:rFonts w:ascii="Times New Roman" w:hAnsi="Times New Roman"/>
          <w:kern w:val="0"/>
          <w:sz w:val="24"/>
        </w:rPr>
        <w:t>1%</w:t>
      </w:r>
      <w:r>
        <w:rPr>
          <w:rFonts w:ascii="Times New Roman" w:hAnsi="Times New Roman"/>
          <w:kern w:val="0"/>
          <w:sz w:val="24"/>
        </w:rPr>
        <w:t>以上的赎回申请征收</w:t>
      </w:r>
      <w:r>
        <w:rPr>
          <w:rFonts w:ascii="Times New Roman" w:hAnsi="Times New Roman"/>
          <w:kern w:val="0"/>
          <w:sz w:val="24"/>
        </w:rPr>
        <w:t>1%</w:t>
      </w:r>
      <w:r>
        <w:rPr>
          <w:rFonts w:ascii="Times New Roman" w:hAnsi="Times New Roman"/>
          <w:kern w:val="0"/>
          <w:sz w:val="24"/>
        </w:rPr>
        <w:t>的强制赎回费用，并将上述赎回费用全额计入基金财产。故投资者可能面临上述被征收</w:t>
      </w:r>
      <w:r>
        <w:rPr>
          <w:rFonts w:ascii="Times New Roman" w:hAnsi="Times New Roman"/>
          <w:kern w:val="0"/>
          <w:sz w:val="24"/>
        </w:rPr>
        <w:t>1%</w:t>
      </w:r>
      <w:r>
        <w:rPr>
          <w:rFonts w:ascii="Times New Roman" w:hAnsi="Times New Roman"/>
          <w:kern w:val="0"/>
          <w:sz w:val="24"/>
        </w:rPr>
        <w:t>的强制赎回费用的风险。此外，单个基金份额持有人在单个开放日申请赎回基金份额超过基金总份额</w:t>
      </w:r>
      <w:r>
        <w:rPr>
          <w:rFonts w:ascii="Times New Roman" w:hAnsi="Times New Roman"/>
          <w:kern w:val="0"/>
          <w:sz w:val="24"/>
        </w:rPr>
        <w:t>10%</w:t>
      </w:r>
      <w:r>
        <w:rPr>
          <w:rFonts w:ascii="Times New Roman" w:hAnsi="Times New Roman"/>
          <w:kern w:val="0"/>
          <w:sz w:val="24"/>
        </w:rPr>
        <w:t>的，该基金份额持有人可能面临延期办理部分赎回申请或者延缓支付赎回款项的风险。</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投资者购买本货币市场基金并不等于将资金作为存款存放在银行或存款类金融机构，基金管理人不保证基金一定盈利，也不保证最低收益。</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rsidR="008413B1" w:rsidRDefault="002778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本次更新招募说明书主要对基金经理变更相关事项进行了相应更新，更新截止日为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日，除非另有说明，本招募说明书其他所载内容截止日为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日，有关财务和业绩表现数据截止日为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日，财务和业绩表现数据未经审计。</w:t>
      </w:r>
    </w:p>
    <w:p w:rsidR="008413B1" w:rsidRDefault="008413B1">
      <w:pPr>
        <w:autoSpaceDE w:val="0"/>
        <w:autoSpaceDN w:val="0"/>
        <w:adjustRightInd w:val="0"/>
        <w:snapToGrid w:val="0"/>
        <w:spacing w:before="51" w:line="360" w:lineRule="auto"/>
        <w:ind w:left="120" w:rightChars="6" w:right="13" w:firstLine="480"/>
        <w:rPr>
          <w:rFonts w:ascii="宋体" w:hAnsi="宋体"/>
          <w:kern w:val="0"/>
          <w:szCs w:val="24"/>
        </w:rPr>
        <w:sectPr w:rsidR="008413B1">
          <w:headerReference w:type="default" r:id="rId12"/>
          <w:pgSz w:w="11920" w:h="16840"/>
          <w:pgMar w:top="1440" w:right="1680" w:bottom="280" w:left="1680" w:header="0" w:footer="1073" w:gutter="0"/>
          <w:pgNumType w:start="1"/>
          <w:cols w:space="720"/>
        </w:sectPr>
      </w:pPr>
    </w:p>
    <w:p w:rsidR="00EF362B" w:rsidRPr="00EF362B" w:rsidRDefault="00277894" w:rsidP="00EF362B">
      <w:pPr>
        <w:pStyle w:val="af3"/>
        <w:snapToGrid w:val="0"/>
        <w:spacing w:after="240" w:line="360" w:lineRule="auto"/>
        <w:jc w:val="center"/>
        <w:rPr>
          <w:rFonts w:ascii="宋体" w:hAnsi="宋体"/>
          <w:noProof/>
          <w:sz w:val="24"/>
        </w:rPr>
      </w:pPr>
      <w:r w:rsidRPr="00EF362B">
        <w:rPr>
          <w:rFonts w:ascii="宋体" w:hAnsi="宋体"/>
          <w:color w:val="000000"/>
          <w:position w:val="-4"/>
          <w:sz w:val="24"/>
          <w:szCs w:val="30"/>
        </w:rPr>
        <w:lastRenderedPageBreak/>
        <w:t>目</w:t>
      </w:r>
      <w:r w:rsidRPr="00EF362B">
        <w:rPr>
          <w:rFonts w:ascii="宋体" w:hAnsi="宋体"/>
          <w:color w:val="000000"/>
          <w:position w:val="-4"/>
          <w:sz w:val="24"/>
          <w:szCs w:val="30"/>
        </w:rPr>
        <w:tab/>
        <w:t>录</w:t>
      </w:r>
      <w:r w:rsidR="00EF362B" w:rsidRPr="00EF362B">
        <w:rPr>
          <w:rFonts w:ascii="宋体" w:hAnsi="宋体"/>
          <w:color w:val="000000"/>
          <w:position w:val="-4"/>
          <w:sz w:val="24"/>
          <w:szCs w:val="30"/>
        </w:rPr>
        <w:fldChar w:fldCharType="begin"/>
      </w:r>
      <w:r w:rsidR="00EF362B" w:rsidRPr="00EF362B">
        <w:rPr>
          <w:rFonts w:ascii="宋体" w:hAnsi="宋体"/>
          <w:color w:val="000000"/>
          <w:position w:val="-4"/>
          <w:sz w:val="24"/>
          <w:szCs w:val="30"/>
        </w:rPr>
        <w:instrText xml:space="preserve"> TOC \o "1-3" \f - \h \t "-1" </w:instrText>
      </w:r>
      <w:r w:rsidR="00EF362B" w:rsidRPr="00EF362B">
        <w:rPr>
          <w:rFonts w:ascii="宋体" w:hAnsi="宋体"/>
          <w:color w:val="000000"/>
          <w:position w:val="-4"/>
          <w:sz w:val="24"/>
          <w:szCs w:val="30"/>
        </w:rPr>
        <w:fldChar w:fldCharType="separate"/>
      </w:r>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2" w:history="1">
        <w:r w:rsidR="00EF362B" w:rsidRPr="00EF362B">
          <w:rPr>
            <w:rStyle w:val="af0"/>
            <w:rFonts w:ascii="宋体" w:hAnsi="宋体" w:hint="eastAsia"/>
            <w:noProof/>
            <w:kern w:val="0"/>
            <w:sz w:val="24"/>
          </w:rPr>
          <w:t>重要提示</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_Toc165036832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3" w:history="1">
        <w:r w:rsidR="00EF362B" w:rsidRPr="00EF362B">
          <w:rPr>
            <w:rStyle w:val="af0"/>
            <w:rFonts w:ascii="宋体" w:hAnsi="宋体" w:hint="eastAsia"/>
            <w:noProof/>
            <w:sz w:val="24"/>
          </w:rPr>
          <w:t>一、绪言</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_Toc165036833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4</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4" w:history="1">
        <w:r w:rsidR="00EF362B" w:rsidRPr="00EF362B">
          <w:rPr>
            <w:rStyle w:val="af0"/>
            <w:rFonts w:ascii="宋体" w:hAnsi="宋体" w:hint="eastAsia"/>
            <w:noProof/>
            <w:sz w:val="24"/>
          </w:rPr>
          <w:t>二、释义</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_Toc165036834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5</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5" w:history="1">
        <w:r w:rsidR="00EF362B" w:rsidRPr="00EF362B">
          <w:rPr>
            <w:rStyle w:val="af0"/>
            <w:rFonts w:ascii="宋体" w:hAnsi="宋体" w:hint="eastAsia"/>
            <w:noProof/>
            <w:sz w:val="24"/>
          </w:rPr>
          <w:t>三、基金管理人</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_Toc165036835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10</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6" w:history="1">
        <w:r w:rsidR="00EF362B" w:rsidRPr="00EF362B">
          <w:rPr>
            <w:rStyle w:val="af0"/>
            <w:rFonts w:ascii="宋体" w:hAnsi="宋体" w:hint="eastAsia"/>
            <w:noProof/>
            <w:sz w:val="24"/>
          </w:rPr>
          <w:t>四、基金托管人</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_Toc165036836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18</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7" w:history="1">
        <w:r w:rsidR="00EF362B" w:rsidRPr="00EF362B">
          <w:rPr>
            <w:rStyle w:val="af0"/>
            <w:rFonts w:ascii="宋体" w:hAnsi="宋体" w:hint="eastAsia"/>
            <w:noProof/>
            <w:sz w:val="24"/>
          </w:rPr>
          <w:t>五、相关服务机构</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_Toc165036837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21</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8" w:history="1">
        <w:r w:rsidR="00EF362B" w:rsidRPr="00EF362B">
          <w:rPr>
            <w:rStyle w:val="af0"/>
            <w:rFonts w:ascii="宋体" w:hAnsi="宋体" w:hint="eastAsia"/>
            <w:noProof/>
            <w:sz w:val="24"/>
          </w:rPr>
          <w:t>六、基金的募集</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_Toc165036838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31</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39" w:history="1">
        <w:r w:rsidR="00EF362B" w:rsidRPr="00EF362B">
          <w:rPr>
            <w:rStyle w:val="af0"/>
            <w:rFonts w:ascii="宋体" w:hAnsi="宋体" w:hint="eastAsia"/>
            <w:noProof/>
            <w:sz w:val="24"/>
          </w:rPr>
          <w:t>七、基金合同的生效</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_Toc165036839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32</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0" w:history="1">
        <w:r w:rsidR="00EF362B" w:rsidRPr="00EF362B">
          <w:rPr>
            <w:rStyle w:val="af0"/>
            <w:rFonts w:ascii="宋体" w:hAnsi="宋体" w:hint="eastAsia"/>
            <w:noProof/>
            <w:sz w:val="24"/>
          </w:rPr>
          <w:t>八、基金份额的申购与赎回</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_Toc165036840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33</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1" w:history="1">
        <w:r w:rsidR="00EF362B" w:rsidRPr="00EF362B">
          <w:rPr>
            <w:rStyle w:val="af0"/>
            <w:rFonts w:ascii="宋体" w:hAnsi="宋体" w:hint="eastAsia"/>
            <w:noProof/>
            <w:sz w:val="24"/>
          </w:rPr>
          <w:t>九、基金的转换</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_Toc165036841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43</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2" w:history="1">
        <w:r w:rsidR="00EF362B" w:rsidRPr="00EF362B">
          <w:rPr>
            <w:rStyle w:val="af0"/>
            <w:rFonts w:ascii="宋体" w:hAnsi="宋体" w:hint="eastAsia"/>
            <w:noProof/>
            <w:sz w:val="24"/>
          </w:rPr>
          <w:t>十、基金的投资</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_Toc165036842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48</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3" w:history="1">
        <w:r w:rsidR="00EF362B" w:rsidRPr="00EF362B">
          <w:rPr>
            <w:rStyle w:val="af0"/>
            <w:rFonts w:ascii="宋体" w:hAnsi="宋体" w:hint="eastAsia"/>
            <w:noProof/>
            <w:sz w:val="24"/>
          </w:rPr>
          <w:t>十一、基金的业绩</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_Toc165036843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61</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4" w:history="1">
        <w:r w:rsidR="00EF362B" w:rsidRPr="00EF362B">
          <w:rPr>
            <w:rStyle w:val="af0"/>
            <w:rFonts w:ascii="宋体" w:hAnsi="宋体" w:hint="eastAsia"/>
            <w:noProof/>
            <w:sz w:val="24"/>
          </w:rPr>
          <w:t>十二、基金的财产</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_Toc165036844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64</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5" w:history="1">
        <w:r w:rsidR="00EF362B" w:rsidRPr="00EF362B">
          <w:rPr>
            <w:rStyle w:val="af0"/>
            <w:rFonts w:ascii="宋体" w:hAnsi="宋体" w:hint="eastAsia"/>
            <w:noProof/>
            <w:sz w:val="24"/>
          </w:rPr>
          <w:t>十三、基金资产的估值</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_Toc165036845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65</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6" w:history="1">
        <w:r w:rsidR="00EF362B" w:rsidRPr="00EF362B">
          <w:rPr>
            <w:rStyle w:val="af0"/>
            <w:rFonts w:ascii="宋体" w:hAnsi="宋体" w:hint="eastAsia"/>
            <w:noProof/>
            <w:sz w:val="24"/>
          </w:rPr>
          <w:t>十四、基金收益与分配</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_Toc165036846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70</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7" w:history="1">
        <w:r w:rsidR="00EF362B" w:rsidRPr="00EF362B">
          <w:rPr>
            <w:rStyle w:val="af0"/>
            <w:rFonts w:ascii="宋体" w:hAnsi="宋体" w:hint="eastAsia"/>
            <w:noProof/>
            <w:sz w:val="24"/>
          </w:rPr>
          <w:t>十五、基金的费用与税收</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_Toc165036847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72</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8" w:history="1">
        <w:r w:rsidR="00EF362B" w:rsidRPr="00EF362B">
          <w:rPr>
            <w:rStyle w:val="af0"/>
            <w:rFonts w:ascii="宋体" w:hAnsi="宋体" w:hint="eastAsia"/>
            <w:noProof/>
            <w:sz w:val="24"/>
          </w:rPr>
          <w:t>十六、基金的会计与审计</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_Toc165036848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75</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49" w:history="1">
        <w:r w:rsidR="00EF362B" w:rsidRPr="00EF362B">
          <w:rPr>
            <w:rStyle w:val="af0"/>
            <w:rFonts w:ascii="宋体" w:hAnsi="宋体" w:hint="eastAsia"/>
            <w:noProof/>
            <w:sz w:val="24"/>
          </w:rPr>
          <w:t>十七、基金的信息披露</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_Toc165036849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76</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0" w:history="1">
        <w:r w:rsidR="00EF362B" w:rsidRPr="00EF362B">
          <w:rPr>
            <w:rStyle w:val="af0"/>
            <w:rFonts w:ascii="宋体" w:hAnsi="宋体" w:hint="eastAsia"/>
            <w:noProof/>
            <w:sz w:val="24"/>
          </w:rPr>
          <w:t>十八、风险揭示</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_Toc165036850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83</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1" w:history="1">
        <w:r w:rsidR="00EF362B" w:rsidRPr="00EF362B">
          <w:rPr>
            <w:rStyle w:val="af0"/>
            <w:rFonts w:ascii="宋体" w:hAnsi="宋体" w:hint="eastAsia"/>
            <w:noProof/>
            <w:sz w:val="24"/>
          </w:rPr>
          <w:t>十九、基金合同的变更、终止与基金财产的清算</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_Toc165036851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88</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2" w:history="1">
        <w:r w:rsidR="00EF362B" w:rsidRPr="00EF362B">
          <w:rPr>
            <w:rStyle w:val="af0"/>
            <w:rFonts w:ascii="宋体" w:hAnsi="宋体" w:hint="eastAsia"/>
            <w:noProof/>
            <w:sz w:val="24"/>
          </w:rPr>
          <w:t>二十、基金合同内容摘要</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_Toc165036852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90</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3" w:history="1">
        <w:r w:rsidR="00EF362B" w:rsidRPr="00EF362B">
          <w:rPr>
            <w:rStyle w:val="af0"/>
            <w:rFonts w:ascii="宋体" w:hAnsi="宋体" w:hint="eastAsia"/>
            <w:noProof/>
            <w:sz w:val="24"/>
          </w:rPr>
          <w:t>二十一、</w:t>
        </w:r>
        <w:r w:rsidR="00EF362B" w:rsidRPr="00EF362B">
          <w:rPr>
            <w:rStyle w:val="af0"/>
            <w:rFonts w:ascii="宋体" w:hAnsi="宋体"/>
            <w:noProof/>
            <w:sz w:val="24"/>
          </w:rPr>
          <w:t xml:space="preserve"> </w:t>
        </w:r>
        <w:r w:rsidR="00EF362B" w:rsidRPr="00EF362B">
          <w:rPr>
            <w:rStyle w:val="af0"/>
            <w:rFonts w:ascii="宋体" w:hAnsi="宋体" w:hint="eastAsia"/>
            <w:noProof/>
            <w:sz w:val="24"/>
          </w:rPr>
          <w:t>托管协议的内容摘要</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_Toc165036853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106</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4" w:history="1">
        <w:r w:rsidR="00EF362B" w:rsidRPr="00EF362B">
          <w:rPr>
            <w:rStyle w:val="af0"/>
            <w:rFonts w:ascii="宋体" w:hAnsi="宋体" w:hint="eastAsia"/>
            <w:noProof/>
            <w:sz w:val="24"/>
          </w:rPr>
          <w:t>二十二、对基金份额持有人的服务</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_Toc165036854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119</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5" w:history="1">
        <w:r w:rsidR="00EF362B" w:rsidRPr="00EF362B">
          <w:rPr>
            <w:rStyle w:val="af0"/>
            <w:rFonts w:ascii="宋体" w:hAnsi="宋体" w:hint="eastAsia"/>
            <w:noProof/>
            <w:sz w:val="24"/>
          </w:rPr>
          <w:t>二十三、其他应披露事项</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_Toc165036855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120</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6" w:history="1">
        <w:r w:rsidR="00EF362B" w:rsidRPr="00EF362B">
          <w:rPr>
            <w:rStyle w:val="af0"/>
            <w:rFonts w:ascii="宋体" w:hAnsi="宋体" w:hint="eastAsia"/>
            <w:noProof/>
            <w:sz w:val="24"/>
          </w:rPr>
          <w:t>二十四、招募说明书的存放及查阅方式</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_Toc165036856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122</w:t>
        </w:r>
        <w:r w:rsidR="00EF362B" w:rsidRPr="00EF362B">
          <w:rPr>
            <w:rFonts w:ascii="宋体" w:hAnsi="宋体"/>
            <w:noProof/>
            <w:sz w:val="24"/>
          </w:rPr>
          <w:fldChar w:fldCharType="end"/>
        </w:r>
      </w:hyperlink>
    </w:p>
    <w:p w:rsidR="00EF362B" w:rsidRPr="00EF362B" w:rsidRDefault="00D233F2" w:rsidP="00EF362B">
      <w:pPr>
        <w:pStyle w:val="11"/>
        <w:tabs>
          <w:tab w:val="right" w:leader="dot" w:pos="8550"/>
        </w:tabs>
        <w:spacing w:line="360" w:lineRule="auto"/>
        <w:rPr>
          <w:rFonts w:ascii="宋体" w:hAnsi="宋体" w:cstheme="minorBidi"/>
          <w:noProof/>
          <w:sz w:val="24"/>
        </w:rPr>
      </w:pPr>
      <w:hyperlink w:anchor="_Toc165036857" w:history="1">
        <w:r w:rsidR="00EF362B" w:rsidRPr="00EF362B">
          <w:rPr>
            <w:rStyle w:val="af0"/>
            <w:rFonts w:ascii="宋体" w:hAnsi="宋体" w:hint="eastAsia"/>
            <w:noProof/>
            <w:sz w:val="24"/>
          </w:rPr>
          <w:t>二十五、备查文件</w:t>
        </w:r>
        <w:r w:rsidR="00EF362B" w:rsidRPr="00EF362B">
          <w:rPr>
            <w:rFonts w:ascii="宋体" w:hAnsi="宋体"/>
            <w:noProof/>
            <w:sz w:val="24"/>
          </w:rPr>
          <w:tab/>
        </w:r>
        <w:r w:rsidR="00EF362B" w:rsidRPr="00EF362B">
          <w:rPr>
            <w:rFonts w:ascii="宋体" w:hAnsi="宋体"/>
            <w:noProof/>
            <w:sz w:val="24"/>
          </w:rPr>
          <w:fldChar w:fldCharType="begin"/>
        </w:r>
        <w:r w:rsidR="00EF362B" w:rsidRPr="00EF362B">
          <w:rPr>
            <w:rFonts w:ascii="宋体" w:hAnsi="宋体"/>
            <w:noProof/>
            <w:sz w:val="24"/>
          </w:rPr>
          <w:instrText xml:space="preserve"> PAGEREF _Toc165036857 \h </w:instrText>
        </w:r>
        <w:r w:rsidR="00EF362B" w:rsidRPr="00EF362B">
          <w:rPr>
            <w:rFonts w:ascii="宋体" w:hAnsi="宋体"/>
            <w:noProof/>
            <w:sz w:val="24"/>
          </w:rPr>
        </w:r>
        <w:r w:rsidR="00EF362B" w:rsidRPr="00EF362B">
          <w:rPr>
            <w:rFonts w:ascii="宋体" w:hAnsi="宋体"/>
            <w:noProof/>
            <w:sz w:val="24"/>
          </w:rPr>
          <w:fldChar w:fldCharType="separate"/>
        </w:r>
        <w:r>
          <w:rPr>
            <w:rFonts w:ascii="宋体" w:hAnsi="宋体"/>
            <w:noProof/>
            <w:sz w:val="24"/>
          </w:rPr>
          <w:t>123</w:t>
        </w:r>
        <w:r w:rsidR="00EF362B" w:rsidRPr="00EF362B">
          <w:rPr>
            <w:rFonts w:ascii="宋体" w:hAnsi="宋体"/>
            <w:noProof/>
            <w:sz w:val="24"/>
          </w:rPr>
          <w:fldChar w:fldCharType="end"/>
        </w:r>
      </w:hyperlink>
    </w:p>
    <w:p w:rsidR="008413B1" w:rsidRDefault="00EF362B" w:rsidP="00B016E9">
      <w:pPr>
        <w:pStyle w:val="af3"/>
        <w:snapToGrid w:val="0"/>
        <w:spacing w:after="240" w:line="360" w:lineRule="auto"/>
        <w:rPr>
          <w:rFonts w:ascii="宋体" w:hAnsi="宋体"/>
          <w:szCs w:val="24"/>
        </w:rPr>
        <w:sectPr w:rsidR="008413B1">
          <w:pgSz w:w="11920" w:h="16840"/>
          <w:pgMar w:top="1480" w:right="1680" w:bottom="280" w:left="1680" w:header="0" w:footer="1073" w:gutter="0"/>
          <w:cols w:space="720"/>
        </w:sectPr>
      </w:pPr>
      <w:r w:rsidRPr="00EF362B">
        <w:rPr>
          <w:rFonts w:ascii="宋体" w:hAnsi="宋体"/>
          <w:color w:val="000000"/>
          <w:position w:val="-4"/>
          <w:sz w:val="24"/>
          <w:szCs w:val="30"/>
        </w:rPr>
        <w:fldChar w:fldCharType="end"/>
      </w:r>
    </w:p>
    <w:p w:rsidR="008413B1" w:rsidRDefault="00277894">
      <w:pPr>
        <w:pStyle w:val="1"/>
        <w:snapToGrid w:val="0"/>
        <w:spacing w:beforeLines="0" w:before="240" w:after="240"/>
        <w:rPr>
          <w:rFonts w:ascii="宋体" w:hAnsi="宋体"/>
          <w:szCs w:val="30"/>
        </w:rPr>
      </w:pPr>
      <w:bookmarkStart w:id="3" w:name="_Toc165036833"/>
      <w:r>
        <w:rPr>
          <w:rFonts w:ascii="Times New Roman" w:hAnsi="Times New Roman"/>
          <w:sz w:val="30"/>
        </w:rPr>
        <w:t>一、绪言</w:t>
      </w:r>
      <w:bookmarkEnd w:id="3"/>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活期通货币市场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下简称“《流动性规定》”)和其他相关法律法规的规定以及《交银施罗德活期通货币市场基金基金合同》（以下简称“基金合同”）编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4" w:name="_Toc165036834"/>
      <w:r>
        <w:rPr>
          <w:rFonts w:ascii="Times New Roman" w:hAnsi="Times New Roman"/>
          <w:sz w:val="30"/>
        </w:rPr>
        <w:t>二、释义</w:t>
      </w:r>
      <w:bookmarkEnd w:id="4"/>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proofErr w:type="gramStart"/>
      <w:r>
        <w:rPr>
          <w:rFonts w:ascii="宋体" w:hAnsi="宋体"/>
          <w:sz w:val="24"/>
        </w:rPr>
        <w:t>交银施罗</w:t>
      </w:r>
      <w:proofErr w:type="gramEnd"/>
      <w:r>
        <w:rPr>
          <w:rFonts w:ascii="宋体" w:hAnsi="宋体"/>
          <w:sz w:val="24"/>
        </w:rPr>
        <w:t>德活期通货币市场基金</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w:t>
      </w:r>
      <w:proofErr w:type="gramStart"/>
      <w:r>
        <w:rPr>
          <w:rFonts w:ascii="宋体" w:hAnsi="宋体"/>
          <w:sz w:val="24"/>
        </w:rPr>
        <w:t>信建投证券</w:t>
      </w:r>
      <w:proofErr w:type="gramEnd"/>
      <w:r>
        <w:rPr>
          <w:rFonts w:ascii="宋体" w:hAnsi="宋体"/>
          <w:sz w:val="24"/>
        </w:rPr>
        <w:t>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4、基金合同或《基金合同》：指《交银施罗德活期通货币市场基金基金合同》及对基金合同的任何有效修订和补充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5、托管协议：指基金管理人与基金托管人就本基金签订之《交银施罗德活期通货币市场基金托管协议》及对该托管协议的任何有效修订和补充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6、招募说明书、《招募说明书》或本招募说明书：指《交银施罗德活期通货币市场基金招募说明书》及其更新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7、基金份额发售公告：指《交银施罗德活期通货币市场基金基金份额发售公告》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8、基金产品资料概要：指《交银施罗德活期通货币市场基金基金产品资料概要》及其更新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登记业务的机构。基金的登记机构为交银施罗德基金管理有限公司或接受交银施罗德基金管理有限公司委托办理登记业务的机构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29、基金交易账户：指销售机构为投资人开立的、记录投资人通过该销售机构办理认购、申购、赎回、转换及转托管等业务而引起的基金份额变动及结余情况的账户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w:t>
      </w:r>
      <w:proofErr w:type="gramStart"/>
      <w:r>
        <w:rPr>
          <w:rFonts w:ascii="宋体" w:hAnsi="宋体"/>
          <w:sz w:val="24"/>
        </w:rPr>
        <w:t>个</w:t>
      </w:r>
      <w:proofErr w:type="gramEnd"/>
      <w:r>
        <w:rPr>
          <w:rFonts w:ascii="宋体" w:hAnsi="宋体"/>
          <w:sz w:val="24"/>
        </w:rPr>
        <w:t>工作日(不包含T日)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39、《业务规则》：指《交银施罗德基金管理有限公司开放式基金业务规则》，是规范基金管理人所管理的开放式证券投资基金登记方面的业务规则，由基金管理人和投资人共同遵守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43、基金转换：指基金份额持有人按照本基金合同和基金管理人届时有效公告规定的条件，申请将其持有基金管理人管理的、某一基金的基金份额转换为基金管理人管理的其他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44、转托管：指基金份额持有人在本基金的不同销售机构之间实施的变更所持基金份额销售机构的操作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48、基金收益：指基金投资所得债券利息、买卖证券价差、银行存款利息、已实现的其他合法收入及因运用基金财产带来的成本和费用的节约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49、摊</w:t>
      </w:r>
      <w:proofErr w:type="gramStart"/>
      <w:r>
        <w:rPr>
          <w:rFonts w:ascii="宋体" w:hAnsi="宋体"/>
          <w:sz w:val="24"/>
        </w:rPr>
        <w:t>余成本</w:t>
      </w:r>
      <w:proofErr w:type="gramEnd"/>
      <w:r>
        <w:rPr>
          <w:rFonts w:ascii="宋体" w:hAnsi="宋体"/>
          <w:sz w:val="24"/>
        </w:rPr>
        <w:t>法：指计价对象以买入成本列示，按照票面利率或协议利率并考虑其买入时的溢价与折价，在剩余存续期内按照实际利率法摊销，每日计提损益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50、每万份基金已实现收益：指按照相关法规计算的每万份基金份额的日已实现收益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51、7日年化收益率</w:t>
      </w:r>
      <w:proofErr w:type="gramEnd"/>
      <w:r>
        <w:rPr>
          <w:rFonts w:ascii="宋体" w:hAnsi="宋体"/>
          <w:sz w:val="24"/>
        </w:rPr>
        <w:t>：指以最近7日(含节假日) 每万份基金已实现收益所折算的</w:t>
      </w:r>
      <w:proofErr w:type="gramStart"/>
      <w:r>
        <w:rPr>
          <w:rFonts w:ascii="宋体" w:hAnsi="宋体"/>
          <w:sz w:val="24"/>
        </w:rPr>
        <w:t>年资产</w:t>
      </w:r>
      <w:proofErr w:type="gramEnd"/>
      <w:r>
        <w:rPr>
          <w:rFonts w:ascii="宋体" w:hAnsi="宋体"/>
          <w:sz w:val="24"/>
        </w:rPr>
        <w:t>收益率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52、销售服务费：指本基金用于持续销售和服务基金份额持有人的费用，该笔费用从基金财产中扣除，属于基金的营运费用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53、基金资产总值：指基金拥有的各类有价证券和票据价值、银行存款本息、基金应收申购款及其他资产的价值总和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55、基金份额净值：指计算日基金资产净值除以计算日基金份额总数，本基金各类基金份额的基金份额净值保持在1.00元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56、基金资产估值：指计算评估基金资产和负债的价值，以确定各类基金份额的基金资产净值、每万份基金已实现收益和</w:t>
      </w:r>
      <w:proofErr w:type="gramStart"/>
      <w:r>
        <w:rPr>
          <w:rFonts w:ascii="宋体" w:hAnsi="宋体"/>
          <w:sz w:val="24"/>
        </w:rPr>
        <w:t>7日年化收益率</w:t>
      </w:r>
      <w:proofErr w:type="gramEnd"/>
      <w:r>
        <w:rPr>
          <w:rFonts w:ascii="宋体" w:hAnsi="宋体"/>
          <w:sz w:val="24"/>
        </w:rPr>
        <w:t>的过程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59、不可抗力：指本基金合同当事人不能预见、不能避免且不能克服的客观事件</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5" w:name="_Toc165036835"/>
      <w:r>
        <w:rPr>
          <w:rFonts w:ascii="Times New Roman" w:hAnsi="Times New Roman"/>
          <w:sz w:val="30"/>
        </w:rPr>
        <w:t>三、基金管理人</w:t>
      </w:r>
      <w:bookmarkEnd w:id="5"/>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w:t>
      </w:r>
      <w:bookmarkStart w:id="6" w:name="_GoBack"/>
      <w:bookmarkEnd w:id="6"/>
      <w:r>
        <w:rPr>
          <w:rFonts w:ascii="宋体" w:hAnsi="宋体"/>
          <w:sz w:val="24"/>
        </w:rPr>
        <w:t>任交通银行总行个人金融业务部副总经理。历任交通银行南京分行个人金融业务部副高级经理、江苏省分行个人金融业务部副总经理、总经理、玄武支行行长。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银国际控股有限公司执行董事、副行政总裁、首席风险官。历任交通银行总行国际业务部外汇资金处交易员、澳门分行资金部主管、总行金融市场部债券投资部副高级经理、外汇交易部高级经理、总行风险管理部/</w:t>
      </w:r>
      <w:proofErr w:type="gramStart"/>
      <w:r>
        <w:rPr>
          <w:rFonts w:ascii="宋体" w:hAnsi="宋体"/>
          <w:sz w:val="24"/>
        </w:rPr>
        <w:t>内控案防</w:t>
      </w:r>
      <w:proofErr w:type="gramEnd"/>
      <w:r>
        <w:rPr>
          <w:rFonts w:ascii="宋体" w:hAnsi="宋体"/>
          <w:sz w:val="24"/>
        </w:rPr>
        <w:t>办副总经理。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w:t>
      </w:r>
      <w:r w:rsidRPr="00227DA1">
        <w:rPr>
          <w:rFonts w:ascii="宋体" w:hAnsi="宋体"/>
          <w:sz w:val="24"/>
        </w:rPr>
        <w:t>司总经理</w:t>
      </w:r>
      <w:r w:rsidR="0036022B" w:rsidRPr="00227DA1">
        <w:rPr>
          <w:rFonts w:ascii="宋体" w:hAnsi="宋体"/>
          <w:sz w:val="24"/>
        </w:rPr>
        <w:t>、首席信息官</w:t>
      </w:r>
      <w:r w:rsidRPr="00227DA1">
        <w:rPr>
          <w:rFonts w:ascii="宋体" w:hAnsi="宋体"/>
          <w:sz w:val="24"/>
        </w:rPr>
        <w:t>，兼任交银施</w:t>
      </w:r>
      <w:r>
        <w:rPr>
          <w:rFonts w:ascii="宋体" w:hAnsi="宋体"/>
          <w:sz w:val="24"/>
        </w:rPr>
        <w:t>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企业文化部总经理。历任交通银行山西省分行个人金融业务部高级经理，交通银行山西省分行副行长，交通银行个人金融业务部副总经理、私人银行部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黄莹洁女士:基金经理。香港大学工商管理硕士、北京大学经济学、管理学双学士。16年证券投资行业从业经验。2008年至2012年任中</w:t>
      </w:r>
      <w:proofErr w:type="gramStart"/>
      <w:r>
        <w:rPr>
          <w:rFonts w:ascii="宋体" w:hAnsi="宋体"/>
          <w:sz w:val="24"/>
        </w:rPr>
        <w:t>海基金</w:t>
      </w:r>
      <w:proofErr w:type="gramEnd"/>
      <w:r>
        <w:rPr>
          <w:rFonts w:ascii="宋体" w:hAnsi="宋体"/>
          <w:sz w:val="24"/>
        </w:rPr>
        <w:t>管理有限公司交易员。2012年加入交银施罗德基金管理有限公司，曾任中央交易室交易员，现任固定收益</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现金宝货币市场基金(2015年05月27日至2019年08月02日)、交银施罗德货币市场证券投资基金(2015年05月27日至2019年08月02日)、交银施罗德理财21天债券型证券投资基金(2015年05月27日至2020年07月27日)、交银施罗德丰泽收益债券型证券投资基金(2015年07月25日至2018年03月18日)、交银施罗德裕</w:t>
      </w:r>
      <w:proofErr w:type="gramStart"/>
      <w:r>
        <w:rPr>
          <w:rFonts w:ascii="宋体" w:hAnsi="宋体"/>
          <w:sz w:val="24"/>
        </w:rPr>
        <w:t>通纯债</w:t>
      </w:r>
      <w:proofErr w:type="gramEnd"/>
      <w:r>
        <w:rPr>
          <w:rFonts w:ascii="宋体" w:hAnsi="宋体"/>
          <w:sz w:val="24"/>
        </w:rPr>
        <w:t>债券型证券投资基金(2015年12月29日至2019年10月23日)、交银施罗德天</w:t>
      </w:r>
      <w:proofErr w:type="gramStart"/>
      <w:r>
        <w:rPr>
          <w:rFonts w:ascii="宋体" w:hAnsi="宋体"/>
          <w:sz w:val="24"/>
        </w:rPr>
        <w:t>鑫</w:t>
      </w:r>
      <w:proofErr w:type="gramEnd"/>
      <w:r>
        <w:rPr>
          <w:rFonts w:ascii="宋体" w:hAnsi="宋体"/>
          <w:sz w:val="24"/>
        </w:rPr>
        <w:t>宝货币市场基金(2016年12月07日至2019年08月02日)、交银</w:t>
      </w:r>
      <w:proofErr w:type="gramStart"/>
      <w:r>
        <w:rPr>
          <w:rFonts w:ascii="宋体" w:hAnsi="宋体"/>
          <w:sz w:val="24"/>
        </w:rPr>
        <w:t>施罗德境尚收益债券</w:t>
      </w:r>
      <w:proofErr w:type="gramEnd"/>
      <w:r>
        <w:rPr>
          <w:rFonts w:ascii="宋体" w:hAnsi="宋体"/>
          <w:sz w:val="24"/>
        </w:rPr>
        <w:t>型证券投资基金(2017年03月03日至2024年04月12日)、交银施罗德中高等级信用债债券型证券投资基金(2020年07月28日至2022年07月05日)的基金经理。现任交银</w:t>
      </w:r>
      <w:proofErr w:type="gramStart"/>
      <w:r>
        <w:rPr>
          <w:rFonts w:ascii="宋体" w:hAnsi="宋体"/>
          <w:sz w:val="24"/>
        </w:rPr>
        <w:t>施罗德丰享收益债券</w:t>
      </w:r>
      <w:proofErr w:type="gramEnd"/>
      <w:r>
        <w:rPr>
          <w:rFonts w:ascii="宋体" w:hAnsi="宋体"/>
          <w:sz w:val="24"/>
        </w:rPr>
        <w:t>型证券投资基金(2015年07月25日至今)、交银施罗德活期通货币市场基金(2016年07月27日至今)、交银施罗德天利宝货币市场基金(2016年10月19日至今)、交银施罗德裕</w:t>
      </w:r>
      <w:proofErr w:type="gramStart"/>
      <w:r>
        <w:rPr>
          <w:rFonts w:ascii="宋体" w:hAnsi="宋体"/>
          <w:sz w:val="24"/>
        </w:rPr>
        <w:t>隆纯债</w:t>
      </w:r>
      <w:proofErr w:type="gramEnd"/>
      <w:r>
        <w:rPr>
          <w:rFonts w:ascii="宋体" w:hAnsi="宋体"/>
          <w:sz w:val="24"/>
        </w:rPr>
        <w:t>债券型证券投资基金(2016年11月28日至今)、交银施罗德天益宝货币市场基金(2016年12月20日至今)、交银施罗德稳</w:t>
      </w:r>
      <w:proofErr w:type="gramStart"/>
      <w:r>
        <w:rPr>
          <w:rFonts w:ascii="宋体" w:hAnsi="宋体"/>
          <w:sz w:val="24"/>
        </w:rPr>
        <w:t>鑫</w:t>
      </w:r>
      <w:proofErr w:type="gramEnd"/>
      <w:r>
        <w:rPr>
          <w:rFonts w:ascii="宋体" w:hAnsi="宋体"/>
          <w:sz w:val="24"/>
        </w:rPr>
        <w:t>短债债券型证券投资基金(2019年01月24日至今)、交银施罗德稳利中短债债券型证券投资基金(2019年12月13日至今)、交银施罗德</w:t>
      </w:r>
      <w:proofErr w:type="gramStart"/>
      <w:r>
        <w:rPr>
          <w:rFonts w:ascii="宋体" w:hAnsi="宋体"/>
          <w:sz w:val="24"/>
        </w:rPr>
        <w:t>稳益短</w:t>
      </w:r>
      <w:proofErr w:type="gramEnd"/>
      <w:r>
        <w:rPr>
          <w:rFonts w:ascii="宋体" w:hAnsi="宋体"/>
          <w:sz w:val="24"/>
        </w:rPr>
        <w:t>债债券型证券投资基金(2022年09月21日至今)、交银</w:t>
      </w:r>
      <w:proofErr w:type="gramStart"/>
      <w:r>
        <w:rPr>
          <w:rFonts w:ascii="宋体" w:hAnsi="宋体"/>
          <w:sz w:val="24"/>
        </w:rPr>
        <w:t>施罗德稳安30天</w:t>
      </w:r>
      <w:proofErr w:type="gramEnd"/>
      <w:r>
        <w:rPr>
          <w:rFonts w:ascii="宋体" w:hAnsi="宋体"/>
          <w:sz w:val="24"/>
        </w:rPr>
        <w:t>滚动持有债券型证券投资基金(2022年11月24日至今)、交银</w:t>
      </w:r>
      <w:proofErr w:type="gramStart"/>
      <w:r>
        <w:rPr>
          <w:rFonts w:ascii="宋体" w:hAnsi="宋体"/>
          <w:sz w:val="24"/>
        </w:rPr>
        <w:t>施罗德稳安60天</w:t>
      </w:r>
      <w:proofErr w:type="gramEnd"/>
      <w:r>
        <w:rPr>
          <w:rFonts w:ascii="宋体" w:hAnsi="宋体"/>
          <w:sz w:val="24"/>
        </w:rPr>
        <w:t>滚动持有债券型证券投资基金(2023年11月16日至今)的基金经理。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连端清先生(2016年07月27日至2024年04月25日)。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上述人员之间无近亲属关系，上述各项人员信息更新截止日为2024年04月26日，期后变动（如有）敬请关注基金管理人发布的相关公告。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w:t>
      </w:r>
      <w:proofErr w:type="gramStart"/>
      <w:r>
        <w:rPr>
          <w:rFonts w:ascii="宋体" w:hAnsi="宋体"/>
          <w:sz w:val="24"/>
        </w:rPr>
        <w:t>券</w:t>
      </w:r>
      <w:proofErr w:type="gramEnd"/>
      <w:r>
        <w:rPr>
          <w:rFonts w:ascii="宋体" w:hAnsi="宋体"/>
          <w:sz w:val="24"/>
        </w:rPr>
        <w:t>的风险，以便公司及时采取有效的措施，对风险进行分散、控制和规避，尽可能地减少损失。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7" w:name="_Toc165036836"/>
      <w:r>
        <w:rPr>
          <w:rFonts w:ascii="Times New Roman" w:hAnsi="Times New Roman"/>
          <w:sz w:val="30"/>
        </w:rPr>
        <w:t>四、基金托管人</w:t>
      </w:r>
      <w:bookmarkEnd w:id="7"/>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w:t>
      </w:r>
      <w:proofErr w:type="gramStart"/>
      <w:r>
        <w:rPr>
          <w:rFonts w:ascii="宋体" w:hAnsi="宋体"/>
          <w:sz w:val="24"/>
        </w:rPr>
        <w:t>信建投证券</w:t>
      </w:r>
      <w:proofErr w:type="gramEnd"/>
      <w:r>
        <w:rPr>
          <w:rFonts w:ascii="宋体" w:hAnsi="宋体"/>
          <w:sz w:val="24"/>
        </w:rPr>
        <w:t>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北京市朝阳区安立路66号4号楼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成立时间：2005年11月02日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批准设立机关和批准设立文号：中国证监会证监机构字[2005]112号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注册资本：人民币77.57亿元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 中国证监会证监许可【2015】219号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信建投证券</w:t>
      </w:r>
      <w:proofErr w:type="gramEnd"/>
      <w:r>
        <w:rPr>
          <w:rFonts w:ascii="宋体" w:hAnsi="宋体"/>
          <w:sz w:val="24"/>
        </w:rPr>
        <w:t>成立于2005年11月2日，是经中国证监会批准设立的全国性大型综合证券公司。公司注册于北京，注册资本77.57亿元，并设有中</w:t>
      </w:r>
      <w:proofErr w:type="gramStart"/>
      <w:r>
        <w:rPr>
          <w:rFonts w:ascii="宋体" w:hAnsi="宋体"/>
          <w:sz w:val="24"/>
        </w:rPr>
        <w:t>信建投期货</w:t>
      </w:r>
      <w:proofErr w:type="gramEnd"/>
      <w:r>
        <w:rPr>
          <w:rFonts w:ascii="宋体" w:hAnsi="宋体"/>
          <w:sz w:val="24"/>
        </w:rPr>
        <w:t>有限公司、中信建投资本管理有限公司、中信建投（国际）金融控股有限公司、中信</w:t>
      </w:r>
      <w:proofErr w:type="gramStart"/>
      <w:r>
        <w:rPr>
          <w:rFonts w:ascii="宋体" w:hAnsi="宋体"/>
          <w:sz w:val="24"/>
        </w:rPr>
        <w:t>建投基金</w:t>
      </w:r>
      <w:proofErr w:type="gramEnd"/>
      <w:r>
        <w:rPr>
          <w:rFonts w:ascii="宋体" w:hAnsi="宋体"/>
          <w:sz w:val="24"/>
        </w:rPr>
        <w:t>管理有限公司、中信建</w:t>
      </w:r>
      <w:proofErr w:type="gramStart"/>
      <w:r>
        <w:rPr>
          <w:rFonts w:ascii="宋体" w:hAnsi="宋体"/>
          <w:sz w:val="24"/>
        </w:rPr>
        <w:t>投</w:t>
      </w:r>
      <w:proofErr w:type="gramEnd"/>
      <w:r>
        <w:rPr>
          <w:rFonts w:ascii="宋体" w:hAnsi="宋体"/>
          <w:sz w:val="24"/>
        </w:rPr>
        <w:t>投资有限公司等5家子公司。自成立以来，中</w:t>
      </w:r>
      <w:proofErr w:type="gramStart"/>
      <w:r>
        <w:rPr>
          <w:rFonts w:ascii="宋体" w:hAnsi="宋体"/>
          <w:sz w:val="24"/>
        </w:rPr>
        <w:t>信建投证券</w:t>
      </w:r>
      <w:proofErr w:type="gramEnd"/>
      <w:r>
        <w:rPr>
          <w:rFonts w:ascii="宋体" w:hAnsi="宋体"/>
          <w:sz w:val="24"/>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Pr>
          <w:rFonts w:ascii="宋体" w:hAnsi="宋体"/>
          <w:sz w:val="24"/>
        </w:rPr>
        <w:t>规</w:t>
      </w:r>
      <w:proofErr w:type="gramEnd"/>
      <w:r>
        <w:rPr>
          <w:rFonts w:ascii="宋体" w:hAnsi="宋体"/>
          <w:sz w:val="24"/>
        </w:rPr>
        <w:t>管理等专业高效的业务支持体系。凭借高度的敬业精神与突出的专业能力，中</w:t>
      </w:r>
      <w:proofErr w:type="gramStart"/>
      <w:r>
        <w:rPr>
          <w:rFonts w:ascii="宋体" w:hAnsi="宋体"/>
          <w:sz w:val="24"/>
        </w:rPr>
        <w:t>信建投证券</w:t>
      </w:r>
      <w:proofErr w:type="gramEnd"/>
      <w:r>
        <w:rPr>
          <w:rFonts w:ascii="宋体" w:hAnsi="宋体"/>
          <w:sz w:val="24"/>
        </w:rPr>
        <w:t>主要业务指标及盈利能力目前均位居行业前列。</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（二）基金托管部门及主要人员情况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信建投证券</w:t>
      </w:r>
      <w:proofErr w:type="gramEnd"/>
      <w:r>
        <w:rPr>
          <w:rFonts w:ascii="宋体" w:hAnsi="宋体"/>
          <w:sz w:val="24"/>
        </w:rPr>
        <w:t>托管部管理团队和业务骨干具有丰富的证券投资基金托管业务运作经验，业务人员专业背景覆盖了金融、会计、经济、计算机等各领域，可为托管客户提供个性化产品处理能力。</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（三）证券投资基金托管情况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信建投证券</w:t>
      </w:r>
      <w:proofErr w:type="gramEnd"/>
      <w:r>
        <w:rPr>
          <w:rFonts w:ascii="宋体" w:hAnsi="宋体"/>
          <w:sz w:val="24"/>
        </w:rPr>
        <w:t>于2015年2月取得中国证监会核准证券投资基金托管资格，中</w:t>
      </w:r>
      <w:proofErr w:type="gramStart"/>
      <w:r>
        <w:rPr>
          <w:rFonts w:ascii="宋体" w:hAnsi="宋体"/>
          <w:sz w:val="24"/>
        </w:rPr>
        <w:t>信建投证券</w:t>
      </w:r>
      <w:proofErr w:type="gramEnd"/>
      <w:r>
        <w:rPr>
          <w:rFonts w:ascii="宋体" w:hAnsi="宋体"/>
          <w:sz w:val="24"/>
        </w:rPr>
        <w:t>始终遵循“诚信、专注、成长、共赢”的经营理念，不断加强风险管理和内部控制，严格履行托管人的各项职责，切实维护基金份额持有人的合法权益，为基金份额持有人提供高质量的托管服务。</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信建投证券</w:t>
      </w:r>
      <w:proofErr w:type="gramEnd"/>
      <w:r>
        <w:rPr>
          <w:rFonts w:ascii="宋体" w:hAnsi="宋体"/>
          <w:sz w:val="24"/>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信建投证券</w:t>
      </w:r>
      <w:proofErr w:type="gramEnd"/>
      <w:r>
        <w:rPr>
          <w:rFonts w:ascii="宋体" w:hAnsi="宋体"/>
          <w:sz w:val="24"/>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（五）托管人对管理人运作基金进行监督的方法和程序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基金托管人根据《基金法》、《运作办法》等法律法规的规定和基金合同、托管协议的约定，对基金合同生效之后所托管基金的投资范围、投资比例、投资限制等进行监督，并及时提示基金管理人违规风险。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8" w:name="_Toc165036837"/>
      <w:r>
        <w:rPr>
          <w:rFonts w:ascii="Times New Roman" w:hAnsi="Times New Roman"/>
          <w:sz w:val="30"/>
        </w:rPr>
        <w:t>五、相关服务机构</w:t>
      </w:r>
      <w:bookmarkEnd w:id="8"/>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本基金直销机构仅为本基金管理人直销柜台。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投资者可通过本基金管理人直销柜台办理开户、本基金A类基金份额及E类基金份额的申购、赎回、转换、定期定额投资等业务。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（2）名称：宁波银行股份有限公司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（5）名称：广发证券股份有限公司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（6）名称：国信证券股份有限公司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（7）名称：兴业证券股份有限公司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（8）名称：上海基</w:t>
      </w:r>
      <w:proofErr w:type="gramStart"/>
      <w:r>
        <w:rPr>
          <w:rFonts w:ascii="宋体" w:hAnsi="宋体"/>
          <w:sz w:val="24"/>
        </w:rPr>
        <w:t>煜</w:t>
      </w:r>
      <w:proofErr w:type="gramEnd"/>
      <w:r>
        <w:rPr>
          <w:rFonts w:ascii="宋体" w:hAnsi="宋体"/>
          <w:sz w:val="24"/>
        </w:rPr>
        <w:t>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（9）名称：上海天天基金销售有限公司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（10）名称：江苏汇林保大基金销售有限公司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（11）名称：珠海盈米财富管理有限公司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（12）名称：中国人寿保险股份有限公司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w:t>
      </w:r>
      <w:proofErr w:type="gramStart"/>
      <w:r>
        <w:rPr>
          <w:rFonts w:ascii="宋体" w:hAnsi="宋体"/>
          <w:sz w:val="24"/>
        </w:rPr>
        <w:t>寿广场</w:t>
      </w:r>
      <w:proofErr w:type="gramEnd"/>
      <w:r>
        <w:rPr>
          <w:rFonts w:ascii="宋体" w:hAnsi="宋体"/>
          <w:sz w:val="24"/>
        </w:rPr>
        <w:t>A座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（13）名称：北京汇成基金销售有限公司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（14）名称：大连</w:t>
      </w:r>
      <w:proofErr w:type="gramStart"/>
      <w:r>
        <w:rPr>
          <w:rFonts w:ascii="宋体" w:hAnsi="宋体"/>
          <w:sz w:val="24"/>
        </w:rPr>
        <w:t>网金基金</w:t>
      </w:r>
      <w:proofErr w:type="gramEnd"/>
      <w:r>
        <w:rPr>
          <w:rFonts w:ascii="宋体" w:hAnsi="宋体"/>
          <w:sz w:val="24"/>
        </w:rPr>
        <w:t>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（15）名称：北京肯特瑞基金销售有限公司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（16）名称：上海好买基金销售有限公司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（17）名称：中证金牛（北京）投资咨询有限公司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（18）名称：上海联泰基金销售有限公司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w:t>
      </w:r>
      <w:proofErr w:type="gramStart"/>
      <w:r>
        <w:rPr>
          <w:rFonts w:ascii="宋体" w:hAnsi="宋体"/>
          <w:sz w:val="24"/>
        </w:rPr>
        <w:t>和耕传承</w:t>
      </w:r>
      <w:proofErr w:type="gramEnd"/>
      <w:r>
        <w:rPr>
          <w:rFonts w:ascii="宋体" w:hAnsi="宋体"/>
          <w:sz w:val="24"/>
        </w:rPr>
        <w:t>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（20）名称：北京</w:t>
      </w:r>
      <w:proofErr w:type="gramStart"/>
      <w:r>
        <w:rPr>
          <w:rFonts w:ascii="宋体" w:hAnsi="宋体"/>
          <w:sz w:val="24"/>
        </w:rPr>
        <w:t>创金启富基金</w:t>
      </w:r>
      <w:proofErr w:type="gramEnd"/>
      <w:r>
        <w:rPr>
          <w:rFonts w:ascii="宋体" w:hAnsi="宋体"/>
          <w:sz w:val="24"/>
        </w:rPr>
        <w:t>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（21）名称：阳光人寿保险股份有限公司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（22）名称：上海长</w:t>
      </w:r>
      <w:proofErr w:type="gramStart"/>
      <w:r>
        <w:rPr>
          <w:rFonts w:ascii="宋体" w:hAnsi="宋体"/>
          <w:sz w:val="24"/>
        </w:rPr>
        <w:t>量基金</w:t>
      </w:r>
      <w:proofErr w:type="gramEnd"/>
      <w:r>
        <w:rPr>
          <w:rFonts w:ascii="宋体" w:hAnsi="宋体"/>
          <w:sz w:val="24"/>
        </w:rPr>
        <w:t>销售投资顾问有限公司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（23）名称：上海利得基金销售有限公司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（24）名称：嘉实财富管理有限公司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（25）名称：济安财富（北京）基金销售有限公司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w:t>
      </w:r>
      <w:proofErr w:type="gramStart"/>
      <w:r>
        <w:rPr>
          <w:rFonts w:ascii="宋体" w:hAnsi="宋体"/>
          <w:sz w:val="24"/>
        </w:rPr>
        <w:t>金诗涛</w:t>
      </w:r>
      <w:proofErr w:type="gramEnd"/>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9" w:name="_Toc165036838"/>
      <w:r>
        <w:rPr>
          <w:rFonts w:ascii="Times New Roman" w:hAnsi="Times New Roman"/>
          <w:sz w:val="30"/>
        </w:rPr>
        <w:t>六、基金的募集</w:t>
      </w:r>
      <w:bookmarkEnd w:id="9"/>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本基金由基金管理人依照《基金法》、《运作办法》、《销售办法》、基金合同及其他有关规定，并经中国证监会2016年7月12日证监许可[2016] 1570号文准予募集注册。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本基金为契约性开放式货币市场基金。基金存续期间为不定期。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本基金于2016年7月21日当日进行发售，本基金设立募集期共募集210,080,375.35份基金份额，有效认购户数为229户。</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0" w:name="_Toc165036839"/>
      <w:r>
        <w:rPr>
          <w:rFonts w:ascii="Times New Roman" w:hAnsi="Times New Roman"/>
          <w:sz w:val="30"/>
        </w:rPr>
        <w:t>七、基金合同的生效</w:t>
      </w:r>
      <w:bookmarkEnd w:id="10"/>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如转换运作方式、与其他基金合并或者终止基金合同等，并召开基金份额持有人大会进行表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1" w:name="_Toc165036840"/>
      <w:r>
        <w:rPr>
          <w:rFonts w:ascii="Times New Roman" w:hAnsi="Times New Roman"/>
          <w:sz w:val="30"/>
        </w:rPr>
        <w:t>八、基金份额的申购与赎回</w:t>
      </w:r>
      <w:bookmarkEnd w:id="11"/>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本基金直销机构仅为基金管理人直销柜台。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投资者可通过本基金管理人直销柜台办理开户、本基金A类及E类基金份额的申购、赎回、转换等业务。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2、除基金管理人之外其他销售机构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本基金除基金管理人之外的其他销售机构参见本招募说明书“五、相关服务机构”章节或拨打基金管理</w:t>
      </w:r>
      <w:proofErr w:type="gramStart"/>
      <w:r>
        <w:rPr>
          <w:rFonts w:ascii="宋体" w:hAnsi="宋体"/>
          <w:sz w:val="24"/>
        </w:rPr>
        <w:t>人客户</w:t>
      </w:r>
      <w:proofErr w:type="gramEnd"/>
      <w:r>
        <w:rPr>
          <w:rFonts w:ascii="宋体" w:hAnsi="宋体"/>
          <w:sz w:val="24"/>
        </w:rPr>
        <w:t>服务电话进行咨询。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投资人可通过上述销售机构办理基金申购、赎回、转换业务的营业场所或按上述销售机构提供的其他方式进行申购、赎回、转换。本基金管理人可根据情况变更或增减基金销售机构，并在管理人网站公示。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若销售机构开通电话、传真或网上等交易方式，投资人可以通过上述方式进行申购与赎回。</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本基金已于2016年7月29日起开放申购、赎回业务。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机构确认接受的，视为下一开放日的申购、赎回或转换申请。</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1、“确定价”原则，即申购、赎回价格以每份基金份额净值为1.00元的基准进行计算；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4、基金管理人有权决定基金份额持有人持有本基金的最高限额和本基金的总规模限额，但应最迟在新的限额实施前依照《信息披露办法》的有关规定在指定媒介上公告。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本基金合同有关条款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（五）申购和赎回的数额限定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A类基金份额的：直销机构首次申购的最低金额为单笔100,000元，追加申购的最低金额为单笔10,000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0.01元，如果其他销售机构业务规则规定的最低单笔申购金额高于0.01元，以该销售机构的规定为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投资者申购E类基金份额的：首次申购申请的最低金额为单笔5,000,000元，追加申购的最低金额为单笔100,000元。本基金单笔申购最低金额可由基金管理人酌情调整。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赎回的最低份额为0.01份基金份额，如果销售机构业务规则规定的最低单笔赎回份额高于0.01份，以该销售机构的规定为准。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每个工作日投资者在单个交易账户保留的本基金份额余额少于0.01份时，若当日该账户同时有份额减少类业务（如赎回、转换出等）被确认，</w:t>
      </w:r>
      <w:proofErr w:type="gramStart"/>
      <w:r>
        <w:rPr>
          <w:rFonts w:ascii="宋体" w:hAnsi="宋体"/>
          <w:sz w:val="24"/>
        </w:rPr>
        <w:t>则基金</w:t>
      </w:r>
      <w:proofErr w:type="gramEnd"/>
      <w:r>
        <w:rPr>
          <w:rFonts w:ascii="宋体" w:hAnsi="宋体"/>
          <w:sz w:val="24"/>
        </w:rPr>
        <w:t>管理人有权将投资者在该账户保留的本基金份额一次性全部赎回。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根据基金实际运作情况规定单个投资人累计持有的基金份额上限、本基金的总规模上限、当日申购金额上限、或单个投资人当日申购金额上限，并在相关限制实施日前依照《信息披露办法》的有关规定在指定媒介上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5、为保护基金份额持有人的合法权益，基金管理人可以依照相关法律法规以及基金合同的约定，在特定市场条件下暂停或者拒绝接受一定金额以上的资金申购，具体以基金管理人的公告为准。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可在法律法规允许的情况下，调整上述规定申购金额、赎回份额、最低基金份额保留余额和基金总规模等数量限制。基金管理人必须在调整实施前依照《信息披露办法》的有关规定在指定媒介上公告并报中国证监会备案。</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（六）申购和赎回的价格、费用及其用途</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另有规定或基金合同另有约定外，本基金不收取申购费用和赎回费用；在满足相关流动性风险管理要求的前提下，当本基金持有的现金、国债、中央银行票据、政策性金融债券以及5个交易日内到期的其他金融工具占基金资产净值的比例合计低于5%且偏离度为负时，为确保基金平稳运作，避免诱发系统性风险，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本基金前10名基金份额持有人的持有份额合计超过基金总份额50%，且本基金投资组合中现金、国债、中央银行票据、政策性金融债券以及5个交易日内到期的其他金融工具占基金资产净值的比例合计低于10%且偏离度为负时，基金管理人应当对当日单个基金份额持有人超过基金总份额1%以上的赎回申请征收1%的强制赎回费用，并将上述赎回费用全额计入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2、本基金通过每日计算收益并分配的方式，使基金份额净值保持在1.00元。本基金的申购、赎回价格为每份基金份额1.00元。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3、申购份额的计算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申购份额=申购金额/1.00元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申购份额的计算结果保留到小数点后2位，小数点2位以后的部分四舍五入，由此误差产生的收益或损失由基金财产承担。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：假定某投资者投资10,000元申购本基金A类基金份额，则其可得到的基金份额计算如下：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申购份额=10,000/1.00=10,000份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即投资者投资10,000元申购本基金A类基金份额，可以得到10,000份A类基金份额。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4、赎回金额的计算（不包含特殊情况）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赎回金额等于登记机构确认的赎回份额乘以1.00元。投资人提交全额赎回申请时，所有未支付累计净收益将随赎回款项一并结清。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赎回金额的计算结果保留到小数点后2位，小数点2位以后的部分四舍五入，由此误差产生的收益或损失由基金财产承担。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例二：假定某投资者将所持有的10,000份A类基金份额赎回（非全额赎回），则其可得到的赎回金额计算如下：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赎回金额=10,000×1.00=10,000元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5、基金管理人可以在基金合同约定的范围内调整费率或收费方式，并最迟应于新的费率或收费方式实施日前依照《信息披露办法》的有关规定在指定媒介上公告。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（七）拒绝或暂停申购的情形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4、本基金出现当日净收益或累计未分配净收益小于零的情形，为保护基金份额持有人的利益，基金管理人可视情况暂停本基金的申购。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5、接受某笔或某些申购申请可能会影响或损害现有基金份额持有人利益时。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6、基金资产规模过大，使基金管理人无法找到合适的投资品种，或其他可能对基金业绩产生负面影响，或发生其他损害现有基金份额持有人利益的情形。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8、为保护基金份额持有人的合法权益，基金管理人可以依照相关法律法规，在特定市场条件下暂停或者拒绝接受一定金额以上的资金申购。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9、基金管理人、基金托管人、基金销售机构、基金销售支付结算机构或登记机构的异常情况导致基金销售系统、基金销售支付结算系统、基金注册登记系统或基金会计系统无法正常运行。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10、当影子定价确定的基金资产净值与摊</w:t>
      </w:r>
      <w:proofErr w:type="gramStart"/>
      <w:r>
        <w:rPr>
          <w:rFonts w:ascii="宋体" w:hAnsi="宋体"/>
          <w:sz w:val="24"/>
        </w:rPr>
        <w:t>余成本</w:t>
      </w:r>
      <w:proofErr w:type="gramEnd"/>
      <w:r>
        <w:rPr>
          <w:rFonts w:ascii="宋体" w:hAnsi="宋体"/>
          <w:sz w:val="24"/>
        </w:rPr>
        <w:t>法计算的基金资产净值的正偏离度达到绝对值0.5%时。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12、基金管理人接受某笔或者某些申购申请有可能导致单一投资者持有基金份额的比例超过50%，或者变相规避50%集中度的情形时。出现上述情形时，基金管理人有权将上述申购申请全部或部分确认失败。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13、基金合同约定、法律法规规定或中国证监会认定的其他情形。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发生上述第1、2、3、4、6、8、9、10、11、13项暂停申购情形之一</w:t>
      </w:r>
      <w:proofErr w:type="gramStart"/>
      <w:r>
        <w:rPr>
          <w:rFonts w:ascii="宋体" w:hAnsi="宋体"/>
          <w:sz w:val="24"/>
        </w:rPr>
        <w:t>且基金</w:t>
      </w:r>
      <w:proofErr w:type="gramEnd"/>
      <w:r>
        <w:rPr>
          <w:rFonts w:ascii="宋体" w:hAnsi="宋体"/>
          <w:sz w:val="24"/>
        </w:rPr>
        <w:t>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（八）暂停赎回或延缓支付赎回款项的情形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4、本基金出现当日净收益或累计未分配净收益小于零的情形，为保护基金份额持有人的利益，基金管理人可视情况暂停本基金的赎回。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5、连续两个或两个以上开放日发生巨额赎回。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7、本基金的资产组合中的重要部分发生暂停交易或其他重大事件，继续接受赎回可能会影响或损害基金份额持有人利益时。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8、当影子定价确定的基金资产净值与摊</w:t>
      </w:r>
      <w:proofErr w:type="gramStart"/>
      <w:r>
        <w:rPr>
          <w:rFonts w:ascii="宋体" w:hAnsi="宋体"/>
          <w:sz w:val="24"/>
        </w:rPr>
        <w:t>余成本</w:t>
      </w:r>
      <w:proofErr w:type="gramEnd"/>
      <w:r>
        <w:rPr>
          <w:rFonts w:ascii="宋体" w:hAnsi="宋体"/>
          <w:sz w:val="24"/>
        </w:rPr>
        <w:t>法计算的基金资产净值的负偏离度绝对值连续两个交易日超过0.5%时，基金管理人可视情况暂停本基金的赎回。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公允价值存在重大不确定性时，经与基金托管人协商确认后，基金管理人应当暂停接受基金赎回申请或延缓支付赎回款项。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10、基金合同约定、法律法规规定或中国证监会认定的其他情形。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若出现上述第5项所述情形，按基金合同的相关条款处理。基金份额持有人在申请赎回时可事先选择将当日可能未获受理部分予以撤销。在暂停赎回的情况消除时，基金管理人应及时恢复赎回业务的办理并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公平对待不同类别基金份额持有人的合法权益，单个基金份额持有人在单个开放日申请赎回基金份额超过基金总份额10%的，基金管理人可以延期办理部分赎回申请或者延缓支付赎回款项，具体操作以基金管理人届时发布的相关公告为准。</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（九）巨额赎回的情形及处理方式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（十）暂停申购或赎回的公告和重新开放申购或赎回的公告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各类基金份额的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（十二）基金的转托管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本基金2016年7月28日刊登公告自2016年7月29日起开通定期定额投资计划业务，具体开通销售机构名单和业务规则参见相关公告。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（十四）基金份额的冻结和解冻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（十五）基金份额的转让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（十六）其他业务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2" w:name="_Toc165036841"/>
      <w:r>
        <w:rPr>
          <w:rFonts w:ascii="Times New Roman" w:hAnsi="Times New Roman"/>
          <w:sz w:val="30"/>
        </w:rPr>
        <w:t>九、基金的转换</w:t>
      </w:r>
      <w:bookmarkEnd w:id="12"/>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本基金2018年3月6日刊登公告自2018年3月7日起开放日常转换业务。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申请方式：书面申请或销售机构公布的其他方式。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基金转换申请的确认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正常情况下，T日规定时间受理的申请，基金注册登记机构在T＋1日内为投资人对该交易的有效性进行确认，在T＋2日后（包括该日）投资人可向销售机构查询转换的确认情况。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基金转换的注册登记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在T＋1日为投资人T日的基金转换业务申请进行有效性确认，办理转出基金的权益扣除以及转入基金的权益登记，在T＋2日后（包含该日）投资人可向销售机构查询转换业务的成交情况，并有权转换或赎回该部分基金份额。</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基金遵循“份额转换”的原则，单笔转换份额不得低于10份。基金持有人可将其全部或部分基金份额转换成其它基金，单笔转换申请不受转入基金最低申购限额限制。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基于投资人在单个交易账户保留的货币基金(除交</w:t>
      </w:r>
      <w:proofErr w:type="gramStart"/>
      <w:r>
        <w:rPr>
          <w:rFonts w:ascii="宋体" w:hAnsi="宋体"/>
          <w:sz w:val="24"/>
        </w:rPr>
        <w:t>银货币</w:t>
      </w:r>
      <w:proofErr w:type="gramEnd"/>
      <w:r>
        <w:rPr>
          <w:rFonts w:ascii="宋体" w:hAnsi="宋体"/>
          <w:sz w:val="24"/>
        </w:rPr>
        <w:t>外)的最低保留余额为0.01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申购费用低的基金向申购费用高的基金转换，收取申购补差费用；从申购费用高的基金向申购费用低的基金或不收取申购费用的基金转换，不收取申购补差费用。申购补差费用原则上按照转出确认金额对应的转入基金申购费减去转出基金申购费差额进行计算补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转出基金申购费用=转入确认金额×转出基金申购费率/（1+转出基金申购费率）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转入基金申购费用=转入确认金额×转入基金申购费率/（1+转入基金申购费率）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转出与转入基金的申购补差费=MAX（0，转入基金申购费用-转出基金申购费用）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银稳利</w:t>
      </w:r>
      <w:proofErr w:type="gramEnd"/>
      <w:r>
        <w:rPr>
          <w:rFonts w:ascii="宋体" w:hAnsi="宋体"/>
          <w:sz w:val="24"/>
        </w:rPr>
        <w:t>A类基金份额100,000份，持有期半年，转换申请当日交</w:t>
      </w:r>
      <w:proofErr w:type="gramStart"/>
      <w:r>
        <w:rPr>
          <w:rFonts w:ascii="宋体" w:hAnsi="宋体"/>
          <w:sz w:val="24"/>
        </w:rPr>
        <w:t>银稳利</w:t>
      </w:r>
      <w:proofErr w:type="gramEnd"/>
      <w:r>
        <w:rPr>
          <w:rFonts w:ascii="宋体" w:hAnsi="宋体"/>
          <w:sz w:val="24"/>
        </w:rPr>
        <w:t>的A类基金份额净值为1.0100元，交银现金宝A类基金份额的基金份额净值为1.00元。若该投资者将100,000份交</w:t>
      </w:r>
      <w:proofErr w:type="gramStart"/>
      <w:r>
        <w:rPr>
          <w:rFonts w:ascii="宋体" w:hAnsi="宋体"/>
          <w:sz w:val="24"/>
        </w:rPr>
        <w:t>银稳利</w:t>
      </w:r>
      <w:proofErr w:type="gramEnd"/>
      <w:r>
        <w:rPr>
          <w:rFonts w:ascii="宋体" w:hAnsi="宋体"/>
          <w:sz w:val="24"/>
        </w:rPr>
        <w:t>A类基金份额转换为交银现金宝A类基金份额，则转入交银现金宝确认的A类基金份额为：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转入确认金额=101,000-0=101,000元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转出基金申购费用=101,000×0.30%/（1+0.30%）=302.09元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转入基金确认份额=（101,000-0）/1.00=101,000份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例二：某投资者持有交银现金宝A类基金份额100,000份，该100,000份基金份额未结转的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收益为61.52元，转换申请当日交银现金宝的A类基金份额净值为1.00元，交</w:t>
      </w:r>
      <w:proofErr w:type="gramStart"/>
      <w:r>
        <w:rPr>
          <w:rFonts w:ascii="宋体" w:hAnsi="宋体"/>
          <w:sz w:val="24"/>
        </w:rPr>
        <w:t>银稳利</w:t>
      </w:r>
      <w:proofErr w:type="gramEnd"/>
      <w:r>
        <w:rPr>
          <w:rFonts w:ascii="宋体" w:hAnsi="宋体"/>
          <w:sz w:val="24"/>
        </w:rPr>
        <w:t>的A类基金份额净值为1.0100元。若该投资者将100,000份交银现金宝A类基金份额转换为交</w:t>
      </w:r>
      <w:proofErr w:type="gramStart"/>
      <w:r>
        <w:rPr>
          <w:rFonts w:ascii="宋体" w:hAnsi="宋体"/>
          <w:sz w:val="24"/>
        </w:rPr>
        <w:t>银稳利</w:t>
      </w:r>
      <w:proofErr w:type="gramEnd"/>
      <w:r>
        <w:rPr>
          <w:rFonts w:ascii="宋体" w:hAnsi="宋体"/>
          <w:sz w:val="24"/>
        </w:rPr>
        <w:t>A类基金份额，则转入交</w:t>
      </w:r>
      <w:proofErr w:type="gramStart"/>
      <w:r>
        <w:rPr>
          <w:rFonts w:ascii="宋体" w:hAnsi="宋体"/>
          <w:sz w:val="24"/>
        </w:rPr>
        <w:t>银稳利</w:t>
      </w:r>
      <w:proofErr w:type="gramEnd"/>
      <w:r>
        <w:rPr>
          <w:rFonts w:ascii="宋体" w:hAnsi="宋体"/>
          <w:sz w:val="24"/>
        </w:rPr>
        <w:t>确认的A类基金份额为：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转入基金申购费用=100,000×0.30%/（1+0.30%）=299.10元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转出与转入基金的申购补差费=299.10-0=299.10元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转入基金确认份额=（100,000-299.10+61.52）/1.0100=98,774.67份</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4、基金份额持有人申请将其账户内货币基金的基金份额转换为其他基金份额时，注册登记机构将自动结转该转出份额对应的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份额后扣除申购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3" w:name="_Toc165036842"/>
      <w:r>
        <w:rPr>
          <w:rFonts w:ascii="Times New Roman" w:hAnsi="Times New Roman"/>
          <w:sz w:val="30"/>
        </w:rPr>
        <w:t>十、基金的投资</w:t>
      </w:r>
      <w:bookmarkEnd w:id="13"/>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在力求本金安全性和资产充分流动性的前提下，追求超过业绩比较基准的投资收益。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现金，期限在1年以内（含1年）的银行存款、债券回购、中央银行票据、同业存单，剩余期限在397天以内（含397天）的债券、非金融企业债务融资工具、资产支持证券，中国证监会、中国人民银行认可的其他具有良好流动性的货币市场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如法律法规或监管机构以后允许货币市场基金投资其他金融工具，基金管理人在履行适当程序后，可以将其纳入投资范围，其投资比例遵循届时有效法律法规或相关规定。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1、短期利率水平预期策略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深入分析国家货币政策、短期资金市场利率波动、资本市场资金面的情况和流动性的变化，对短期利率走势形成合理预期，并据此调整基金货币资产的配置策略。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2、收益率曲线分析策略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根据收益率曲线的变化趋势，采取相应的投资管理策略。货币市场收益率曲线的形状反映当时短期利率水平之间的关系，反映市场对较短期限经济状况的判断及对未来短期经济走势的预期。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3、组合剩余期限策略、期限配置策略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4、类别品种配置策略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5、流动性管理策略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在满足基金投资者申购、赎回的资金需求前提下，通过基金资产安排（包括现金库存、资产变现、剩余期限管理或以其他措施），在保持基金资产高流动性的前提下，确保基金的稳定收益。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6、无风险套利策略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无风险套利策略包括：</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跨品种</w:t>
      </w:r>
      <w:proofErr w:type="gramEnd"/>
      <w:r>
        <w:rPr>
          <w:rFonts w:ascii="宋体" w:hAnsi="宋体"/>
          <w:sz w:val="24"/>
        </w:rPr>
        <w:t>套利策略：根据各细分市场中不同品种的风险参数、流动性补偿和收益特征，动态调整不同期限结构品种的配置比例。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7、滚动配置策略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根据具体投资品种的市场特性，采用持续滚动投资的方法，以提高基金资产的整体持续的变现能力。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8、其他金融工具投资策略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1、本基金不得投资于以下金融工具：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（2）可转换债券、可交换债券；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（3）以定期存款利率为基准利率的浮动利率债券，已进入最后一个利率调整期的除外；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（4）信用等级在AA+以下的债券与非金融企业债务融资工具；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（5）中国证监会、中国人民银行禁止投资的其他金融工具。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本基金拟投资于主体信用评级低于AA+的商业银行的银行存款与同业存单的，应当经基金管理人董事会审议批准，相关交易应当事先征得基金托管人的同意，并作为重大事项履行信息披露程序。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法律法规或监管部门取消上述限制，如适用于本基金，基金管理人在履行适当程序后，则本基金投资不再受相关限制。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2、组合限制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（1）本基金投资组合的平均剩余期限在每个交易日均不得超过120天，平均剩余存续期在每个交易日均不得超过240天；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（2）本基金投资于现金、国债、中央银行票据、政策性金融债券占基金资产净值的比例合计不得低于5%，其中现金不包括结算备付金、存出保证金、应收申购款等；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（3）本基金投资于现金、国债、中央银行票据、政策性金融债券以及五个交易日内到期的其他金融工具占基金资产净值的比例合计不得低于10%；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（5）除发生巨额赎回、连续3 </w:t>
      </w:r>
      <w:proofErr w:type="gramStart"/>
      <w:r>
        <w:rPr>
          <w:rFonts w:ascii="宋体" w:hAnsi="宋体"/>
          <w:sz w:val="24"/>
        </w:rPr>
        <w:t>个</w:t>
      </w:r>
      <w:proofErr w:type="gramEnd"/>
      <w:r>
        <w:rPr>
          <w:rFonts w:ascii="宋体" w:hAnsi="宋体"/>
          <w:sz w:val="24"/>
        </w:rPr>
        <w:t xml:space="preserve">交易日累计赎回20%以上或者连续5 </w:t>
      </w:r>
      <w:proofErr w:type="gramStart"/>
      <w:r>
        <w:rPr>
          <w:rFonts w:ascii="宋体" w:hAnsi="宋体"/>
          <w:sz w:val="24"/>
        </w:rPr>
        <w:t>个</w:t>
      </w:r>
      <w:proofErr w:type="gramEnd"/>
      <w:r>
        <w:rPr>
          <w:rFonts w:ascii="宋体" w:hAnsi="宋体"/>
          <w:sz w:val="24"/>
        </w:rPr>
        <w:t>交易日累计赎回30%以上的情形外，本基金债券正回购的资金余额占基金资产净值的比例不得超过20%；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（6）本基金投资于同一机构发行的债券、非金融企业债务融资工具及其作为原始权益人的资产支持证券占基金资产净值的比例合计不得超过10%，国债、中央银行票据、政策性金融债券除外；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（7）本基金管理人管理的全部基金持有一家公司发行的证券，不超过该证券的10%；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中国证监会规定的特殊品种除外；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本基金应投资于具有评级资质的资信评级机构进行持续信用评级，且信用评级不低于国内信用评级机构评定的AAA级或相当于AAA级的信用级别的资产支持证券。基金持有资产支持证券期间，如果其信用等级下降、不再符合投资标准，应在评级报告发布之日起3 </w:t>
      </w:r>
      <w:proofErr w:type="gramStart"/>
      <w:r>
        <w:rPr>
          <w:rFonts w:ascii="宋体" w:hAnsi="宋体"/>
          <w:sz w:val="24"/>
        </w:rPr>
        <w:t>个</w:t>
      </w:r>
      <w:proofErr w:type="gramEnd"/>
      <w:r>
        <w:rPr>
          <w:rFonts w:ascii="宋体" w:hAnsi="宋体"/>
          <w:sz w:val="24"/>
        </w:rPr>
        <w:t>月内予以全部卖出；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（11）本基金管理人管理的全部货币市场基金投资于同一商业银行的银行存款及其发行的同业存单与债券，不得超过该商业银行最近一个季度末净资产的10%；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（16）本基金在全国银行间同业市场的债券回购最长期限为1年，债券回购到期后不得展期；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（18）法律法规、中国证监会及中国人民银行规定的其他比例限制。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2）、（4）、（10）、（15）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债券与非金融企业债务融资工具的信用等级应主要参照最近一个会计年度的主体信用评级，如果对发行人同时有两家以上境内评级机构评级的，应采用孰</w:t>
      </w:r>
      <w:proofErr w:type="gramStart"/>
      <w:r>
        <w:rPr>
          <w:rFonts w:ascii="宋体" w:hAnsi="宋体"/>
          <w:sz w:val="24"/>
        </w:rPr>
        <w:t>低原则</w:t>
      </w:r>
      <w:proofErr w:type="gramEnd"/>
      <w:r>
        <w:rPr>
          <w:rFonts w:ascii="宋体" w:hAnsi="宋体"/>
          <w:sz w:val="24"/>
        </w:rPr>
        <w:t>确定其评级，并结合基金管理人内部信用评级进行独立判断与认定。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基金管理人应当自基金合同生效之日起6 </w:t>
      </w:r>
      <w:proofErr w:type="gramStart"/>
      <w:r>
        <w:rPr>
          <w:rFonts w:ascii="宋体" w:hAnsi="宋体"/>
          <w:sz w:val="24"/>
        </w:rPr>
        <w:t>个</w:t>
      </w:r>
      <w:proofErr w:type="gramEnd"/>
      <w:r>
        <w:rPr>
          <w:rFonts w:ascii="宋体" w:hAnsi="宋体"/>
          <w:sz w:val="24"/>
        </w:rPr>
        <w:t>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法律法规对上述投资组合比例限制进行变更的，以变更后的规定为准。法律法规或监管部门取消上述限制，如适用于本基金，基金管理人在履行适当程序后，本基金投资不再受相关限制。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3、禁止行为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本基金的业绩比较基准为：活期存款利率（税后）。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货币市场基金，是证券投资基金中的低风险品种，长期风险收益水平低于股票型基金、混合型基金和债券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（七）投资组合平均剩余期限和平均剩余存续期限的计算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1、平均剩余期限（天）的计算公式如下：</w:t>
      </w:r>
    </w:p>
    <w:p w:rsidR="008413B1" w:rsidRDefault="0036022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8000" cy="660400"/>
            <wp:effectExtent l="0" t="0" r="0" b="0"/>
            <wp:docPr id="11"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00" cy="660400"/>
                    </a:xfrm>
                    <a:prstGeom prst="rect">
                      <a:avLst/>
                    </a:prstGeom>
                    <a:noFill/>
                    <a:ln>
                      <a:noFill/>
                    </a:ln>
                  </pic:spPr>
                </pic:pic>
              </a:graphicData>
            </a:graphic>
          </wp:inline>
        </w:drawing>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2、平均剩余存续期限（天）的计算公式如下：</w:t>
      </w:r>
    </w:p>
    <w:p w:rsidR="008413B1" w:rsidRDefault="0036022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400050"/>
            <wp:effectExtent l="0" t="0" r="0" b="0"/>
            <wp:docPr id="10"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400050"/>
                    </a:xfrm>
                    <a:prstGeom prst="rect">
                      <a:avLst/>
                    </a:prstGeom>
                    <a:noFill/>
                    <a:ln>
                      <a:noFill/>
                    </a:ln>
                  </pic:spPr>
                </pic:pic>
              </a:graphicData>
            </a:graphic>
          </wp:inline>
        </w:drawing>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投资于金融工具产生的负债包括正回购、买断式回购产生</w:t>
      </w:r>
      <w:proofErr w:type="gramStart"/>
      <w:r>
        <w:rPr>
          <w:rFonts w:ascii="宋体" w:hAnsi="宋体"/>
          <w:sz w:val="24"/>
        </w:rPr>
        <w:t>的待返售</w:t>
      </w:r>
      <w:proofErr w:type="gramEnd"/>
      <w:r>
        <w:rPr>
          <w:rFonts w:ascii="宋体" w:hAnsi="宋体"/>
          <w:sz w:val="24"/>
        </w:rPr>
        <w:t>债券等。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2、各类资产和负债剩余期限、剩余存续期限的确定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（1）银行活期存款、清算备付金、交易保证金的剩余期限和剩余存续期限为0天；证券清算款的剩余期限和剩余存续期限以计算日</w:t>
      </w:r>
      <w:proofErr w:type="gramStart"/>
      <w:r>
        <w:rPr>
          <w:rFonts w:ascii="宋体" w:hAnsi="宋体"/>
          <w:sz w:val="24"/>
        </w:rPr>
        <w:t>至交收日的</w:t>
      </w:r>
      <w:proofErr w:type="gramEnd"/>
      <w:r>
        <w:rPr>
          <w:rFonts w:ascii="宋体" w:hAnsi="宋体"/>
          <w:sz w:val="24"/>
        </w:rPr>
        <w:t>剩余交易日天数计算；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（2）回购（包括正回购和</w:t>
      </w:r>
      <w:proofErr w:type="gramStart"/>
      <w:r>
        <w:rPr>
          <w:rFonts w:ascii="宋体" w:hAnsi="宋体"/>
          <w:sz w:val="24"/>
        </w:rPr>
        <w:t>逆回购</w:t>
      </w:r>
      <w:proofErr w:type="gramEnd"/>
      <w:r>
        <w:rPr>
          <w:rFonts w:ascii="宋体" w:hAnsi="宋体"/>
          <w:sz w:val="24"/>
        </w:rPr>
        <w:t>）的剩余期限和剩余存续期限以计算日至回购协议到期日的实际剩余天数计算；买断式回购产生的待回购债券的剩余期限和剩余存续期限为</w:t>
      </w:r>
      <w:proofErr w:type="gramStart"/>
      <w:r>
        <w:rPr>
          <w:rFonts w:ascii="宋体" w:hAnsi="宋体"/>
          <w:sz w:val="24"/>
        </w:rPr>
        <w:t>该基础</w:t>
      </w:r>
      <w:proofErr w:type="gramEnd"/>
      <w:r>
        <w:rPr>
          <w:rFonts w:ascii="宋体" w:hAnsi="宋体"/>
          <w:sz w:val="24"/>
        </w:rPr>
        <w:t>债券的剩余期限，</w:t>
      </w:r>
      <w:proofErr w:type="gramStart"/>
      <w:r>
        <w:rPr>
          <w:rFonts w:ascii="宋体" w:hAnsi="宋体"/>
          <w:sz w:val="24"/>
        </w:rPr>
        <w:t>待返售</w:t>
      </w:r>
      <w:proofErr w:type="gramEnd"/>
      <w:r>
        <w:rPr>
          <w:rFonts w:ascii="宋体" w:hAnsi="宋体"/>
          <w:sz w:val="24"/>
        </w:rPr>
        <w:t>债券的剩余期限和剩余存续期限以计算日至回购协议到期日的实际剩余天数计算；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（4）中央银行票据的剩余期限和剩余存续期限以计算日至中央银行票据到期日的实际剩余天数计算；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（5）组合中债券的剩余期限和剩余存续期限是指计算日至债券到期日为止所剩余的天数，以下情况除外：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允许投资的可变利率或浮动利率债券的剩余期限以计算日至下一个利率调整日的实际剩余天数计算。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允许投资的可变利率或浮动利率债券的剩余存续期限以计算日至债券到期日的实际剩余天数计算。</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（八）基金管理人代表基金行使债权人权利的处理原则及方法</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（十）投资决策依据和投资流程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（3）宏观经济发展态势、证券市场运行环境和走势，以及发行主体的基本面；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（十一）基金投资组合报告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w:t>
      </w:r>
      <w:proofErr w:type="gramStart"/>
      <w:r>
        <w:rPr>
          <w:rFonts w:ascii="宋体" w:hAnsi="宋体"/>
          <w:sz w:val="24"/>
        </w:rPr>
        <w:t>信建投证券</w:t>
      </w:r>
      <w:proofErr w:type="gramEnd"/>
      <w:r>
        <w:rPr>
          <w:rFonts w:ascii="宋体" w:hAnsi="宋体"/>
          <w:sz w:val="24"/>
        </w:rPr>
        <w:t>股份有限公司根据本基金合同规定，于2023年04月20日复核了本报告中的财务指标、净值表现和投资组合报告等内容，保证复核内容不存在虚假记载、误导性陈述或者重大遗漏。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本报告期自2023年01月01日起至03月31日止。本报告财务资料未经审计师审计。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19,109,093,082.07</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43.18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19,109,093,082.07</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43.18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5,512,670,613.57</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12.46</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8413B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19,637,237,074.77</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44.37</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275.03</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44,259,001,045.44</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2、报告期债券回购融资情况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报告期内债券回购融资余额</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5.95</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8413B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报告期末债券回购融资余额</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2,392,457,819.26</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5.72</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8413B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注：报告期内债券回购融资余额占基金资产净值的比例为报告期内每个银行间市场交易日融资余额占资产净值比例的简单平均值。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债券正回购的资金余额超过基金资产净值的20%的说明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3、基金投资组合平均剩余期限</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投资组合平均剩余期限基本情况</w:t>
      </w:r>
    </w:p>
    <w:tbl>
      <w:tblPr>
        <w:tblW w:w="5000" w:type="pct"/>
        <w:tblCellMar>
          <w:left w:w="0" w:type="dxa"/>
          <w:right w:w="0" w:type="dxa"/>
        </w:tblCellMar>
        <w:tblLook w:val="0000" w:firstRow="0" w:lastRow="0" w:firstColumn="0" w:lastColumn="0" w:noHBand="0" w:noVBand="0"/>
      </w:tblPr>
      <w:tblGrid>
        <w:gridCol w:w="2162"/>
        <w:gridCol w:w="6488"/>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天数</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报告期末投资组合平均剩余期限</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98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报告期内投资组合平均剩余期限最高值</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报告期内投资组合平均剩余期限最低值</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52</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报告期内投资组合平均剩余期限超过120天情况说明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 报告期末投资组合平均剩余期限分布比例</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平均剩余期限</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各期限资产占基金资产净值的比例（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各期限负债占基金资产净值的比例（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17.00</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5.72</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w:t>
            </w:r>
            <w:r>
              <w:rPr>
                <w:rFonts w:ascii="Times New Roman" w:hAnsi="Times New Roman"/>
                <w:color w:val="000000"/>
                <w:kern w:val="0"/>
                <w:sz w:val="25"/>
                <w:szCs w:val="24"/>
              </w:rPr>
              <w:t>—60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21.74</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60</w:t>
            </w:r>
            <w:r>
              <w:rPr>
                <w:rFonts w:ascii="Times New Roman" w:hAnsi="Times New Roman"/>
                <w:color w:val="000000"/>
                <w:kern w:val="0"/>
                <w:sz w:val="25"/>
                <w:szCs w:val="24"/>
              </w:rPr>
              <w:t>天（含）</w:t>
            </w:r>
            <w:r>
              <w:rPr>
                <w:rFonts w:ascii="Times New Roman" w:hAnsi="Times New Roman"/>
                <w:color w:val="000000"/>
                <w:kern w:val="0"/>
                <w:sz w:val="25"/>
                <w:szCs w:val="24"/>
              </w:rPr>
              <w:t>—90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30.07</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90</w:t>
            </w:r>
            <w:r>
              <w:rPr>
                <w:rFonts w:ascii="Times New Roman" w:hAnsi="Times New Roman"/>
                <w:color w:val="000000"/>
                <w:kern w:val="0"/>
                <w:sz w:val="25"/>
                <w:szCs w:val="24"/>
              </w:rPr>
              <w:t>天（含）</w:t>
            </w:r>
            <w:r>
              <w:rPr>
                <w:rFonts w:ascii="Times New Roman" w:hAnsi="Times New Roman"/>
                <w:color w:val="000000"/>
                <w:kern w:val="0"/>
                <w:sz w:val="25"/>
                <w:szCs w:val="24"/>
              </w:rPr>
              <w:t>—120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3.58</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r>
              <w:rPr>
                <w:rFonts w:ascii="Times New Roman" w:hAnsi="Times New Roman"/>
                <w:color w:val="000000"/>
                <w:kern w:val="0"/>
                <w:sz w:val="25"/>
                <w:szCs w:val="24"/>
              </w:rPr>
              <w:t>天（含）</w:t>
            </w:r>
            <w:r>
              <w:rPr>
                <w:rFonts w:ascii="Times New Roman" w:hAnsi="Times New Roman"/>
                <w:color w:val="000000"/>
                <w:kern w:val="0"/>
                <w:sz w:val="25"/>
                <w:szCs w:val="24"/>
              </w:rPr>
              <w:t>—397</w:t>
            </w:r>
            <w:r>
              <w:rPr>
                <w:rFonts w:ascii="Times New Roman" w:hAnsi="Times New Roman"/>
                <w:color w:val="000000"/>
                <w:kern w:val="0"/>
                <w:sz w:val="25"/>
                <w:szCs w:val="24"/>
              </w:rPr>
              <w:t>天（含）</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32.94</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gridSpan w:val="2"/>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105.32</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5.72</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4、报告期内投资组合平均剩余存续期超过240天情况说明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注：本基金本报告期内投资组合平均剩余存续期限未超过240天。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261,600,473.96</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1,872,488,866.95</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4.48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1,872,488,866.95</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4.48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5,723,978,993.43</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13.68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1,700,990,541.13</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4.07</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9,550,034,206.60</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22.82</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19,109,093,082.07</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45.67</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天的浮动利率债券</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w:t>
      </w:r>
      <w:proofErr w:type="gramStart"/>
      <w:r>
        <w:rPr>
          <w:rFonts w:ascii="宋体" w:hAnsi="宋体"/>
          <w:sz w:val="24"/>
        </w:rPr>
        <w:t>按摊余成本</w:t>
      </w:r>
      <w:proofErr w:type="gramEnd"/>
      <w:r>
        <w:rPr>
          <w:rFonts w:ascii="宋体" w:hAnsi="宋体"/>
          <w:sz w:val="24"/>
        </w:rPr>
        <w:t>占基金资产净值比例大小排名的前十名债券投资明细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2303668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进出</w:t>
            </w:r>
            <w:r>
              <w:rPr>
                <w:rFonts w:ascii="Times New Roman" w:hAnsi="Times New Roman"/>
                <w:color w:val="000000"/>
                <w:kern w:val="0"/>
                <w:sz w:val="25"/>
                <w:szCs w:val="24"/>
              </w:rPr>
              <w:t>668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6,400,000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637,558,948.70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1.52</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012286001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电网</w:t>
            </w:r>
            <w:r>
              <w:rPr>
                <w:rFonts w:ascii="Times New Roman" w:hAnsi="Times New Roman"/>
                <w:color w:val="000000"/>
                <w:kern w:val="0"/>
                <w:sz w:val="25"/>
                <w:szCs w:val="24"/>
              </w:rPr>
              <w:t>SCP025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502,071,544.01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1.20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012380682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招商局</w:t>
            </w:r>
            <w:r>
              <w:rPr>
                <w:rFonts w:ascii="Times New Roman" w:hAnsi="Times New Roman"/>
                <w:color w:val="000000"/>
                <w:kern w:val="0"/>
                <w:sz w:val="25"/>
                <w:szCs w:val="24"/>
              </w:rPr>
              <w:t>SCP004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500,626,058.78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1.20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012380521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中车</w:t>
            </w:r>
            <w:r>
              <w:rPr>
                <w:rFonts w:ascii="Times New Roman" w:hAnsi="Times New Roman"/>
                <w:color w:val="000000"/>
                <w:kern w:val="0"/>
                <w:sz w:val="25"/>
                <w:szCs w:val="24"/>
              </w:rPr>
              <w:t>SCP001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400,602,362.92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112272846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西安银行</w:t>
            </w:r>
            <w:r>
              <w:rPr>
                <w:rFonts w:ascii="Times New Roman" w:hAnsi="Times New Roman"/>
                <w:color w:val="000000"/>
                <w:kern w:val="0"/>
                <w:sz w:val="25"/>
                <w:szCs w:val="24"/>
              </w:rPr>
              <w:t>CD034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397,870,782.24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0.95</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180309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进出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3,400,000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353,218,798.02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112395851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徽商银行</w:t>
            </w:r>
            <w:r>
              <w:rPr>
                <w:rFonts w:ascii="Times New Roman" w:hAnsi="Times New Roman"/>
                <w:color w:val="000000"/>
                <w:kern w:val="0"/>
                <w:sz w:val="25"/>
                <w:szCs w:val="24"/>
              </w:rPr>
              <w:t>CD044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3,500,000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347,895,522.17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0.83</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102101212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电网</w:t>
            </w:r>
            <w:r>
              <w:rPr>
                <w:rFonts w:ascii="Times New Roman" w:hAnsi="Times New Roman"/>
                <w:color w:val="000000"/>
                <w:kern w:val="0"/>
                <w:sz w:val="25"/>
                <w:szCs w:val="24"/>
              </w:rPr>
              <w:t>MTN006(</w:t>
            </w:r>
            <w:r>
              <w:rPr>
                <w:rFonts w:ascii="Times New Roman" w:hAnsi="Times New Roman"/>
                <w:color w:val="000000"/>
                <w:kern w:val="0"/>
                <w:sz w:val="25"/>
                <w:szCs w:val="24"/>
              </w:rPr>
              <w:t>可持续挂钩</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3,300,000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336,683,893.65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0.80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102100981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电网</w:t>
            </w:r>
            <w:r>
              <w:rPr>
                <w:rFonts w:ascii="Times New Roman" w:hAnsi="Times New Roman"/>
                <w:color w:val="000000"/>
                <w:kern w:val="0"/>
                <w:sz w:val="25"/>
                <w:szCs w:val="24"/>
              </w:rPr>
              <w:t>MTN004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307,113,162.90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0.73</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012284357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南电</w:t>
            </w:r>
            <w:r>
              <w:rPr>
                <w:rFonts w:ascii="Times New Roman" w:hAnsi="Times New Roman"/>
                <w:color w:val="000000"/>
                <w:kern w:val="0"/>
                <w:sz w:val="25"/>
                <w:szCs w:val="24"/>
              </w:rPr>
              <w:t>SCP016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301,651,035.04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7、“影子定价”与“摊余成本法”确定的基金资产净值的偏离</w:t>
      </w:r>
    </w:p>
    <w:tbl>
      <w:tblPr>
        <w:tblW w:w="5000" w:type="pct"/>
        <w:tblCellMar>
          <w:left w:w="0" w:type="dxa"/>
          <w:right w:w="0" w:type="dxa"/>
        </w:tblCellMar>
        <w:tblLook w:val="0000" w:firstRow="0" w:lastRow="0" w:firstColumn="0" w:lastColumn="0" w:noHBand="0" w:noVBand="0"/>
      </w:tblPr>
      <w:tblGrid>
        <w:gridCol w:w="2162"/>
        <w:gridCol w:w="6488"/>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偏离情况</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报告期内偏离度的绝对值在</w:t>
            </w:r>
            <w:r>
              <w:rPr>
                <w:rFonts w:ascii="Times New Roman" w:hAnsi="Times New Roman"/>
                <w:color w:val="000000"/>
                <w:kern w:val="0"/>
                <w:sz w:val="25"/>
                <w:szCs w:val="24"/>
              </w:rPr>
              <w:t>0.25</w:t>
            </w:r>
            <w:r>
              <w:rPr>
                <w:rFonts w:ascii="Times New Roman" w:hAnsi="Times New Roman"/>
                <w:color w:val="000000"/>
                <w:kern w:val="0"/>
                <w:sz w:val="25"/>
                <w:szCs w:val="24"/>
              </w:rPr>
              <w:t>（含）</w:t>
            </w:r>
            <w:r>
              <w:rPr>
                <w:rFonts w:ascii="Times New Roman" w:hAnsi="Times New Roman"/>
                <w:color w:val="000000"/>
                <w:kern w:val="0"/>
                <w:sz w:val="25"/>
                <w:szCs w:val="24"/>
              </w:rPr>
              <w:t>-0.5%</w:t>
            </w:r>
            <w:r>
              <w:rPr>
                <w:rFonts w:ascii="Times New Roman" w:hAnsi="Times New Roman"/>
                <w:color w:val="000000"/>
                <w:kern w:val="0"/>
                <w:sz w:val="25"/>
                <w:szCs w:val="24"/>
              </w:rPr>
              <w:t>间的次数</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报告期内偏离度的最高值</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0.0379%</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报告期内偏离度的最低值</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0.0118%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报告期内每个工作日偏离度的绝对值的简单平均值</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0.0225%</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报告期内负偏离度的绝对值达到0.25%情况说明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报告期内正偏离度的绝对值达到0.5%情况说明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w:t>
      </w:r>
      <w:proofErr w:type="gramStart"/>
      <w:r>
        <w:rPr>
          <w:rFonts w:ascii="宋体" w:hAnsi="宋体"/>
          <w:sz w:val="24"/>
        </w:rPr>
        <w:t>按摊余成本</w:t>
      </w:r>
      <w:proofErr w:type="gramEnd"/>
      <w:r>
        <w:rPr>
          <w:rFonts w:ascii="宋体" w:hAnsi="宋体"/>
          <w:sz w:val="24"/>
        </w:rPr>
        <w:t>占基金资产净值比例大小排名的前十名资产支持证券投资明细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9、投资组合报告附注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基金计价方法说明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本基金采用摊</w:t>
      </w:r>
      <w:proofErr w:type="gramStart"/>
      <w:r>
        <w:rPr>
          <w:rFonts w:ascii="宋体" w:hAnsi="宋体"/>
          <w:sz w:val="24"/>
        </w:rPr>
        <w:t>余成本</w:t>
      </w:r>
      <w:proofErr w:type="gramEnd"/>
      <w:r>
        <w:rPr>
          <w:rFonts w:ascii="宋体" w:hAnsi="宋体"/>
          <w:sz w:val="24"/>
        </w:rPr>
        <w:t>法计价，即计价对象以买入成本列示，按票面利率或商定利率并考虑其买入时的溢价与折价，在其剩余期限内按照实际利率</w:t>
      </w:r>
      <w:proofErr w:type="gramStart"/>
      <w:r>
        <w:rPr>
          <w:rFonts w:ascii="宋体" w:hAnsi="宋体"/>
          <w:sz w:val="24"/>
        </w:rPr>
        <w:t>和摊余成本</w:t>
      </w:r>
      <w:proofErr w:type="gramEnd"/>
      <w:r>
        <w:rPr>
          <w:rFonts w:ascii="宋体" w:hAnsi="宋体"/>
          <w:sz w:val="24"/>
        </w:rPr>
        <w:t>逐日摊销计算损益。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本基金投资的前十名证券的发行主体本期是否出现被监管部门立案调查，或在报告编制日前一年内受到公开谴责、处罚的情形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2022年8月19日，陕西银保监局分别公示陕银保</w:t>
      </w:r>
      <w:proofErr w:type="gramStart"/>
      <w:r>
        <w:rPr>
          <w:rFonts w:ascii="宋体" w:hAnsi="宋体"/>
          <w:sz w:val="24"/>
        </w:rPr>
        <w:t>监罚决</w:t>
      </w:r>
      <w:proofErr w:type="gramEnd"/>
      <w:r>
        <w:rPr>
          <w:rFonts w:ascii="宋体" w:hAnsi="宋体"/>
          <w:sz w:val="24"/>
        </w:rPr>
        <w:t>字〔2022〕61号行政处罚决定书，给予西安银行股份有限公司136万元人民币罚款的行政处罚。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2022年5月11日，央行合肥中心支行公示（合银）罚字〔2022〕3号行政处罚决定书，给予徽商银行9万元人民币罚款的行政处罚。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w:t>
      </w:r>
      <w:proofErr w:type="gramStart"/>
      <w:r>
        <w:rPr>
          <w:rFonts w:ascii="宋体" w:hAnsi="宋体"/>
          <w:sz w:val="24"/>
        </w:rPr>
        <w:t>仓证券</w:t>
      </w:r>
      <w:proofErr w:type="gramEnd"/>
      <w:r>
        <w:rPr>
          <w:rFonts w:ascii="宋体" w:hAnsi="宋体"/>
          <w:sz w:val="24"/>
        </w:rPr>
        <w:t>的投资有严格的投资决策流程控制，对上述主体发行证券的投资决策程序符合公司投资制度的规定。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275.03</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right"/>
              <w:rPr>
                <w:rFonts w:ascii="宋体" w:hAnsi="宋体"/>
                <w:color w:val="000000"/>
                <w:kern w:val="0"/>
                <w:sz w:val="25"/>
                <w:szCs w:val="24"/>
              </w:rPr>
            </w:pPr>
            <w:r>
              <w:rPr>
                <w:rFonts w:ascii="Times New Roman" w:hAnsi="Times New Roman"/>
                <w:color w:val="000000"/>
                <w:kern w:val="0"/>
                <w:sz w:val="25"/>
                <w:szCs w:val="24"/>
              </w:rPr>
              <w:t>275.03</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 投资组合报告附注的其他文字描述部分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4" w:name="_Toc165036843"/>
      <w:r>
        <w:rPr>
          <w:rFonts w:ascii="Times New Roman" w:hAnsi="Times New Roman"/>
          <w:sz w:val="30"/>
        </w:rPr>
        <w:t>十一、基金的业绩</w:t>
      </w:r>
      <w:bookmarkEnd w:id="14"/>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1、基金份额净值收益率及其与同期业绩比较基准收益率的比较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（1）交银活期</w:t>
      </w:r>
      <w:proofErr w:type="gramStart"/>
      <w:r>
        <w:rPr>
          <w:rFonts w:ascii="宋体" w:hAnsi="宋体"/>
          <w:sz w:val="24"/>
        </w:rPr>
        <w:t>通货币</w:t>
      </w:r>
      <w:proofErr w:type="gramEnd"/>
      <w:r>
        <w:rPr>
          <w:rFonts w:ascii="宋体" w:hAnsi="宋体"/>
          <w:sz w:val="24"/>
        </w:rPr>
        <w:t>A：</w:t>
      </w:r>
    </w:p>
    <w:tbl>
      <w:tblPr>
        <w:tblW w:w="5000" w:type="pct"/>
        <w:tblCellMar>
          <w:left w:w="0" w:type="dxa"/>
          <w:right w:w="0" w:type="dxa"/>
        </w:tblCellMar>
        <w:tblLook w:val="0000" w:firstRow="0" w:lastRow="0" w:firstColumn="0" w:lastColumn="0" w:noHBand="0" w:noVBand="0"/>
      </w:tblPr>
      <w:tblGrid>
        <w:gridCol w:w="1290"/>
        <w:gridCol w:w="1290"/>
        <w:gridCol w:w="1291"/>
        <w:gridCol w:w="1291"/>
        <w:gridCol w:w="1291"/>
        <w:gridCol w:w="1291"/>
        <w:gridCol w:w="906"/>
      </w:tblGrid>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0.4541%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0.0863%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0.3678%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1.7283%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1.3783%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0.0017%</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2.2247%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1.8747%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2.0819%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1.7309%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2.4544%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2.1044%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0.0009%</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3.5695%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3.2195%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0.0016%</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3.8067%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3.4567%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1.0493%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0.1515%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0.8978%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0.0014%</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注：本基金的业绩比较基准为活期存款利率（税后）。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（2）交银活期</w:t>
      </w:r>
      <w:proofErr w:type="gramStart"/>
      <w:r>
        <w:rPr>
          <w:rFonts w:ascii="宋体" w:hAnsi="宋体"/>
          <w:sz w:val="24"/>
        </w:rPr>
        <w:t>通货币</w:t>
      </w:r>
      <w:proofErr w:type="gramEnd"/>
      <w:r>
        <w:rPr>
          <w:rFonts w:ascii="宋体" w:hAnsi="宋体"/>
          <w:sz w:val="24"/>
        </w:rPr>
        <w:t>E：</w:t>
      </w:r>
    </w:p>
    <w:tbl>
      <w:tblPr>
        <w:tblW w:w="5000" w:type="pct"/>
        <w:tblCellMar>
          <w:left w:w="0" w:type="dxa"/>
          <w:right w:w="0" w:type="dxa"/>
        </w:tblCellMar>
        <w:tblLook w:val="0000" w:firstRow="0" w:lastRow="0" w:firstColumn="0" w:lastColumn="0" w:noHBand="0" w:noVBand="0"/>
      </w:tblPr>
      <w:tblGrid>
        <w:gridCol w:w="1290"/>
        <w:gridCol w:w="1290"/>
        <w:gridCol w:w="1291"/>
        <w:gridCol w:w="1291"/>
        <w:gridCol w:w="1291"/>
        <w:gridCol w:w="1291"/>
        <w:gridCol w:w="906"/>
      </w:tblGrid>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0.5134%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0.0863%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0.4271%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1.9722%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1.6222%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0.0017%</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2.4704%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2.1204%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2.3273%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1.9763%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2.7008%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2.3508%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0.0009%</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3.8178%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3.4678%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0.0016%</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4.0545%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3.7045%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8413B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年（自基金合同生效起至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1.1483%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0.1515%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0.9968%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0.0014%</w:t>
            </w:r>
          </w:p>
        </w:tc>
      </w:tr>
    </w:tbl>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注：本基金的业绩比较基准为活期存款利率（税后）。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2、自基金合同生效以来基金份额累计净值收益率变动及其与同期业绩比较基准收益率变动的比较</w:t>
      </w:r>
    </w:p>
    <w:p w:rsidR="008413B1" w:rsidRDefault="0027789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交银施罗德活期通货币市场基金</w:t>
      </w:r>
    </w:p>
    <w:p w:rsidR="008413B1" w:rsidRDefault="0027789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份额累计净值收益率与业绩比较基准收益率历史走势对比图</w:t>
      </w:r>
    </w:p>
    <w:p w:rsidR="008413B1" w:rsidRDefault="0027789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（2016年7月27日至2023年03月31日）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（1）交银活期</w:t>
      </w:r>
      <w:proofErr w:type="gramStart"/>
      <w:r>
        <w:rPr>
          <w:rFonts w:ascii="宋体" w:hAnsi="宋体"/>
          <w:sz w:val="24"/>
        </w:rPr>
        <w:t>通货币</w:t>
      </w:r>
      <w:proofErr w:type="gramEnd"/>
      <w:r>
        <w:rPr>
          <w:rFonts w:ascii="宋体" w:hAnsi="宋体"/>
          <w:sz w:val="24"/>
        </w:rPr>
        <w:t>A</w:t>
      </w:r>
    </w:p>
    <w:p w:rsidR="008413B1" w:rsidRDefault="0036022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3409950"/>
            <wp:effectExtent l="0" t="0" r="0" b="0"/>
            <wp:docPr id="9"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（2）交银活期</w:t>
      </w:r>
      <w:proofErr w:type="gramStart"/>
      <w:r>
        <w:rPr>
          <w:rFonts w:ascii="宋体" w:hAnsi="宋体"/>
          <w:sz w:val="24"/>
        </w:rPr>
        <w:t>通货币</w:t>
      </w:r>
      <w:proofErr w:type="gramEnd"/>
      <w:r>
        <w:rPr>
          <w:rFonts w:ascii="宋体" w:hAnsi="宋体"/>
          <w:sz w:val="24"/>
        </w:rPr>
        <w:t>E</w:t>
      </w:r>
    </w:p>
    <w:p w:rsidR="008413B1" w:rsidRDefault="0036022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3409950"/>
            <wp:effectExtent l="0" t="0" r="0" b="0"/>
            <wp:docPr id="8"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5" w:name="_Toc165036844"/>
      <w:r>
        <w:rPr>
          <w:rFonts w:ascii="Times New Roman" w:hAnsi="Times New Roman"/>
          <w:sz w:val="30"/>
        </w:rPr>
        <w:t>十二、基金的财产</w:t>
      </w:r>
      <w:bookmarkEnd w:id="15"/>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基金资产总值是指基金拥有的各类有价证券及票据价值、银行存款本息、基金应收申购款及其他资产的价值总和。</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6" w:name="_Toc165036845"/>
      <w:r>
        <w:rPr>
          <w:rFonts w:ascii="Times New Roman" w:hAnsi="Times New Roman"/>
          <w:sz w:val="30"/>
        </w:rPr>
        <w:t>十三、基金资产的估值</w:t>
      </w:r>
      <w:bookmarkEnd w:id="16"/>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本基金的估值日为本基金相关的证券交易场所的交易日以及国家法律法规规定需要对外披露各类基金份额的基金资产净值、每万份基金已实现收益和</w:t>
      </w:r>
      <w:proofErr w:type="gramStart"/>
      <w:r>
        <w:rPr>
          <w:rFonts w:ascii="宋体" w:hAnsi="宋体"/>
          <w:sz w:val="24"/>
        </w:rPr>
        <w:t>7日年化收益率</w:t>
      </w:r>
      <w:proofErr w:type="gramEnd"/>
      <w:r>
        <w:rPr>
          <w:rFonts w:ascii="宋体" w:hAnsi="宋体"/>
          <w:sz w:val="24"/>
        </w:rPr>
        <w:t>的</w:t>
      </w:r>
      <w:proofErr w:type="gramStart"/>
      <w:r>
        <w:rPr>
          <w:rFonts w:ascii="宋体" w:hAnsi="宋体"/>
          <w:sz w:val="24"/>
        </w:rPr>
        <w:t>非交易</w:t>
      </w:r>
      <w:proofErr w:type="gramEnd"/>
      <w:r>
        <w:rPr>
          <w:rFonts w:ascii="宋体" w:hAnsi="宋体"/>
          <w:sz w:val="24"/>
        </w:rPr>
        <w:t>日。</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基金所拥有的各类证券、票据和银行存款本息、应收款项、其它投资等资产及负债。</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由于本基金采用摊</w:t>
      </w:r>
      <w:proofErr w:type="gramStart"/>
      <w:r>
        <w:rPr>
          <w:rFonts w:ascii="宋体" w:hAnsi="宋体"/>
          <w:sz w:val="24"/>
        </w:rPr>
        <w:t>余成本</w:t>
      </w:r>
      <w:proofErr w:type="gramEnd"/>
      <w:r>
        <w:rPr>
          <w:rFonts w:ascii="宋体" w:hAnsi="宋体"/>
          <w:sz w:val="24"/>
        </w:rPr>
        <w:t>法估值，当变现所持有的资产时，变现价格与摊</w:t>
      </w:r>
      <w:proofErr w:type="gramStart"/>
      <w:r>
        <w:rPr>
          <w:rFonts w:ascii="宋体" w:hAnsi="宋体"/>
          <w:sz w:val="24"/>
        </w:rPr>
        <w:t>余成本</w:t>
      </w:r>
      <w:proofErr w:type="gramEnd"/>
      <w:r>
        <w:rPr>
          <w:rFonts w:ascii="宋体" w:hAnsi="宋体"/>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w:t>
      </w:r>
      <w:proofErr w:type="gramStart"/>
      <w:r>
        <w:rPr>
          <w:rFonts w:ascii="宋体" w:hAnsi="宋体"/>
          <w:sz w:val="24"/>
        </w:rPr>
        <w:t>固有资金</w:t>
      </w:r>
      <w:proofErr w:type="gramEnd"/>
      <w:r>
        <w:rPr>
          <w:rFonts w:ascii="宋体" w:hAnsi="宋体"/>
          <w:sz w:val="24"/>
        </w:rPr>
        <w:t>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3、如有确凿证据表明按上述方法进行估值不能客观反映其公允价值的，基金管理人可根据具体情况与基金托管人商定后，按最能反映公允价值的价格估值。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4、相关法律法规以及监管部门有强制规定的，从其规定。如有新增事项，按法律法规以及监管部门最新规定估值。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1、每万份基金已实现收益是按照相关法规计算的每万份基金份额的日已实现收益，精确到小数点后第4位，小数点后第5位四舍五入。本基金的收益分配是按日结转份额的，</w:t>
      </w:r>
      <w:proofErr w:type="gramStart"/>
      <w:r>
        <w:rPr>
          <w:rFonts w:ascii="宋体" w:hAnsi="宋体"/>
          <w:sz w:val="24"/>
        </w:rPr>
        <w:t>7日年化收益率</w:t>
      </w:r>
      <w:proofErr w:type="gramEnd"/>
      <w:r>
        <w:rPr>
          <w:rFonts w:ascii="宋体" w:hAnsi="宋体"/>
          <w:sz w:val="24"/>
        </w:rPr>
        <w:t>是以最近7日(含节假日) 每万份基金已实现收益所折算的</w:t>
      </w:r>
      <w:proofErr w:type="gramStart"/>
      <w:r>
        <w:rPr>
          <w:rFonts w:ascii="宋体" w:hAnsi="宋体"/>
          <w:sz w:val="24"/>
        </w:rPr>
        <w:t>年资产</w:t>
      </w:r>
      <w:proofErr w:type="gramEnd"/>
      <w:r>
        <w:rPr>
          <w:rFonts w:ascii="宋体" w:hAnsi="宋体"/>
          <w:sz w:val="24"/>
        </w:rPr>
        <w:t>收益率，精确到0.001%，百分号内小数点后第4位四舍五入。国家另有规定的，从其规定。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工作日对基金资产估值。但基金管理人根据法律法规或本基金合同的规定暂停估值时除外。基金管理人每个工作日对基金资产估值后，将各类基金份额的基金资产净值、每万份基金已实现收益和</w:t>
      </w:r>
      <w:proofErr w:type="gramStart"/>
      <w:r>
        <w:rPr>
          <w:rFonts w:ascii="宋体" w:hAnsi="宋体"/>
          <w:sz w:val="24"/>
        </w:rPr>
        <w:t>7日年化收益率</w:t>
      </w:r>
      <w:proofErr w:type="gramEnd"/>
      <w:r>
        <w:rPr>
          <w:rFonts w:ascii="宋体" w:hAnsi="宋体"/>
          <w:sz w:val="24"/>
        </w:rPr>
        <w:t>结果发送基金托管人，经基金托管人复核无误后，由基金管理人依据基金合同和相关法律法规的规定对外公布。</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基金管理人和基金托管人将采取必要、适当、合理的措施确保基金资产估值的准确性、及时性。当基金资产的计价导致每万份基金已实现收益小数点后4位以内发生差错时，视为估值错误。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4、基金估值错误处理的方法如下：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（1）基金估值出现错误时，基金管理人应当立即予以纠正，通报基金托管人，并采取合理的措施防止损失进一步扩大。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（2）错误偏差达到基金资产净值的0.25%时，基金管理人应当通报基金托管人并报中国证监会备案；错误偏差达到基金资产净值的0.5%时，基金管理人应当公告。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2、因不可抗力或其他特殊情形致使基金管理人、基金托管人无法准确评估基金资产价值时；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公允价值存在重大不确定性时，经与基金托管人协商确认后，基金管理人应当暂停估值；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用于基金信息披露的各类基金份额的基金资产净值、每万份基金已实现收益和</w:t>
      </w:r>
      <w:proofErr w:type="gramStart"/>
      <w:r>
        <w:rPr>
          <w:rFonts w:ascii="宋体" w:hAnsi="宋体"/>
          <w:sz w:val="24"/>
        </w:rPr>
        <w:t>7日年化收益率</w:t>
      </w:r>
      <w:proofErr w:type="gramEnd"/>
      <w:r>
        <w:rPr>
          <w:rFonts w:ascii="宋体" w:hAnsi="宋体"/>
          <w:sz w:val="24"/>
        </w:rPr>
        <w:t>由基金管理人负责计算，基金托管人负责进行复核。基金管理人应于每个开放日交易结束后计算当日的各类基金份额的基金资产净值、每万份基金已实现收益和</w:t>
      </w:r>
      <w:proofErr w:type="gramStart"/>
      <w:r>
        <w:rPr>
          <w:rFonts w:ascii="宋体" w:hAnsi="宋体"/>
          <w:sz w:val="24"/>
        </w:rPr>
        <w:t>7日年化收益率</w:t>
      </w:r>
      <w:proofErr w:type="gramEnd"/>
      <w:r>
        <w:rPr>
          <w:rFonts w:ascii="宋体" w:hAnsi="宋体"/>
          <w:sz w:val="24"/>
        </w:rPr>
        <w:t>并发送给基金托管人。基金托管人复核确认后发送给基金管理人，由基金管理人予以公布。</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1、基金管理人、基金托管人按估值方法的第3项进行估值时，所造成的误差不作为基金资产估值错误处理。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7" w:name="_Toc165036846"/>
      <w:r>
        <w:rPr>
          <w:rFonts w:ascii="Times New Roman" w:hAnsi="Times New Roman"/>
          <w:sz w:val="30"/>
        </w:rPr>
        <w:t>十四、基金收益与分配</w:t>
      </w:r>
      <w:bookmarkEnd w:id="17"/>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基金利润指基金利息收入、投资收益、公允价值变动收益和其他收入扣除相关费用后的余额；基金已实现收益指基金利润减去公允价值变动损益后的余额。</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（二）收益分配原则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1、本基金同一类别的每份基金份额享有同等分配权；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2、本基金收益分配方式为红利再投资，免收再投资的费用；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4、本基金根据每日收益情况，将当日收益全部分配，若当日已实现收益大于零时，为</w:t>
      </w:r>
      <w:proofErr w:type="gramStart"/>
      <w:r>
        <w:rPr>
          <w:rFonts w:ascii="宋体" w:hAnsi="宋体"/>
          <w:sz w:val="24"/>
        </w:rPr>
        <w:t>投资人记正收益</w:t>
      </w:r>
      <w:proofErr w:type="gramEnd"/>
      <w:r>
        <w:rPr>
          <w:rFonts w:ascii="宋体" w:hAnsi="宋体"/>
          <w:sz w:val="24"/>
        </w:rPr>
        <w:t>；若当日已实现收益小于零时，为</w:t>
      </w:r>
      <w:proofErr w:type="gramStart"/>
      <w:r>
        <w:rPr>
          <w:rFonts w:ascii="宋体" w:hAnsi="宋体"/>
          <w:sz w:val="24"/>
        </w:rPr>
        <w:t>投资人记负收益</w:t>
      </w:r>
      <w:proofErr w:type="gramEnd"/>
      <w:r>
        <w:rPr>
          <w:rFonts w:ascii="宋体" w:hAnsi="宋体"/>
          <w:sz w:val="24"/>
        </w:rPr>
        <w:t>；若当日已实现收益等于零时，当日投资人不记收益；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5、本基金每日进行收益计算并分配时，每日收益支付方式只采用红利再投资(即红利</w:t>
      </w:r>
      <w:proofErr w:type="gramStart"/>
      <w:r>
        <w:rPr>
          <w:rFonts w:ascii="宋体" w:hAnsi="宋体"/>
          <w:sz w:val="24"/>
        </w:rPr>
        <w:t>转基金</w:t>
      </w:r>
      <w:proofErr w:type="gramEnd"/>
      <w:r>
        <w:rPr>
          <w:rFonts w:ascii="宋体" w:hAnsi="宋体"/>
          <w:sz w:val="24"/>
        </w:rPr>
        <w:t>份额)方式。若当日净收益大于零时，则增加投资人基金份额，若当日净收益等于零时，则保持投资人基金份额不变；基金管理人将采取必要措施尽量避免基金净收益小于零，若当日净收益小于零时，缩减投资人基金份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6、当日申购的基金份额自下一个工作日起，享有基金的收益分配权益；当日赎回的基金份额自下一个工作日起，不享有基金的收益分配权益；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7、法律法规或监管机构另有规定的从其规定。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在不违反法律法规且对基金份额持有人利益无实质不利影响的前提下，基金管理人可对基金收益分配原则进行调整，不需召开基金份额持有人大会。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（三）收益分配方案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基金收益分配方案由基金管理人拟定，并由基金托管人复核后确定。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（四）收益分配的时间和程序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本基金每个工作日进行收益分配。每个开放日公告前一个开放日各类基金份额的每万份基金已实现收益和</w:t>
      </w:r>
      <w:proofErr w:type="gramStart"/>
      <w:r>
        <w:rPr>
          <w:rFonts w:ascii="宋体" w:hAnsi="宋体"/>
          <w:sz w:val="24"/>
        </w:rPr>
        <w:t>7日年化收益率</w:t>
      </w:r>
      <w:proofErr w:type="gramEnd"/>
      <w:r>
        <w:rPr>
          <w:rFonts w:ascii="宋体" w:hAnsi="宋体"/>
          <w:sz w:val="24"/>
        </w:rPr>
        <w:t>。若遇法定节假日，应于节假日结束后第二个自然日，披露节假日期间的各类基金份额的每万份基金已实现收益和节假日最后一日的</w:t>
      </w:r>
      <w:proofErr w:type="gramStart"/>
      <w:r>
        <w:rPr>
          <w:rFonts w:ascii="宋体" w:hAnsi="宋体"/>
          <w:sz w:val="24"/>
        </w:rPr>
        <w:t>7日年化收益率</w:t>
      </w:r>
      <w:proofErr w:type="gramEnd"/>
      <w:r>
        <w:rPr>
          <w:rFonts w:ascii="宋体" w:hAnsi="宋体"/>
          <w:sz w:val="24"/>
        </w:rPr>
        <w:t>，以及节假日后首个开放日的各类基金份额的每万份基金已实现收益和</w:t>
      </w:r>
      <w:proofErr w:type="gramStart"/>
      <w:r>
        <w:rPr>
          <w:rFonts w:ascii="宋体" w:hAnsi="宋体"/>
          <w:sz w:val="24"/>
        </w:rPr>
        <w:t>7日年化收益率</w:t>
      </w:r>
      <w:proofErr w:type="gramEnd"/>
      <w:r>
        <w:rPr>
          <w:rFonts w:ascii="宋体" w:hAnsi="宋体"/>
          <w:sz w:val="24"/>
        </w:rPr>
        <w:t>。经中国证监会同意，可以适当延迟计算或公告。法律法规另有规定的，从其规定。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本基金每日例行按照基金合同的约定对</w:t>
      </w:r>
      <w:proofErr w:type="gramStart"/>
      <w:r>
        <w:rPr>
          <w:rFonts w:ascii="宋体" w:hAnsi="宋体"/>
          <w:sz w:val="24"/>
        </w:rPr>
        <w:t>当天实现</w:t>
      </w:r>
      <w:proofErr w:type="gramEnd"/>
      <w:r>
        <w:rPr>
          <w:rFonts w:ascii="宋体" w:hAnsi="宋体"/>
          <w:sz w:val="24"/>
        </w:rPr>
        <w:t>的收益进行收益结转(如遇节假日可顺延)，每日例行的收益结转不再另行公告。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（五）本基金各类基金份额的每万份基金已实现收益及</w:t>
      </w:r>
      <w:proofErr w:type="gramStart"/>
      <w:r>
        <w:rPr>
          <w:rFonts w:ascii="宋体" w:hAnsi="宋体"/>
          <w:sz w:val="24"/>
        </w:rPr>
        <w:t>7日年化收益率</w:t>
      </w:r>
      <w:proofErr w:type="gramEnd"/>
      <w:r>
        <w:rPr>
          <w:rFonts w:ascii="宋体" w:hAnsi="宋体"/>
          <w:sz w:val="24"/>
        </w:rPr>
        <w:t>的计算见招募说明书第十五部分。</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8" w:name="_Toc165036847"/>
      <w:r>
        <w:rPr>
          <w:rFonts w:ascii="Times New Roman" w:hAnsi="Times New Roman"/>
          <w:sz w:val="30"/>
        </w:rPr>
        <w:t>十五、基金的费用与税收</w:t>
      </w:r>
      <w:bookmarkEnd w:id="18"/>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3、销售服务费；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4、《基金合同》生效后与基金相关的信息披露费用；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5、《基金合同》生效后与基金相关的会计师费、律师费、仲裁费和诉讼费；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8、基金的银行汇划费用；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9、基金的开户费用、账户维护费用；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本基金的托管费按前一日基金资产净值的0.05%的年费率计提。托管费的计算方法如下：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（1）除法律法规另有规定或基金合同另有约定外，本基金不收取申购费用和赎回费用。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（2）基金销售服务费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本基金各类基金份额按照不同的费率计提销售服务费，在通常情况下，本基金A 类基金份额的销售服务费按前一日A类基金份额的基金资产净值的0.25%年费率计提，本基金E类基金份额的销售服务费按前一日E类基金份额的基金资产净值的0.01%年费率计提。</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各类基金份额的基金销售服务费计提的计算公式如下：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H＝E×年销售服务费率÷当年天数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H为某类基金份额每日应计提的基金销售服务费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E为前一日该类基金份额的基金资产净值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服务费每日计提，按月支付。由基金管理人向基金托管人发送划付指令，由基金托管人复核后于次月首日起第3个工作日内从基金财产中一次性支付给基金管理人，由基金管理人代付给销售机构，若遇法定节假日、休息日或不可抗力致使无法按时支付的，支付日期顺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上述“一、基金费用的种类”中第4－10项费用，根据有关法规及相应协议规定，按费用实际支出金额列入当期费用，由基金托管人从基金财产中支付。</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（四）费用调整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在履行适当程序后调整基金管理费率、基金托管费率等相关费率。降低基金销售服务费率无须召开基金份额持有人大会。基金管理人必须依照有关规定于新的费率实施日前在指定媒介上刊登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19" w:name="_Toc165036848"/>
      <w:r>
        <w:rPr>
          <w:rFonts w:ascii="Times New Roman" w:hAnsi="Times New Roman"/>
          <w:sz w:val="30"/>
        </w:rPr>
        <w:t>十六、基金的会计与审计</w:t>
      </w:r>
      <w:bookmarkEnd w:id="19"/>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0" w:name="_Toc165036849"/>
      <w:r>
        <w:rPr>
          <w:rFonts w:ascii="Times New Roman" w:hAnsi="Times New Roman"/>
          <w:sz w:val="30"/>
        </w:rPr>
        <w:t>十七、基金的信息披露</w:t>
      </w:r>
      <w:bookmarkEnd w:id="20"/>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本基金信息披露义务人按照以保护基金份额持有人利益为根本出发点，法律法规和中国证监会的规定披露基金信息，并保证所披露信息的真实性、准确性、完整性、及时性、简明性和易得性。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（1）本基金的基金合同生效后，在开始办理基金份额申购或者赎回前，基金管理人将至少每周分别公告一次各类基金份额的基金资产净值、每万份基金已实现收益和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各类基金份额的每万份基金已实现收益和</w:t>
      </w:r>
      <w:proofErr w:type="gramStart"/>
      <w:r>
        <w:rPr>
          <w:rFonts w:ascii="宋体" w:hAnsi="宋体"/>
          <w:sz w:val="24"/>
        </w:rPr>
        <w:t>7日年化收益率</w:t>
      </w:r>
      <w:proofErr w:type="gramEnd"/>
      <w:r>
        <w:rPr>
          <w:rFonts w:ascii="宋体" w:hAnsi="宋体"/>
          <w:sz w:val="24"/>
        </w:rPr>
        <w:t>的计算方法如下：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某类基金份额的日每万份基金已实现收益＝当日该类基金份额的已实现收益/当日该类基金份额总额×10000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某类基金份额的</w:t>
      </w:r>
      <w:proofErr w:type="gramStart"/>
      <w:r>
        <w:rPr>
          <w:rFonts w:ascii="宋体" w:hAnsi="宋体"/>
          <w:sz w:val="24"/>
        </w:rPr>
        <w:t>7日年化收益率</w:t>
      </w:r>
      <w:proofErr w:type="gramEnd"/>
      <w:r>
        <w:rPr>
          <w:rFonts w:ascii="宋体" w:hAnsi="宋体"/>
          <w:sz w:val="24"/>
        </w:rPr>
        <w:t>（%）=</w:t>
      </w:r>
      <w:r w:rsidR="0036022B">
        <w:rPr>
          <w:rFonts w:ascii="宋体" w:hAnsi="宋体"/>
          <w:noProof/>
          <w:kern w:val="0"/>
          <w:sz w:val="24"/>
        </w:rPr>
        <w:drawing>
          <wp:inline distT="0" distB="0" distL="0" distR="0">
            <wp:extent cx="2184400" cy="565150"/>
            <wp:effectExtent l="0" t="0" r="0" b="0"/>
            <wp:docPr id="7"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0" cy="565150"/>
                    </a:xfrm>
                    <a:prstGeom prst="rect">
                      <a:avLst/>
                    </a:prstGeom>
                    <a:noFill/>
                    <a:ln>
                      <a:noFill/>
                    </a:ln>
                  </pic:spPr>
                </pic:pic>
              </a:graphicData>
            </a:graphic>
          </wp:inline>
        </w:drawing>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其中，Ri为最近第i</w:t>
      </w:r>
      <w:proofErr w:type="gramStart"/>
      <w:r>
        <w:rPr>
          <w:rFonts w:ascii="宋体" w:hAnsi="宋体"/>
          <w:sz w:val="24"/>
        </w:rPr>
        <w:t>个</w:t>
      </w:r>
      <w:proofErr w:type="gramEnd"/>
      <w:r>
        <w:rPr>
          <w:rFonts w:ascii="宋体" w:hAnsi="宋体"/>
          <w:sz w:val="24"/>
        </w:rPr>
        <w:t>自然日(包括计算当日) 该类基金份额的每万份基金已实现收益，如果基金合同生效不足七日，按类似规则计算。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每万份基金已实现收益采用四舍五入保留至小数点后第4位，</w:t>
      </w:r>
      <w:proofErr w:type="gramStart"/>
      <w:r>
        <w:rPr>
          <w:rFonts w:ascii="宋体" w:hAnsi="宋体"/>
          <w:sz w:val="24"/>
        </w:rPr>
        <w:t>7日年化收益率</w:t>
      </w:r>
      <w:proofErr w:type="gramEnd"/>
      <w:r>
        <w:rPr>
          <w:rFonts w:ascii="宋体" w:hAnsi="宋体"/>
          <w:sz w:val="24"/>
        </w:rPr>
        <w:t>采用四舍五入保留至百分号内小数点后第3位。其中，当日该类基金份额总额包括该类基金份额截至上一工作日(包括节假日)未结转份额（若有）。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（2）在开始办理基金份额申购或者赎回后，基金管理人将在不晚于每个开放日的次日，通过指定网站、基金销售机构网站或者营业网点披露开放日的各类基金份额的每万份基金已实现收益和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若遇法定节假日，应于节假日结束后第二个自然日，披露节假日期间的各类基金份额的每万份基金已实现收益、节假日最后一日的</w:t>
      </w:r>
      <w:proofErr w:type="gramStart"/>
      <w:r>
        <w:rPr>
          <w:rFonts w:ascii="宋体" w:hAnsi="宋体"/>
          <w:sz w:val="24"/>
        </w:rPr>
        <w:t>7日年化收益率</w:t>
      </w:r>
      <w:proofErr w:type="gramEnd"/>
      <w:r>
        <w:rPr>
          <w:rFonts w:ascii="宋体" w:hAnsi="宋体"/>
          <w:sz w:val="24"/>
        </w:rPr>
        <w:t>，以及节假日后首个开放日的各类基金份额的每万份基金已实现收益和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（3）基金管理人应当在不晚于半年度和年度最后一日的次日，在指定网站披露半年度和年度最后一日的各类基金份额的每万份基金已实现收益和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5、基金定期报告，包括基金年度报告、基金中期报告和基金季度报告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《基金合同》生效不足2个月的，基金管理人可以不编制当期季度报告、中期或者年度报告。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基金管理人应当在年度报告、中期报告中，至少披露报告期末基金前10名份额持有人的类别、持有份额及占总份额的比例等信息。</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6、临时报告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前款所称重大事件，是指可能对基金份额持有人权益或者基金资产净值产生重大影响的下列事件：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（14）基金收益分配事项，但基金合同另有约定的除外；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（16）基金资产净值计价错误</w:t>
      </w:r>
      <w:proofErr w:type="gramStart"/>
      <w:r>
        <w:rPr>
          <w:rFonts w:ascii="宋体" w:hAnsi="宋体"/>
          <w:sz w:val="24"/>
        </w:rPr>
        <w:t>达基金</w:t>
      </w:r>
      <w:proofErr w:type="gramEnd"/>
      <w:r>
        <w:rPr>
          <w:rFonts w:ascii="宋体" w:hAnsi="宋体"/>
          <w:sz w:val="24"/>
        </w:rPr>
        <w:t>资产净值百分之零点五；</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（21）调整本基金的份额类别设置；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（23）本基金投资于主体信用评级低于AA+的商业银行的银行存款与同业存单；</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（24）基金信息披露义务人认为可能对基金份额持有人权益或者基金份额的价格产生重大影响的其他事项或中国证监会和基金合同约定的其他事项。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7、澄清公告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8、基金份额持有人大会决议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9、基金投资资产支持证券情况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10、中国证监会规定的其他信息。</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基金信息披露义务人公开披露基金信息，应当符合中国证监会相关基金信息披露内容与格式准则等法律法规的规定。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基金托管人应当按照相关法律法规、中国证监会的规定和《基金合同》的约定，对基金管理人编制的各类基金份额的基金资产净值、每万份基金已实现收益、</w:t>
      </w:r>
      <w:proofErr w:type="gramStart"/>
      <w:r>
        <w:rPr>
          <w:rFonts w:ascii="宋体" w:hAnsi="宋体"/>
          <w:sz w:val="24"/>
        </w:rPr>
        <w:t>7日年化收益率</w:t>
      </w:r>
      <w:proofErr w:type="gramEnd"/>
      <w:r>
        <w:rPr>
          <w:rFonts w:ascii="宋体" w:hAnsi="宋体"/>
          <w:sz w:val="24"/>
        </w:rPr>
        <w:t>、基金份额申购赎回价格、基金定期报告、更新的招募说明书、基金产品资料概要、基金清算报告等公开披露的相关基金信息进行复核、审查，并向基金管理人进行书面或电子确认。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基金管理人、基金托管人应当在指定报刊中选择披露信息的报刊。基金管理人、基金托管人应当向中国证监会基金电子披露网站报送拟披露的基金信息，并保证相关报送信息的真实、准确、完整、及时。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1" w:name="_Toc165036850"/>
      <w:r>
        <w:rPr>
          <w:rFonts w:ascii="Times New Roman" w:hAnsi="Times New Roman"/>
          <w:sz w:val="30"/>
        </w:rPr>
        <w:t>十八、风险揭示</w:t>
      </w:r>
      <w:bookmarkEnd w:id="21"/>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后扣除申购申请份额总数及基金转换中转入申请份额总数后的余额）超过基金总份额的百分之十时，投资人将可能无法及时赎回持有的全部基金份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投资者购买本货币市场基金并不等于将资金作为存款存放在银行或存款类金融机构，基金管理人不保证基金一定盈利，也不保证最低收益。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产净值产生不利的影响，都会影响基金运作和收益水平。尤其是在发生巨额赎回时，因市场交易量不足，某些投资品种的流动性不佳，可能导致证券不能迅速、低成本地转变为现金，从而影响基金运作和收益水平。极端情况下，连续大量赎回将会导致基金的现金支付出现困难，或迫使基金以不适当的价格大量抛售证券或提前支取存款，可能导致基金财产的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交易对手违约风险是指当债券、票据或债券回购等交易对手或存款银行违约时，将直接导致基金资产的损失，或导致基金不能及时抓住市场机会，对投资收益产生影响。</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（五）货币市场基金的特定风险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货币市场工具，面临货币市场利率波动的风险，基金每日的收益将根据市场情况上下波动，在极端情况下可能为负值。由于货币市场基金的特殊要求，为满足投资者的赎回需要，基金必须保持一定的现金比例以应对赎回的需求，在管理现金头寸时，有可能存在现金不足的风险或现金过多而带来的机会成本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2、当影子定价确定的基金资产净值与摊</w:t>
      </w:r>
      <w:proofErr w:type="gramStart"/>
      <w:r>
        <w:rPr>
          <w:rFonts w:ascii="宋体" w:hAnsi="宋体"/>
          <w:sz w:val="24"/>
        </w:rPr>
        <w:t>余成本</w:t>
      </w:r>
      <w:proofErr w:type="gramEnd"/>
      <w:r>
        <w:rPr>
          <w:rFonts w:ascii="宋体" w:hAnsi="宋体"/>
          <w:sz w:val="24"/>
        </w:rPr>
        <w:t>法计算的基金资产净值的正偏离度绝对值达到0.5%时，基金管理人应当暂停接受申购并在5个交易日内将正偏离度绝对值调整到0.5%以内。故投资者可能面临暂停申购的风险。当负偏离度绝对值连续两个交易日超过0.5%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满足相关流动性风险管理要求的前提下，当本基金持有的现金、国债、中央银行票据、政策性金融债券以及5个交易日内到期的其他金融工具占基金资产净值的比例合计低于5%且偏离度为负时，当日单个基金份额持有人申请赎回基金份额超过基金总份额1%以上的，该基金份额持有人可能面临被征收1%的强制赎回费用的风险，上述赎回费用全额计入基金财产。此外，单个基金份额持有人在单个开放日申请赎回基金份额超过基金总份额10%的，该基金份额持有人可能面临延期办理部分赎回申请或者延缓支付赎回款项的风险。</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（六）其他风险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7、金融市场危机、行业竞争、代理商违约、托管行违约等超出基金管理人自身直接控制能力之外的风险，也可能导致基金或者基金份额持有人利益受损。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8、其他意外导致的风险。</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2" w:name="_Toc165036851"/>
      <w:r>
        <w:rPr>
          <w:rFonts w:ascii="Times New Roman" w:hAnsi="Times New Roman"/>
          <w:sz w:val="30"/>
        </w:rPr>
        <w:t>十九、基金合同的变更、终止与基金财产的清算</w:t>
      </w:r>
      <w:bookmarkEnd w:id="22"/>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3" w:name="_Toc165036852"/>
      <w:r>
        <w:rPr>
          <w:rFonts w:ascii="Times New Roman" w:hAnsi="Times New Roman"/>
          <w:sz w:val="30"/>
        </w:rPr>
        <w:t>二十、基金合同内容摘要</w:t>
      </w:r>
      <w:bookmarkEnd w:id="23"/>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（一）基金管理人、基金托管人和基金份额持有人的权利与义务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1）依法募集资金，办理或者委托经中国证监会认定的其他机构代为办理基金份额的发售、申购、赎回和登记事宜；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8）采取适当合理的措施使计算基金份额认购、申购、赎回和注销价格的方法符合《基金合同》等法律文件的规定，按有关规定计算并公告各类基金份额的基金净值信息、每万份基金已实现收益和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8）复核、审查基金管理人计算的各类基金份额的基金资产净值、基金份额净值、每万份基金已实现收益和</w:t>
      </w:r>
      <w:proofErr w:type="gramStart"/>
      <w:r>
        <w:rPr>
          <w:rFonts w:ascii="宋体" w:hAnsi="宋体"/>
          <w:sz w:val="24"/>
        </w:rPr>
        <w:t>7日年化收益率</w:t>
      </w:r>
      <w:proofErr w:type="gramEnd"/>
      <w:r>
        <w:rPr>
          <w:rFonts w:ascii="宋体" w:hAnsi="宋体"/>
          <w:sz w:val="24"/>
        </w:rPr>
        <w:t>；</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18）面临解散、依法被撤销或者被依法宣告破产时，及时报告中国证监会，并通知基金管理人；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1）调低除基金管理费、基金托管费之外的其他应由本基金或基金份额持有人承担的费用；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3）在法律法规和本基金合同规定的范围</w:t>
      </w:r>
      <w:proofErr w:type="gramStart"/>
      <w:r>
        <w:rPr>
          <w:rFonts w:ascii="宋体" w:hAnsi="宋体"/>
          <w:sz w:val="24"/>
        </w:rPr>
        <w:t>内调低基金</w:t>
      </w:r>
      <w:proofErr w:type="gramEnd"/>
      <w:r>
        <w:rPr>
          <w:rFonts w:ascii="宋体" w:hAnsi="宋体"/>
          <w:sz w:val="24"/>
        </w:rPr>
        <w:t>的销售服务费率或在不影响现有基金份额持有人利益的前提下变更或增加收费方式；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9）按照法律法规和《基金合同》规定不需召开基金份额持有人大会的以外的其他情形。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（2）通讯开会。通讯开会系指基金份额持有人将其对表决事项的投票以会议通知载明的形式在表决截至日以前送达至召集人指定的地址。</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（三）基金合同变更、解除和终止的事由、程序以及基金财产清算方式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4" w:name="_Toc165036853"/>
      <w:r>
        <w:rPr>
          <w:rFonts w:ascii="Times New Roman" w:hAnsi="Times New Roman"/>
          <w:sz w:val="30"/>
        </w:rPr>
        <w:t>二十一、</w:t>
      </w:r>
      <w:r>
        <w:rPr>
          <w:rFonts w:ascii="Times New Roman" w:hAnsi="Times New Roman"/>
          <w:sz w:val="30"/>
        </w:rPr>
        <w:t xml:space="preserve"> </w:t>
      </w:r>
      <w:r>
        <w:rPr>
          <w:rFonts w:ascii="Times New Roman" w:hAnsi="Times New Roman"/>
          <w:sz w:val="30"/>
        </w:rPr>
        <w:t>托管协议的内容摘要</w:t>
      </w:r>
      <w:bookmarkEnd w:id="24"/>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w:t>
      </w:r>
      <w:proofErr w:type="gramStart"/>
      <w:r>
        <w:rPr>
          <w:rFonts w:ascii="宋体" w:hAnsi="宋体"/>
          <w:sz w:val="24"/>
        </w:rPr>
        <w:t>监基金字</w:t>
      </w:r>
      <w:proofErr w:type="gramEnd"/>
      <w:r>
        <w:rPr>
          <w:rFonts w:ascii="宋体" w:hAnsi="宋体"/>
          <w:sz w:val="24"/>
        </w:rPr>
        <w:t>[2005]128号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w:t>
      </w:r>
      <w:proofErr w:type="gramStart"/>
      <w:r>
        <w:rPr>
          <w:rFonts w:ascii="宋体" w:hAnsi="宋体"/>
          <w:sz w:val="24"/>
        </w:rPr>
        <w:t>信建投证券</w:t>
      </w:r>
      <w:proofErr w:type="gramEnd"/>
      <w:r>
        <w:rPr>
          <w:rFonts w:ascii="宋体" w:hAnsi="宋体"/>
          <w:sz w:val="24"/>
        </w:rPr>
        <w:t>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成立日期：2005年11月2日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批准设立机关和批准设立文号：中国证监会证监机构字[2005]112号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基金托管业务批准文号：中国证监会证监许可[2015]219号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注册资本：人民币陆拾壹亿元整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保险兼业代理业务许可证有效期至2016年7月08日)；股票期权做市业务；证券投资基金托管业务。</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现金，期限在1年以内（含1年）的银行存款、债券回购、中央银行票据、同业存单，剩余期限在397天以内（含397天）的债券、非金融企业债务融资工具、资产支持证券，中国证监会、中国人民银行认可的其他具有良好流动性的货币市场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如法律法规或监管机构以后允许货币市场基金投资其他金融工具，基金管理人在履行适当程序后，可以将其纳入投资范围，其投资比例遵循届时有效法律法规或相关规定。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1）本基金不得投资于以下金融工具：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（b）可转换债券、可交换债券；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（c）以定期存款利率为基准利率的浮动利率债券，已进入最后一个利率调整期的除外；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（d）信用等级在AA+以下的债券与非金融企业债务融资工具；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（e）中国证监会、中国人民银行禁止投资的其他金融工具。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本基金拟投资于主体信用评级低于AA+的商业银行的银行存款与同业存单的，应当经基金管理人董事会审议批准，相关交易应当事先征得基金托管人的同意，并作为重大事项履行信息披露程序。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法律法规或监管部门取消上述限制，如适用于本基金，基金管理人在履行适当程序后，则本基金投资不再受相关限制。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2）组合限制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（a）本基金投资组合的平均剩余期限在每个交易日均不得超过120天，平均剩余存续期在每个交易日均不得超过240天；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（b）本基金投资于现金、国债、中央银行票据、政策性金融债券占基金资产净值的比例合计不得低于5%，其中现金不包括结算备付金、存出保证金、应收申购款等；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（c）本基金投资于现金、国债、中央银行票据、政策性金融债券以及五个交易日内到期的其他金融工具占基金资产净值的比例合计不得低于10%；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（e）除发生巨额赎回、连续3 </w:t>
      </w:r>
      <w:proofErr w:type="gramStart"/>
      <w:r>
        <w:rPr>
          <w:rFonts w:ascii="宋体" w:hAnsi="宋体"/>
          <w:sz w:val="24"/>
        </w:rPr>
        <w:t>个</w:t>
      </w:r>
      <w:proofErr w:type="gramEnd"/>
      <w:r>
        <w:rPr>
          <w:rFonts w:ascii="宋体" w:hAnsi="宋体"/>
          <w:sz w:val="24"/>
        </w:rPr>
        <w:t xml:space="preserve">交易日累计赎回20%以上或者连续5 </w:t>
      </w:r>
      <w:proofErr w:type="gramStart"/>
      <w:r>
        <w:rPr>
          <w:rFonts w:ascii="宋体" w:hAnsi="宋体"/>
          <w:sz w:val="24"/>
        </w:rPr>
        <w:t>个</w:t>
      </w:r>
      <w:proofErr w:type="gramEnd"/>
      <w:r>
        <w:rPr>
          <w:rFonts w:ascii="宋体" w:hAnsi="宋体"/>
          <w:sz w:val="24"/>
        </w:rPr>
        <w:t>交易日累计赎回30%以上的情形外，本基金债券正回购的资金余额占基金资产净值的比例不得超过20%；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（f）本基金投资于同一机构发行的债券、非金融企业债务融资工具及其作为原始权益人的资产支持证券占基金资产净值的比例合计不得超过10%，国债、中央银行票据、政策性金融债券除外；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（g）本基金管理人管理的全部基金持有一家公司发行的证券，不超过该证券的10%；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（i）本基金持有的全部资产支持证券，其市值不得超过基金资产净值的20%，中国证监会规定的特殊品种除外；本基金持有的同一（指同一信用级别）资产支持证券的比例，不得超过该资产支持证券规模的10%；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j）本基金管理人管理的全部基金投资于同一原始权益人的各类资产支持证券，不得超过其各类资产支持证券合计规模的10%；本基金应投资于具有评级资质的资信评级机构进行持续信用评级，且信用评级不低于国内信用评级机构评定的AAA级或相当于AAA级的信用级别的资产支持证券。基金持有资产支持证券期间，如果其信用等级下降、不再符合投资标准，应在评级报告发布之日起3 </w:t>
      </w:r>
      <w:proofErr w:type="gramStart"/>
      <w:r>
        <w:rPr>
          <w:rFonts w:ascii="宋体" w:hAnsi="宋体"/>
          <w:sz w:val="24"/>
        </w:rPr>
        <w:t>个</w:t>
      </w:r>
      <w:proofErr w:type="gramEnd"/>
      <w:r>
        <w:rPr>
          <w:rFonts w:ascii="宋体" w:hAnsi="宋体"/>
          <w:sz w:val="24"/>
        </w:rPr>
        <w:t>月内予以全部卖出；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（k）本基金管理人管理的全部货币市场基金投资于同一商业银行的银行存款及其发行的同业存单与债券，不得超过该商业银行最近一个季度末净资产的10%；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（l）当本基金前10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（o）本基金与私募类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（p）本基金在全国银行间同业市场的债券回购最长期限为1年，债券回购到期后不得展期；</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（q）本基金的基金资产总值不得超过基金资产净值的140%；</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（r）法律法规、中国证监会及中国人民银行规定的其他比例限制。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除上述第（a）、（b）、（d）、（j）、（o）项外，因证券市场波动、证券发行人合并或基金规模变动等基金管理人之外的因素致使基金投资比例不符合上述规定投资比例的，基金管理人应当在10 </w:t>
      </w:r>
      <w:proofErr w:type="gramStart"/>
      <w:r>
        <w:rPr>
          <w:rFonts w:ascii="宋体" w:hAnsi="宋体"/>
          <w:sz w:val="24"/>
        </w:rPr>
        <w:t>个</w:t>
      </w:r>
      <w:proofErr w:type="gramEnd"/>
      <w:r>
        <w:rPr>
          <w:rFonts w:ascii="宋体" w:hAnsi="宋体"/>
          <w:sz w:val="24"/>
        </w:rPr>
        <w:t>交易日内进行调整，但中国证监会规定的特殊情形除外。法律法规另有规定的，从其规定。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债券与非金融企业债务融资工具的信用等级应主要参照最近一个会计年度的主体信用评级，如果对发行人同时有两家以上境内评级机构评级的，应采用孰</w:t>
      </w:r>
      <w:proofErr w:type="gramStart"/>
      <w:r>
        <w:rPr>
          <w:rFonts w:ascii="宋体" w:hAnsi="宋体"/>
          <w:sz w:val="24"/>
        </w:rPr>
        <w:t>低原则</w:t>
      </w:r>
      <w:proofErr w:type="gramEnd"/>
      <w:r>
        <w:rPr>
          <w:rFonts w:ascii="宋体" w:hAnsi="宋体"/>
          <w:sz w:val="24"/>
        </w:rPr>
        <w:t xml:space="preserve">确定其评级，并结合基金管理人内部信用评级进行独立判断与认定。基金管理人应当自基金合同生效之日起6 </w:t>
      </w:r>
      <w:proofErr w:type="gramStart"/>
      <w:r>
        <w:rPr>
          <w:rFonts w:ascii="宋体" w:hAnsi="宋体"/>
          <w:sz w:val="24"/>
        </w:rPr>
        <w:t>个</w:t>
      </w:r>
      <w:proofErr w:type="gramEnd"/>
      <w:r>
        <w:rPr>
          <w:rFonts w:ascii="宋体" w:hAnsi="宋体"/>
          <w:sz w:val="24"/>
        </w:rPr>
        <w:t>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法律法规对上述投资组合比例限制进行变更的，以变更后的规定为准。法律法规或监管部门取消上述限制，如适用于本基金，基金管理人在履行适当程序后，本基金投资不再受相关限制。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2）违反规定向他人贷款或提供担保；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根据法律法规有关基金从事的关联交易的规定，基金管理人和基金托管人应事先相互提供与本机构有控股关系的股东或与本机构有其他重大利害关系的公司名单及有关关联</w:t>
      </w:r>
      <w:proofErr w:type="gramStart"/>
      <w:r>
        <w:rPr>
          <w:rFonts w:ascii="宋体" w:hAnsi="宋体"/>
          <w:sz w:val="24"/>
        </w:rPr>
        <w:t>方发行</w:t>
      </w:r>
      <w:proofErr w:type="gramEnd"/>
      <w:r>
        <w:rPr>
          <w:rFonts w:ascii="宋体" w:hAnsi="宋体"/>
          <w:sz w:val="24"/>
        </w:rPr>
        <w:t>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w:t>
      </w:r>
      <w:proofErr w:type="gramStart"/>
      <w:r>
        <w:rPr>
          <w:rFonts w:ascii="宋体" w:hAnsi="宋体"/>
          <w:sz w:val="24"/>
        </w:rPr>
        <w:t>若基金</w:t>
      </w:r>
      <w:proofErr w:type="gramEnd"/>
      <w:r>
        <w:rPr>
          <w:rFonts w:ascii="宋体" w:hAnsi="宋体"/>
          <w:sz w:val="24"/>
        </w:rPr>
        <w:t>托管人发现基金管理人与关联方进行违反法律法规规定的关联交易时，基金托管人应及时提醒并协助基金管理人采取必要措施阻止该交易的发生，</w:t>
      </w:r>
      <w:proofErr w:type="gramStart"/>
      <w:r>
        <w:rPr>
          <w:rFonts w:ascii="宋体" w:hAnsi="宋体"/>
          <w:sz w:val="24"/>
        </w:rPr>
        <w:t>若基金</w:t>
      </w:r>
      <w:proofErr w:type="gramEnd"/>
      <w:r>
        <w:rPr>
          <w:rFonts w:ascii="宋体" w:hAnsi="宋体"/>
          <w:sz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（6）基金托管人根据有关法律法规的规定及基金合同的约定，对基金管理人选择存款银行进行监督：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2、基金托管人对基金管理人业务进行监督和核查的有关措施：</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（1）基金托管人应根据有关法律法规的规定及基金合同的约定，对各类基金份额的基金资产净值计算、每万份基金已实现收益和</w:t>
      </w:r>
      <w:proofErr w:type="gramStart"/>
      <w:r>
        <w:rPr>
          <w:rFonts w:ascii="宋体" w:hAnsi="宋体"/>
          <w:sz w:val="24"/>
        </w:rPr>
        <w:t>7日年化收益率</w:t>
      </w:r>
      <w:proofErr w:type="gramEnd"/>
      <w:r>
        <w:rPr>
          <w:rFonts w:ascii="宋体" w:hAnsi="宋体"/>
          <w:sz w:val="24"/>
        </w:rPr>
        <w:t>计算、应收资金到账、基金费用开支及收入确定、基金收益分配、相关信息披露、基金宣传推介材料中登载基金业绩表现数据等进行监督和核查。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（3）在限期内，基金托管人有权随时对通知事项进行复查，督促基金管理人改正。基金管理人对基金托管人通知的违规事项未能在限期内纠正的，基金托管人应报告中国证监会。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（4）基金托管人发现基金管理人的投资指令违反相关法律法规规定或者违反基金合同约定的，应当拒绝执行，立即通知基金管理人。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（7）基金托管人发现基金管理人有重大违规行为，应立即报告中国证监会，同时通知基金管理人限期纠正。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proofErr w:type="gramStart"/>
      <w:r>
        <w:rPr>
          <w:rFonts w:ascii="宋体" w:hAnsi="宋体"/>
          <w:sz w:val="24"/>
        </w:rPr>
        <w:t>7日年化收益率</w:t>
      </w:r>
      <w:proofErr w:type="gramEnd"/>
      <w:r>
        <w:rPr>
          <w:rFonts w:ascii="宋体" w:hAnsi="宋体"/>
          <w:sz w:val="24"/>
        </w:rPr>
        <w:t>、根据基金管理人指令办理清算交收、相关信息披露和监督基金投资运作等行为。</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3、基金管理人发现基金托管人有重大违规行为，应立即报告中国证监会，同时通知基金托管人限期纠正。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基金托管人对实际交付并控制下的基金财产承担保管职责，对于非由基金托管人实际控制的财产不承担保管责任。除依据法律法规规定、基金合同和本托管协议约定及基金管理人的正当指令外，不得自行运用、处分、分配基金的任何财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募集期限届满，未能达到基金备案条件，由基金管理人按规定办理退款事宜，基金托管人应提供充分协助。</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（1）基金托管人在具有证券投资基金托管资格的商业银行为本基金开立基金的银行账户，账户名称以实际开立为准，并根据基金管理人合法合</w:t>
      </w:r>
      <w:proofErr w:type="gramStart"/>
      <w:r>
        <w:rPr>
          <w:rFonts w:ascii="宋体" w:hAnsi="宋体"/>
          <w:sz w:val="24"/>
        </w:rPr>
        <w:t>规</w:t>
      </w:r>
      <w:proofErr w:type="gramEnd"/>
      <w:r>
        <w:rPr>
          <w:rFonts w:ascii="宋体" w:hAnsi="宋体"/>
          <w:sz w:val="24"/>
        </w:rPr>
        <w:t>的指令办理资金收付。本基金的银行预留印鉴由基金托管人刻制、保管和使用。基金托管人为本基金的银行账户开立网上银行，网上银行的电子密钥和密码由基金托管人保管和使用，基金托管人并承担网上银行操作及账户安全、保密义务等产生的相关责任。</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（1）基金托管人以基金托管人和本基金联名的方式在中国证券登记结算有限责任公司上海分公司/深圳分公司开设证券账户。</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（2）基金托管人按照中国证券登记结算有限责任公司的要求在中国证券登记结算有限责任公司上海分公司/深圳分公司开立基金证券交易资金账户，用于证券清算。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w:t>
      </w:r>
      <w:proofErr w:type="gramStart"/>
      <w:r>
        <w:rPr>
          <w:rFonts w:ascii="宋体" w:hAnsi="宋体"/>
          <w:sz w:val="24"/>
        </w:rPr>
        <w:t>勤勉履行</w:t>
      </w:r>
      <w:proofErr w:type="gramEnd"/>
      <w:r>
        <w:rPr>
          <w:rFonts w:ascii="宋体" w:hAnsi="宋体"/>
          <w:sz w:val="24"/>
        </w:rPr>
        <w:t>定期查询等合理注意。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如基金托管人收到的合同传真件与基金管理人保管的合同原件不一致的，以基金托管人收到的传真件为准。</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每万份基金已实现收益是按照相关法规计算的每万份基金份额的日已实现收益，精确到小数点后第4位，小数点后第5位四舍五入。本基金的收益分配是按日结转份额的，</w:t>
      </w:r>
      <w:proofErr w:type="gramStart"/>
      <w:r>
        <w:rPr>
          <w:rFonts w:ascii="宋体" w:hAnsi="宋体"/>
          <w:sz w:val="24"/>
        </w:rPr>
        <w:t>7日年化收益率</w:t>
      </w:r>
      <w:proofErr w:type="gramEnd"/>
      <w:r>
        <w:rPr>
          <w:rFonts w:ascii="宋体" w:hAnsi="宋体"/>
          <w:sz w:val="24"/>
        </w:rPr>
        <w:t>是以最近7日(含节假日) 每万份基金已实现收益所折算的</w:t>
      </w:r>
      <w:proofErr w:type="gramStart"/>
      <w:r>
        <w:rPr>
          <w:rFonts w:ascii="宋体" w:hAnsi="宋体"/>
          <w:sz w:val="24"/>
        </w:rPr>
        <w:t>年资产</w:t>
      </w:r>
      <w:proofErr w:type="gramEnd"/>
      <w:r>
        <w:rPr>
          <w:rFonts w:ascii="宋体" w:hAnsi="宋体"/>
          <w:sz w:val="24"/>
        </w:rPr>
        <w:t>收益率，精确到0.001%，百分号内小数点后第4位四舍五入。国家另有规定的，从其规定。</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proofErr w:type="gramStart"/>
      <w:r>
        <w:rPr>
          <w:rFonts w:ascii="宋体" w:hAnsi="宋体"/>
          <w:sz w:val="24"/>
        </w:rPr>
        <w:t>7日年化收益率</w:t>
      </w:r>
      <w:proofErr w:type="gramEnd"/>
      <w:r>
        <w:rPr>
          <w:rFonts w:ascii="宋体" w:hAnsi="宋体"/>
          <w:sz w:val="24"/>
        </w:rPr>
        <w:t>由基金管理人负责计算，基金托管人复核。基金管理人应于每个工作日交易结束后计算当日的各类基金份额的基金资产净值、每万份基金已实现收益和</w:t>
      </w:r>
      <w:proofErr w:type="gramStart"/>
      <w:r>
        <w:rPr>
          <w:rFonts w:ascii="宋体" w:hAnsi="宋体"/>
          <w:sz w:val="24"/>
        </w:rPr>
        <w:t>7日年化收益率</w:t>
      </w:r>
      <w:proofErr w:type="gramEnd"/>
      <w:r>
        <w:rPr>
          <w:rFonts w:ascii="宋体" w:hAnsi="宋体"/>
          <w:sz w:val="24"/>
        </w:rPr>
        <w:t>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3、根据《基金法》，基金管理人计算并公告各类基金份额的基金资产净值、每万份基金已实现收益和</w:t>
      </w:r>
      <w:proofErr w:type="gramStart"/>
      <w:r>
        <w:rPr>
          <w:rFonts w:ascii="宋体" w:hAnsi="宋体"/>
          <w:sz w:val="24"/>
        </w:rPr>
        <w:t>7日年化收益率</w:t>
      </w:r>
      <w:proofErr w:type="gramEnd"/>
      <w:r>
        <w:rPr>
          <w:rFonts w:ascii="宋体" w:hAnsi="宋体"/>
          <w:sz w:val="24"/>
        </w:rPr>
        <w:t>，基金托管人复核、审查基金管理人计算的各类基金份额的基金资产净值、每万份基金已实现收益和</w:t>
      </w:r>
      <w:proofErr w:type="gramStart"/>
      <w:r>
        <w:rPr>
          <w:rFonts w:ascii="宋体" w:hAnsi="宋体"/>
          <w:sz w:val="24"/>
        </w:rPr>
        <w:t>7日年化收益率</w:t>
      </w:r>
      <w:proofErr w:type="gramEnd"/>
      <w:r>
        <w:rPr>
          <w:rFonts w:ascii="宋体" w:hAnsi="宋体"/>
          <w:sz w:val="24"/>
        </w:rPr>
        <w:t>。因此，本基金的会计责任方是基金管理人，就与本基金有关的会计问题，如经相关各方在平等基础上充分讨论后，仍无法达成一致的意见，按照基金管理人对各类基金份额的基金资产净值、每万份基金已实现收益和</w:t>
      </w:r>
      <w:proofErr w:type="gramStart"/>
      <w:r>
        <w:rPr>
          <w:rFonts w:ascii="宋体" w:hAnsi="宋体"/>
          <w:sz w:val="24"/>
        </w:rPr>
        <w:t>7日年化收益率</w:t>
      </w:r>
      <w:proofErr w:type="gramEnd"/>
      <w:r>
        <w:rPr>
          <w:rFonts w:ascii="宋体" w:hAnsi="宋体"/>
          <w:sz w:val="24"/>
        </w:rPr>
        <w:t>的计算结果对外予以公布。</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1、基金管理人和基金托管人须分别妥善保管的基金份额持有人名册，基金份额持有人名册的内容必须包括基金份额持有人的名称和持有的基金份额。</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名册由基金的登记机构根据基金管理人的指令编制和保管，保管期限为20年。基金管理人和基金托管人应按照目前相关规则分别保管基金份额持有人名册。保管方式可以采用电子或文档的形式，保管期限为15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若基金</w:t>
      </w:r>
      <w:proofErr w:type="gramEnd"/>
      <w:r>
        <w:rPr>
          <w:rFonts w:ascii="宋体" w:hAnsi="宋体"/>
          <w:sz w:val="24"/>
        </w:rPr>
        <w:t>管理人或基金托管人由于自身原因无法妥善保管基金份额持有人名册，应按有关法规规定各自承担相应的责任。</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5" w:name="_Toc165036854"/>
      <w:r>
        <w:rPr>
          <w:rFonts w:ascii="Times New Roman" w:hAnsi="Times New Roman"/>
          <w:sz w:val="30"/>
        </w:rPr>
        <w:t>二十二、对基金份额持有人的服务</w:t>
      </w:r>
      <w:bookmarkEnd w:id="25"/>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每次交易结束后，投资者可在T+2个工作日后到交易网点进行确认单的查询和打印，或通过交易网点提供的自助、电话、网上服务手段查询。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（二）信息咨询、查询服务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（三）基金转换业务</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本基金已开通基金转换业务，具体实施方法请参见相关公告。</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（四）定期定额投资计划</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本基金已开通定期定额投资业务，具体实施方法请参见相关公告。</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8413B1" w:rsidRDefault="0027789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（五）如本招募说明书存在任何您/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无法理解的内容，请通过上述方式联系基金管理人。</w:t>
      </w:r>
      <w:proofErr w:type="gramStart"/>
      <w:r w:rsidRPr="00BB248E">
        <w:rPr>
          <w:rFonts w:ascii="宋体" w:hAnsi="宋体" w:hint="eastAsia"/>
          <w:b/>
          <w:kern w:val="0"/>
          <w:sz w:val="24"/>
        </w:rPr>
        <w:t>请确保</w:t>
      </w:r>
      <w:proofErr w:type="gramEnd"/>
      <w:r w:rsidRPr="00BB248E">
        <w:rPr>
          <w:rFonts w:ascii="宋体" w:hAnsi="宋体" w:hint="eastAsia"/>
          <w:b/>
          <w:kern w:val="0"/>
          <w:sz w:val="24"/>
        </w:rPr>
        <w:t>投资前，您/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已经全面理解了本招募说明书。</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6" w:name="_Toc165036855"/>
      <w:r>
        <w:rPr>
          <w:rFonts w:ascii="Times New Roman" w:hAnsi="Times New Roman"/>
          <w:sz w:val="30"/>
        </w:rPr>
        <w:t>二十三、其他应披露事项</w:t>
      </w:r>
      <w:bookmarkEnd w:id="26"/>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E</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2022-07-08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2022-08-19</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2022-12-12</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2023-01-18</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交银施罗德活期通货币市场基金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8413B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8413B1" w:rsidRDefault="002778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bl>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7" w:name="_Toc165036856"/>
      <w:r>
        <w:rPr>
          <w:rFonts w:ascii="Times New Roman" w:hAnsi="Times New Roman"/>
          <w:sz w:val="30"/>
        </w:rPr>
        <w:t>二十四、招募说明书的存放及查阅方式</w:t>
      </w:r>
      <w:bookmarkEnd w:id="27"/>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27789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8413B1" w:rsidRDefault="00277894">
      <w:pPr>
        <w:pStyle w:val="1"/>
        <w:snapToGrid w:val="0"/>
        <w:spacing w:beforeLines="0" w:before="240" w:after="240"/>
        <w:rPr>
          <w:rFonts w:ascii="宋体" w:hAnsi="宋体"/>
          <w:szCs w:val="30"/>
        </w:rPr>
      </w:pPr>
      <w:bookmarkStart w:id="28" w:name="_Toc165036857"/>
      <w:r>
        <w:rPr>
          <w:rFonts w:ascii="Times New Roman" w:hAnsi="Times New Roman"/>
          <w:sz w:val="30"/>
        </w:rPr>
        <w:t>二十五、备查文件</w:t>
      </w:r>
      <w:bookmarkEnd w:id="28"/>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（一）中国证监会准予交银施罗德活期通货币市场基金募集注册的文件</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（二）《交银施罗德活期通货币市场基金基金合同》</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（三）《交银施罗德活期通货币市场基金托管协议》</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8413B1" w:rsidRDefault="002778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（六）关于申请募集注册交银施罗德活期通货币市场基金的法律意见书</w:t>
      </w:r>
    </w:p>
    <w:sectPr w:rsidR="008413B1">
      <w:footerReference w:type="default" r:id="rId18"/>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F2" w:rsidRDefault="005E52F2">
      <w:r>
        <w:separator/>
      </w:r>
    </w:p>
  </w:endnote>
  <w:endnote w:type="continuationSeparator" w:id="0">
    <w:p w:rsidR="005E52F2" w:rsidRDefault="005E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B1" w:rsidRDefault="0036022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3B1" w:rsidRDefault="0027789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233F2">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8413B1" w:rsidRDefault="0027789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233F2">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B1" w:rsidRDefault="0036022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3B1" w:rsidRDefault="0027789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233F2">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8413B1" w:rsidRDefault="0027789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233F2">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F2" w:rsidRDefault="005E52F2">
      <w:r>
        <w:separator/>
      </w:r>
    </w:p>
  </w:footnote>
  <w:footnote w:type="continuationSeparator" w:id="0">
    <w:p w:rsidR="005E52F2" w:rsidRDefault="005E5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277894">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8413B1" w:rsidRDefault="00277894">
    <w:pPr>
      <w:pStyle w:val="a3"/>
      <w:jc w:val="right"/>
      <w:rPr>
        <w:rFonts w:ascii="宋体" w:hAnsi="宋体"/>
      </w:rPr>
    </w:pPr>
    <w:r>
      <w:rPr>
        <w:rFonts w:ascii="宋体" w:hAnsi="宋体" w:hint="eastAsia"/>
      </w:rPr>
      <w:t>交银施罗德活期通货币市场基金(更新)招募说明书(2024年第1号)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B1" w:rsidRDefault="008413B1">
    <w:pPr>
      <w:pStyle w:val="11"/>
      <w:jc w:val="right"/>
    </w:pPr>
  </w:p>
  <w:p w:rsidR="008413B1" w:rsidRDefault="008413B1">
    <w:pPr>
      <w:pStyle w:val="11"/>
      <w:jc w:val="right"/>
    </w:pPr>
  </w:p>
  <w:p w:rsidR="008413B1" w:rsidRDefault="008413B1">
    <w:pPr>
      <w:pStyle w:val="a3"/>
      <w:jc w:val="right"/>
    </w:pPr>
  </w:p>
  <w:p w:rsidR="009E65D0" w:rsidRDefault="00277894">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8413B1" w:rsidRDefault="00277894">
    <w:pPr>
      <w:pStyle w:val="a3"/>
      <w:jc w:val="right"/>
      <w:rPr>
        <w:rFonts w:ascii="宋体" w:hAnsi="宋体"/>
      </w:rPr>
    </w:pPr>
    <w:r>
      <w:rPr>
        <w:rFonts w:ascii="宋体" w:hAnsi="宋体" w:hint="eastAsia"/>
      </w:rPr>
      <w:t>交银施罗德活期通货币市场基金(更新)招募说明书(2024年第1号)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B1" w:rsidRDefault="008413B1">
    <w:pPr>
      <w:pStyle w:val="a3"/>
      <w:jc w:val="right"/>
    </w:pPr>
  </w:p>
  <w:p w:rsidR="008413B1" w:rsidRDefault="008413B1">
    <w:pPr>
      <w:pStyle w:val="a3"/>
      <w:jc w:val="right"/>
    </w:pPr>
  </w:p>
  <w:p w:rsidR="008413B1" w:rsidRDefault="008413B1">
    <w:pPr>
      <w:pStyle w:val="a3"/>
      <w:jc w:val="right"/>
    </w:pPr>
  </w:p>
  <w:p w:rsidR="009E65D0" w:rsidRDefault="00277894">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8413B1" w:rsidRDefault="00277894">
    <w:pPr>
      <w:pStyle w:val="a3"/>
      <w:jc w:val="right"/>
      <w:rPr>
        <w:rFonts w:ascii="宋体" w:hAnsi="宋体"/>
      </w:rPr>
    </w:pPr>
    <w:r>
      <w:rPr>
        <w:rFonts w:ascii="宋体" w:hAnsi="宋体" w:hint="eastAsia"/>
      </w:rPr>
      <w:t>交银施罗德活期通货币市场基金(更新)招募说明书(2024年第1号)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2713"/>
    <w:rsid w:val="00223C19"/>
    <w:rsid w:val="00224421"/>
    <w:rsid w:val="00226503"/>
    <w:rsid w:val="00226A60"/>
    <w:rsid w:val="00227DA1"/>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894"/>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022B"/>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E52F2"/>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4C5"/>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63522"/>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13B1"/>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5C00"/>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6E9"/>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33F2"/>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2B"/>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365BB"/>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976629-9E84-419D-9BDF-718613E6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124</Pages>
  <Words>77542</Words>
  <Characters>8530</Characters>
  <Application>Microsoft Office Word</Application>
  <DocSecurity>0</DocSecurity>
  <Lines>71</Lines>
  <Paragraphs>171</Paragraphs>
  <ScaleCrop>false</ScaleCrop>
  <Company>Microsoft</Company>
  <LinksUpToDate>false</LinksUpToDate>
  <CharactersWithSpaces>85901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8</cp:revision>
  <cp:lastPrinted>2024-04-26T08:52:00Z</cp:lastPrinted>
  <dcterms:created xsi:type="dcterms:W3CDTF">2024-04-26T08:41:00Z</dcterms:created>
  <dcterms:modified xsi:type="dcterms:W3CDTF">2024-04-26T08:52:00Z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