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0EEA5" w14:textId="77777777" w:rsidR="00BF0C91" w:rsidRDefault="00BF0C91">
      <w:pPr>
        <w:jc w:val="center"/>
        <w:rPr>
          <w:sz w:val="32"/>
          <w:szCs w:val="32"/>
        </w:rPr>
      </w:pPr>
    </w:p>
    <w:p w14:paraId="5C101684" w14:textId="77777777" w:rsidR="00BF0C91" w:rsidRDefault="00BF0C91">
      <w:pPr>
        <w:rPr>
          <w:sz w:val="32"/>
          <w:szCs w:val="32"/>
        </w:rPr>
      </w:pPr>
    </w:p>
    <w:p w14:paraId="703CB957" w14:textId="77777777" w:rsidR="00BF0C91" w:rsidRDefault="00BF0C91">
      <w:pPr>
        <w:rPr>
          <w:sz w:val="32"/>
          <w:szCs w:val="32"/>
        </w:rPr>
      </w:pPr>
    </w:p>
    <w:p w14:paraId="649F3451" w14:textId="77777777" w:rsidR="00BF0C91" w:rsidRDefault="00BF0C91">
      <w:pPr>
        <w:rPr>
          <w:sz w:val="32"/>
          <w:szCs w:val="32"/>
        </w:rPr>
      </w:pPr>
    </w:p>
    <w:p w14:paraId="4AA6EF0D" w14:textId="77777777" w:rsidR="00BF0C91" w:rsidRDefault="00BF0C91">
      <w:pPr>
        <w:jc w:val="center"/>
        <w:rPr>
          <w:sz w:val="32"/>
          <w:szCs w:val="32"/>
        </w:rPr>
      </w:pPr>
    </w:p>
    <w:p w14:paraId="012DA795" w14:textId="77777777" w:rsidR="00BF0C91" w:rsidRDefault="00D65346">
      <w:pPr>
        <w:spacing w:line="360" w:lineRule="auto"/>
        <w:jc w:val="center"/>
        <w:rPr>
          <w:sz w:val="32"/>
          <w:szCs w:val="32"/>
        </w:rPr>
      </w:pPr>
      <w:r>
        <w:rPr>
          <w:noProof/>
        </w:rPr>
        <w:drawing>
          <wp:inline distT="0" distB="0" distL="0" distR="0" wp14:anchorId="1400BB3A" wp14:editId="7B1B551E">
            <wp:extent cx="4343400" cy="567055"/>
            <wp:effectExtent l="0" t="0" r="0" b="0"/>
            <wp:docPr id="3"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343400" cy="567055"/>
                    </a:xfrm>
                    <a:prstGeom prst="rect">
                      <a:avLst/>
                    </a:prstGeom>
                    <a:noFill/>
                    <a:ln>
                      <a:noFill/>
                    </a:ln>
                  </pic:spPr>
                </pic:pic>
              </a:graphicData>
            </a:graphic>
          </wp:inline>
        </w:drawing>
      </w:r>
    </w:p>
    <w:p w14:paraId="4F82BB25" w14:textId="77777777" w:rsidR="00BF0C91" w:rsidRDefault="00BF0C91">
      <w:pPr>
        <w:spacing w:line="360" w:lineRule="auto"/>
        <w:jc w:val="center"/>
        <w:rPr>
          <w:rFonts w:ascii="宋体" w:hAnsi="宋体"/>
          <w:b/>
          <w:color w:val="000000"/>
          <w:sz w:val="32"/>
          <w:szCs w:val="32"/>
        </w:rPr>
      </w:pPr>
    </w:p>
    <w:p w14:paraId="6552673D" w14:textId="77777777" w:rsidR="00BF0C91" w:rsidRDefault="00BF0C91">
      <w:pPr>
        <w:spacing w:line="360" w:lineRule="auto"/>
        <w:jc w:val="center"/>
        <w:rPr>
          <w:rFonts w:ascii="宋体" w:hAnsi="宋体"/>
          <w:b/>
          <w:color w:val="000000"/>
          <w:sz w:val="32"/>
          <w:szCs w:val="32"/>
        </w:rPr>
      </w:pPr>
    </w:p>
    <w:p w14:paraId="254F6A93" w14:textId="77777777" w:rsidR="00BF0C91" w:rsidRDefault="00BF0C91">
      <w:pPr>
        <w:spacing w:line="360" w:lineRule="auto"/>
        <w:jc w:val="center"/>
        <w:rPr>
          <w:rFonts w:ascii="宋体" w:hAnsi="宋体"/>
          <w:b/>
          <w:color w:val="000000"/>
          <w:sz w:val="32"/>
          <w:szCs w:val="32"/>
        </w:rPr>
      </w:pPr>
    </w:p>
    <w:p w14:paraId="72B853F4" w14:textId="77777777" w:rsidR="00BF0C91" w:rsidRDefault="00D65346">
      <w:pPr>
        <w:spacing w:line="360" w:lineRule="auto"/>
        <w:jc w:val="center"/>
        <w:outlineLvl w:val="0"/>
        <w:rPr>
          <w:rFonts w:ascii="黑体" w:eastAsia="黑体" w:hAnsi="宋体"/>
          <w:b/>
          <w:color w:val="000000"/>
          <w:sz w:val="44"/>
          <w:szCs w:val="44"/>
        </w:rPr>
      </w:pPr>
      <w:bookmarkStart w:id="0" w:name="_Hlt83898043"/>
      <w:bookmarkEnd w:id="0"/>
      <w:r>
        <w:rPr>
          <w:rFonts w:ascii="黑体" w:eastAsia="黑体" w:hAnsi="宋体" w:hint="eastAsia"/>
          <w:b/>
          <w:sz w:val="44"/>
          <w:szCs w:val="44"/>
        </w:rPr>
        <w:t>交银施罗德货币市场证券投资基金</w:t>
      </w:r>
    </w:p>
    <w:p w14:paraId="2479AD94" w14:textId="77777777" w:rsidR="00BF0C91" w:rsidRDefault="00D65346">
      <w:pPr>
        <w:spacing w:line="360" w:lineRule="auto"/>
        <w:jc w:val="center"/>
        <w:outlineLvl w:val="0"/>
        <w:rPr>
          <w:rFonts w:ascii="黑体" w:eastAsia="黑体" w:hAnsi="宋体"/>
          <w:b/>
          <w:color w:val="000000"/>
          <w:sz w:val="44"/>
          <w:szCs w:val="44"/>
        </w:rPr>
      </w:pPr>
      <w:r>
        <w:rPr>
          <w:rFonts w:ascii="黑体" w:eastAsia="黑体" w:hAnsi="宋体" w:hint="eastAsia"/>
          <w:b/>
          <w:color w:val="000000"/>
          <w:sz w:val="44"/>
          <w:szCs w:val="44"/>
        </w:rPr>
        <w:t>基金合同</w:t>
      </w:r>
    </w:p>
    <w:p w14:paraId="6B04DD01" w14:textId="77777777" w:rsidR="00BF0C91" w:rsidRDefault="00BF0C91">
      <w:pPr>
        <w:spacing w:line="360" w:lineRule="auto"/>
        <w:jc w:val="center"/>
        <w:rPr>
          <w:rFonts w:ascii="宋体" w:hAnsi="宋体"/>
          <w:b/>
          <w:color w:val="000000"/>
          <w:sz w:val="24"/>
        </w:rPr>
      </w:pPr>
    </w:p>
    <w:p w14:paraId="349F7230" w14:textId="77777777" w:rsidR="00BF0C91" w:rsidRDefault="00BF0C91">
      <w:pPr>
        <w:spacing w:line="360" w:lineRule="auto"/>
        <w:jc w:val="center"/>
        <w:rPr>
          <w:rFonts w:ascii="宋体" w:hAnsi="宋体"/>
          <w:color w:val="000000"/>
          <w:sz w:val="24"/>
        </w:rPr>
      </w:pPr>
    </w:p>
    <w:p w14:paraId="63EC7AF8" w14:textId="77777777" w:rsidR="00BF0C91" w:rsidRDefault="00BF0C91">
      <w:pPr>
        <w:spacing w:line="360" w:lineRule="auto"/>
        <w:jc w:val="center"/>
        <w:rPr>
          <w:rFonts w:ascii="宋体" w:hAnsi="宋体"/>
          <w:color w:val="000000"/>
          <w:sz w:val="24"/>
        </w:rPr>
      </w:pPr>
    </w:p>
    <w:p w14:paraId="02366CA4" w14:textId="77777777" w:rsidR="00BF0C91" w:rsidRDefault="00BF0C91">
      <w:pPr>
        <w:spacing w:line="360" w:lineRule="auto"/>
        <w:jc w:val="center"/>
        <w:rPr>
          <w:rFonts w:ascii="宋体" w:hAnsi="宋体"/>
          <w:color w:val="000000"/>
          <w:sz w:val="24"/>
        </w:rPr>
      </w:pPr>
    </w:p>
    <w:p w14:paraId="7CF27C4F" w14:textId="77777777" w:rsidR="00BF0C91" w:rsidRDefault="00BF0C91">
      <w:pPr>
        <w:spacing w:line="360" w:lineRule="auto"/>
        <w:ind w:leftChars="942" w:left="1978"/>
        <w:outlineLvl w:val="0"/>
        <w:rPr>
          <w:rFonts w:ascii="黑体" w:eastAsia="黑体" w:hAnsi="宋体"/>
          <w:b/>
          <w:color w:val="000000"/>
          <w:sz w:val="24"/>
          <w:szCs w:val="28"/>
        </w:rPr>
      </w:pPr>
    </w:p>
    <w:p w14:paraId="7D97CD65" w14:textId="77777777" w:rsidR="00BF0C91" w:rsidRDefault="00D65346">
      <w:pPr>
        <w:spacing w:line="360" w:lineRule="auto"/>
        <w:ind w:leftChars="942" w:left="1978"/>
        <w:outlineLvl w:val="0"/>
        <w:rPr>
          <w:rFonts w:ascii="黑体" w:eastAsia="黑体" w:hAnsi="宋体"/>
          <w:b/>
          <w:color w:val="000000"/>
          <w:sz w:val="28"/>
          <w:szCs w:val="28"/>
        </w:rPr>
      </w:pPr>
      <w:r>
        <w:rPr>
          <w:rFonts w:ascii="黑体" w:eastAsia="黑体" w:hAnsi="宋体" w:hint="eastAsia"/>
          <w:b/>
          <w:color w:val="000000"/>
          <w:sz w:val="28"/>
          <w:szCs w:val="28"/>
        </w:rPr>
        <w:t>基金管理人：交银施罗德基金管理有限公司</w:t>
      </w:r>
    </w:p>
    <w:p w14:paraId="43AFA5C9" w14:textId="77777777" w:rsidR="00BF0C91" w:rsidRDefault="00D65346">
      <w:pPr>
        <w:spacing w:line="360" w:lineRule="auto"/>
        <w:ind w:leftChars="942" w:left="1978"/>
        <w:outlineLvl w:val="0"/>
        <w:rPr>
          <w:rFonts w:ascii="黑体" w:eastAsia="黑体" w:hAnsi="宋体"/>
          <w:b/>
          <w:color w:val="000000"/>
          <w:sz w:val="28"/>
          <w:szCs w:val="28"/>
        </w:rPr>
      </w:pPr>
      <w:r>
        <w:rPr>
          <w:rFonts w:ascii="黑体" w:eastAsia="黑体" w:hAnsi="宋体" w:hint="eastAsia"/>
          <w:b/>
          <w:color w:val="000000"/>
          <w:sz w:val="28"/>
          <w:szCs w:val="28"/>
        </w:rPr>
        <w:t>基金托管人：中国农业银行股份</w:t>
      </w:r>
      <w:r>
        <w:rPr>
          <w:rFonts w:ascii="黑体" w:eastAsia="黑体" w:hAnsi="宋体"/>
          <w:b/>
          <w:color w:val="000000"/>
          <w:sz w:val="28"/>
          <w:szCs w:val="28"/>
        </w:rPr>
        <w:t>有限公司</w:t>
      </w:r>
    </w:p>
    <w:p w14:paraId="4477E0DE" w14:textId="77777777" w:rsidR="00BF0C91" w:rsidRDefault="00BF0C91">
      <w:pPr>
        <w:autoSpaceDE w:val="0"/>
        <w:autoSpaceDN w:val="0"/>
        <w:spacing w:line="360" w:lineRule="auto"/>
        <w:ind w:leftChars="1114" w:left="2339"/>
        <w:textAlignment w:val="bottom"/>
        <w:rPr>
          <w:rFonts w:ascii="黑体" w:eastAsia="黑体" w:hAnsi="宋体"/>
          <w:b/>
          <w:color w:val="000000"/>
          <w:sz w:val="24"/>
          <w:szCs w:val="28"/>
        </w:rPr>
      </w:pPr>
    </w:p>
    <w:p w14:paraId="45FA7E1D" w14:textId="55228374" w:rsidR="00BF0C91" w:rsidRDefault="00D65346">
      <w:pPr>
        <w:autoSpaceDE w:val="0"/>
        <w:autoSpaceDN w:val="0"/>
        <w:spacing w:line="360" w:lineRule="auto"/>
        <w:ind w:leftChars="1200" w:left="2520" w:firstLineChars="200" w:firstLine="643"/>
        <w:jc w:val="left"/>
        <w:textAlignment w:val="bottom"/>
        <w:outlineLvl w:val="0"/>
        <w:rPr>
          <w:rFonts w:ascii="黑体" w:eastAsia="黑体" w:hAnsi="宋体"/>
          <w:b/>
          <w:color w:val="000000"/>
          <w:sz w:val="32"/>
          <w:szCs w:val="32"/>
        </w:rPr>
      </w:pPr>
      <w:r>
        <w:rPr>
          <w:rFonts w:ascii="黑体" w:eastAsia="黑体" w:hAnsi="宋体" w:hint="eastAsia"/>
          <w:b/>
          <w:color w:val="000000"/>
          <w:sz w:val="32"/>
          <w:szCs w:val="32"/>
        </w:rPr>
        <w:t>二〇二</w:t>
      </w:r>
      <w:r w:rsidR="00784A56">
        <w:rPr>
          <w:rFonts w:ascii="黑体" w:eastAsia="黑体" w:hAnsi="宋体" w:hint="eastAsia"/>
          <w:b/>
          <w:color w:val="000000"/>
          <w:sz w:val="32"/>
          <w:szCs w:val="32"/>
        </w:rPr>
        <w:t>四</w:t>
      </w:r>
      <w:r>
        <w:rPr>
          <w:rFonts w:ascii="黑体" w:eastAsia="黑体" w:hAnsi="宋体"/>
          <w:b/>
          <w:color w:val="000000"/>
          <w:sz w:val="32"/>
          <w:szCs w:val="32"/>
        </w:rPr>
        <w:t>年</w:t>
      </w:r>
      <w:r w:rsidR="00D60176">
        <w:rPr>
          <w:rFonts w:ascii="黑体" w:eastAsia="黑体" w:hAnsi="宋体" w:hint="eastAsia"/>
          <w:b/>
          <w:color w:val="000000"/>
          <w:sz w:val="32"/>
          <w:szCs w:val="32"/>
        </w:rPr>
        <w:t>二</w:t>
      </w:r>
      <w:r>
        <w:rPr>
          <w:rFonts w:ascii="黑体" w:eastAsia="黑体" w:hAnsi="宋体"/>
          <w:b/>
          <w:color w:val="000000"/>
          <w:sz w:val="32"/>
          <w:szCs w:val="32"/>
        </w:rPr>
        <w:t>月</w:t>
      </w:r>
    </w:p>
    <w:p w14:paraId="35C4F3BB" w14:textId="77777777" w:rsidR="00BF0C91" w:rsidRDefault="00BF0C91">
      <w:pPr>
        <w:autoSpaceDE w:val="0"/>
        <w:autoSpaceDN w:val="0"/>
        <w:spacing w:line="360" w:lineRule="auto"/>
        <w:ind w:leftChars="1200" w:left="2520"/>
        <w:textAlignment w:val="bottom"/>
        <w:outlineLvl w:val="0"/>
        <w:rPr>
          <w:rFonts w:ascii="黑体" w:eastAsia="黑体" w:hAnsi="宋体"/>
          <w:b/>
          <w:color w:val="000000"/>
          <w:sz w:val="24"/>
          <w:szCs w:val="28"/>
        </w:rPr>
      </w:pPr>
    </w:p>
    <w:p w14:paraId="5FC71490" w14:textId="77777777" w:rsidR="00BF0C91" w:rsidRDefault="00BF0C91">
      <w:pPr>
        <w:autoSpaceDE w:val="0"/>
        <w:autoSpaceDN w:val="0"/>
        <w:spacing w:line="360" w:lineRule="auto"/>
        <w:ind w:left="2996" w:rightChars="12" w:right="25" w:hanging="2996"/>
        <w:jc w:val="center"/>
        <w:textAlignment w:val="bottom"/>
        <w:rPr>
          <w:rFonts w:ascii="黑体" w:eastAsia="黑体" w:hAnsi="宋体"/>
          <w:b/>
          <w:sz w:val="24"/>
          <w:szCs w:val="28"/>
        </w:rPr>
      </w:pPr>
    </w:p>
    <w:p w14:paraId="736CCB06" w14:textId="77777777" w:rsidR="00BF0C91" w:rsidRDefault="00BF0C91">
      <w:pPr>
        <w:autoSpaceDE w:val="0"/>
        <w:autoSpaceDN w:val="0"/>
        <w:spacing w:line="360" w:lineRule="auto"/>
        <w:ind w:leftChars="600" w:left="2402" w:rightChars="12" w:right="25" w:hangingChars="544" w:hanging="1142"/>
        <w:textAlignment w:val="bottom"/>
        <w:rPr>
          <w:rFonts w:ascii="黑体" w:eastAsia="黑体" w:hAnsi="宋体"/>
          <w:color w:val="000000"/>
          <w:szCs w:val="21"/>
        </w:rPr>
      </w:pPr>
    </w:p>
    <w:p w14:paraId="2FB5A8E8" w14:textId="77777777" w:rsidR="00BF0C91" w:rsidRDefault="00D65346">
      <w:pPr>
        <w:autoSpaceDE w:val="0"/>
        <w:autoSpaceDN w:val="0"/>
        <w:spacing w:line="360" w:lineRule="auto"/>
        <w:ind w:left="2239" w:rightChars="12" w:right="25" w:hangingChars="1066" w:hanging="2239"/>
        <w:jc w:val="center"/>
        <w:textAlignment w:val="bottom"/>
        <w:rPr>
          <w:rFonts w:ascii="黑体" w:eastAsia="黑体" w:hAnsi="宋体"/>
          <w:b/>
          <w:color w:val="000000"/>
          <w:sz w:val="24"/>
        </w:rPr>
      </w:pPr>
      <w:r>
        <w:rPr>
          <w:rFonts w:ascii="黑体" w:eastAsia="黑体" w:hAnsi="宋体" w:hint="eastAsia"/>
          <w:color w:val="000000"/>
          <w:szCs w:val="21"/>
        </w:rPr>
        <w:t>基金合同条款未来如有修改，将在指定媒介公告，恕不另行书面通知。</w:t>
      </w:r>
    </w:p>
    <w:p w14:paraId="20DBCDFC" w14:textId="77777777" w:rsidR="00BF0C91" w:rsidRDefault="00BF0C91">
      <w:pPr>
        <w:autoSpaceDE w:val="0"/>
        <w:autoSpaceDN w:val="0"/>
        <w:spacing w:line="360" w:lineRule="auto"/>
        <w:ind w:left="2568" w:rightChars="12" w:right="25" w:hangingChars="1066" w:hanging="2568"/>
        <w:jc w:val="center"/>
        <w:textAlignment w:val="bottom"/>
        <w:rPr>
          <w:rFonts w:ascii="黑体" w:eastAsia="黑体" w:hAnsi="宋体"/>
          <w:b/>
          <w:color w:val="000000"/>
          <w:sz w:val="24"/>
        </w:rPr>
        <w:sectPr w:rsidR="00BF0C91">
          <w:headerReference w:type="default" r:id="rId10"/>
          <w:footerReference w:type="even" r:id="rId11"/>
          <w:footerReference w:type="default" r:id="rId12"/>
          <w:headerReference w:type="first" r:id="rId13"/>
          <w:footerReference w:type="first" r:id="rId14"/>
          <w:pgSz w:w="11906" w:h="16838"/>
          <w:pgMar w:top="1440" w:right="1797" w:bottom="1440" w:left="1797" w:header="851" w:footer="992" w:gutter="0"/>
          <w:pgNumType w:start="1" w:chapStyle="1"/>
          <w:cols w:space="720"/>
          <w:titlePg/>
        </w:sectPr>
      </w:pPr>
    </w:p>
    <w:p w14:paraId="2B79F08C" w14:textId="77777777" w:rsidR="00BF0C91" w:rsidRDefault="00D65346">
      <w:pPr>
        <w:autoSpaceDE w:val="0"/>
        <w:autoSpaceDN w:val="0"/>
        <w:spacing w:line="360" w:lineRule="auto"/>
        <w:ind w:left="2698" w:hangingChars="896" w:hanging="2698"/>
        <w:jc w:val="center"/>
        <w:textAlignment w:val="bottom"/>
        <w:outlineLvl w:val="0"/>
        <w:rPr>
          <w:rFonts w:ascii="黑体" w:eastAsia="黑体" w:hAnsi="宋体"/>
          <w:b/>
          <w:color w:val="000000"/>
          <w:sz w:val="30"/>
          <w:szCs w:val="32"/>
        </w:rPr>
      </w:pPr>
      <w:r>
        <w:rPr>
          <w:rFonts w:ascii="黑体" w:eastAsia="黑体" w:hAnsi="宋体" w:hint="eastAsia"/>
          <w:b/>
          <w:color w:val="000000"/>
          <w:sz w:val="30"/>
          <w:szCs w:val="32"/>
        </w:rPr>
        <w:lastRenderedPageBreak/>
        <w:t>目    录</w:t>
      </w:r>
    </w:p>
    <w:p w14:paraId="000E06F3" w14:textId="77777777" w:rsidR="00BF0C91" w:rsidRDefault="00BF0C91">
      <w:pPr>
        <w:autoSpaceDE w:val="0"/>
        <w:autoSpaceDN w:val="0"/>
        <w:spacing w:line="360" w:lineRule="auto"/>
        <w:ind w:left="2159" w:hangingChars="896" w:hanging="2159"/>
        <w:jc w:val="center"/>
        <w:textAlignment w:val="bottom"/>
        <w:outlineLvl w:val="0"/>
        <w:rPr>
          <w:rFonts w:ascii="黑体" w:eastAsia="黑体" w:hAnsi="宋体"/>
          <w:b/>
          <w:color w:val="000000"/>
          <w:sz w:val="24"/>
          <w:szCs w:val="32"/>
        </w:rPr>
      </w:pPr>
    </w:p>
    <w:p w14:paraId="352D54D2" w14:textId="247F411A" w:rsidR="00BF0C91" w:rsidRDefault="00D65346">
      <w:pPr>
        <w:pStyle w:val="10"/>
        <w:rPr>
          <w:rFonts w:ascii="Times New Roman" w:hAnsi="Times New Roman"/>
          <w:caps w:val="0"/>
          <w:noProof/>
          <w:sz w:val="21"/>
          <w:szCs w:val="24"/>
        </w:rPr>
      </w:pPr>
      <w:r>
        <w:fldChar w:fldCharType="begin"/>
      </w:r>
      <w:r>
        <w:instrText xml:space="preserve"> TOC \o "1-1" \h \z </w:instrText>
      </w:r>
      <w:r>
        <w:fldChar w:fldCharType="separate"/>
      </w:r>
      <w:hyperlink w:anchor="_Toc169580215" w:history="1">
        <w:r>
          <w:rPr>
            <w:rStyle w:val="af3"/>
            <w:rFonts w:ascii="Arial" w:eastAsia="黑体" w:hAnsi="Arial" w:cs="Arial" w:hint="eastAsia"/>
            <w:noProof/>
          </w:rPr>
          <w:t>第一部分</w:t>
        </w:r>
        <w:r>
          <w:rPr>
            <w:rStyle w:val="af3"/>
            <w:rFonts w:ascii="Arial" w:eastAsia="黑体" w:hAnsi="Arial" w:cs="Arial"/>
            <w:noProof/>
          </w:rPr>
          <w:t xml:space="preserve">  </w:t>
        </w:r>
        <w:r>
          <w:rPr>
            <w:rStyle w:val="af3"/>
            <w:rFonts w:ascii="Arial" w:eastAsia="黑体" w:hAnsi="Arial" w:cs="Arial" w:hint="eastAsia"/>
            <w:noProof/>
          </w:rPr>
          <w:t>前言</w:t>
        </w:r>
        <w:r>
          <w:rPr>
            <w:noProof/>
          </w:rPr>
          <w:tab/>
        </w:r>
        <w:r>
          <w:rPr>
            <w:noProof/>
          </w:rPr>
          <w:fldChar w:fldCharType="begin"/>
        </w:r>
        <w:r>
          <w:rPr>
            <w:noProof/>
          </w:rPr>
          <w:instrText xml:space="preserve"> PAGEREF _Toc169580215 \h </w:instrText>
        </w:r>
        <w:r>
          <w:rPr>
            <w:noProof/>
          </w:rPr>
        </w:r>
        <w:r>
          <w:rPr>
            <w:noProof/>
          </w:rPr>
          <w:fldChar w:fldCharType="separate"/>
        </w:r>
        <w:r w:rsidR="00D60176">
          <w:rPr>
            <w:noProof/>
          </w:rPr>
          <w:t>1</w:t>
        </w:r>
        <w:r>
          <w:rPr>
            <w:noProof/>
          </w:rPr>
          <w:fldChar w:fldCharType="end"/>
        </w:r>
      </w:hyperlink>
    </w:p>
    <w:p w14:paraId="271BCD24" w14:textId="2ECBF8B3" w:rsidR="00BF0C91" w:rsidRDefault="0029226A">
      <w:pPr>
        <w:pStyle w:val="10"/>
        <w:rPr>
          <w:rFonts w:ascii="Times New Roman" w:hAnsi="Times New Roman"/>
          <w:caps w:val="0"/>
          <w:noProof/>
          <w:sz w:val="21"/>
          <w:szCs w:val="24"/>
        </w:rPr>
      </w:pPr>
      <w:hyperlink w:anchor="_Toc169580216" w:history="1">
        <w:r w:rsidR="00D65346">
          <w:rPr>
            <w:rStyle w:val="af3"/>
            <w:rFonts w:ascii="Arial" w:eastAsia="黑体" w:hAnsi="Arial" w:cs="Arial" w:hint="eastAsia"/>
            <w:noProof/>
          </w:rPr>
          <w:t>第二部分</w:t>
        </w:r>
        <w:r w:rsidR="00D65346">
          <w:rPr>
            <w:rStyle w:val="af3"/>
            <w:rFonts w:ascii="Arial" w:eastAsia="黑体" w:hAnsi="Arial" w:cs="Arial"/>
            <w:noProof/>
          </w:rPr>
          <w:t xml:space="preserve">  </w:t>
        </w:r>
        <w:r w:rsidR="00D65346">
          <w:rPr>
            <w:rStyle w:val="af3"/>
            <w:rFonts w:ascii="Arial" w:eastAsia="黑体" w:hAnsi="Arial" w:cs="Arial" w:hint="eastAsia"/>
            <w:noProof/>
          </w:rPr>
          <w:t>释义</w:t>
        </w:r>
        <w:r w:rsidR="00D65346">
          <w:rPr>
            <w:noProof/>
          </w:rPr>
          <w:tab/>
        </w:r>
        <w:r w:rsidR="00D65346">
          <w:rPr>
            <w:noProof/>
          </w:rPr>
          <w:fldChar w:fldCharType="begin"/>
        </w:r>
        <w:r w:rsidR="00D65346">
          <w:rPr>
            <w:noProof/>
          </w:rPr>
          <w:instrText xml:space="preserve"> PAGEREF _Toc169580216 \h </w:instrText>
        </w:r>
        <w:r w:rsidR="00D65346">
          <w:rPr>
            <w:noProof/>
          </w:rPr>
        </w:r>
        <w:r w:rsidR="00D65346">
          <w:rPr>
            <w:noProof/>
          </w:rPr>
          <w:fldChar w:fldCharType="separate"/>
        </w:r>
        <w:r w:rsidR="00D60176">
          <w:rPr>
            <w:noProof/>
          </w:rPr>
          <w:t>3</w:t>
        </w:r>
        <w:r w:rsidR="00D65346">
          <w:rPr>
            <w:noProof/>
          </w:rPr>
          <w:fldChar w:fldCharType="end"/>
        </w:r>
      </w:hyperlink>
    </w:p>
    <w:p w14:paraId="70999ED0" w14:textId="314FCFB4" w:rsidR="00BF0C91" w:rsidRDefault="0029226A">
      <w:pPr>
        <w:pStyle w:val="10"/>
        <w:rPr>
          <w:rFonts w:ascii="Times New Roman" w:hAnsi="Times New Roman"/>
          <w:caps w:val="0"/>
          <w:noProof/>
          <w:sz w:val="21"/>
          <w:szCs w:val="24"/>
        </w:rPr>
      </w:pPr>
      <w:hyperlink w:anchor="_Toc169580217" w:history="1">
        <w:r w:rsidR="00D65346">
          <w:rPr>
            <w:rStyle w:val="af3"/>
            <w:rFonts w:ascii="黑体" w:eastAsia="黑体" w:hAnsi="Arial" w:cs="Arial" w:hint="eastAsia"/>
            <w:noProof/>
          </w:rPr>
          <w:t>第三部分</w:t>
        </w:r>
        <w:r w:rsidR="00D65346">
          <w:rPr>
            <w:rStyle w:val="af3"/>
            <w:rFonts w:ascii="黑体" w:eastAsia="黑体" w:hAnsi="Arial" w:cs="Arial"/>
            <w:noProof/>
          </w:rPr>
          <w:t xml:space="preserve">  </w:t>
        </w:r>
        <w:r w:rsidR="00D65346">
          <w:rPr>
            <w:rStyle w:val="af3"/>
            <w:rFonts w:ascii="黑体" w:eastAsia="黑体" w:hAnsi="Arial" w:cs="Arial" w:hint="eastAsia"/>
            <w:noProof/>
          </w:rPr>
          <w:t>基金的基本情况</w:t>
        </w:r>
        <w:r w:rsidR="00D65346">
          <w:rPr>
            <w:noProof/>
          </w:rPr>
          <w:tab/>
        </w:r>
        <w:r w:rsidR="00D65346">
          <w:rPr>
            <w:noProof/>
          </w:rPr>
          <w:fldChar w:fldCharType="begin"/>
        </w:r>
        <w:r w:rsidR="00D65346">
          <w:rPr>
            <w:noProof/>
          </w:rPr>
          <w:instrText xml:space="preserve"> PAGEREF _Toc169580217 \h </w:instrText>
        </w:r>
        <w:r w:rsidR="00D65346">
          <w:rPr>
            <w:noProof/>
          </w:rPr>
        </w:r>
        <w:r w:rsidR="00D65346">
          <w:rPr>
            <w:noProof/>
          </w:rPr>
          <w:fldChar w:fldCharType="separate"/>
        </w:r>
        <w:r w:rsidR="00D60176">
          <w:rPr>
            <w:noProof/>
          </w:rPr>
          <w:t>9</w:t>
        </w:r>
        <w:r w:rsidR="00D65346">
          <w:rPr>
            <w:noProof/>
          </w:rPr>
          <w:fldChar w:fldCharType="end"/>
        </w:r>
      </w:hyperlink>
    </w:p>
    <w:p w14:paraId="506E8F5E" w14:textId="620F67CD" w:rsidR="00BF0C91" w:rsidRDefault="0029226A">
      <w:pPr>
        <w:pStyle w:val="10"/>
        <w:rPr>
          <w:rFonts w:ascii="Times New Roman" w:hAnsi="Times New Roman"/>
          <w:caps w:val="0"/>
          <w:noProof/>
          <w:sz w:val="21"/>
          <w:szCs w:val="24"/>
        </w:rPr>
      </w:pPr>
      <w:hyperlink w:anchor="_Toc169580218" w:history="1">
        <w:r w:rsidR="00D65346">
          <w:rPr>
            <w:rStyle w:val="af3"/>
            <w:rFonts w:ascii="黑体" w:eastAsia="黑体" w:hAnsi="Arial" w:cs="Arial" w:hint="eastAsia"/>
            <w:noProof/>
          </w:rPr>
          <w:t>第四部分</w:t>
        </w:r>
        <w:r w:rsidR="00D65346">
          <w:rPr>
            <w:rStyle w:val="af3"/>
            <w:rFonts w:ascii="黑体" w:eastAsia="黑体" w:hAnsi="Arial" w:cs="Arial"/>
            <w:noProof/>
          </w:rPr>
          <w:t xml:space="preserve">  </w:t>
        </w:r>
        <w:r w:rsidR="00D65346">
          <w:rPr>
            <w:rStyle w:val="af3"/>
            <w:rFonts w:ascii="黑体" w:eastAsia="黑体" w:hAnsi="Arial" w:cs="Arial" w:hint="eastAsia"/>
            <w:noProof/>
          </w:rPr>
          <w:t>基金份额的发售</w:t>
        </w:r>
        <w:r w:rsidR="00D65346">
          <w:rPr>
            <w:noProof/>
          </w:rPr>
          <w:tab/>
        </w:r>
        <w:r w:rsidR="00D65346">
          <w:rPr>
            <w:noProof/>
          </w:rPr>
          <w:fldChar w:fldCharType="begin"/>
        </w:r>
        <w:r w:rsidR="00D65346">
          <w:rPr>
            <w:noProof/>
          </w:rPr>
          <w:instrText xml:space="preserve"> PAGEREF _Toc169580218 \h </w:instrText>
        </w:r>
        <w:r w:rsidR="00D65346">
          <w:rPr>
            <w:noProof/>
          </w:rPr>
        </w:r>
        <w:r w:rsidR="00D65346">
          <w:rPr>
            <w:noProof/>
          </w:rPr>
          <w:fldChar w:fldCharType="separate"/>
        </w:r>
        <w:r w:rsidR="00D60176">
          <w:rPr>
            <w:noProof/>
          </w:rPr>
          <w:t>10</w:t>
        </w:r>
        <w:r w:rsidR="00D65346">
          <w:rPr>
            <w:noProof/>
          </w:rPr>
          <w:fldChar w:fldCharType="end"/>
        </w:r>
      </w:hyperlink>
    </w:p>
    <w:p w14:paraId="3C7EE217" w14:textId="791EF9B0" w:rsidR="00BF0C91" w:rsidRDefault="0029226A">
      <w:pPr>
        <w:pStyle w:val="10"/>
        <w:rPr>
          <w:rFonts w:ascii="Times New Roman" w:hAnsi="Times New Roman"/>
          <w:caps w:val="0"/>
          <w:noProof/>
          <w:sz w:val="21"/>
          <w:szCs w:val="24"/>
        </w:rPr>
      </w:pPr>
      <w:hyperlink w:anchor="_Toc169580219" w:history="1">
        <w:r w:rsidR="00D65346">
          <w:rPr>
            <w:rStyle w:val="af3"/>
            <w:rFonts w:ascii="黑体" w:eastAsia="黑体" w:hAnsi="Arial" w:cs="Arial" w:hint="eastAsia"/>
            <w:noProof/>
          </w:rPr>
          <w:t>第五部分</w:t>
        </w:r>
        <w:r w:rsidR="00D65346">
          <w:rPr>
            <w:rStyle w:val="af3"/>
            <w:rFonts w:ascii="黑体" w:eastAsia="黑体" w:hAnsi="Arial" w:cs="Arial"/>
            <w:noProof/>
          </w:rPr>
          <w:t xml:space="preserve">  </w:t>
        </w:r>
        <w:r w:rsidR="00D65346">
          <w:rPr>
            <w:rStyle w:val="af3"/>
            <w:rFonts w:ascii="黑体" w:eastAsia="黑体" w:hAnsi="Arial" w:cs="Arial" w:hint="eastAsia"/>
            <w:noProof/>
          </w:rPr>
          <w:t>基金备案</w:t>
        </w:r>
        <w:r w:rsidR="00D65346">
          <w:rPr>
            <w:noProof/>
          </w:rPr>
          <w:tab/>
        </w:r>
        <w:r w:rsidR="00D65346">
          <w:rPr>
            <w:noProof/>
          </w:rPr>
          <w:fldChar w:fldCharType="begin"/>
        </w:r>
        <w:r w:rsidR="00D65346">
          <w:rPr>
            <w:noProof/>
          </w:rPr>
          <w:instrText xml:space="preserve"> PAGEREF _Toc169580219 \h </w:instrText>
        </w:r>
        <w:r w:rsidR="00D65346">
          <w:rPr>
            <w:noProof/>
          </w:rPr>
        </w:r>
        <w:r w:rsidR="00D65346">
          <w:rPr>
            <w:noProof/>
          </w:rPr>
          <w:fldChar w:fldCharType="separate"/>
        </w:r>
        <w:r w:rsidR="00D60176">
          <w:rPr>
            <w:noProof/>
          </w:rPr>
          <w:t>11</w:t>
        </w:r>
        <w:r w:rsidR="00D65346">
          <w:rPr>
            <w:noProof/>
          </w:rPr>
          <w:fldChar w:fldCharType="end"/>
        </w:r>
      </w:hyperlink>
    </w:p>
    <w:p w14:paraId="6AB45722" w14:textId="7A46F213" w:rsidR="00BF0C91" w:rsidRDefault="0029226A">
      <w:pPr>
        <w:pStyle w:val="10"/>
        <w:rPr>
          <w:rFonts w:ascii="Times New Roman" w:hAnsi="Times New Roman"/>
          <w:caps w:val="0"/>
          <w:noProof/>
          <w:sz w:val="21"/>
          <w:szCs w:val="24"/>
        </w:rPr>
      </w:pPr>
      <w:hyperlink w:anchor="_Toc169580220" w:history="1">
        <w:r w:rsidR="00D65346">
          <w:rPr>
            <w:rStyle w:val="af3"/>
            <w:rFonts w:ascii="黑体" w:eastAsia="黑体" w:hAnsi="Arial" w:cs="Arial" w:hint="eastAsia"/>
            <w:noProof/>
          </w:rPr>
          <w:t>第六部分</w:t>
        </w:r>
        <w:r w:rsidR="00D65346">
          <w:rPr>
            <w:rStyle w:val="af3"/>
            <w:rFonts w:ascii="黑体" w:eastAsia="黑体" w:hAnsi="Arial" w:cs="Arial"/>
            <w:noProof/>
          </w:rPr>
          <w:t xml:space="preserve">  </w:t>
        </w:r>
        <w:r w:rsidR="00D65346">
          <w:rPr>
            <w:rStyle w:val="af3"/>
            <w:rFonts w:ascii="黑体" w:eastAsia="黑体" w:hAnsi="Arial" w:cs="Arial" w:hint="eastAsia"/>
            <w:noProof/>
          </w:rPr>
          <w:t>基金的申购、赎回及其他业务</w:t>
        </w:r>
        <w:r w:rsidR="00D65346">
          <w:rPr>
            <w:noProof/>
          </w:rPr>
          <w:tab/>
        </w:r>
        <w:r w:rsidR="00D65346">
          <w:rPr>
            <w:noProof/>
          </w:rPr>
          <w:fldChar w:fldCharType="begin"/>
        </w:r>
        <w:r w:rsidR="00D65346">
          <w:rPr>
            <w:noProof/>
          </w:rPr>
          <w:instrText xml:space="preserve"> PAGEREF _Toc169580220 \h </w:instrText>
        </w:r>
        <w:r w:rsidR="00D65346">
          <w:rPr>
            <w:noProof/>
          </w:rPr>
        </w:r>
        <w:r w:rsidR="00D65346">
          <w:rPr>
            <w:noProof/>
          </w:rPr>
          <w:fldChar w:fldCharType="separate"/>
        </w:r>
        <w:r w:rsidR="00D60176">
          <w:rPr>
            <w:noProof/>
          </w:rPr>
          <w:t>12</w:t>
        </w:r>
        <w:r w:rsidR="00D65346">
          <w:rPr>
            <w:noProof/>
          </w:rPr>
          <w:fldChar w:fldCharType="end"/>
        </w:r>
      </w:hyperlink>
    </w:p>
    <w:p w14:paraId="237F97D5" w14:textId="209EE6AC" w:rsidR="00BF0C91" w:rsidRDefault="0029226A">
      <w:pPr>
        <w:pStyle w:val="10"/>
        <w:rPr>
          <w:rFonts w:ascii="Times New Roman" w:hAnsi="Times New Roman"/>
          <w:caps w:val="0"/>
          <w:noProof/>
          <w:sz w:val="21"/>
          <w:szCs w:val="24"/>
        </w:rPr>
      </w:pPr>
      <w:hyperlink w:anchor="_Toc169580221" w:history="1">
        <w:r w:rsidR="00D65346">
          <w:rPr>
            <w:rStyle w:val="af3"/>
            <w:rFonts w:ascii="黑体" w:eastAsia="黑体" w:hAnsi="Arial" w:cs="Arial" w:hint="eastAsia"/>
            <w:noProof/>
          </w:rPr>
          <w:t>第七部分</w:t>
        </w:r>
        <w:r w:rsidR="00D65346">
          <w:rPr>
            <w:rStyle w:val="af3"/>
            <w:rFonts w:ascii="黑体" w:eastAsia="黑体" w:hAnsi="Arial" w:cs="Arial"/>
            <w:noProof/>
          </w:rPr>
          <w:t xml:space="preserve">  </w:t>
        </w:r>
        <w:r w:rsidR="00D65346">
          <w:rPr>
            <w:rStyle w:val="af3"/>
            <w:rFonts w:ascii="黑体" w:eastAsia="黑体" w:hAnsi="Arial" w:cs="Arial" w:hint="eastAsia"/>
            <w:noProof/>
          </w:rPr>
          <w:t>基金合同当事人及权利义务</w:t>
        </w:r>
        <w:r w:rsidR="00D65346">
          <w:rPr>
            <w:noProof/>
          </w:rPr>
          <w:tab/>
        </w:r>
        <w:r w:rsidR="00D65346">
          <w:rPr>
            <w:noProof/>
          </w:rPr>
          <w:fldChar w:fldCharType="begin"/>
        </w:r>
        <w:r w:rsidR="00D65346">
          <w:rPr>
            <w:noProof/>
          </w:rPr>
          <w:instrText xml:space="preserve"> PAGEREF _Toc169580221 \h </w:instrText>
        </w:r>
        <w:r w:rsidR="00D65346">
          <w:rPr>
            <w:noProof/>
          </w:rPr>
        </w:r>
        <w:r w:rsidR="00D65346">
          <w:rPr>
            <w:noProof/>
          </w:rPr>
          <w:fldChar w:fldCharType="separate"/>
        </w:r>
        <w:r w:rsidR="00D60176">
          <w:rPr>
            <w:noProof/>
          </w:rPr>
          <w:t>20</w:t>
        </w:r>
        <w:r w:rsidR="00D65346">
          <w:rPr>
            <w:noProof/>
          </w:rPr>
          <w:fldChar w:fldCharType="end"/>
        </w:r>
      </w:hyperlink>
    </w:p>
    <w:p w14:paraId="70F0901B" w14:textId="7F1D8B95" w:rsidR="00BF0C91" w:rsidRDefault="0029226A">
      <w:pPr>
        <w:pStyle w:val="10"/>
        <w:rPr>
          <w:rFonts w:ascii="Times New Roman" w:hAnsi="Times New Roman"/>
          <w:caps w:val="0"/>
          <w:noProof/>
          <w:sz w:val="21"/>
          <w:szCs w:val="24"/>
        </w:rPr>
      </w:pPr>
      <w:hyperlink w:anchor="_Toc169580222" w:history="1">
        <w:r w:rsidR="00D65346">
          <w:rPr>
            <w:rStyle w:val="af3"/>
            <w:rFonts w:ascii="黑体" w:eastAsia="黑体" w:hAnsi="Arial" w:cs="Arial" w:hint="eastAsia"/>
            <w:noProof/>
          </w:rPr>
          <w:t>第八部分</w:t>
        </w:r>
        <w:r w:rsidR="00D65346">
          <w:rPr>
            <w:rStyle w:val="af3"/>
            <w:rFonts w:ascii="黑体" w:eastAsia="黑体" w:hAnsi="Arial" w:cs="Arial"/>
            <w:noProof/>
          </w:rPr>
          <w:t xml:space="preserve">  </w:t>
        </w:r>
        <w:r w:rsidR="00D65346">
          <w:rPr>
            <w:rStyle w:val="af3"/>
            <w:rFonts w:ascii="黑体" w:eastAsia="黑体" w:hAnsi="Arial" w:cs="Arial" w:hint="eastAsia"/>
            <w:noProof/>
          </w:rPr>
          <w:t>基金份额持有人大会</w:t>
        </w:r>
        <w:r w:rsidR="00D65346">
          <w:rPr>
            <w:noProof/>
          </w:rPr>
          <w:tab/>
        </w:r>
        <w:r w:rsidR="00D65346">
          <w:rPr>
            <w:noProof/>
          </w:rPr>
          <w:fldChar w:fldCharType="begin"/>
        </w:r>
        <w:r w:rsidR="00D65346">
          <w:rPr>
            <w:noProof/>
          </w:rPr>
          <w:instrText xml:space="preserve"> PAGEREF _Toc169580222 \h </w:instrText>
        </w:r>
        <w:r w:rsidR="00D65346">
          <w:rPr>
            <w:noProof/>
          </w:rPr>
        </w:r>
        <w:r w:rsidR="00D65346">
          <w:rPr>
            <w:noProof/>
          </w:rPr>
          <w:fldChar w:fldCharType="separate"/>
        </w:r>
        <w:r w:rsidR="00D60176">
          <w:rPr>
            <w:noProof/>
          </w:rPr>
          <w:t>27</w:t>
        </w:r>
        <w:r w:rsidR="00D65346">
          <w:rPr>
            <w:noProof/>
          </w:rPr>
          <w:fldChar w:fldCharType="end"/>
        </w:r>
      </w:hyperlink>
    </w:p>
    <w:p w14:paraId="57D551D2" w14:textId="204DC163" w:rsidR="00BF0C91" w:rsidRDefault="0029226A">
      <w:pPr>
        <w:pStyle w:val="10"/>
        <w:rPr>
          <w:rFonts w:ascii="Times New Roman" w:hAnsi="Times New Roman"/>
          <w:caps w:val="0"/>
          <w:noProof/>
          <w:sz w:val="21"/>
          <w:szCs w:val="24"/>
        </w:rPr>
      </w:pPr>
      <w:hyperlink w:anchor="_Toc169580223" w:history="1">
        <w:r w:rsidR="00D65346">
          <w:rPr>
            <w:rStyle w:val="af3"/>
            <w:rFonts w:ascii="黑体" w:eastAsia="黑体" w:hAnsi="Arial" w:cs="Arial" w:hint="eastAsia"/>
            <w:noProof/>
          </w:rPr>
          <w:t>第九部分</w:t>
        </w:r>
        <w:r w:rsidR="00D65346">
          <w:rPr>
            <w:rStyle w:val="af3"/>
            <w:rFonts w:ascii="黑体" w:eastAsia="黑体" w:hAnsi="Arial" w:cs="Arial"/>
            <w:noProof/>
          </w:rPr>
          <w:t xml:space="preserve">  </w:t>
        </w:r>
        <w:r w:rsidR="00D65346">
          <w:rPr>
            <w:rStyle w:val="af3"/>
            <w:rFonts w:ascii="黑体" w:eastAsia="黑体" w:hAnsi="Arial" w:cs="Arial" w:hint="eastAsia"/>
            <w:noProof/>
          </w:rPr>
          <w:t>基金管理人、基金托管人的更换条件和程</w:t>
        </w:r>
        <w:bookmarkStart w:id="1" w:name="_GoBack"/>
        <w:bookmarkEnd w:id="1"/>
        <w:r w:rsidR="00D65346">
          <w:rPr>
            <w:rStyle w:val="af3"/>
            <w:rFonts w:ascii="黑体" w:eastAsia="黑体" w:hAnsi="Arial" w:cs="Arial" w:hint="eastAsia"/>
            <w:noProof/>
          </w:rPr>
          <w:t>序</w:t>
        </w:r>
        <w:r w:rsidR="00D65346">
          <w:rPr>
            <w:noProof/>
          </w:rPr>
          <w:tab/>
        </w:r>
        <w:r w:rsidR="00D65346">
          <w:rPr>
            <w:noProof/>
          </w:rPr>
          <w:fldChar w:fldCharType="begin"/>
        </w:r>
        <w:r w:rsidR="00D65346">
          <w:rPr>
            <w:noProof/>
          </w:rPr>
          <w:instrText xml:space="preserve"> PAGEREF _Toc169580223 \h </w:instrText>
        </w:r>
        <w:r w:rsidR="00D65346">
          <w:rPr>
            <w:noProof/>
          </w:rPr>
        </w:r>
        <w:r w:rsidR="00D65346">
          <w:rPr>
            <w:noProof/>
          </w:rPr>
          <w:fldChar w:fldCharType="separate"/>
        </w:r>
        <w:r w:rsidR="00D60176">
          <w:rPr>
            <w:noProof/>
          </w:rPr>
          <w:t>33</w:t>
        </w:r>
        <w:r w:rsidR="00D65346">
          <w:rPr>
            <w:noProof/>
          </w:rPr>
          <w:fldChar w:fldCharType="end"/>
        </w:r>
      </w:hyperlink>
    </w:p>
    <w:p w14:paraId="2DB0C26D" w14:textId="497E6063" w:rsidR="00BF0C91" w:rsidRDefault="0029226A">
      <w:pPr>
        <w:pStyle w:val="10"/>
        <w:rPr>
          <w:rFonts w:ascii="Times New Roman" w:hAnsi="Times New Roman"/>
          <w:caps w:val="0"/>
          <w:noProof/>
          <w:sz w:val="21"/>
          <w:szCs w:val="24"/>
        </w:rPr>
      </w:pPr>
      <w:hyperlink w:anchor="_Toc169580224" w:history="1">
        <w:r w:rsidR="00D65346">
          <w:rPr>
            <w:rStyle w:val="af3"/>
            <w:rFonts w:ascii="黑体" w:eastAsia="黑体" w:hAnsi="Arial" w:cs="Arial" w:hint="eastAsia"/>
            <w:noProof/>
          </w:rPr>
          <w:t>第十部分</w:t>
        </w:r>
        <w:r w:rsidR="00D65346">
          <w:rPr>
            <w:rStyle w:val="af3"/>
            <w:rFonts w:ascii="黑体" w:eastAsia="黑体" w:hAnsi="Arial" w:cs="Arial"/>
            <w:noProof/>
          </w:rPr>
          <w:t xml:space="preserve">  </w:t>
        </w:r>
        <w:r w:rsidR="00D65346">
          <w:rPr>
            <w:rStyle w:val="af3"/>
            <w:rFonts w:ascii="黑体" w:eastAsia="黑体" w:hAnsi="Arial" w:cs="Arial" w:hint="eastAsia"/>
            <w:noProof/>
          </w:rPr>
          <w:t>基金的托管</w:t>
        </w:r>
        <w:r w:rsidR="00D65346">
          <w:rPr>
            <w:noProof/>
          </w:rPr>
          <w:tab/>
        </w:r>
        <w:r w:rsidR="00D65346">
          <w:rPr>
            <w:noProof/>
          </w:rPr>
          <w:fldChar w:fldCharType="begin"/>
        </w:r>
        <w:r w:rsidR="00D65346">
          <w:rPr>
            <w:noProof/>
          </w:rPr>
          <w:instrText xml:space="preserve"> PAGEREF _Toc169580224 \h </w:instrText>
        </w:r>
        <w:r w:rsidR="00D65346">
          <w:rPr>
            <w:noProof/>
          </w:rPr>
        </w:r>
        <w:r w:rsidR="00D65346">
          <w:rPr>
            <w:noProof/>
          </w:rPr>
          <w:fldChar w:fldCharType="separate"/>
        </w:r>
        <w:r w:rsidR="00D60176">
          <w:rPr>
            <w:noProof/>
          </w:rPr>
          <w:t>35</w:t>
        </w:r>
        <w:r w:rsidR="00D65346">
          <w:rPr>
            <w:noProof/>
          </w:rPr>
          <w:fldChar w:fldCharType="end"/>
        </w:r>
      </w:hyperlink>
    </w:p>
    <w:p w14:paraId="711FA0F8" w14:textId="5B0E757A" w:rsidR="00BF0C91" w:rsidRDefault="0029226A">
      <w:pPr>
        <w:pStyle w:val="10"/>
        <w:rPr>
          <w:rFonts w:ascii="Times New Roman" w:hAnsi="Times New Roman"/>
          <w:caps w:val="0"/>
          <w:noProof/>
          <w:sz w:val="21"/>
          <w:szCs w:val="24"/>
        </w:rPr>
      </w:pPr>
      <w:hyperlink w:anchor="_Toc169580225" w:history="1">
        <w:r w:rsidR="00D65346">
          <w:rPr>
            <w:rStyle w:val="af3"/>
            <w:rFonts w:ascii="黑体" w:eastAsia="黑体" w:hAnsi="Arial" w:cs="Arial" w:hint="eastAsia"/>
            <w:noProof/>
          </w:rPr>
          <w:t>第十一部分</w:t>
        </w:r>
        <w:r w:rsidR="00D65346">
          <w:rPr>
            <w:rStyle w:val="af3"/>
            <w:rFonts w:ascii="黑体" w:eastAsia="黑体" w:hAnsi="Arial" w:cs="Arial"/>
            <w:noProof/>
          </w:rPr>
          <w:t xml:space="preserve">  </w:t>
        </w:r>
        <w:r w:rsidR="00D65346">
          <w:rPr>
            <w:rStyle w:val="af3"/>
            <w:rFonts w:ascii="黑体" w:eastAsia="黑体" w:hAnsi="Arial" w:cs="Arial" w:hint="eastAsia"/>
            <w:noProof/>
          </w:rPr>
          <w:t>基金份额的登记</w:t>
        </w:r>
        <w:r w:rsidR="00D65346">
          <w:rPr>
            <w:noProof/>
          </w:rPr>
          <w:tab/>
        </w:r>
        <w:r w:rsidR="00D65346">
          <w:rPr>
            <w:noProof/>
          </w:rPr>
          <w:fldChar w:fldCharType="begin"/>
        </w:r>
        <w:r w:rsidR="00D65346">
          <w:rPr>
            <w:noProof/>
          </w:rPr>
          <w:instrText xml:space="preserve"> PAGEREF _Toc169580225 \h </w:instrText>
        </w:r>
        <w:r w:rsidR="00D65346">
          <w:rPr>
            <w:noProof/>
          </w:rPr>
        </w:r>
        <w:r w:rsidR="00D65346">
          <w:rPr>
            <w:noProof/>
          </w:rPr>
          <w:fldChar w:fldCharType="separate"/>
        </w:r>
        <w:r w:rsidR="00D60176">
          <w:rPr>
            <w:noProof/>
          </w:rPr>
          <w:t>36</w:t>
        </w:r>
        <w:r w:rsidR="00D65346">
          <w:rPr>
            <w:noProof/>
          </w:rPr>
          <w:fldChar w:fldCharType="end"/>
        </w:r>
      </w:hyperlink>
    </w:p>
    <w:p w14:paraId="656F2DF9" w14:textId="36CB6155" w:rsidR="00BF0C91" w:rsidRDefault="0029226A">
      <w:pPr>
        <w:pStyle w:val="10"/>
        <w:rPr>
          <w:rFonts w:ascii="Times New Roman" w:hAnsi="Times New Roman"/>
          <w:caps w:val="0"/>
          <w:noProof/>
          <w:sz w:val="21"/>
          <w:szCs w:val="24"/>
        </w:rPr>
      </w:pPr>
      <w:hyperlink w:anchor="_Toc169580226" w:history="1">
        <w:r w:rsidR="00D65346">
          <w:rPr>
            <w:rStyle w:val="af3"/>
            <w:rFonts w:ascii="黑体" w:eastAsia="黑体" w:hAnsi="Arial" w:cs="Arial" w:hint="eastAsia"/>
            <w:noProof/>
          </w:rPr>
          <w:t>第十二部分</w:t>
        </w:r>
        <w:r w:rsidR="00D65346">
          <w:rPr>
            <w:rStyle w:val="af3"/>
            <w:rFonts w:ascii="黑体" w:eastAsia="黑体" w:hAnsi="Arial" w:cs="Arial"/>
            <w:noProof/>
          </w:rPr>
          <w:t xml:space="preserve">  </w:t>
        </w:r>
        <w:r w:rsidR="00D65346">
          <w:rPr>
            <w:rStyle w:val="af3"/>
            <w:rFonts w:ascii="黑体" w:eastAsia="黑体" w:hAnsi="Arial" w:cs="Arial" w:hint="eastAsia"/>
            <w:noProof/>
          </w:rPr>
          <w:t>基金的投资</w:t>
        </w:r>
        <w:r w:rsidR="00D65346">
          <w:rPr>
            <w:noProof/>
          </w:rPr>
          <w:tab/>
        </w:r>
        <w:r w:rsidR="00D65346">
          <w:rPr>
            <w:noProof/>
          </w:rPr>
          <w:fldChar w:fldCharType="begin"/>
        </w:r>
        <w:r w:rsidR="00D65346">
          <w:rPr>
            <w:noProof/>
          </w:rPr>
          <w:instrText xml:space="preserve"> PAGEREF _Toc169580226 \h </w:instrText>
        </w:r>
        <w:r w:rsidR="00D65346">
          <w:rPr>
            <w:noProof/>
          </w:rPr>
        </w:r>
        <w:r w:rsidR="00D65346">
          <w:rPr>
            <w:noProof/>
          </w:rPr>
          <w:fldChar w:fldCharType="separate"/>
        </w:r>
        <w:r w:rsidR="00D60176">
          <w:rPr>
            <w:noProof/>
          </w:rPr>
          <w:t>38</w:t>
        </w:r>
        <w:r w:rsidR="00D65346">
          <w:rPr>
            <w:noProof/>
          </w:rPr>
          <w:fldChar w:fldCharType="end"/>
        </w:r>
      </w:hyperlink>
    </w:p>
    <w:p w14:paraId="7543883D" w14:textId="0364A88B" w:rsidR="00BF0C91" w:rsidRDefault="0029226A">
      <w:pPr>
        <w:pStyle w:val="10"/>
        <w:rPr>
          <w:rFonts w:ascii="Times New Roman" w:hAnsi="Times New Roman"/>
          <w:caps w:val="0"/>
          <w:noProof/>
          <w:sz w:val="21"/>
          <w:szCs w:val="24"/>
        </w:rPr>
      </w:pPr>
      <w:hyperlink w:anchor="_Toc169580227" w:history="1">
        <w:r w:rsidR="00D65346">
          <w:rPr>
            <w:rStyle w:val="af3"/>
            <w:rFonts w:ascii="黑体" w:eastAsia="黑体" w:hAnsi="Arial" w:cs="Arial" w:hint="eastAsia"/>
            <w:noProof/>
          </w:rPr>
          <w:t>第十四部分</w:t>
        </w:r>
        <w:r w:rsidR="00D65346">
          <w:rPr>
            <w:rStyle w:val="af3"/>
            <w:rFonts w:ascii="黑体" w:eastAsia="黑体" w:hAnsi="Arial" w:cs="Arial"/>
            <w:noProof/>
          </w:rPr>
          <w:t xml:space="preserve">  </w:t>
        </w:r>
        <w:r w:rsidR="00D65346">
          <w:rPr>
            <w:rStyle w:val="af3"/>
            <w:rFonts w:ascii="黑体" w:eastAsia="黑体" w:hAnsi="Arial" w:cs="Arial" w:hint="eastAsia"/>
            <w:noProof/>
          </w:rPr>
          <w:t>基金资产</w:t>
        </w:r>
        <w:bookmarkStart w:id="2" w:name="_Hlt175126433"/>
        <w:r w:rsidR="00D65346">
          <w:rPr>
            <w:rStyle w:val="af3"/>
            <w:rFonts w:ascii="黑体" w:eastAsia="黑体" w:hAnsi="Arial" w:cs="Arial" w:hint="eastAsia"/>
            <w:noProof/>
          </w:rPr>
          <w:t>估</w:t>
        </w:r>
        <w:bookmarkEnd w:id="2"/>
        <w:r w:rsidR="00D65346">
          <w:rPr>
            <w:rStyle w:val="af3"/>
            <w:rFonts w:ascii="黑体" w:eastAsia="黑体" w:hAnsi="Arial" w:cs="Arial" w:hint="eastAsia"/>
            <w:noProof/>
          </w:rPr>
          <w:t>值</w:t>
        </w:r>
        <w:r w:rsidR="00D65346">
          <w:rPr>
            <w:noProof/>
          </w:rPr>
          <w:tab/>
        </w:r>
        <w:r w:rsidR="00D65346">
          <w:rPr>
            <w:noProof/>
          </w:rPr>
          <w:fldChar w:fldCharType="begin"/>
        </w:r>
        <w:r w:rsidR="00D65346">
          <w:rPr>
            <w:noProof/>
          </w:rPr>
          <w:instrText xml:space="preserve"> PAGEREF _Toc169580227 \h </w:instrText>
        </w:r>
        <w:r w:rsidR="00D65346">
          <w:rPr>
            <w:noProof/>
          </w:rPr>
        </w:r>
        <w:r w:rsidR="00D65346">
          <w:rPr>
            <w:noProof/>
          </w:rPr>
          <w:fldChar w:fldCharType="separate"/>
        </w:r>
        <w:r w:rsidR="00D60176">
          <w:rPr>
            <w:noProof/>
          </w:rPr>
          <w:t>47</w:t>
        </w:r>
        <w:r w:rsidR="00D65346">
          <w:rPr>
            <w:noProof/>
          </w:rPr>
          <w:fldChar w:fldCharType="end"/>
        </w:r>
      </w:hyperlink>
    </w:p>
    <w:p w14:paraId="3ACE83BF" w14:textId="7C610856" w:rsidR="00BF0C91" w:rsidRDefault="0029226A">
      <w:pPr>
        <w:pStyle w:val="10"/>
        <w:rPr>
          <w:rFonts w:ascii="Times New Roman" w:hAnsi="Times New Roman"/>
          <w:caps w:val="0"/>
          <w:noProof/>
          <w:sz w:val="21"/>
          <w:szCs w:val="24"/>
        </w:rPr>
      </w:pPr>
      <w:hyperlink w:anchor="_Toc169580228" w:history="1">
        <w:r w:rsidR="00D65346">
          <w:rPr>
            <w:rStyle w:val="af3"/>
            <w:rFonts w:ascii="黑体" w:eastAsia="黑体" w:hAnsi="Arial" w:cs="Arial" w:hint="eastAsia"/>
            <w:bCs/>
            <w:noProof/>
          </w:rPr>
          <w:t>第十五部分</w:t>
        </w:r>
        <w:r w:rsidR="00D65346">
          <w:rPr>
            <w:rStyle w:val="af3"/>
            <w:rFonts w:ascii="黑体" w:eastAsia="黑体"/>
            <w:bCs/>
            <w:noProof/>
          </w:rPr>
          <w:t xml:space="preserve">  </w:t>
        </w:r>
        <w:r w:rsidR="00D65346">
          <w:rPr>
            <w:rStyle w:val="af3"/>
            <w:rFonts w:ascii="黑体" w:eastAsia="黑体" w:hAnsi="Arial" w:cs="Arial" w:hint="eastAsia"/>
            <w:bCs/>
            <w:noProof/>
          </w:rPr>
          <w:t>基金的销售</w:t>
        </w:r>
        <w:r w:rsidR="00D65346">
          <w:rPr>
            <w:noProof/>
          </w:rPr>
          <w:tab/>
        </w:r>
        <w:r w:rsidR="00D65346">
          <w:rPr>
            <w:noProof/>
          </w:rPr>
          <w:fldChar w:fldCharType="begin"/>
        </w:r>
        <w:r w:rsidR="00D65346">
          <w:rPr>
            <w:noProof/>
          </w:rPr>
          <w:instrText xml:space="preserve"> PAGEREF _Toc169580228 \h </w:instrText>
        </w:r>
        <w:r w:rsidR="00D65346">
          <w:rPr>
            <w:noProof/>
          </w:rPr>
        </w:r>
        <w:r w:rsidR="00D65346">
          <w:rPr>
            <w:noProof/>
          </w:rPr>
          <w:fldChar w:fldCharType="separate"/>
        </w:r>
        <w:r w:rsidR="00D60176">
          <w:rPr>
            <w:noProof/>
          </w:rPr>
          <w:t>52</w:t>
        </w:r>
        <w:r w:rsidR="00D65346">
          <w:rPr>
            <w:noProof/>
          </w:rPr>
          <w:fldChar w:fldCharType="end"/>
        </w:r>
      </w:hyperlink>
    </w:p>
    <w:p w14:paraId="1FA10C55" w14:textId="5A87B1ED" w:rsidR="00BF0C91" w:rsidRDefault="0029226A">
      <w:pPr>
        <w:pStyle w:val="10"/>
        <w:rPr>
          <w:rFonts w:ascii="Times New Roman" w:hAnsi="Times New Roman"/>
          <w:caps w:val="0"/>
          <w:noProof/>
          <w:sz w:val="21"/>
          <w:szCs w:val="24"/>
        </w:rPr>
      </w:pPr>
      <w:hyperlink w:anchor="_Toc169580229" w:history="1">
        <w:r w:rsidR="00D65346">
          <w:rPr>
            <w:rStyle w:val="af3"/>
            <w:rFonts w:ascii="黑体" w:eastAsia="黑体" w:hAnsi="Arial" w:cs="Arial" w:hint="eastAsia"/>
            <w:noProof/>
          </w:rPr>
          <w:t>第十六部分</w:t>
        </w:r>
        <w:r w:rsidR="00D65346">
          <w:rPr>
            <w:rStyle w:val="af3"/>
            <w:rFonts w:ascii="黑体" w:eastAsia="黑体" w:hAnsi="Arial" w:cs="Arial"/>
            <w:noProof/>
          </w:rPr>
          <w:t xml:space="preserve">  </w:t>
        </w:r>
        <w:r w:rsidR="00D65346">
          <w:rPr>
            <w:rStyle w:val="af3"/>
            <w:rFonts w:ascii="黑体" w:eastAsia="黑体" w:hAnsi="Arial" w:cs="Arial" w:hint="eastAsia"/>
            <w:noProof/>
          </w:rPr>
          <w:t>基金费用与</w:t>
        </w:r>
        <w:bookmarkStart w:id="3" w:name="_Hlt67903480"/>
        <w:bookmarkStart w:id="4" w:name="_Hlt67903481"/>
        <w:r w:rsidR="00D65346">
          <w:rPr>
            <w:rStyle w:val="af3"/>
            <w:rFonts w:ascii="黑体" w:eastAsia="黑体" w:hAnsi="Arial" w:cs="Arial" w:hint="eastAsia"/>
            <w:noProof/>
          </w:rPr>
          <w:t>税</w:t>
        </w:r>
        <w:bookmarkStart w:id="5" w:name="_Hlt19781765"/>
        <w:bookmarkStart w:id="6" w:name="_Hlt19781766"/>
        <w:bookmarkEnd w:id="3"/>
        <w:bookmarkEnd w:id="4"/>
        <w:r w:rsidR="00D65346">
          <w:rPr>
            <w:rStyle w:val="af3"/>
            <w:rFonts w:ascii="黑体" w:eastAsia="黑体" w:hAnsi="Arial" w:cs="Arial" w:hint="eastAsia"/>
            <w:noProof/>
          </w:rPr>
          <w:t>收</w:t>
        </w:r>
        <w:bookmarkEnd w:id="5"/>
        <w:bookmarkEnd w:id="6"/>
        <w:r w:rsidR="00D65346">
          <w:rPr>
            <w:noProof/>
          </w:rPr>
          <w:tab/>
        </w:r>
        <w:r w:rsidR="00D65346">
          <w:rPr>
            <w:noProof/>
          </w:rPr>
          <w:fldChar w:fldCharType="begin"/>
        </w:r>
        <w:r w:rsidR="00D65346">
          <w:rPr>
            <w:noProof/>
          </w:rPr>
          <w:instrText xml:space="preserve"> PAGEREF _Toc169580229 \h </w:instrText>
        </w:r>
        <w:r w:rsidR="00D65346">
          <w:rPr>
            <w:noProof/>
          </w:rPr>
        </w:r>
        <w:r w:rsidR="00D65346">
          <w:rPr>
            <w:noProof/>
          </w:rPr>
          <w:fldChar w:fldCharType="separate"/>
        </w:r>
        <w:r w:rsidR="00D60176">
          <w:rPr>
            <w:noProof/>
          </w:rPr>
          <w:t>53</w:t>
        </w:r>
        <w:r w:rsidR="00D65346">
          <w:rPr>
            <w:noProof/>
          </w:rPr>
          <w:fldChar w:fldCharType="end"/>
        </w:r>
      </w:hyperlink>
    </w:p>
    <w:p w14:paraId="0062D979" w14:textId="01990848" w:rsidR="00BF0C91" w:rsidRDefault="0029226A">
      <w:pPr>
        <w:pStyle w:val="10"/>
        <w:rPr>
          <w:rFonts w:ascii="Times New Roman" w:hAnsi="Times New Roman"/>
          <w:caps w:val="0"/>
          <w:noProof/>
          <w:sz w:val="21"/>
          <w:szCs w:val="24"/>
        </w:rPr>
      </w:pPr>
      <w:hyperlink w:anchor="_Toc169580230" w:history="1">
        <w:r w:rsidR="00D65346">
          <w:rPr>
            <w:rStyle w:val="af3"/>
            <w:rFonts w:ascii="黑体" w:eastAsia="黑体" w:hAnsi="Arial" w:cs="Arial" w:hint="eastAsia"/>
            <w:noProof/>
          </w:rPr>
          <w:t>第十七部分</w:t>
        </w:r>
        <w:r w:rsidR="00D65346">
          <w:rPr>
            <w:rStyle w:val="af3"/>
            <w:rFonts w:ascii="黑体" w:eastAsia="黑体" w:hAnsi="Arial" w:cs="Arial"/>
            <w:noProof/>
          </w:rPr>
          <w:t xml:space="preserve">  </w:t>
        </w:r>
        <w:r w:rsidR="00D65346">
          <w:rPr>
            <w:rStyle w:val="af3"/>
            <w:rFonts w:ascii="黑体" w:eastAsia="黑体" w:hAnsi="Arial" w:cs="Arial" w:hint="eastAsia"/>
            <w:noProof/>
          </w:rPr>
          <w:t>基金的融资</w:t>
        </w:r>
        <w:r w:rsidR="00D65346">
          <w:rPr>
            <w:noProof/>
          </w:rPr>
          <w:tab/>
        </w:r>
        <w:r w:rsidR="00D65346">
          <w:rPr>
            <w:noProof/>
          </w:rPr>
          <w:fldChar w:fldCharType="begin"/>
        </w:r>
        <w:r w:rsidR="00D65346">
          <w:rPr>
            <w:noProof/>
          </w:rPr>
          <w:instrText xml:space="preserve"> PAGEREF _Toc169580230 \h </w:instrText>
        </w:r>
        <w:r w:rsidR="00D65346">
          <w:rPr>
            <w:noProof/>
          </w:rPr>
        </w:r>
        <w:r w:rsidR="00D65346">
          <w:rPr>
            <w:noProof/>
          </w:rPr>
          <w:fldChar w:fldCharType="separate"/>
        </w:r>
        <w:r w:rsidR="00D60176">
          <w:rPr>
            <w:noProof/>
          </w:rPr>
          <w:t>56</w:t>
        </w:r>
        <w:r w:rsidR="00D65346">
          <w:rPr>
            <w:noProof/>
          </w:rPr>
          <w:fldChar w:fldCharType="end"/>
        </w:r>
      </w:hyperlink>
    </w:p>
    <w:p w14:paraId="6B3D9A19" w14:textId="20D47C39" w:rsidR="00BF0C91" w:rsidRDefault="0029226A">
      <w:pPr>
        <w:pStyle w:val="10"/>
        <w:rPr>
          <w:rFonts w:ascii="Times New Roman" w:hAnsi="Times New Roman"/>
          <w:caps w:val="0"/>
          <w:noProof/>
          <w:sz w:val="21"/>
          <w:szCs w:val="24"/>
        </w:rPr>
      </w:pPr>
      <w:hyperlink w:anchor="_Toc169580231" w:history="1">
        <w:r w:rsidR="00D65346">
          <w:rPr>
            <w:rStyle w:val="af3"/>
            <w:rFonts w:ascii="黑体" w:eastAsia="黑体" w:hAnsi="Arial" w:cs="Arial" w:hint="eastAsia"/>
            <w:noProof/>
          </w:rPr>
          <w:t>第十八部分</w:t>
        </w:r>
        <w:r w:rsidR="00D65346">
          <w:rPr>
            <w:rStyle w:val="af3"/>
            <w:rFonts w:ascii="黑体" w:eastAsia="黑体" w:hAnsi="Arial" w:cs="Arial"/>
            <w:noProof/>
          </w:rPr>
          <w:t xml:space="preserve">  </w:t>
        </w:r>
        <w:r w:rsidR="00D65346">
          <w:rPr>
            <w:rStyle w:val="af3"/>
            <w:rFonts w:ascii="黑体" w:eastAsia="黑体" w:hAnsi="Arial" w:cs="Arial" w:hint="eastAsia"/>
            <w:noProof/>
          </w:rPr>
          <w:t>基金的收益与分配</w:t>
        </w:r>
        <w:r w:rsidR="00D65346">
          <w:rPr>
            <w:noProof/>
          </w:rPr>
          <w:tab/>
        </w:r>
        <w:r w:rsidR="00D65346">
          <w:rPr>
            <w:noProof/>
          </w:rPr>
          <w:fldChar w:fldCharType="begin"/>
        </w:r>
        <w:r w:rsidR="00D65346">
          <w:rPr>
            <w:noProof/>
          </w:rPr>
          <w:instrText xml:space="preserve"> PAGEREF _Toc169580231 \h </w:instrText>
        </w:r>
        <w:r w:rsidR="00D65346">
          <w:rPr>
            <w:noProof/>
          </w:rPr>
        </w:r>
        <w:r w:rsidR="00D65346">
          <w:rPr>
            <w:noProof/>
          </w:rPr>
          <w:fldChar w:fldCharType="separate"/>
        </w:r>
        <w:r w:rsidR="00D60176">
          <w:rPr>
            <w:noProof/>
          </w:rPr>
          <w:t>57</w:t>
        </w:r>
        <w:r w:rsidR="00D65346">
          <w:rPr>
            <w:noProof/>
          </w:rPr>
          <w:fldChar w:fldCharType="end"/>
        </w:r>
      </w:hyperlink>
    </w:p>
    <w:p w14:paraId="354D9231" w14:textId="22C25BDF" w:rsidR="00BF0C91" w:rsidRDefault="0029226A">
      <w:pPr>
        <w:pStyle w:val="10"/>
        <w:rPr>
          <w:rFonts w:ascii="Times New Roman" w:hAnsi="Times New Roman"/>
          <w:caps w:val="0"/>
          <w:noProof/>
          <w:sz w:val="21"/>
          <w:szCs w:val="24"/>
        </w:rPr>
      </w:pPr>
      <w:hyperlink w:anchor="_Toc169580232" w:history="1">
        <w:r w:rsidR="00D65346">
          <w:rPr>
            <w:rStyle w:val="af3"/>
            <w:rFonts w:ascii="黑体" w:eastAsia="黑体" w:hAnsi="Arial" w:cs="Arial" w:hint="eastAsia"/>
            <w:noProof/>
          </w:rPr>
          <w:t>第十九部分</w:t>
        </w:r>
        <w:r w:rsidR="00D65346">
          <w:rPr>
            <w:rStyle w:val="af3"/>
            <w:rFonts w:ascii="黑体" w:eastAsia="黑体" w:hAnsi="Arial" w:cs="Arial"/>
            <w:noProof/>
          </w:rPr>
          <w:t xml:space="preserve">  </w:t>
        </w:r>
        <w:r w:rsidR="00D65346">
          <w:rPr>
            <w:rStyle w:val="af3"/>
            <w:rFonts w:ascii="黑体" w:eastAsia="黑体" w:hAnsi="Arial" w:cs="Arial" w:hint="eastAsia"/>
            <w:noProof/>
          </w:rPr>
          <w:t>基金的会计与审计</w:t>
        </w:r>
        <w:r w:rsidR="00D65346">
          <w:rPr>
            <w:noProof/>
          </w:rPr>
          <w:tab/>
        </w:r>
        <w:r w:rsidR="00D65346">
          <w:rPr>
            <w:noProof/>
          </w:rPr>
          <w:fldChar w:fldCharType="begin"/>
        </w:r>
        <w:r w:rsidR="00D65346">
          <w:rPr>
            <w:noProof/>
          </w:rPr>
          <w:instrText xml:space="preserve"> PAGEREF _Toc169580232 \h </w:instrText>
        </w:r>
        <w:r w:rsidR="00D65346">
          <w:rPr>
            <w:noProof/>
          </w:rPr>
        </w:r>
        <w:r w:rsidR="00D65346">
          <w:rPr>
            <w:noProof/>
          </w:rPr>
          <w:fldChar w:fldCharType="separate"/>
        </w:r>
        <w:r w:rsidR="00D60176">
          <w:rPr>
            <w:noProof/>
          </w:rPr>
          <w:t>59</w:t>
        </w:r>
        <w:r w:rsidR="00D65346">
          <w:rPr>
            <w:noProof/>
          </w:rPr>
          <w:fldChar w:fldCharType="end"/>
        </w:r>
      </w:hyperlink>
    </w:p>
    <w:p w14:paraId="7BEE333F" w14:textId="2E248974" w:rsidR="00BF0C91" w:rsidRDefault="0029226A">
      <w:pPr>
        <w:pStyle w:val="10"/>
        <w:rPr>
          <w:rFonts w:ascii="Times New Roman" w:hAnsi="Times New Roman"/>
          <w:caps w:val="0"/>
          <w:noProof/>
          <w:sz w:val="21"/>
          <w:szCs w:val="24"/>
        </w:rPr>
      </w:pPr>
      <w:hyperlink w:anchor="_Toc169580233" w:history="1">
        <w:r w:rsidR="00D65346">
          <w:rPr>
            <w:rStyle w:val="af3"/>
            <w:rFonts w:ascii="黑体" w:eastAsia="黑体" w:hAnsi="Arial" w:cs="Arial" w:hint="eastAsia"/>
            <w:noProof/>
          </w:rPr>
          <w:t>第二十部分</w:t>
        </w:r>
        <w:r w:rsidR="00D65346">
          <w:rPr>
            <w:rStyle w:val="af3"/>
            <w:rFonts w:ascii="黑体" w:eastAsia="黑体" w:hAnsi="Arial" w:cs="Arial"/>
            <w:noProof/>
          </w:rPr>
          <w:t xml:space="preserve">  </w:t>
        </w:r>
        <w:r w:rsidR="00D65346">
          <w:rPr>
            <w:rStyle w:val="af3"/>
            <w:rFonts w:ascii="黑体" w:eastAsia="黑体" w:hAnsi="Arial" w:cs="Arial" w:hint="eastAsia"/>
            <w:noProof/>
          </w:rPr>
          <w:t>基金的信息披露</w:t>
        </w:r>
        <w:r w:rsidR="00D65346">
          <w:rPr>
            <w:noProof/>
          </w:rPr>
          <w:tab/>
        </w:r>
        <w:r w:rsidR="00D65346">
          <w:rPr>
            <w:noProof/>
          </w:rPr>
          <w:fldChar w:fldCharType="begin"/>
        </w:r>
        <w:r w:rsidR="00D65346">
          <w:rPr>
            <w:noProof/>
          </w:rPr>
          <w:instrText xml:space="preserve"> PAGEREF _Toc169580233 \h </w:instrText>
        </w:r>
        <w:r w:rsidR="00D65346">
          <w:rPr>
            <w:noProof/>
          </w:rPr>
        </w:r>
        <w:r w:rsidR="00D65346">
          <w:rPr>
            <w:noProof/>
          </w:rPr>
          <w:fldChar w:fldCharType="separate"/>
        </w:r>
        <w:r w:rsidR="00D60176">
          <w:rPr>
            <w:noProof/>
          </w:rPr>
          <w:t>60</w:t>
        </w:r>
        <w:r w:rsidR="00D65346">
          <w:rPr>
            <w:noProof/>
          </w:rPr>
          <w:fldChar w:fldCharType="end"/>
        </w:r>
      </w:hyperlink>
    </w:p>
    <w:p w14:paraId="7C30E2BB" w14:textId="43F51A01" w:rsidR="00BF0C91" w:rsidRDefault="0029226A">
      <w:pPr>
        <w:pStyle w:val="10"/>
        <w:rPr>
          <w:rFonts w:ascii="Times New Roman" w:hAnsi="Times New Roman"/>
          <w:caps w:val="0"/>
          <w:noProof/>
          <w:sz w:val="21"/>
          <w:szCs w:val="24"/>
        </w:rPr>
      </w:pPr>
      <w:hyperlink w:anchor="_Toc169580234" w:history="1">
        <w:r w:rsidR="00D65346">
          <w:rPr>
            <w:rStyle w:val="af3"/>
            <w:rFonts w:ascii="黑体" w:eastAsia="黑体" w:hAnsi="Arial" w:cs="Arial" w:hint="eastAsia"/>
            <w:noProof/>
          </w:rPr>
          <w:t>第二十一部分</w:t>
        </w:r>
        <w:r w:rsidR="00D65346">
          <w:rPr>
            <w:rStyle w:val="af3"/>
            <w:rFonts w:ascii="黑体" w:eastAsia="黑体" w:hAnsi="Arial" w:cs="Arial"/>
            <w:noProof/>
          </w:rPr>
          <w:t xml:space="preserve"> </w:t>
        </w:r>
        <w:r w:rsidR="00D65346">
          <w:rPr>
            <w:rStyle w:val="af3"/>
            <w:rFonts w:ascii="黑体" w:eastAsia="黑体" w:hAnsi="Arial" w:cs="Arial" w:hint="eastAsia"/>
            <w:noProof/>
          </w:rPr>
          <w:t>基金合同的变更、终止与基金财产的清算</w:t>
        </w:r>
        <w:r w:rsidR="00D65346">
          <w:rPr>
            <w:noProof/>
          </w:rPr>
          <w:tab/>
        </w:r>
        <w:r w:rsidR="00D65346">
          <w:rPr>
            <w:noProof/>
          </w:rPr>
          <w:fldChar w:fldCharType="begin"/>
        </w:r>
        <w:r w:rsidR="00D65346">
          <w:rPr>
            <w:noProof/>
          </w:rPr>
          <w:instrText xml:space="preserve"> PAGEREF _Toc169580234 \h </w:instrText>
        </w:r>
        <w:r w:rsidR="00D65346">
          <w:rPr>
            <w:noProof/>
          </w:rPr>
        </w:r>
        <w:r w:rsidR="00D65346">
          <w:rPr>
            <w:noProof/>
          </w:rPr>
          <w:fldChar w:fldCharType="separate"/>
        </w:r>
        <w:r w:rsidR="00D60176">
          <w:rPr>
            <w:noProof/>
          </w:rPr>
          <w:t>66</w:t>
        </w:r>
        <w:r w:rsidR="00D65346">
          <w:rPr>
            <w:noProof/>
          </w:rPr>
          <w:fldChar w:fldCharType="end"/>
        </w:r>
      </w:hyperlink>
    </w:p>
    <w:p w14:paraId="7A772108" w14:textId="6B906BF8" w:rsidR="00BF0C91" w:rsidRDefault="0029226A">
      <w:pPr>
        <w:pStyle w:val="10"/>
        <w:rPr>
          <w:rFonts w:ascii="Times New Roman" w:hAnsi="Times New Roman"/>
          <w:caps w:val="0"/>
          <w:noProof/>
          <w:sz w:val="21"/>
          <w:szCs w:val="24"/>
        </w:rPr>
      </w:pPr>
      <w:hyperlink w:anchor="_Toc169580235" w:history="1">
        <w:r w:rsidR="00D65346">
          <w:rPr>
            <w:rStyle w:val="af3"/>
            <w:rFonts w:ascii="黑体" w:eastAsia="黑体" w:hAnsi="Arial" w:cs="Arial" w:hint="eastAsia"/>
            <w:noProof/>
          </w:rPr>
          <w:t>第二十二部分</w:t>
        </w:r>
        <w:r w:rsidR="00D65346">
          <w:rPr>
            <w:rStyle w:val="af3"/>
            <w:rFonts w:ascii="黑体" w:eastAsia="黑体" w:hAnsi="Arial" w:cs="Arial"/>
            <w:noProof/>
          </w:rPr>
          <w:t xml:space="preserve"> </w:t>
        </w:r>
        <w:r w:rsidR="00D65346">
          <w:rPr>
            <w:rStyle w:val="af3"/>
            <w:rFonts w:ascii="黑体" w:eastAsia="黑体" w:hAnsi="Arial" w:cs="Arial" w:hint="eastAsia"/>
            <w:noProof/>
          </w:rPr>
          <w:t>违约责任</w:t>
        </w:r>
        <w:r w:rsidR="00D65346">
          <w:rPr>
            <w:noProof/>
          </w:rPr>
          <w:tab/>
        </w:r>
        <w:r w:rsidR="00D65346">
          <w:rPr>
            <w:noProof/>
          </w:rPr>
          <w:fldChar w:fldCharType="begin"/>
        </w:r>
        <w:r w:rsidR="00D65346">
          <w:rPr>
            <w:noProof/>
          </w:rPr>
          <w:instrText xml:space="preserve"> PAGEREF _Toc169580235 \h </w:instrText>
        </w:r>
        <w:r w:rsidR="00D65346">
          <w:rPr>
            <w:noProof/>
          </w:rPr>
        </w:r>
        <w:r w:rsidR="00D65346">
          <w:rPr>
            <w:noProof/>
          </w:rPr>
          <w:fldChar w:fldCharType="separate"/>
        </w:r>
        <w:r w:rsidR="00D60176">
          <w:rPr>
            <w:noProof/>
          </w:rPr>
          <w:t>69</w:t>
        </w:r>
        <w:r w:rsidR="00D65346">
          <w:rPr>
            <w:noProof/>
          </w:rPr>
          <w:fldChar w:fldCharType="end"/>
        </w:r>
      </w:hyperlink>
    </w:p>
    <w:p w14:paraId="473B2EE9" w14:textId="418301B0" w:rsidR="00BF0C91" w:rsidRDefault="0029226A">
      <w:pPr>
        <w:pStyle w:val="10"/>
        <w:rPr>
          <w:rFonts w:ascii="Times New Roman" w:hAnsi="Times New Roman"/>
          <w:caps w:val="0"/>
          <w:noProof/>
          <w:sz w:val="21"/>
          <w:szCs w:val="24"/>
        </w:rPr>
      </w:pPr>
      <w:hyperlink w:anchor="_Toc169580236" w:history="1">
        <w:r w:rsidR="00D65346">
          <w:rPr>
            <w:rStyle w:val="af3"/>
            <w:rFonts w:ascii="黑体" w:eastAsia="黑体" w:hAnsi="Arial" w:cs="Arial" w:hint="eastAsia"/>
            <w:noProof/>
          </w:rPr>
          <w:t>第二十三部分</w:t>
        </w:r>
        <w:r w:rsidR="00D65346">
          <w:rPr>
            <w:rStyle w:val="af3"/>
            <w:rFonts w:ascii="黑体" w:eastAsia="黑体" w:hAnsi="Arial" w:cs="Arial"/>
            <w:noProof/>
          </w:rPr>
          <w:t xml:space="preserve"> </w:t>
        </w:r>
        <w:r w:rsidR="00D65346">
          <w:rPr>
            <w:rStyle w:val="af3"/>
            <w:rFonts w:ascii="黑体" w:eastAsia="黑体" w:hAnsi="Arial" w:cs="Arial" w:hint="eastAsia"/>
            <w:noProof/>
          </w:rPr>
          <w:t>争议的处理和适用的法律</w:t>
        </w:r>
        <w:r w:rsidR="00D65346">
          <w:rPr>
            <w:noProof/>
          </w:rPr>
          <w:tab/>
        </w:r>
        <w:r w:rsidR="00D65346">
          <w:rPr>
            <w:noProof/>
          </w:rPr>
          <w:fldChar w:fldCharType="begin"/>
        </w:r>
        <w:r w:rsidR="00D65346">
          <w:rPr>
            <w:noProof/>
          </w:rPr>
          <w:instrText xml:space="preserve"> PAGEREF _Toc169580236 \h </w:instrText>
        </w:r>
        <w:r w:rsidR="00D65346">
          <w:rPr>
            <w:noProof/>
          </w:rPr>
        </w:r>
        <w:r w:rsidR="00D65346">
          <w:rPr>
            <w:noProof/>
          </w:rPr>
          <w:fldChar w:fldCharType="separate"/>
        </w:r>
        <w:r w:rsidR="00D60176">
          <w:rPr>
            <w:noProof/>
          </w:rPr>
          <w:t>70</w:t>
        </w:r>
        <w:r w:rsidR="00D65346">
          <w:rPr>
            <w:noProof/>
          </w:rPr>
          <w:fldChar w:fldCharType="end"/>
        </w:r>
      </w:hyperlink>
    </w:p>
    <w:p w14:paraId="448375FD" w14:textId="1A823281" w:rsidR="00BF0C91" w:rsidRDefault="0029226A">
      <w:pPr>
        <w:pStyle w:val="10"/>
        <w:rPr>
          <w:rFonts w:ascii="Times New Roman" w:hAnsi="Times New Roman"/>
          <w:caps w:val="0"/>
          <w:noProof/>
          <w:sz w:val="21"/>
          <w:szCs w:val="24"/>
        </w:rPr>
      </w:pPr>
      <w:hyperlink w:anchor="_Toc169580237" w:history="1">
        <w:r w:rsidR="00D65346">
          <w:rPr>
            <w:rStyle w:val="af3"/>
            <w:rFonts w:ascii="黑体" w:eastAsia="黑体" w:hAnsi="Arial" w:cs="Arial" w:hint="eastAsia"/>
            <w:noProof/>
          </w:rPr>
          <w:t>第二十四部分</w:t>
        </w:r>
        <w:r w:rsidR="00D65346">
          <w:rPr>
            <w:rStyle w:val="af3"/>
            <w:rFonts w:ascii="黑体" w:eastAsia="黑体" w:hAnsi="Arial" w:cs="Arial"/>
            <w:noProof/>
          </w:rPr>
          <w:t xml:space="preserve"> </w:t>
        </w:r>
        <w:r w:rsidR="00D65346">
          <w:rPr>
            <w:rStyle w:val="af3"/>
            <w:rFonts w:ascii="黑体" w:eastAsia="黑体" w:hAnsi="Arial" w:cs="Arial" w:hint="eastAsia"/>
            <w:noProof/>
          </w:rPr>
          <w:t>基金合同的效力</w:t>
        </w:r>
        <w:r w:rsidR="00D65346">
          <w:rPr>
            <w:noProof/>
          </w:rPr>
          <w:tab/>
        </w:r>
        <w:r w:rsidR="00D65346">
          <w:rPr>
            <w:noProof/>
          </w:rPr>
          <w:fldChar w:fldCharType="begin"/>
        </w:r>
        <w:r w:rsidR="00D65346">
          <w:rPr>
            <w:noProof/>
          </w:rPr>
          <w:instrText xml:space="preserve"> PAGEREF _Toc169580237 \h </w:instrText>
        </w:r>
        <w:r w:rsidR="00D65346">
          <w:rPr>
            <w:noProof/>
          </w:rPr>
        </w:r>
        <w:r w:rsidR="00D65346">
          <w:rPr>
            <w:noProof/>
          </w:rPr>
          <w:fldChar w:fldCharType="separate"/>
        </w:r>
        <w:r w:rsidR="00D60176">
          <w:rPr>
            <w:noProof/>
          </w:rPr>
          <w:t>71</w:t>
        </w:r>
        <w:r w:rsidR="00D65346">
          <w:rPr>
            <w:noProof/>
          </w:rPr>
          <w:fldChar w:fldCharType="end"/>
        </w:r>
      </w:hyperlink>
    </w:p>
    <w:p w14:paraId="0252407B" w14:textId="0D402308" w:rsidR="00BF0C91" w:rsidRDefault="0029226A">
      <w:pPr>
        <w:pStyle w:val="10"/>
        <w:rPr>
          <w:rFonts w:ascii="Times New Roman" w:hAnsi="Times New Roman"/>
          <w:caps w:val="0"/>
          <w:noProof/>
          <w:sz w:val="21"/>
          <w:szCs w:val="24"/>
        </w:rPr>
      </w:pPr>
      <w:hyperlink w:anchor="_Toc169580238" w:history="1">
        <w:r w:rsidR="00D65346">
          <w:rPr>
            <w:rStyle w:val="af3"/>
            <w:rFonts w:ascii="黑体" w:eastAsia="黑体" w:hAnsi="Arial" w:cs="Arial" w:hint="eastAsia"/>
            <w:noProof/>
          </w:rPr>
          <w:t>第二十五部分</w:t>
        </w:r>
        <w:r w:rsidR="00D65346">
          <w:rPr>
            <w:rStyle w:val="af3"/>
            <w:rFonts w:ascii="黑体" w:eastAsia="黑体" w:hAnsi="Arial" w:cs="Arial"/>
            <w:noProof/>
          </w:rPr>
          <w:t xml:space="preserve"> </w:t>
        </w:r>
        <w:r w:rsidR="00D65346">
          <w:rPr>
            <w:rStyle w:val="af3"/>
            <w:rFonts w:ascii="黑体" w:eastAsia="黑体" w:hAnsi="Arial" w:cs="Arial" w:hint="eastAsia"/>
            <w:noProof/>
          </w:rPr>
          <w:t>其他事项</w:t>
        </w:r>
        <w:r w:rsidR="00D65346">
          <w:rPr>
            <w:noProof/>
          </w:rPr>
          <w:tab/>
        </w:r>
        <w:r w:rsidR="00D65346">
          <w:rPr>
            <w:noProof/>
          </w:rPr>
          <w:fldChar w:fldCharType="begin"/>
        </w:r>
        <w:r w:rsidR="00D65346">
          <w:rPr>
            <w:noProof/>
          </w:rPr>
          <w:instrText xml:space="preserve"> PAGEREF _Toc169580238 \h </w:instrText>
        </w:r>
        <w:r w:rsidR="00D65346">
          <w:rPr>
            <w:noProof/>
          </w:rPr>
        </w:r>
        <w:r w:rsidR="00D65346">
          <w:rPr>
            <w:noProof/>
          </w:rPr>
          <w:fldChar w:fldCharType="separate"/>
        </w:r>
        <w:r w:rsidR="00D60176">
          <w:rPr>
            <w:noProof/>
          </w:rPr>
          <w:t>72</w:t>
        </w:r>
        <w:r w:rsidR="00D65346">
          <w:rPr>
            <w:noProof/>
          </w:rPr>
          <w:fldChar w:fldCharType="end"/>
        </w:r>
      </w:hyperlink>
    </w:p>
    <w:p w14:paraId="288072CC" w14:textId="77777777" w:rsidR="00BF0C91" w:rsidRDefault="00D65346">
      <w:pPr>
        <w:autoSpaceDE w:val="0"/>
        <w:autoSpaceDN w:val="0"/>
        <w:spacing w:line="360" w:lineRule="auto"/>
        <w:ind w:left="425"/>
        <w:textAlignment w:val="bottom"/>
        <w:rPr>
          <w:rFonts w:ascii="宋体" w:hAnsi="宋体"/>
          <w:color w:val="000000"/>
          <w:sz w:val="24"/>
        </w:rPr>
      </w:pPr>
      <w:r>
        <w:rPr>
          <w:rFonts w:ascii="宋体" w:hAnsi="宋体"/>
          <w:color w:val="000000"/>
          <w:sz w:val="24"/>
        </w:rPr>
        <w:fldChar w:fldCharType="end"/>
      </w:r>
    </w:p>
    <w:p w14:paraId="5A7D12FA" w14:textId="77777777" w:rsidR="00BF0C91" w:rsidRDefault="00BF0C91">
      <w:pPr>
        <w:autoSpaceDE w:val="0"/>
        <w:autoSpaceDN w:val="0"/>
        <w:spacing w:line="360" w:lineRule="auto"/>
        <w:ind w:left="425"/>
        <w:textAlignment w:val="bottom"/>
        <w:rPr>
          <w:rFonts w:ascii="宋体" w:hAnsi="宋体"/>
          <w:color w:val="000000"/>
          <w:sz w:val="24"/>
        </w:rPr>
        <w:sectPr w:rsidR="00BF0C91">
          <w:headerReference w:type="first" r:id="rId15"/>
          <w:footerReference w:type="first" r:id="rId16"/>
          <w:pgSz w:w="11906" w:h="16838"/>
          <w:pgMar w:top="1888" w:right="1797" w:bottom="1440" w:left="1797" w:header="851" w:footer="992" w:gutter="0"/>
          <w:pgNumType w:start="1"/>
          <w:cols w:space="720"/>
        </w:sectPr>
      </w:pPr>
    </w:p>
    <w:p w14:paraId="0B4DE5C1" w14:textId="77777777" w:rsidR="00BF0C91" w:rsidRDefault="00D65346">
      <w:pPr>
        <w:pStyle w:val="1"/>
        <w:spacing w:before="100" w:beforeAutospacing="1" w:after="100" w:afterAutospacing="1" w:line="360" w:lineRule="auto"/>
        <w:rPr>
          <w:rFonts w:ascii="Arial" w:eastAsia="黑体" w:hAnsi="Arial" w:cs="Arial"/>
          <w:color w:val="000000"/>
          <w:sz w:val="30"/>
          <w:szCs w:val="32"/>
        </w:rPr>
      </w:pPr>
      <w:bookmarkStart w:id="7" w:name="_Toc57530236"/>
      <w:bookmarkStart w:id="8" w:name="_Toc79392571"/>
      <w:bookmarkStart w:id="9" w:name="_Toc169580215"/>
      <w:r>
        <w:rPr>
          <w:rFonts w:ascii="Arial" w:eastAsia="黑体" w:hAnsi="Arial" w:cs="Arial" w:hint="eastAsia"/>
          <w:color w:val="000000"/>
          <w:sz w:val="30"/>
          <w:szCs w:val="32"/>
        </w:rPr>
        <w:lastRenderedPageBreak/>
        <w:t>第一部分</w:t>
      </w:r>
      <w:r>
        <w:rPr>
          <w:rFonts w:ascii="Arial" w:eastAsia="黑体" w:hAnsi="Arial" w:cs="Arial" w:hint="eastAsia"/>
          <w:color w:val="000000"/>
          <w:sz w:val="30"/>
          <w:szCs w:val="32"/>
        </w:rPr>
        <w:t xml:space="preserve">  </w:t>
      </w:r>
      <w:r>
        <w:rPr>
          <w:rFonts w:ascii="Arial" w:eastAsia="黑体" w:hAnsi="Arial" w:cs="Arial" w:hint="eastAsia"/>
          <w:color w:val="000000"/>
          <w:sz w:val="30"/>
          <w:szCs w:val="32"/>
        </w:rPr>
        <w:t>前言</w:t>
      </w:r>
      <w:bookmarkEnd w:id="7"/>
      <w:bookmarkEnd w:id="8"/>
      <w:bookmarkEnd w:id="9"/>
    </w:p>
    <w:p w14:paraId="4673C3ED" w14:textId="77777777" w:rsidR="00BF0C91" w:rsidRDefault="00D65346">
      <w:pPr>
        <w:numPr>
          <w:ilvl w:val="0"/>
          <w:numId w:val="5"/>
        </w:numPr>
        <w:spacing w:before="100" w:beforeAutospacing="1" w:line="360" w:lineRule="auto"/>
        <w:rPr>
          <w:rFonts w:ascii="宋体" w:hAnsi="宋体"/>
          <w:color w:val="000000"/>
          <w:sz w:val="24"/>
          <w:szCs w:val="21"/>
        </w:rPr>
      </w:pPr>
      <w:r>
        <w:rPr>
          <w:rFonts w:ascii="宋体" w:hAnsi="宋体" w:cs="宋体" w:hint="eastAsia"/>
          <w:color w:val="000000"/>
          <w:kern w:val="0"/>
          <w:sz w:val="24"/>
        </w:rPr>
        <w:t>订</w:t>
      </w:r>
      <w:r>
        <w:rPr>
          <w:rFonts w:ascii="宋体" w:hAnsi="宋体" w:cs="宋体"/>
          <w:color w:val="000000"/>
          <w:kern w:val="0"/>
          <w:sz w:val="24"/>
        </w:rPr>
        <w:t>立《</w:t>
      </w:r>
      <w:r>
        <w:rPr>
          <w:rFonts w:ascii="宋体" w:hAnsi="宋体" w:cs="宋体" w:hint="eastAsia"/>
          <w:color w:val="000000"/>
          <w:kern w:val="0"/>
          <w:sz w:val="24"/>
        </w:rPr>
        <w:t>交银施罗德货币市场证券投资基金</w:t>
      </w:r>
      <w:r>
        <w:rPr>
          <w:rFonts w:ascii="宋体" w:hAnsi="宋体" w:cs="宋体"/>
          <w:color w:val="000000"/>
          <w:kern w:val="0"/>
          <w:sz w:val="24"/>
        </w:rPr>
        <w:t>基金合同》的目的、依据和原则</w:t>
      </w:r>
    </w:p>
    <w:p w14:paraId="62303862" w14:textId="5F483CC5"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为保护基金投资者合法权益，明确基金合同当事人的权利与义务，规范交银施罗德货币市场证券投资基金（以下简称“本基金”）运作，依照《中华人民共和国证券投资基金法》（以下简称《基金法》）、《证券投资基金运作管理办法》（以下简称《运作办法》）、《证券投资基金销售管理办法》（以下简称《销售办法》）、《公开募集证券投资基金信息披露管理办法》（以下简称《信息披露办法》）、《货币市场基金管理暂行规定》（以下简称《暂行规定》）、《公开募集开放式证券投资基金流动性风险管理规定》（以下简称《流动性规定》）及其他有关规定，在平等自愿、诚实信用、充分保护基金投资者及相关当事人的合法权益的原则基础上，特订立《交银施罗德货币市场证券投资基金基金合同》（以下简称“基金合同”）。</w:t>
      </w:r>
    </w:p>
    <w:p w14:paraId="6EEFE6E8" w14:textId="77777777" w:rsidR="00BF0C91" w:rsidRDefault="00D65346">
      <w:pPr>
        <w:spacing w:before="100" w:beforeAutospacing="1" w:line="360" w:lineRule="auto"/>
        <w:rPr>
          <w:rFonts w:ascii="宋体" w:hAnsi="宋体"/>
          <w:color w:val="000000"/>
          <w:sz w:val="24"/>
          <w:szCs w:val="21"/>
        </w:rPr>
      </w:pPr>
      <w:r>
        <w:rPr>
          <w:rFonts w:ascii="宋体" w:hAnsi="宋体" w:hint="eastAsia"/>
          <w:color w:val="000000"/>
          <w:sz w:val="24"/>
          <w:szCs w:val="21"/>
        </w:rPr>
        <w:t>（二）基金合同的法律效力</w:t>
      </w:r>
    </w:p>
    <w:p w14:paraId="047A5449"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基金合同是规定基金合同当事人之间权利、义务的基本法律文件，其他与本基金相关的涉及基金合同当事人之间权利、义务关系的任何文件或表述，</w:t>
      </w:r>
      <w:r>
        <w:rPr>
          <w:rFonts w:ascii="宋体" w:hint="eastAsia"/>
          <w:kern w:val="0"/>
          <w:sz w:val="24"/>
          <w:lang w:val="zh-CN"/>
        </w:rPr>
        <w:t>如与基金合同有冲突，</w:t>
      </w:r>
      <w:r>
        <w:rPr>
          <w:rFonts w:ascii="宋体" w:hAnsi="宋体" w:hint="eastAsia"/>
          <w:sz w:val="24"/>
          <w:szCs w:val="21"/>
        </w:rPr>
        <w:t>均</w:t>
      </w:r>
      <w:r>
        <w:rPr>
          <w:rFonts w:ascii="宋体" w:hAnsi="宋体" w:hint="eastAsia"/>
          <w:color w:val="000000"/>
          <w:sz w:val="24"/>
          <w:szCs w:val="21"/>
        </w:rPr>
        <w:t>以基金合同为准。基金合同的当事人包括基金管理人、基金托管人和基金份额持有人。基金投资者自依基金合同取得基金份额，即成为基金份额持有人和基金合同的当事人，其持有基金份额的行为本身即表明其对基金合同的承认和接受。基金合同的当事人按照法律法规和基金合同的规定享有权利，同时需承担相应的义务。</w:t>
      </w:r>
    </w:p>
    <w:p w14:paraId="64002DB0" w14:textId="77777777" w:rsidR="00BF0C91" w:rsidRDefault="00D65346">
      <w:pPr>
        <w:pStyle w:val="30"/>
      </w:pPr>
      <w:r>
        <w:rPr>
          <w:rFonts w:hint="eastAsia"/>
        </w:rPr>
        <w:t>（三）本基金由基金管理人按照法律法规和基金合同的规定募集，并经中国证券监督管理委员会（以下简称“中国证监会”）核准。中国证监会对基金募集的核准，并不表明其对本基金的价值和收益作出实质性判断或保证，也不表明投资于本基金没有风险。投资者投资于本基金，必须自担风险。</w:t>
      </w:r>
    </w:p>
    <w:p w14:paraId="75E5A97A" w14:textId="77777777" w:rsidR="00BF0C91" w:rsidRDefault="00D65346">
      <w:pPr>
        <w:spacing w:before="100" w:beforeAutospacing="1" w:after="100" w:afterAutospacing="1" w:line="360" w:lineRule="auto"/>
        <w:ind w:firstLineChars="200" w:firstLine="480"/>
        <w:rPr>
          <w:rFonts w:ascii="宋体" w:hAnsi="宋体"/>
          <w:color w:val="000000"/>
          <w:sz w:val="24"/>
          <w:szCs w:val="21"/>
        </w:rPr>
      </w:pPr>
      <w:r>
        <w:rPr>
          <w:rFonts w:ascii="宋体" w:hAnsi="宋体" w:hint="eastAsia"/>
          <w:color w:val="000000"/>
          <w:sz w:val="24"/>
          <w:szCs w:val="21"/>
        </w:rPr>
        <w:t>基金管理人依照恪尽职守、诚实信用、勤勉尽责的原则管理和运用基金财产，但投资者投资于本基金不等于将资金作为存款存放在银行或存款类金融机构，基金管理人不保证投资本基金一定盈利，也不保证基金份额持有人的最低收益。</w:t>
      </w:r>
    </w:p>
    <w:p w14:paraId="06A3A6C8"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lastRenderedPageBreak/>
        <w:t>基金合同应当适用《基金法》及相应法律法规之规定，若因法律法规的修改或更新导致基金合同的内容存在与届时有效的法律法规的规定不一致之处，应当以届时有效的法律法规的规定为准，及时作出相应的修改和调整，同时就该等变更或调整进行公告。</w:t>
      </w:r>
    </w:p>
    <w:p w14:paraId="19467C18" w14:textId="77777777" w:rsidR="00BF0C91" w:rsidRDefault="00BF0C91">
      <w:pPr>
        <w:spacing w:line="360" w:lineRule="auto"/>
        <w:ind w:firstLineChars="200" w:firstLine="480"/>
        <w:rPr>
          <w:rFonts w:ascii="宋体" w:hAnsi="宋体"/>
          <w:color w:val="000000"/>
          <w:sz w:val="24"/>
          <w:szCs w:val="21"/>
        </w:rPr>
      </w:pPr>
    </w:p>
    <w:p w14:paraId="401353D9" w14:textId="77777777" w:rsidR="00BF0C91" w:rsidRDefault="00D65346">
      <w:pPr>
        <w:pStyle w:val="1"/>
        <w:spacing w:before="100" w:beforeAutospacing="1" w:after="100" w:afterAutospacing="1" w:line="360" w:lineRule="auto"/>
        <w:rPr>
          <w:rFonts w:ascii="Arial" w:eastAsia="黑体" w:hAnsi="Arial" w:cs="Arial"/>
          <w:color w:val="000000"/>
          <w:sz w:val="30"/>
          <w:szCs w:val="32"/>
        </w:rPr>
      </w:pPr>
      <w:bookmarkStart w:id="10" w:name="_Toc15118228"/>
      <w:bookmarkStart w:id="11" w:name="_Toc523711665"/>
      <w:r>
        <w:rPr>
          <w:rFonts w:ascii="黑体" w:eastAsia="黑体" w:hAnsi="宋体"/>
          <w:b w:val="0"/>
          <w:color w:val="000000"/>
          <w:sz w:val="24"/>
          <w:szCs w:val="32"/>
        </w:rPr>
        <w:br w:type="page"/>
      </w:r>
      <w:bookmarkStart w:id="12" w:name="_Toc169580216"/>
      <w:r>
        <w:rPr>
          <w:rFonts w:ascii="Arial" w:eastAsia="黑体" w:hAnsi="Arial" w:cs="Arial" w:hint="eastAsia"/>
          <w:color w:val="000000"/>
          <w:sz w:val="30"/>
          <w:szCs w:val="32"/>
        </w:rPr>
        <w:lastRenderedPageBreak/>
        <w:t>第二部分</w:t>
      </w:r>
      <w:r>
        <w:rPr>
          <w:rFonts w:ascii="Arial" w:eastAsia="黑体" w:hAnsi="Arial" w:cs="Arial" w:hint="eastAsia"/>
          <w:color w:val="000000"/>
          <w:sz w:val="30"/>
          <w:szCs w:val="32"/>
        </w:rPr>
        <w:t xml:space="preserve">  </w:t>
      </w:r>
      <w:r>
        <w:rPr>
          <w:rFonts w:ascii="Arial" w:eastAsia="黑体" w:hAnsi="Arial" w:cs="Arial" w:hint="eastAsia"/>
          <w:color w:val="000000"/>
          <w:sz w:val="30"/>
          <w:szCs w:val="32"/>
        </w:rPr>
        <w:t>释义</w:t>
      </w:r>
      <w:bookmarkEnd w:id="12"/>
    </w:p>
    <w:bookmarkEnd w:id="10"/>
    <w:bookmarkEnd w:id="11"/>
    <w:p w14:paraId="40848F56"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本基金合同中，除非文意另有所指，下列词语或简称具有如下含义：</w:t>
      </w:r>
    </w:p>
    <w:p w14:paraId="387BB879"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基金或本基金：</w:t>
      </w:r>
      <w:r>
        <w:rPr>
          <w:rFonts w:ascii="宋体" w:hAnsi="宋体" w:hint="eastAsia"/>
          <w:color w:val="000000"/>
          <w:sz w:val="24"/>
          <w:szCs w:val="21"/>
        </w:rPr>
        <w:tab/>
        <w:t>指交银施罗德货币市场证券投资基金；</w:t>
      </w:r>
    </w:p>
    <w:p w14:paraId="7D60D8D0"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基金合同：</w:t>
      </w:r>
      <w:r>
        <w:rPr>
          <w:rFonts w:ascii="宋体" w:hAnsi="宋体" w:hint="eastAsia"/>
          <w:color w:val="000000"/>
          <w:sz w:val="24"/>
          <w:szCs w:val="21"/>
        </w:rPr>
        <w:tab/>
        <w:t>指《交银施罗德货币市场证券投资基金基金合同》及其任何有效的修订和补充；</w:t>
      </w:r>
    </w:p>
    <w:p w14:paraId="076AA21F"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招募说明书：</w:t>
      </w:r>
      <w:r>
        <w:rPr>
          <w:rFonts w:ascii="宋体" w:hAnsi="宋体" w:hint="eastAsia"/>
          <w:color w:val="000000"/>
          <w:sz w:val="24"/>
          <w:szCs w:val="21"/>
        </w:rPr>
        <w:tab/>
        <w:t>指《交银施罗德货币市场证券投资基金招募说明书》及其更新；</w:t>
      </w:r>
    </w:p>
    <w:p w14:paraId="20DA2ACC"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cs="宋体" w:hint="eastAsia"/>
          <w:color w:val="000000"/>
          <w:kern w:val="0"/>
          <w:sz w:val="24"/>
        </w:rPr>
        <w:t xml:space="preserve">发售公告：              </w:t>
      </w:r>
      <w:r>
        <w:rPr>
          <w:rFonts w:ascii="宋体" w:hAnsi="宋体" w:cs="宋体" w:hint="eastAsia"/>
          <w:color w:val="000000"/>
          <w:kern w:val="0"/>
          <w:sz w:val="24"/>
        </w:rPr>
        <w:tab/>
        <w:t>指《</w:t>
      </w:r>
      <w:r>
        <w:rPr>
          <w:rFonts w:ascii="宋体" w:hAnsi="宋体" w:cs="宋体"/>
          <w:color w:val="000000"/>
          <w:kern w:val="0"/>
          <w:sz w:val="24"/>
        </w:rPr>
        <w:t>交银施罗德货币市场证券投资基金</w:t>
      </w:r>
      <w:r>
        <w:rPr>
          <w:rFonts w:ascii="宋体" w:hAnsi="宋体" w:cs="宋体" w:hint="eastAsia"/>
          <w:color w:val="000000"/>
          <w:kern w:val="0"/>
          <w:sz w:val="24"/>
        </w:rPr>
        <w:t>基金份额发售公告》；</w:t>
      </w:r>
    </w:p>
    <w:p w14:paraId="6CA89C0A" w14:textId="77777777" w:rsidR="00BF0C91" w:rsidRDefault="00D65346">
      <w:pPr>
        <w:spacing w:line="440" w:lineRule="exact"/>
        <w:ind w:leftChars="1" w:left="3420" w:hangingChars="1424" w:hanging="3418"/>
        <w:rPr>
          <w:rFonts w:ascii="宋体" w:hAnsi="宋体" w:cs="宋体"/>
          <w:color w:val="000000"/>
          <w:kern w:val="0"/>
          <w:sz w:val="24"/>
        </w:rPr>
      </w:pPr>
      <w:r>
        <w:rPr>
          <w:rFonts w:ascii="宋体" w:hAnsi="宋体" w:cs="宋体"/>
          <w:color w:val="000000"/>
          <w:kern w:val="0"/>
          <w:sz w:val="24"/>
        </w:rPr>
        <w:t>托管协议</w:t>
      </w:r>
      <w:r>
        <w:rPr>
          <w:rFonts w:ascii="宋体" w:hAnsi="宋体" w:cs="宋体" w:hint="eastAsia"/>
          <w:color w:val="000000"/>
          <w:kern w:val="0"/>
          <w:sz w:val="24"/>
        </w:rPr>
        <w:t>：</w:t>
      </w:r>
      <w:r>
        <w:rPr>
          <w:rFonts w:ascii="宋体" w:hAnsi="宋体" w:cs="宋体" w:hint="eastAsia"/>
          <w:color w:val="000000"/>
          <w:kern w:val="0"/>
          <w:sz w:val="24"/>
        </w:rPr>
        <w:tab/>
      </w:r>
      <w:r>
        <w:rPr>
          <w:rFonts w:ascii="宋体" w:hAnsi="宋体" w:cs="宋体"/>
          <w:color w:val="000000"/>
          <w:kern w:val="0"/>
          <w:sz w:val="24"/>
        </w:rPr>
        <w:t>指基金管理人与基金托管人签订的《</w:t>
      </w:r>
      <w:r>
        <w:rPr>
          <w:rFonts w:ascii="宋体" w:hAnsi="宋体" w:hint="eastAsia"/>
          <w:color w:val="000000"/>
          <w:sz w:val="24"/>
          <w:szCs w:val="21"/>
        </w:rPr>
        <w:t>交银施罗德货币市场证券投资基金</w:t>
      </w:r>
      <w:r>
        <w:rPr>
          <w:rFonts w:ascii="宋体" w:hAnsi="宋体" w:cs="宋体"/>
          <w:color w:val="000000"/>
          <w:kern w:val="0"/>
          <w:sz w:val="24"/>
        </w:rPr>
        <w:t>托管协议》及</w:t>
      </w:r>
      <w:r>
        <w:rPr>
          <w:rFonts w:ascii="宋体" w:hAnsi="宋体" w:cs="宋体" w:hint="eastAsia"/>
          <w:color w:val="000000"/>
          <w:kern w:val="0"/>
          <w:sz w:val="24"/>
        </w:rPr>
        <w:t>其</w:t>
      </w:r>
      <w:r>
        <w:rPr>
          <w:rFonts w:ascii="宋体" w:hAnsi="宋体" w:hint="eastAsia"/>
          <w:color w:val="000000"/>
          <w:sz w:val="24"/>
          <w:szCs w:val="21"/>
        </w:rPr>
        <w:t>任何</w:t>
      </w:r>
      <w:r>
        <w:rPr>
          <w:rFonts w:ascii="宋体" w:hAnsi="宋体" w:cs="宋体" w:hint="eastAsia"/>
          <w:color w:val="000000"/>
          <w:kern w:val="0"/>
          <w:sz w:val="24"/>
        </w:rPr>
        <w:t>有效的修订和补充；</w:t>
      </w:r>
    </w:p>
    <w:p w14:paraId="1B7713DC" w14:textId="1D62CD00" w:rsidR="00BF0C91" w:rsidRDefault="00D65346">
      <w:pPr>
        <w:spacing w:line="440" w:lineRule="exact"/>
        <w:ind w:leftChars="1" w:left="3420" w:hangingChars="1424" w:hanging="3418"/>
        <w:rPr>
          <w:rFonts w:ascii="宋体" w:hAnsi="宋体" w:cs="宋体"/>
          <w:color w:val="000000"/>
          <w:kern w:val="0"/>
          <w:sz w:val="24"/>
        </w:rPr>
      </w:pPr>
      <w:r>
        <w:rPr>
          <w:rFonts w:ascii="宋体" w:hAnsi="宋体" w:cs="宋体" w:hint="eastAsia"/>
          <w:color w:val="000000"/>
          <w:kern w:val="0"/>
          <w:sz w:val="24"/>
        </w:rPr>
        <w:t>基金产品资料概要：           指《交银施罗德货币市场证券投资基金基金产品资料概要》及其更新</w:t>
      </w:r>
    </w:p>
    <w:p w14:paraId="4241ABE0"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法律法规：</w:t>
      </w:r>
      <w:r>
        <w:rPr>
          <w:rFonts w:ascii="宋体" w:hAnsi="宋体" w:hint="eastAsia"/>
          <w:color w:val="000000"/>
          <w:sz w:val="24"/>
          <w:szCs w:val="21"/>
        </w:rPr>
        <w:tab/>
        <w:t>指中国现时有效并公布实施的法律、行政法规、部门规章及规范性文件、地方性法规、地方政府规章及规范性文件；</w:t>
      </w:r>
    </w:p>
    <w:p w14:paraId="6C6B78C1"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《基金法》：</w:t>
      </w:r>
      <w:r>
        <w:rPr>
          <w:rFonts w:ascii="宋体" w:hAnsi="宋体" w:hint="eastAsia"/>
          <w:color w:val="000000"/>
          <w:sz w:val="24"/>
          <w:szCs w:val="21"/>
        </w:rPr>
        <w:tab/>
        <w:t>指自2004年6月1日起施行的《中华人民共和国证券投资基金法》；</w:t>
      </w:r>
    </w:p>
    <w:p w14:paraId="72046FC8"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《销售办法》：</w:t>
      </w:r>
      <w:r>
        <w:rPr>
          <w:rFonts w:ascii="宋体" w:hAnsi="宋体" w:hint="eastAsia"/>
          <w:color w:val="000000"/>
          <w:sz w:val="24"/>
          <w:szCs w:val="21"/>
        </w:rPr>
        <w:tab/>
        <w:t>指</w:t>
      </w:r>
      <w:r>
        <w:rPr>
          <w:rFonts w:ascii="宋体" w:hAnsi="宋体"/>
          <w:color w:val="000000"/>
          <w:sz w:val="24"/>
          <w:szCs w:val="21"/>
        </w:rPr>
        <w:t>自2004年7月1日起施行的</w:t>
      </w:r>
      <w:r>
        <w:rPr>
          <w:rFonts w:ascii="宋体" w:hAnsi="宋体" w:hint="eastAsia"/>
          <w:color w:val="000000"/>
          <w:sz w:val="24"/>
          <w:szCs w:val="21"/>
        </w:rPr>
        <w:t>《证券投资基金销售管理办法》；</w:t>
      </w:r>
    </w:p>
    <w:p w14:paraId="2F414C9C"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《运作办法》：</w:t>
      </w:r>
      <w:r>
        <w:rPr>
          <w:rFonts w:ascii="宋体" w:hAnsi="宋体" w:hint="eastAsia"/>
          <w:color w:val="000000"/>
          <w:sz w:val="24"/>
          <w:szCs w:val="21"/>
        </w:rPr>
        <w:tab/>
        <w:t>指</w:t>
      </w:r>
      <w:r>
        <w:rPr>
          <w:rFonts w:ascii="宋体" w:hAnsi="宋体"/>
          <w:color w:val="000000"/>
          <w:sz w:val="24"/>
          <w:szCs w:val="21"/>
        </w:rPr>
        <w:t>自2004年7月1日起施行的</w:t>
      </w:r>
      <w:r>
        <w:rPr>
          <w:rFonts w:ascii="宋体" w:hAnsi="宋体" w:hint="eastAsia"/>
          <w:color w:val="000000"/>
          <w:sz w:val="24"/>
          <w:szCs w:val="21"/>
        </w:rPr>
        <w:t>《证券投资基金运作管理办法》；</w:t>
      </w:r>
    </w:p>
    <w:p w14:paraId="7724C75F"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《信息披露办法》：</w:t>
      </w:r>
      <w:r>
        <w:rPr>
          <w:rFonts w:ascii="宋体" w:hAnsi="宋体" w:hint="eastAsia"/>
          <w:color w:val="000000"/>
          <w:sz w:val="24"/>
          <w:szCs w:val="21"/>
        </w:rPr>
        <w:tab/>
        <w:t>指</w:t>
      </w:r>
      <w:r>
        <w:rPr>
          <w:rFonts w:ascii="宋体" w:hAnsi="宋体"/>
          <w:color w:val="000000"/>
          <w:sz w:val="24"/>
          <w:szCs w:val="21"/>
        </w:rPr>
        <w:t>自20</w:t>
      </w:r>
      <w:r>
        <w:rPr>
          <w:rFonts w:ascii="宋体" w:hAnsi="宋体" w:hint="eastAsia"/>
          <w:color w:val="000000"/>
          <w:sz w:val="24"/>
          <w:szCs w:val="21"/>
        </w:rPr>
        <w:t>19</w:t>
      </w:r>
      <w:r>
        <w:rPr>
          <w:rFonts w:ascii="宋体" w:hAnsi="宋体"/>
          <w:color w:val="000000"/>
          <w:sz w:val="24"/>
          <w:szCs w:val="21"/>
        </w:rPr>
        <w:t>年</w:t>
      </w:r>
      <w:r>
        <w:rPr>
          <w:rFonts w:ascii="宋体" w:hAnsi="宋体" w:hint="eastAsia"/>
          <w:color w:val="000000"/>
          <w:sz w:val="24"/>
          <w:szCs w:val="21"/>
        </w:rPr>
        <w:t>9</w:t>
      </w:r>
      <w:r>
        <w:rPr>
          <w:rFonts w:ascii="宋体" w:hAnsi="宋体"/>
          <w:color w:val="000000"/>
          <w:sz w:val="24"/>
          <w:szCs w:val="21"/>
        </w:rPr>
        <w:t>月1日起施行的</w:t>
      </w:r>
      <w:r>
        <w:rPr>
          <w:rFonts w:ascii="宋体" w:hAnsi="宋体" w:hint="eastAsia"/>
          <w:color w:val="000000"/>
          <w:sz w:val="24"/>
          <w:szCs w:val="21"/>
        </w:rPr>
        <w:t>《公开募集证券投资基金信息披露管理办法》；</w:t>
      </w:r>
    </w:p>
    <w:p w14:paraId="59018B62"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《暂行规定》：</w:t>
      </w:r>
      <w:r>
        <w:rPr>
          <w:rFonts w:ascii="宋体" w:hAnsi="宋体" w:hint="eastAsia"/>
          <w:color w:val="000000"/>
          <w:sz w:val="24"/>
          <w:szCs w:val="21"/>
        </w:rPr>
        <w:tab/>
        <w:t>指</w:t>
      </w:r>
      <w:r>
        <w:rPr>
          <w:rFonts w:ascii="宋体" w:hAnsi="宋体"/>
          <w:color w:val="000000"/>
          <w:sz w:val="24"/>
          <w:szCs w:val="21"/>
        </w:rPr>
        <w:t>中国证监会和中国人民银行于2004 年8月16日联合发布并</w:t>
      </w:r>
      <w:r>
        <w:rPr>
          <w:rFonts w:ascii="宋体" w:hAnsi="宋体" w:hint="eastAsia"/>
          <w:color w:val="000000"/>
          <w:sz w:val="24"/>
          <w:szCs w:val="21"/>
        </w:rPr>
        <w:t>于该日</w:t>
      </w:r>
      <w:r>
        <w:rPr>
          <w:rFonts w:ascii="宋体" w:hAnsi="宋体"/>
          <w:color w:val="000000"/>
          <w:sz w:val="24"/>
          <w:szCs w:val="21"/>
        </w:rPr>
        <w:t>施</w:t>
      </w:r>
      <w:r>
        <w:rPr>
          <w:rFonts w:ascii="宋体" w:hAnsi="宋体" w:hint="eastAsia"/>
          <w:color w:val="000000"/>
          <w:sz w:val="24"/>
          <w:szCs w:val="21"/>
        </w:rPr>
        <w:t>行</w:t>
      </w:r>
      <w:r>
        <w:t>的</w:t>
      </w:r>
      <w:r>
        <w:rPr>
          <w:rFonts w:ascii="宋体" w:hAnsi="宋体" w:hint="eastAsia"/>
          <w:color w:val="000000"/>
          <w:sz w:val="24"/>
          <w:szCs w:val="21"/>
        </w:rPr>
        <w:t>《货币市场基金管理暂行规定》；</w:t>
      </w:r>
    </w:p>
    <w:p w14:paraId="2B4D22D1"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《信息披露特别规定》：</w:t>
      </w:r>
      <w:r>
        <w:rPr>
          <w:rFonts w:ascii="宋体" w:hAnsi="宋体" w:hint="eastAsia"/>
          <w:color w:val="000000"/>
          <w:sz w:val="24"/>
          <w:szCs w:val="21"/>
        </w:rPr>
        <w:tab/>
        <w:t>指自2005月4月1日起</w:t>
      </w:r>
      <w:r>
        <w:rPr>
          <w:rFonts w:ascii="宋体" w:hAnsi="宋体"/>
          <w:color w:val="000000"/>
          <w:sz w:val="24"/>
          <w:szCs w:val="21"/>
        </w:rPr>
        <w:t>施行的</w:t>
      </w:r>
      <w:r>
        <w:rPr>
          <w:rFonts w:ascii="宋体" w:hAnsi="宋体" w:hint="eastAsia"/>
          <w:color w:val="000000"/>
          <w:sz w:val="24"/>
          <w:szCs w:val="21"/>
        </w:rPr>
        <w:t>《证券投资基金信息披露编报规则第5号</w:t>
      </w:r>
      <w:r>
        <w:rPr>
          <w:rFonts w:ascii="宋体" w:hAnsi="宋体"/>
          <w:color w:val="000000"/>
          <w:sz w:val="24"/>
          <w:szCs w:val="21"/>
        </w:rPr>
        <w:t>&lt;</w:t>
      </w:r>
      <w:r>
        <w:rPr>
          <w:rFonts w:ascii="宋体" w:hAnsi="宋体" w:hint="eastAsia"/>
          <w:color w:val="000000"/>
          <w:sz w:val="24"/>
          <w:szCs w:val="21"/>
        </w:rPr>
        <w:t>货币市场基金信息披</w:t>
      </w:r>
      <w:r>
        <w:rPr>
          <w:rFonts w:ascii="宋体" w:hAnsi="宋体" w:hint="eastAsia"/>
          <w:color w:val="000000"/>
          <w:sz w:val="24"/>
          <w:szCs w:val="21"/>
        </w:rPr>
        <w:lastRenderedPageBreak/>
        <w:t>露特别规定</w:t>
      </w:r>
      <w:r>
        <w:rPr>
          <w:rFonts w:ascii="宋体" w:hAnsi="宋体"/>
          <w:color w:val="000000"/>
          <w:sz w:val="24"/>
          <w:szCs w:val="21"/>
        </w:rPr>
        <w:t>&gt;</w:t>
      </w:r>
      <w:r>
        <w:rPr>
          <w:rFonts w:ascii="宋体" w:hAnsi="宋体" w:hint="eastAsia"/>
          <w:color w:val="000000"/>
          <w:sz w:val="24"/>
          <w:szCs w:val="21"/>
        </w:rPr>
        <w:t>》；</w:t>
      </w:r>
    </w:p>
    <w:p w14:paraId="493D7B33"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《流动性规定》：</w:t>
      </w:r>
      <w:r>
        <w:rPr>
          <w:rFonts w:ascii="宋体" w:hAnsi="宋体"/>
          <w:color w:val="000000"/>
          <w:sz w:val="24"/>
          <w:szCs w:val="21"/>
        </w:rPr>
        <w:tab/>
      </w:r>
      <w:r>
        <w:rPr>
          <w:rFonts w:ascii="宋体" w:hAnsi="宋体" w:hint="eastAsia"/>
          <w:color w:val="000000"/>
          <w:sz w:val="24"/>
          <w:szCs w:val="21"/>
        </w:rPr>
        <w:t>指中国证监会2017年8月31日颁布、同年10月1日实施的《公开募集开放式证券投资基金流动性风险管理规定》及颁布机关对其不时做出的修订；</w:t>
      </w:r>
    </w:p>
    <w:p w14:paraId="56AC341C"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业务规则：</w:t>
      </w:r>
      <w:r>
        <w:rPr>
          <w:rFonts w:ascii="宋体" w:hAnsi="宋体" w:hint="eastAsia"/>
          <w:color w:val="000000"/>
          <w:sz w:val="24"/>
          <w:szCs w:val="21"/>
        </w:rPr>
        <w:tab/>
        <w:t>指</w:t>
      </w:r>
      <w:r>
        <w:rPr>
          <w:rFonts w:ascii="宋体" w:hAnsi="宋体"/>
          <w:color w:val="000000"/>
          <w:sz w:val="24"/>
          <w:szCs w:val="21"/>
        </w:rPr>
        <w:t>《</w:t>
      </w:r>
      <w:r>
        <w:rPr>
          <w:rFonts w:ascii="宋体" w:hAnsi="宋体" w:hint="eastAsia"/>
          <w:color w:val="000000"/>
          <w:sz w:val="24"/>
          <w:szCs w:val="21"/>
        </w:rPr>
        <w:t>交银施罗德基金管理有限公司开放式基金业务规则</w:t>
      </w:r>
      <w:r>
        <w:rPr>
          <w:rFonts w:ascii="宋体" w:hAnsi="宋体"/>
          <w:color w:val="000000"/>
          <w:sz w:val="24"/>
          <w:szCs w:val="21"/>
        </w:rPr>
        <w:t>》</w:t>
      </w:r>
      <w:r>
        <w:rPr>
          <w:rFonts w:ascii="宋体" w:hAnsi="宋体" w:hint="eastAsia"/>
          <w:color w:val="000000"/>
          <w:sz w:val="24"/>
          <w:szCs w:val="21"/>
        </w:rPr>
        <w:t>；</w:t>
      </w:r>
    </w:p>
    <w:p w14:paraId="2757F52F"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中国：</w:t>
      </w:r>
      <w:r>
        <w:rPr>
          <w:rFonts w:ascii="宋体" w:hAnsi="宋体"/>
          <w:color w:val="000000"/>
          <w:sz w:val="24"/>
          <w:szCs w:val="21"/>
        </w:rPr>
        <w:tab/>
      </w:r>
      <w:r>
        <w:rPr>
          <w:rFonts w:ascii="宋体" w:hAnsi="宋体" w:hint="eastAsia"/>
          <w:color w:val="000000"/>
          <w:sz w:val="24"/>
          <w:szCs w:val="21"/>
        </w:rPr>
        <w:t>指中华人民共和国</w:t>
      </w:r>
      <w:r>
        <w:rPr>
          <w:rFonts w:ascii="宋体" w:hAnsi="宋体"/>
          <w:color w:val="000000"/>
          <w:sz w:val="24"/>
          <w:szCs w:val="21"/>
        </w:rPr>
        <w:t>(</w:t>
      </w:r>
      <w:r>
        <w:rPr>
          <w:rFonts w:ascii="宋体" w:hAnsi="宋体" w:hint="eastAsia"/>
          <w:color w:val="000000"/>
          <w:sz w:val="24"/>
          <w:szCs w:val="21"/>
        </w:rPr>
        <w:t>就本基金合同而言，不包括香港特别行政区、澳门特别行政区及台湾地区</w:t>
      </w:r>
      <w:r>
        <w:rPr>
          <w:rFonts w:ascii="宋体" w:hAnsi="宋体"/>
          <w:color w:val="000000"/>
          <w:sz w:val="24"/>
          <w:szCs w:val="21"/>
        </w:rPr>
        <w:t>)</w:t>
      </w:r>
    </w:p>
    <w:p w14:paraId="7465CBD6"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中国证监会：</w:t>
      </w:r>
      <w:r>
        <w:rPr>
          <w:rFonts w:ascii="宋体" w:hAnsi="宋体" w:hint="eastAsia"/>
          <w:color w:val="000000"/>
          <w:sz w:val="24"/>
          <w:szCs w:val="21"/>
        </w:rPr>
        <w:tab/>
        <w:t>指中国证券监督管理委员会：</w:t>
      </w:r>
    </w:p>
    <w:p w14:paraId="0049C0B0"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银行业监管机构：</w:t>
      </w:r>
      <w:r>
        <w:rPr>
          <w:rFonts w:ascii="宋体" w:hAnsi="宋体" w:hint="eastAsia"/>
          <w:color w:val="000000"/>
          <w:sz w:val="24"/>
          <w:szCs w:val="21"/>
        </w:rPr>
        <w:tab/>
        <w:t>指中国银行业监督管理委员会或其他经国务院授权的机构：</w:t>
      </w:r>
    </w:p>
    <w:p w14:paraId="2871E1CD"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基金合同当事人：</w:t>
      </w:r>
      <w:r>
        <w:rPr>
          <w:rFonts w:ascii="宋体" w:hAnsi="宋体" w:hint="eastAsia"/>
          <w:color w:val="000000"/>
          <w:sz w:val="24"/>
          <w:szCs w:val="21"/>
        </w:rPr>
        <w:tab/>
        <w:t>指受基金合同约束，根据基金合同享受权利并承担义务的基金管理人、基金托管人和基金份额持有人；</w:t>
      </w:r>
    </w:p>
    <w:p w14:paraId="33F0425A"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基金管理人：</w:t>
      </w:r>
      <w:r>
        <w:rPr>
          <w:rFonts w:ascii="宋体" w:hAnsi="宋体" w:hint="eastAsia"/>
          <w:color w:val="000000"/>
          <w:sz w:val="24"/>
          <w:szCs w:val="21"/>
        </w:rPr>
        <w:tab/>
        <w:t>指交银施罗德基金管理有限公司；</w:t>
      </w:r>
    </w:p>
    <w:p w14:paraId="232E467F"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基金托管人：</w:t>
      </w:r>
      <w:r>
        <w:rPr>
          <w:rFonts w:ascii="宋体" w:hAnsi="宋体" w:hint="eastAsia"/>
          <w:color w:val="000000"/>
          <w:sz w:val="24"/>
          <w:szCs w:val="21"/>
        </w:rPr>
        <w:tab/>
        <w:t>指中国农业银行股份有限</w:t>
      </w:r>
      <w:r>
        <w:rPr>
          <w:rFonts w:ascii="宋体" w:hAnsi="宋体"/>
          <w:color w:val="000000"/>
          <w:sz w:val="24"/>
          <w:szCs w:val="21"/>
        </w:rPr>
        <w:t>公司</w:t>
      </w:r>
      <w:r>
        <w:rPr>
          <w:rFonts w:ascii="宋体" w:hAnsi="宋体" w:hint="eastAsia"/>
          <w:color w:val="000000"/>
          <w:sz w:val="24"/>
          <w:szCs w:val="21"/>
        </w:rPr>
        <w:t>；</w:t>
      </w:r>
    </w:p>
    <w:p w14:paraId="41533AC5" w14:textId="77777777" w:rsidR="00BF0C91" w:rsidRDefault="00D65346">
      <w:pPr>
        <w:spacing w:line="440" w:lineRule="exact"/>
        <w:ind w:leftChars="1" w:left="3420" w:hangingChars="1424" w:hanging="3418"/>
        <w:rPr>
          <w:rFonts w:ascii="宋体" w:hAnsi="宋体" w:cs="宋体"/>
          <w:color w:val="000000"/>
          <w:kern w:val="0"/>
          <w:sz w:val="24"/>
        </w:rPr>
      </w:pPr>
      <w:r>
        <w:rPr>
          <w:rFonts w:ascii="宋体" w:hAnsi="宋体" w:cs="宋体"/>
          <w:color w:val="000000"/>
          <w:kern w:val="0"/>
          <w:sz w:val="24"/>
        </w:rPr>
        <w:t>基金份额持有人</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ab/>
      </w:r>
      <w:r>
        <w:rPr>
          <w:rFonts w:ascii="宋体" w:hAnsi="宋体" w:cs="宋体"/>
          <w:color w:val="000000"/>
          <w:kern w:val="0"/>
          <w:sz w:val="24"/>
        </w:rPr>
        <w:t>指依法</w:t>
      </w:r>
      <w:r>
        <w:rPr>
          <w:rFonts w:ascii="宋体" w:hAnsi="宋体" w:cs="宋体" w:hint="eastAsia"/>
          <w:color w:val="000000"/>
          <w:kern w:val="0"/>
          <w:sz w:val="24"/>
        </w:rPr>
        <w:t>并</w:t>
      </w:r>
      <w:r>
        <w:rPr>
          <w:rFonts w:ascii="宋体" w:hAnsi="宋体" w:cs="宋体"/>
          <w:color w:val="000000"/>
          <w:kern w:val="0"/>
          <w:sz w:val="24"/>
        </w:rPr>
        <w:t>依基金合同、招募说明书取得</w:t>
      </w:r>
      <w:r>
        <w:rPr>
          <w:rFonts w:ascii="宋体" w:hAnsi="宋体" w:cs="宋体" w:hint="eastAsia"/>
          <w:color w:val="000000"/>
          <w:kern w:val="0"/>
          <w:sz w:val="24"/>
        </w:rPr>
        <w:t>并持有</w:t>
      </w:r>
      <w:r>
        <w:rPr>
          <w:rFonts w:ascii="宋体" w:hAnsi="宋体" w:cs="宋体"/>
          <w:color w:val="000000"/>
          <w:kern w:val="0"/>
          <w:sz w:val="24"/>
        </w:rPr>
        <w:t>基金份额的投资者</w:t>
      </w:r>
      <w:r>
        <w:rPr>
          <w:rFonts w:ascii="宋体" w:hAnsi="宋体" w:cs="宋体" w:hint="eastAsia"/>
          <w:color w:val="000000"/>
          <w:kern w:val="0"/>
          <w:sz w:val="24"/>
        </w:rPr>
        <w:t>；</w:t>
      </w:r>
    </w:p>
    <w:p w14:paraId="31028018"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投资者：</w:t>
      </w:r>
      <w:r>
        <w:rPr>
          <w:rFonts w:ascii="宋体" w:hAnsi="宋体" w:hint="eastAsia"/>
          <w:color w:val="000000"/>
          <w:sz w:val="24"/>
          <w:szCs w:val="21"/>
        </w:rPr>
        <w:tab/>
        <w:t>指个人投资者、机构投资者和合格境外机构投资者的总称；</w:t>
      </w:r>
    </w:p>
    <w:p w14:paraId="47F8DB1B"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个人投资者：</w:t>
      </w:r>
      <w:r>
        <w:rPr>
          <w:rFonts w:ascii="宋体" w:hAnsi="宋体" w:hint="eastAsia"/>
          <w:color w:val="000000"/>
          <w:sz w:val="24"/>
          <w:szCs w:val="21"/>
        </w:rPr>
        <w:tab/>
        <w:t>指符合法律法规规定可以投资开放式证券投资基金的自然人；</w:t>
      </w:r>
    </w:p>
    <w:p w14:paraId="30FA721A"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机构投资者：</w:t>
      </w:r>
      <w:r>
        <w:rPr>
          <w:rFonts w:ascii="宋体" w:hAnsi="宋体" w:hint="eastAsia"/>
          <w:color w:val="000000"/>
          <w:sz w:val="24"/>
          <w:szCs w:val="21"/>
        </w:rPr>
        <w:tab/>
        <w:t>指符合法律法规规定可以投资开放式证券投资基金的在中国境内注册登记或经有关政府部门批准设立的法人、社会团体和其他组织、机构；</w:t>
      </w:r>
    </w:p>
    <w:p w14:paraId="12F81A60" w14:textId="77777777" w:rsidR="00BF0C91" w:rsidRDefault="00D65346">
      <w:pPr>
        <w:spacing w:line="440" w:lineRule="exact"/>
        <w:ind w:leftChars="1" w:left="3420" w:hangingChars="1424" w:hanging="3418"/>
        <w:rPr>
          <w:rFonts w:ascii="宋体" w:hAnsi="宋体" w:cs="宋体"/>
          <w:color w:val="000000"/>
          <w:kern w:val="0"/>
          <w:sz w:val="24"/>
        </w:rPr>
      </w:pPr>
      <w:r>
        <w:rPr>
          <w:rFonts w:ascii="宋体" w:hAnsi="宋体" w:hint="eastAsia"/>
          <w:color w:val="000000"/>
          <w:sz w:val="24"/>
          <w:szCs w:val="21"/>
        </w:rPr>
        <w:t>合格境外机构投资者：</w:t>
      </w:r>
      <w:r>
        <w:rPr>
          <w:rFonts w:ascii="宋体" w:hAnsi="宋体" w:hint="eastAsia"/>
          <w:color w:val="000000"/>
          <w:sz w:val="24"/>
          <w:szCs w:val="21"/>
        </w:rPr>
        <w:tab/>
      </w:r>
      <w:r>
        <w:rPr>
          <w:rFonts w:ascii="宋体" w:hAnsi="宋体" w:cs="宋体" w:hint="eastAsia"/>
          <w:color w:val="000000"/>
          <w:kern w:val="0"/>
          <w:sz w:val="24"/>
        </w:rPr>
        <w:t>指符合法律法规规定可投资于中国境内证券市场的中国境外的机构投资者；</w:t>
      </w:r>
    </w:p>
    <w:p w14:paraId="5318A0ED"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销售机构：</w:t>
      </w:r>
      <w:r>
        <w:rPr>
          <w:rFonts w:ascii="宋体" w:hAnsi="宋体" w:hint="eastAsia"/>
          <w:color w:val="000000"/>
          <w:sz w:val="24"/>
          <w:szCs w:val="21"/>
        </w:rPr>
        <w:tab/>
        <w:t>指交银施罗德基金管理有限公司及基金代销机构；</w:t>
      </w:r>
    </w:p>
    <w:p w14:paraId="72E28BF2" w14:textId="77777777" w:rsidR="00BF0C91" w:rsidRDefault="00D65346">
      <w:pPr>
        <w:spacing w:line="440" w:lineRule="exact"/>
        <w:ind w:leftChars="1" w:left="3420" w:hangingChars="1424" w:hanging="3418"/>
        <w:rPr>
          <w:rFonts w:ascii="宋体" w:hAnsi="宋体" w:cs="宋体"/>
          <w:kern w:val="0"/>
          <w:sz w:val="24"/>
        </w:rPr>
      </w:pPr>
      <w:r>
        <w:rPr>
          <w:rFonts w:ascii="宋体" w:hAnsi="宋体" w:hint="eastAsia"/>
          <w:color w:val="000000"/>
          <w:sz w:val="24"/>
          <w:szCs w:val="21"/>
        </w:rPr>
        <w:t>基金代销机构：</w:t>
      </w:r>
      <w:r>
        <w:rPr>
          <w:rFonts w:ascii="宋体" w:hAnsi="宋体" w:hint="eastAsia"/>
          <w:color w:val="000000"/>
          <w:sz w:val="24"/>
          <w:szCs w:val="21"/>
        </w:rPr>
        <w:tab/>
      </w:r>
      <w:r>
        <w:rPr>
          <w:rFonts w:ascii="宋体" w:hAnsi="宋体" w:cs="宋体"/>
          <w:color w:val="000000"/>
          <w:kern w:val="0"/>
          <w:sz w:val="24"/>
        </w:rPr>
        <w:t>指</w:t>
      </w:r>
      <w:r>
        <w:rPr>
          <w:rFonts w:ascii="宋体" w:hAnsi="宋体" w:cs="宋体" w:hint="eastAsia"/>
          <w:color w:val="000000"/>
          <w:kern w:val="0"/>
          <w:sz w:val="24"/>
        </w:rPr>
        <w:t>取得基金代销业务资格，接受基金管理人委</w:t>
      </w:r>
      <w:r>
        <w:rPr>
          <w:rFonts w:ascii="宋体" w:hAnsi="宋体" w:cs="宋体" w:hint="eastAsia"/>
          <w:color w:val="000000"/>
          <w:kern w:val="0"/>
          <w:sz w:val="24"/>
        </w:rPr>
        <w:lastRenderedPageBreak/>
        <w:t>托</w:t>
      </w:r>
      <w:r>
        <w:rPr>
          <w:rFonts w:ascii="宋体" w:hAnsi="宋体" w:cs="宋体"/>
          <w:color w:val="000000"/>
          <w:kern w:val="0"/>
          <w:sz w:val="24"/>
        </w:rPr>
        <w:t>并与基金管理人签订了</w:t>
      </w:r>
      <w:r>
        <w:rPr>
          <w:rFonts w:ascii="宋体" w:hAnsi="宋体" w:cs="宋体" w:hint="eastAsia"/>
          <w:color w:val="000000"/>
          <w:kern w:val="0"/>
          <w:sz w:val="24"/>
        </w:rPr>
        <w:t>代销</w:t>
      </w:r>
      <w:r>
        <w:rPr>
          <w:rFonts w:ascii="宋体" w:hAnsi="宋体" w:cs="宋体"/>
          <w:color w:val="000000"/>
          <w:kern w:val="0"/>
          <w:sz w:val="24"/>
        </w:rPr>
        <w:t>协议，代为办理基金销售服务业务的机构</w:t>
      </w:r>
      <w:r>
        <w:rPr>
          <w:rFonts w:ascii="宋体" w:hAnsi="宋体" w:cs="宋体" w:hint="eastAsia"/>
          <w:color w:val="000000"/>
          <w:kern w:val="0"/>
          <w:sz w:val="24"/>
        </w:rPr>
        <w:t>；</w:t>
      </w:r>
    </w:p>
    <w:p w14:paraId="781FB9AC"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基金销售网点：</w:t>
      </w:r>
      <w:r>
        <w:rPr>
          <w:rFonts w:ascii="宋体" w:hAnsi="宋体" w:hint="eastAsia"/>
          <w:color w:val="000000"/>
          <w:sz w:val="24"/>
          <w:szCs w:val="21"/>
        </w:rPr>
        <w:tab/>
        <w:t>指交银施罗德基金管理有限公司的直销网点及基金代销机构的代销网点；</w:t>
      </w:r>
    </w:p>
    <w:p w14:paraId="7422F7F0"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注册登记业务：</w:t>
      </w:r>
      <w:r>
        <w:rPr>
          <w:rFonts w:ascii="宋体" w:hAnsi="宋体" w:hint="eastAsia"/>
          <w:color w:val="000000"/>
          <w:sz w:val="24"/>
          <w:szCs w:val="21"/>
        </w:rPr>
        <w:tab/>
        <w:t>指基金登记、存管、清算和交收业务，具体内容包括投资者基金账户管理、基金份额注册登记、清算及基金交易确认、发放红利、建立并保管基金份额持有人名册等；</w:t>
      </w:r>
    </w:p>
    <w:p w14:paraId="7C8EA726"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注册登记机构：</w:t>
      </w:r>
      <w:r>
        <w:rPr>
          <w:rFonts w:ascii="宋体" w:hAnsi="宋体" w:hint="eastAsia"/>
          <w:color w:val="000000"/>
          <w:sz w:val="24"/>
          <w:szCs w:val="21"/>
        </w:rPr>
        <w:tab/>
        <w:t>指交银施罗德基金管理有限公司或由其委托办理基金注册登记业务的机构；</w:t>
      </w:r>
    </w:p>
    <w:p w14:paraId="07AF4B7A" w14:textId="77777777" w:rsidR="00BF0C91" w:rsidRDefault="00D65346">
      <w:pPr>
        <w:spacing w:line="440" w:lineRule="exact"/>
        <w:ind w:leftChars="1" w:left="3420" w:hangingChars="1424" w:hanging="3418"/>
        <w:rPr>
          <w:rFonts w:ascii="宋体" w:hAnsi="宋体"/>
          <w:color w:val="000000"/>
          <w:sz w:val="24"/>
          <w:szCs w:val="21"/>
        </w:rPr>
      </w:pPr>
      <w:bookmarkStart w:id="13" w:name="_Hlt80961854"/>
      <w:bookmarkEnd w:id="13"/>
      <w:r>
        <w:rPr>
          <w:rFonts w:ascii="宋体" w:hAnsi="宋体" w:hint="eastAsia"/>
          <w:color w:val="000000"/>
          <w:sz w:val="24"/>
          <w:szCs w:val="21"/>
        </w:rPr>
        <w:t>元：</w:t>
      </w:r>
      <w:r>
        <w:rPr>
          <w:rFonts w:ascii="宋体" w:hAnsi="宋体" w:hint="eastAsia"/>
          <w:color w:val="000000"/>
          <w:sz w:val="24"/>
          <w:szCs w:val="21"/>
        </w:rPr>
        <w:tab/>
        <w:t>指中国法定货币人民币元；</w:t>
      </w:r>
    </w:p>
    <w:p w14:paraId="6AEF45BC" w14:textId="39C9CF20"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销售服务费：</w:t>
      </w:r>
      <w:r>
        <w:rPr>
          <w:rFonts w:ascii="宋体" w:hAnsi="宋体" w:hint="eastAsia"/>
          <w:color w:val="000000"/>
          <w:sz w:val="24"/>
          <w:szCs w:val="21"/>
        </w:rPr>
        <w:tab/>
        <w:t>也称持续销售和服务费用，主要用于支付销售机构佣金以及基金管理人的基金营销广告费、促销活动费、基金份额持有人服务费等，该笔费用从各</w:t>
      </w:r>
      <w:r w:rsidR="00A90C7A">
        <w:rPr>
          <w:rFonts w:ascii="宋体" w:hAnsi="宋体" w:hint="eastAsia"/>
          <w:color w:val="000000"/>
          <w:sz w:val="24"/>
          <w:szCs w:val="21"/>
        </w:rPr>
        <w:t>类</w:t>
      </w:r>
      <w:r>
        <w:rPr>
          <w:rFonts w:ascii="宋体" w:hAnsi="宋体" w:hint="eastAsia"/>
          <w:color w:val="000000"/>
          <w:sz w:val="24"/>
          <w:szCs w:val="21"/>
        </w:rPr>
        <w:t>基金份额的基金财产中扣除，属于基金的营运费用；</w:t>
      </w:r>
    </w:p>
    <w:p w14:paraId="785322E6" w14:textId="3983A36B" w:rsidR="00BF0C91" w:rsidRDefault="00D65346">
      <w:pPr>
        <w:tabs>
          <w:tab w:val="left" w:pos="3420"/>
        </w:tabs>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基金份额</w:t>
      </w:r>
      <w:r w:rsidR="001C1487">
        <w:rPr>
          <w:rFonts w:ascii="宋体" w:hAnsi="宋体" w:hint="eastAsia"/>
          <w:color w:val="000000"/>
          <w:sz w:val="24"/>
          <w:szCs w:val="21"/>
        </w:rPr>
        <w:t>分类</w:t>
      </w:r>
      <w:r>
        <w:rPr>
          <w:rFonts w:ascii="宋体" w:hAnsi="宋体" w:hint="eastAsia"/>
          <w:color w:val="000000"/>
          <w:sz w:val="24"/>
          <w:szCs w:val="21"/>
        </w:rPr>
        <w:t>：</w:t>
      </w:r>
      <w:r>
        <w:rPr>
          <w:rFonts w:ascii="宋体" w:hAnsi="宋体" w:hint="eastAsia"/>
          <w:color w:val="000000"/>
          <w:sz w:val="24"/>
          <w:szCs w:val="21"/>
        </w:rPr>
        <w:tab/>
        <w:t>指本基金根据</w:t>
      </w:r>
      <w:r w:rsidR="00E4121B" w:rsidRPr="00E81515">
        <w:rPr>
          <w:rFonts w:hint="eastAsia"/>
          <w:bCs/>
          <w:sz w:val="24"/>
        </w:rPr>
        <w:t>销售服务费收取</w:t>
      </w:r>
      <w:r w:rsidR="00E4121B">
        <w:rPr>
          <w:rFonts w:hint="eastAsia"/>
          <w:bCs/>
          <w:sz w:val="24"/>
        </w:rPr>
        <w:t>费率</w:t>
      </w:r>
      <w:r w:rsidR="00C160E7">
        <w:rPr>
          <w:rFonts w:ascii="宋体" w:hAnsi="宋体" w:hint="eastAsia"/>
          <w:color w:val="000000"/>
          <w:sz w:val="24"/>
          <w:szCs w:val="21"/>
        </w:rPr>
        <w:t>或</w:t>
      </w:r>
      <w:r w:rsidR="001C1487" w:rsidRPr="001C1487">
        <w:rPr>
          <w:rFonts w:ascii="宋体" w:hAnsi="宋体" w:hint="eastAsia"/>
          <w:color w:val="000000"/>
          <w:sz w:val="24"/>
          <w:szCs w:val="21"/>
        </w:rPr>
        <w:t>注册登记机构</w:t>
      </w:r>
      <w:r w:rsidR="00C94204">
        <w:rPr>
          <w:rFonts w:ascii="宋体" w:hAnsi="宋体" w:hint="eastAsia"/>
          <w:color w:val="000000"/>
          <w:sz w:val="24"/>
          <w:szCs w:val="21"/>
        </w:rPr>
        <w:t>等</w:t>
      </w:r>
      <w:r w:rsidR="001C1487">
        <w:rPr>
          <w:rFonts w:ascii="宋体" w:hAnsi="宋体" w:hint="eastAsia"/>
          <w:color w:val="000000"/>
          <w:sz w:val="24"/>
          <w:szCs w:val="21"/>
        </w:rPr>
        <w:t>的不同</w:t>
      </w:r>
      <w:r w:rsidR="00E57C2D" w:rsidRPr="00E81515">
        <w:rPr>
          <w:rFonts w:hint="eastAsia"/>
          <w:bCs/>
          <w:sz w:val="24"/>
        </w:rPr>
        <w:t>将基金份额分为不同的类别</w:t>
      </w:r>
      <w:r w:rsidR="00CB32D8">
        <w:rPr>
          <w:rFonts w:ascii="宋体" w:hAnsi="宋体" w:hint="eastAsia"/>
          <w:color w:val="000000"/>
          <w:sz w:val="24"/>
          <w:szCs w:val="21"/>
        </w:rPr>
        <w:t>，</w:t>
      </w:r>
      <w:r w:rsidR="001C1487">
        <w:rPr>
          <w:rFonts w:ascii="宋体" w:hAnsi="宋体" w:hint="eastAsia"/>
          <w:color w:val="000000"/>
          <w:sz w:val="24"/>
          <w:szCs w:val="21"/>
        </w:rPr>
        <w:t>各类基金份额</w:t>
      </w:r>
      <w:r w:rsidR="00157C8E">
        <w:rPr>
          <w:rFonts w:ascii="宋体" w:hAnsi="宋体" w:hint="eastAsia"/>
          <w:color w:val="000000"/>
          <w:sz w:val="24"/>
          <w:szCs w:val="21"/>
        </w:rPr>
        <w:t>单独</w:t>
      </w:r>
      <w:r w:rsidR="00114A79">
        <w:rPr>
          <w:rFonts w:ascii="宋体" w:hAnsi="宋体" w:hint="eastAsia"/>
          <w:color w:val="000000"/>
          <w:sz w:val="24"/>
          <w:szCs w:val="21"/>
        </w:rPr>
        <w:t>设置</w:t>
      </w:r>
      <w:r w:rsidR="001C1487">
        <w:rPr>
          <w:rFonts w:ascii="宋体" w:hAnsi="宋体" w:hint="eastAsia"/>
          <w:color w:val="000000"/>
          <w:sz w:val="24"/>
          <w:szCs w:val="21"/>
        </w:rPr>
        <w:t>基金代码，</w:t>
      </w:r>
      <w:r>
        <w:rPr>
          <w:rFonts w:ascii="宋体" w:hAnsi="宋体" w:hint="eastAsia"/>
          <w:color w:val="000000"/>
          <w:sz w:val="24"/>
          <w:szCs w:val="21"/>
        </w:rPr>
        <w:t>并分别公布每万份基金已实现收益和基金七日年化收益率；</w:t>
      </w:r>
    </w:p>
    <w:p w14:paraId="286EB716" w14:textId="7F9BE26B" w:rsidR="00BF0C91" w:rsidRDefault="00D65346">
      <w:pPr>
        <w:tabs>
          <w:tab w:val="left" w:pos="3420"/>
        </w:tabs>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基金份额的升级：</w:t>
      </w:r>
      <w:r>
        <w:rPr>
          <w:rFonts w:ascii="宋体" w:hAnsi="宋体" w:hint="eastAsia"/>
          <w:color w:val="000000"/>
          <w:sz w:val="24"/>
          <w:szCs w:val="21"/>
        </w:rPr>
        <w:tab/>
        <w:t>指当投资者在单个基金帐户保留的</w:t>
      </w:r>
      <w:r w:rsidR="006E0DCB">
        <w:rPr>
          <w:rFonts w:ascii="宋体" w:hAnsi="宋体" w:hint="eastAsia"/>
          <w:color w:val="000000"/>
          <w:sz w:val="24"/>
          <w:szCs w:val="21"/>
        </w:rPr>
        <w:t>A类</w:t>
      </w:r>
      <w:r>
        <w:rPr>
          <w:rFonts w:ascii="宋体" w:hAnsi="宋体" w:hint="eastAsia"/>
          <w:color w:val="000000"/>
          <w:sz w:val="24"/>
          <w:szCs w:val="21"/>
        </w:rPr>
        <w:t>基金份额达到</w:t>
      </w:r>
      <w:r w:rsidR="006E0DCB">
        <w:rPr>
          <w:rFonts w:ascii="宋体" w:hAnsi="宋体" w:hint="eastAsia"/>
          <w:color w:val="000000"/>
          <w:sz w:val="24"/>
          <w:szCs w:val="21"/>
        </w:rPr>
        <w:t>B类</w:t>
      </w:r>
      <w:r>
        <w:rPr>
          <w:rFonts w:ascii="宋体" w:hAnsi="宋体" w:hint="eastAsia"/>
          <w:color w:val="000000"/>
          <w:sz w:val="24"/>
          <w:szCs w:val="21"/>
        </w:rPr>
        <w:t>基金份额的最低份额要求时，基金的注册登记机构自动将投资者在该基金帐户保留的</w:t>
      </w:r>
      <w:r w:rsidR="00225D91">
        <w:rPr>
          <w:rFonts w:ascii="宋体" w:hAnsi="宋体" w:hint="eastAsia"/>
          <w:color w:val="000000"/>
          <w:sz w:val="24"/>
          <w:szCs w:val="21"/>
        </w:rPr>
        <w:t>A类</w:t>
      </w:r>
      <w:r>
        <w:rPr>
          <w:rFonts w:ascii="宋体" w:hAnsi="宋体" w:hint="eastAsia"/>
          <w:color w:val="000000"/>
          <w:sz w:val="24"/>
          <w:szCs w:val="21"/>
        </w:rPr>
        <w:t>基金份额全部升级为</w:t>
      </w:r>
      <w:r w:rsidR="00056C22">
        <w:rPr>
          <w:rFonts w:ascii="宋体" w:hAnsi="宋体" w:hint="eastAsia"/>
          <w:color w:val="000000"/>
          <w:sz w:val="24"/>
          <w:szCs w:val="21"/>
        </w:rPr>
        <w:t>B类</w:t>
      </w:r>
      <w:r>
        <w:rPr>
          <w:rFonts w:ascii="宋体" w:hAnsi="宋体" w:hint="eastAsia"/>
          <w:color w:val="000000"/>
          <w:sz w:val="24"/>
          <w:szCs w:val="21"/>
        </w:rPr>
        <w:t>基金份额；</w:t>
      </w:r>
    </w:p>
    <w:p w14:paraId="3A727F44" w14:textId="41EC70EB" w:rsidR="00BF0C91" w:rsidRDefault="00D65346">
      <w:pPr>
        <w:spacing w:line="440" w:lineRule="exact"/>
        <w:ind w:leftChars="1" w:left="3420" w:hangingChars="1424" w:hanging="3418"/>
        <w:rPr>
          <w:rFonts w:ascii="宋体" w:hAnsi="宋体" w:cs="宋体"/>
          <w:color w:val="000000"/>
          <w:kern w:val="0"/>
          <w:sz w:val="24"/>
        </w:rPr>
      </w:pPr>
      <w:r>
        <w:rPr>
          <w:rFonts w:ascii="宋体" w:hAnsi="宋体" w:hint="eastAsia"/>
          <w:color w:val="000000"/>
          <w:sz w:val="24"/>
          <w:szCs w:val="21"/>
        </w:rPr>
        <w:t>基金份额的降级：</w:t>
      </w:r>
      <w:r>
        <w:rPr>
          <w:rFonts w:ascii="宋体" w:hAnsi="宋体" w:hint="eastAsia"/>
          <w:color w:val="000000"/>
          <w:sz w:val="24"/>
          <w:szCs w:val="21"/>
        </w:rPr>
        <w:tab/>
        <w:t>指当投资者在单个基金帐户保留的</w:t>
      </w:r>
      <w:r w:rsidR="0058183E">
        <w:rPr>
          <w:rFonts w:ascii="宋体" w:hAnsi="宋体" w:hint="eastAsia"/>
          <w:color w:val="000000"/>
          <w:sz w:val="24"/>
          <w:szCs w:val="21"/>
        </w:rPr>
        <w:t>B类</w:t>
      </w:r>
      <w:r>
        <w:rPr>
          <w:rFonts w:ascii="宋体" w:hAnsi="宋体" w:hint="eastAsia"/>
          <w:color w:val="000000"/>
          <w:sz w:val="24"/>
          <w:szCs w:val="21"/>
        </w:rPr>
        <w:t>基金份额不能满足</w:t>
      </w:r>
      <w:r w:rsidR="0045609F">
        <w:rPr>
          <w:rFonts w:ascii="宋体" w:hAnsi="宋体" w:hint="eastAsia"/>
          <w:color w:val="000000"/>
          <w:sz w:val="24"/>
          <w:szCs w:val="21"/>
        </w:rPr>
        <w:t>B类</w:t>
      </w:r>
      <w:r>
        <w:rPr>
          <w:rFonts w:ascii="宋体" w:hAnsi="宋体" w:hint="eastAsia"/>
          <w:color w:val="000000"/>
          <w:sz w:val="24"/>
          <w:szCs w:val="21"/>
        </w:rPr>
        <w:t>基金份额最低份额要求时，基金的注册登记机构自动将投资者在该基金帐户保留的</w:t>
      </w:r>
      <w:r w:rsidR="00225D91">
        <w:rPr>
          <w:rFonts w:ascii="宋体" w:hAnsi="宋体" w:hint="eastAsia"/>
          <w:color w:val="000000"/>
          <w:sz w:val="24"/>
          <w:szCs w:val="21"/>
        </w:rPr>
        <w:t>B类</w:t>
      </w:r>
      <w:r>
        <w:rPr>
          <w:rFonts w:ascii="宋体" w:hAnsi="宋体" w:hint="eastAsia"/>
          <w:color w:val="000000"/>
          <w:sz w:val="24"/>
          <w:szCs w:val="21"/>
        </w:rPr>
        <w:t>基金份额全部降级为</w:t>
      </w:r>
      <w:r w:rsidR="004805B7">
        <w:rPr>
          <w:rFonts w:ascii="宋体" w:hAnsi="宋体" w:hint="eastAsia"/>
          <w:color w:val="000000"/>
          <w:sz w:val="24"/>
          <w:szCs w:val="21"/>
        </w:rPr>
        <w:t>A类</w:t>
      </w:r>
      <w:r>
        <w:rPr>
          <w:rFonts w:ascii="宋体" w:hAnsi="宋体" w:hint="eastAsia"/>
          <w:color w:val="000000"/>
          <w:sz w:val="24"/>
          <w:szCs w:val="21"/>
        </w:rPr>
        <w:t>基金份额；</w:t>
      </w:r>
    </w:p>
    <w:p w14:paraId="558916FD" w14:textId="77777777" w:rsidR="00BF0C91" w:rsidRDefault="00D65346">
      <w:pPr>
        <w:spacing w:line="440" w:lineRule="exact"/>
        <w:ind w:leftChars="1" w:left="3420" w:hangingChars="1424" w:hanging="3418"/>
        <w:rPr>
          <w:rFonts w:ascii="宋体" w:hAnsi="宋体"/>
          <w:color w:val="FF0000"/>
          <w:sz w:val="24"/>
          <w:szCs w:val="21"/>
        </w:rPr>
      </w:pPr>
      <w:r>
        <w:rPr>
          <w:rFonts w:ascii="宋体" w:hAnsi="宋体" w:cs="宋体" w:hint="eastAsia"/>
          <w:color w:val="000000"/>
          <w:kern w:val="0"/>
          <w:sz w:val="24"/>
        </w:rPr>
        <w:t>基金合同生效日：</w:t>
      </w:r>
      <w:r>
        <w:rPr>
          <w:rFonts w:ascii="宋体" w:hAnsi="宋体" w:cs="宋体" w:hint="eastAsia"/>
          <w:color w:val="000000"/>
          <w:kern w:val="0"/>
          <w:sz w:val="24"/>
        </w:rPr>
        <w:tab/>
        <w:t>指本</w:t>
      </w:r>
      <w:r>
        <w:rPr>
          <w:rFonts w:ascii="宋体" w:hAnsi="宋体" w:cs="宋体"/>
          <w:color w:val="000000"/>
          <w:kern w:val="0"/>
          <w:sz w:val="24"/>
        </w:rPr>
        <w:t>基金</w:t>
      </w:r>
      <w:r>
        <w:rPr>
          <w:rFonts w:ascii="宋体" w:hAnsi="宋体" w:cs="宋体" w:hint="eastAsia"/>
          <w:color w:val="000000"/>
          <w:kern w:val="0"/>
          <w:sz w:val="24"/>
        </w:rPr>
        <w:t>募集</w:t>
      </w:r>
      <w:r>
        <w:rPr>
          <w:rFonts w:ascii="宋体" w:hAnsi="宋体" w:cs="宋体"/>
          <w:color w:val="000000"/>
          <w:kern w:val="0"/>
          <w:sz w:val="24"/>
        </w:rPr>
        <w:t>达到法律</w:t>
      </w:r>
      <w:r>
        <w:rPr>
          <w:rFonts w:ascii="宋体" w:hAnsi="宋体" w:cs="宋体" w:hint="eastAsia"/>
          <w:color w:val="000000"/>
          <w:kern w:val="0"/>
          <w:sz w:val="24"/>
        </w:rPr>
        <w:t>法规</w:t>
      </w:r>
      <w:r>
        <w:rPr>
          <w:rFonts w:ascii="宋体" w:hAnsi="宋体" w:cs="宋体"/>
          <w:color w:val="000000"/>
          <w:kern w:val="0"/>
          <w:sz w:val="24"/>
        </w:rPr>
        <w:t>规定及基金合同规定的条件，</w:t>
      </w:r>
      <w:r>
        <w:rPr>
          <w:rFonts w:ascii="宋体" w:hAnsi="宋体" w:cs="宋体" w:hint="eastAsia"/>
          <w:color w:val="000000"/>
          <w:kern w:val="0"/>
          <w:sz w:val="24"/>
        </w:rPr>
        <w:t>基金管理人聘请法定机构验资并办理完毕基金合同备案手续并获得</w:t>
      </w:r>
      <w:r>
        <w:rPr>
          <w:rFonts w:ascii="宋体" w:hAnsi="宋体" w:hint="eastAsia"/>
          <w:sz w:val="24"/>
          <w:szCs w:val="21"/>
        </w:rPr>
        <w:t>中国证监会书</w:t>
      </w:r>
      <w:r>
        <w:rPr>
          <w:rFonts w:ascii="宋体" w:hAnsi="宋体" w:hint="eastAsia"/>
          <w:sz w:val="24"/>
          <w:szCs w:val="21"/>
        </w:rPr>
        <w:lastRenderedPageBreak/>
        <w:t>面确认之日；</w:t>
      </w:r>
    </w:p>
    <w:p w14:paraId="0743C619"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color w:val="000000"/>
          <w:sz w:val="24"/>
          <w:szCs w:val="21"/>
        </w:rPr>
        <w:t>开放日</w:t>
      </w:r>
      <w:r>
        <w:rPr>
          <w:rFonts w:ascii="宋体" w:hAnsi="宋体" w:hint="eastAsia"/>
          <w:color w:val="000000"/>
          <w:sz w:val="24"/>
          <w:szCs w:val="21"/>
        </w:rPr>
        <w:t>：</w:t>
      </w:r>
      <w:r>
        <w:rPr>
          <w:rFonts w:ascii="宋体" w:hAnsi="宋体" w:hint="eastAsia"/>
          <w:color w:val="000000"/>
          <w:sz w:val="24"/>
          <w:szCs w:val="21"/>
        </w:rPr>
        <w:tab/>
      </w:r>
      <w:r>
        <w:rPr>
          <w:rFonts w:ascii="宋体" w:hAnsi="宋体"/>
          <w:color w:val="000000"/>
          <w:sz w:val="24"/>
          <w:szCs w:val="21"/>
        </w:rPr>
        <w:t>指销售</w:t>
      </w:r>
      <w:r>
        <w:rPr>
          <w:rFonts w:ascii="宋体" w:hAnsi="宋体" w:hint="eastAsia"/>
          <w:color w:val="000000"/>
          <w:sz w:val="24"/>
          <w:szCs w:val="21"/>
        </w:rPr>
        <w:t>机构</w:t>
      </w:r>
      <w:r>
        <w:rPr>
          <w:rFonts w:ascii="宋体" w:hAnsi="宋体"/>
          <w:color w:val="000000"/>
          <w:sz w:val="24"/>
          <w:szCs w:val="21"/>
        </w:rPr>
        <w:t>为投资者办理基金申购、赎回等业务的工作日</w:t>
      </w:r>
      <w:r>
        <w:rPr>
          <w:rFonts w:ascii="宋体" w:hAnsi="宋体" w:hint="eastAsia"/>
          <w:color w:val="000000"/>
          <w:sz w:val="24"/>
          <w:szCs w:val="21"/>
        </w:rPr>
        <w:t>；</w:t>
      </w:r>
    </w:p>
    <w:p w14:paraId="4E136CEC"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募集期：</w:t>
      </w:r>
      <w:r>
        <w:rPr>
          <w:rFonts w:ascii="宋体" w:hAnsi="宋体" w:hint="eastAsia"/>
          <w:color w:val="000000"/>
          <w:sz w:val="24"/>
          <w:szCs w:val="21"/>
        </w:rPr>
        <w:tab/>
        <w:t>指</w:t>
      </w:r>
      <w:r>
        <w:rPr>
          <w:rFonts w:ascii="宋体" w:hAnsi="宋体" w:hint="eastAsia"/>
          <w:color w:val="000000"/>
          <w:sz w:val="24"/>
        </w:rPr>
        <w:t>自基金份额发售之日起不超过3个月的期间；</w:t>
      </w:r>
    </w:p>
    <w:p w14:paraId="5A466A48"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基金存续期：</w:t>
      </w:r>
      <w:r>
        <w:rPr>
          <w:rFonts w:ascii="宋体" w:hAnsi="宋体" w:hint="eastAsia"/>
          <w:color w:val="000000"/>
          <w:sz w:val="24"/>
          <w:szCs w:val="21"/>
        </w:rPr>
        <w:tab/>
        <w:t>指基金合同生效后合法存续的不定期之期间；</w:t>
      </w:r>
    </w:p>
    <w:p w14:paraId="5A68301C"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日/天：</w:t>
      </w:r>
      <w:r>
        <w:rPr>
          <w:rFonts w:ascii="宋体" w:hAnsi="宋体" w:hint="eastAsia"/>
          <w:color w:val="000000"/>
          <w:sz w:val="24"/>
          <w:szCs w:val="21"/>
        </w:rPr>
        <w:tab/>
        <w:t>指公历日；</w:t>
      </w:r>
    </w:p>
    <w:p w14:paraId="6A0A87D9"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月：</w:t>
      </w:r>
      <w:r>
        <w:rPr>
          <w:rFonts w:ascii="宋体" w:hAnsi="宋体" w:hint="eastAsia"/>
          <w:color w:val="000000"/>
          <w:sz w:val="24"/>
          <w:szCs w:val="21"/>
        </w:rPr>
        <w:tab/>
        <w:t>指公历月；</w:t>
      </w:r>
    </w:p>
    <w:p w14:paraId="310A7C54"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工作日：</w:t>
      </w:r>
      <w:r>
        <w:rPr>
          <w:rFonts w:ascii="宋体" w:hAnsi="宋体" w:hint="eastAsia"/>
          <w:color w:val="000000"/>
          <w:sz w:val="24"/>
          <w:szCs w:val="21"/>
        </w:rPr>
        <w:tab/>
        <w:t>指上海证券交易所和深圳证券交易所的正常交易日；</w:t>
      </w:r>
    </w:p>
    <w:p w14:paraId="7A507CF3"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T日：</w:t>
      </w:r>
      <w:r>
        <w:rPr>
          <w:rFonts w:ascii="宋体" w:hAnsi="宋体" w:hint="eastAsia"/>
          <w:color w:val="000000"/>
          <w:sz w:val="24"/>
          <w:szCs w:val="21"/>
        </w:rPr>
        <w:tab/>
      </w:r>
      <w:r>
        <w:rPr>
          <w:rFonts w:ascii="宋体" w:hAnsi="宋体" w:cs="宋体"/>
          <w:color w:val="000000"/>
          <w:kern w:val="0"/>
          <w:sz w:val="24"/>
        </w:rPr>
        <w:t>指销售</w:t>
      </w:r>
      <w:r>
        <w:rPr>
          <w:rFonts w:ascii="宋体" w:hAnsi="宋体" w:cs="宋体" w:hint="eastAsia"/>
          <w:color w:val="000000"/>
          <w:kern w:val="0"/>
          <w:sz w:val="24"/>
        </w:rPr>
        <w:t>机构</w:t>
      </w:r>
      <w:r>
        <w:rPr>
          <w:rFonts w:ascii="宋体" w:hAnsi="宋体" w:cs="宋体"/>
          <w:color w:val="000000"/>
          <w:kern w:val="0"/>
          <w:sz w:val="24"/>
        </w:rPr>
        <w:t>确认的投资者有效申请工作日</w:t>
      </w:r>
      <w:r>
        <w:rPr>
          <w:rFonts w:ascii="宋体" w:hAnsi="宋体" w:cs="宋体" w:hint="eastAsia"/>
          <w:color w:val="000000"/>
          <w:kern w:val="0"/>
          <w:sz w:val="24"/>
        </w:rPr>
        <w:t>；</w:t>
      </w:r>
    </w:p>
    <w:p w14:paraId="7CD67FB1"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T+</w:t>
      </w:r>
      <w:r>
        <w:rPr>
          <w:rFonts w:ascii="宋体" w:hAnsi="宋体"/>
          <w:color w:val="000000"/>
          <w:sz w:val="24"/>
          <w:szCs w:val="21"/>
        </w:rPr>
        <w:t>n</w:t>
      </w:r>
      <w:r>
        <w:rPr>
          <w:rFonts w:ascii="宋体" w:hAnsi="宋体" w:hint="eastAsia"/>
          <w:color w:val="000000"/>
          <w:sz w:val="24"/>
          <w:szCs w:val="21"/>
        </w:rPr>
        <w:t>日：</w:t>
      </w:r>
      <w:r>
        <w:rPr>
          <w:rFonts w:ascii="宋体" w:hAnsi="宋体" w:hint="eastAsia"/>
          <w:color w:val="000000"/>
          <w:sz w:val="24"/>
          <w:szCs w:val="21"/>
        </w:rPr>
        <w:tab/>
        <w:t>指自T日起第</w:t>
      </w:r>
      <w:r>
        <w:rPr>
          <w:rFonts w:ascii="宋体" w:hAnsi="宋体"/>
          <w:color w:val="000000"/>
          <w:sz w:val="24"/>
          <w:szCs w:val="21"/>
        </w:rPr>
        <w:t>n</w:t>
      </w:r>
      <w:r>
        <w:rPr>
          <w:rFonts w:ascii="宋体" w:hAnsi="宋体" w:hint="eastAsia"/>
          <w:color w:val="000000"/>
          <w:sz w:val="24"/>
          <w:szCs w:val="21"/>
        </w:rPr>
        <w:t>个工作日（不包含T日）；</w:t>
      </w:r>
    </w:p>
    <w:p w14:paraId="4BEDAE99"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 xml:space="preserve">发售：                  </w:t>
      </w:r>
      <w:r>
        <w:rPr>
          <w:rFonts w:ascii="宋体" w:hAnsi="宋体" w:hint="eastAsia"/>
          <w:color w:val="000000"/>
          <w:sz w:val="24"/>
          <w:szCs w:val="21"/>
        </w:rPr>
        <w:tab/>
        <w:t>指在本基金募集期内，销售机构向投资者销售本基金份额的行为；</w:t>
      </w:r>
    </w:p>
    <w:p w14:paraId="785002D0"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认购：</w:t>
      </w:r>
      <w:r>
        <w:rPr>
          <w:rFonts w:ascii="宋体" w:hAnsi="宋体" w:hint="eastAsia"/>
          <w:color w:val="000000"/>
          <w:sz w:val="24"/>
          <w:szCs w:val="21"/>
        </w:rPr>
        <w:tab/>
        <w:t>指在本基金募集期内，投资者购买本基金份额的行为；</w:t>
      </w:r>
    </w:p>
    <w:p w14:paraId="3088E099" w14:textId="77777777" w:rsidR="00BF0C91" w:rsidRDefault="00D65346">
      <w:pPr>
        <w:spacing w:line="440" w:lineRule="exact"/>
        <w:ind w:leftChars="1" w:left="3420" w:hangingChars="1424" w:hanging="3418"/>
        <w:rPr>
          <w:rFonts w:ascii="宋体" w:hAnsi="宋体"/>
          <w:sz w:val="24"/>
          <w:szCs w:val="21"/>
        </w:rPr>
      </w:pPr>
      <w:r>
        <w:rPr>
          <w:rFonts w:ascii="宋体" w:hAnsi="宋体" w:hint="eastAsia"/>
          <w:color w:val="000000"/>
          <w:sz w:val="24"/>
          <w:szCs w:val="21"/>
        </w:rPr>
        <w:t>申购：</w:t>
      </w:r>
      <w:r>
        <w:rPr>
          <w:rFonts w:ascii="宋体" w:hAnsi="宋体" w:hint="eastAsia"/>
          <w:color w:val="000000"/>
          <w:sz w:val="24"/>
          <w:szCs w:val="21"/>
        </w:rPr>
        <w:tab/>
        <w:t>指基金合同生效后，基金投资者根据基金销售网点规定的手续，向基金管理人提出申请购买基金份额的行为。本基金的申购自基金合同生效后不超过</w:t>
      </w:r>
      <w:r>
        <w:rPr>
          <w:rFonts w:ascii="宋体" w:hAnsi="宋体" w:hint="eastAsia"/>
          <w:sz w:val="24"/>
          <w:szCs w:val="21"/>
        </w:rPr>
        <w:t>30日的时间开始办理；</w:t>
      </w:r>
    </w:p>
    <w:p w14:paraId="0E1D0AF4"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sz w:val="24"/>
          <w:szCs w:val="21"/>
        </w:rPr>
        <w:t>赎回：</w:t>
      </w:r>
      <w:r>
        <w:rPr>
          <w:rFonts w:ascii="宋体" w:hAnsi="宋体" w:hint="eastAsia"/>
          <w:sz w:val="24"/>
          <w:szCs w:val="21"/>
        </w:rPr>
        <w:tab/>
        <w:t>指基金合同生效后，基金投资者根据基金销售网点规定的手续，向基金管理人提出申请卖出基金份额的行为。本基金的赎回自基金合同生效后不超过30日的时间</w:t>
      </w:r>
      <w:r>
        <w:rPr>
          <w:rFonts w:ascii="宋体" w:hAnsi="宋体" w:hint="eastAsia"/>
          <w:color w:val="000000"/>
          <w:sz w:val="24"/>
          <w:szCs w:val="21"/>
        </w:rPr>
        <w:t>开始办理；</w:t>
      </w:r>
    </w:p>
    <w:p w14:paraId="0B39DD0E"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color w:val="000000"/>
          <w:sz w:val="24"/>
          <w:szCs w:val="21"/>
        </w:rPr>
        <w:t>转托管</w:t>
      </w:r>
      <w:r>
        <w:rPr>
          <w:rFonts w:ascii="宋体" w:hAnsi="宋体" w:hint="eastAsia"/>
          <w:color w:val="000000"/>
          <w:sz w:val="24"/>
          <w:szCs w:val="21"/>
        </w:rPr>
        <w:t>：</w:t>
      </w:r>
      <w:r>
        <w:rPr>
          <w:rFonts w:ascii="宋体" w:hAnsi="宋体" w:hint="eastAsia"/>
          <w:color w:val="000000"/>
          <w:sz w:val="24"/>
          <w:szCs w:val="21"/>
        </w:rPr>
        <w:tab/>
      </w:r>
      <w:r>
        <w:rPr>
          <w:rFonts w:ascii="宋体" w:hAnsi="宋体"/>
          <w:color w:val="000000"/>
          <w:sz w:val="24"/>
          <w:szCs w:val="21"/>
        </w:rPr>
        <w:t>指投资者将其持有的同一基金账户下的基金份额从某一交易账户转入另一交易账户的业务</w:t>
      </w:r>
      <w:r>
        <w:rPr>
          <w:rFonts w:ascii="宋体" w:hAnsi="宋体" w:hint="eastAsia"/>
          <w:color w:val="000000"/>
          <w:sz w:val="24"/>
          <w:szCs w:val="21"/>
        </w:rPr>
        <w:t>；</w:t>
      </w:r>
    </w:p>
    <w:p w14:paraId="45E20E38"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cs="宋体"/>
          <w:color w:val="000000"/>
          <w:kern w:val="0"/>
          <w:sz w:val="24"/>
        </w:rPr>
        <w:t>投资指令</w:t>
      </w:r>
      <w:r>
        <w:rPr>
          <w:rFonts w:ascii="宋体" w:hAnsi="宋体" w:cs="宋体" w:hint="eastAsia"/>
          <w:color w:val="000000"/>
          <w:kern w:val="0"/>
          <w:sz w:val="24"/>
        </w:rPr>
        <w:t>：</w:t>
      </w:r>
      <w:r>
        <w:rPr>
          <w:rFonts w:ascii="宋体" w:hAnsi="宋体" w:cs="宋体" w:hint="eastAsia"/>
          <w:color w:val="000000"/>
          <w:kern w:val="0"/>
          <w:sz w:val="24"/>
        </w:rPr>
        <w:tab/>
      </w:r>
      <w:r>
        <w:rPr>
          <w:rFonts w:ascii="宋体" w:hAnsi="宋体" w:cs="宋体"/>
          <w:color w:val="000000"/>
          <w:kern w:val="0"/>
          <w:sz w:val="24"/>
        </w:rPr>
        <w:t>指基金管理人在运用基金财产进行投资时，向基金托管人发出的资金划拨及实物券调拨等指令</w:t>
      </w:r>
      <w:r>
        <w:rPr>
          <w:rFonts w:ascii="宋体" w:hAnsi="宋体" w:cs="宋体" w:hint="eastAsia"/>
          <w:color w:val="000000"/>
          <w:kern w:val="0"/>
          <w:sz w:val="24"/>
        </w:rPr>
        <w:t>；</w:t>
      </w:r>
    </w:p>
    <w:p w14:paraId="0C4853A9"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基金账户：</w:t>
      </w:r>
      <w:r>
        <w:rPr>
          <w:rFonts w:ascii="宋体" w:hAnsi="宋体" w:hint="eastAsia"/>
          <w:color w:val="000000"/>
          <w:sz w:val="24"/>
          <w:szCs w:val="21"/>
        </w:rPr>
        <w:tab/>
        <w:t>指基金注册登记机构给投资者开立的用于记录投资者持有的由该注册登记机构登记注册的开放式基金份额变动及结余情况的账户；</w:t>
      </w:r>
    </w:p>
    <w:p w14:paraId="4DBE41A7"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lastRenderedPageBreak/>
        <w:t>交易账户：</w:t>
      </w:r>
      <w:r>
        <w:rPr>
          <w:rFonts w:ascii="宋体" w:hAnsi="宋体" w:hint="eastAsia"/>
          <w:color w:val="000000"/>
          <w:sz w:val="24"/>
          <w:szCs w:val="21"/>
        </w:rPr>
        <w:tab/>
        <w:t>指各销售机构为投资者开立的记录投资者通过该销售机构办理基金交易所引起的基金份额的变动及结余情况的账户；</w:t>
      </w:r>
    </w:p>
    <w:p w14:paraId="16E9738B"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定期定额投资计划：</w:t>
      </w:r>
      <w:r>
        <w:rPr>
          <w:rFonts w:ascii="宋体" w:hAnsi="宋体" w:hint="eastAsia"/>
          <w:color w:val="000000"/>
          <w:sz w:val="24"/>
          <w:szCs w:val="21"/>
        </w:rPr>
        <w:tab/>
        <w:t>指投资者通过有关销售机构提出申请，约定每期扣款日、扣款金额及扣款方式，由销售机构于每期约定扣款日在投资者指定银行账户内自动完成扣款及基金申购申请的一种投资方式；</w:t>
      </w:r>
    </w:p>
    <w:p w14:paraId="1502671A"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基金收益：</w:t>
      </w:r>
      <w:r>
        <w:rPr>
          <w:rFonts w:ascii="宋体" w:hAnsi="宋体" w:hint="eastAsia"/>
          <w:color w:val="000000"/>
          <w:sz w:val="24"/>
          <w:szCs w:val="21"/>
        </w:rPr>
        <w:tab/>
        <w:t>指基金投资所得银行存款利息、债券利息、买卖债券差价、以及其他合法收益；</w:t>
      </w:r>
    </w:p>
    <w:p w14:paraId="183A0E7D" w14:textId="7E89A6A3"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每万份基金</w:t>
      </w:r>
      <w:r>
        <w:rPr>
          <w:rFonts w:hint="eastAsia"/>
          <w:bCs/>
          <w:sz w:val="24"/>
        </w:rPr>
        <w:t>已实现收益</w:t>
      </w:r>
      <w:r>
        <w:rPr>
          <w:rFonts w:ascii="宋体" w:hAnsi="宋体" w:hint="eastAsia"/>
          <w:color w:val="000000"/>
          <w:sz w:val="24"/>
          <w:szCs w:val="21"/>
        </w:rPr>
        <w:t>：</w:t>
      </w:r>
      <w:r>
        <w:rPr>
          <w:rFonts w:ascii="宋体" w:hAnsi="宋体" w:hint="eastAsia"/>
          <w:color w:val="000000"/>
          <w:sz w:val="24"/>
          <w:szCs w:val="21"/>
        </w:rPr>
        <w:tab/>
        <w:t>指按照相关法规计算的每万份基金份额的日已实现收益；</w:t>
      </w:r>
    </w:p>
    <w:p w14:paraId="064A942D" w14:textId="77777777" w:rsidR="00BF0C91" w:rsidRDefault="00D65346">
      <w:pPr>
        <w:spacing w:line="440" w:lineRule="exact"/>
        <w:ind w:leftChars="1" w:left="3420" w:hangingChars="1424" w:hanging="3418"/>
        <w:rPr>
          <w:rFonts w:ascii="宋体" w:hAnsi="宋体"/>
          <w:b/>
          <w:bCs/>
          <w:color w:val="000000"/>
          <w:sz w:val="24"/>
          <w:szCs w:val="21"/>
        </w:rPr>
      </w:pPr>
      <w:r>
        <w:rPr>
          <w:rFonts w:ascii="宋体" w:hAnsi="宋体" w:hint="eastAsia"/>
          <w:color w:val="000000"/>
          <w:sz w:val="24"/>
          <w:szCs w:val="21"/>
        </w:rPr>
        <w:t>基金七日年化收益率（%）：</w:t>
      </w:r>
      <w:r>
        <w:rPr>
          <w:rFonts w:ascii="宋体" w:hAnsi="宋体" w:hint="eastAsia"/>
          <w:color w:val="000000"/>
          <w:sz w:val="24"/>
          <w:szCs w:val="21"/>
        </w:rPr>
        <w:tab/>
        <w:t>指以最近七日（含节假日）收益折算的年资产收益率；</w:t>
      </w:r>
    </w:p>
    <w:p w14:paraId="76232FC0"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基金资产总值：</w:t>
      </w:r>
      <w:r>
        <w:rPr>
          <w:rFonts w:ascii="宋体" w:hAnsi="宋体" w:hint="eastAsia"/>
          <w:color w:val="000000"/>
          <w:sz w:val="24"/>
          <w:szCs w:val="21"/>
        </w:rPr>
        <w:tab/>
        <w:t>指基金所购买的各类证券及票据价值、银行存款本息和本基金应收的申购基金款以及其他投资所形成的价值总和</w:t>
      </w:r>
      <w:bookmarkStart w:id="14" w:name="_Hlt81034163"/>
      <w:bookmarkEnd w:id="14"/>
      <w:r>
        <w:rPr>
          <w:rFonts w:ascii="宋体" w:hAnsi="宋体" w:hint="eastAsia"/>
          <w:color w:val="000000"/>
          <w:sz w:val="24"/>
          <w:szCs w:val="21"/>
        </w:rPr>
        <w:t>；</w:t>
      </w:r>
    </w:p>
    <w:p w14:paraId="3EEBDBCD"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基金资产净值：</w:t>
      </w:r>
      <w:r>
        <w:rPr>
          <w:rFonts w:ascii="宋体" w:hAnsi="宋体" w:hint="eastAsia"/>
          <w:color w:val="000000"/>
          <w:sz w:val="24"/>
          <w:szCs w:val="21"/>
        </w:rPr>
        <w:tab/>
        <w:t>指基金资产总值扣除负债后的净资产值；</w:t>
      </w:r>
    </w:p>
    <w:p w14:paraId="795C1578"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基金份额净值：</w:t>
      </w:r>
      <w:r>
        <w:rPr>
          <w:rFonts w:ascii="宋体" w:hAnsi="宋体" w:hint="eastAsia"/>
          <w:color w:val="000000"/>
          <w:sz w:val="24"/>
          <w:szCs w:val="21"/>
        </w:rPr>
        <w:tab/>
        <w:t>指计算日基金资产净值除以计算日发行在外的基金份额总数；</w:t>
      </w:r>
    </w:p>
    <w:p w14:paraId="5CB0A02B"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基金资产估值：</w:t>
      </w:r>
      <w:r>
        <w:rPr>
          <w:rFonts w:ascii="宋体" w:hAnsi="宋体" w:hint="eastAsia"/>
          <w:color w:val="000000"/>
          <w:sz w:val="24"/>
          <w:szCs w:val="21"/>
        </w:rPr>
        <w:tab/>
        <w:t>指计算评估基金资产和负债的价值，以确定基金资产净值的过程；</w:t>
      </w:r>
    </w:p>
    <w:p w14:paraId="7EFD69F5"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摊余成本法：</w:t>
      </w:r>
      <w:r>
        <w:rPr>
          <w:rFonts w:ascii="宋体" w:hAnsi="宋体"/>
          <w:color w:val="000000"/>
          <w:sz w:val="24"/>
          <w:szCs w:val="21"/>
        </w:rPr>
        <w:t xml:space="preserve"> </w:t>
      </w:r>
      <w:r>
        <w:rPr>
          <w:rFonts w:ascii="宋体" w:hAnsi="宋体" w:hint="eastAsia"/>
          <w:color w:val="000000"/>
          <w:sz w:val="24"/>
          <w:szCs w:val="21"/>
        </w:rPr>
        <w:tab/>
        <w:t>即估值对象以买入成本列示，</w:t>
      </w:r>
      <w:r>
        <w:rPr>
          <w:rFonts w:ascii="宋体" w:hAnsi="宋体"/>
          <w:color w:val="000000"/>
          <w:sz w:val="24"/>
          <w:szCs w:val="21"/>
        </w:rPr>
        <w:t xml:space="preserve"> </w:t>
      </w:r>
      <w:r>
        <w:rPr>
          <w:rFonts w:ascii="宋体" w:hAnsi="宋体" w:hint="eastAsia"/>
          <w:color w:val="000000"/>
          <w:sz w:val="24"/>
          <w:szCs w:val="21"/>
        </w:rPr>
        <w:t>按票面利率或协议利率并考虑其买入时的溢价与折价，在其剩余存续期限内平均摊销，每日计提损益；</w:t>
      </w:r>
    </w:p>
    <w:p w14:paraId="5AD6E220"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流动性受限资产：</w:t>
      </w:r>
      <w:r>
        <w:rPr>
          <w:rFonts w:ascii="宋体" w:hAnsi="宋体"/>
          <w:color w:val="000000"/>
          <w:sz w:val="24"/>
          <w:szCs w:val="21"/>
        </w:rPr>
        <w:tab/>
      </w:r>
      <w:r>
        <w:rPr>
          <w:rFonts w:ascii="宋体" w:hAnsi="宋体" w:hint="eastAsia"/>
          <w:color w:val="000000"/>
          <w:sz w:val="24"/>
          <w:szCs w:val="21"/>
        </w:rPr>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就本基金而言，指货币</w:t>
      </w:r>
      <w:r>
        <w:rPr>
          <w:rFonts w:ascii="宋体" w:hAnsi="宋体" w:hint="eastAsia"/>
          <w:color w:val="000000"/>
          <w:sz w:val="24"/>
          <w:szCs w:val="21"/>
        </w:rPr>
        <w:lastRenderedPageBreak/>
        <w:t>市场基金依法可投资的符合前述条件的资产，但中国证监会认可的特殊情形除外；</w:t>
      </w:r>
    </w:p>
    <w:p w14:paraId="00ADC4DD"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指定媒介：</w:t>
      </w:r>
      <w:r>
        <w:rPr>
          <w:rFonts w:ascii="宋体" w:hAnsi="宋体" w:hint="eastAsia"/>
          <w:color w:val="000000"/>
          <w:sz w:val="24"/>
          <w:szCs w:val="21"/>
        </w:rPr>
        <w:tab/>
      </w:r>
      <w:r>
        <w:rPr>
          <w:bCs/>
          <w:sz w:val="24"/>
        </w:rPr>
        <w:t>指中国证监会指定的用以进行信息披露的全国性报刊</w:t>
      </w:r>
      <w:r>
        <w:rPr>
          <w:rFonts w:hint="eastAsia"/>
          <w:bCs/>
          <w:sz w:val="24"/>
        </w:rPr>
        <w:t>及</w:t>
      </w:r>
      <w:r>
        <w:rPr>
          <w:bCs/>
          <w:sz w:val="24"/>
        </w:rPr>
        <w:t>指定互联网网站</w:t>
      </w:r>
      <w:r>
        <w:rPr>
          <w:rFonts w:hint="eastAsia"/>
          <w:bCs/>
          <w:sz w:val="24"/>
        </w:rPr>
        <w:t>（包括基金管理人网站、基金托管人网站、中国证监会基金电子披露网站）等媒介；</w:t>
      </w:r>
    </w:p>
    <w:p w14:paraId="25660098" w14:textId="77777777" w:rsidR="00BF0C91" w:rsidRDefault="00D65346">
      <w:pPr>
        <w:spacing w:line="440" w:lineRule="exact"/>
        <w:ind w:leftChars="1" w:left="3420" w:hangingChars="1424" w:hanging="3418"/>
        <w:rPr>
          <w:rFonts w:ascii="宋体" w:hAnsi="宋体"/>
          <w:color w:val="000000"/>
          <w:sz w:val="24"/>
          <w:szCs w:val="21"/>
        </w:rPr>
      </w:pPr>
      <w:r>
        <w:rPr>
          <w:rFonts w:ascii="宋体" w:hAnsi="宋体" w:hint="eastAsia"/>
          <w:color w:val="000000"/>
          <w:sz w:val="24"/>
          <w:szCs w:val="21"/>
        </w:rPr>
        <w:t>不可抗力：</w:t>
      </w:r>
      <w:r>
        <w:rPr>
          <w:rFonts w:ascii="宋体" w:hAnsi="宋体" w:hint="eastAsia"/>
          <w:color w:val="000000"/>
          <w:sz w:val="24"/>
          <w:szCs w:val="21"/>
        </w:rPr>
        <w:tab/>
        <w:t>指基金合同当事人不能预见、不能避免并不能克服且在基金合同由基金托管人、基金管理人签署之日后发生的，使基金合同当事人无法全部履行或无法部分履行基金合同的任何事件，包括但不限于洪水、地震及其他自然灾害、战争、骚乱、火灾、政府征用、没收、法律法规变化、突发停电或其他突发事件、证券交易所非正常暂停或停止交易。</w:t>
      </w:r>
    </w:p>
    <w:p w14:paraId="5531846F" w14:textId="77777777" w:rsidR="00BF0C91" w:rsidRDefault="00D65346">
      <w:pPr>
        <w:pStyle w:val="1"/>
        <w:spacing w:before="100" w:beforeAutospacing="1" w:after="100" w:afterAutospacing="1" w:line="360" w:lineRule="auto"/>
        <w:rPr>
          <w:rFonts w:ascii="黑体" w:eastAsia="黑体" w:hAnsi="Arial" w:cs="Arial"/>
          <w:color w:val="000000"/>
          <w:sz w:val="30"/>
          <w:szCs w:val="32"/>
        </w:rPr>
      </w:pPr>
      <w:r>
        <w:rPr>
          <w:rFonts w:ascii="黑体" w:eastAsia="黑体" w:hAnsi="宋体"/>
          <w:color w:val="000000"/>
          <w:sz w:val="24"/>
          <w:szCs w:val="32"/>
        </w:rPr>
        <w:br w:type="page"/>
      </w:r>
      <w:bookmarkStart w:id="15" w:name="_Toc169580217"/>
      <w:bookmarkStart w:id="16" w:name="_Toc79392572"/>
      <w:r>
        <w:rPr>
          <w:rFonts w:ascii="黑体" w:eastAsia="黑体" w:hAnsi="Arial" w:cs="Arial" w:hint="eastAsia"/>
          <w:color w:val="000000"/>
          <w:sz w:val="30"/>
          <w:szCs w:val="32"/>
        </w:rPr>
        <w:lastRenderedPageBreak/>
        <w:t>第三部分  基金的基本情况</w:t>
      </w:r>
      <w:bookmarkEnd w:id="15"/>
      <w:bookmarkEnd w:id="16"/>
    </w:p>
    <w:p w14:paraId="67B28B06" w14:textId="77777777" w:rsidR="00BF0C91" w:rsidRDefault="00D65346">
      <w:pPr>
        <w:spacing w:beforeLines="50" w:before="156" w:afterLines="50" w:after="156" w:line="360" w:lineRule="auto"/>
        <w:ind w:firstLineChars="200" w:firstLine="482"/>
        <w:outlineLvl w:val="1"/>
        <w:rPr>
          <w:rFonts w:ascii="宋体" w:hAnsi="宋体"/>
          <w:b/>
          <w:bCs/>
          <w:color w:val="000000"/>
          <w:sz w:val="24"/>
          <w:szCs w:val="21"/>
        </w:rPr>
      </w:pPr>
      <w:bookmarkStart w:id="17" w:name="_Toc79392573"/>
      <w:r>
        <w:rPr>
          <w:rFonts w:ascii="宋体" w:hAnsi="宋体" w:hint="eastAsia"/>
          <w:b/>
          <w:bCs/>
          <w:color w:val="000000"/>
          <w:sz w:val="24"/>
          <w:szCs w:val="21"/>
        </w:rPr>
        <w:t>一、</w:t>
      </w:r>
      <w:r>
        <w:rPr>
          <w:rFonts w:ascii="宋体" w:hAnsi="宋体" w:hint="eastAsia"/>
          <w:b/>
          <w:bCs/>
          <w:color w:val="000000"/>
          <w:sz w:val="24"/>
          <w:szCs w:val="21"/>
        </w:rPr>
        <w:tab/>
        <w:t>基金名称</w:t>
      </w:r>
      <w:bookmarkEnd w:id="17"/>
    </w:p>
    <w:p w14:paraId="478C4E87"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交银施罗德货币市场证券投资基金</w:t>
      </w:r>
    </w:p>
    <w:p w14:paraId="6CAD79B7" w14:textId="77777777" w:rsidR="00BF0C91" w:rsidRDefault="00D65346">
      <w:pPr>
        <w:spacing w:beforeLines="50" w:before="156" w:afterLines="50" w:after="156" w:line="360" w:lineRule="auto"/>
        <w:ind w:firstLineChars="200" w:firstLine="482"/>
        <w:outlineLvl w:val="1"/>
        <w:rPr>
          <w:rFonts w:ascii="宋体" w:hAnsi="宋体"/>
          <w:b/>
          <w:bCs/>
          <w:color w:val="000000"/>
          <w:sz w:val="24"/>
          <w:szCs w:val="21"/>
        </w:rPr>
      </w:pPr>
      <w:bookmarkStart w:id="18" w:name="_Toc79392574"/>
      <w:r>
        <w:rPr>
          <w:rFonts w:ascii="宋体" w:hAnsi="宋体" w:hint="eastAsia"/>
          <w:b/>
          <w:bCs/>
          <w:color w:val="000000"/>
          <w:sz w:val="24"/>
          <w:szCs w:val="21"/>
        </w:rPr>
        <w:t>二、</w:t>
      </w:r>
      <w:r>
        <w:rPr>
          <w:rFonts w:ascii="宋体" w:hAnsi="宋体" w:hint="eastAsia"/>
          <w:b/>
          <w:bCs/>
          <w:color w:val="000000"/>
          <w:sz w:val="24"/>
          <w:szCs w:val="21"/>
        </w:rPr>
        <w:tab/>
        <w:t>基金的类别</w:t>
      </w:r>
    </w:p>
    <w:p w14:paraId="5623582A"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货币市场基金</w:t>
      </w:r>
    </w:p>
    <w:p w14:paraId="24FA38AC" w14:textId="77777777" w:rsidR="00BF0C91" w:rsidRDefault="00D65346">
      <w:pPr>
        <w:spacing w:beforeLines="50" w:before="156" w:afterLines="50" w:after="156" w:line="360" w:lineRule="auto"/>
        <w:ind w:firstLineChars="200" w:firstLine="482"/>
        <w:outlineLvl w:val="1"/>
        <w:rPr>
          <w:rFonts w:ascii="宋体" w:hAnsi="宋体"/>
          <w:b/>
          <w:bCs/>
          <w:color w:val="000000"/>
          <w:sz w:val="24"/>
          <w:szCs w:val="21"/>
        </w:rPr>
      </w:pPr>
      <w:r>
        <w:rPr>
          <w:rFonts w:ascii="宋体" w:hAnsi="宋体" w:hint="eastAsia"/>
          <w:b/>
          <w:bCs/>
          <w:color w:val="000000"/>
          <w:sz w:val="24"/>
          <w:szCs w:val="21"/>
        </w:rPr>
        <w:t>三、</w:t>
      </w:r>
      <w:r>
        <w:rPr>
          <w:rFonts w:ascii="宋体" w:hAnsi="宋体" w:hint="eastAsia"/>
          <w:b/>
          <w:bCs/>
          <w:color w:val="000000"/>
          <w:sz w:val="24"/>
          <w:szCs w:val="21"/>
        </w:rPr>
        <w:tab/>
        <w:t>基金的运作方式</w:t>
      </w:r>
      <w:bookmarkEnd w:id="18"/>
    </w:p>
    <w:p w14:paraId="2E5CEA2A"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契约型开放式</w:t>
      </w:r>
    </w:p>
    <w:p w14:paraId="3D901244" w14:textId="77777777" w:rsidR="00BF0C91" w:rsidRDefault="00D65346">
      <w:pPr>
        <w:spacing w:beforeLines="50" w:before="156" w:afterLines="50" w:after="156" w:line="360" w:lineRule="auto"/>
        <w:ind w:firstLineChars="200" w:firstLine="482"/>
        <w:outlineLvl w:val="1"/>
        <w:rPr>
          <w:rFonts w:ascii="宋体" w:hAnsi="宋体"/>
          <w:b/>
          <w:bCs/>
          <w:color w:val="000000"/>
          <w:sz w:val="24"/>
          <w:szCs w:val="21"/>
        </w:rPr>
      </w:pPr>
      <w:bookmarkStart w:id="19" w:name="_Toc79392575"/>
      <w:r>
        <w:rPr>
          <w:rFonts w:ascii="宋体" w:hAnsi="宋体" w:hint="eastAsia"/>
          <w:b/>
          <w:bCs/>
          <w:color w:val="000000"/>
          <w:sz w:val="24"/>
          <w:szCs w:val="21"/>
        </w:rPr>
        <w:t>四、</w:t>
      </w:r>
      <w:r>
        <w:rPr>
          <w:rFonts w:ascii="宋体" w:hAnsi="宋体" w:hint="eastAsia"/>
          <w:b/>
          <w:bCs/>
          <w:color w:val="000000"/>
          <w:sz w:val="24"/>
          <w:szCs w:val="21"/>
        </w:rPr>
        <w:tab/>
        <w:t>基金的投资目标</w:t>
      </w:r>
      <w:bookmarkEnd w:id="19"/>
    </w:p>
    <w:p w14:paraId="5B199FB5" w14:textId="77777777" w:rsidR="00BF0C91" w:rsidRDefault="00D65346">
      <w:pPr>
        <w:spacing w:beforeLines="50" w:before="156" w:afterLines="50" w:after="156" w:line="360" w:lineRule="auto"/>
        <w:ind w:firstLineChars="200" w:firstLine="480"/>
        <w:outlineLvl w:val="1"/>
        <w:rPr>
          <w:sz w:val="24"/>
        </w:rPr>
      </w:pPr>
      <w:r>
        <w:rPr>
          <w:rFonts w:ascii="宋体" w:hAnsi="宋体" w:hint="eastAsia"/>
          <w:sz w:val="24"/>
        </w:rPr>
        <w:t>本基金属于货币市场基金，投资目标是在</w:t>
      </w:r>
      <w:r>
        <w:rPr>
          <w:rFonts w:hint="eastAsia"/>
          <w:sz w:val="24"/>
        </w:rPr>
        <w:t>力求本金稳妥和资产充分流动性的前提下，追求超过业绩比较基准的投资收益。</w:t>
      </w:r>
    </w:p>
    <w:p w14:paraId="0110B6E7" w14:textId="77777777" w:rsidR="00BF0C91" w:rsidRDefault="00D65346">
      <w:pPr>
        <w:spacing w:beforeLines="50" w:before="156" w:afterLines="50" w:after="156" w:line="360" w:lineRule="auto"/>
        <w:ind w:firstLineChars="200" w:firstLine="482"/>
        <w:outlineLvl w:val="1"/>
        <w:rPr>
          <w:rFonts w:ascii="宋体" w:hAnsi="宋体"/>
          <w:b/>
          <w:bCs/>
          <w:color w:val="000000"/>
          <w:sz w:val="24"/>
          <w:szCs w:val="21"/>
        </w:rPr>
      </w:pPr>
      <w:bookmarkStart w:id="20" w:name="_Toc79392576"/>
      <w:r>
        <w:rPr>
          <w:rFonts w:ascii="宋体" w:hAnsi="宋体" w:hint="eastAsia"/>
          <w:b/>
          <w:bCs/>
          <w:color w:val="000000"/>
          <w:sz w:val="24"/>
          <w:szCs w:val="21"/>
        </w:rPr>
        <w:t>五、</w:t>
      </w:r>
      <w:r>
        <w:rPr>
          <w:rFonts w:ascii="宋体" w:hAnsi="宋体" w:hint="eastAsia"/>
          <w:b/>
          <w:bCs/>
          <w:color w:val="000000"/>
          <w:sz w:val="24"/>
          <w:szCs w:val="21"/>
        </w:rPr>
        <w:tab/>
        <w:t>基金的最低募集规模</w:t>
      </w:r>
      <w:bookmarkEnd w:id="20"/>
    </w:p>
    <w:p w14:paraId="79456EB7"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本基金最低募集份额为</w:t>
      </w:r>
      <w:r>
        <w:rPr>
          <w:rFonts w:ascii="宋体" w:hAnsi="宋体"/>
          <w:color w:val="000000"/>
          <w:sz w:val="24"/>
          <w:szCs w:val="21"/>
        </w:rPr>
        <w:t>2</w:t>
      </w:r>
      <w:r>
        <w:rPr>
          <w:rFonts w:ascii="宋体" w:hAnsi="宋体" w:hint="eastAsia"/>
          <w:color w:val="000000"/>
          <w:sz w:val="24"/>
          <w:szCs w:val="21"/>
        </w:rPr>
        <w:t>亿份基金份额，本基金的最低募集金额为2亿元人民币。</w:t>
      </w:r>
    </w:p>
    <w:p w14:paraId="77B56886" w14:textId="77777777" w:rsidR="00BF0C91" w:rsidRDefault="00D65346">
      <w:pPr>
        <w:spacing w:beforeLines="50" w:before="156" w:afterLines="50" w:after="156" w:line="360" w:lineRule="auto"/>
        <w:ind w:firstLineChars="200" w:firstLine="482"/>
        <w:outlineLvl w:val="1"/>
        <w:rPr>
          <w:rFonts w:ascii="宋体" w:hAnsi="宋体"/>
          <w:b/>
          <w:bCs/>
          <w:color w:val="000000"/>
          <w:sz w:val="24"/>
          <w:szCs w:val="21"/>
        </w:rPr>
      </w:pPr>
      <w:bookmarkStart w:id="21" w:name="_Toc79392577"/>
      <w:r>
        <w:rPr>
          <w:rFonts w:ascii="宋体" w:hAnsi="宋体" w:hint="eastAsia"/>
          <w:b/>
          <w:bCs/>
          <w:color w:val="000000"/>
          <w:sz w:val="24"/>
          <w:szCs w:val="21"/>
        </w:rPr>
        <w:t>六、</w:t>
      </w:r>
      <w:r>
        <w:rPr>
          <w:rFonts w:ascii="宋体" w:hAnsi="宋体" w:hint="eastAsia"/>
          <w:b/>
          <w:bCs/>
          <w:color w:val="000000"/>
          <w:sz w:val="24"/>
          <w:szCs w:val="21"/>
        </w:rPr>
        <w:tab/>
        <w:t>基金份额面值</w:t>
      </w:r>
      <w:bookmarkEnd w:id="21"/>
    </w:p>
    <w:p w14:paraId="0577E6C7" w14:textId="77777777" w:rsidR="00BF0C91" w:rsidRDefault="00D65346">
      <w:pPr>
        <w:spacing w:line="360" w:lineRule="auto"/>
        <w:ind w:left="420" w:firstLineChars="25" w:firstLine="60"/>
        <w:rPr>
          <w:rFonts w:ascii="宋体" w:hAnsi="宋体" w:cs="宋体"/>
          <w:kern w:val="0"/>
          <w:sz w:val="24"/>
        </w:rPr>
      </w:pPr>
      <w:r>
        <w:rPr>
          <w:rFonts w:ascii="宋体" w:hAnsi="宋体" w:hint="eastAsia"/>
          <w:sz w:val="24"/>
          <w:szCs w:val="21"/>
        </w:rPr>
        <w:t>基金份额面值为人民币</w:t>
      </w:r>
      <w:r>
        <w:rPr>
          <w:rFonts w:ascii="宋体" w:hAnsi="宋体"/>
          <w:sz w:val="24"/>
          <w:szCs w:val="21"/>
        </w:rPr>
        <w:t>1.00</w:t>
      </w:r>
      <w:r>
        <w:rPr>
          <w:rFonts w:ascii="宋体" w:hAnsi="宋体" w:hint="eastAsia"/>
          <w:sz w:val="24"/>
          <w:szCs w:val="21"/>
        </w:rPr>
        <w:t>元。</w:t>
      </w:r>
      <w:r>
        <w:rPr>
          <w:rFonts w:ascii="宋体" w:hAnsi="宋体" w:cs="宋体"/>
          <w:kern w:val="0"/>
          <w:sz w:val="24"/>
        </w:rPr>
        <w:tab/>
      </w:r>
      <w:r>
        <w:rPr>
          <w:rFonts w:ascii="宋体" w:hAnsi="宋体" w:cs="宋体"/>
          <w:kern w:val="0"/>
          <w:sz w:val="24"/>
        </w:rPr>
        <w:tab/>
      </w:r>
    </w:p>
    <w:p w14:paraId="63DD0AC7" w14:textId="77777777" w:rsidR="00BF0C91" w:rsidRDefault="00D65346">
      <w:pPr>
        <w:spacing w:beforeLines="50" w:before="156" w:afterLines="50" w:after="156" w:line="360" w:lineRule="auto"/>
        <w:ind w:firstLineChars="200" w:firstLine="482"/>
        <w:outlineLvl w:val="1"/>
        <w:rPr>
          <w:rFonts w:ascii="宋体" w:hAnsi="宋体"/>
          <w:b/>
          <w:bCs/>
          <w:color w:val="000000"/>
          <w:sz w:val="24"/>
          <w:szCs w:val="21"/>
        </w:rPr>
      </w:pPr>
      <w:r>
        <w:rPr>
          <w:rFonts w:ascii="宋体" w:hAnsi="宋体" w:hint="eastAsia"/>
          <w:b/>
          <w:bCs/>
          <w:color w:val="000000"/>
          <w:sz w:val="24"/>
          <w:szCs w:val="21"/>
        </w:rPr>
        <w:t xml:space="preserve">七、  </w:t>
      </w:r>
      <w:r>
        <w:rPr>
          <w:rFonts w:ascii="宋体" w:hAnsi="宋体"/>
          <w:b/>
          <w:bCs/>
          <w:color w:val="000000"/>
          <w:sz w:val="24"/>
          <w:szCs w:val="21"/>
        </w:rPr>
        <w:t xml:space="preserve">基金份额净值 </w:t>
      </w:r>
    </w:p>
    <w:p w14:paraId="31F34DC2" w14:textId="77777777" w:rsidR="00BF0C91" w:rsidRDefault="00D65346">
      <w:pPr>
        <w:pStyle w:val="a4"/>
        <w:spacing w:line="360" w:lineRule="auto"/>
        <w:ind w:firstLine="480"/>
      </w:pPr>
      <w:r>
        <w:rPr>
          <w:sz w:val="24"/>
        </w:rPr>
        <w:t>本基金</w:t>
      </w:r>
      <w:r>
        <w:rPr>
          <w:rFonts w:hint="eastAsia"/>
          <w:sz w:val="24"/>
        </w:rPr>
        <w:t>采用摊余成本法计价，通过每日计算收益并分配的方式，使每份基金份额净值始终保持在人民币</w:t>
      </w:r>
      <w:r>
        <w:rPr>
          <w:sz w:val="24"/>
        </w:rPr>
        <w:t>1.00</w:t>
      </w:r>
      <w:r>
        <w:rPr>
          <w:rFonts w:hint="eastAsia"/>
          <w:sz w:val="24"/>
        </w:rPr>
        <w:t>元。</w:t>
      </w:r>
    </w:p>
    <w:p w14:paraId="5DFAE0AB" w14:textId="77777777" w:rsidR="00BF0C91" w:rsidRDefault="00D65346">
      <w:pPr>
        <w:spacing w:beforeLines="50" w:before="156" w:afterLines="50" w:after="156" w:line="360" w:lineRule="auto"/>
        <w:ind w:firstLineChars="200" w:firstLine="482"/>
        <w:outlineLvl w:val="1"/>
        <w:rPr>
          <w:rFonts w:ascii="宋体" w:hAnsi="宋体"/>
          <w:b/>
          <w:bCs/>
          <w:color w:val="000000"/>
          <w:sz w:val="24"/>
          <w:szCs w:val="21"/>
        </w:rPr>
      </w:pPr>
      <w:bookmarkStart w:id="22" w:name="_Toc79392578"/>
      <w:r>
        <w:rPr>
          <w:rFonts w:ascii="宋体" w:hAnsi="宋体" w:hint="eastAsia"/>
          <w:b/>
          <w:bCs/>
          <w:color w:val="000000"/>
          <w:sz w:val="24"/>
          <w:szCs w:val="21"/>
        </w:rPr>
        <w:t>八、  基金存续期限</w:t>
      </w:r>
      <w:bookmarkEnd w:id="22"/>
    </w:p>
    <w:p w14:paraId="7C89EE1D" w14:textId="17F06D9C"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不定期</w:t>
      </w:r>
      <w:bookmarkStart w:id="23" w:name="_Hlt4221004"/>
      <w:bookmarkStart w:id="24" w:name="_Hlt81032255"/>
      <w:bookmarkStart w:id="25" w:name="_Hlt81193197"/>
      <w:bookmarkStart w:id="26" w:name="_Hlt55355235"/>
      <w:bookmarkEnd w:id="23"/>
      <w:bookmarkEnd w:id="24"/>
      <w:bookmarkEnd w:id="25"/>
      <w:bookmarkEnd w:id="26"/>
    </w:p>
    <w:p w14:paraId="71941207" w14:textId="18F8AC45" w:rsidR="00E57C2D" w:rsidRPr="008E4EBB" w:rsidRDefault="00E57C2D">
      <w:pPr>
        <w:spacing w:line="360" w:lineRule="auto"/>
        <w:ind w:firstLineChars="200" w:firstLine="480"/>
        <w:rPr>
          <w:rFonts w:ascii="宋体" w:hAnsi="宋体"/>
          <w:color w:val="000000"/>
          <w:sz w:val="24"/>
          <w:szCs w:val="21"/>
        </w:rPr>
      </w:pPr>
    </w:p>
    <w:p w14:paraId="16F5A005" w14:textId="35257133" w:rsidR="00E57C2D" w:rsidRDefault="00E57C2D">
      <w:pPr>
        <w:spacing w:line="360" w:lineRule="auto"/>
        <w:ind w:firstLineChars="200" w:firstLine="480"/>
        <w:rPr>
          <w:rFonts w:ascii="宋体" w:hAnsi="宋体"/>
          <w:color w:val="000000"/>
          <w:sz w:val="24"/>
          <w:szCs w:val="21"/>
        </w:rPr>
      </w:pPr>
    </w:p>
    <w:p w14:paraId="78747C01" w14:textId="77777777" w:rsidR="00E57C2D" w:rsidRDefault="00E57C2D">
      <w:pPr>
        <w:spacing w:line="360" w:lineRule="auto"/>
        <w:ind w:firstLineChars="200" w:firstLine="480"/>
        <w:rPr>
          <w:rFonts w:ascii="宋体" w:hAnsi="宋体"/>
          <w:color w:val="000000"/>
          <w:sz w:val="24"/>
          <w:szCs w:val="21"/>
        </w:rPr>
      </w:pPr>
    </w:p>
    <w:p w14:paraId="5280C140" w14:textId="77777777" w:rsidR="00BF0C91" w:rsidRDefault="00D65346">
      <w:pPr>
        <w:pStyle w:val="1"/>
        <w:spacing w:before="100" w:beforeAutospacing="1" w:after="100" w:afterAutospacing="1" w:line="360" w:lineRule="auto"/>
        <w:rPr>
          <w:rFonts w:ascii="黑体" w:eastAsia="黑体" w:hAnsi="Arial" w:cs="Arial"/>
          <w:color w:val="000000"/>
          <w:sz w:val="30"/>
          <w:szCs w:val="32"/>
        </w:rPr>
      </w:pPr>
      <w:r>
        <w:rPr>
          <w:rFonts w:ascii="黑体" w:eastAsia="黑体" w:hAnsi="宋体"/>
          <w:color w:val="000000"/>
          <w:sz w:val="24"/>
          <w:szCs w:val="32"/>
        </w:rPr>
        <w:br w:type="page"/>
      </w:r>
      <w:bookmarkStart w:id="27" w:name="_Toc79392595"/>
      <w:bookmarkStart w:id="28" w:name="_Toc169580218"/>
      <w:r>
        <w:rPr>
          <w:rFonts w:ascii="黑体" w:eastAsia="黑体" w:hAnsi="Arial" w:cs="Arial" w:hint="eastAsia"/>
          <w:color w:val="000000"/>
          <w:sz w:val="30"/>
          <w:szCs w:val="32"/>
        </w:rPr>
        <w:lastRenderedPageBreak/>
        <w:t>第四部分  基金份额的发售</w:t>
      </w:r>
      <w:bookmarkEnd w:id="27"/>
      <w:bookmarkEnd w:id="28"/>
    </w:p>
    <w:p w14:paraId="308291B0" w14:textId="77777777" w:rsidR="00BF0C91" w:rsidRDefault="00D65346">
      <w:pPr>
        <w:spacing w:line="380" w:lineRule="exact"/>
        <w:ind w:firstLineChars="200" w:firstLine="480"/>
        <w:rPr>
          <w:rFonts w:ascii="宋体" w:hAnsi="宋体"/>
          <w:b/>
          <w:bCs/>
          <w:color w:val="000000"/>
          <w:sz w:val="24"/>
          <w:szCs w:val="21"/>
        </w:rPr>
      </w:pPr>
      <w:r>
        <w:rPr>
          <w:rFonts w:ascii="宋体" w:hAnsi="宋体" w:hint="eastAsia"/>
          <w:color w:val="000000"/>
          <w:sz w:val="24"/>
          <w:szCs w:val="21"/>
        </w:rPr>
        <w:t>本基金份额面值为人民币1.00元，</w:t>
      </w:r>
      <w:r>
        <w:rPr>
          <w:rFonts w:ascii="宋体" w:hAnsi="宋体" w:hint="eastAsia"/>
          <w:color w:val="000000"/>
          <w:sz w:val="24"/>
        </w:rPr>
        <w:t>按面值发售</w:t>
      </w:r>
      <w:r>
        <w:rPr>
          <w:rFonts w:ascii="宋体" w:hAnsi="宋体" w:hint="eastAsia"/>
          <w:color w:val="000000"/>
          <w:sz w:val="24"/>
          <w:szCs w:val="21"/>
        </w:rPr>
        <w:t>。</w:t>
      </w:r>
      <w:bookmarkStart w:id="29" w:name="_Toc15118254"/>
      <w:bookmarkStart w:id="30" w:name="_Toc79392596"/>
      <w:bookmarkStart w:id="31" w:name="_Toc57530264"/>
    </w:p>
    <w:p w14:paraId="1C1BD3D2" w14:textId="77777777" w:rsidR="00BF0C91" w:rsidRDefault="00D65346">
      <w:pPr>
        <w:spacing w:line="380" w:lineRule="exact"/>
        <w:ind w:firstLineChars="200" w:firstLine="482"/>
        <w:rPr>
          <w:rFonts w:ascii="宋体" w:hAnsi="宋体"/>
          <w:b/>
          <w:bCs/>
          <w:color w:val="000000"/>
          <w:sz w:val="24"/>
          <w:szCs w:val="21"/>
        </w:rPr>
      </w:pPr>
      <w:r>
        <w:rPr>
          <w:rFonts w:ascii="宋体" w:hAnsi="宋体" w:hint="eastAsia"/>
          <w:b/>
          <w:bCs/>
          <w:color w:val="000000"/>
          <w:sz w:val="24"/>
          <w:szCs w:val="21"/>
        </w:rPr>
        <w:t>一、</w:t>
      </w:r>
      <w:r>
        <w:rPr>
          <w:rFonts w:ascii="宋体" w:hAnsi="宋体" w:hint="eastAsia"/>
          <w:b/>
          <w:bCs/>
          <w:color w:val="000000"/>
          <w:sz w:val="24"/>
          <w:szCs w:val="21"/>
        </w:rPr>
        <w:tab/>
        <w:t>募集期限</w:t>
      </w:r>
    </w:p>
    <w:bookmarkEnd w:id="29"/>
    <w:bookmarkEnd w:id="30"/>
    <w:bookmarkEnd w:id="31"/>
    <w:p w14:paraId="7299F2AE" w14:textId="77777777" w:rsidR="00BF0C91" w:rsidRDefault="00D65346">
      <w:pPr>
        <w:spacing w:line="380" w:lineRule="exact"/>
        <w:ind w:firstLineChars="200" w:firstLine="480"/>
        <w:rPr>
          <w:rFonts w:ascii="宋体" w:hAnsi="宋体"/>
          <w:color w:val="000000"/>
          <w:sz w:val="24"/>
          <w:szCs w:val="21"/>
        </w:rPr>
      </w:pPr>
      <w:r>
        <w:rPr>
          <w:rFonts w:ascii="宋体" w:hAnsi="宋体" w:hint="eastAsia"/>
          <w:color w:val="000000"/>
          <w:sz w:val="24"/>
        </w:rPr>
        <w:t>自基金份额发售之日起不超过</w:t>
      </w:r>
      <w:r>
        <w:rPr>
          <w:rFonts w:ascii="宋体" w:hAnsi="宋体" w:hint="eastAsia"/>
          <w:sz w:val="24"/>
        </w:rPr>
        <w:t>3个月</w:t>
      </w:r>
      <w:r>
        <w:rPr>
          <w:rFonts w:ascii="宋体" w:hAnsi="宋体" w:hint="eastAsia"/>
          <w:color w:val="000000"/>
          <w:sz w:val="24"/>
        </w:rPr>
        <w:t>，</w:t>
      </w:r>
      <w:r>
        <w:rPr>
          <w:rFonts w:ascii="宋体" w:hAnsi="宋体" w:hint="eastAsia"/>
          <w:color w:val="000000"/>
          <w:sz w:val="24"/>
          <w:szCs w:val="21"/>
        </w:rPr>
        <w:t>具体发售时间见发售公告。</w:t>
      </w:r>
    </w:p>
    <w:p w14:paraId="170003C9" w14:textId="77777777" w:rsidR="00BF0C91" w:rsidRDefault="00D65346">
      <w:pPr>
        <w:spacing w:beforeLines="30" w:before="93" w:afterLines="30" w:after="93" w:line="380" w:lineRule="exact"/>
        <w:ind w:firstLineChars="200" w:firstLine="482"/>
        <w:outlineLvl w:val="1"/>
        <w:rPr>
          <w:rFonts w:ascii="宋体" w:hAnsi="宋体"/>
          <w:b/>
          <w:bCs/>
          <w:color w:val="000000"/>
          <w:sz w:val="24"/>
          <w:szCs w:val="21"/>
        </w:rPr>
      </w:pPr>
      <w:bookmarkStart w:id="32" w:name="_Toc15118255"/>
      <w:bookmarkStart w:id="33" w:name="_Toc57530265"/>
      <w:bookmarkStart w:id="34" w:name="_Toc79392597"/>
      <w:r>
        <w:rPr>
          <w:rFonts w:ascii="宋体" w:hAnsi="宋体" w:hint="eastAsia"/>
          <w:b/>
          <w:bCs/>
          <w:color w:val="000000"/>
          <w:sz w:val="24"/>
          <w:szCs w:val="21"/>
        </w:rPr>
        <w:t>二、</w:t>
      </w:r>
      <w:r>
        <w:rPr>
          <w:rFonts w:ascii="宋体" w:hAnsi="宋体" w:hint="eastAsia"/>
          <w:b/>
          <w:bCs/>
          <w:color w:val="000000"/>
          <w:sz w:val="24"/>
          <w:szCs w:val="21"/>
        </w:rPr>
        <w:tab/>
        <w:t>发售对象</w:t>
      </w:r>
      <w:bookmarkEnd w:id="32"/>
      <w:bookmarkEnd w:id="33"/>
      <w:bookmarkEnd w:id="34"/>
    </w:p>
    <w:p w14:paraId="769DF22F" w14:textId="77777777" w:rsidR="00BF0C91" w:rsidRDefault="00D65346">
      <w:pPr>
        <w:spacing w:line="380" w:lineRule="exact"/>
        <w:ind w:leftChars="228" w:left="479"/>
        <w:rPr>
          <w:rFonts w:ascii="宋体" w:hAnsi="宋体"/>
          <w:color w:val="000000"/>
          <w:sz w:val="24"/>
          <w:szCs w:val="21"/>
        </w:rPr>
      </w:pPr>
      <w:r>
        <w:rPr>
          <w:rFonts w:ascii="宋体" w:hAnsi="宋体" w:hint="eastAsia"/>
          <w:color w:val="000000"/>
          <w:sz w:val="24"/>
          <w:szCs w:val="21"/>
        </w:rPr>
        <w:t>符合法律法规规定的个人投资者和机构投资者及合格境外机构投资者。</w:t>
      </w:r>
    </w:p>
    <w:p w14:paraId="2460EFCF" w14:textId="77777777" w:rsidR="00BF0C91" w:rsidRDefault="00D65346">
      <w:pPr>
        <w:spacing w:beforeLines="30" w:before="93" w:afterLines="30" w:after="93" w:line="380" w:lineRule="exact"/>
        <w:ind w:firstLineChars="200" w:firstLine="482"/>
        <w:outlineLvl w:val="1"/>
        <w:rPr>
          <w:rFonts w:ascii="宋体" w:hAnsi="宋体"/>
          <w:b/>
          <w:bCs/>
          <w:color w:val="000000"/>
          <w:sz w:val="24"/>
          <w:szCs w:val="21"/>
        </w:rPr>
      </w:pPr>
      <w:bookmarkStart w:id="35" w:name="_Toc79392598"/>
      <w:bookmarkStart w:id="36" w:name="_Toc57530266"/>
      <w:bookmarkStart w:id="37" w:name="_Toc15118256"/>
      <w:r>
        <w:rPr>
          <w:rFonts w:ascii="宋体" w:hAnsi="宋体" w:hint="eastAsia"/>
          <w:b/>
          <w:bCs/>
          <w:color w:val="000000"/>
          <w:sz w:val="24"/>
          <w:szCs w:val="21"/>
        </w:rPr>
        <w:t>三、</w:t>
      </w:r>
      <w:r>
        <w:rPr>
          <w:rFonts w:ascii="宋体" w:hAnsi="宋体" w:hint="eastAsia"/>
          <w:b/>
          <w:bCs/>
          <w:color w:val="000000"/>
          <w:sz w:val="24"/>
          <w:szCs w:val="21"/>
        </w:rPr>
        <w:tab/>
        <w:t>募集目标</w:t>
      </w:r>
      <w:bookmarkEnd w:id="35"/>
      <w:bookmarkEnd w:id="36"/>
    </w:p>
    <w:p w14:paraId="35DCA00E" w14:textId="77777777" w:rsidR="00BF0C91" w:rsidRDefault="00D65346">
      <w:pPr>
        <w:spacing w:line="380" w:lineRule="exact"/>
        <w:ind w:firstLineChars="200" w:firstLine="480"/>
        <w:rPr>
          <w:rFonts w:ascii="宋体" w:hAnsi="宋体"/>
          <w:color w:val="000000"/>
          <w:sz w:val="24"/>
          <w:szCs w:val="21"/>
        </w:rPr>
      </w:pPr>
      <w:r>
        <w:rPr>
          <w:rFonts w:ascii="宋体" w:hAnsi="宋体" w:hint="eastAsia"/>
          <w:color w:val="000000"/>
          <w:sz w:val="24"/>
          <w:szCs w:val="21"/>
        </w:rPr>
        <w:t>本基金不设募集目标规模。</w:t>
      </w:r>
    </w:p>
    <w:p w14:paraId="6BF51A57" w14:textId="77777777" w:rsidR="00BF0C91" w:rsidRDefault="00D65346">
      <w:pPr>
        <w:spacing w:beforeLines="30" w:before="93" w:afterLines="30" w:after="93" w:line="380" w:lineRule="exact"/>
        <w:ind w:firstLineChars="200" w:firstLine="482"/>
        <w:outlineLvl w:val="1"/>
        <w:rPr>
          <w:rFonts w:ascii="宋体" w:hAnsi="宋体"/>
          <w:b/>
          <w:bCs/>
          <w:color w:val="000000"/>
          <w:sz w:val="24"/>
          <w:szCs w:val="21"/>
        </w:rPr>
      </w:pPr>
      <w:bookmarkStart w:id="38" w:name="_Toc57530267"/>
      <w:bookmarkStart w:id="39" w:name="_Toc79392599"/>
      <w:r>
        <w:rPr>
          <w:rFonts w:ascii="宋体" w:hAnsi="宋体" w:hint="eastAsia"/>
          <w:b/>
          <w:bCs/>
          <w:color w:val="000000"/>
          <w:sz w:val="24"/>
          <w:szCs w:val="21"/>
        </w:rPr>
        <w:t>四、</w:t>
      </w:r>
      <w:r>
        <w:rPr>
          <w:rFonts w:ascii="宋体" w:hAnsi="宋体" w:hint="eastAsia"/>
          <w:b/>
          <w:bCs/>
          <w:color w:val="000000"/>
          <w:sz w:val="24"/>
          <w:szCs w:val="21"/>
        </w:rPr>
        <w:tab/>
        <w:t>发售方式和发售渠道</w:t>
      </w:r>
      <w:bookmarkEnd w:id="37"/>
      <w:bookmarkEnd w:id="38"/>
      <w:bookmarkEnd w:id="39"/>
    </w:p>
    <w:p w14:paraId="350072F8" w14:textId="77777777" w:rsidR="00BF0C91" w:rsidRDefault="00D65346">
      <w:pPr>
        <w:spacing w:line="360" w:lineRule="auto"/>
        <w:ind w:firstLineChars="200" w:firstLine="480"/>
        <w:rPr>
          <w:rFonts w:ascii="宋体" w:hAnsi="宋体"/>
          <w:color w:val="000000"/>
          <w:sz w:val="24"/>
          <w:szCs w:val="21"/>
        </w:rPr>
      </w:pPr>
      <w:bookmarkStart w:id="40" w:name="_Toc15118257"/>
      <w:r>
        <w:rPr>
          <w:rFonts w:ascii="宋体" w:hAnsi="宋体" w:cs="宋体" w:hint="eastAsia"/>
          <w:color w:val="000000"/>
          <w:kern w:val="0"/>
          <w:sz w:val="24"/>
        </w:rPr>
        <w:t>1、发售渠道</w:t>
      </w:r>
      <w:r>
        <w:rPr>
          <w:rFonts w:ascii="宋体" w:hAnsi="宋体" w:hint="eastAsia"/>
          <w:sz w:val="24"/>
        </w:rPr>
        <w:t>：</w:t>
      </w:r>
      <w:r>
        <w:rPr>
          <w:rFonts w:ascii="宋体" w:hAnsi="宋体" w:cs="宋体"/>
          <w:color w:val="000000"/>
          <w:kern w:val="0"/>
          <w:sz w:val="24"/>
        </w:rPr>
        <w:t>投资者可以通过</w:t>
      </w:r>
      <w:r>
        <w:rPr>
          <w:rFonts w:ascii="宋体" w:hAnsi="宋体" w:hint="eastAsia"/>
          <w:sz w:val="24"/>
        </w:rPr>
        <w:t>基金管理人的直销网点和代销机构的代销网点（具体名单见发售公告）认购本基金；</w:t>
      </w:r>
    </w:p>
    <w:p w14:paraId="6D475534" w14:textId="77777777" w:rsidR="00BF0C91" w:rsidRDefault="00D65346">
      <w:pPr>
        <w:spacing w:line="360" w:lineRule="auto"/>
        <w:ind w:left="480"/>
        <w:rPr>
          <w:rFonts w:ascii="宋体" w:hAnsi="宋体"/>
          <w:color w:val="000000"/>
          <w:sz w:val="24"/>
          <w:szCs w:val="21"/>
        </w:rPr>
      </w:pPr>
      <w:r>
        <w:rPr>
          <w:rFonts w:ascii="宋体" w:hAnsi="宋体" w:hint="eastAsia"/>
          <w:color w:val="000000"/>
          <w:sz w:val="24"/>
          <w:szCs w:val="21"/>
        </w:rPr>
        <w:t>2、本基金认购采取全额缴款认购的方式。</w:t>
      </w:r>
    </w:p>
    <w:p w14:paraId="649CA62C"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基金投资者在募集期内可多次认购，认购一经受理不得撤销。</w:t>
      </w:r>
      <w:bookmarkStart w:id="41" w:name="_Toc79392600"/>
    </w:p>
    <w:p w14:paraId="689FD09B" w14:textId="77777777" w:rsidR="00BF0C91" w:rsidRDefault="00D65346">
      <w:pPr>
        <w:spacing w:line="360" w:lineRule="auto"/>
        <w:ind w:firstLineChars="200" w:firstLine="482"/>
        <w:outlineLvl w:val="1"/>
        <w:rPr>
          <w:rFonts w:ascii="宋体" w:hAnsi="宋体"/>
          <w:b/>
          <w:bCs/>
          <w:color w:val="000000"/>
          <w:sz w:val="24"/>
          <w:szCs w:val="21"/>
        </w:rPr>
      </w:pPr>
      <w:r>
        <w:rPr>
          <w:rFonts w:ascii="宋体" w:hAnsi="宋体" w:hint="eastAsia"/>
          <w:b/>
          <w:bCs/>
          <w:color w:val="000000"/>
          <w:sz w:val="24"/>
          <w:szCs w:val="21"/>
        </w:rPr>
        <w:t>五、</w:t>
      </w:r>
      <w:r>
        <w:rPr>
          <w:rFonts w:ascii="宋体" w:hAnsi="宋体" w:hint="eastAsia"/>
          <w:b/>
          <w:bCs/>
          <w:color w:val="000000"/>
          <w:sz w:val="24"/>
          <w:szCs w:val="21"/>
        </w:rPr>
        <w:tab/>
        <w:t>认购费用</w:t>
      </w:r>
      <w:bookmarkEnd w:id="41"/>
    </w:p>
    <w:p w14:paraId="5612B65B"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本基金的认购费率为零。</w:t>
      </w:r>
    </w:p>
    <w:p w14:paraId="26EA980D" w14:textId="77777777" w:rsidR="00BF0C91" w:rsidRDefault="00D65346">
      <w:pPr>
        <w:spacing w:line="360" w:lineRule="auto"/>
        <w:ind w:firstLineChars="200" w:firstLine="482"/>
        <w:outlineLvl w:val="1"/>
        <w:rPr>
          <w:rFonts w:ascii="宋体" w:hAnsi="宋体"/>
          <w:b/>
          <w:bCs/>
          <w:color w:val="000000"/>
          <w:sz w:val="24"/>
          <w:szCs w:val="21"/>
        </w:rPr>
      </w:pPr>
      <w:bookmarkStart w:id="42" w:name="_Toc57530268"/>
      <w:bookmarkStart w:id="43" w:name="_Toc79392601"/>
      <w:r>
        <w:rPr>
          <w:rFonts w:ascii="宋体" w:hAnsi="宋体" w:hint="eastAsia"/>
          <w:b/>
          <w:bCs/>
          <w:color w:val="000000"/>
          <w:sz w:val="24"/>
          <w:szCs w:val="21"/>
        </w:rPr>
        <w:t>六、</w:t>
      </w:r>
      <w:r>
        <w:rPr>
          <w:rFonts w:ascii="宋体" w:hAnsi="宋体" w:hint="eastAsia"/>
          <w:b/>
          <w:bCs/>
          <w:color w:val="000000"/>
          <w:sz w:val="24"/>
          <w:szCs w:val="21"/>
        </w:rPr>
        <w:tab/>
        <w:t>募集期利息的处理方式</w:t>
      </w:r>
    </w:p>
    <w:p w14:paraId="10D80025"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认购款项在基金合同生效前产生的利息将折算为基金份额归基金份额持有人所有，其中利息以注册登记机构的记录为准。</w:t>
      </w:r>
      <w:bookmarkStart w:id="44" w:name="_Hlt81307556"/>
      <w:bookmarkEnd w:id="44"/>
    </w:p>
    <w:p w14:paraId="498A419D" w14:textId="77777777" w:rsidR="00BF0C91" w:rsidRDefault="00D65346">
      <w:pPr>
        <w:spacing w:line="360" w:lineRule="auto"/>
        <w:ind w:firstLineChars="200" w:firstLine="482"/>
        <w:outlineLvl w:val="1"/>
        <w:rPr>
          <w:rFonts w:ascii="宋体" w:hAnsi="宋体"/>
          <w:b/>
          <w:bCs/>
          <w:color w:val="000000"/>
          <w:sz w:val="24"/>
          <w:szCs w:val="21"/>
        </w:rPr>
      </w:pPr>
      <w:r>
        <w:rPr>
          <w:rFonts w:ascii="宋体" w:hAnsi="宋体" w:hint="eastAsia"/>
          <w:b/>
          <w:bCs/>
          <w:color w:val="000000"/>
          <w:sz w:val="24"/>
          <w:szCs w:val="21"/>
        </w:rPr>
        <w:t>七、</w:t>
      </w:r>
      <w:r>
        <w:rPr>
          <w:rFonts w:ascii="宋体" w:hAnsi="宋体" w:hint="eastAsia"/>
          <w:b/>
          <w:bCs/>
          <w:color w:val="000000"/>
          <w:sz w:val="24"/>
          <w:szCs w:val="21"/>
        </w:rPr>
        <w:tab/>
        <w:t>基金认购份额的计算</w:t>
      </w:r>
      <w:bookmarkEnd w:id="40"/>
      <w:bookmarkEnd w:id="42"/>
      <w:bookmarkEnd w:id="43"/>
    </w:p>
    <w:p w14:paraId="58040A63" w14:textId="77777777" w:rsidR="00BF0C91" w:rsidRDefault="00D65346">
      <w:pPr>
        <w:widowControl/>
        <w:spacing w:line="360" w:lineRule="auto"/>
        <w:ind w:rightChars="-85" w:right="-178" w:firstLineChars="200" w:firstLine="480"/>
        <w:jc w:val="left"/>
        <w:rPr>
          <w:rFonts w:ascii="宋体" w:hAnsi="宋体" w:cs="宋体"/>
          <w:color w:val="000000"/>
          <w:kern w:val="0"/>
          <w:sz w:val="24"/>
        </w:rPr>
      </w:pPr>
      <w:r>
        <w:rPr>
          <w:rFonts w:ascii="宋体" w:hAnsi="宋体" w:cs="宋体"/>
          <w:color w:val="000000"/>
          <w:kern w:val="0"/>
          <w:sz w:val="24"/>
        </w:rPr>
        <w:t xml:space="preserve">净认购金额＝认购总金额 </w:t>
      </w:r>
    </w:p>
    <w:p w14:paraId="2E0F5673" w14:textId="77777777" w:rsidR="00BF0C91" w:rsidRDefault="00D65346">
      <w:pPr>
        <w:widowControl/>
        <w:spacing w:line="360" w:lineRule="auto"/>
        <w:ind w:rightChars="-85" w:right="-178" w:firstLineChars="200" w:firstLine="480"/>
        <w:jc w:val="left"/>
        <w:rPr>
          <w:rFonts w:ascii="宋体" w:hAnsi="宋体" w:cs="宋体"/>
          <w:color w:val="000000"/>
          <w:kern w:val="0"/>
          <w:sz w:val="24"/>
        </w:rPr>
      </w:pPr>
      <w:r>
        <w:rPr>
          <w:rFonts w:ascii="宋体" w:hAnsi="宋体" w:cs="宋体"/>
          <w:color w:val="000000"/>
          <w:kern w:val="0"/>
          <w:sz w:val="24"/>
        </w:rPr>
        <w:t>认购份额</w:t>
      </w:r>
      <w:r>
        <w:rPr>
          <w:rFonts w:ascii="宋体" w:hAnsi="宋体" w:cs="宋体" w:hint="eastAsia"/>
          <w:color w:val="000000"/>
          <w:kern w:val="0"/>
          <w:sz w:val="24"/>
        </w:rPr>
        <w:t xml:space="preserve">  </w:t>
      </w:r>
      <w:r>
        <w:rPr>
          <w:rFonts w:ascii="宋体" w:hAnsi="宋体" w:cs="宋体"/>
          <w:color w:val="000000"/>
          <w:kern w:val="0"/>
          <w:sz w:val="24"/>
        </w:rPr>
        <w:t>＝（认购</w:t>
      </w:r>
      <w:r>
        <w:rPr>
          <w:rFonts w:ascii="宋体" w:hAnsi="宋体" w:cs="宋体" w:hint="eastAsia"/>
          <w:color w:val="000000"/>
          <w:kern w:val="0"/>
          <w:sz w:val="24"/>
        </w:rPr>
        <w:t>总</w:t>
      </w:r>
      <w:r>
        <w:rPr>
          <w:rFonts w:ascii="宋体" w:hAnsi="宋体" w:cs="宋体"/>
          <w:color w:val="000000"/>
          <w:kern w:val="0"/>
          <w:sz w:val="24"/>
        </w:rPr>
        <w:t xml:space="preserve">金额＋认购利息）/基金份额面值 </w:t>
      </w:r>
    </w:p>
    <w:p w14:paraId="1D74557E" w14:textId="77777777" w:rsidR="00BF0C91" w:rsidRDefault="00D65346">
      <w:pPr>
        <w:spacing w:line="360" w:lineRule="auto"/>
        <w:ind w:firstLineChars="200" w:firstLine="480"/>
        <w:rPr>
          <w:rFonts w:ascii="宋体" w:hAnsi="宋体"/>
          <w:color w:val="FF0000"/>
          <w:sz w:val="24"/>
          <w:szCs w:val="21"/>
        </w:rPr>
      </w:pPr>
      <w:r>
        <w:rPr>
          <w:rFonts w:ascii="宋体" w:hAnsi="宋体" w:hint="eastAsia"/>
          <w:sz w:val="24"/>
        </w:rPr>
        <w:t>认购份额的份数以四舍五入的方法计算</w:t>
      </w:r>
      <w:r>
        <w:rPr>
          <w:rFonts w:ascii="宋体" w:hAnsi="宋体" w:hint="eastAsia"/>
          <w:sz w:val="24"/>
          <w:szCs w:val="21"/>
        </w:rPr>
        <w:t>保留到小数点后2位，</w:t>
      </w:r>
      <w:r>
        <w:rPr>
          <w:rFonts w:ascii="宋体" w:hAnsi="宋体"/>
          <w:sz w:val="24"/>
          <w:szCs w:val="21"/>
        </w:rPr>
        <w:t>四舍五入部分所代表的资产归基金所有。</w:t>
      </w:r>
    </w:p>
    <w:p w14:paraId="130082D7" w14:textId="77777777" w:rsidR="00BF0C91" w:rsidRDefault="00D65346">
      <w:pPr>
        <w:spacing w:line="360" w:lineRule="auto"/>
        <w:ind w:firstLineChars="200" w:firstLine="482"/>
        <w:outlineLvl w:val="1"/>
        <w:rPr>
          <w:rFonts w:ascii="宋体" w:hAnsi="宋体"/>
          <w:b/>
          <w:bCs/>
          <w:color w:val="000000"/>
          <w:sz w:val="24"/>
          <w:szCs w:val="21"/>
        </w:rPr>
      </w:pPr>
      <w:bookmarkStart w:id="45" w:name="_Toc57530270"/>
      <w:bookmarkStart w:id="46" w:name="_Toc15118258"/>
      <w:bookmarkStart w:id="47" w:name="_Toc79392602"/>
      <w:r>
        <w:rPr>
          <w:rFonts w:ascii="宋体" w:hAnsi="宋体" w:hint="eastAsia"/>
          <w:b/>
          <w:bCs/>
          <w:color w:val="000000"/>
          <w:sz w:val="24"/>
          <w:szCs w:val="21"/>
        </w:rPr>
        <w:t>八、</w:t>
      </w:r>
      <w:r>
        <w:rPr>
          <w:rFonts w:ascii="宋体" w:hAnsi="宋体" w:hint="eastAsia"/>
          <w:b/>
          <w:bCs/>
          <w:color w:val="000000"/>
          <w:sz w:val="24"/>
          <w:szCs w:val="21"/>
        </w:rPr>
        <w:tab/>
        <w:t>基金认购金额的限制</w:t>
      </w:r>
      <w:bookmarkEnd w:id="45"/>
      <w:bookmarkEnd w:id="46"/>
      <w:bookmarkEnd w:id="47"/>
    </w:p>
    <w:p w14:paraId="15A83133"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1、在募集期内，基金管理人可以对每个账户的单笔最低认购金额进行限制，具体请参见本基金招募说明书或发售公告。</w:t>
      </w:r>
    </w:p>
    <w:p w14:paraId="707422C1" w14:textId="77777777" w:rsidR="00BF0C91" w:rsidRDefault="00D65346">
      <w:pPr>
        <w:spacing w:line="360" w:lineRule="auto"/>
        <w:ind w:left="480"/>
        <w:rPr>
          <w:rFonts w:ascii="宋体" w:hAnsi="宋体"/>
          <w:color w:val="000000"/>
          <w:sz w:val="24"/>
          <w:szCs w:val="21"/>
        </w:rPr>
      </w:pPr>
      <w:r>
        <w:rPr>
          <w:rFonts w:ascii="宋体" w:hAnsi="宋体" w:hint="eastAsia"/>
          <w:color w:val="000000"/>
          <w:sz w:val="24"/>
          <w:szCs w:val="21"/>
        </w:rPr>
        <w:t>2、</w:t>
      </w:r>
      <w:r>
        <w:rPr>
          <w:rFonts w:ascii="宋体" w:hAnsi="宋体" w:cs="宋体"/>
          <w:color w:val="000000"/>
          <w:kern w:val="0"/>
          <w:sz w:val="24"/>
        </w:rPr>
        <w:t>募集期间单个投资者的累计认购规模没有限制</w:t>
      </w:r>
      <w:r>
        <w:rPr>
          <w:rFonts w:ascii="宋体" w:hAnsi="宋体" w:cs="宋体" w:hint="eastAsia"/>
          <w:color w:val="000000"/>
          <w:kern w:val="0"/>
          <w:sz w:val="24"/>
        </w:rPr>
        <w:t>。</w:t>
      </w:r>
    </w:p>
    <w:p w14:paraId="32662CEB" w14:textId="77777777" w:rsidR="00BF0C91" w:rsidRDefault="00D65346">
      <w:pPr>
        <w:pStyle w:val="1"/>
        <w:spacing w:before="100" w:beforeAutospacing="1" w:after="100" w:afterAutospacing="1" w:line="360" w:lineRule="auto"/>
        <w:rPr>
          <w:rFonts w:ascii="黑体" w:eastAsia="黑体" w:hAnsi="Arial" w:cs="Arial"/>
          <w:color w:val="000000"/>
          <w:sz w:val="30"/>
          <w:szCs w:val="32"/>
        </w:rPr>
      </w:pPr>
      <w:r>
        <w:rPr>
          <w:color w:val="000000"/>
          <w:sz w:val="24"/>
        </w:rPr>
        <w:br w:type="page"/>
      </w:r>
      <w:bookmarkStart w:id="48" w:name="_Hlt81128828"/>
      <w:bookmarkStart w:id="49" w:name="_Toc169580219"/>
      <w:bookmarkEnd w:id="48"/>
      <w:r>
        <w:rPr>
          <w:rFonts w:ascii="黑体" w:eastAsia="黑体" w:hAnsi="Arial" w:cs="Arial" w:hint="eastAsia"/>
          <w:color w:val="000000"/>
          <w:sz w:val="30"/>
          <w:szCs w:val="32"/>
        </w:rPr>
        <w:lastRenderedPageBreak/>
        <w:t>第五部分  基金备案</w:t>
      </w:r>
      <w:bookmarkEnd w:id="49"/>
    </w:p>
    <w:p w14:paraId="14D5EEF1" w14:textId="77777777" w:rsidR="00BF0C91" w:rsidRDefault="00D65346">
      <w:pPr>
        <w:spacing w:beforeLines="25" w:before="78" w:afterLines="25" w:after="78" w:line="440" w:lineRule="exact"/>
        <w:ind w:firstLineChars="200" w:firstLine="482"/>
        <w:outlineLvl w:val="1"/>
        <w:rPr>
          <w:rFonts w:ascii="宋体" w:hAnsi="宋体"/>
          <w:b/>
          <w:bCs/>
          <w:color w:val="000000"/>
          <w:sz w:val="24"/>
          <w:szCs w:val="21"/>
        </w:rPr>
      </w:pPr>
      <w:bookmarkStart w:id="50" w:name="_Toc57530272"/>
      <w:bookmarkStart w:id="51" w:name="_Toc15118260"/>
      <w:bookmarkStart w:id="52" w:name="_Toc79392603"/>
      <w:r>
        <w:rPr>
          <w:rFonts w:ascii="宋体" w:hAnsi="宋体" w:hint="eastAsia"/>
          <w:b/>
          <w:bCs/>
          <w:color w:val="000000"/>
          <w:sz w:val="24"/>
          <w:szCs w:val="21"/>
        </w:rPr>
        <w:t>一、</w:t>
      </w:r>
      <w:r>
        <w:rPr>
          <w:rFonts w:ascii="宋体" w:hAnsi="宋体" w:hint="eastAsia"/>
          <w:b/>
          <w:bCs/>
          <w:color w:val="000000"/>
          <w:sz w:val="24"/>
          <w:szCs w:val="21"/>
        </w:rPr>
        <w:tab/>
        <w:t>基金备案的条件</w:t>
      </w:r>
      <w:bookmarkEnd w:id="50"/>
      <w:bookmarkEnd w:id="51"/>
      <w:bookmarkEnd w:id="52"/>
    </w:p>
    <w:p w14:paraId="6E3C5689"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本基金</w:t>
      </w:r>
      <w:r>
        <w:rPr>
          <w:rFonts w:ascii="宋体" w:hAnsi="宋体" w:hint="eastAsia"/>
          <w:color w:val="000000"/>
          <w:sz w:val="24"/>
        </w:rPr>
        <w:t>自基金份额发售之日起</w:t>
      </w:r>
      <w:r>
        <w:rPr>
          <w:rFonts w:ascii="宋体" w:hAnsi="宋体" w:hint="eastAsia"/>
          <w:color w:val="000000"/>
          <w:sz w:val="24"/>
          <w:szCs w:val="21"/>
        </w:rPr>
        <w:t>3个月内，在</w:t>
      </w:r>
      <w:r>
        <w:rPr>
          <w:rFonts w:ascii="宋体" w:hAnsi="宋体" w:hint="eastAsia"/>
          <w:color w:val="000000"/>
          <w:sz w:val="24"/>
        </w:rPr>
        <w:t>基金募集份额总额不少于2亿份，基金募集金额不少于2亿元人民币且基金份额持有人的人数不少于200人</w:t>
      </w:r>
      <w:r>
        <w:rPr>
          <w:rFonts w:ascii="宋体" w:hAnsi="宋体" w:hint="eastAsia"/>
          <w:color w:val="000000"/>
          <w:sz w:val="24"/>
          <w:szCs w:val="21"/>
        </w:rPr>
        <w:t>的条件下，基金管理人依据法律法规及招募说明书可以决定停止基金发售，并在聘请法定验资机构验资后向中国证监会办理基金备案手续。</w:t>
      </w:r>
      <w:bookmarkStart w:id="53" w:name="_Hlt88901074"/>
      <w:bookmarkEnd w:id="53"/>
    </w:p>
    <w:p w14:paraId="1BD0AE72" w14:textId="77777777" w:rsidR="00BF0C91" w:rsidRDefault="00D65346">
      <w:pPr>
        <w:spacing w:line="440" w:lineRule="exact"/>
        <w:ind w:firstLineChars="200" w:firstLine="480"/>
        <w:rPr>
          <w:rFonts w:ascii="宋体" w:hAnsi="宋体"/>
          <w:sz w:val="24"/>
          <w:szCs w:val="21"/>
        </w:rPr>
      </w:pPr>
      <w:r>
        <w:rPr>
          <w:rFonts w:ascii="宋体" w:hAnsi="宋体" w:hint="eastAsia"/>
          <w:sz w:val="24"/>
          <w:szCs w:val="21"/>
        </w:rPr>
        <w:t>基金管理人在募集期间达到基金备案条件的，应当自基金募集结束后的10日内聘请验资机构验资，并在收到验资报告后10日内依法向中国证监会办理基金备案手续，自中国证监会书面确认之日起，基金备案手续办理完毕，基金合同生效；否则基金合同不生效。基金管理人应在收到中国证监会确认文件的次日予以公告。</w:t>
      </w:r>
    </w:p>
    <w:p w14:paraId="2FC11BD0" w14:textId="77777777" w:rsidR="00BF0C91" w:rsidRDefault="00D65346">
      <w:pPr>
        <w:spacing w:line="440" w:lineRule="exact"/>
        <w:ind w:firstLineChars="200" w:firstLine="480"/>
        <w:rPr>
          <w:rFonts w:ascii="宋体" w:hAnsi="宋体"/>
          <w:b/>
          <w:bCs/>
          <w:color w:val="000000"/>
          <w:sz w:val="24"/>
          <w:szCs w:val="21"/>
        </w:rPr>
      </w:pPr>
      <w:r>
        <w:rPr>
          <w:rFonts w:ascii="宋体" w:hAnsi="宋体" w:hint="eastAsia"/>
          <w:sz w:val="24"/>
          <w:szCs w:val="21"/>
        </w:rPr>
        <w:t>基金管理人应将基金募集期间募集的资金存入专门账户，在基金募集行为结束前，任何人不得动用。认购款项在募集期内产生的利息将折合成基金份额归投资者所有。</w:t>
      </w:r>
      <w:bookmarkStart w:id="54" w:name="_Hlt88896182"/>
      <w:bookmarkStart w:id="55" w:name="_Toc15118261"/>
      <w:bookmarkStart w:id="56" w:name="_Toc79392604"/>
      <w:bookmarkStart w:id="57" w:name="_Toc57530273"/>
      <w:bookmarkEnd w:id="54"/>
    </w:p>
    <w:p w14:paraId="1E54D095" w14:textId="77777777" w:rsidR="00BF0C91" w:rsidRDefault="00D65346">
      <w:pPr>
        <w:spacing w:beforeLines="25" w:before="78" w:afterLines="25" w:after="78" w:line="440" w:lineRule="exact"/>
        <w:ind w:firstLineChars="200" w:firstLine="482"/>
        <w:outlineLvl w:val="1"/>
        <w:rPr>
          <w:rFonts w:ascii="宋体" w:hAnsi="宋体"/>
          <w:b/>
          <w:bCs/>
          <w:color w:val="000000"/>
          <w:sz w:val="24"/>
          <w:szCs w:val="21"/>
        </w:rPr>
      </w:pPr>
      <w:r>
        <w:rPr>
          <w:rFonts w:ascii="宋体" w:hAnsi="宋体" w:hint="eastAsia"/>
          <w:b/>
          <w:bCs/>
          <w:color w:val="000000"/>
          <w:sz w:val="24"/>
          <w:szCs w:val="21"/>
        </w:rPr>
        <w:t>二、</w:t>
      </w:r>
      <w:r>
        <w:rPr>
          <w:rFonts w:ascii="宋体" w:hAnsi="宋体" w:hint="eastAsia"/>
          <w:b/>
          <w:bCs/>
          <w:color w:val="000000"/>
          <w:sz w:val="24"/>
          <w:szCs w:val="21"/>
        </w:rPr>
        <w:tab/>
        <w:t>基金合同不能生效时募集资金的处理方式</w:t>
      </w:r>
      <w:bookmarkEnd w:id="55"/>
      <w:bookmarkEnd w:id="56"/>
      <w:bookmarkEnd w:id="57"/>
    </w:p>
    <w:p w14:paraId="36D2ABB0"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1、基金募集期满，未能达到上述基金备案条件的，基金合同不能生效，基金管理人承担全部募集费用，将已募集资金并加计募集期内产生的利息在募集期届满后30天内退还投资者。</w:t>
      </w:r>
    </w:p>
    <w:p w14:paraId="4B114452" w14:textId="77777777" w:rsidR="00BF0C91" w:rsidRDefault="00D65346">
      <w:pPr>
        <w:spacing w:line="440" w:lineRule="exact"/>
        <w:ind w:firstLineChars="200" w:firstLine="480"/>
        <w:rPr>
          <w:rFonts w:ascii="宋体" w:hAnsi="宋体"/>
          <w:b/>
          <w:bCs/>
          <w:color w:val="000000"/>
          <w:sz w:val="24"/>
          <w:szCs w:val="21"/>
        </w:rPr>
      </w:pPr>
      <w:r>
        <w:rPr>
          <w:rFonts w:ascii="宋体" w:hAnsi="宋体" w:cs="宋体" w:hint="eastAsia"/>
          <w:color w:val="000000"/>
          <w:kern w:val="0"/>
          <w:sz w:val="24"/>
        </w:rPr>
        <w:t>2、若基金合同不能生效，</w:t>
      </w:r>
      <w:r>
        <w:rPr>
          <w:rFonts w:ascii="宋体" w:hAnsi="宋体" w:cs="宋体"/>
          <w:color w:val="000000"/>
          <w:kern w:val="0"/>
          <w:sz w:val="24"/>
        </w:rPr>
        <w:t>基金管理人、基金托管人及</w:t>
      </w:r>
      <w:r>
        <w:rPr>
          <w:rFonts w:ascii="宋体" w:hAnsi="宋体" w:cs="宋体" w:hint="eastAsia"/>
          <w:color w:val="000000"/>
          <w:kern w:val="0"/>
          <w:sz w:val="24"/>
        </w:rPr>
        <w:t>代销机构</w:t>
      </w:r>
      <w:r>
        <w:rPr>
          <w:rFonts w:ascii="宋体" w:hAnsi="宋体" w:cs="宋体"/>
          <w:color w:val="000000"/>
          <w:kern w:val="0"/>
          <w:sz w:val="24"/>
        </w:rPr>
        <w:t>不得请求报酬。基金管理人、基金托管人和</w:t>
      </w:r>
      <w:r>
        <w:rPr>
          <w:rFonts w:ascii="宋体" w:hAnsi="宋体" w:cs="宋体" w:hint="eastAsia"/>
          <w:color w:val="000000"/>
          <w:kern w:val="0"/>
          <w:sz w:val="24"/>
        </w:rPr>
        <w:t>代销机构</w:t>
      </w:r>
      <w:r>
        <w:rPr>
          <w:rFonts w:ascii="宋体" w:hAnsi="宋体" w:cs="宋体"/>
          <w:color w:val="000000"/>
          <w:kern w:val="0"/>
          <w:sz w:val="24"/>
        </w:rPr>
        <w:t>为基金募集支付之一切费用应由各方各自承担</w:t>
      </w:r>
      <w:r>
        <w:rPr>
          <w:rFonts w:ascii="宋体" w:hAnsi="宋体" w:cs="宋体" w:hint="eastAsia"/>
          <w:color w:val="000000"/>
          <w:kern w:val="0"/>
          <w:sz w:val="24"/>
        </w:rPr>
        <w:t>。</w:t>
      </w:r>
      <w:bookmarkStart w:id="58" w:name="_Toc57530274"/>
      <w:bookmarkStart w:id="59" w:name="_Toc15118262"/>
      <w:bookmarkStart w:id="60" w:name="_Toc79392605"/>
    </w:p>
    <w:p w14:paraId="7076DF45" w14:textId="77777777" w:rsidR="00BF0C91" w:rsidRDefault="00D65346">
      <w:pPr>
        <w:spacing w:beforeLines="25" w:before="78" w:afterLines="25" w:after="78" w:line="440" w:lineRule="exact"/>
        <w:ind w:firstLineChars="200" w:firstLine="482"/>
        <w:outlineLvl w:val="1"/>
        <w:rPr>
          <w:rFonts w:ascii="宋体" w:hAnsi="宋体"/>
          <w:b/>
          <w:bCs/>
          <w:color w:val="000000"/>
          <w:sz w:val="24"/>
          <w:szCs w:val="21"/>
        </w:rPr>
      </w:pPr>
      <w:r>
        <w:rPr>
          <w:rFonts w:ascii="宋体" w:hAnsi="宋体" w:hint="eastAsia"/>
          <w:b/>
          <w:bCs/>
          <w:color w:val="000000"/>
          <w:sz w:val="24"/>
          <w:szCs w:val="21"/>
        </w:rPr>
        <w:t>三、</w:t>
      </w:r>
      <w:r>
        <w:rPr>
          <w:rFonts w:ascii="宋体" w:hAnsi="宋体" w:hint="eastAsia"/>
          <w:b/>
          <w:bCs/>
          <w:color w:val="000000"/>
          <w:sz w:val="24"/>
          <w:szCs w:val="21"/>
        </w:rPr>
        <w:tab/>
        <w:t>基金存续期内的基金份额持有人数量和资金额</w:t>
      </w:r>
      <w:bookmarkEnd w:id="58"/>
      <w:bookmarkEnd w:id="59"/>
      <w:bookmarkEnd w:id="60"/>
    </w:p>
    <w:p w14:paraId="1B603FF9" w14:textId="77777777" w:rsidR="00BF0C91" w:rsidRDefault="00D65346">
      <w:pPr>
        <w:widowControl/>
        <w:spacing w:line="440" w:lineRule="exact"/>
        <w:ind w:firstLine="420"/>
        <w:jc w:val="left"/>
        <w:rPr>
          <w:rFonts w:ascii="宋体" w:hAnsi="宋体"/>
          <w:sz w:val="24"/>
          <w:szCs w:val="21"/>
        </w:rPr>
      </w:pPr>
      <w:r>
        <w:rPr>
          <w:rFonts w:ascii="宋体" w:hAnsi="宋体" w:hint="eastAsia"/>
          <w:sz w:val="24"/>
          <w:szCs w:val="21"/>
        </w:rPr>
        <w:t>本基金合同生效后，基金份额持有人数量不满200人或者基金资产净值低于5,000万元的，基金管理人应当及时报告中国证监会；连续20个工作日出现前述情形的，基金管理人应当向中国证监会说明原因和报送解决方案。</w:t>
      </w:r>
      <w:r>
        <w:rPr>
          <w:rFonts w:ascii="宋体" w:hAnsi="宋体"/>
          <w:sz w:val="24"/>
          <w:szCs w:val="21"/>
        </w:rPr>
        <w:t xml:space="preserve">存续期内，基金份额持有人数量连续60个工作日达不到200人，或连续60个工作日基金资产净值低于5,000万元人民币，基金管理人有权宣布终止基金合同，并报中国证监会备案。法律法规或监管部门另有规定的，从其规定。 </w:t>
      </w:r>
    </w:p>
    <w:p w14:paraId="5682E821" w14:textId="77777777" w:rsidR="00BF0C91" w:rsidRDefault="00D65346">
      <w:pPr>
        <w:pStyle w:val="1"/>
        <w:spacing w:before="100" w:beforeAutospacing="1" w:after="100" w:afterAutospacing="1" w:line="360" w:lineRule="auto"/>
        <w:rPr>
          <w:rFonts w:ascii="黑体" w:eastAsia="黑体" w:hAnsi="Arial" w:cs="Arial"/>
          <w:color w:val="000000"/>
          <w:sz w:val="30"/>
          <w:szCs w:val="32"/>
        </w:rPr>
      </w:pPr>
      <w:r>
        <w:rPr>
          <w:rFonts w:ascii="宋体" w:hAnsi="宋体"/>
          <w:color w:val="000000"/>
          <w:sz w:val="24"/>
        </w:rPr>
        <w:br w:type="page"/>
      </w:r>
      <w:bookmarkStart w:id="61" w:name="_Hlt81307586"/>
      <w:bookmarkStart w:id="62" w:name="_Hlt88896187"/>
      <w:bookmarkStart w:id="63" w:name="_Toc48649707"/>
      <w:bookmarkStart w:id="64" w:name="_Toc79392606"/>
      <w:bookmarkStart w:id="65" w:name="_Toc169580220"/>
      <w:bookmarkEnd w:id="61"/>
      <w:bookmarkEnd w:id="62"/>
      <w:r>
        <w:rPr>
          <w:rFonts w:ascii="黑体" w:eastAsia="黑体" w:hAnsi="Arial" w:cs="Arial" w:hint="eastAsia"/>
          <w:color w:val="000000"/>
          <w:sz w:val="30"/>
          <w:szCs w:val="32"/>
        </w:rPr>
        <w:lastRenderedPageBreak/>
        <w:t>第六部分</w:t>
      </w:r>
      <w:r>
        <w:rPr>
          <w:rFonts w:ascii="黑体" w:eastAsia="黑体" w:hAnsi="Arial" w:cs="Arial"/>
          <w:color w:val="000000"/>
          <w:sz w:val="30"/>
          <w:szCs w:val="32"/>
        </w:rPr>
        <w:t xml:space="preserve">  </w:t>
      </w:r>
      <w:r>
        <w:rPr>
          <w:rFonts w:ascii="黑体" w:eastAsia="黑体" w:hAnsi="Arial" w:cs="Arial" w:hint="eastAsia"/>
          <w:color w:val="000000"/>
          <w:sz w:val="30"/>
          <w:szCs w:val="32"/>
        </w:rPr>
        <w:t>基金的申购、赎回</w:t>
      </w:r>
      <w:bookmarkEnd w:id="63"/>
      <w:bookmarkEnd w:id="64"/>
      <w:r>
        <w:rPr>
          <w:rFonts w:ascii="黑体" w:eastAsia="黑体" w:hAnsi="Arial" w:cs="Arial" w:hint="eastAsia"/>
          <w:color w:val="000000"/>
          <w:sz w:val="30"/>
          <w:szCs w:val="32"/>
        </w:rPr>
        <w:t>及其他业务</w:t>
      </w:r>
      <w:bookmarkEnd w:id="65"/>
    </w:p>
    <w:p w14:paraId="77102E6C" w14:textId="77777777" w:rsidR="00BF0C91" w:rsidRDefault="00D65346">
      <w:pPr>
        <w:spacing w:beforeLines="50" w:before="156" w:afterLines="50" w:after="156" w:line="440" w:lineRule="exact"/>
        <w:ind w:firstLineChars="200" w:firstLine="482"/>
        <w:outlineLvl w:val="1"/>
        <w:rPr>
          <w:rFonts w:ascii="宋体" w:hAnsi="宋体"/>
          <w:b/>
          <w:color w:val="000000"/>
          <w:sz w:val="24"/>
          <w:szCs w:val="32"/>
        </w:rPr>
      </w:pPr>
      <w:bookmarkStart w:id="66" w:name="_Toc79392607"/>
      <w:r>
        <w:rPr>
          <w:rFonts w:ascii="宋体" w:hAnsi="宋体" w:hint="eastAsia"/>
          <w:b/>
          <w:color w:val="000000"/>
          <w:sz w:val="24"/>
          <w:szCs w:val="32"/>
        </w:rPr>
        <w:t>一、</w:t>
      </w:r>
      <w:r>
        <w:rPr>
          <w:rFonts w:ascii="宋体" w:hAnsi="宋体" w:hint="eastAsia"/>
          <w:b/>
          <w:color w:val="000000"/>
          <w:sz w:val="24"/>
          <w:szCs w:val="32"/>
        </w:rPr>
        <w:tab/>
        <w:t>申购与赎回的场所</w:t>
      </w:r>
      <w:bookmarkEnd w:id="66"/>
    </w:p>
    <w:p w14:paraId="42D1EFC7" w14:textId="77777777" w:rsidR="00BF0C91" w:rsidRDefault="00D65346">
      <w:pPr>
        <w:spacing w:before="60" w:after="60" w:line="440" w:lineRule="exact"/>
        <w:ind w:firstLineChars="200" w:firstLine="480"/>
        <w:rPr>
          <w:rFonts w:ascii="宋体" w:hAnsi="宋体"/>
          <w:sz w:val="24"/>
        </w:rPr>
      </w:pPr>
      <w:r>
        <w:rPr>
          <w:rFonts w:ascii="宋体" w:hAnsi="宋体" w:hint="eastAsia"/>
          <w:sz w:val="24"/>
        </w:rPr>
        <w:t>1、基金管理人的直销网点；</w:t>
      </w:r>
    </w:p>
    <w:p w14:paraId="0AE87997" w14:textId="77777777" w:rsidR="00BF0C91" w:rsidRDefault="00D65346">
      <w:pPr>
        <w:spacing w:before="60" w:after="60" w:line="440" w:lineRule="exact"/>
        <w:ind w:firstLineChars="200" w:firstLine="480"/>
        <w:rPr>
          <w:rFonts w:ascii="宋体" w:hAnsi="宋体"/>
          <w:sz w:val="24"/>
        </w:rPr>
      </w:pPr>
      <w:r>
        <w:rPr>
          <w:rFonts w:ascii="宋体" w:hAnsi="宋体" w:hint="eastAsia"/>
          <w:sz w:val="24"/>
        </w:rPr>
        <w:t>2、本基金的代销机构的代销网点；</w:t>
      </w:r>
    </w:p>
    <w:p w14:paraId="138D5699" w14:textId="77777777" w:rsidR="00BF0C91" w:rsidRDefault="00D65346">
      <w:pPr>
        <w:spacing w:line="440" w:lineRule="exact"/>
        <w:ind w:firstLineChars="200" w:firstLine="480"/>
        <w:rPr>
          <w:rFonts w:ascii="宋体" w:hAnsi="宋体"/>
          <w:sz w:val="24"/>
        </w:rPr>
      </w:pPr>
      <w:r>
        <w:rPr>
          <w:rFonts w:ascii="宋体" w:hAnsi="宋体" w:hint="eastAsia"/>
          <w:sz w:val="24"/>
        </w:rPr>
        <w:t>投资者可通过上述场所按照规定的方式进行申购或赎回。基金管理人可根据情况增减基金代销机构，并在管理人网站公示。</w:t>
      </w:r>
    </w:p>
    <w:p w14:paraId="303FDCA9" w14:textId="77777777" w:rsidR="00BF0C91" w:rsidRDefault="00D65346">
      <w:pPr>
        <w:spacing w:beforeLines="50" w:before="156" w:afterLines="50" w:after="156" w:line="440" w:lineRule="exact"/>
        <w:ind w:firstLineChars="200" w:firstLine="482"/>
        <w:outlineLvl w:val="1"/>
        <w:rPr>
          <w:rFonts w:ascii="宋体" w:hAnsi="宋体"/>
          <w:b/>
          <w:color w:val="000000"/>
          <w:sz w:val="24"/>
          <w:szCs w:val="32"/>
        </w:rPr>
      </w:pPr>
      <w:bookmarkStart w:id="67" w:name="_Toc79392608"/>
      <w:r>
        <w:rPr>
          <w:rFonts w:ascii="宋体" w:hAnsi="宋体" w:hint="eastAsia"/>
          <w:b/>
          <w:color w:val="000000"/>
          <w:sz w:val="24"/>
          <w:szCs w:val="32"/>
        </w:rPr>
        <w:t>二、</w:t>
      </w:r>
      <w:r>
        <w:rPr>
          <w:rFonts w:ascii="宋体" w:hAnsi="宋体" w:hint="eastAsia"/>
          <w:b/>
          <w:color w:val="000000"/>
          <w:sz w:val="24"/>
          <w:szCs w:val="32"/>
        </w:rPr>
        <w:tab/>
        <w:t>申购与赎回的办理时间</w:t>
      </w:r>
      <w:bookmarkEnd w:id="67"/>
    </w:p>
    <w:p w14:paraId="1D011843"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1、本基金的申购、赎回自基金合同生效后不超过30个工作日的时间开始办理，基金管理人应在申购、赎回开放日前依照《信息披露办法》和《信息披露特别规定》的有关规定在中国证监会指定媒介上公告。</w:t>
      </w:r>
    </w:p>
    <w:p w14:paraId="4E0C8626" w14:textId="77777777" w:rsidR="00BF0C91" w:rsidRDefault="00D65346">
      <w:pPr>
        <w:spacing w:line="440" w:lineRule="exact"/>
        <w:ind w:firstLineChars="200" w:firstLine="480"/>
        <w:rPr>
          <w:rFonts w:ascii="宋体" w:hAnsi="宋体"/>
          <w:sz w:val="24"/>
          <w:szCs w:val="21"/>
        </w:rPr>
      </w:pPr>
      <w:r>
        <w:rPr>
          <w:rFonts w:ascii="宋体" w:hAnsi="宋体" w:hint="eastAsia"/>
          <w:color w:val="000000"/>
          <w:sz w:val="24"/>
          <w:szCs w:val="21"/>
        </w:rPr>
        <w:t>2、申购和赎回的开放日为上海证券交易所、深圳证券交易所的交易日（基金管理人根据法律法规或基金合同的规定公告暂停申购、赎回时除外）。开放日的具体业务办理时间在招募说明书中载明。</w:t>
      </w:r>
      <w:r>
        <w:rPr>
          <w:rFonts w:ascii="宋体" w:hAnsi="宋体" w:hint="eastAsia"/>
          <w:sz w:val="24"/>
          <w:szCs w:val="21"/>
        </w:rPr>
        <w:t>基金</w:t>
      </w:r>
      <w:r>
        <w:rPr>
          <w:rFonts w:ascii="宋体" w:hAnsi="宋体"/>
          <w:sz w:val="24"/>
          <w:szCs w:val="21"/>
        </w:rPr>
        <w:t>投资</w:t>
      </w:r>
      <w:r>
        <w:rPr>
          <w:rFonts w:ascii="宋体" w:hAnsi="宋体" w:hint="eastAsia"/>
          <w:sz w:val="24"/>
          <w:szCs w:val="21"/>
        </w:rPr>
        <w:t>者</w:t>
      </w:r>
      <w:r>
        <w:rPr>
          <w:rFonts w:ascii="宋体" w:hAnsi="宋体"/>
          <w:sz w:val="24"/>
          <w:szCs w:val="21"/>
        </w:rPr>
        <w:t>在基金合同约定之外的日期和时间提出申购、赎回申请的，其基金份额申购、赎回价格为下次办理基金份额申购、赎回时间所在开放日的价格</w:t>
      </w:r>
      <w:r>
        <w:rPr>
          <w:rFonts w:ascii="宋体" w:hAnsi="宋体" w:hint="eastAsia"/>
          <w:sz w:val="24"/>
          <w:szCs w:val="21"/>
        </w:rPr>
        <w:t>。</w:t>
      </w:r>
    </w:p>
    <w:p w14:paraId="51834867"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sz w:val="24"/>
          <w:szCs w:val="21"/>
        </w:rPr>
        <w:t>3、</w:t>
      </w:r>
      <w:r>
        <w:rPr>
          <w:rFonts w:ascii="宋体" w:hAnsi="宋体" w:hint="eastAsia"/>
          <w:color w:val="000000"/>
          <w:sz w:val="24"/>
          <w:szCs w:val="21"/>
        </w:rPr>
        <w:t>若出现新的证券交易市场或交易所交易时间更改或实际情况需要，基金管理人可对申购、赎回业务的办理时间进行调整，但此项调整不应对投资者利益造成实质影响并应报中国证监会备案，并在实施日前依照《信息披露办法》和《信息披露特别规定》的有关规定在中国证监会指定媒介上公告。</w:t>
      </w:r>
    </w:p>
    <w:p w14:paraId="347D8723" w14:textId="77777777" w:rsidR="00BF0C91" w:rsidRDefault="00D65346">
      <w:pPr>
        <w:spacing w:beforeLines="50" w:before="156" w:afterLines="50" w:after="156" w:line="440" w:lineRule="exact"/>
        <w:ind w:firstLineChars="200" w:firstLine="482"/>
        <w:outlineLvl w:val="1"/>
        <w:rPr>
          <w:rFonts w:ascii="宋体" w:hAnsi="宋体"/>
          <w:b/>
          <w:color w:val="000000"/>
          <w:sz w:val="24"/>
          <w:szCs w:val="32"/>
        </w:rPr>
      </w:pPr>
      <w:bookmarkStart w:id="68" w:name="_Toc79392609"/>
      <w:r>
        <w:rPr>
          <w:rFonts w:ascii="宋体" w:hAnsi="宋体" w:hint="eastAsia"/>
          <w:b/>
          <w:color w:val="000000"/>
          <w:sz w:val="24"/>
          <w:szCs w:val="32"/>
        </w:rPr>
        <w:t>三、</w:t>
      </w:r>
      <w:r>
        <w:rPr>
          <w:rFonts w:ascii="宋体" w:hAnsi="宋体" w:hint="eastAsia"/>
          <w:b/>
          <w:color w:val="000000"/>
          <w:sz w:val="24"/>
          <w:szCs w:val="32"/>
        </w:rPr>
        <w:tab/>
        <w:t>申购与赎回的原则</w:t>
      </w:r>
      <w:bookmarkEnd w:id="68"/>
    </w:p>
    <w:p w14:paraId="4EB61CE2" w14:textId="77777777" w:rsidR="00BF0C91" w:rsidRDefault="00D65346">
      <w:pPr>
        <w:spacing w:line="440" w:lineRule="exact"/>
        <w:ind w:firstLineChars="200" w:firstLine="480"/>
        <w:rPr>
          <w:rFonts w:ascii="宋体" w:hAnsi="宋体"/>
          <w:sz w:val="24"/>
          <w:szCs w:val="21"/>
        </w:rPr>
      </w:pPr>
      <w:r>
        <w:rPr>
          <w:rFonts w:ascii="宋体" w:hAnsi="宋体"/>
          <w:sz w:val="24"/>
          <w:szCs w:val="21"/>
        </w:rPr>
        <w:t>1</w:t>
      </w:r>
      <w:r>
        <w:rPr>
          <w:rFonts w:ascii="宋体" w:hAnsi="宋体" w:hint="eastAsia"/>
          <w:sz w:val="24"/>
          <w:szCs w:val="21"/>
        </w:rPr>
        <w:t>、“确定价”原则，即申购、赎回的价格为每份基金份额1.00元；</w:t>
      </w:r>
    </w:p>
    <w:p w14:paraId="3B7EFBC5" w14:textId="77777777" w:rsidR="00BF0C91" w:rsidRDefault="00D65346">
      <w:pPr>
        <w:spacing w:line="440" w:lineRule="exact"/>
        <w:ind w:firstLineChars="200" w:firstLine="480"/>
        <w:rPr>
          <w:rFonts w:ascii="宋体" w:hAnsi="宋体"/>
          <w:sz w:val="24"/>
          <w:szCs w:val="21"/>
        </w:rPr>
      </w:pPr>
      <w:r>
        <w:rPr>
          <w:rFonts w:ascii="宋体" w:hAnsi="宋体"/>
          <w:sz w:val="24"/>
          <w:szCs w:val="21"/>
        </w:rPr>
        <w:t>2</w:t>
      </w:r>
      <w:r>
        <w:rPr>
          <w:rFonts w:ascii="宋体" w:hAnsi="宋体" w:hint="eastAsia"/>
          <w:sz w:val="24"/>
          <w:szCs w:val="21"/>
        </w:rPr>
        <w:t>、“金额申购、份额赎回”原则，即申购以金额申请，赎回以份额申请；</w:t>
      </w:r>
    </w:p>
    <w:p w14:paraId="0B0DE4F2" w14:textId="25315816" w:rsidR="00BF0C91" w:rsidRDefault="00D65346">
      <w:pPr>
        <w:spacing w:line="440" w:lineRule="exact"/>
        <w:ind w:firstLineChars="200" w:firstLine="480"/>
        <w:rPr>
          <w:rFonts w:ascii="宋体" w:hAnsi="宋体"/>
          <w:sz w:val="24"/>
          <w:szCs w:val="21"/>
        </w:rPr>
      </w:pPr>
      <w:r>
        <w:rPr>
          <w:rFonts w:ascii="宋体" w:hAnsi="宋体"/>
          <w:sz w:val="24"/>
          <w:szCs w:val="21"/>
        </w:rPr>
        <w:t>3</w:t>
      </w:r>
      <w:r>
        <w:rPr>
          <w:rFonts w:ascii="宋体" w:hAnsi="宋体" w:hint="eastAsia"/>
          <w:sz w:val="24"/>
          <w:szCs w:val="21"/>
        </w:rPr>
        <w:t>、赎回遵循“先进先出”原则，即按照投资者申（认）购的先后次序进行顺序赎回；</w:t>
      </w:r>
    </w:p>
    <w:p w14:paraId="2F14D31C" w14:textId="710CFCDC" w:rsidR="00BF0C91" w:rsidRDefault="00D65346">
      <w:pPr>
        <w:spacing w:line="440" w:lineRule="exact"/>
        <w:ind w:firstLineChars="200" w:firstLine="480"/>
        <w:rPr>
          <w:rFonts w:ascii="宋体" w:hAnsi="宋体"/>
          <w:sz w:val="24"/>
          <w:szCs w:val="21"/>
        </w:rPr>
      </w:pPr>
      <w:r>
        <w:rPr>
          <w:rFonts w:ascii="宋体" w:hAnsi="宋体"/>
          <w:sz w:val="24"/>
          <w:szCs w:val="21"/>
        </w:rPr>
        <w:t>4</w:t>
      </w:r>
      <w:r>
        <w:rPr>
          <w:rFonts w:ascii="宋体" w:hAnsi="宋体" w:hint="eastAsia"/>
          <w:sz w:val="24"/>
          <w:szCs w:val="21"/>
        </w:rPr>
        <w:t>、当日的申购与赎回申请可以在基金管理人规定的时间以内撤销。</w:t>
      </w:r>
    </w:p>
    <w:p w14:paraId="4CF39FAE" w14:textId="77777777" w:rsidR="00BF0C91" w:rsidRDefault="00D65346">
      <w:pPr>
        <w:spacing w:line="440" w:lineRule="exact"/>
        <w:ind w:firstLineChars="200" w:firstLine="480"/>
        <w:rPr>
          <w:rFonts w:ascii="宋体" w:hAnsi="宋体"/>
          <w:sz w:val="24"/>
          <w:szCs w:val="21"/>
        </w:rPr>
      </w:pPr>
      <w:r>
        <w:rPr>
          <w:rFonts w:ascii="宋体" w:hAnsi="宋体" w:hint="eastAsia"/>
          <w:sz w:val="24"/>
          <w:szCs w:val="21"/>
        </w:rPr>
        <w:t>基金管理人可根据基金运作的实际情况并在不影响基金份额持有人实质利益的前提下调整上述原则。基金管理人必须在新规则开始实施前</w:t>
      </w:r>
      <w:r>
        <w:rPr>
          <w:rFonts w:ascii="宋体" w:hAnsi="宋体" w:hint="eastAsia"/>
          <w:color w:val="000000"/>
          <w:sz w:val="24"/>
          <w:szCs w:val="21"/>
        </w:rPr>
        <w:t>依照《信息披露办法》和《信息披露特别规定》的有关规定</w:t>
      </w:r>
      <w:r>
        <w:rPr>
          <w:rFonts w:ascii="宋体" w:hAnsi="宋体" w:hint="eastAsia"/>
          <w:sz w:val="24"/>
          <w:szCs w:val="21"/>
        </w:rPr>
        <w:t>在中国证监会指定媒介上公告。</w:t>
      </w:r>
    </w:p>
    <w:p w14:paraId="3941AD21" w14:textId="77777777" w:rsidR="00BF0C91" w:rsidRDefault="00D65346">
      <w:pPr>
        <w:spacing w:beforeLines="50" w:before="156" w:afterLines="50" w:after="156" w:line="440" w:lineRule="exact"/>
        <w:ind w:firstLineChars="200" w:firstLine="482"/>
        <w:outlineLvl w:val="1"/>
        <w:rPr>
          <w:rFonts w:ascii="宋体" w:hAnsi="宋体"/>
          <w:b/>
          <w:color w:val="000000"/>
          <w:sz w:val="24"/>
          <w:szCs w:val="32"/>
        </w:rPr>
      </w:pPr>
      <w:bookmarkStart w:id="69" w:name="_Toc79392610"/>
      <w:r>
        <w:rPr>
          <w:rFonts w:ascii="宋体" w:hAnsi="宋体" w:hint="eastAsia"/>
          <w:b/>
          <w:color w:val="000000"/>
          <w:sz w:val="24"/>
          <w:szCs w:val="32"/>
        </w:rPr>
        <w:lastRenderedPageBreak/>
        <w:t>四、</w:t>
      </w:r>
      <w:r>
        <w:rPr>
          <w:rFonts w:ascii="宋体" w:hAnsi="宋体" w:hint="eastAsia"/>
          <w:b/>
          <w:color w:val="000000"/>
          <w:sz w:val="24"/>
          <w:szCs w:val="32"/>
        </w:rPr>
        <w:tab/>
        <w:t>申购与赎回的程序</w:t>
      </w:r>
      <w:bookmarkStart w:id="70" w:name="_Hlt80978711"/>
      <w:bookmarkEnd w:id="69"/>
      <w:bookmarkEnd w:id="70"/>
    </w:p>
    <w:p w14:paraId="279B9971"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1、申购和赎回的申请方式</w:t>
      </w:r>
    </w:p>
    <w:p w14:paraId="175A3E59"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投资者必须根据基金销售机构规定的程序，在开放日的业务办理时间向基金销售机构提出申购或赎回的申请。</w:t>
      </w:r>
    </w:p>
    <w:p w14:paraId="7C169BF1"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投资者在申购本基金时须按销售机构规定的方式备足申购资金，否则所提交的申购申请无效而不予成交。</w:t>
      </w:r>
    </w:p>
    <w:p w14:paraId="0A6974ED"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投资者在提交赎回申请时，必须有足够的基金份额余额，否则所提交的赎回申请无效而不予成交。</w:t>
      </w:r>
    </w:p>
    <w:p w14:paraId="0AB74BB1"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2、申购和赎回申请的确认</w:t>
      </w:r>
    </w:p>
    <w:p w14:paraId="34DF837E" w14:textId="77777777" w:rsidR="00BF0C91" w:rsidRDefault="00D65346">
      <w:pPr>
        <w:spacing w:line="440" w:lineRule="exact"/>
        <w:ind w:firstLineChars="200" w:firstLine="480"/>
        <w:rPr>
          <w:rFonts w:ascii="宋体" w:hAnsi="宋体"/>
          <w:color w:val="000000"/>
          <w:sz w:val="24"/>
          <w:szCs w:val="21"/>
        </w:rPr>
      </w:pPr>
      <w:r>
        <w:rPr>
          <w:rFonts w:ascii="宋体" w:hAnsi="宋体"/>
          <w:color w:val="000000"/>
          <w:sz w:val="24"/>
          <w:szCs w:val="21"/>
        </w:rPr>
        <w:t>T</w:t>
      </w:r>
      <w:r>
        <w:rPr>
          <w:rFonts w:ascii="宋体" w:hAnsi="宋体" w:hint="eastAsia"/>
          <w:color w:val="000000"/>
          <w:sz w:val="24"/>
          <w:szCs w:val="21"/>
        </w:rPr>
        <w:t>日规定时间受理的申购或赎回申请，正常情况下</w:t>
      </w:r>
      <w:r>
        <w:rPr>
          <w:rFonts w:ascii="宋体" w:hAnsi="宋体" w:hint="eastAsia"/>
          <w:sz w:val="24"/>
          <w:szCs w:val="21"/>
        </w:rPr>
        <w:t>，本基金注册登记机构在</w:t>
      </w:r>
      <w:r>
        <w:rPr>
          <w:rFonts w:ascii="宋体" w:hAnsi="宋体"/>
          <w:sz w:val="24"/>
          <w:szCs w:val="21"/>
        </w:rPr>
        <w:t>T+1</w:t>
      </w:r>
      <w:r>
        <w:rPr>
          <w:rFonts w:ascii="宋体" w:hAnsi="宋体" w:hint="eastAsia"/>
          <w:sz w:val="24"/>
          <w:szCs w:val="21"/>
        </w:rPr>
        <w:t>日内为投资者对该交易的有效性进行确认，在</w:t>
      </w:r>
      <w:r>
        <w:rPr>
          <w:rFonts w:ascii="宋体" w:hAnsi="宋体"/>
          <w:sz w:val="24"/>
          <w:szCs w:val="21"/>
        </w:rPr>
        <w:t>T</w:t>
      </w:r>
      <w:r>
        <w:rPr>
          <w:rFonts w:ascii="宋体" w:hAnsi="宋体" w:hint="eastAsia"/>
          <w:sz w:val="24"/>
          <w:szCs w:val="21"/>
        </w:rPr>
        <w:t>＋</w:t>
      </w:r>
      <w:r>
        <w:rPr>
          <w:rFonts w:ascii="宋体" w:hAnsi="宋体"/>
          <w:sz w:val="24"/>
          <w:szCs w:val="21"/>
        </w:rPr>
        <w:t>2</w:t>
      </w:r>
      <w:r>
        <w:rPr>
          <w:rFonts w:ascii="宋体" w:hAnsi="宋体" w:hint="eastAsia"/>
          <w:sz w:val="24"/>
          <w:szCs w:val="21"/>
        </w:rPr>
        <w:t>日后（包括该日）投</w:t>
      </w:r>
      <w:r>
        <w:rPr>
          <w:rFonts w:ascii="宋体" w:hAnsi="宋体" w:hint="eastAsia"/>
          <w:color w:val="000000"/>
          <w:sz w:val="24"/>
          <w:szCs w:val="21"/>
        </w:rPr>
        <w:t>资者可向销售机构或以销售机构规定的其他方式查询申购与赎回申请的确认情况。</w:t>
      </w:r>
    </w:p>
    <w:p w14:paraId="7DC44978"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3、申购和赎回的款项支付</w:t>
      </w:r>
    </w:p>
    <w:p w14:paraId="6E43727B"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申购采用全额缴款方式，若申购资金在规定时间内未全额到账，则申购不成功，若申购不成功或无效，申购款项将退回投资者账户。</w:t>
      </w:r>
    </w:p>
    <w:p w14:paraId="2C8BDC7C"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投资者赎回申请成功后，基金管理人将指示基金托管人在</w:t>
      </w:r>
      <w:r>
        <w:rPr>
          <w:rFonts w:ascii="宋体" w:hAnsi="宋体"/>
          <w:sz w:val="24"/>
          <w:szCs w:val="21"/>
        </w:rPr>
        <w:t>T</w:t>
      </w:r>
      <w:r>
        <w:rPr>
          <w:rFonts w:ascii="宋体" w:hAnsi="宋体" w:hint="eastAsia"/>
          <w:sz w:val="24"/>
          <w:szCs w:val="21"/>
        </w:rPr>
        <w:t>＋2日（包括该日）内从托管帐户将赎回款项划出，经销售机构划往基金份额持有人银行账户。在发生巨额赎回的情形时，款项的支付</w:t>
      </w:r>
      <w:r>
        <w:rPr>
          <w:rFonts w:ascii="宋体" w:hAnsi="宋体" w:hint="eastAsia"/>
          <w:color w:val="000000"/>
          <w:sz w:val="24"/>
          <w:szCs w:val="21"/>
        </w:rPr>
        <w:t>办法参照本基金合同的有关条款处理。</w:t>
      </w:r>
    </w:p>
    <w:p w14:paraId="0C964802" w14:textId="77777777" w:rsidR="00BF0C91" w:rsidRDefault="00D65346">
      <w:pPr>
        <w:spacing w:beforeLines="50" w:before="156" w:afterLines="50" w:after="156" w:line="440" w:lineRule="exact"/>
        <w:ind w:firstLineChars="200" w:firstLine="482"/>
        <w:outlineLvl w:val="1"/>
        <w:rPr>
          <w:rFonts w:ascii="宋体" w:hAnsi="宋体"/>
          <w:b/>
          <w:color w:val="000000"/>
          <w:sz w:val="24"/>
          <w:szCs w:val="32"/>
        </w:rPr>
      </w:pPr>
      <w:bookmarkStart w:id="71" w:name="_Toc79392611"/>
      <w:r>
        <w:rPr>
          <w:rFonts w:ascii="宋体" w:hAnsi="宋体" w:hint="eastAsia"/>
          <w:b/>
          <w:color w:val="000000"/>
          <w:sz w:val="24"/>
          <w:szCs w:val="32"/>
        </w:rPr>
        <w:t>五、</w:t>
      </w:r>
      <w:r>
        <w:rPr>
          <w:rFonts w:ascii="宋体" w:hAnsi="宋体" w:hint="eastAsia"/>
          <w:b/>
          <w:color w:val="000000"/>
          <w:sz w:val="24"/>
          <w:szCs w:val="32"/>
        </w:rPr>
        <w:tab/>
        <w:t>申购与赎回的数额限制</w:t>
      </w:r>
      <w:bookmarkEnd w:id="71"/>
    </w:p>
    <w:p w14:paraId="7C5528B9"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1、基金管理人可以规定投资者首次申购和每次申购的最低金额以及每次赎回的最低份额。具体规定请参见招募说明书。</w:t>
      </w:r>
    </w:p>
    <w:p w14:paraId="6A0843A8"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2、基金管理人可以规定投资者每个交易账户的最低基金份额余额。具体规定请参见招募说明书。</w:t>
      </w:r>
    </w:p>
    <w:p w14:paraId="5A186703"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3、基金管理人可以规定单个投资者累计持有的基金份额上限。具体规定请参见招募说明书。</w:t>
      </w:r>
    </w:p>
    <w:p w14:paraId="7534B5E7"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p w14:paraId="02335AA1" w14:textId="77777777" w:rsidR="00BF0C91" w:rsidRDefault="00D65346">
      <w:pPr>
        <w:spacing w:line="440" w:lineRule="exact"/>
        <w:ind w:firstLineChars="200" w:firstLine="480"/>
        <w:rPr>
          <w:rFonts w:ascii="宋体" w:hAnsi="宋体"/>
          <w:color w:val="000000"/>
          <w:sz w:val="24"/>
          <w:szCs w:val="21"/>
        </w:rPr>
      </w:pPr>
      <w:r>
        <w:rPr>
          <w:rFonts w:ascii="宋体" w:hAnsi="宋体"/>
          <w:color w:val="000000"/>
          <w:sz w:val="24"/>
          <w:szCs w:val="21"/>
        </w:rPr>
        <w:t>5</w:t>
      </w:r>
      <w:r>
        <w:rPr>
          <w:rFonts w:ascii="宋体" w:hAnsi="宋体" w:hint="eastAsia"/>
          <w:color w:val="000000"/>
          <w:sz w:val="24"/>
          <w:szCs w:val="21"/>
        </w:rPr>
        <w:t>、基金管理人可根据市场情况，在法律法规允许的情况下，调整上述数额</w:t>
      </w:r>
      <w:r>
        <w:rPr>
          <w:rFonts w:ascii="宋体" w:hAnsi="宋体" w:hint="eastAsia"/>
          <w:color w:val="000000"/>
          <w:sz w:val="24"/>
          <w:szCs w:val="21"/>
        </w:rPr>
        <w:lastRenderedPageBreak/>
        <w:t>限制，基金管理人应在变更前依照《信息披露办法》和《信息披露特别规定》的有关规定在中国证监会指定媒介上公告并报中国证监会备案。</w:t>
      </w:r>
    </w:p>
    <w:p w14:paraId="072881C6" w14:textId="77777777" w:rsidR="00BF0C91" w:rsidRDefault="00D65346">
      <w:pPr>
        <w:spacing w:beforeLines="40" w:before="124" w:afterLines="40" w:after="124" w:line="440" w:lineRule="exact"/>
        <w:ind w:firstLineChars="200" w:firstLine="482"/>
        <w:outlineLvl w:val="1"/>
        <w:rPr>
          <w:rFonts w:ascii="宋体" w:hAnsi="宋体"/>
          <w:b/>
          <w:color w:val="000000"/>
          <w:sz w:val="24"/>
          <w:szCs w:val="32"/>
        </w:rPr>
      </w:pPr>
      <w:bookmarkStart w:id="72" w:name="_Toc79392612"/>
      <w:r>
        <w:rPr>
          <w:rFonts w:ascii="宋体" w:hAnsi="宋体" w:hint="eastAsia"/>
          <w:b/>
          <w:color w:val="000000"/>
          <w:sz w:val="24"/>
          <w:szCs w:val="32"/>
        </w:rPr>
        <w:t>六、</w:t>
      </w:r>
      <w:r>
        <w:rPr>
          <w:rFonts w:ascii="宋体" w:hAnsi="宋体" w:hint="eastAsia"/>
          <w:b/>
          <w:color w:val="000000"/>
          <w:sz w:val="24"/>
          <w:szCs w:val="32"/>
        </w:rPr>
        <w:tab/>
        <w:t>申购费用和赎回费用</w:t>
      </w:r>
      <w:bookmarkEnd w:id="72"/>
    </w:p>
    <w:p w14:paraId="38072DA6"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除法律法规另有规定或基金合同另有约定外，本基金的申购和赎回费率为零。当</w:t>
      </w:r>
      <w:r>
        <w:rPr>
          <w:rFonts w:ascii="宋体" w:hAnsi="宋体"/>
          <w:color w:val="000000"/>
          <w:sz w:val="24"/>
          <w:szCs w:val="21"/>
        </w:rPr>
        <w:t>本</w:t>
      </w:r>
      <w:r>
        <w:rPr>
          <w:rFonts w:ascii="宋体" w:hAnsi="宋体" w:hint="eastAsia"/>
          <w:bCs/>
          <w:color w:val="000000"/>
          <w:sz w:val="24"/>
          <w:szCs w:val="21"/>
        </w:rPr>
        <w:t>基金前10名基金份额持有人的持有份额合计超过基金总份额50%，且本基金投资组合中现金、国债、中央银行票据、政策性金融债券以及5个交易日内到期的其他金融工具占基金资产净值的比例合计低于10%且偏离度为负时，基金管理人应当对当日单个基金份额持有人超过基金总份额1%以上的赎回申请征收1%的强制赎回费用，并将上述赎回费用全额计入基金财产。</w:t>
      </w:r>
    </w:p>
    <w:p w14:paraId="066F03EE" w14:textId="77777777" w:rsidR="00BF0C91" w:rsidRDefault="00BF0C91">
      <w:pPr>
        <w:spacing w:line="440" w:lineRule="exact"/>
        <w:ind w:firstLine="360"/>
        <w:rPr>
          <w:rFonts w:ascii="宋体" w:hAnsi="宋体"/>
          <w:color w:val="000000"/>
          <w:sz w:val="24"/>
          <w:szCs w:val="21"/>
        </w:rPr>
      </w:pPr>
    </w:p>
    <w:p w14:paraId="6BF6625A" w14:textId="77777777" w:rsidR="00BF0C91" w:rsidRDefault="00D65346">
      <w:pPr>
        <w:spacing w:beforeLines="40" w:before="124" w:afterLines="40" w:after="124" w:line="440" w:lineRule="exact"/>
        <w:ind w:firstLineChars="200" w:firstLine="482"/>
        <w:outlineLvl w:val="1"/>
        <w:rPr>
          <w:rFonts w:ascii="宋体" w:hAnsi="宋体"/>
          <w:b/>
          <w:color w:val="000000"/>
          <w:sz w:val="24"/>
          <w:szCs w:val="32"/>
        </w:rPr>
      </w:pPr>
      <w:bookmarkStart w:id="73" w:name="_Toc79392613"/>
      <w:r>
        <w:rPr>
          <w:rFonts w:ascii="宋体" w:hAnsi="宋体" w:hint="eastAsia"/>
          <w:b/>
          <w:color w:val="000000"/>
          <w:sz w:val="24"/>
          <w:szCs w:val="32"/>
        </w:rPr>
        <w:t>七、</w:t>
      </w:r>
      <w:r>
        <w:rPr>
          <w:rFonts w:ascii="宋体" w:hAnsi="宋体" w:hint="eastAsia"/>
          <w:b/>
          <w:color w:val="000000"/>
          <w:sz w:val="24"/>
          <w:szCs w:val="32"/>
        </w:rPr>
        <w:tab/>
        <w:t>申购份额与赎回金额的计算</w:t>
      </w:r>
      <w:bookmarkEnd w:id="73"/>
    </w:p>
    <w:p w14:paraId="66280CEE" w14:textId="77777777" w:rsidR="00BF0C91" w:rsidRDefault="00D65346">
      <w:pPr>
        <w:spacing w:line="440" w:lineRule="exact"/>
        <w:ind w:firstLineChars="200" w:firstLine="480"/>
        <w:rPr>
          <w:rFonts w:ascii="宋体" w:hAnsi="宋体"/>
          <w:sz w:val="24"/>
          <w:szCs w:val="21"/>
        </w:rPr>
      </w:pPr>
      <w:r>
        <w:rPr>
          <w:rFonts w:ascii="宋体" w:hAnsi="宋体" w:hint="eastAsia"/>
          <w:sz w:val="24"/>
          <w:szCs w:val="21"/>
        </w:rPr>
        <w:t>本基金的基金份额净值保持为每份基金份额1.00元；</w:t>
      </w:r>
    </w:p>
    <w:p w14:paraId="2984F894" w14:textId="77777777" w:rsidR="00BF0C91" w:rsidRDefault="00D65346">
      <w:pPr>
        <w:spacing w:line="440" w:lineRule="exact"/>
        <w:ind w:firstLineChars="200" w:firstLine="480"/>
        <w:rPr>
          <w:rFonts w:ascii="宋体" w:hAnsi="宋体"/>
          <w:sz w:val="24"/>
          <w:szCs w:val="21"/>
        </w:rPr>
      </w:pPr>
      <w:r>
        <w:rPr>
          <w:rFonts w:ascii="宋体" w:hAnsi="宋体" w:hint="eastAsia"/>
          <w:sz w:val="24"/>
          <w:szCs w:val="21"/>
        </w:rPr>
        <w:t>1、本基金申购份额的计算：</w:t>
      </w:r>
      <w:bookmarkStart w:id="74" w:name="_Hlt80960948"/>
      <w:bookmarkEnd w:id="74"/>
    </w:p>
    <w:p w14:paraId="6D4111BE" w14:textId="77777777" w:rsidR="00BF0C91" w:rsidRDefault="00D65346">
      <w:pPr>
        <w:spacing w:line="440" w:lineRule="exact"/>
        <w:ind w:firstLineChars="200" w:firstLine="480"/>
        <w:rPr>
          <w:rFonts w:ascii="宋体" w:hAnsi="宋体"/>
          <w:sz w:val="24"/>
          <w:szCs w:val="21"/>
        </w:rPr>
      </w:pPr>
      <w:r>
        <w:rPr>
          <w:rFonts w:ascii="宋体" w:hAnsi="宋体" w:hint="eastAsia"/>
          <w:sz w:val="24"/>
          <w:szCs w:val="21"/>
        </w:rPr>
        <w:t>申购份额=申购金额/基金份额净值</w:t>
      </w:r>
    </w:p>
    <w:p w14:paraId="745286E7" w14:textId="77777777" w:rsidR="00BF0C91" w:rsidRDefault="00D65346">
      <w:pPr>
        <w:spacing w:line="440" w:lineRule="exact"/>
        <w:ind w:firstLineChars="200" w:firstLine="480"/>
        <w:rPr>
          <w:rFonts w:ascii="宋体" w:hAnsi="宋体"/>
          <w:sz w:val="24"/>
        </w:rPr>
      </w:pPr>
      <w:r>
        <w:rPr>
          <w:rFonts w:ascii="宋体" w:hAnsi="宋体" w:hint="eastAsia"/>
          <w:sz w:val="24"/>
        </w:rPr>
        <w:t>申购份额以四舍五入的方法计算保留到小数点后2位，</w:t>
      </w:r>
      <w:r>
        <w:rPr>
          <w:rFonts w:ascii="宋体" w:hAnsi="宋体"/>
          <w:sz w:val="24"/>
        </w:rPr>
        <w:t>四舍五入部分所代表的资产归基金所有。</w:t>
      </w:r>
    </w:p>
    <w:p w14:paraId="1D0E46E1" w14:textId="77777777" w:rsidR="00BF0C91" w:rsidRDefault="00D65346">
      <w:pPr>
        <w:spacing w:line="440" w:lineRule="exact"/>
        <w:ind w:firstLineChars="200" w:firstLine="480"/>
        <w:rPr>
          <w:rFonts w:ascii="宋体" w:hAnsi="宋体"/>
          <w:sz w:val="24"/>
          <w:szCs w:val="21"/>
        </w:rPr>
      </w:pPr>
      <w:r>
        <w:rPr>
          <w:rFonts w:ascii="宋体" w:hAnsi="宋体" w:hint="eastAsia"/>
          <w:sz w:val="24"/>
          <w:szCs w:val="21"/>
        </w:rPr>
        <w:t>2、本基金赎回支付金额的计算（不包含特殊情况）：</w:t>
      </w:r>
    </w:p>
    <w:p w14:paraId="47C1DC10" w14:textId="77777777" w:rsidR="00BF0C91" w:rsidRDefault="00D65346">
      <w:pPr>
        <w:spacing w:line="440" w:lineRule="exact"/>
        <w:ind w:firstLineChars="200" w:firstLine="480"/>
        <w:rPr>
          <w:rFonts w:ascii="宋体" w:hAnsi="宋体"/>
          <w:sz w:val="24"/>
        </w:rPr>
      </w:pPr>
      <w:r>
        <w:rPr>
          <w:rFonts w:ascii="宋体" w:hAnsi="宋体" w:hint="eastAsia"/>
          <w:sz w:val="24"/>
          <w:szCs w:val="21"/>
        </w:rPr>
        <w:t>赎回金额=赎回份额</w:t>
      </w:r>
      <w:r>
        <w:rPr>
          <w:rFonts w:ascii="Trebuchet MS" w:hAnsi="Trebuchet MS"/>
        </w:rPr>
        <w:t>X</w:t>
      </w:r>
      <w:r>
        <w:rPr>
          <w:rFonts w:ascii="宋体" w:hAnsi="宋体" w:hint="eastAsia"/>
          <w:sz w:val="24"/>
        </w:rPr>
        <w:t>基金份额净值+赎回份额对应的未付收益</w:t>
      </w:r>
    </w:p>
    <w:p w14:paraId="1A3E9D7F" w14:textId="77777777" w:rsidR="00BF0C91" w:rsidRDefault="00D65346">
      <w:pPr>
        <w:spacing w:line="440" w:lineRule="exact"/>
        <w:ind w:firstLineChars="200" w:firstLine="480"/>
        <w:rPr>
          <w:rFonts w:ascii="宋体" w:hAnsi="宋体"/>
          <w:sz w:val="24"/>
          <w:szCs w:val="21"/>
        </w:rPr>
      </w:pPr>
      <w:r>
        <w:rPr>
          <w:rFonts w:ascii="宋体" w:hAnsi="宋体" w:hint="eastAsia"/>
          <w:sz w:val="24"/>
        </w:rPr>
        <w:t>赎回金额以人民币元为单位，保留至小数点后2位，</w:t>
      </w:r>
      <w:r>
        <w:rPr>
          <w:rStyle w:val="big1"/>
          <w:rFonts w:hint="eastAsia"/>
          <w:sz w:val="24"/>
        </w:rPr>
        <w:t>小数点</w:t>
      </w:r>
      <w:r>
        <w:rPr>
          <w:rStyle w:val="big1"/>
          <w:rFonts w:hint="eastAsia"/>
          <w:sz w:val="24"/>
        </w:rPr>
        <w:t>2</w:t>
      </w:r>
      <w:r>
        <w:rPr>
          <w:rFonts w:ascii="宋体" w:hAnsi="宋体" w:hint="eastAsia"/>
          <w:sz w:val="24"/>
          <w:szCs w:val="21"/>
        </w:rPr>
        <w:t>位以后</w:t>
      </w:r>
      <w:r>
        <w:rPr>
          <w:rStyle w:val="big1"/>
          <w:rFonts w:hint="eastAsia"/>
          <w:sz w:val="24"/>
        </w:rPr>
        <w:t>的部分</w:t>
      </w:r>
      <w:r>
        <w:rPr>
          <w:rFonts w:ascii="宋体" w:hAnsi="宋体" w:hint="eastAsia"/>
          <w:sz w:val="24"/>
          <w:szCs w:val="21"/>
        </w:rPr>
        <w:t>四舍五入，</w:t>
      </w:r>
      <w:r>
        <w:rPr>
          <w:rFonts w:ascii="宋体" w:hAnsi="宋体"/>
          <w:sz w:val="24"/>
        </w:rPr>
        <w:t>四舍五入部分所代表的资产归基金所有</w:t>
      </w:r>
      <w:r>
        <w:rPr>
          <w:rFonts w:ascii="宋体" w:hAnsi="宋体"/>
          <w:sz w:val="24"/>
          <w:szCs w:val="21"/>
        </w:rPr>
        <w:t>。</w:t>
      </w:r>
    </w:p>
    <w:p w14:paraId="6F2CC941" w14:textId="26B4B9CB" w:rsidR="00BF0C91" w:rsidRDefault="00D65346">
      <w:pPr>
        <w:spacing w:line="440" w:lineRule="exact"/>
        <w:ind w:firstLineChars="200" w:firstLine="480"/>
        <w:rPr>
          <w:rFonts w:ascii="宋体" w:hAnsi="宋体"/>
          <w:sz w:val="24"/>
          <w:szCs w:val="21"/>
        </w:rPr>
      </w:pPr>
      <w:r>
        <w:rPr>
          <w:rFonts w:ascii="宋体" w:hAnsi="宋体" w:hint="eastAsia"/>
          <w:sz w:val="24"/>
          <w:szCs w:val="21"/>
        </w:rPr>
        <w:t>3、本基金每个工作日公告前一工作日</w:t>
      </w:r>
      <w:r w:rsidR="00E50DE9">
        <w:rPr>
          <w:rFonts w:ascii="宋体" w:hAnsi="宋体" w:hint="eastAsia"/>
          <w:sz w:val="24"/>
        </w:rPr>
        <w:t>各类</w:t>
      </w:r>
      <w:r>
        <w:rPr>
          <w:rFonts w:ascii="宋体" w:hAnsi="宋体"/>
          <w:sz w:val="24"/>
        </w:rPr>
        <w:t>基金份额</w:t>
      </w:r>
      <w:r>
        <w:rPr>
          <w:rFonts w:ascii="宋体" w:hAnsi="宋体" w:hint="eastAsia"/>
          <w:color w:val="000000"/>
          <w:sz w:val="24"/>
          <w:szCs w:val="21"/>
        </w:rPr>
        <w:t>的</w:t>
      </w:r>
      <w:r>
        <w:rPr>
          <w:rFonts w:ascii="宋体" w:hAnsi="宋体" w:cs="宋体" w:hint="eastAsia"/>
          <w:sz w:val="24"/>
          <w:szCs w:val="21"/>
        </w:rPr>
        <w:t>每万份基金已实现收益</w:t>
      </w:r>
      <w:r>
        <w:rPr>
          <w:rFonts w:ascii="宋体" w:hAnsi="宋体" w:hint="eastAsia"/>
          <w:sz w:val="24"/>
          <w:szCs w:val="21"/>
        </w:rPr>
        <w:t>和基金七日年化收益率。遇特殊情况，经中国证监会同意，可以适当延迟计算或公告。</w:t>
      </w:r>
    </w:p>
    <w:p w14:paraId="2431C4B1" w14:textId="77777777" w:rsidR="00BF0C91" w:rsidRDefault="00D65346">
      <w:pPr>
        <w:spacing w:beforeLines="40" w:before="124" w:afterLines="40" w:after="124" w:line="440" w:lineRule="exact"/>
        <w:ind w:firstLineChars="200" w:firstLine="482"/>
        <w:outlineLvl w:val="1"/>
        <w:rPr>
          <w:rFonts w:ascii="宋体" w:hAnsi="宋体"/>
          <w:b/>
          <w:color w:val="000000"/>
          <w:sz w:val="24"/>
          <w:szCs w:val="32"/>
        </w:rPr>
      </w:pPr>
      <w:bookmarkStart w:id="75" w:name="_Toc79392614"/>
      <w:r>
        <w:rPr>
          <w:rFonts w:ascii="宋体" w:hAnsi="宋体" w:hint="eastAsia"/>
          <w:b/>
          <w:color w:val="000000"/>
          <w:sz w:val="24"/>
          <w:szCs w:val="32"/>
        </w:rPr>
        <w:t>八、</w:t>
      </w:r>
      <w:r>
        <w:rPr>
          <w:rFonts w:ascii="宋体" w:hAnsi="宋体" w:hint="eastAsia"/>
          <w:b/>
          <w:color w:val="000000"/>
          <w:sz w:val="24"/>
          <w:szCs w:val="32"/>
        </w:rPr>
        <w:tab/>
        <w:t>申购和赎回的注册登记</w:t>
      </w:r>
      <w:bookmarkEnd w:id="75"/>
    </w:p>
    <w:p w14:paraId="24537A5E" w14:textId="77777777" w:rsidR="00BF0C91" w:rsidRDefault="00D65346">
      <w:pPr>
        <w:spacing w:line="440" w:lineRule="exact"/>
        <w:ind w:firstLineChars="200" w:firstLine="480"/>
        <w:rPr>
          <w:rFonts w:ascii="宋体" w:hAnsi="宋体"/>
          <w:sz w:val="24"/>
          <w:szCs w:val="21"/>
        </w:rPr>
      </w:pPr>
      <w:r>
        <w:rPr>
          <w:rFonts w:ascii="宋体" w:hAnsi="宋体" w:hint="eastAsia"/>
          <w:sz w:val="24"/>
          <w:szCs w:val="21"/>
        </w:rPr>
        <w:t>投资者申购基金成功后，注册登记机构在</w:t>
      </w:r>
      <w:r>
        <w:rPr>
          <w:rFonts w:ascii="宋体" w:hAnsi="宋体"/>
          <w:sz w:val="24"/>
          <w:szCs w:val="21"/>
        </w:rPr>
        <w:t>T+1</w:t>
      </w:r>
      <w:r>
        <w:rPr>
          <w:rFonts w:ascii="宋体" w:hAnsi="宋体" w:hint="eastAsia"/>
          <w:sz w:val="24"/>
          <w:szCs w:val="21"/>
        </w:rPr>
        <w:t>日为投资者登记权益并办理注册登记手续，投资者自</w:t>
      </w:r>
      <w:r>
        <w:rPr>
          <w:rFonts w:ascii="宋体" w:hAnsi="宋体"/>
          <w:sz w:val="24"/>
          <w:szCs w:val="21"/>
        </w:rPr>
        <w:t>T+2</w:t>
      </w:r>
      <w:r>
        <w:rPr>
          <w:rFonts w:ascii="宋体" w:hAnsi="宋体" w:hint="eastAsia"/>
          <w:sz w:val="24"/>
          <w:szCs w:val="21"/>
        </w:rPr>
        <w:t>日（含该日）后有权赎回该部分基金份额。</w:t>
      </w:r>
    </w:p>
    <w:p w14:paraId="318A273D" w14:textId="77777777" w:rsidR="00BF0C91" w:rsidRDefault="00D65346">
      <w:pPr>
        <w:spacing w:line="440" w:lineRule="exact"/>
        <w:ind w:firstLineChars="200" w:firstLine="480"/>
        <w:rPr>
          <w:rFonts w:ascii="宋体" w:hAnsi="宋体"/>
          <w:sz w:val="24"/>
          <w:szCs w:val="21"/>
        </w:rPr>
      </w:pPr>
      <w:r>
        <w:rPr>
          <w:rFonts w:ascii="宋体" w:hAnsi="宋体" w:hint="eastAsia"/>
          <w:sz w:val="24"/>
          <w:szCs w:val="21"/>
        </w:rPr>
        <w:t>投资者赎回基金成功后，注册登记机构在</w:t>
      </w:r>
      <w:r>
        <w:rPr>
          <w:rFonts w:ascii="宋体" w:hAnsi="宋体"/>
          <w:sz w:val="24"/>
          <w:szCs w:val="21"/>
        </w:rPr>
        <w:t>T+1</w:t>
      </w:r>
      <w:r>
        <w:rPr>
          <w:rFonts w:ascii="宋体" w:hAnsi="宋体" w:hint="eastAsia"/>
          <w:sz w:val="24"/>
          <w:szCs w:val="21"/>
        </w:rPr>
        <w:t>日为投资者办理扣除权益的注册登记手续。</w:t>
      </w:r>
    </w:p>
    <w:p w14:paraId="1C1026C1" w14:textId="77777777" w:rsidR="00BF0C91" w:rsidRDefault="00D65346">
      <w:pPr>
        <w:spacing w:line="440" w:lineRule="exact"/>
        <w:ind w:firstLineChars="200" w:firstLine="480"/>
        <w:rPr>
          <w:rFonts w:ascii="宋体" w:hAnsi="宋体"/>
          <w:sz w:val="24"/>
          <w:szCs w:val="21"/>
        </w:rPr>
      </w:pPr>
      <w:r>
        <w:rPr>
          <w:rFonts w:ascii="宋体" w:hAnsi="宋体" w:hint="eastAsia"/>
          <w:sz w:val="24"/>
          <w:szCs w:val="21"/>
        </w:rPr>
        <w:t>基金管理人可以在法律法规允许的范围内，对上述注册登记办理时间进行调</w:t>
      </w:r>
      <w:r>
        <w:rPr>
          <w:rFonts w:ascii="宋体" w:hAnsi="宋体" w:hint="eastAsia"/>
          <w:sz w:val="24"/>
          <w:szCs w:val="21"/>
        </w:rPr>
        <w:lastRenderedPageBreak/>
        <w:t>整，但不得实质影响投资者的合法权益，并</w:t>
      </w:r>
      <w:r>
        <w:rPr>
          <w:rFonts w:ascii="宋体" w:hAnsi="宋体" w:cs="宋体" w:hint="eastAsia"/>
          <w:sz w:val="24"/>
        </w:rPr>
        <w:t>依照《信息披露办法》和《信息披露特别规定》</w:t>
      </w:r>
      <w:r>
        <w:rPr>
          <w:rFonts w:ascii="宋体" w:hAnsi="宋体" w:hint="eastAsia"/>
          <w:sz w:val="24"/>
        </w:rPr>
        <w:t>的有关规定</w:t>
      </w:r>
      <w:r>
        <w:rPr>
          <w:rFonts w:ascii="宋体" w:hAnsi="宋体" w:hint="eastAsia"/>
          <w:sz w:val="24"/>
          <w:szCs w:val="21"/>
        </w:rPr>
        <w:t>于开始实施前在中国证监会指定媒介上公告。</w:t>
      </w:r>
    </w:p>
    <w:p w14:paraId="32AB7A8E" w14:textId="77777777" w:rsidR="00BF0C91" w:rsidRDefault="00D65346">
      <w:pPr>
        <w:spacing w:beforeLines="40" w:before="124" w:afterLines="40" w:after="124" w:line="440" w:lineRule="exact"/>
        <w:ind w:firstLineChars="200" w:firstLine="482"/>
        <w:outlineLvl w:val="1"/>
        <w:rPr>
          <w:rFonts w:ascii="宋体" w:hAnsi="宋体"/>
          <w:b/>
          <w:color w:val="000000"/>
          <w:sz w:val="24"/>
          <w:szCs w:val="32"/>
        </w:rPr>
      </w:pPr>
      <w:bookmarkStart w:id="76" w:name="_Toc79392615"/>
      <w:r>
        <w:rPr>
          <w:rFonts w:ascii="宋体" w:hAnsi="宋体" w:hint="eastAsia"/>
          <w:b/>
          <w:color w:val="000000"/>
          <w:sz w:val="24"/>
          <w:szCs w:val="32"/>
        </w:rPr>
        <w:t>九、</w:t>
      </w:r>
      <w:r>
        <w:rPr>
          <w:rFonts w:ascii="宋体" w:hAnsi="宋体" w:hint="eastAsia"/>
          <w:b/>
          <w:color w:val="000000"/>
          <w:sz w:val="24"/>
          <w:szCs w:val="32"/>
        </w:rPr>
        <w:tab/>
        <w:t>暂停申购的情形及处理方式</w:t>
      </w:r>
      <w:bookmarkEnd w:id="76"/>
    </w:p>
    <w:p w14:paraId="77895527" w14:textId="77777777" w:rsidR="00BF0C91" w:rsidRDefault="00D65346">
      <w:pPr>
        <w:spacing w:line="440" w:lineRule="exact"/>
        <w:ind w:firstLineChars="200" w:firstLine="480"/>
        <w:rPr>
          <w:rFonts w:ascii="宋体" w:hAnsi="宋体"/>
          <w:color w:val="000000"/>
          <w:sz w:val="24"/>
          <w:szCs w:val="21"/>
        </w:rPr>
      </w:pPr>
      <w:r>
        <w:rPr>
          <w:rFonts w:ascii="宋体" w:hAnsi="宋体" w:cs="宋体"/>
          <w:color w:val="000000"/>
          <w:kern w:val="0"/>
          <w:sz w:val="24"/>
        </w:rPr>
        <w:t>发生下列情况时，基金管理人可暂停接受基金投资者的申购申请</w:t>
      </w:r>
      <w:r>
        <w:rPr>
          <w:rFonts w:ascii="宋体" w:hAnsi="宋体" w:cs="宋体" w:hint="eastAsia"/>
          <w:color w:val="000000"/>
          <w:kern w:val="0"/>
          <w:sz w:val="24"/>
        </w:rPr>
        <w:t>：</w:t>
      </w:r>
    </w:p>
    <w:p w14:paraId="6A94A284"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（1）不可抗力的原因导致基金无法正常运作；</w:t>
      </w:r>
    </w:p>
    <w:p w14:paraId="632B8AC7"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（2）证券交易场所在交易时间非正常停市，导致基金管理人无法计算当日的基金资产净值；</w:t>
      </w:r>
    </w:p>
    <w:p w14:paraId="1877D28E"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（3）基金财产规模过大，使基金管理人无法找到合适的投资品种，或可能对基金业绩产生负面影响，从而损害现有基金份额持有人的利益；</w:t>
      </w:r>
    </w:p>
    <w:p w14:paraId="47D55865"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（4）法律法规规定或中国证监会认定的其他可暂停申购的情形；</w:t>
      </w:r>
    </w:p>
    <w:p w14:paraId="5EACE71E"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（5）基金管理人认为会有损于现有基金份额持有人利益的某笔申购；</w:t>
      </w:r>
    </w:p>
    <w:p w14:paraId="2A2B4E3B"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（6）当前一估值日基金资产净值50%以上的资产出现无可参考的活跃市场价格且采用估值技术仍导致公允价值存在重大不确定性时，经与基金托管人协商确认后，基金管理人应当暂停接受基金申购申请；</w:t>
      </w:r>
    </w:p>
    <w:p w14:paraId="5A64E93A"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（7）基金管理人接受某笔或者某些申购申请有可能导致单一投资者持有基金份额的比例超过50%，或者变相规避50%集中度的情形时。出现上述情形时，基金管理人有权将上述申购申请全部或部分确认失败。</w:t>
      </w:r>
    </w:p>
    <w:p w14:paraId="6C542DF5"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发生上述（</w:t>
      </w:r>
      <w:r>
        <w:rPr>
          <w:rFonts w:ascii="宋体" w:hAnsi="宋体"/>
          <w:color w:val="000000"/>
          <w:sz w:val="24"/>
          <w:szCs w:val="21"/>
        </w:rPr>
        <w:t>1</w:t>
      </w:r>
      <w:r>
        <w:rPr>
          <w:rFonts w:ascii="宋体" w:hAnsi="宋体" w:hint="eastAsia"/>
          <w:color w:val="000000"/>
          <w:sz w:val="24"/>
          <w:szCs w:val="21"/>
        </w:rPr>
        <w:t>）到（</w:t>
      </w:r>
      <w:r>
        <w:rPr>
          <w:rFonts w:ascii="宋体" w:hAnsi="宋体"/>
          <w:color w:val="000000"/>
          <w:sz w:val="24"/>
          <w:szCs w:val="21"/>
        </w:rPr>
        <w:t>6</w:t>
      </w:r>
      <w:r>
        <w:rPr>
          <w:rFonts w:ascii="宋体" w:hAnsi="宋体" w:hint="eastAsia"/>
          <w:color w:val="000000"/>
          <w:sz w:val="24"/>
          <w:szCs w:val="21"/>
        </w:rPr>
        <w:t>）项暂停申购情形时，申购款项将全额退还投资者。基金管理人应当根据有关规定在中国证监会指定媒介上刊登暂停申购公告。</w:t>
      </w:r>
    </w:p>
    <w:p w14:paraId="747412AD" w14:textId="77777777" w:rsidR="00BF0C91" w:rsidRDefault="00D65346">
      <w:pPr>
        <w:spacing w:beforeLines="50" w:before="156" w:afterLines="50" w:after="156" w:line="440" w:lineRule="exact"/>
        <w:ind w:firstLineChars="200" w:firstLine="482"/>
        <w:outlineLvl w:val="1"/>
        <w:rPr>
          <w:rFonts w:ascii="宋体" w:hAnsi="宋体"/>
          <w:b/>
          <w:color w:val="000000"/>
          <w:sz w:val="24"/>
          <w:szCs w:val="32"/>
        </w:rPr>
      </w:pPr>
      <w:r>
        <w:rPr>
          <w:rFonts w:ascii="宋体" w:hAnsi="宋体" w:hint="eastAsia"/>
          <w:b/>
          <w:color w:val="000000"/>
          <w:sz w:val="24"/>
          <w:szCs w:val="32"/>
        </w:rPr>
        <w:t>十、</w:t>
      </w:r>
      <w:r>
        <w:rPr>
          <w:rFonts w:ascii="宋体" w:hAnsi="宋体" w:hint="eastAsia"/>
          <w:b/>
          <w:color w:val="000000"/>
          <w:sz w:val="24"/>
          <w:szCs w:val="32"/>
        </w:rPr>
        <w:tab/>
        <w:t>暂停赎回或者延缓支付赎回款项的情形及处理方式</w:t>
      </w:r>
    </w:p>
    <w:p w14:paraId="23FD6EA9" w14:textId="77777777" w:rsidR="00BF0C91" w:rsidRDefault="00D65346">
      <w:pPr>
        <w:spacing w:line="440" w:lineRule="exact"/>
        <w:ind w:firstLineChars="200" w:firstLine="480"/>
        <w:rPr>
          <w:rFonts w:ascii="宋体" w:hAnsi="宋体" w:cs="宋体"/>
          <w:color w:val="000000"/>
          <w:kern w:val="0"/>
          <w:sz w:val="24"/>
        </w:rPr>
      </w:pPr>
      <w:r>
        <w:rPr>
          <w:rFonts w:ascii="宋体" w:hAnsi="宋体" w:cs="宋体"/>
          <w:color w:val="000000"/>
          <w:kern w:val="0"/>
          <w:sz w:val="24"/>
        </w:rPr>
        <w:t>发生下列情形时，基金管理人可暂停接受基金份额持有人的赎回申请</w:t>
      </w:r>
      <w:r>
        <w:rPr>
          <w:rFonts w:ascii="宋体" w:hAnsi="宋体" w:cs="宋体" w:hint="eastAsia"/>
          <w:color w:val="000000"/>
          <w:kern w:val="0"/>
          <w:sz w:val="24"/>
        </w:rPr>
        <w:t>：</w:t>
      </w:r>
    </w:p>
    <w:p w14:paraId="4C8B0DF4"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（1）不可抗力的原因导致基金管理人不能支付赎回款项；</w:t>
      </w:r>
    </w:p>
    <w:p w14:paraId="0DA32B33"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（2）证券交易场所依法决定临时停市，导致基金管理人无法计算当日基金资产净值；</w:t>
      </w:r>
    </w:p>
    <w:p w14:paraId="47BD0A09"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（3）因市场剧烈波动或其他原因而出现连续两个或两个以上开放日巨额赎回，导致本基金的现金支付出现困难；</w:t>
      </w:r>
    </w:p>
    <w:p w14:paraId="3A36D230"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（4）基金管理人认为会有损于现有基金份额持有人利益的某笔赎回；</w:t>
      </w:r>
    </w:p>
    <w:p w14:paraId="642A49E3"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w:t>
      </w:r>
      <w:r>
        <w:rPr>
          <w:rFonts w:ascii="宋体" w:hAnsi="宋体"/>
          <w:color w:val="000000"/>
          <w:sz w:val="24"/>
          <w:szCs w:val="21"/>
        </w:rPr>
        <w:t>5）</w:t>
      </w:r>
      <w:r>
        <w:rPr>
          <w:rFonts w:ascii="宋体" w:hAnsi="宋体" w:hint="eastAsia"/>
          <w:color w:val="000000"/>
          <w:sz w:val="24"/>
          <w:szCs w:val="21"/>
        </w:rPr>
        <w:t>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14:paraId="45616A1F"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lastRenderedPageBreak/>
        <w:t>（</w:t>
      </w:r>
      <w:r>
        <w:rPr>
          <w:rFonts w:ascii="宋体" w:hAnsi="宋体"/>
          <w:color w:val="000000"/>
          <w:sz w:val="24"/>
          <w:szCs w:val="21"/>
        </w:rPr>
        <w:t>6</w:t>
      </w:r>
      <w:r>
        <w:rPr>
          <w:rFonts w:ascii="宋体" w:hAnsi="宋体" w:hint="eastAsia"/>
          <w:color w:val="000000"/>
          <w:sz w:val="24"/>
          <w:szCs w:val="21"/>
        </w:rPr>
        <w:t>）法律法规规定或中国证监会认定的其他情形。</w:t>
      </w:r>
    </w:p>
    <w:p w14:paraId="45310D3D"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发生上述情形之一的，基金管理人应在当日立即向中国证监会报告备案。已接受的赎回申请，基金管理人将足额支付；如暂时不能支付的，可支付部分按每个赎回申请人已被接受的赎回申请量占已接受赎回申请总量的比例分配给赎回申请人，未支付部分由基金管理人按照发生的情况制定相应的处理办法在后续开放日予以支付。同时在出现上述第（</w:t>
      </w:r>
      <w:r>
        <w:rPr>
          <w:rFonts w:ascii="宋体" w:hAnsi="宋体"/>
          <w:color w:val="000000"/>
          <w:sz w:val="24"/>
          <w:szCs w:val="21"/>
        </w:rPr>
        <w:t>3</w:t>
      </w:r>
      <w:r>
        <w:rPr>
          <w:rFonts w:ascii="宋体" w:hAnsi="宋体" w:hint="eastAsia"/>
          <w:color w:val="000000"/>
          <w:sz w:val="24"/>
          <w:szCs w:val="21"/>
        </w:rPr>
        <w:t>）项的情形时，对已接受的赎回申请可延期支付赎回款项，但最长不超过正常支付时间</w:t>
      </w:r>
      <w:r>
        <w:rPr>
          <w:rFonts w:ascii="宋体" w:hAnsi="宋体"/>
          <w:color w:val="000000"/>
          <w:sz w:val="24"/>
          <w:szCs w:val="21"/>
        </w:rPr>
        <w:t>20</w:t>
      </w:r>
      <w:r>
        <w:rPr>
          <w:rFonts w:ascii="宋体" w:hAnsi="宋体" w:hint="eastAsia"/>
          <w:color w:val="000000"/>
          <w:sz w:val="24"/>
          <w:szCs w:val="21"/>
        </w:rPr>
        <w:t>个工作日，并在中国证监会指定媒介上公告。投资者在申请赎回时可事先选择将当日可能未获受理部分予以撤销。</w:t>
      </w:r>
    </w:p>
    <w:p w14:paraId="05D5BF2C"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暂停基金的赎回，基金管理人应及时在中国证监会指定媒介上刊登暂停赎回公告。</w:t>
      </w:r>
    </w:p>
    <w:p w14:paraId="74139E93"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在暂停赎回的情况消除时，基金管理人应及时恢复赎回业务的办理。</w:t>
      </w:r>
    </w:p>
    <w:p w14:paraId="2FB751F5" w14:textId="77777777" w:rsidR="00BF0C91" w:rsidRDefault="00D65346">
      <w:pPr>
        <w:spacing w:beforeLines="50" w:before="156" w:afterLines="50" w:after="156" w:line="440" w:lineRule="exact"/>
        <w:ind w:firstLineChars="200" w:firstLine="482"/>
        <w:outlineLvl w:val="1"/>
        <w:rPr>
          <w:rFonts w:ascii="宋体" w:hAnsi="宋体"/>
          <w:b/>
          <w:color w:val="000000"/>
          <w:sz w:val="24"/>
          <w:szCs w:val="32"/>
        </w:rPr>
      </w:pPr>
      <w:bookmarkStart w:id="77" w:name="_Toc79392616"/>
      <w:r>
        <w:rPr>
          <w:rFonts w:ascii="宋体" w:hAnsi="宋体" w:hint="eastAsia"/>
          <w:b/>
          <w:color w:val="000000"/>
          <w:sz w:val="24"/>
          <w:szCs w:val="32"/>
        </w:rPr>
        <w:t>十一、</w:t>
      </w:r>
      <w:r>
        <w:rPr>
          <w:rFonts w:ascii="宋体" w:hAnsi="宋体" w:hint="eastAsia"/>
          <w:b/>
          <w:color w:val="000000"/>
          <w:sz w:val="24"/>
          <w:szCs w:val="32"/>
        </w:rPr>
        <w:tab/>
        <w:t>巨额赎回的情形及处理方式</w:t>
      </w:r>
      <w:bookmarkEnd w:id="77"/>
    </w:p>
    <w:p w14:paraId="26CFF4DA"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1、巨额赎回的认定</w:t>
      </w:r>
    </w:p>
    <w:p w14:paraId="12F128AA"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本基金单个开放日，基金净赎回申请份额（该基金赎回申请总份额加上基金转换中转出申请份额总份额扣除申购申请总份额及基金转换中转入申请份额总份额后的余额）超过上一日基金总份额的</w:t>
      </w:r>
      <w:r>
        <w:rPr>
          <w:rFonts w:ascii="宋体" w:hAnsi="宋体"/>
          <w:color w:val="000000"/>
          <w:sz w:val="24"/>
          <w:szCs w:val="21"/>
        </w:rPr>
        <w:t>10%</w:t>
      </w:r>
      <w:r>
        <w:rPr>
          <w:rFonts w:ascii="宋体" w:hAnsi="宋体" w:hint="eastAsia"/>
          <w:color w:val="000000"/>
          <w:sz w:val="24"/>
          <w:szCs w:val="21"/>
        </w:rPr>
        <w:t>时，即认为发生了巨额赎回。</w:t>
      </w:r>
    </w:p>
    <w:p w14:paraId="48B1B096"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2、巨额赎回的处理方式</w:t>
      </w:r>
    </w:p>
    <w:p w14:paraId="63D0587C"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当出现巨额赎回时，基金管理人可以根据本基金当时的资产组合状况决定全额赎回或部分顺延赎回。</w:t>
      </w:r>
    </w:p>
    <w:p w14:paraId="4ADF7FC3"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（1）全额赎回：当基金管理人认为有能力支付投资者的全部赎回申请时，按正常赎回程序执行。</w:t>
      </w:r>
    </w:p>
    <w:p w14:paraId="7B353932" w14:textId="77777777" w:rsidR="00BF0C91" w:rsidRDefault="00D65346">
      <w:pPr>
        <w:spacing w:line="440" w:lineRule="exact"/>
        <w:ind w:firstLineChars="200" w:firstLine="480"/>
        <w:rPr>
          <w:rFonts w:ascii="宋体" w:hAnsi="宋体"/>
          <w:color w:val="000000"/>
          <w:sz w:val="24"/>
        </w:rPr>
      </w:pPr>
      <w:r>
        <w:rPr>
          <w:rFonts w:ascii="宋体" w:hAnsi="宋体" w:hint="eastAsia"/>
          <w:color w:val="000000"/>
          <w:sz w:val="24"/>
          <w:szCs w:val="21"/>
        </w:rPr>
        <w:t>（2）部分顺延赎回：当基金管理人认为支付投资者的赎回申请有困难或认为支付投资者的赎回申请可能会对基金的资产净值造成较大波动时，基金管理人在当日接受赎回比例不低于上一日基金总份额的</w:t>
      </w:r>
      <w:r>
        <w:rPr>
          <w:rFonts w:ascii="宋体" w:hAnsi="宋体"/>
          <w:color w:val="000000"/>
          <w:sz w:val="24"/>
          <w:szCs w:val="21"/>
        </w:rPr>
        <w:t>10%的前提下，对其余赎回申请予以延期办理。对于当日的赎回申请，应当按单个账户赎回申请量占</w:t>
      </w:r>
      <w:r>
        <w:rPr>
          <w:rFonts w:ascii="宋体" w:hAnsi="宋体" w:hint="eastAsia"/>
          <w:color w:val="000000"/>
          <w:sz w:val="24"/>
          <w:szCs w:val="21"/>
        </w:rPr>
        <w:t>当日</w:t>
      </w:r>
      <w:r>
        <w:rPr>
          <w:rFonts w:ascii="宋体" w:hAnsi="宋体"/>
          <w:color w:val="000000"/>
          <w:sz w:val="24"/>
          <w:szCs w:val="21"/>
        </w:rPr>
        <w:t>赎回申请总量的比例，确定当日</w:t>
      </w:r>
      <w:r>
        <w:rPr>
          <w:rFonts w:ascii="宋体" w:hAnsi="宋体" w:hint="eastAsia"/>
          <w:color w:val="000000"/>
          <w:sz w:val="24"/>
          <w:szCs w:val="21"/>
        </w:rPr>
        <w:t>单个帐户</w:t>
      </w:r>
      <w:r>
        <w:rPr>
          <w:rFonts w:ascii="宋体" w:hAnsi="宋体"/>
          <w:color w:val="000000"/>
          <w:sz w:val="24"/>
          <w:szCs w:val="21"/>
        </w:rPr>
        <w:t>受理的赎回份额</w:t>
      </w:r>
      <w:r>
        <w:rPr>
          <w:rFonts w:ascii="宋体" w:hAnsi="宋体" w:hint="eastAsia"/>
          <w:color w:val="000000"/>
          <w:sz w:val="24"/>
          <w:szCs w:val="21"/>
        </w:rPr>
        <w:t>。未受理部分，</w:t>
      </w:r>
      <w:r>
        <w:rPr>
          <w:rFonts w:ascii="宋体" w:hAnsi="宋体" w:hint="eastAsia"/>
          <w:color w:val="000000"/>
          <w:sz w:val="24"/>
        </w:rPr>
        <w:t>除投资者在提交赎回申请时明确作出不参加顺延下一个开放日赎回的表示外，顺延至下一个开放日赎回处理。依照上述规定转入下一个开放日的赎回不享有赎回优先权并将按该下一个开放日赎回</w:t>
      </w:r>
      <w:r>
        <w:rPr>
          <w:rFonts w:ascii="宋体" w:hAnsi="宋体"/>
          <w:color w:val="000000"/>
          <w:sz w:val="24"/>
          <w:szCs w:val="21"/>
        </w:rPr>
        <w:t>申请总量</w:t>
      </w:r>
      <w:r>
        <w:rPr>
          <w:rFonts w:ascii="宋体" w:hAnsi="宋体" w:hint="eastAsia"/>
          <w:color w:val="000000"/>
          <w:sz w:val="24"/>
          <w:szCs w:val="21"/>
        </w:rPr>
        <w:t>计算赎回金额</w:t>
      </w:r>
      <w:r>
        <w:rPr>
          <w:rFonts w:ascii="宋体" w:hAnsi="宋体" w:hint="eastAsia"/>
          <w:color w:val="000000"/>
          <w:sz w:val="24"/>
        </w:rPr>
        <w:t>，以此类推，直到全部赎回为止。</w:t>
      </w:r>
    </w:p>
    <w:p w14:paraId="43E03FCE" w14:textId="4FA62DBB" w:rsidR="00BF0C91" w:rsidRDefault="00D65346">
      <w:pPr>
        <w:spacing w:line="440" w:lineRule="exact"/>
        <w:ind w:firstLineChars="200" w:firstLine="480"/>
        <w:rPr>
          <w:rFonts w:ascii="宋体" w:hAnsi="宋体"/>
          <w:color w:val="000000"/>
          <w:sz w:val="24"/>
        </w:rPr>
      </w:pPr>
      <w:r>
        <w:rPr>
          <w:rFonts w:ascii="宋体" w:hAnsi="宋体" w:hint="eastAsia"/>
          <w:color w:val="000000"/>
          <w:sz w:val="24"/>
        </w:rPr>
        <w:lastRenderedPageBreak/>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顺延赎回”的约定方式与其他基金份额持有人的赎回申请一并办理。但是，如基金份额持有人在当日选择取消赎回，则其当日未获受理的部分赎回申请将被撤销。</w:t>
      </w:r>
    </w:p>
    <w:p w14:paraId="0CFC996E"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（3）巨额赎回的公告：当发生巨额赎回并顺延赎回时，</w:t>
      </w:r>
      <w:r>
        <w:rPr>
          <w:rFonts w:ascii="宋体" w:hAnsi="宋体"/>
          <w:color w:val="000000"/>
          <w:sz w:val="24"/>
          <w:szCs w:val="21"/>
        </w:rPr>
        <w:t>基金管理人应通过邮寄、传真或者招募说明书规定的其他方式，在</w:t>
      </w:r>
      <w:r>
        <w:rPr>
          <w:rFonts w:ascii="宋体" w:hAnsi="宋体" w:hint="eastAsia"/>
          <w:color w:val="000000"/>
          <w:sz w:val="24"/>
          <w:szCs w:val="21"/>
        </w:rPr>
        <w:t>两</w:t>
      </w:r>
      <w:r>
        <w:rPr>
          <w:rFonts w:ascii="宋体" w:hAnsi="宋体"/>
          <w:color w:val="000000"/>
          <w:sz w:val="24"/>
          <w:szCs w:val="21"/>
        </w:rPr>
        <w:t>日内通知基金份额持有人，说明有关处理方法，</w:t>
      </w:r>
      <w:r>
        <w:rPr>
          <w:rFonts w:ascii="宋体" w:hAnsi="宋体" w:hint="eastAsia"/>
          <w:color w:val="000000"/>
          <w:sz w:val="24"/>
          <w:szCs w:val="21"/>
        </w:rPr>
        <w:t>并在2日内在</w:t>
      </w:r>
      <w:r>
        <w:rPr>
          <w:rFonts w:ascii="宋体" w:hAnsi="宋体"/>
          <w:color w:val="000000"/>
          <w:sz w:val="24"/>
          <w:szCs w:val="21"/>
        </w:rPr>
        <w:t>指定媒介上</w:t>
      </w:r>
      <w:r>
        <w:rPr>
          <w:rFonts w:ascii="宋体" w:hAnsi="宋体" w:hint="eastAsia"/>
          <w:bCs/>
          <w:color w:val="000000"/>
          <w:sz w:val="24"/>
          <w:szCs w:val="21"/>
        </w:rPr>
        <w:t>刊登公告</w:t>
      </w:r>
      <w:r>
        <w:rPr>
          <w:rFonts w:ascii="宋体" w:hAnsi="宋体" w:hint="eastAsia"/>
          <w:color w:val="000000"/>
          <w:sz w:val="24"/>
          <w:szCs w:val="21"/>
        </w:rPr>
        <w:t>。</w:t>
      </w:r>
      <w:r>
        <w:rPr>
          <w:rFonts w:ascii="宋体" w:hAnsi="宋体"/>
          <w:color w:val="000000"/>
          <w:sz w:val="24"/>
          <w:szCs w:val="21"/>
        </w:rPr>
        <w:t xml:space="preserve"> </w:t>
      </w:r>
    </w:p>
    <w:p w14:paraId="5196D166"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本基金连续2个开放日以上发生巨额赎回，如基金管理人认为有必要，可暂停接受赎回申请；已经接受的赎回申请可以延缓支付赎回款项，但不得超过正常支付时间</w:t>
      </w:r>
      <w:r>
        <w:rPr>
          <w:rFonts w:ascii="宋体" w:hAnsi="宋体"/>
          <w:color w:val="000000"/>
          <w:sz w:val="24"/>
          <w:szCs w:val="21"/>
        </w:rPr>
        <w:t>20</w:t>
      </w:r>
      <w:r>
        <w:rPr>
          <w:rFonts w:ascii="宋体" w:hAnsi="宋体" w:hint="eastAsia"/>
          <w:color w:val="000000"/>
          <w:sz w:val="24"/>
          <w:szCs w:val="21"/>
        </w:rPr>
        <w:t>个工作日，并应当在中国证监会指定媒介上公告。</w:t>
      </w:r>
    </w:p>
    <w:p w14:paraId="21EC17FD" w14:textId="77777777" w:rsidR="00BF0C91" w:rsidRDefault="00D65346">
      <w:pPr>
        <w:spacing w:beforeLines="50" w:before="156" w:afterLines="50" w:after="156" w:line="440" w:lineRule="exact"/>
        <w:ind w:firstLineChars="200" w:firstLine="482"/>
        <w:outlineLvl w:val="1"/>
        <w:rPr>
          <w:rFonts w:ascii="宋体" w:hAnsi="宋体"/>
          <w:b/>
          <w:color w:val="000000"/>
          <w:sz w:val="24"/>
          <w:szCs w:val="32"/>
        </w:rPr>
      </w:pPr>
      <w:bookmarkStart w:id="78" w:name="_Toc79392617"/>
      <w:r>
        <w:rPr>
          <w:rFonts w:ascii="宋体" w:hAnsi="宋体" w:hint="eastAsia"/>
          <w:b/>
          <w:color w:val="000000"/>
          <w:sz w:val="24"/>
          <w:szCs w:val="32"/>
        </w:rPr>
        <w:t>十二、</w:t>
      </w:r>
      <w:r>
        <w:rPr>
          <w:rFonts w:ascii="宋体" w:hAnsi="宋体" w:hint="eastAsia"/>
          <w:b/>
          <w:color w:val="000000"/>
          <w:sz w:val="24"/>
          <w:szCs w:val="32"/>
        </w:rPr>
        <w:tab/>
        <w:t>重新开放申购或赎回的公告</w:t>
      </w:r>
      <w:bookmarkEnd w:id="78"/>
    </w:p>
    <w:p w14:paraId="796107E5" w14:textId="35353BFF"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如果发生暂停申购或赎回的时间为一日，第二个工作日基金管理人应在中国证监会指定媒介上刊登基金重新开放申购或赎回公告并公布最近一个开放日</w:t>
      </w:r>
      <w:r w:rsidR="00A3107C">
        <w:rPr>
          <w:rFonts w:ascii="宋体" w:hAnsi="宋体" w:hint="eastAsia"/>
          <w:sz w:val="24"/>
        </w:rPr>
        <w:t>各类</w:t>
      </w:r>
      <w:r>
        <w:rPr>
          <w:rFonts w:ascii="宋体" w:hAnsi="宋体" w:hint="eastAsia"/>
          <w:sz w:val="24"/>
        </w:rPr>
        <w:t>基金份额</w:t>
      </w:r>
      <w:r>
        <w:rPr>
          <w:rFonts w:ascii="宋体" w:hAnsi="宋体" w:hint="eastAsia"/>
          <w:color w:val="000000"/>
          <w:sz w:val="24"/>
          <w:szCs w:val="21"/>
        </w:rPr>
        <w:t>的</w:t>
      </w:r>
      <w:r>
        <w:rPr>
          <w:rFonts w:ascii="宋体" w:hAnsi="宋体" w:cs="宋体" w:hint="eastAsia"/>
          <w:color w:val="000000"/>
          <w:sz w:val="24"/>
          <w:szCs w:val="21"/>
        </w:rPr>
        <w:t>每万份基金已实现收益</w:t>
      </w:r>
      <w:r>
        <w:rPr>
          <w:rFonts w:ascii="宋体" w:hAnsi="宋体" w:hint="eastAsia"/>
          <w:color w:val="000000"/>
          <w:sz w:val="24"/>
          <w:szCs w:val="21"/>
        </w:rPr>
        <w:t>和基金七日年化收益率。</w:t>
      </w:r>
    </w:p>
    <w:p w14:paraId="1A78C4DE" w14:textId="564B700A"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如果发生暂停的时间超过一日但少于两周，基金重新开放申购或赎回时，基金管理人应提前一个工作日在中国证监会指定媒介上刊登基金重新开放申购或赎回公告，并在重新开放申购或赎回日公告最近一个工作日</w:t>
      </w:r>
      <w:r w:rsidR="00DA2DC7">
        <w:rPr>
          <w:rFonts w:ascii="宋体" w:hAnsi="宋体" w:hint="eastAsia"/>
          <w:sz w:val="24"/>
        </w:rPr>
        <w:t>各类</w:t>
      </w:r>
      <w:r>
        <w:rPr>
          <w:rFonts w:ascii="宋体" w:hAnsi="宋体" w:hint="eastAsia"/>
          <w:sz w:val="24"/>
        </w:rPr>
        <w:t>基金份额</w:t>
      </w:r>
      <w:r>
        <w:rPr>
          <w:rFonts w:ascii="宋体" w:hAnsi="宋体" w:hint="eastAsia"/>
          <w:color w:val="000000"/>
          <w:sz w:val="24"/>
          <w:szCs w:val="21"/>
        </w:rPr>
        <w:t>的</w:t>
      </w:r>
      <w:r>
        <w:rPr>
          <w:rFonts w:ascii="宋体" w:hAnsi="宋体" w:cs="宋体" w:hint="eastAsia"/>
          <w:color w:val="000000"/>
          <w:sz w:val="24"/>
          <w:szCs w:val="21"/>
        </w:rPr>
        <w:t>每万份基金已实现收益</w:t>
      </w:r>
      <w:r>
        <w:rPr>
          <w:rFonts w:ascii="宋体" w:hAnsi="宋体" w:hint="eastAsia"/>
          <w:color w:val="000000"/>
          <w:sz w:val="24"/>
          <w:szCs w:val="21"/>
        </w:rPr>
        <w:t>和基金七日年化收益率。</w:t>
      </w:r>
    </w:p>
    <w:p w14:paraId="2625490C" w14:textId="271617A3"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如果发生暂停的时间超过两周，暂停期间，基金管理人应至少每两周重复刊登暂停公告一次。基金重新开放申购或赎回时，基金管理人应依照《信息披露办法》和《信息披露特别规定》的有关规定在中国证监会指定媒介上连续刊登基金重新开放申购或赎回公告，并在重新开放申购或赎回日公告最近一个开放日</w:t>
      </w:r>
      <w:r w:rsidR="003F4ED7">
        <w:rPr>
          <w:rFonts w:ascii="宋体" w:hAnsi="宋体" w:hint="eastAsia"/>
          <w:sz w:val="24"/>
        </w:rPr>
        <w:t>各类</w:t>
      </w:r>
      <w:r>
        <w:rPr>
          <w:rFonts w:ascii="宋体" w:hAnsi="宋体" w:hint="eastAsia"/>
          <w:sz w:val="24"/>
        </w:rPr>
        <w:t>基金份额</w:t>
      </w:r>
      <w:r>
        <w:rPr>
          <w:rFonts w:ascii="宋体" w:hAnsi="宋体" w:hint="eastAsia"/>
          <w:color w:val="000000"/>
          <w:sz w:val="24"/>
          <w:szCs w:val="21"/>
        </w:rPr>
        <w:t>的</w:t>
      </w:r>
      <w:r>
        <w:rPr>
          <w:rFonts w:ascii="宋体" w:hAnsi="宋体" w:cs="宋体" w:hint="eastAsia"/>
          <w:color w:val="000000"/>
          <w:sz w:val="24"/>
          <w:szCs w:val="21"/>
        </w:rPr>
        <w:t>每万份基金已实现收益</w:t>
      </w:r>
      <w:r>
        <w:rPr>
          <w:rFonts w:ascii="宋体" w:hAnsi="宋体" w:hint="eastAsia"/>
          <w:color w:val="000000"/>
          <w:sz w:val="24"/>
          <w:szCs w:val="21"/>
        </w:rPr>
        <w:t>和基金七日年化收益率。</w:t>
      </w:r>
    </w:p>
    <w:p w14:paraId="7F702760" w14:textId="77777777" w:rsidR="00BF0C91" w:rsidRDefault="00D65346">
      <w:pPr>
        <w:spacing w:beforeLines="50" w:before="156" w:afterLines="50" w:after="156" w:line="440" w:lineRule="exact"/>
        <w:ind w:firstLineChars="200" w:firstLine="482"/>
        <w:outlineLvl w:val="1"/>
        <w:rPr>
          <w:rFonts w:ascii="宋体" w:hAnsi="宋体"/>
          <w:b/>
          <w:color w:val="000000"/>
          <w:sz w:val="24"/>
          <w:szCs w:val="32"/>
        </w:rPr>
      </w:pPr>
      <w:bookmarkStart w:id="79" w:name="_Toc15118274"/>
      <w:bookmarkStart w:id="80" w:name="_Toc59441259"/>
      <w:bookmarkStart w:id="81" w:name="_Toc79392618"/>
      <w:r>
        <w:rPr>
          <w:rFonts w:ascii="宋体" w:hAnsi="宋体" w:hint="eastAsia"/>
          <w:b/>
          <w:color w:val="000000"/>
          <w:sz w:val="24"/>
          <w:szCs w:val="32"/>
        </w:rPr>
        <w:t>十三、</w:t>
      </w:r>
      <w:r>
        <w:rPr>
          <w:rFonts w:ascii="宋体" w:hAnsi="宋体" w:hint="eastAsia"/>
          <w:b/>
          <w:color w:val="000000"/>
          <w:sz w:val="24"/>
          <w:szCs w:val="32"/>
        </w:rPr>
        <w:tab/>
        <w:t>基金的转换</w:t>
      </w:r>
      <w:bookmarkEnd w:id="79"/>
      <w:bookmarkEnd w:id="80"/>
      <w:bookmarkEnd w:id="81"/>
    </w:p>
    <w:p w14:paraId="0CA37BCC"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基金转换是指基金份额持有人可按规定申请将所持有的本基金份额转换为基金管理人所管理的其他开放式基金份额。基金转换的数额限制、转换费率等具体规定请参见基金管理人届时公告。基金转换业务开始前，基金管理人应依照《信息披露办法》和《信息披露特别规定》的有关规定在中国证监会指定媒介上公告。</w:t>
      </w:r>
    </w:p>
    <w:p w14:paraId="76D10691" w14:textId="77777777" w:rsidR="00BF0C91" w:rsidRDefault="00D65346">
      <w:pPr>
        <w:spacing w:beforeLines="50" w:before="156" w:afterLines="50" w:after="156" w:line="440" w:lineRule="exact"/>
        <w:ind w:firstLineChars="200" w:firstLine="482"/>
        <w:outlineLvl w:val="1"/>
        <w:rPr>
          <w:rFonts w:ascii="宋体" w:hAnsi="宋体"/>
          <w:b/>
          <w:color w:val="000000"/>
          <w:sz w:val="24"/>
          <w:szCs w:val="32"/>
        </w:rPr>
      </w:pPr>
      <w:bookmarkStart w:id="82" w:name="_Toc79392621"/>
      <w:bookmarkStart w:id="83" w:name="_Toc79392619"/>
      <w:r>
        <w:rPr>
          <w:rFonts w:ascii="宋体" w:hAnsi="宋体" w:hint="eastAsia"/>
          <w:b/>
          <w:color w:val="000000"/>
          <w:sz w:val="24"/>
          <w:szCs w:val="32"/>
        </w:rPr>
        <w:lastRenderedPageBreak/>
        <w:t>十四、</w:t>
      </w:r>
      <w:r>
        <w:rPr>
          <w:rFonts w:ascii="宋体" w:hAnsi="宋体" w:hint="eastAsia"/>
          <w:b/>
          <w:color w:val="000000"/>
          <w:sz w:val="24"/>
          <w:szCs w:val="32"/>
        </w:rPr>
        <w:tab/>
        <w:t>转托管</w:t>
      </w:r>
      <w:bookmarkEnd w:id="82"/>
    </w:p>
    <w:p w14:paraId="4BF5D120"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本基金目前实行份额托管的交易制度。投资者可将所持有的基金份额在不同销售网点之间进行份额转移。</w:t>
      </w:r>
    </w:p>
    <w:p w14:paraId="30649A8F" w14:textId="77777777" w:rsidR="00BF0C91" w:rsidRDefault="00D65346">
      <w:pPr>
        <w:spacing w:line="440" w:lineRule="exact"/>
        <w:ind w:firstLineChars="200" w:firstLine="480"/>
        <w:rPr>
          <w:rFonts w:ascii="宋体" w:hAnsi="宋体"/>
          <w:sz w:val="24"/>
          <w:szCs w:val="21"/>
        </w:rPr>
      </w:pPr>
      <w:r>
        <w:rPr>
          <w:rFonts w:ascii="宋体" w:hAnsi="宋体" w:hint="eastAsia"/>
          <w:sz w:val="24"/>
          <w:szCs w:val="21"/>
        </w:rPr>
        <w:t>进行份额转托管时，投资者可以将其某个交易账户下的基金份额全部或部分转托管。</w:t>
      </w:r>
      <w:bookmarkStart w:id="84" w:name="_Hlt81031749"/>
      <w:bookmarkEnd w:id="84"/>
    </w:p>
    <w:p w14:paraId="1E8A22F0" w14:textId="77777777" w:rsidR="00BF0C91" w:rsidRDefault="00D65346">
      <w:pPr>
        <w:spacing w:beforeLines="50" w:before="156" w:afterLines="50" w:after="156" w:line="440" w:lineRule="exact"/>
        <w:ind w:firstLineChars="200" w:firstLine="482"/>
        <w:outlineLvl w:val="1"/>
        <w:rPr>
          <w:rFonts w:ascii="宋体" w:hAnsi="宋体"/>
          <w:b/>
          <w:color w:val="000000"/>
          <w:sz w:val="24"/>
          <w:szCs w:val="32"/>
        </w:rPr>
      </w:pPr>
      <w:r>
        <w:rPr>
          <w:rFonts w:ascii="宋体" w:hAnsi="宋体" w:hint="eastAsia"/>
          <w:b/>
          <w:color w:val="000000"/>
          <w:sz w:val="24"/>
          <w:szCs w:val="32"/>
        </w:rPr>
        <w:t>十五、</w:t>
      </w:r>
      <w:r>
        <w:rPr>
          <w:rFonts w:ascii="宋体" w:hAnsi="宋体" w:hint="eastAsia"/>
          <w:b/>
          <w:color w:val="000000"/>
          <w:sz w:val="24"/>
          <w:szCs w:val="32"/>
        </w:rPr>
        <w:tab/>
        <w:t>定期定额投资计划</w:t>
      </w:r>
    </w:p>
    <w:p w14:paraId="346B1380" w14:textId="77777777" w:rsidR="00BF0C91" w:rsidRDefault="00D65346">
      <w:pPr>
        <w:spacing w:line="440" w:lineRule="exact"/>
        <w:ind w:firstLineChars="200" w:firstLine="480"/>
        <w:rPr>
          <w:rFonts w:ascii="宋体" w:hAnsi="宋体"/>
          <w:sz w:val="24"/>
          <w:szCs w:val="21"/>
        </w:rPr>
      </w:pPr>
      <w:r>
        <w:rPr>
          <w:rFonts w:ascii="宋体" w:hAnsi="宋体" w:hint="eastAsia"/>
          <w:sz w:val="24"/>
          <w:szCs w:val="21"/>
        </w:rPr>
        <w:t>基金管理人可以为投资者办理定期定额投资计划，具体规则由基金管理人在届时发布公告或更新的招募说明书中确定。投资者在办理定期定额投资计划时可自行约定每期扣款金额，但每期扣款金额必须不低于基金管理人在相关公告或更新的招募说明书中所规定的定期定额投资计划最低申购金额。</w:t>
      </w:r>
    </w:p>
    <w:p w14:paraId="0AD7E5D4" w14:textId="77777777" w:rsidR="00BF0C91" w:rsidRDefault="00D65346">
      <w:pPr>
        <w:spacing w:beforeLines="50" w:before="156" w:afterLines="50" w:after="156" w:line="440" w:lineRule="exact"/>
        <w:ind w:firstLineChars="200" w:firstLine="482"/>
        <w:outlineLvl w:val="1"/>
        <w:rPr>
          <w:rFonts w:ascii="宋体" w:hAnsi="宋体"/>
          <w:b/>
          <w:color w:val="000000"/>
          <w:sz w:val="24"/>
          <w:szCs w:val="32"/>
        </w:rPr>
      </w:pPr>
      <w:r>
        <w:rPr>
          <w:rFonts w:ascii="宋体" w:hAnsi="宋体" w:hint="eastAsia"/>
          <w:b/>
          <w:color w:val="000000"/>
          <w:sz w:val="24"/>
          <w:szCs w:val="32"/>
        </w:rPr>
        <w:t>十六、</w:t>
      </w:r>
      <w:r>
        <w:rPr>
          <w:rFonts w:ascii="宋体" w:hAnsi="宋体" w:hint="eastAsia"/>
          <w:b/>
          <w:color w:val="000000"/>
          <w:sz w:val="24"/>
          <w:szCs w:val="32"/>
        </w:rPr>
        <w:tab/>
        <w:t>基金的非交易过户</w:t>
      </w:r>
      <w:bookmarkEnd w:id="83"/>
    </w:p>
    <w:p w14:paraId="17989EB4" w14:textId="77777777" w:rsidR="00BF0C91" w:rsidRDefault="00D65346">
      <w:pPr>
        <w:spacing w:line="440" w:lineRule="exact"/>
        <w:ind w:firstLineChars="200" w:firstLine="480"/>
        <w:rPr>
          <w:rFonts w:ascii="宋体" w:hAnsi="宋体"/>
          <w:sz w:val="24"/>
        </w:rPr>
      </w:pPr>
      <w:r>
        <w:rPr>
          <w:rFonts w:ascii="宋体" w:hAnsi="宋体" w:hint="eastAsia"/>
          <w:sz w:val="24"/>
        </w:rPr>
        <w:t>非交易过户是指不采用申购、赎回等基金交易方式，将一定数量的基金份额按照一定规则从某一投资者基金账户转移到另一投资者基金账户的行为。</w:t>
      </w:r>
    </w:p>
    <w:p w14:paraId="550D2B11" w14:textId="77777777" w:rsidR="00BF0C91" w:rsidRDefault="00D65346">
      <w:pPr>
        <w:spacing w:line="440" w:lineRule="exact"/>
        <w:ind w:firstLineChars="200" w:firstLine="480"/>
        <w:rPr>
          <w:rFonts w:ascii="宋体" w:hAnsi="宋体"/>
          <w:sz w:val="24"/>
        </w:rPr>
      </w:pPr>
      <w:r>
        <w:rPr>
          <w:rFonts w:ascii="宋体" w:hAnsi="宋体" w:hint="eastAsia"/>
          <w:sz w:val="24"/>
        </w:rPr>
        <w:t>基金注册登记机构只受理继承、捐赠、司法强制执行和经注册登记机构认可的其他情况下的非交易过户。无论在上述何种情况下，接受划转的主体必须是依法可投资于本基金的个人投资者、机构投资者或合格境外机构投资者。</w:t>
      </w:r>
    </w:p>
    <w:p w14:paraId="753A168C" w14:textId="77777777" w:rsidR="00BF0C91" w:rsidRDefault="00D65346">
      <w:pPr>
        <w:spacing w:line="440" w:lineRule="exact"/>
        <w:ind w:firstLineChars="200" w:firstLine="480"/>
        <w:rPr>
          <w:rFonts w:ascii="宋体" w:hAnsi="宋体"/>
          <w:sz w:val="24"/>
        </w:rPr>
      </w:pPr>
      <w:r>
        <w:rPr>
          <w:rFonts w:ascii="宋体" w:hAnsi="宋体" w:hint="eastAsia"/>
          <w:sz w:val="24"/>
        </w:rPr>
        <w:t>继承是指基金份额持有人死亡，其持有的基金份额由其合法的继承人继承；捐赠指受理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注册登记机构要求提供的相关资料，按基金注册登记机构的规定办理，并按基金注册登记机构规定的标准支付费用。</w:t>
      </w:r>
    </w:p>
    <w:p w14:paraId="507FDDDD" w14:textId="15958030" w:rsidR="00BF0C91" w:rsidRDefault="00D65346">
      <w:pPr>
        <w:spacing w:beforeLines="50" w:before="156" w:afterLines="50" w:after="156" w:line="440" w:lineRule="exact"/>
        <w:ind w:firstLineChars="200" w:firstLine="482"/>
        <w:outlineLvl w:val="1"/>
        <w:rPr>
          <w:rFonts w:ascii="宋体" w:hAnsi="宋体"/>
          <w:b/>
          <w:color w:val="000000"/>
          <w:sz w:val="24"/>
          <w:szCs w:val="32"/>
        </w:rPr>
      </w:pPr>
      <w:r>
        <w:rPr>
          <w:rFonts w:ascii="宋体" w:hAnsi="宋体" w:hint="eastAsia"/>
          <w:b/>
          <w:color w:val="000000"/>
          <w:sz w:val="24"/>
          <w:szCs w:val="32"/>
        </w:rPr>
        <w:t>十七、</w:t>
      </w:r>
      <w:r>
        <w:rPr>
          <w:rFonts w:ascii="宋体" w:hAnsi="宋体"/>
          <w:b/>
          <w:color w:val="000000"/>
          <w:sz w:val="24"/>
          <w:szCs w:val="32"/>
        </w:rPr>
        <w:t>基金份额的</w:t>
      </w:r>
      <w:r w:rsidR="00483E36">
        <w:rPr>
          <w:rFonts w:ascii="宋体" w:hAnsi="宋体" w:hint="eastAsia"/>
          <w:b/>
          <w:color w:val="000000"/>
          <w:sz w:val="24"/>
          <w:szCs w:val="32"/>
        </w:rPr>
        <w:t>分类</w:t>
      </w:r>
    </w:p>
    <w:p w14:paraId="546F3B6E" w14:textId="1ADB2242" w:rsidR="00BF0C91" w:rsidRPr="00404486" w:rsidRDefault="00D65346" w:rsidP="00532B22">
      <w:pPr>
        <w:spacing w:line="360" w:lineRule="auto"/>
        <w:ind w:firstLineChars="200" w:firstLine="480"/>
        <w:rPr>
          <w:bCs/>
          <w:sz w:val="24"/>
        </w:rPr>
      </w:pPr>
      <w:r>
        <w:rPr>
          <w:rFonts w:ascii="宋体" w:hAnsi="宋体"/>
          <w:sz w:val="24"/>
        </w:rPr>
        <w:t>1</w:t>
      </w:r>
      <w:r>
        <w:rPr>
          <w:rFonts w:ascii="宋体" w:hAnsi="宋体" w:hint="eastAsia"/>
          <w:sz w:val="24"/>
        </w:rPr>
        <w:t>、</w:t>
      </w:r>
      <w:r w:rsidR="00532B22" w:rsidRPr="00E81515">
        <w:rPr>
          <w:rFonts w:hint="eastAsia"/>
          <w:bCs/>
          <w:sz w:val="24"/>
        </w:rPr>
        <w:t>本基金根据销售服务费收取</w:t>
      </w:r>
      <w:r w:rsidR="00532B22">
        <w:rPr>
          <w:rFonts w:hint="eastAsia"/>
          <w:bCs/>
          <w:sz w:val="24"/>
        </w:rPr>
        <w:t>费率</w:t>
      </w:r>
      <w:r w:rsidR="00532B22">
        <w:rPr>
          <w:rFonts w:ascii="宋体" w:hAnsi="宋体" w:hint="eastAsia"/>
          <w:color w:val="000000"/>
          <w:sz w:val="24"/>
          <w:szCs w:val="21"/>
        </w:rPr>
        <w:t>或</w:t>
      </w:r>
      <w:r w:rsidR="00532B22" w:rsidRPr="001C1487">
        <w:rPr>
          <w:rFonts w:ascii="宋体" w:hAnsi="宋体" w:hint="eastAsia"/>
          <w:color w:val="000000"/>
          <w:sz w:val="24"/>
          <w:szCs w:val="21"/>
        </w:rPr>
        <w:t>注册登记机构</w:t>
      </w:r>
      <w:r w:rsidR="005B56DA">
        <w:rPr>
          <w:rFonts w:ascii="宋体" w:hAnsi="宋体" w:hint="eastAsia"/>
          <w:color w:val="000000"/>
          <w:sz w:val="24"/>
          <w:szCs w:val="21"/>
        </w:rPr>
        <w:t>等</w:t>
      </w:r>
      <w:r w:rsidR="006B6579">
        <w:rPr>
          <w:rFonts w:ascii="宋体" w:hAnsi="宋体" w:hint="eastAsia"/>
          <w:color w:val="000000"/>
          <w:sz w:val="24"/>
          <w:szCs w:val="21"/>
        </w:rPr>
        <w:t>的</w:t>
      </w:r>
      <w:r w:rsidR="00532B22" w:rsidRPr="00E81515">
        <w:rPr>
          <w:rFonts w:hint="eastAsia"/>
          <w:bCs/>
          <w:sz w:val="24"/>
        </w:rPr>
        <w:t>不同，将基金份额分为不同的类别。</w:t>
      </w:r>
      <w:r>
        <w:rPr>
          <w:rFonts w:ascii="宋体" w:hAnsi="宋体"/>
          <w:sz w:val="24"/>
        </w:rPr>
        <w:t>各</w:t>
      </w:r>
      <w:r w:rsidR="00532B22">
        <w:rPr>
          <w:rFonts w:ascii="宋体" w:hAnsi="宋体" w:hint="eastAsia"/>
          <w:sz w:val="24"/>
        </w:rPr>
        <w:t>类</w:t>
      </w:r>
      <w:r>
        <w:rPr>
          <w:rFonts w:ascii="宋体" w:hAnsi="宋体"/>
          <w:sz w:val="24"/>
        </w:rPr>
        <w:t>基金份额单独设置基金代码，并单独公布</w:t>
      </w:r>
      <w:r>
        <w:rPr>
          <w:rFonts w:ascii="宋体" w:hAnsi="宋体" w:hint="eastAsia"/>
          <w:sz w:val="24"/>
        </w:rPr>
        <w:t>每万份基金已实现收益</w:t>
      </w:r>
      <w:r>
        <w:rPr>
          <w:rFonts w:ascii="宋体" w:hAnsi="宋体"/>
          <w:sz w:val="24"/>
        </w:rPr>
        <w:t>和基金七日年化收益率。</w:t>
      </w:r>
    </w:p>
    <w:p w14:paraId="4A47C420" w14:textId="2988D5F8" w:rsidR="00BF0C91" w:rsidRDefault="00D65346">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本基金的</w:t>
      </w:r>
      <w:r w:rsidR="000F154E" w:rsidRPr="00EE4FF1">
        <w:rPr>
          <w:rFonts w:hint="eastAsia"/>
          <w:bCs/>
          <w:sz w:val="24"/>
        </w:rPr>
        <w:t>基金份额类别分类的具体规定</w:t>
      </w:r>
      <w:r>
        <w:rPr>
          <w:rFonts w:ascii="宋体" w:hAnsi="宋体"/>
          <w:sz w:val="24"/>
        </w:rPr>
        <w:t>，由基金管理人在招募说明书中规定。但本基金对</w:t>
      </w:r>
      <w:r w:rsidR="000F154E">
        <w:rPr>
          <w:rFonts w:ascii="宋体" w:hAnsi="宋体" w:hint="eastAsia"/>
          <w:sz w:val="24"/>
        </w:rPr>
        <w:t>各类</w:t>
      </w:r>
      <w:r>
        <w:rPr>
          <w:rFonts w:ascii="宋体" w:hAnsi="宋体"/>
          <w:sz w:val="24"/>
        </w:rPr>
        <w:t>基金份额</w:t>
      </w:r>
      <w:r>
        <w:rPr>
          <w:rFonts w:ascii="宋体" w:hAnsi="宋体" w:hint="eastAsia"/>
          <w:sz w:val="24"/>
        </w:rPr>
        <w:t>适用</w:t>
      </w:r>
      <w:r>
        <w:rPr>
          <w:rFonts w:ascii="宋体" w:hAnsi="宋体"/>
          <w:sz w:val="24"/>
        </w:rPr>
        <w:t>的销售服务</w:t>
      </w:r>
      <w:r>
        <w:rPr>
          <w:rFonts w:ascii="宋体" w:hAnsi="宋体" w:hint="eastAsia"/>
          <w:sz w:val="24"/>
        </w:rPr>
        <w:t>费</w:t>
      </w:r>
      <w:r>
        <w:rPr>
          <w:rFonts w:ascii="宋体" w:hAnsi="宋体"/>
          <w:sz w:val="24"/>
        </w:rPr>
        <w:t>年费率不得超过本基金合同规</w:t>
      </w:r>
      <w:r>
        <w:rPr>
          <w:rFonts w:ascii="宋体" w:hAnsi="宋体"/>
          <w:sz w:val="24"/>
        </w:rPr>
        <w:lastRenderedPageBreak/>
        <w:t>定的最高销售服务费年费率。</w:t>
      </w:r>
    </w:p>
    <w:p w14:paraId="757BF73E" w14:textId="6E998EA6" w:rsidR="00DC6F9C" w:rsidRPr="00404486" w:rsidRDefault="00D65346" w:rsidP="00025EE0">
      <w:pPr>
        <w:spacing w:beforeLines="50" w:before="156" w:afterLines="50" w:after="156" w:line="360" w:lineRule="auto"/>
        <w:ind w:firstLineChars="200" w:firstLine="480"/>
        <w:outlineLvl w:val="1"/>
        <w:rPr>
          <w:rFonts w:ascii="宋体" w:hAnsi="宋体"/>
          <w:color w:val="000000"/>
          <w:sz w:val="24"/>
          <w:szCs w:val="21"/>
        </w:rPr>
      </w:pPr>
      <w:r>
        <w:rPr>
          <w:rFonts w:ascii="宋体" w:hAnsi="宋体"/>
          <w:sz w:val="24"/>
        </w:rPr>
        <w:t>3</w:t>
      </w:r>
      <w:r>
        <w:rPr>
          <w:rFonts w:ascii="宋体" w:hAnsi="宋体" w:hint="eastAsia"/>
          <w:sz w:val="24"/>
        </w:rPr>
        <w:t>、</w:t>
      </w:r>
      <w:r>
        <w:rPr>
          <w:rFonts w:ascii="宋体" w:hAnsi="宋体"/>
          <w:sz w:val="24"/>
        </w:rPr>
        <w:t>基金管理人可以调整本基金的</w:t>
      </w:r>
      <w:r>
        <w:rPr>
          <w:rFonts w:ascii="宋体" w:hAnsi="宋体" w:hint="eastAsia"/>
          <w:sz w:val="24"/>
        </w:rPr>
        <w:t>分</w:t>
      </w:r>
      <w:r w:rsidR="006A0471">
        <w:rPr>
          <w:rFonts w:ascii="宋体" w:hAnsi="宋体" w:hint="eastAsia"/>
          <w:sz w:val="24"/>
        </w:rPr>
        <w:t>级</w:t>
      </w:r>
      <w:r>
        <w:rPr>
          <w:rFonts w:ascii="宋体" w:hAnsi="宋体" w:hint="eastAsia"/>
          <w:sz w:val="24"/>
        </w:rPr>
        <w:t>标准和</w:t>
      </w:r>
      <w:r>
        <w:rPr>
          <w:rFonts w:ascii="宋体" w:hAnsi="宋体"/>
          <w:sz w:val="24"/>
        </w:rPr>
        <w:t>各</w:t>
      </w:r>
      <w:r w:rsidR="00025EE0">
        <w:rPr>
          <w:rFonts w:ascii="宋体" w:hAnsi="宋体" w:hint="eastAsia"/>
          <w:sz w:val="24"/>
        </w:rPr>
        <w:t>类</w:t>
      </w:r>
      <w:r>
        <w:rPr>
          <w:rFonts w:ascii="宋体" w:hAnsi="宋体"/>
          <w:sz w:val="24"/>
        </w:rPr>
        <w:t>基金份额的销售服务费年费率，基金管理人</w:t>
      </w:r>
      <w:r>
        <w:rPr>
          <w:rFonts w:ascii="宋体" w:hAnsi="宋体" w:hint="eastAsia"/>
          <w:color w:val="000000"/>
          <w:sz w:val="24"/>
          <w:szCs w:val="21"/>
        </w:rPr>
        <w:t>应在变更前依照《信息披露办法》和《信息披露特别规定》的有关规定在中国证监会指定媒介上公告并报中国证监会备案。</w:t>
      </w:r>
    </w:p>
    <w:p w14:paraId="19F2B1D1" w14:textId="77777777" w:rsidR="00BF0C91" w:rsidRDefault="00D65346">
      <w:pPr>
        <w:spacing w:beforeLines="50" w:before="156" w:afterLines="50" w:after="156" w:line="440" w:lineRule="exact"/>
        <w:ind w:firstLineChars="200" w:firstLine="482"/>
        <w:outlineLvl w:val="1"/>
        <w:rPr>
          <w:rFonts w:ascii="宋体" w:hAnsi="宋体"/>
          <w:b/>
          <w:color w:val="000000"/>
          <w:sz w:val="24"/>
          <w:szCs w:val="32"/>
        </w:rPr>
      </w:pPr>
      <w:r>
        <w:rPr>
          <w:rFonts w:ascii="宋体" w:hAnsi="宋体" w:hint="eastAsia"/>
          <w:b/>
          <w:color w:val="000000"/>
          <w:sz w:val="24"/>
          <w:szCs w:val="32"/>
        </w:rPr>
        <w:t>十八、基金份额的升级和降级</w:t>
      </w:r>
    </w:p>
    <w:p w14:paraId="0E9C69C8" w14:textId="5E280E24" w:rsidR="00BF0C91" w:rsidRDefault="00D65346">
      <w:pPr>
        <w:spacing w:line="360" w:lineRule="auto"/>
        <w:ind w:firstLineChars="200" w:firstLine="480"/>
        <w:rPr>
          <w:rFonts w:ascii="宋体" w:hAnsi="宋体"/>
          <w:sz w:val="24"/>
        </w:rPr>
      </w:pPr>
      <w:r>
        <w:rPr>
          <w:rFonts w:ascii="宋体" w:hAnsi="宋体"/>
          <w:sz w:val="24"/>
        </w:rPr>
        <w:t>当投资者在</w:t>
      </w:r>
      <w:r>
        <w:rPr>
          <w:rFonts w:ascii="宋体" w:hAnsi="宋体" w:hint="eastAsia"/>
          <w:sz w:val="24"/>
        </w:rPr>
        <w:t>单个基金账户</w:t>
      </w:r>
      <w:r>
        <w:rPr>
          <w:rFonts w:ascii="宋体" w:hAnsi="宋体"/>
          <w:sz w:val="24"/>
        </w:rPr>
        <w:t>保留的</w:t>
      </w:r>
      <w:r w:rsidR="007B303A">
        <w:rPr>
          <w:rFonts w:ascii="宋体" w:hAnsi="宋体" w:hint="eastAsia"/>
          <w:sz w:val="24"/>
        </w:rPr>
        <w:t>A类</w:t>
      </w:r>
      <w:r>
        <w:rPr>
          <w:rFonts w:ascii="宋体" w:hAnsi="宋体"/>
          <w:sz w:val="24"/>
        </w:rPr>
        <w:t>基金份额达到</w:t>
      </w:r>
      <w:r w:rsidR="007B303A">
        <w:rPr>
          <w:rFonts w:ascii="宋体" w:hAnsi="宋体" w:hint="eastAsia"/>
          <w:sz w:val="24"/>
        </w:rPr>
        <w:t>B类</w:t>
      </w:r>
      <w:r>
        <w:rPr>
          <w:rFonts w:ascii="宋体" w:hAnsi="宋体"/>
          <w:sz w:val="24"/>
        </w:rPr>
        <w:t>基金份额的最低份额要求时，基金的注册登记机构自动将投资者在</w:t>
      </w:r>
      <w:r>
        <w:rPr>
          <w:rFonts w:ascii="宋体" w:hAnsi="宋体" w:hint="eastAsia"/>
          <w:sz w:val="24"/>
        </w:rPr>
        <w:t>该基金账户</w:t>
      </w:r>
      <w:r>
        <w:rPr>
          <w:rFonts w:ascii="宋体" w:hAnsi="宋体"/>
          <w:sz w:val="24"/>
        </w:rPr>
        <w:t>保留的</w:t>
      </w:r>
      <w:r w:rsidR="00840707">
        <w:rPr>
          <w:rFonts w:ascii="宋体" w:hAnsi="宋体" w:hint="eastAsia"/>
          <w:sz w:val="24"/>
        </w:rPr>
        <w:t>A类</w:t>
      </w:r>
      <w:r>
        <w:rPr>
          <w:rFonts w:ascii="宋体" w:hAnsi="宋体"/>
          <w:sz w:val="24"/>
        </w:rPr>
        <w:t>基金份额全部升级为</w:t>
      </w:r>
      <w:r w:rsidR="007B303A">
        <w:rPr>
          <w:rFonts w:ascii="宋体" w:hAnsi="宋体" w:hint="eastAsia"/>
          <w:sz w:val="24"/>
        </w:rPr>
        <w:t>B类</w:t>
      </w:r>
      <w:r>
        <w:rPr>
          <w:rFonts w:ascii="宋体" w:hAnsi="宋体"/>
          <w:sz w:val="24"/>
        </w:rPr>
        <w:t>基金份额。</w:t>
      </w:r>
    </w:p>
    <w:p w14:paraId="2192E2BE" w14:textId="093DC927" w:rsidR="00BF0C91" w:rsidRDefault="00D65346">
      <w:pPr>
        <w:spacing w:line="360" w:lineRule="auto"/>
        <w:ind w:firstLineChars="200" w:firstLine="480"/>
        <w:rPr>
          <w:rFonts w:ascii="宋体" w:hAnsi="宋体"/>
          <w:sz w:val="24"/>
        </w:rPr>
      </w:pPr>
      <w:r>
        <w:rPr>
          <w:rFonts w:ascii="宋体" w:hAnsi="宋体"/>
          <w:sz w:val="24"/>
        </w:rPr>
        <w:t>当投资者在</w:t>
      </w:r>
      <w:r>
        <w:rPr>
          <w:rFonts w:ascii="宋体" w:hAnsi="宋体" w:hint="eastAsia"/>
          <w:sz w:val="24"/>
        </w:rPr>
        <w:t>单个基金账户</w:t>
      </w:r>
      <w:r>
        <w:rPr>
          <w:rFonts w:ascii="宋体" w:hAnsi="宋体"/>
          <w:sz w:val="24"/>
        </w:rPr>
        <w:t>保留的</w:t>
      </w:r>
      <w:r w:rsidR="007B303A">
        <w:rPr>
          <w:rFonts w:ascii="宋体" w:hAnsi="宋体" w:hint="eastAsia"/>
          <w:sz w:val="24"/>
        </w:rPr>
        <w:t>B类</w:t>
      </w:r>
      <w:r>
        <w:rPr>
          <w:rFonts w:ascii="宋体" w:hAnsi="宋体"/>
          <w:sz w:val="24"/>
        </w:rPr>
        <w:t>基金份额不能满足</w:t>
      </w:r>
      <w:r w:rsidR="005668F0" w:rsidRPr="005668F0">
        <w:rPr>
          <w:rFonts w:ascii="宋体" w:hAnsi="宋体" w:hint="eastAsia"/>
          <w:sz w:val="24"/>
        </w:rPr>
        <w:t>B类</w:t>
      </w:r>
      <w:r>
        <w:rPr>
          <w:rFonts w:ascii="宋体" w:hAnsi="宋体"/>
          <w:sz w:val="24"/>
        </w:rPr>
        <w:t>基金份额最低份额</w:t>
      </w:r>
      <w:r>
        <w:rPr>
          <w:rFonts w:ascii="宋体" w:hAnsi="宋体" w:hint="eastAsia"/>
          <w:sz w:val="24"/>
        </w:rPr>
        <w:t>要求</w:t>
      </w:r>
      <w:r>
        <w:rPr>
          <w:rFonts w:ascii="宋体" w:hAnsi="宋体"/>
          <w:sz w:val="24"/>
        </w:rPr>
        <w:t>时，基金的注册登记机构自动将投资者在</w:t>
      </w:r>
      <w:r>
        <w:rPr>
          <w:rFonts w:ascii="宋体" w:hAnsi="宋体" w:hint="eastAsia"/>
          <w:sz w:val="24"/>
        </w:rPr>
        <w:t>该基金账户</w:t>
      </w:r>
      <w:r>
        <w:rPr>
          <w:rFonts w:ascii="宋体" w:hAnsi="宋体"/>
          <w:sz w:val="24"/>
        </w:rPr>
        <w:t>保留的</w:t>
      </w:r>
      <w:r w:rsidR="00840707">
        <w:rPr>
          <w:rFonts w:ascii="宋体" w:hAnsi="宋体" w:hint="eastAsia"/>
          <w:sz w:val="24"/>
        </w:rPr>
        <w:t>B类</w:t>
      </w:r>
      <w:r>
        <w:rPr>
          <w:rFonts w:ascii="宋体" w:hAnsi="宋体"/>
          <w:sz w:val="24"/>
        </w:rPr>
        <w:t>基金份额全部降级为</w:t>
      </w:r>
      <w:r w:rsidR="007B303A">
        <w:rPr>
          <w:rFonts w:ascii="宋体" w:hAnsi="宋体" w:hint="eastAsia"/>
          <w:sz w:val="24"/>
        </w:rPr>
        <w:t>A类</w:t>
      </w:r>
      <w:r>
        <w:rPr>
          <w:rFonts w:ascii="宋体" w:hAnsi="宋体"/>
          <w:sz w:val="24"/>
        </w:rPr>
        <w:t>基金份额。</w:t>
      </w:r>
    </w:p>
    <w:p w14:paraId="1B1158A2" w14:textId="077A3AF8" w:rsidR="00BF0C91" w:rsidRDefault="00D65346">
      <w:pPr>
        <w:spacing w:line="440" w:lineRule="exact"/>
        <w:ind w:firstLineChars="200" w:firstLine="480"/>
        <w:rPr>
          <w:rFonts w:ascii="宋体" w:hAnsi="宋体"/>
          <w:sz w:val="24"/>
        </w:rPr>
      </w:pPr>
      <w:r>
        <w:rPr>
          <w:rFonts w:ascii="宋体" w:hAnsi="宋体"/>
          <w:sz w:val="24"/>
        </w:rPr>
        <w:t>在投资者持有的</w:t>
      </w:r>
      <w:r w:rsidR="002701A4">
        <w:rPr>
          <w:rFonts w:ascii="宋体" w:hAnsi="宋体" w:hint="eastAsia"/>
          <w:sz w:val="24"/>
        </w:rPr>
        <w:t>A类/</w:t>
      </w:r>
      <w:r w:rsidR="002701A4">
        <w:rPr>
          <w:rFonts w:ascii="宋体" w:hAnsi="宋体"/>
          <w:sz w:val="24"/>
        </w:rPr>
        <w:t>B</w:t>
      </w:r>
      <w:r w:rsidR="002701A4">
        <w:rPr>
          <w:rFonts w:ascii="宋体" w:hAnsi="宋体" w:hint="eastAsia"/>
          <w:sz w:val="24"/>
        </w:rPr>
        <w:t>类</w:t>
      </w:r>
      <w:r>
        <w:rPr>
          <w:rFonts w:ascii="宋体" w:hAnsi="宋体"/>
          <w:sz w:val="24"/>
        </w:rPr>
        <w:t>基金份额满足升降级条件后，基金的注册登记机构自动为其办理升降级业务，投资者持有的基金份额在升降级业务办理后的当日按照新的基金份额</w:t>
      </w:r>
      <w:r w:rsidR="00E025FF">
        <w:rPr>
          <w:rFonts w:ascii="宋体" w:hAnsi="宋体" w:hint="eastAsia"/>
          <w:sz w:val="24"/>
        </w:rPr>
        <w:t>类别</w:t>
      </w:r>
      <w:r>
        <w:rPr>
          <w:rFonts w:ascii="宋体" w:hAnsi="宋体"/>
          <w:sz w:val="24"/>
        </w:rPr>
        <w:t>享有基金收益。如果注册登记机构在T日对投资者持有的基金份额进行了升降级处理，那么投资者在该日对升降级前的基金份额提交的赎回、转换出</w:t>
      </w:r>
      <w:r>
        <w:rPr>
          <w:rFonts w:ascii="宋体" w:hAnsi="宋体" w:hint="eastAsia"/>
          <w:sz w:val="24"/>
        </w:rPr>
        <w:t>和</w:t>
      </w:r>
      <w:r>
        <w:rPr>
          <w:rFonts w:ascii="宋体" w:hAnsi="宋体"/>
          <w:sz w:val="24"/>
        </w:rPr>
        <w:t>转托管等交易申请将</w:t>
      </w:r>
      <w:r>
        <w:rPr>
          <w:rFonts w:ascii="宋体" w:hAnsi="宋体" w:hint="eastAsia"/>
          <w:sz w:val="24"/>
        </w:rPr>
        <w:t>被</w:t>
      </w:r>
      <w:r>
        <w:rPr>
          <w:rFonts w:ascii="宋体" w:hAnsi="宋体"/>
          <w:sz w:val="24"/>
        </w:rPr>
        <w:t>确认失败，基金管理人不承担由此造成的一切损失</w:t>
      </w:r>
      <w:r>
        <w:rPr>
          <w:rFonts w:ascii="宋体" w:hAnsi="宋体" w:hint="eastAsia"/>
          <w:sz w:val="24"/>
        </w:rPr>
        <w:t>。</w:t>
      </w:r>
      <w:r>
        <w:rPr>
          <w:rFonts w:ascii="宋体" w:hAnsi="宋体"/>
          <w:sz w:val="24"/>
        </w:rPr>
        <w:t>从T＋1日起，投资者可以正常提交上述交易申请。基金份额升降级的相关规则由基金管理人制定。</w:t>
      </w:r>
    </w:p>
    <w:p w14:paraId="6BC4266F" w14:textId="773500E0" w:rsidR="004E4281" w:rsidRDefault="004E4281">
      <w:pPr>
        <w:spacing w:line="440" w:lineRule="exact"/>
        <w:ind w:firstLineChars="200" w:firstLine="480"/>
        <w:rPr>
          <w:rFonts w:ascii="宋体" w:hAnsi="宋体"/>
          <w:sz w:val="24"/>
        </w:rPr>
      </w:pPr>
      <w:r w:rsidRPr="004E4281">
        <w:rPr>
          <w:rFonts w:ascii="宋体" w:hAnsi="宋体" w:hint="eastAsia"/>
          <w:sz w:val="24"/>
        </w:rPr>
        <w:t>本基金</w:t>
      </w:r>
      <w:r>
        <w:rPr>
          <w:rFonts w:ascii="宋体" w:hAnsi="宋体"/>
          <w:sz w:val="24"/>
        </w:rPr>
        <w:t>C</w:t>
      </w:r>
      <w:r w:rsidRPr="004E4281">
        <w:rPr>
          <w:rFonts w:ascii="宋体" w:hAnsi="宋体" w:hint="eastAsia"/>
          <w:sz w:val="24"/>
        </w:rPr>
        <w:t>类基金份额</w:t>
      </w:r>
      <w:r>
        <w:rPr>
          <w:rFonts w:ascii="宋体" w:hAnsi="宋体" w:hint="eastAsia"/>
          <w:sz w:val="24"/>
        </w:rPr>
        <w:t>和D类基金份额</w:t>
      </w:r>
      <w:r w:rsidRPr="004E4281">
        <w:rPr>
          <w:rFonts w:ascii="宋体" w:hAnsi="宋体" w:hint="eastAsia"/>
          <w:sz w:val="24"/>
        </w:rPr>
        <w:t>不适用上述</w:t>
      </w:r>
      <w:r w:rsidR="00CC0FBB">
        <w:rPr>
          <w:rFonts w:ascii="宋体" w:hAnsi="宋体" w:hint="eastAsia"/>
          <w:sz w:val="24"/>
        </w:rPr>
        <w:t>基金</w:t>
      </w:r>
      <w:r w:rsidRPr="004E4281">
        <w:rPr>
          <w:rFonts w:ascii="宋体" w:hAnsi="宋体" w:hint="eastAsia"/>
          <w:sz w:val="24"/>
        </w:rPr>
        <w:t>份额升降级机制。</w:t>
      </w:r>
    </w:p>
    <w:p w14:paraId="03820EE1" w14:textId="77777777" w:rsidR="00BF0C91" w:rsidRDefault="00D65346">
      <w:pPr>
        <w:spacing w:beforeLines="50" w:before="156" w:afterLines="50" w:after="156" w:line="440" w:lineRule="exact"/>
        <w:ind w:firstLineChars="200" w:firstLine="482"/>
        <w:outlineLvl w:val="1"/>
        <w:rPr>
          <w:rFonts w:ascii="宋体" w:hAnsi="宋体"/>
          <w:b/>
          <w:color w:val="000000"/>
          <w:sz w:val="24"/>
          <w:szCs w:val="32"/>
        </w:rPr>
      </w:pPr>
      <w:bookmarkStart w:id="85" w:name="_Toc79392620"/>
      <w:r>
        <w:rPr>
          <w:rFonts w:ascii="宋体" w:hAnsi="宋体" w:hint="eastAsia"/>
          <w:b/>
          <w:color w:val="000000"/>
          <w:sz w:val="24"/>
          <w:szCs w:val="32"/>
        </w:rPr>
        <w:t>十九、</w:t>
      </w:r>
      <w:r>
        <w:rPr>
          <w:rFonts w:ascii="宋体" w:hAnsi="宋体" w:hint="eastAsia"/>
          <w:b/>
          <w:color w:val="000000"/>
          <w:sz w:val="24"/>
          <w:szCs w:val="32"/>
        </w:rPr>
        <w:tab/>
        <w:t>基金的冻结</w:t>
      </w:r>
      <w:bookmarkEnd w:id="85"/>
      <w:r>
        <w:rPr>
          <w:rFonts w:ascii="宋体" w:hAnsi="宋体" w:hint="eastAsia"/>
          <w:b/>
          <w:color w:val="000000"/>
          <w:sz w:val="24"/>
          <w:szCs w:val="32"/>
        </w:rPr>
        <w:t>与解冻</w:t>
      </w:r>
    </w:p>
    <w:p w14:paraId="2F8180EA" w14:textId="77777777" w:rsidR="00BF0C91" w:rsidRDefault="00D65346">
      <w:pPr>
        <w:spacing w:line="440" w:lineRule="exact"/>
        <w:ind w:firstLineChars="200" w:firstLine="480"/>
        <w:rPr>
          <w:rFonts w:ascii="宋体" w:hAnsi="宋体"/>
          <w:color w:val="000000"/>
          <w:sz w:val="24"/>
          <w:szCs w:val="21"/>
        </w:rPr>
      </w:pPr>
      <w:r>
        <w:rPr>
          <w:rFonts w:ascii="宋体" w:hAnsi="宋体" w:hint="eastAsia"/>
          <w:color w:val="000000"/>
          <w:sz w:val="24"/>
          <w:szCs w:val="21"/>
        </w:rPr>
        <w:t>基金注册登记机构只受理国家有权机关依法要求的基金份额的冻结与解冻，以及注册登记机构认可的其他情况下的冻结与解冻。基金份额被冻结的，被冻结部分产生的权益一并冻结。</w:t>
      </w:r>
    </w:p>
    <w:p w14:paraId="163B6D2C" w14:textId="77777777" w:rsidR="00BF0C91" w:rsidRDefault="00D65346">
      <w:pPr>
        <w:pStyle w:val="1"/>
        <w:spacing w:before="100" w:beforeAutospacing="1" w:after="100" w:afterAutospacing="1" w:line="360" w:lineRule="auto"/>
        <w:rPr>
          <w:rFonts w:ascii="黑体" w:eastAsia="黑体" w:hAnsi="Arial" w:cs="Arial"/>
          <w:color w:val="000000"/>
          <w:sz w:val="30"/>
          <w:szCs w:val="32"/>
        </w:rPr>
      </w:pPr>
      <w:bookmarkStart w:id="86" w:name="_Toc48649708"/>
      <w:r>
        <w:rPr>
          <w:rFonts w:ascii="黑体" w:eastAsia="黑体" w:hAnsi="Arial" w:cs="Arial"/>
          <w:color w:val="000000"/>
          <w:sz w:val="30"/>
          <w:szCs w:val="32"/>
        </w:rPr>
        <w:br w:type="page"/>
      </w:r>
      <w:bookmarkStart w:id="87" w:name="_Toc169580221"/>
      <w:r>
        <w:rPr>
          <w:rFonts w:ascii="黑体" w:eastAsia="黑体" w:hAnsi="Arial" w:cs="Arial" w:hint="eastAsia"/>
          <w:color w:val="000000"/>
          <w:sz w:val="30"/>
          <w:szCs w:val="32"/>
        </w:rPr>
        <w:lastRenderedPageBreak/>
        <w:t>第七部分  基金合同当事人及权利义务</w:t>
      </w:r>
      <w:bookmarkEnd w:id="87"/>
    </w:p>
    <w:p w14:paraId="00D7F480" w14:textId="77777777" w:rsidR="00BF0C91" w:rsidRDefault="00D65346">
      <w:pPr>
        <w:spacing w:line="360" w:lineRule="auto"/>
        <w:ind w:firstLineChars="200" w:firstLine="482"/>
        <w:outlineLvl w:val="1"/>
        <w:rPr>
          <w:rFonts w:ascii="宋体" w:hAnsi="宋体"/>
          <w:b/>
          <w:bCs/>
          <w:color w:val="000000"/>
          <w:sz w:val="24"/>
          <w:szCs w:val="21"/>
        </w:rPr>
      </w:pPr>
      <w:r>
        <w:rPr>
          <w:rFonts w:ascii="宋体" w:hAnsi="宋体" w:hint="eastAsia"/>
          <w:b/>
          <w:bCs/>
          <w:color w:val="000000"/>
          <w:sz w:val="24"/>
          <w:szCs w:val="21"/>
        </w:rPr>
        <w:t>一、</w:t>
      </w:r>
      <w:r>
        <w:rPr>
          <w:rFonts w:ascii="宋体" w:hAnsi="宋体" w:hint="eastAsia"/>
          <w:b/>
          <w:bCs/>
          <w:color w:val="000000"/>
          <w:sz w:val="24"/>
          <w:szCs w:val="21"/>
        </w:rPr>
        <w:tab/>
        <w:t>基金管理人</w:t>
      </w:r>
    </w:p>
    <w:p w14:paraId="77CB78DC" w14:textId="77777777" w:rsidR="00BF0C91" w:rsidRDefault="00D65346">
      <w:pPr>
        <w:spacing w:line="360" w:lineRule="auto"/>
        <w:ind w:firstLineChars="200" w:firstLine="482"/>
        <w:outlineLvl w:val="2"/>
        <w:rPr>
          <w:rFonts w:ascii="宋体" w:hAnsi="宋体"/>
          <w:b/>
          <w:bCs/>
          <w:color w:val="000000"/>
          <w:sz w:val="24"/>
          <w:szCs w:val="21"/>
        </w:rPr>
      </w:pPr>
      <w:r>
        <w:rPr>
          <w:rFonts w:ascii="宋体" w:hAnsi="宋体" w:hint="eastAsia"/>
          <w:b/>
          <w:bCs/>
          <w:color w:val="000000"/>
          <w:sz w:val="24"/>
          <w:szCs w:val="21"/>
        </w:rPr>
        <w:t>（一）</w:t>
      </w:r>
      <w:r>
        <w:rPr>
          <w:rFonts w:ascii="宋体" w:hAnsi="宋体" w:hint="eastAsia"/>
          <w:b/>
          <w:bCs/>
          <w:color w:val="000000"/>
          <w:sz w:val="24"/>
          <w:szCs w:val="21"/>
        </w:rPr>
        <w:tab/>
        <w:t>基金管理人简况</w:t>
      </w:r>
    </w:p>
    <w:p w14:paraId="53E89020"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名称：交银施罗德基金管理有限公司</w:t>
      </w:r>
    </w:p>
    <w:p w14:paraId="1BEDF8EA"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注册地址：中国(上海)自由贸易试验区银城中路188号交通银行大楼二层（裙）</w:t>
      </w:r>
    </w:p>
    <w:p w14:paraId="1372E1F5" w14:textId="4C953829"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办公地址：</w:t>
      </w:r>
      <w:r w:rsidR="00A5169E">
        <w:rPr>
          <w:rFonts w:ascii="宋体" w:hAnsi="宋体"/>
          <w:sz w:val="24"/>
        </w:rPr>
        <w:t>上海市浦东新区世纪大道8号国金中心二期21-22楼</w:t>
      </w:r>
    </w:p>
    <w:p w14:paraId="39532947"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邮政编码：200120</w:t>
      </w:r>
    </w:p>
    <w:p w14:paraId="46636840"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法定代表人：阮红</w:t>
      </w:r>
    </w:p>
    <w:p w14:paraId="6EA348D2" w14:textId="77777777" w:rsidR="00BF0C91" w:rsidRDefault="00D65346">
      <w:pPr>
        <w:spacing w:line="360" w:lineRule="auto"/>
        <w:ind w:firstLineChars="200" w:firstLine="480"/>
        <w:rPr>
          <w:rFonts w:ascii="宋体" w:hAnsi="宋体"/>
          <w:sz w:val="24"/>
          <w:szCs w:val="21"/>
        </w:rPr>
      </w:pPr>
      <w:r>
        <w:rPr>
          <w:rFonts w:ascii="宋体" w:hAnsi="宋体" w:hint="eastAsia"/>
          <w:color w:val="000000"/>
          <w:sz w:val="24"/>
          <w:szCs w:val="21"/>
        </w:rPr>
        <w:t>成立日期</w:t>
      </w:r>
      <w:r>
        <w:rPr>
          <w:rFonts w:ascii="宋体" w:hAnsi="宋体" w:hint="eastAsia"/>
          <w:sz w:val="24"/>
          <w:szCs w:val="21"/>
        </w:rPr>
        <w:t>：2005年8月4日</w:t>
      </w:r>
    </w:p>
    <w:p w14:paraId="092D9DDF"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批准设立机关：中国证监会</w:t>
      </w:r>
    </w:p>
    <w:p w14:paraId="360E37F9" w14:textId="77777777" w:rsidR="00BF0C91" w:rsidRDefault="00D65346">
      <w:pPr>
        <w:spacing w:line="360" w:lineRule="auto"/>
        <w:ind w:firstLineChars="200" w:firstLine="480"/>
        <w:rPr>
          <w:rFonts w:ascii="宋体" w:hAnsi="宋体"/>
          <w:sz w:val="24"/>
          <w:szCs w:val="21"/>
        </w:rPr>
      </w:pPr>
      <w:r>
        <w:rPr>
          <w:rFonts w:ascii="宋体" w:hAnsi="宋体" w:hint="eastAsia"/>
          <w:color w:val="000000"/>
          <w:sz w:val="24"/>
          <w:szCs w:val="21"/>
        </w:rPr>
        <w:t>批准设立文号：证监基金字【</w:t>
      </w:r>
      <w:r>
        <w:rPr>
          <w:rFonts w:ascii="宋体" w:hAnsi="宋体"/>
          <w:sz w:val="24"/>
          <w:szCs w:val="21"/>
        </w:rPr>
        <w:t>2005</w:t>
      </w:r>
      <w:r>
        <w:rPr>
          <w:rFonts w:ascii="宋体" w:hAnsi="宋体" w:hint="eastAsia"/>
          <w:sz w:val="24"/>
          <w:szCs w:val="21"/>
        </w:rPr>
        <w:t>】128号</w:t>
      </w:r>
    </w:p>
    <w:p w14:paraId="5A861BA1"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组织形式：有限责任公司</w:t>
      </w:r>
    </w:p>
    <w:p w14:paraId="65DED6F6"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实收资本：2亿元人民币</w:t>
      </w:r>
    </w:p>
    <w:p w14:paraId="30E995A7"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存续期间：持续经营</w:t>
      </w:r>
    </w:p>
    <w:p w14:paraId="0C1EEBEE" w14:textId="77777777" w:rsidR="00BF0C91" w:rsidRDefault="00D65346">
      <w:pPr>
        <w:spacing w:line="360" w:lineRule="auto"/>
        <w:ind w:firstLineChars="200" w:firstLine="482"/>
        <w:outlineLvl w:val="2"/>
        <w:rPr>
          <w:rFonts w:ascii="宋体" w:hAnsi="宋体"/>
          <w:b/>
          <w:bCs/>
          <w:color w:val="000000"/>
          <w:sz w:val="24"/>
          <w:szCs w:val="21"/>
        </w:rPr>
      </w:pPr>
      <w:r>
        <w:rPr>
          <w:rFonts w:ascii="宋体" w:hAnsi="宋体" w:hint="eastAsia"/>
          <w:b/>
          <w:bCs/>
          <w:color w:val="000000"/>
          <w:sz w:val="24"/>
          <w:szCs w:val="21"/>
        </w:rPr>
        <w:t>（二）</w:t>
      </w:r>
      <w:r>
        <w:rPr>
          <w:rFonts w:ascii="宋体" w:hAnsi="宋体" w:hint="eastAsia"/>
          <w:b/>
          <w:bCs/>
          <w:color w:val="000000"/>
          <w:sz w:val="24"/>
          <w:szCs w:val="21"/>
        </w:rPr>
        <w:tab/>
        <w:t>基金管理人的权利与义务</w:t>
      </w:r>
    </w:p>
    <w:p w14:paraId="194DCF26"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1、根据《基金法》、《运作办法》及其他有关规定，基金管理人的权利包括但不限于：</w:t>
      </w:r>
    </w:p>
    <w:p w14:paraId="5910956F"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w:t>
      </w:r>
      <w:r>
        <w:rPr>
          <w:rFonts w:ascii="宋体" w:hAnsi="宋体" w:hint="eastAsia"/>
          <w:color w:val="000000"/>
          <w:sz w:val="24"/>
          <w:szCs w:val="21"/>
        </w:rPr>
        <w:tab/>
        <w:t>依法募集基金；</w:t>
      </w:r>
    </w:p>
    <w:p w14:paraId="6C4198BD"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（2）</w:t>
      </w:r>
      <w:r>
        <w:rPr>
          <w:rFonts w:ascii="宋体" w:hAnsi="宋体" w:hint="eastAsia"/>
          <w:color w:val="000000"/>
          <w:sz w:val="24"/>
          <w:szCs w:val="21"/>
        </w:rPr>
        <w:tab/>
        <w:t>自基金合同生效之日起，根据法律法规和基金合同独立运用并管理基金财产；</w:t>
      </w:r>
    </w:p>
    <w:p w14:paraId="2B8D8D90"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（3）</w:t>
      </w:r>
      <w:r>
        <w:rPr>
          <w:rFonts w:ascii="宋体" w:hAnsi="宋体" w:hint="eastAsia"/>
          <w:color w:val="000000"/>
          <w:sz w:val="24"/>
          <w:szCs w:val="21"/>
        </w:rPr>
        <w:tab/>
        <w:t>依照基金合同收取基金管理费以及法律法规规定或监管部门批准的其他收入；</w:t>
      </w:r>
    </w:p>
    <w:p w14:paraId="707C8D60"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（4）</w:t>
      </w:r>
      <w:r>
        <w:rPr>
          <w:rFonts w:ascii="宋体" w:hAnsi="宋体" w:hint="eastAsia"/>
          <w:color w:val="000000"/>
          <w:sz w:val="24"/>
          <w:szCs w:val="21"/>
        </w:rPr>
        <w:tab/>
        <w:t>销售基金份额；</w:t>
      </w:r>
    </w:p>
    <w:p w14:paraId="75488153"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（5）</w:t>
      </w:r>
      <w:r>
        <w:rPr>
          <w:rFonts w:ascii="宋体" w:hAnsi="宋体" w:hint="eastAsia"/>
          <w:color w:val="000000"/>
          <w:sz w:val="24"/>
          <w:szCs w:val="21"/>
        </w:rPr>
        <w:tab/>
        <w:t>召集基金份额持有人大会；</w:t>
      </w:r>
    </w:p>
    <w:p w14:paraId="79964B41"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（6）</w:t>
      </w:r>
      <w:r>
        <w:rPr>
          <w:rFonts w:ascii="宋体" w:hAnsi="宋体" w:hint="eastAsia"/>
          <w:color w:val="000000"/>
          <w:sz w:val="24"/>
          <w:szCs w:val="21"/>
        </w:rPr>
        <w:tab/>
        <w:t>依据基金合同及有关法律规定监督基金托管人，如认为基金托管人违反了基金合同及国家有关法律规定，应呈报中国证监会和其他监管部门，并采取必要措施保护基金投资者的利益；</w:t>
      </w:r>
    </w:p>
    <w:p w14:paraId="15D1F16E"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lastRenderedPageBreak/>
        <w:t>（7）</w:t>
      </w:r>
      <w:r>
        <w:rPr>
          <w:rFonts w:ascii="宋体" w:hAnsi="宋体" w:hint="eastAsia"/>
          <w:color w:val="000000"/>
          <w:sz w:val="24"/>
          <w:szCs w:val="21"/>
        </w:rPr>
        <w:tab/>
        <w:t>在基金托管人更换时，提名新的基金托管人；</w:t>
      </w:r>
    </w:p>
    <w:p w14:paraId="3227C355"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（8）</w:t>
      </w:r>
      <w:r>
        <w:rPr>
          <w:rFonts w:ascii="宋体" w:hAnsi="宋体" w:hint="eastAsia"/>
          <w:color w:val="000000"/>
          <w:sz w:val="24"/>
          <w:szCs w:val="21"/>
        </w:rPr>
        <w:tab/>
        <w:t>选择、委托、更换基金代销机构，对代销机构的相关行为进行监督和处理。如认为基金代销机构违反本基金合同、代销协议及法律法规的规定，应呈报中国证监会和其他监管部门，并采取必要措施保护基金份额持有人的利益；</w:t>
      </w:r>
    </w:p>
    <w:p w14:paraId="3A7D5A76"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（9）</w:t>
      </w:r>
      <w:r>
        <w:rPr>
          <w:rFonts w:ascii="宋体" w:hAnsi="宋体" w:hint="eastAsia"/>
          <w:color w:val="000000"/>
          <w:sz w:val="24"/>
          <w:szCs w:val="21"/>
        </w:rPr>
        <w:tab/>
        <w:t>依据本基金合同及有关法律法规规定决定基金收益的分配方案；</w:t>
      </w:r>
    </w:p>
    <w:p w14:paraId="76043EC0"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（10）</w:t>
      </w:r>
      <w:r>
        <w:rPr>
          <w:rFonts w:ascii="宋体" w:hAnsi="宋体" w:hint="eastAsia"/>
          <w:color w:val="000000"/>
          <w:sz w:val="24"/>
          <w:szCs w:val="21"/>
        </w:rPr>
        <w:tab/>
        <w:t>在基金合同约定的范围内，拒绝或暂停受理申购与赎回申请；</w:t>
      </w:r>
    </w:p>
    <w:p w14:paraId="1BE83C72"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（11）</w:t>
      </w:r>
      <w:r>
        <w:rPr>
          <w:rFonts w:ascii="宋体" w:hAnsi="宋体" w:hint="eastAsia"/>
          <w:color w:val="000000"/>
          <w:sz w:val="24"/>
          <w:szCs w:val="21"/>
        </w:rPr>
        <w:tab/>
        <w:t>在符合有关法律法规和基金合同的前提下，制订和调整业务规则，决定和调整除调高托管费率、管理费率、销售服务费率之外的相关费率结构和收费方式；</w:t>
      </w:r>
    </w:p>
    <w:p w14:paraId="37639C15"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（12）</w:t>
      </w:r>
      <w:r>
        <w:rPr>
          <w:rFonts w:ascii="宋体" w:hAnsi="宋体" w:hint="eastAsia"/>
          <w:color w:val="000000"/>
          <w:sz w:val="24"/>
          <w:szCs w:val="21"/>
        </w:rPr>
        <w:tab/>
        <w:t>依照法律法规为基金的利益行使因基金财产投资所产生的权利；</w:t>
      </w:r>
    </w:p>
    <w:p w14:paraId="0367B417"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（13）</w:t>
      </w:r>
      <w:r>
        <w:rPr>
          <w:rFonts w:ascii="宋体" w:hAnsi="宋体" w:hint="eastAsia"/>
          <w:color w:val="000000"/>
          <w:sz w:val="24"/>
          <w:szCs w:val="21"/>
        </w:rPr>
        <w:tab/>
        <w:t>在法律法规允许的前提下，为基金的利益依法为基金进行融资；</w:t>
      </w:r>
    </w:p>
    <w:p w14:paraId="3C747D65"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（14）</w:t>
      </w:r>
      <w:r>
        <w:rPr>
          <w:rFonts w:ascii="宋体" w:hAnsi="宋体" w:hint="eastAsia"/>
          <w:color w:val="000000"/>
          <w:sz w:val="24"/>
          <w:szCs w:val="21"/>
        </w:rPr>
        <w:tab/>
        <w:t>以基金管理人的名义，代表基金份额持有人的利益行使诉讼权利或者实施其他法律行为；</w:t>
      </w:r>
    </w:p>
    <w:p w14:paraId="5BFB5784"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（15）</w:t>
      </w:r>
      <w:r>
        <w:rPr>
          <w:rFonts w:ascii="宋体" w:hAnsi="宋体" w:hint="eastAsia"/>
          <w:color w:val="000000"/>
          <w:sz w:val="24"/>
          <w:szCs w:val="21"/>
        </w:rPr>
        <w:tab/>
        <w:t>选择、更换律师、审计师、证券经纪商或其他为基金提供服务的外部机构；</w:t>
      </w:r>
    </w:p>
    <w:p w14:paraId="54595C43"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（16）</w:t>
      </w:r>
      <w:r>
        <w:rPr>
          <w:rFonts w:ascii="宋体" w:hAnsi="宋体" w:hint="eastAsia"/>
          <w:color w:val="000000"/>
          <w:sz w:val="24"/>
          <w:szCs w:val="21"/>
        </w:rPr>
        <w:tab/>
        <w:t>法律法规和基金合同规定的其他权利。</w:t>
      </w:r>
    </w:p>
    <w:p w14:paraId="0335531B"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2、根据《基金法》、《运作办法》及其他有关规定，基金管理人的义务包括但不限于：</w:t>
      </w:r>
      <w:bookmarkStart w:id="88" w:name="_Hlt83890792"/>
      <w:bookmarkEnd w:id="88"/>
    </w:p>
    <w:p w14:paraId="2FC1E157"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w:t>
      </w:r>
      <w:r>
        <w:rPr>
          <w:rFonts w:ascii="宋体" w:hAnsi="宋体" w:hint="eastAsia"/>
          <w:color w:val="000000"/>
          <w:sz w:val="24"/>
          <w:szCs w:val="21"/>
        </w:rPr>
        <w:tab/>
        <w:t>办理基金备案手续；</w:t>
      </w:r>
    </w:p>
    <w:p w14:paraId="3BEE98BB"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（2）</w:t>
      </w:r>
      <w:r>
        <w:rPr>
          <w:rFonts w:ascii="宋体" w:hAnsi="宋体" w:hint="eastAsia"/>
          <w:color w:val="000000"/>
          <w:sz w:val="24"/>
          <w:szCs w:val="21"/>
        </w:rPr>
        <w:tab/>
        <w:t>自基金合同生效之日起</w:t>
      </w:r>
      <w:r>
        <w:rPr>
          <w:rFonts w:ascii="宋体" w:hAnsi="宋体"/>
          <w:color w:val="000000"/>
          <w:sz w:val="24"/>
          <w:szCs w:val="21"/>
        </w:rPr>
        <w:t>,</w:t>
      </w:r>
      <w:r>
        <w:rPr>
          <w:rFonts w:ascii="宋体" w:hAnsi="宋体" w:hint="eastAsia"/>
          <w:color w:val="000000"/>
          <w:sz w:val="24"/>
          <w:szCs w:val="21"/>
        </w:rPr>
        <w:t>以诚实信用、勤勉尽责的原则管理和运用基金财产；</w:t>
      </w:r>
    </w:p>
    <w:p w14:paraId="4B660B69"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（3）</w:t>
      </w:r>
      <w:r>
        <w:rPr>
          <w:rFonts w:ascii="宋体" w:hAnsi="宋体" w:hint="eastAsia"/>
          <w:color w:val="000000"/>
          <w:sz w:val="24"/>
          <w:szCs w:val="21"/>
        </w:rPr>
        <w:tab/>
        <w:t>配备足够的具有专业资格的人员进行基金投资分析、决策，以专业化的经营方式管理和运作基金财产；</w:t>
      </w:r>
    </w:p>
    <w:p w14:paraId="24D08DF1"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（4）</w:t>
      </w:r>
      <w:r>
        <w:rPr>
          <w:rFonts w:ascii="宋体" w:hAnsi="宋体" w:hint="eastAsia"/>
          <w:color w:val="000000"/>
          <w:sz w:val="24"/>
          <w:szCs w:val="21"/>
        </w:rPr>
        <w:tab/>
        <w:t>办理或者委托经中国证监会认定的其他机构代为办理基金份额的发售、申购、赎回和登记事宜；</w:t>
      </w:r>
    </w:p>
    <w:p w14:paraId="6FE2255F"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（5）</w:t>
      </w:r>
      <w:r>
        <w:rPr>
          <w:rFonts w:ascii="宋体" w:hAnsi="宋体" w:hint="eastAsia"/>
          <w:color w:val="000000"/>
          <w:sz w:val="24"/>
          <w:szCs w:val="21"/>
        </w:rPr>
        <w:tab/>
        <w:t>建立健全内部风险控制、监察与稽核、财务管理及人事管理等制度，保证所管理的基金财产和基金管理人的财产相互独立，对所管理的不同基金分别管理，分别记账，进行投资；</w:t>
      </w:r>
    </w:p>
    <w:p w14:paraId="51C0B103" w14:textId="77777777" w:rsidR="00BF0C91" w:rsidRDefault="00D65346">
      <w:pPr>
        <w:numPr>
          <w:ilvl w:val="0"/>
          <w:numId w:val="6"/>
        </w:numPr>
        <w:spacing w:line="360" w:lineRule="auto"/>
        <w:ind w:left="0" w:firstLineChars="200" w:firstLine="480"/>
        <w:rPr>
          <w:rFonts w:ascii="宋体" w:hAnsi="宋体"/>
          <w:color w:val="000000"/>
          <w:sz w:val="24"/>
          <w:szCs w:val="21"/>
        </w:rPr>
      </w:pPr>
      <w:r>
        <w:rPr>
          <w:rFonts w:ascii="宋体" w:hAnsi="宋体" w:hint="eastAsia"/>
          <w:color w:val="000000"/>
          <w:sz w:val="24"/>
          <w:szCs w:val="21"/>
        </w:rPr>
        <w:t>除依据《基金法》、基金合同及其他有关规定外，不得利用基金财产</w:t>
      </w:r>
      <w:r>
        <w:rPr>
          <w:rFonts w:ascii="宋体" w:hAnsi="宋体" w:hint="eastAsia"/>
          <w:color w:val="000000"/>
          <w:sz w:val="24"/>
          <w:szCs w:val="21"/>
        </w:rPr>
        <w:lastRenderedPageBreak/>
        <w:t>为自己及任何第三人谋取利益，不得委托第三人运作基金财产；</w:t>
      </w:r>
    </w:p>
    <w:p w14:paraId="68539189"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（7）</w:t>
      </w:r>
      <w:r>
        <w:rPr>
          <w:rFonts w:ascii="宋体" w:hAnsi="宋体" w:hint="eastAsia"/>
          <w:color w:val="000000"/>
          <w:sz w:val="24"/>
          <w:szCs w:val="21"/>
        </w:rPr>
        <w:tab/>
        <w:t>依法接受基金托管人的监督；</w:t>
      </w:r>
    </w:p>
    <w:p w14:paraId="69031F9D"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（8）</w:t>
      </w:r>
      <w:r>
        <w:rPr>
          <w:rFonts w:ascii="宋体" w:hAnsi="宋体" w:hint="eastAsia"/>
          <w:color w:val="000000"/>
          <w:sz w:val="24"/>
          <w:szCs w:val="21"/>
        </w:rPr>
        <w:tab/>
        <w:t>采取适当合理的措施使计算基金份额认购、申购、赎回和注销价格的方法符合基金合同等法律文件的规定，按有关规定计算并公告基金净值信息；</w:t>
      </w:r>
    </w:p>
    <w:p w14:paraId="37E0CAFD"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（9）</w:t>
      </w:r>
      <w:r>
        <w:rPr>
          <w:rFonts w:ascii="宋体" w:hAnsi="宋体" w:hint="eastAsia"/>
          <w:color w:val="000000"/>
          <w:sz w:val="24"/>
          <w:szCs w:val="21"/>
        </w:rPr>
        <w:tab/>
        <w:t>进行基金会计核算并编制基金财务会计报告；</w:t>
      </w:r>
    </w:p>
    <w:p w14:paraId="45D8168A"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（10）</w:t>
      </w:r>
      <w:r>
        <w:rPr>
          <w:rFonts w:ascii="宋体" w:hAnsi="宋体" w:hint="eastAsia"/>
          <w:color w:val="000000"/>
          <w:sz w:val="24"/>
          <w:szCs w:val="21"/>
        </w:rPr>
        <w:tab/>
        <w:t>编制季度报告、中期报告和年度报告；</w:t>
      </w:r>
    </w:p>
    <w:p w14:paraId="0DE582AE"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（11）</w:t>
      </w:r>
      <w:r>
        <w:rPr>
          <w:rFonts w:ascii="宋体" w:hAnsi="宋体" w:hint="eastAsia"/>
          <w:color w:val="000000"/>
          <w:sz w:val="24"/>
          <w:szCs w:val="21"/>
        </w:rPr>
        <w:tab/>
        <w:t>严格按照《基金法》、基金合同及其他有关规定，履行信息披露及报告义务；</w:t>
      </w:r>
    </w:p>
    <w:p w14:paraId="38D2F8D2"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（12）</w:t>
      </w:r>
      <w:r>
        <w:rPr>
          <w:rFonts w:ascii="宋体" w:hAnsi="宋体" w:hint="eastAsia"/>
          <w:color w:val="000000"/>
          <w:sz w:val="24"/>
          <w:szCs w:val="21"/>
        </w:rPr>
        <w:tab/>
        <w:t>保守基金商业秘密，不泄露基金投资计划、投资意向等。除《基金法》、基金合同及其他有关规定另有规定外，在基金信息公开披露前应予保密，不得向他人泄露；</w:t>
      </w:r>
    </w:p>
    <w:p w14:paraId="10A05F31"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（13）</w:t>
      </w:r>
      <w:r>
        <w:rPr>
          <w:rFonts w:ascii="宋体" w:hAnsi="宋体" w:hint="eastAsia"/>
          <w:color w:val="000000"/>
          <w:sz w:val="24"/>
          <w:szCs w:val="21"/>
        </w:rPr>
        <w:tab/>
        <w:t>按照基金合同的约定确定基金收益分配方案，及时向基金份额持有人分配收益；</w:t>
      </w:r>
    </w:p>
    <w:p w14:paraId="7370988A"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（14）</w:t>
      </w:r>
      <w:r>
        <w:rPr>
          <w:rFonts w:ascii="宋体" w:hAnsi="宋体" w:hint="eastAsia"/>
          <w:color w:val="000000"/>
          <w:sz w:val="24"/>
          <w:szCs w:val="21"/>
        </w:rPr>
        <w:tab/>
        <w:t>按规定受理申购与赎回申请，及时、足额支付赎回款项；</w:t>
      </w:r>
    </w:p>
    <w:p w14:paraId="4198D9BF"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（15）</w:t>
      </w:r>
      <w:r>
        <w:rPr>
          <w:rFonts w:ascii="宋体" w:hAnsi="宋体" w:hint="eastAsia"/>
          <w:color w:val="000000"/>
          <w:sz w:val="24"/>
          <w:szCs w:val="21"/>
        </w:rPr>
        <w:tab/>
        <w:t>依据《基金法》、基金合同及其他有关规定召集基金份额持有人大会或配合基金托管人、基金份额持有人依法召集基金份额持有人大会；</w:t>
      </w:r>
    </w:p>
    <w:p w14:paraId="1FE658B8"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（16）</w:t>
      </w:r>
      <w:r>
        <w:rPr>
          <w:rFonts w:ascii="宋体" w:hAnsi="宋体" w:hint="eastAsia"/>
          <w:color w:val="000000"/>
          <w:sz w:val="24"/>
          <w:szCs w:val="21"/>
        </w:rPr>
        <w:tab/>
        <w:t>按规定保存基金财产管理业务活动的会计账册、报表、记录和其他相关资料；</w:t>
      </w:r>
    </w:p>
    <w:p w14:paraId="62E646A2"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（17）</w:t>
      </w:r>
      <w:r>
        <w:rPr>
          <w:rFonts w:ascii="宋体" w:hAnsi="宋体" w:hint="eastAsia"/>
          <w:color w:val="000000"/>
          <w:sz w:val="24"/>
          <w:szCs w:val="21"/>
        </w:rPr>
        <w:tab/>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730B31B"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（18）</w:t>
      </w:r>
      <w:r>
        <w:rPr>
          <w:rFonts w:ascii="宋体" w:hAnsi="宋体" w:hint="eastAsia"/>
          <w:color w:val="000000"/>
          <w:sz w:val="24"/>
          <w:szCs w:val="21"/>
        </w:rPr>
        <w:tab/>
        <w:t>组织并参加基金财产清算小组</w:t>
      </w:r>
      <w:r>
        <w:rPr>
          <w:rFonts w:ascii="宋体" w:hAnsi="宋体"/>
          <w:color w:val="000000"/>
          <w:sz w:val="24"/>
          <w:szCs w:val="21"/>
        </w:rPr>
        <w:t>,</w:t>
      </w:r>
      <w:r>
        <w:rPr>
          <w:rFonts w:ascii="宋体" w:hAnsi="宋体" w:hint="eastAsia"/>
          <w:color w:val="000000"/>
          <w:sz w:val="24"/>
          <w:szCs w:val="21"/>
        </w:rPr>
        <w:t>参与基金财产的保管、清理、估价、变现和分配；</w:t>
      </w:r>
    </w:p>
    <w:p w14:paraId="6253EF1E"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（19）</w:t>
      </w:r>
      <w:r>
        <w:rPr>
          <w:rFonts w:ascii="宋体" w:hAnsi="宋体" w:hint="eastAsia"/>
          <w:color w:val="000000"/>
          <w:sz w:val="24"/>
          <w:szCs w:val="21"/>
        </w:rPr>
        <w:tab/>
        <w:t>面临解散、依法被撤销或者被依法宣告破产时，及时报告中国证监会并通知基金托管人；</w:t>
      </w:r>
    </w:p>
    <w:p w14:paraId="490949B5"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（20）</w:t>
      </w:r>
      <w:r>
        <w:rPr>
          <w:rFonts w:ascii="宋体" w:hAnsi="宋体" w:hint="eastAsia"/>
          <w:color w:val="000000"/>
          <w:sz w:val="24"/>
          <w:szCs w:val="21"/>
        </w:rPr>
        <w:tab/>
        <w:t>因违反基金合同导致基金财产的损失或损害基金份额持有人合法权益时，应当承担赔偿责任，其赔偿责任不因其退任而免除；</w:t>
      </w:r>
    </w:p>
    <w:p w14:paraId="045D8F9B"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（21）</w:t>
      </w:r>
      <w:r>
        <w:rPr>
          <w:rFonts w:ascii="宋体" w:hAnsi="宋体" w:hint="eastAsia"/>
          <w:color w:val="000000"/>
          <w:sz w:val="24"/>
          <w:szCs w:val="21"/>
        </w:rPr>
        <w:tab/>
        <w:t>基金托管人因违反基金合同造成基金财产损失时，应为基金份额持有人利益向基金托管人追偿；</w:t>
      </w:r>
    </w:p>
    <w:p w14:paraId="145AE189"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lastRenderedPageBreak/>
        <w:t>（22）</w:t>
      </w:r>
      <w:r>
        <w:rPr>
          <w:rFonts w:ascii="宋体" w:hAnsi="宋体" w:hint="eastAsia"/>
          <w:color w:val="000000"/>
          <w:sz w:val="24"/>
          <w:szCs w:val="21"/>
        </w:rPr>
        <w:tab/>
        <w:t>以基金管理人名义，代表基金份额持有人利益行使诉讼权利或实施其他法律行为；</w:t>
      </w:r>
    </w:p>
    <w:p w14:paraId="7D8B0F65"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（23）</w:t>
      </w:r>
      <w:r>
        <w:rPr>
          <w:rFonts w:ascii="宋体" w:hAnsi="宋体" w:hint="eastAsia"/>
          <w:color w:val="000000"/>
          <w:sz w:val="24"/>
          <w:szCs w:val="21"/>
        </w:rPr>
        <w:tab/>
        <w:t>基金管理人在募集期间未能达到基金</w:t>
      </w:r>
      <w:bookmarkStart w:id="89" w:name="_Hlt88823209"/>
      <w:bookmarkEnd w:id="89"/>
      <w:r>
        <w:rPr>
          <w:rFonts w:ascii="宋体" w:hAnsi="宋体" w:hint="eastAsia"/>
          <w:color w:val="000000"/>
          <w:sz w:val="24"/>
          <w:szCs w:val="21"/>
        </w:rPr>
        <w:t>的备案条件，基金合同不能生效，基金管理人承担全部募集费用，将已募集资金并加计募集期内产生的利息在募集期结束后30天内退还基金认购人；</w:t>
      </w:r>
    </w:p>
    <w:p w14:paraId="5ADA9298"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（24）</w:t>
      </w:r>
      <w:r>
        <w:rPr>
          <w:rFonts w:ascii="宋体" w:hAnsi="宋体" w:hint="eastAsia"/>
          <w:sz w:val="24"/>
          <w:szCs w:val="21"/>
        </w:rPr>
        <w:tab/>
      </w:r>
      <w:r>
        <w:rPr>
          <w:rFonts w:ascii="宋体" w:hAnsi="宋体"/>
          <w:sz w:val="24"/>
          <w:szCs w:val="21"/>
        </w:rPr>
        <w:t>执行生效的基金份额持有人大会的决定</w:t>
      </w:r>
      <w:r>
        <w:rPr>
          <w:rFonts w:ascii="宋体" w:hAnsi="宋体" w:hint="eastAsia"/>
          <w:sz w:val="24"/>
          <w:szCs w:val="21"/>
        </w:rPr>
        <w:t>；</w:t>
      </w:r>
    </w:p>
    <w:p w14:paraId="0E36C9A2"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（25）</w:t>
      </w:r>
      <w:r>
        <w:rPr>
          <w:rFonts w:ascii="宋体" w:hAnsi="宋体" w:hint="eastAsia"/>
          <w:sz w:val="24"/>
          <w:szCs w:val="21"/>
        </w:rPr>
        <w:tab/>
        <w:t>不从事任何有损基金及其他基金当事人利益的活动；</w:t>
      </w:r>
    </w:p>
    <w:p w14:paraId="66E1FB5B"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（26）</w:t>
      </w:r>
      <w:r>
        <w:rPr>
          <w:rFonts w:ascii="宋体" w:hAnsi="宋体" w:hint="eastAsia"/>
          <w:sz w:val="24"/>
          <w:szCs w:val="21"/>
        </w:rPr>
        <w:tab/>
        <w:t>法律法规和基金合同规定的其他义务。</w:t>
      </w:r>
    </w:p>
    <w:p w14:paraId="0674B20C" w14:textId="77777777" w:rsidR="00BF0C91" w:rsidRDefault="00D65346">
      <w:pPr>
        <w:spacing w:line="360" w:lineRule="auto"/>
        <w:ind w:firstLineChars="200" w:firstLine="482"/>
        <w:outlineLvl w:val="1"/>
        <w:rPr>
          <w:rFonts w:ascii="宋体" w:hAnsi="宋体"/>
          <w:b/>
          <w:bCs/>
          <w:color w:val="000000"/>
          <w:sz w:val="24"/>
          <w:szCs w:val="21"/>
        </w:rPr>
      </w:pPr>
      <w:r>
        <w:rPr>
          <w:rFonts w:ascii="宋体" w:hAnsi="宋体" w:hint="eastAsia"/>
          <w:b/>
          <w:bCs/>
          <w:color w:val="000000"/>
          <w:sz w:val="24"/>
          <w:szCs w:val="21"/>
        </w:rPr>
        <w:t>二、</w:t>
      </w:r>
      <w:r>
        <w:rPr>
          <w:rFonts w:ascii="宋体" w:hAnsi="宋体" w:hint="eastAsia"/>
          <w:b/>
          <w:bCs/>
          <w:color w:val="000000"/>
          <w:sz w:val="24"/>
          <w:szCs w:val="21"/>
        </w:rPr>
        <w:tab/>
        <w:t>基金托管人</w:t>
      </w:r>
    </w:p>
    <w:p w14:paraId="45DF1D9F" w14:textId="77777777" w:rsidR="00BF0C91" w:rsidRDefault="00D65346">
      <w:pPr>
        <w:spacing w:line="360" w:lineRule="auto"/>
        <w:ind w:firstLineChars="200" w:firstLine="482"/>
        <w:outlineLvl w:val="2"/>
        <w:rPr>
          <w:rFonts w:ascii="宋体" w:hAnsi="宋体"/>
          <w:b/>
          <w:bCs/>
          <w:color w:val="000000"/>
          <w:sz w:val="24"/>
          <w:szCs w:val="21"/>
        </w:rPr>
      </w:pPr>
      <w:r>
        <w:rPr>
          <w:rFonts w:ascii="宋体" w:hAnsi="宋体" w:hint="eastAsia"/>
          <w:b/>
          <w:bCs/>
          <w:color w:val="000000"/>
          <w:sz w:val="24"/>
          <w:szCs w:val="21"/>
        </w:rPr>
        <w:t>（一）</w:t>
      </w:r>
      <w:r>
        <w:rPr>
          <w:rFonts w:ascii="宋体" w:hAnsi="宋体" w:hint="eastAsia"/>
          <w:b/>
          <w:bCs/>
          <w:color w:val="000000"/>
          <w:sz w:val="24"/>
          <w:szCs w:val="21"/>
        </w:rPr>
        <w:tab/>
        <w:t>基金托管人简况</w:t>
      </w:r>
    </w:p>
    <w:p w14:paraId="21C3F7B9" w14:textId="77777777" w:rsidR="00BF0C91" w:rsidRDefault="00D65346">
      <w:pPr>
        <w:spacing w:line="360" w:lineRule="auto"/>
        <w:ind w:firstLineChars="200" w:firstLine="480"/>
        <w:outlineLvl w:val="2"/>
        <w:rPr>
          <w:rFonts w:ascii="宋体" w:hAnsi="宋体"/>
          <w:color w:val="000000"/>
          <w:sz w:val="24"/>
          <w:szCs w:val="21"/>
        </w:rPr>
      </w:pPr>
      <w:r>
        <w:rPr>
          <w:rFonts w:ascii="宋体" w:hAnsi="宋体" w:hint="eastAsia"/>
          <w:color w:val="000000"/>
          <w:sz w:val="24"/>
          <w:szCs w:val="21"/>
        </w:rPr>
        <w:t>名称：中国农业银行股份有限公司</w:t>
      </w:r>
    </w:p>
    <w:p w14:paraId="76032BBA" w14:textId="77777777" w:rsidR="00BF0C91" w:rsidRDefault="00D65346">
      <w:pPr>
        <w:spacing w:line="360" w:lineRule="auto"/>
        <w:ind w:firstLineChars="200" w:firstLine="480"/>
        <w:outlineLvl w:val="2"/>
        <w:rPr>
          <w:rFonts w:ascii="宋体" w:hAnsi="宋体"/>
          <w:color w:val="000000"/>
          <w:sz w:val="24"/>
          <w:szCs w:val="21"/>
        </w:rPr>
      </w:pPr>
      <w:r>
        <w:rPr>
          <w:rFonts w:ascii="宋体" w:hAnsi="宋体" w:hint="eastAsia"/>
          <w:color w:val="000000"/>
          <w:sz w:val="24"/>
          <w:szCs w:val="21"/>
        </w:rPr>
        <w:t>住所：北京市东城区建国门内大街69号</w:t>
      </w:r>
    </w:p>
    <w:p w14:paraId="72B16F42" w14:textId="347B4659" w:rsidR="00BF0C91" w:rsidRDefault="00D65346">
      <w:pPr>
        <w:spacing w:line="360" w:lineRule="auto"/>
        <w:ind w:firstLineChars="200" w:firstLine="480"/>
        <w:outlineLvl w:val="2"/>
        <w:rPr>
          <w:rFonts w:ascii="宋体" w:hAnsi="宋体"/>
          <w:color w:val="000000"/>
          <w:sz w:val="24"/>
          <w:szCs w:val="21"/>
        </w:rPr>
      </w:pPr>
      <w:r>
        <w:rPr>
          <w:rFonts w:ascii="宋体" w:hAnsi="宋体" w:hint="eastAsia"/>
          <w:color w:val="000000"/>
          <w:sz w:val="24"/>
          <w:szCs w:val="21"/>
        </w:rPr>
        <w:t>法定代表人：谷澍</w:t>
      </w:r>
    </w:p>
    <w:p w14:paraId="1C063E60" w14:textId="77777777" w:rsidR="00BF0C91" w:rsidRDefault="00D65346">
      <w:pPr>
        <w:spacing w:line="360" w:lineRule="auto"/>
        <w:ind w:firstLineChars="200" w:firstLine="480"/>
        <w:outlineLvl w:val="2"/>
        <w:rPr>
          <w:rFonts w:ascii="宋体" w:hAnsi="宋体"/>
          <w:color w:val="000000"/>
          <w:sz w:val="24"/>
          <w:szCs w:val="21"/>
        </w:rPr>
      </w:pPr>
      <w:r>
        <w:rPr>
          <w:rFonts w:ascii="宋体" w:hAnsi="宋体" w:hint="eastAsia"/>
          <w:color w:val="000000"/>
          <w:sz w:val="24"/>
          <w:szCs w:val="21"/>
        </w:rPr>
        <w:t>成立时间：2009年1月15日</w:t>
      </w:r>
    </w:p>
    <w:p w14:paraId="3693A50B" w14:textId="77777777" w:rsidR="00BF0C91" w:rsidRDefault="00D65346">
      <w:pPr>
        <w:spacing w:line="360" w:lineRule="auto"/>
        <w:ind w:firstLineChars="200" w:firstLine="480"/>
        <w:outlineLvl w:val="2"/>
        <w:rPr>
          <w:rFonts w:ascii="宋体" w:hAnsi="宋体"/>
          <w:color w:val="000000"/>
          <w:sz w:val="24"/>
          <w:szCs w:val="21"/>
        </w:rPr>
      </w:pPr>
      <w:r>
        <w:rPr>
          <w:rFonts w:ascii="宋体" w:hAnsi="宋体" w:hint="eastAsia"/>
          <w:color w:val="000000"/>
          <w:sz w:val="24"/>
          <w:szCs w:val="21"/>
        </w:rPr>
        <w:t>批准设立机关和批准设立文号：中国银行业监督管理委员会银监复【2009】13号</w:t>
      </w:r>
    </w:p>
    <w:p w14:paraId="592F6B5D" w14:textId="77777777" w:rsidR="00BF0C91" w:rsidRDefault="00D65346">
      <w:pPr>
        <w:spacing w:line="360" w:lineRule="auto"/>
        <w:ind w:firstLineChars="200" w:firstLine="480"/>
        <w:outlineLvl w:val="2"/>
        <w:rPr>
          <w:rFonts w:ascii="宋体" w:hAnsi="宋体"/>
          <w:color w:val="000000"/>
          <w:sz w:val="24"/>
          <w:szCs w:val="21"/>
        </w:rPr>
      </w:pPr>
      <w:r>
        <w:rPr>
          <w:rFonts w:ascii="宋体" w:hAnsi="宋体" w:hint="eastAsia"/>
          <w:color w:val="000000"/>
          <w:sz w:val="24"/>
          <w:szCs w:val="21"/>
        </w:rPr>
        <w:t>组织形式：股份有限公司</w:t>
      </w:r>
    </w:p>
    <w:p w14:paraId="0B36BCDC" w14:textId="44B9777D" w:rsidR="00BF0C91" w:rsidRDefault="00D65346">
      <w:pPr>
        <w:spacing w:line="360" w:lineRule="auto"/>
        <w:ind w:firstLineChars="200" w:firstLine="480"/>
        <w:outlineLvl w:val="2"/>
        <w:rPr>
          <w:rFonts w:ascii="宋体" w:hAnsi="宋体"/>
          <w:color w:val="000000"/>
          <w:sz w:val="24"/>
          <w:szCs w:val="21"/>
        </w:rPr>
      </w:pPr>
      <w:r>
        <w:rPr>
          <w:rFonts w:ascii="宋体" w:hAnsi="宋体" w:hint="eastAsia"/>
          <w:color w:val="000000"/>
          <w:sz w:val="24"/>
          <w:szCs w:val="21"/>
        </w:rPr>
        <w:t>注册资本：</w:t>
      </w:r>
      <w:r>
        <w:rPr>
          <w:rFonts w:ascii="宋体" w:hAnsi="宋体"/>
          <w:color w:val="000000"/>
          <w:sz w:val="24"/>
          <w:szCs w:val="21"/>
        </w:rPr>
        <w:t>34,998,303.4</w:t>
      </w:r>
      <w:r>
        <w:rPr>
          <w:rFonts w:ascii="宋体" w:hAnsi="宋体" w:hint="eastAsia"/>
          <w:color w:val="000000"/>
          <w:sz w:val="24"/>
          <w:szCs w:val="21"/>
        </w:rPr>
        <w:t>万元</w:t>
      </w:r>
    </w:p>
    <w:p w14:paraId="4DF7F0E1" w14:textId="77777777" w:rsidR="00BF0C91" w:rsidRDefault="00D65346">
      <w:pPr>
        <w:spacing w:line="360" w:lineRule="auto"/>
        <w:ind w:firstLineChars="200" w:firstLine="480"/>
        <w:outlineLvl w:val="2"/>
        <w:rPr>
          <w:rFonts w:ascii="宋体" w:hAnsi="宋体"/>
          <w:color w:val="000000"/>
          <w:sz w:val="24"/>
          <w:szCs w:val="21"/>
        </w:rPr>
      </w:pPr>
      <w:r>
        <w:rPr>
          <w:rFonts w:ascii="宋体" w:hAnsi="宋体" w:hint="eastAsia"/>
          <w:color w:val="000000"/>
          <w:sz w:val="24"/>
          <w:szCs w:val="21"/>
        </w:rPr>
        <w:t>存续期间：持续经营</w:t>
      </w:r>
    </w:p>
    <w:p w14:paraId="3BE0C0FA" w14:textId="1A29D340" w:rsidR="00BF0C91" w:rsidRDefault="00D65346">
      <w:pPr>
        <w:spacing w:line="360" w:lineRule="auto"/>
        <w:ind w:firstLineChars="200" w:firstLine="480"/>
        <w:outlineLvl w:val="2"/>
        <w:rPr>
          <w:rFonts w:ascii="宋体" w:hAnsi="宋体"/>
          <w:color w:val="000000"/>
          <w:sz w:val="24"/>
          <w:szCs w:val="21"/>
        </w:rPr>
      </w:pPr>
      <w:r>
        <w:rPr>
          <w:rFonts w:ascii="宋体" w:hAnsi="宋体" w:hint="eastAsia"/>
          <w:color w:val="000000"/>
          <w:sz w:val="24"/>
          <w:szCs w:val="21"/>
        </w:rPr>
        <w:t>基金托管资格批</w:t>
      </w:r>
      <w:r w:rsidR="00EE7874">
        <w:rPr>
          <w:rFonts w:ascii="宋体" w:hAnsi="宋体" w:hint="eastAsia"/>
          <w:color w:val="000000"/>
          <w:sz w:val="24"/>
          <w:szCs w:val="21"/>
        </w:rPr>
        <w:t>文及</w:t>
      </w:r>
      <w:r>
        <w:rPr>
          <w:rFonts w:ascii="宋体" w:hAnsi="宋体" w:hint="eastAsia"/>
          <w:color w:val="000000"/>
          <w:sz w:val="24"/>
          <w:szCs w:val="21"/>
        </w:rPr>
        <w:t>文号：中国证监会证监基字[1998]23号</w:t>
      </w:r>
    </w:p>
    <w:p w14:paraId="38581D79" w14:textId="77777777" w:rsidR="00BF0C91" w:rsidRDefault="00D65346">
      <w:pPr>
        <w:spacing w:line="360" w:lineRule="auto"/>
        <w:ind w:firstLineChars="200" w:firstLine="482"/>
        <w:outlineLvl w:val="2"/>
        <w:rPr>
          <w:rFonts w:ascii="宋体" w:hAnsi="宋体"/>
          <w:b/>
          <w:bCs/>
          <w:color w:val="000000"/>
          <w:sz w:val="24"/>
          <w:szCs w:val="21"/>
        </w:rPr>
      </w:pPr>
      <w:r>
        <w:rPr>
          <w:rFonts w:ascii="宋体" w:hAnsi="宋体" w:hint="eastAsia"/>
          <w:b/>
          <w:bCs/>
          <w:color w:val="000000"/>
          <w:sz w:val="24"/>
          <w:szCs w:val="21"/>
        </w:rPr>
        <w:t>（二）</w:t>
      </w:r>
      <w:r>
        <w:rPr>
          <w:rFonts w:ascii="宋体" w:hAnsi="宋体" w:hint="eastAsia"/>
          <w:b/>
          <w:bCs/>
          <w:color w:val="000000"/>
          <w:sz w:val="24"/>
          <w:szCs w:val="21"/>
        </w:rPr>
        <w:tab/>
        <w:t>基金托管人的权利与义务</w:t>
      </w:r>
    </w:p>
    <w:p w14:paraId="276F7EF4"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1、根据《基金法》、《运作办法》及其他有关规定，基金托管人的权利包括但不限于：</w:t>
      </w:r>
    </w:p>
    <w:p w14:paraId="7B6621DE"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w:t>
      </w:r>
      <w:r>
        <w:rPr>
          <w:rFonts w:ascii="宋体" w:hAnsi="宋体" w:hint="eastAsia"/>
          <w:color w:val="000000"/>
          <w:sz w:val="24"/>
          <w:szCs w:val="21"/>
        </w:rPr>
        <w:tab/>
        <w:t>自本基金合同生效之日起，依法律法规和基金合同的规定安全保管基金财产；</w:t>
      </w:r>
    </w:p>
    <w:p w14:paraId="182E2994"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（2）</w:t>
      </w:r>
      <w:r>
        <w:rPr>
          <w:rFonts w:ascii="宋体" w:hAnsi="宋体" w:hint="eastAsia"/>
          <w:color w:val="000000"/>
          <w:sz w:val="24"/>
          <w:szCs w:val="21"/>
        </w:rPr>
        <w:tab/>
        <w:t>依基金合同约定获得基金托管费以及法律法规规定或监管部门批准的其他收入；</w:t>
      </w:r>
    </w:p>
    <w:p w14:paraId="3DFDC3D8"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（3）</w:t>
      </w:r>
      <w:r>
        <w:rPr>
          <w:rFonts w:ascii="宋体" w:hAnsi="宋体" w:hint="eastAsia"/>
          <w:color w:val="000000"/>
          <w:sz w:val="24"/>
          <w:szCs w:val="21"/>
        </w:rPr>
        <w:tab/>
        <w:t>监督基金管理人对本基金的投资运作，如发现基金管理人有违反基金合同及国家法律法规行为，应呈报中国证监会，并采取必要措施保护基金份额</w:t>
      </w:r>
      <w:r>
        <w:rPr>
          <w:rFonts w:ascii="宋体" w:hAnsi="宋体" w:hint="eastAsia"/>
          <w:color w:val="000000"/>
          <w:sz w:val="24"/>
          <w:szCs w:val="21"/>
        </w:rPr>
        <w:lastRenderedPageBreak/>
        <w:t>持有人的利益；</w:t>
      </w:r>
    </w:p>
    <w:p w14:paraId="4B4F0E55"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（4）</w:t>
      </w:r>
      <w:r>
        <w:rPr>
          <w:rFonts w:ascii="宋体" w:hAnsi="宋体" w:hint="eastAsia"/>
          <w:color w:val="000000"/>
          <w:sz w:val="24"/>
          <w:szCs w:val="21"/>
        </w:rPr>
        <w:tab/>
      </w:r>
      <w:r>
        <w:rPr>
          <w:rFonts w:ascii="宋体" w:hAnsi="宋体"/>
          <w:color w:val="000000"/>
          <w:sz w:val="24"/>
          <w:szCs w:val="21"/>
        </w:rPr>
        <w:t>以基金托管人和基金联名的方式在中国证券登记结算有限</w:t>
      </w:r>
      <w:r>
        <w:rPr>
          <w:rFonts w:ascii="宋体" w:hAnsi="宋体" w:hint="eastAsia"/>
          <w:color w:val="000000"/>
          <w:sz w:val="24"/>
          <w:szCs w:val="21"/>
        </w:rPr>
        <w:t>责任</w:t>
      </w:r>
      <w:r>
        <w:rPr>
          <w:rFonts w:ascii="宋体" w:hAnsi="宋体"/>
          <w:color w:val="000000"/>
          <w:sz w:val="24"/>
          <w:szCs w:val="21"/>
        </w:rPr>
        <w:t>公司上海分公司和深圳分公司开设证券账户；</w:t>
      </w:r>
    </w:p>
    <w:p w14:paraId="32E5BD0E"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（5）</w:t>
      </w:r>
      <w:r>
        <w:rPr>
          <w:rFonts w:ascii="宋体" w:hAnsi="宋体" w:hint="eastAsia"/>
          <w:color w:val="000000"/>
          <w:sz w:val="24"/>
          <w:szCs w:val="21"/>
        </w:rPr>
        <w:tab/>
      </w:r>
      <w:r>
        <w:rPr>
          <w:rFonts w:ascii="宋体" w:hAnsi="宋体"/>
          <w:color w:val="000000"/>
          <w:sz w:val="24"/>
          <w:szCs w:val="21"/>
        </w:rPr>
        <w:t>以基金托管人名义开立证券交易资金账户，用于证券交易资金清算；</w:t>
      </w:r>
    </w:p>
    <w:p w14:paraId="32928453"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（6）</w:t>
      </w:r>
      <w:r>
        <w:rPr>
          <w:rFonts w:ascii="宋体" w:hAnsi="宋体" w:hint="eastAsia"/>
          <w:color w:val="000000"/>
          <w:sz w:val="24"/>
          <w:szCs w:val="21"/>
        </w:rPr>
        <w:tab/>
      </w:r>
      <w:r>
        <w:rPr>
          <w:rFonts w:ascii="宋体" w:hAnsi="宋体"/>
          <w:color w:val="000000"/>
          <w:sz w:val="24"/>
          <w:szCs w:val="21"/>
        </w:rPr>
        <w:t>以基金的名义在中央国债登记结算有限公司开设</w:t>
      </w:r>
      <w:r>
        <w:rPr>
          <w:rFonts w:ascii="宋体" w:hAnsi="宋体" w:hint="eastAsia"/>
          <w:color w:val="000000"/>
          <w:sz w:val="24"/>
          <w:szCs w:val="21"/>
        </w:rPr>
        <w:t>银行间</w:t>
      </w:r>
      <w:r>
        <w:rPr>
          <w:rFonts w:ascii="宋体" w:hAnsi="宋体"/>
          <w:color w:val="000000"/>
          <w:sz w:val="24"/>
          <w:szCs w:val="21"/>
        </w:rPr>
        <w:t>债券托管账户</w:t>
      </w:r>
      <w:r>
        <w:rPr>
          <w:rFonts w:ascii="宋体" w:hAnsi="宋体" w:hint="eastAsia"/>
          <w:color w:val="000000"/>
          <w:sz w:val="24"/>
          <w:szCs w:val="21"/>
        </w:rPr>
        <w:t>，</w:t>
      </w:r>
      <w:r>
        <w:rPr>
          <w:rFonts w:ascii="宋体" w:hAnsi="宋体"/>
          <w:color w:val="000000"/>
          <w:sz w:val="24"/>
          <w:szCs w:val="21"/>
        </w:rPr>
        <w:t>负责基金的债券及资金的清算；</w:t>
      </w:r>
    </w:p>
    <w:p w14:paraId="39EB2D82"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（7）</w:t>
      </w:r>
      <w:r>
        <w:rPr>
          <w:rFonts w:ascii="宋体" w:hAnsi="宋体" w:hint="eastAsia"/>
          <w:color w:val="000000"/>
          <w:sz w:val="24"/>
          <w:szCs w:val="21"/>
        </w:rPr>
        <w:tab/>
        <w:t>提议召开基金份额持有人大会；</w:t>
      </w:r>
    </w:p>
    <w:p w14:paraId="0E3DA766"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（8）</w:t>
      </w:r>
      <w:r>
        <w:rPr>
          <w:rFonts w:ascii="宋体" w:hAnsi="宋体" w:hint="eastAsia"/>
          <w:color w:val="000000"/>
          <w:sz w:val="24"/>
          <w:szCs w:val="21"/>
        </w:rPr>
        <w:tab/>
        <w:t>在基金管理人更换时，提名新的基金管理人；</w:t>
      </w:r>
    </w:p>
    <w:p w14:paraId="6E4BBF5B"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（9）</w:t>
      </w:r>
      <w:r>
        <w:rPr>
          <w:rFonts w:ascii="宋体" w:hAnsi="宋体" w:hint="eastAsia"/>
          <w:color w:val="000000"/>
          <w:sz w:val="24"/>
          <w:szCs w:val="21"/>
        </w:rPr>
        <w:tab/>
        <w:t>法律法规和基金合同规定的其他权利。</w:t>
      </w:r>
    </w:p>
    <w:p w14:paraId="6AF8F4F3"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2、根据《基金法》、《运作办法》及其他有关规定，基金托管人的义务包括但不限于：</w:t>
      </w:r>
    </w:p>
    <w:p w14:paraId="6BDA07E2"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w:t>
      </w:r>
      <w:r>
        <w:rPr>
          <w:rFonts w:ascii="宋体" w:hAnsi="宋体" w:hint="eastAsia"/>
          <w:color w:val="000000"/>
          <w:sz w:val="24"/>
          <w:szCs w:val="21"/>
        </w:rPr>
        <w:tab/>
        <w:t>以诚实信用、勤勉尽责的原则持有并安全保管基金财产；</w:t>
      </w:r>
    </w:p>
    <w:p w14:paraId="266D61D0"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（2）</w:t>
      </w:r>
      <w:r>
        <w:rPr>
          <w:rFonts w:ascii="宋体" w:hAnsi="宋体" w:hint="eastAsia"/>
          <w:color w:val="000000"/>
          <w:sz w:val="24"/>
          <w:szCs w:val="21"/>
        </w:rPr>
        <w:tab/>
        <w:t>设立专门的资产托管部，具有符合要求的营业场所，配备足够的、合格的熟悉基金托管业务的专职人员，负责基金财产托管事宜；</w:t>
      </w:r>
    </w:p>
    <w:p w14:paraId="4D4E3404"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（3）</w:t>
      </w:r>
      <w:r>
        <w:rPr>
          <w:rFonts w:ascii="宋体" w:hAnsi="宋体" w:hint="eastAsia"/>
          <w:color w:val="000000"/>
          <w:sz w:val="24"/>
          <w:szCs w:val="21"/>
        </w:rPr>
        <w:tab/>
        <w:t>建立健全内部风险控制、监察与稽核、财务管理及人事管理等制度，确保基金财产的安全，保证其托管的基金财产与基金托管人自有财产以及不同的基金财产相互独立；对不同的基金分别设置账户，独立核算，分账管理，保证不同基金之间在名册登记、账户设置、资金划拨、账册记录等方面相互独立；</w:t>
      </w:r>
    </w:p>
    <w:p w14:paraId="4C2E53EC"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（4）</w:t>
      </w:r>
      <w:r>
        <w:rPr>
          <w:rFonts w:ascii="宋体" w:hAnsi="宋体" w:hint="eastAsia"/>
          <w:color w:val="000000"/>
          <w:sz w:val="24"/>
          <w:szCs w:val="21"/>
        </w:rPr>
        <w:tab/>
        <w:t>除依据《基金法》、基金合同及其他有关规定外，不得利用基金财产为自己及任何第三人谋取利益，不得委托第三人托管基金财产；</w:t>
      </w:r>
    </w:p>
    <w:p w14:paraId="28564FBD"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（5）</w:t>
      </w:r>
      <w:r>
        <w:rPr>
          <w:rFonts w:ascii="宋体" w:hAnsi="宋体" w:hint="eastAsia"/>
          <w:color w:val="000000"/>
          <w:sz w:val="24"/>
          <w:szCs w:val="21"/>
        </w:rPr>
        <w:tab/>
        <w:t>保管由基金管理人代表基金签订的与基金有关的重大合同及有关凭证；</w:t>
      </w:r>
    </w:p>
    <w:p w14:paraId="123DD8AF"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（6）</w:t>
      </w:r>
      <w:r>
        <w:rPr>
          <w:rFonts w:ascii="宋体" w:hAnsi="宋体" w:hint="eastAsia"/>
          <w:color w:val="000000"/>
          <w:sz w:val="24"/>
          <w:szCs w:val="21"/>
        </w:rPr>
        <w:tab/>
        <w:t>按规定开设基金财产的资金账户和证券账户，按照基金合同的约定，根据基金管理人的投资指令，及时办理清算、交割事宜；</w:t>
      </w:r>
    </w:p>
    <w:p w14:paraId="69AE6EF0"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（7）</w:t>
      </w:r>
      <w:r>
        <w:rPr>
          <w:rFonts w:ascii="宋体" w:hAnsi="宋体" w:hint="eastAsia"/>
          <w:color w:val="000000"/>
          <w:sz w:val="24"/>
          <w:szCs w:val="21"/>
        </w:rPr>
        <w:tab/>
        <w:t>保守基金商业秘密，除《基金法》、基金合同及其他有关规定另有规定外，在基金信息公开披露前予以保密，不得向他人泄露；</w:t>
      </w:r>
    </w:p>
    <w:p w14:paraId="63E2E452" w14:textId="13986306"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（8）</w:t>
      </w:r>
      <w:r>
        <w:rPr>
          <w:rFonts w:ascii="宋体" w:hAnsi="宋体" w:hint="eastAsia"/>
          <w:color w:val="000000"/>
          <w:sz w:val="24"/>
          <w:szCs w:val="21"/>
        </w:rPr>
        <w:tab/>
        <w:t>复核、审查基金管理人计算的基金资产净值、基金份额净值、</w:t>
      </w:r>
      <w:r w:rsidR="005A36ED" w:rsidRPr="005A36ED">
        <w:rPr>
          <w:rFonts w:ascii="宋体" w:hAnsi="宋体" w:hint="eastAsia"/>
          <w:color w:val="000000"/>
          <w:sz w:val="24"/>
          <w:szCs w:val="21"/>
        </w:rPr>
        <w:t>每万份基金已实现收益和</w:t>
      </w:r>
      <w:r w:rsidR="005A36ED">
        <w:rPr>
          <w:rFonts w:ascii="宋体" w:hAnsi="宋体" w:hint="eastAsia"/>
          <w:color w:val="000000"/>
          <w:sz w:val="24"/>
          <w:szCs w:val="21"/>
        </w:rPr>
        <w:t>七日年化收益率</w:t>
      </w:r>
      <w:r>
        <w:rPr>
          <w:rFonts w:ascii="宋体" w:hAnsi="宋体" w:hint="eastAsia"/>
          <w:color w:val="000000"/>
          <w:sz w:val="24"/>
          <w:szCs w:val="21"/>
        </w:rPr>
        <w:t>；</w:t>
      </w:r>
    </w:p>
    <w:p w14:paraId="125E16A7"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（9）</w:t>
      </w:r>
      <w:r>
        <w:rPr>
          <w:rFonts w:ascii="宋体" w:hAnsi="宋体" w:hint="eastAsia"/>
          <w:color w:val="000000"/>
          <w:sz w:val="24"/>
          <w:szCs w:val="21"/>
        </w:rPr>
        <w:tab/>
        <w:t>办理与基金托管业务活动有关的信息披露事项；</w:t>
      </w:r>
    </w:p>
    <w:p w14:paraId="3E97B79F"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lastRenderedPageBreak/>
        <w:t>（10）</w:t>
      </w:r>
      <w:r>
        <w:rPr>
          <w:rFonts w:ascii="宋体" w:hAnsi="宋体" w:hint="eastAsia"/>
          <w:color w:val="000000"/>
          <w:sz w:val="24"/>
          <w:szCs w:val="21"/>
        </w:rPr>
        <w:tab/>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D6C1604"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（11）</w:t>
      </w:r>
      <w:r>
        <w:rPr>
          <w:rFonts w:ascii="宋体" w:hAnsi="宋体" w:hint="eastAsia"/>
          <w:color w:val="000000"/>
          <w:sz w:val="24"/>
          <w:szCs w:val="21"/>
        </w:rPr>
        <w:tab/>
        <w:t>按有关规定，保存基金托管业务活动的记录、账册、报表和其他相关资料；</w:t>
      </w:r>
    </w:p>
    <w:p w14:paraId="16958DB1"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（12）</w:t>
      </w:r>
      <w:r>
        <w:rPr>
          <w:rFonts w:ascii="宋体" w:hAnsi="宋体" w:hint="eastAsia"/>
          <w:color w:val="000000"/>
          <w:sz w:val="24"/>
          <w:szCs w:val="21"/>
        </w:rPr>
        <w:tab/>
        <w:t>建立并保存基金份额持有人名册；</w:t>
      </w:r>
    </w:p>
    <w:p w14:paraId="02698AE8"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（13）</w:t>
      </w:r>
      <w:r>
        <w:rPr>
          <w:rFonts w:ascii="宋体" w:hAnsi="宋体" w:hint="eastAsia"/>
          <w:color w:val="000000"/>
          <w:sz w:val="24"/>
          <w:szCs w:val="21"/>
        </w:rPr>
        <w:tab/>
        <w:t>按规定制作相关账册并与基金管理人核对；</w:t>
      </w:r>
    </w:p>
    <w:p w14:paraId="2602A453"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（14）</w:t>
      </w:r>
      <w:r>
        <w:rPr>
          <w:rFonts w:ascii="宋体" w:hAnsi="宋体" w:hint="eastAsia"/>
          <w:color w:val="000000"/>
          <w:sz w:val="24"/>
          <w:szCs w:val="21"/>
        </w:rPr>
        <w:tab/>
        <w:t>依据基金管理人的指令或有关规定向基金份额持有人支付基金收益和赎回款项；</w:t>
      </w:r>
    </w:p>
    <w:p w14:paraId="4E66C6EA"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（15）</w:t>
      </w:r>
      <w:r>
        <w:rPr>
          <w:rFonts w:ascii="宋体" w:hAnsi="宋体" w:hint="eastAsia"/>
          <w:color w:val="000000"/>
          <w:sz w:val="24"/>
          <w:szCs w:val="21"/>
        </w:rPr>
        <w:tab/>
        <w:t>按照规定召集基金份额持有人大会或配合基金份额持有人依法自行召集基金份额持有人大会；</w:t>
      </w:r>
    </w:p>
    <w:p w14:paraId="57E9E9C8"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（16）</w:t>
      </w:r>
      <w:r>
        <w:rPr>
          <w:rFonts w:ascii="宋体" w:hAnsi="宋体" w:hint="eastAsia"/>
          <w:color w:val="000000"/>
          <w:sz w:val="24"/>
          <w:szCs w:val="21"/>
        </w:rPr>
        <w:tab/>
        <w:t>按照规定监督基金管理人的投资运作；</w:t>
      </w:r>
    </w:p>
    <w:p w14:paraId="43BA7147"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（17）</w:t>
      </w:r>
      <w:r>
        <w:rPr>
          <w:rFonts w:ascii="宋体" w:hAnsi="宋体" w:hint="eastAsia"/>
          <w:color w:val="000000"/>
          <w:sz w:val="24"/>
          <w:szCs w:val="21"/>
        </w:rPr>
        <w:tab/>
        <w:t>参加基金财产清算小组，参与基金财产的保管、清理、估价、变现和分配；</w:t>
      </w:r>
    </w:p>
    <w:p w14:paraId="62987F8A"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（18）</w:t>
      </w:r>
      <w:r>
        <w:rPr>
          <w:rFonts w:ascii="宋体" w:hAnsi="宋体" w:hint="eastAsia"/>
          <w:color w:val="000000"/>
          <w:sz w:val="24"/>
          <w:szCs w:val="21"/>
        </w:rPr>
        <w:tab/>
        <w:t>面临解散、依法被撤销或者被依法宣告破产时，及时报告中国证监会和银行监管机构，并通知基金管理人；</w:t>
      </w:r>
    </w:p>
    <w:p w14:paraId="0F61CDAB"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（19）</w:t>
      </w:r>
      <w:r>
        <w:rPr>
          <w:rFonts w:ascii="宋体" w:hAnsi="宋体" w:hint="eastAsia"/>
          <w:color w:val="000000"/>
          <w:sz w:val="24"/>
          <w:szCs w:val="21"/>
        </w:rPr>
        <w:tab/>
        <w:t>因违反基金合同导致基金财产损失时，应承担赔偿责任，其赔偿责任不因其退任而免除；</w:t>
      </w:r>
    </w:p>
    <w:p w14:paraId="361BC840" w14:textId="77777777" w:rsidR="00BF0C91" w:rsidRDefault="00D65346">
      <w:pPr>
        <w:spacing w:line="360" w:lineRule="auto"/>
        <w:ind w:firstLineChars="200" w:firstLine="480"/>
        <w:rPr>
          <w:rFonts w:ascii="宋体" w:hAnsi="宋体"/>
          <w:sz w:val="24"/>
          <w:szCs w:val="21"/>
        </w:rPr>
      </w:pPr>
      <w:r>
        <w:rPr>
          <w:rFonts w:ascii="宋体" w:hAnsi="宋体" w:hint="eastAsia"/>
          <w:color w:val="000000"/>
          <w:sz w:val="24"/>
          <w:szCs w:val="21"/>
        </w:rPr>
        <w:t>（20）</w:t>
      </w:r>
      <w:r>
        <w:rPr>
          <w:rFonts w:ascii="宋体" w:hAnsi="宋体" w:hint="eastAsia"/>
          <w:color w:val="000000"/>
          <w:sz w:val="24"/>
          <w:szCs w:val="21"/>
        </w:rPr>
        <w:tab/>
        <w:t>基金管理人因违反基金合同造成基金财产损失时，应为基金份</w:t>
      </w:r>
      <w:r>
        <w:rPr>
          <w:rFonts w:ascii="宋体" w:hAnsi="宋体" w:hint="eastAsia"/>
          <w:sz w:val="24"/>
          <w:szCs w:val="21"/>
        </w:rPr>
        <w:t>额持有人的利益向基金管理人追偿；</w:t>
      </w:r>
    </w:p>
    <w:p w14:paraId="62DE22C1"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（21）</w:t>
      </w:r>
      <w:r>
        <w:rPr>
          <w:rFonts w:ascii="宋体" w:hAnsi="宋体" w:hint="eastAsia"/>
          <w:sz w:val="24"/>
          <w:szCs w:val="21"/>
        </w:rPr>
        <w:tab/>
      </w:r>
      <w:r>
        <w:rPr>
          <w:rFonts w:ascii="宋体" w:hAnsi="宋体"/>
          <w:sz w:val="24"/>
          <w:szCs w:val="21"/>
        </w:rPr>
        <w:t>执行生效的基金份额持有人大会的决定</w:t>
      </w:r>
      <w:r>
        <w:rPr>
          <w:rFonts w:ascii="宋体" w:hAnsi="宋体" w:hint="eastAsia"/>
          <w:sz w:val="24"/>
          <w:szCs w:val="21"/>
        </w:rPr>
        <w:t>；</w:t>
      </w:r>
    </w:p>
    <w:p w14:paraId="7EE82857"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（22）</w:t>
      </w:r>
      <w:r>
        <w:rPr>
          <w:rFonts w:ascii="宋体" w:hAnsi="宋体" w:hint="eastAsia"/>
          <w:sz w:val="24"/>
          <w:szCs w:val="21"/>
        </w:rPr>
        <w:tab/>
        <w:t>不从事任何有损基金及其他基金当事人利益的活动；</w:t>
      </w:r>
    </w:p>
    <w:p w14:paraId="2B6096D4"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（23）</w:t>
      </w:r>
      <w:r>
        <w:rPr>
          <w:rFonts w:ascii="宋体" w:hAnsi="宋体" w:hint="eastAsia"/>
          <w:sz w:val="24"/>
          <w:szCs w:val="21"/>
        </w:rPr>
        <w:tab/>
        <w:t>法律法规和基金合同规定的其他义务。</w:t>
      </w:r>
      <w:bookmarkStart w:id="90" w:name="_Hlt88899901"/>
      <w:bookmarkEnd w:id="90"/>
    </w:p>
    <w:p w14:paraId="33871B5B" w14:textId="77777777" w:rsidR="00BF0C91" w:rsidRDefault="00D65346">
      <w:pPr>
        <w:spacing w:line="360" w:lineRule="auto"/>
        <w:ind w:firstLineChars="200" w:firstLine="482"/>
        <w:outlineLvl w:val="1"/>
        <w:rPr>
          <w:rFonts w:ascii="宋体" w:hAnsi="宋体"/>
          <w:b/>
          <w:bCs/>
          <w:color w:val="000000"/>
          <w:sz w:val="24"/>
          <w:szCs w:val="21"/>
        </w:rPr>
      </w:pPr>
      <w:r>
        <w:rPr>
          <w:rFonts w:ascii="宋体" w:hAnsi="宋体" w:hint="eastAsia"/>
          <w:b/>
          <w:bCs/>
          <w:color w:val="000000"/>
          <w:sz w:val="24"/>
          <w:szCs w:val="21"/>
        </w:rPr>
        <w:t>三、</w:t>
      </w:r>
      <w:r>
        <w:rPr>
          <w:rFonts w:ascii="宋体" w:hAnsi="宋体" w:hint="eastAsia"/>
          <w:b/>
          <w:bCs/>
          <w:color w:val="000000"/>
          <w:sz w:val="24"/>
          <w:szCs w:val="21"/>
        </w:rPr>
        <w:tab/>
        <w:t>基金份额持有人</w:t>
      </w:r>
    </w:p>
    <w:p w14:paraId="613151D1"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基金投资者购买本基金基金份额的行为即视为对基金合同的承认和接受，基金投资者自取得依据基金合同发行的基金份额，即成为本基金份额持有人和基金合同的当事人，直至其不再持有本基金的基金份额。基金份额持有人作为本基金合同当事人并不须以在基金合同上书面签章为必要条件。</w:t>
      </w:r>
    </w:p>
    <w:p w14:paraId="3C1C9E03" w14:textId="7E7DED46" w:rsidR="00BF0C91" w:rsidRDefault="00CD7C4D">
      <w:pPr>
        <w:spacing w:line="360" w:lineRule="auto"/>
        <w:ind w:firstLineChars="200" w:firstLine="480"/>
        <w:rPr>
          <w:rFonts w:ascii="宋体" w:hAnsi="宋体"/>
          <w:color w:val="000000"/>
          <w:sz w:val="24"/>
          <w:szCs w:val="21"/>
        </w:rPr>
      </w:pPr>
      <w:r w:rsidRPr="00CD7C4D">
        <w:rPr>
          <w:rFonts w:ascii="宋体" w:hAnsi="宋体" w:hint="eastAsia"/>
          <w:color w:val="000000"/>
          <w:sz w:val="24"/>
          <w:szCs w:val="21"/>
        </w:rPr>
        <w:lastRenderedPageBreak/>
        <w:t>同一类别的</w:t>
      </w:r>
      <w:r w:rsidR="00D65346">
        <w:rPr>
          <w:rFonts w:ascii="宋体" w:hAnsi="宋体" w:hint="eastAsia"/>
          <w:color w:val="000000"/>
          <w:sz w:val="24"/>
          <w:szCs w:val="21"/>
        </w:rPr>
        <w:t>每份基金份额具有同等的合法权益。</w:t>
      </w:r>
    </w:p>
    <w:p w14:paraId="30E69FD3"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1、根据《基金法》、《运作办法》及其他有关规定，基金份额持有人的权利包括但不限于：</w:t>
      </w:r>
    </w:p>
    <w:p w14:paraId="1A8E271D"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w:t>
      </w:r>
      <w:r>
        <w:rPr>
          <w:rFonts w:ascii="宋体" w:hAnsi="宋体" w:hint="eastAsia"/>
          <w:color w:val="000000"/>
          <w:sz w:val="24"/>
          <w:szCs w:val="21"/>
        </w:rPr>
        <w:tab/>
      </w:r>
      <w:r>
        <w:rPr>
          <w:rFonts w:ascii="宋体" w:hAnsi="宋体"/>
          <w:color w:val="000000"/>
          <w:sz w:val="24"/>
          <w:szCs w:val="21"/>
        </w:rPr>
        <w:t>分享基金财产收益</w:t>
      </w:r>
      <w:r>
        <w:rPr>
          <w:rFonts w:ascii="宋体" w:hAnsi="宋体" w:hint="eastAsia"/>
          <w:color w:val="000000"/>
          <w:sz w:val="24"/>
          <w:szCs w:val="21"/>
        </w:rPr>
        <w:t>；</w:t>
      </w:r>
    </w:p>
    <w:p w14:paraId="5A7F459F"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（2）</w:t>
      </w:r>
      <w:r>
        <w:rPr>
          <w:rFonts w:ascii="宋体" w:hAnsi="宋体" w:hint="eastAsia"/>
          <w:color w:val="000000"/>
          <w:sz w:val="24"/>
          <w:szCs w:val="21"/>
        </w:rPr>
        <w:tab/>
      </w:r>
      <w:r>
        <w:rPr>
          <w:rFonts w:ascii="宋体" w:hAnsi="宋体"/>
          <w:color w:val="000000"/>
          <w:sz w:val="24"/>
          <w:szCs w:val="21"/>
        </w:rPr>
        <w:t>参与分配清算后的剩余基金财产</w:t>
      </w:r>
      <w:r>
        <w:rPr>
          <w:rFonts w:ascii="宋体" w:hAnsi="宋体" w:hint="eastAsia"/>
          <w:color w:val="000000"/>
          <w:sz w:val="24"/>
          <w:szCs w:val="21"/>
        </w:rPr>
        <w:t>；</w:t>
      </w:r>
    </w:p>
    <w:p w14:paraId="5F9EC68B"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（3）</w:t>
      </w:r>
      <w:r>
        <w:rPr>
          <w:rFonts w:ascii="宋体" w:hAnsi="宋体" w:hint="eastAsia"/>
          <w:color w:val="000000"/>
          <w:sz w:val="24"/>
          <w:szCs w:val="21"/>
        </w:rPr>
        <w:tab/>
        <w:t>依法转让或者申请赎回其持有的基金份额</w:t>
      </w:r>
      <w:r>
        <w:rPr>
          <w:rFonts w:ascii="宋体" w:hAnsi="宋体"/>
          <w:color w:val="000000"/>
          <w:sz w:val="24"/>
          <w:szCs w:val="21"/>
        </w:rPr>
        <w:t>；</w:t>
      </w:r>
    </w:p>
    <w:p w14:paraId="69339DE8"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（4）</w:t>
      </w:r>
      <w:r>
        <w:rPr>
          <w:rFonts w:ascii="宋体" w:hAnsi="宋体" w:hint="eastAsia"/>
          <w:color w:val="000000"/>
          <w:sz w:val="24"/>
          <w:szCs w:val="21"/>
        </w:rPr>
        <w:tab/>
      </w:r>
      <w:r>
        <w:rPr>
          <w:rFonts w:ascii="宋体" w:hAnsi="宋体"/>
          <w:color w:val="000000"/>
          <w:sz w:val="24"/>
          <w:szCs w:val="21"/>
        </w:rPr>
        <w:t>按照规定要求召开基金份额持有人大会</w:t>
      </w:r>
      <w:r>
        <w:rPr>
          <w:rFonts w:ascii="宋体" w:hAnsi="宋体" w:hint="eastAsia"/>
          <w:color w:val="000000"/>
          <w:sz w:val="24"/>
          <w:szCs w:val="21"/>
        </w:rPr>
        <w:t>；</w:t>
      </w:r>
    </w:p>
    <w:p w14:paraId="7C3DBE32"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（5）</w:t>
      </w:r>
      <w:r>
        <w:rPr>
          <w:rFonts w:ascii="宋体" w:hAnsi="宋体" w:hint="eastAsia"/>
          <w:color w:val="000000"/>
          <w:sz w:val="24"/>
          <w:szCs w:val="21"/>
        </w:rPr>
        <w:tab/>
        <w:t>出席或者委派代表出席基金</w:t>
      </w:r>
      <w:r>
        <w:rPr>
          <w:rFonts w:ascii="宋体" w:hAnsi="宋体"/>
          <w:color w:val="000000"/>
          <w:sz w:val="24"/>
          <w:szCs w:val="21"/>
        </w:rPr>
        <w:t>份额</w:t>
      </w:r>
      <w:r>
        <w:rPr>
          <w:rFonts w:ascii="宋体" w:hAnsi="宋体" w:hint="eastAsia"/>
          <w:color w:val="000000"/>
          <w:sz w:val="24"/>
          <w:szCs w:val="21"/>
        </w:rPr>
        <w:t>持有人大会，</w:t>
      </w:r>
      <w:r>
        <w:rPr>
          <w:rFonts w:ascii="宋体" w:hAnsi="宋体"/>
          <w:color w:val="000000"/>
          <w:sz w:val="24"/>
          <w:szCs w:val="21"/>
        </w:rPr>
        <w:t>对基金份额持有人大会审议事项行使表决权</w:t>
      </w:r>
      <w:r>
        <w:rPr>
          <w:rFonts w:ascii="宋体" w:hAnsi="宋体" w:hint="eastAsia"/>
          <w:color w:val="000000"/>
          <w:sz w:val="24"/>
          <w:szCs w:val="21"/>
        </w:rPr>
        <w:t>；</w:t>
      </w:r>
    </w:p>
    <w:p w14:paraId="67B67A19"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（6）</w:t>
      </w:r>
      <w:r>
        <w:rPr>
          <w:rFonts w:ascii="宋体" w:hAnsi="宋体" w:hint="eastAsia"/>
          <w:color w:val="000000"/>
          <w:sz w:val="24"/>
          <w:szCs w:val="21"/>
        </w:rPr>
        <w:tab/>
      </w:r>
      <w:r>
        <w:rPr>
          <w:rFonts w:ascii="宋体" w:hAnsi="宋体"/>
          <w:color w:val="000000"/>
          <w:sz w:val="24"/>
          <w:szCs w:val="21"/>
        </w:rPr>
        <w:t>查阅或者复制公开披露的基金信息资料；</w:t>
      </w:r>
    </w:p>
    <w:p w14:paraId="5E770DB0"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（7）</w:t>
      </w:r>
      <w:r>
        <w:rPr>
          <w:rFonts w:ascii="宋体" w:hAnsi="宋体" w:hint="eastAsia"/>
          <w:color w:val="000000"/>
          <w:sz w:val="24"/>
          <w:szCs w:val="21"/>
        </w:rPr>
        <w:tab/>
        <w:t>监督基金管理人的投资运作；</w:t>
      </w:r>
    </w:p>
    <w:p w14:paraId="1854F567"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（8）</w:t>
      </w:r>
      <w:r>
        <w:rPr>
          <w:rFonts w:ascii="宋体" w:hAnsi="宋体" w:hint="eastAsia"/>
          <w:color w:val="000000"/>
          <w:sz w:val="24"/>
          <w:szCs w:val="21"/>
        </w:rPr>
        <w:tab/>
        <w:t>对基金管理人、基金托管人、基金份额发售机构损害其合法权益的行为依法提起诉讼；</w:t>
      </w:r>
    </w:p>
    <w:p w14:paraId="0E572971"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（9）</w:t>
      </w:r>
      <w:r>
        <w:rPr>
          <w:rFonts w:ascii="宋体" w:hAnsi="宋体" w:hint="eastAsia"/>
          <w:color w:val="000000"/>
          <w:sz w:val="24"/>
          <w:szCs w:val="21"/>
        </w:rPr>
        <w:tab/>
        <w:t>法律法规和基金合同规定的其他权利。</w:t>
      </w:r>
    </w:p>
    <w:p w14:paraId="40DD904B"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2、根据《基金法》、《运作办法》及其他有关规定，基金份额持有人的义务包括但不限于：</w:t>
      </w:r>
    </w:p>
    <w:p w14:paraId="0EF56896"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w:t>
      </w:r>
      <w:r>
        <w:rPr>
          <w:rFonts w:ascii="宋体" w:hAnsi="宋体" w:hint="eastAsia"/>
          <w:color w:val="000000"/>
          <w:sz w:val="24"/>
          <w:szCs w:val="21"/>
        </w:rPr>
        <w:tab/>
        <w:t>遵守基金合同；</w:t>
      </w:r>
    </w:p>
    <w:p w14:paraId="77BA0613"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（2）</w:t>
      </w:r>
      <w:r>
        <w:rPr>
          <w:rFonts w:ascii="宋体" w:hAnsi="宋体" w:hint="eastAsia"/>
          <w:color w:val="000000"/>
          <w:sz w:val="24"/>
          <w:szCs w:val="21"/>
        </w:rPr>
        <w:tab/>
        <w:t>缴纳基金认购、申购款项及法律法规和基金合同所规定的费用；</w:t>
      </w:r>
    </w:p>
    <w:p w14:paraId="368800F6"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（3）</w:t>
      </w:r>
      <w:r>
        <w:rPr>
          <w:rFonts w:ascii="宋体" w:hAnsi="宋体" w:hint="eastAsia"/>
          <w:color w:val="000000"/>
          <w:sz w:val="24"/>
          <w:szCs w:val="21"/>
        </w:rPr>
        <w:tab/>
        <w:t>在持有的基金份额范围内，承担基金亏损或者基金合同终止的有限责任；</w:t>
      </w:r>
    </w:p>
    <w:p w14:paraId="1A99B32A"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（4）</w:t>
      </w:r>
      <w:r>
        <w:rPr>
          <w:rFonts w:ascii="宋体" w:hAnsi="宋体" w:hint="eastAsia"/>
          <w:sz w:val="24"/>
          <w:szCs w:val="21"/>
        </w:rPr>
        <w:tab/>
        <w:t>不从事任何有损基金及基金份额持有人合法权益的活动；</w:t>
      </w:r>
    </w:p>
    <w:p w14:paraId="157B04EA"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（5）</w:t>
      </w:r>
      <w:r>
        <w:rPr>
          <w:rFonts w:ascii="宋体" w:hAnsi="宋体" w:hint="eastAsia"/>
          <w:sz w:val="24"/>
          <w:szCs w:val="21"/>
        </w:rPr>
        <w:tab/>
        <w:t>返还在基金交易过程中因任何原因，自基金管理人、基金托管人及基金管理人的代理人处获得的不当得利；</w:t>
      </w:r>
    </w:p>
    <w:p w14:paraId="2B783065"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（6）</w:t>
      </w:r>
      <w:r>
        <w:rPr>
          <w:rFonts w:ascii="宋体" w:hAnsi="宋体" w:hint="eastAsia"/>
          <w:sz w:val="24"/>
          <w:szCs w:val="21"/>
        </w:rPr>
        <w:tab/>
        <w:t>执行生效的基金份额持有人大会的决定；</w:t>
      </w:r>
    </w:p>
    <w:p w14:paraId="3CE54CB0" w14:textId="77777777" w:rsidR="00BF0C91" w:rsidRDefault="00D65346">
      <w:pPr>
        <w:numPr>
          <w:ilvl w:val="0"/>
          <w:numId w:val="7"/>
        </w:numPr>
        <w:spacing w:line="360" w:lineRule="auto"/>
        <w:rPr>
          <w:rFonts w:ascii="宋体" w:hAnsi="宋体"/>
          <w:sz w:val="24"/>
          <w:szCs w:val="21"/>
        </w:rPr>
      </w:pPr>
      <w:r>
        <w:rPr>
          <w:rFonts w:ascii="宋体" w:hAnsi="宋体" w:hint="eastAsia"/>
          <w:sz w:val="24"/>
          <w:szCs w:val="21"/>
        </w:rPr>
        <w:t>法律法规和基金合同规定的其他义务。</w:t>
      </w:r>
    </w:p>
    <w:p w14:paraId="43BBC60B" w14:textId="77777777" w:rsidR="00BF0C91" w:rsidRDefault="00D65346">
      <w:pPr>
        <w:spacing w:line="360" w:lineRule="auto"/>
        <w:ind w:firstLine="420"/>
        <w:rPr>
          <w:rFonts w:ascii="宋体" w:hAnsi="宋体"/>
          <w:b/>
          <w:bCs/>
          <w:color w:val="FF0000"/>
          <w:sz w:val="24"/>
          <w:szCs w:val="21"/>
        </w:rPr>
      </w:pPr>
      <w:r>
        <w:rPr>
          <w:rFonts w:ascii="宋体" w:hAnsi="宋体" w:cs="宋体"/>
          <w:color w:val="000000"/>
          <w:kern w:val="0"/>
          <w:sz w:val="24"/>
        </w:rPr>
        <w:t>基金合同当事各方的权利和义务以基金合同为依据，不因基金</w:t>
      </w:r>
      <w:r>
        <w:rPr>
          <w:rFonts w:ascii="宋体" w:hAnsi="宋体" w:cs="宋体" w:hint="eastAsia"/>
          <w:color w:val="000000"/>
          <w:kern w:val="0"/>
          <w:sz w:val="24"/>
        </w:rPr>
        <w:t>财</w:t>
      </w:r>
      <w:r>
        <w:rPr>
          <w:rFonts w:ascii="宋体" w:hAnsi="宋体" w:cs="宋体"/>
          <w:color w:val="000000"/>
          <w:kern w:val="0"/>
          <w:sz w:val="24"/>
        </w:rPr>
        <w:t>产账户名称的改变而有所改变。</w:t>
      </w:r>
    </w:p>
    <w:p w14:paraId="15A96020" w14:textId="77777777" w:rsidR="00BF0C91" w:rsidRDefault="00D65346">
      <w:pPr>
        <w:pStyle w:val="1"/>
        <w:spacing w:before="100" w:beforeAutospacing="1" w:after="100" w:afterAutospacing="1" w:line="360" w:lineRule="auto"/>
        <w:rPr>
          <w:rFonts w:ascii="黑体" w:eastAsia="黑体" w:hAnsi="Arial" w:cs="Arial"/>
          <w:color w:val="000000"/>
          <w:sz w:val="30"/>
          <w:szCs w:val="32"/>
        </w:rPr>
      </w:pPr>
      <w:r>
        <w:rPr>
          <w:rFonts w:ascii="黑体" w:eastAsia="黑体" w:hAnsi="宋体"/>
          <w:bCs/>
          <w:color w:val="FF0000"/>
          <w:sz w:val="24"/>
          <w:szCs w:val="32"/>
        </w:rPr>
        <w:br w:type="page"/>
      </w:r>
      <w:bookmarkStart w:id="91" w:name="_Toc169580222"/>
      <w:r>
        <w:rPr>
          <w:rFonts w:ascii="黑体" w:eastAsia="黑体" w:hAnsi="Arial" w:cs="Arial" w:hint="eastAsia"/>
          <w:color w:val="000000"/>
          <w:sz w:val="30"/>
          <w:szCs w:val="32"/>
        </w:rPr>
        <w:lastRenderedPageBreak/>
        <w:t>第八部分  基金份额持有人大会</w:t>
      </w:r>
      <w:bookmarkEnd w:id="91"/>
    </w:p>
    <w:p w14:paraId="1DD97415"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基金份额持有人大会由基金份额持有人或基金份额持有人的合法授权代表共同组成。</w:t>
      </w:r>
    </w:p>
    <w:p w14:paraId="3A4715E8" w14:textId="77777777" w:rsidR="00BF0C91" w:rsidRDefault="00D65346">
      <w:pPr>
        <w:spacing w:beforeLines="50" w:before="156" w:afterLines="50" w:after="156" w:line="420" w:lineRule="exact"/>
        <w:ind w:firstLineChars="200" w:firstLine="482"/>
        <w:outlineLvl w:val="1"/>
        <w:rPr>
          <w:rFonts w:ascii="宋体" w:hAnsi="宋体"/>
          <w:b/>
          <w:bCs/>
          <w:color w:val="000000"/>
          <w:sz w:val="24"/>
          <w:szCs w:val="21"/>
        </w:rPr>
      </w:pPr>
      <w:r>
        <w:rPr>
          <w:rFonts w:ascii="宋体" w:hAnsi="宋体" w:hint="eastAsia"/>
          <w:b/>
          <w:bCs/>
          <w:color w:val="000000"/>
          <w:sz w:val="24"/>
          <w:szCs w:val="21"/>
        </w:rPr>
        <w:t>一、</w:t>
      </w:r>
      <w:r>
        <w:rPr>
          <w:rFonts w:ascii="宋体" w:hAnsi="宋体" w:hint="eastAsia"/>
          <w:b/>
          <w:bCs/>
          <w:color w:val="000000"/>
          <w:sz w:val="24"/>
          <w:szCs w:val="21"/>
        </w:rPr>
        <w:tab/>
        <w:t>召开事由</w:t>
      </w:r>
    </w:p>
    <w:p w14:paraId="54203BAC"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1、当出现或需要决定下列事由之一的，应当召开基金份额持有人大会：</w:t>
      </w:r>
    </w:p>
    <w:p w14:paraId="739E1FE1"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（1）终止基金合同；</w:t>
      </w:r>
    </w:p>
    <w:p w14:paraId="1439F83F"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（2）更换基金管理人；</w:t>
      </w:r>
    </w:p>
    <w:p w14:paraId="0EF545F5"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（3）更换基金托管人；</w:t>
      </w:r>
    </w:p>
    <w:p w14:paraId="72897CE7"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（4）转换基金运作方式；</w:t>
      </w:r>
    </w:p>
    <w:p w14:paraId="1F898CE7"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（5）提高基金管理人、基金托管人的报酬标准；</w:t>
      </w:r>
    </w:p>
    <w:p w14:paraId="7AEF2B71"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（6）提高销售服务费费率；</w:t>
      </w:r>
    </w:p>
    <w:p w14:paraId="446290BA"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（7）变更基金类别；</w:t>
      </w:r>
    </w:p>
    <w:p w14:paraId="14570105"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（8）变更基金投资目标、范围或策略；</w:t>
      </w:r>
      <w:bookmarkStart w:id="92" w:name="_Hlt94543071"/>
      <w:bookmarkEnd w:id="92"/>
    </w:p>
    <w:p w14:paraId="68CEE14C"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（9）变更基金份额持有人大会程序；</w:t>
      </w:r>
    </w:p>
    <w:p w14:paraId="63A6218F"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（10）对基金当事人权利和义务产生重大影响的事项；</w:t>
      </w:r>
    </w:p>
    <w:p w14:paraId="77625BF0"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（11）法律法规、基金合同或中国证监会规定的其他应当召开基金份额持有人大会的事项。</w:t>
      </w:r>
    </w:p>
    <w:p w14:paraId="136E0319"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2、以下情况可由基金管理人和基金托管人协商后修改，不需召开基金份额持有人大会：</w:t>
      </w:r>
    </w:p>
    <w:p w14:paraId="7E7981C3"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（1）调低基金管理费、基金托管费、基金销售服务费；</w:t>
      </w:r>
    </w:p>
    <w:p w14:paraId="16741213"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（2）在基金合同规定范围内变更本基金的申购费率、赎回费率或收费方式；</w:t>
      </w:r>
    </w:p>
    <w:p w14:paraId="7DE61CAB"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（3）因相应的法律法规发生变动而应当对基金合同进行修改；</w:t>
      </w:r>
    </w:p>
    <w:p w14:paraId="7FE6CE0B"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（4）对基金合同的修改对基金份额持有人利益无实质性不利影响或修改不涉及基金合同当事人权利义务关系发生变化；</w:t>
      </w:r>
    </w:p>
    <w:p w14:paraId="547B7B00"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（5）除按照法律法规和基金合同规定应当召开基金份额持有人大会的以外的其他情形。</w:t>
      </w:r>
    </w:p>
    <w:p w14:paraId="202A8458" w14:textId="77777777" w:rsidR="00BF0C91" w:rsidRDefault="00D65346">
      <w:pPr>
        <w:spacing w:beforeLines="50" w:before="156" w:afterLines="50" w:after="156" w:line="420" w:lineRule="exact"/>
        <w:ind w:firstLineChars="200" w:firstLine="482"/>
        <w:outlineLvl w:val="1"/>
        <w:rPr>
          <w:rFonts w:ascii="宋体" w:hAnsi="宋体"/>
          <w:b/>
          <w:bCs/>
          <w:color w:val="000000"/>
          <w:sz w:val="24"/>
          <w:szCs w:val="21"/>
        </w:rPr>
      </w:pPr>
      <w:r>
        <w:rPr>
          <w:rFonts w:ascii="宋体" w:hAnsi="宋体" w:hint="eastAsia"/>
          <w:b/>
          <w:bCs/>
          <w:color w:val="000000"/>
          <w:sz w:val="24"/>
          <w:szCs w:val="21"/>
        </w:rPr>
        <w:t>二、</w:t>
      </w:r>
      <w:r>
        <w:rPr>
          <w:rFonts w:ascii="宋体" w:hAnsi="宋体" w:hint="eastAsia"/>
          <w:b/>
          <w:bCs/>
          <w:color w:val="000000"/>
          <w:sz w:val="24"/>
          <w:szCs w:val="21"/>
        </w:rPr>
        <w:tab/>
        <w:t>会议召集人及召集方式</w:t>
      </w:r>
    </w:p>
    <w:p w14:paraId="1A23F98A"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1、除法律法规规定或基金合同另有约定外，基金份额持有人大会由基金管理人召集；</w:t>
      </w:r>
    </w:p>
    <w:p w14:paraId="7128E73D"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2、基金管理人未按规定召集或不能召集时，由基金托管人召集。</w:t>
      </w:r>
    </w:p>
    <w:p w14:paraId="493C13A2"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lastRenderedPageBreak/>
        <w:t>3、</w:t>
      </w:r>
      <w:r>
        <w:rPr>
          <w:rFonts w:ascii="宋体" w:hAnsi="宋体"/>
          <w:color w:val="000000"/>
          <w:sz w:val="24"/>
          <w:szCs w:val="21"/>
        </w:rPr>
        <w:t>基金托管人认为有必要召开基金份额持有人大会的，应当向基金管理人提出书面提议。基金管理人应当自收到书面提议之日起</w:t>
      </w:r>
      <w:r>
        <w:rPr>
          <w:rFonts w:ascii="宋体" w:hAnsi="宋体" w:hint="eastAsia"/>
          <w:color w:val="000000"/>
          <w:sz w:val="24"/>
          <w:szCs w:val="21"/>
        </w:rPr>
        <w:t>10</w:t>
      </w:r>
      <w:r>
        <w:rPr>
          <w:rFonts w:ascii="宋体" w:hAnsi="宋体"/>
          <w:color w:val="000000"/>
          <w:sz w:val="24"/>
          <w:szCs w:val="21"/>
        </w:rPr>
        <w:t>日内决定是否召集，并书面告知基金托管人。基金管理人决定召集的，应当自出具书面决定之日起</w:t>
      </w:r>
      <w:r>
        <w:rPr>
          <w:rFonts w:ascii="宋体" w:hAnsi="宋体" w:hint="eastAsia"/>
          <w:color w:val="000000"/>
          <w:sz w:val="24"/>
          <w:szCs w:val="21"/>
        </w:rPr>
        <w:t>60</w:t>
      </w:r>
      <w:r>
        <w:rPr>
          <w:rFonts w:ascii="宋体" w:hAnsi="宋体"/>
          <w:color w:val="000000"/>
          <w:sz w:val="24"/>
          <w:szCs w:val="21"/>
        </w:rPr>
        <w:t>日内召开；基金管理人决定不召集，基金托管人仍认为有必要召开的，应当</w:t>
      </w:r>
      <w:r>
        <w:rPr>
          <w:rFonts w:ascii="宋体" w:hAnsi="宋体" w:hint="eastAsia"/>
          <w:color w:val="000000"/>
          <w:sz w:val="24"/>
          <w:szCs w:val="21"/>
        </w:rPr>
        <w:t>由基金托管人</w:t>
      </w:r>
      <w:r>
        <w:rPr>
          <w:rFonts w:ascii="宋体" w:hAnsi="宋体"/>
          <w:color w:val="000000"/>
          <w:sz w:val="24"/>
          <w:szCs w:val="21"/>
        </w:rPr>
        <w:t>自行召集。</w:t>
      </w:r>
    </w:p>
    <w:p w14:paraId="20CA0D16" w14:textId="77777777" w:rsidR="00BF0C91" w:rsidRDefault="00D65346">
      <w:pPr>
        <w:spacing w:line="420" w:lineRule="exact"/>
        <w:ind w:firstLineChars="200" w:firstLine="480"/>
        <w:rPr>
          <w:rFonts w:ascii="宋体" w:hAnsi="宋体"/>
          <w:sz w:val="24"/>
          <w:szCs w:val="21"/>
        </w:rPr>
      </w:pPr>
      <w:r>
        <w:rPr>
          <w:rFonts w:ascii="宋体" w:hAnsi="宋体" w:hint="eastAsia"/>
          <w:color w:val="000000"/>
          <w:sz w:val="24"/>
          <w:szCs w:val="21"/>
        </w:rPr>
        <w:t>4、代表基金份额</w:t>
      </w:r>
      <w:r>
        <w:rPr>
          <w:rFonts w:ascii="宋体" w:hAnsi="宋体" w:hint="eastAsia"/>
          <w:sz w:val="24"/>
          <w:szCs w:val="21"/>
        </w:rPr>
        <w:t>10%以上（含10%）的基金份额持有人就同一事项书面要求召开基金份额持有人大会，</w:t>
      </w:r>
      <w:r>
        <w:rPr>
          <w:rFonts w:ascii="宋体" w:hAnsi="宋体"/>
          <w:sz w:val="24"/>
          <w:szCs w:val="21"/>
        </w:rPr>
        <w:t>应当向基金管理人提出书面提议。基金管理人应当自收到书面提议之日起</w:t>
      </w:r>
      <w:r>
        <w:rPr>
          <w:rFonts w:ascii="宋体" w:hAnsi="宋体" w:hint="eastAsia"/>
          <w:sz w:val="24"/>
          <w:szCs w:val="21"/>
        </w:rPr>
        <w:t>10</w:t>
      </w:r>
      <w:r>
        <w:rPr>
          <w:rFonts w:ascii="宋体" w:hAnsi="宋体"/>
          <w:sz w:val="24"/>
          <w:szCs w:val="21"/>
        </w:rPr>
        <w:t>日内决定是否召集，并书面告知提出提议的基金份额持有人代表和基金托管人。</w:t>
      </w:r>
    </w:p>
    <w:p w14:paraId="0264D9AA" w14:textId="77777777" w:rsidR="00BF0C91" w:rsidRDefault="00D65346">
      <w:pPr>
        <w:spacing w:line="420" w:lineRule="exact"/>
        <w:ind w:firstLineChars="200" w:firstLine="480"/>
        <w:rPr>
          <w:rFonts w:ascii="宋体" w:hAnsi="宋体"/>
          <w:color w:val="000000"/>
          <w:sz w:val="24"/>
          <w:szCs w:val="21"/>
        </w:rPr>
      </w:pPr>
      <w:r>
        <w:rPr>
          <w:rFonts w:ascii="宋体" w:hAnsi="宋体"/>
          <w:sz w:val="24"/>
          <w:szCs w:val="21"/>
        </w:rPr>
        <w:t>基金管理人决定召集的，应当自出具书面决定之日起</w:t>
      </w:r>
      <w:r>
        <w:rPr>
          <w:rFonts w:ascii="宋体" w:hAnsi="宋体" w:hint="eastAsia"/>
          <w:sz w:val="24"/>
          <w:szCs w:val="21"/>
        </w:rPr>
        <w:t>6</w:t>
      </w:r>
      <w:r>
        <w:rPr>
          <w:rFonts w:ascii="宋体" w:hAnsi="宋体"/>
          <w:sz w:val="24"/>
          <w:szCs w:val="21"/>
        </w:rPr>
        <w:t>0日内召开；基金管理人决定不召集，代表基金份额</w:t>
      </w:r>
      <w:r>
        <w:rPr>
          <w:rFonts w:ascii="宋体" w:hAnsi="宋体" w:hint="eastAsia"/>
          <w:sz w:val="24"/>
          <w:szCs w:val="21"/>
        </w:rPr>
        <w:t>10%</w:t>
      </w:r>
      <w:r>
        <w:rPr>
          <w:rFonts w:ascii="宋体" w:hAnsi="宋体"/>
          <w:sz w:val="24"/>
          <w:szCs w:val="21"/>
        </w:rPr>
        <w:t>以上</w:t>
      </w:r>
      <w:r>
        <w:rPr>
          <w:rFonts w:ascii="宋体" w:hAnsi="宋体" w:hint="eastAsia"/>
          <w:sz w:val="24"/>
          <w:szCs w:val="21"/>
        </w:rPr>
        <w:t>（含10%）</w:t>
      </w:r>
      <w:r>
        <w:rPr>
          <w:rFonts w:ascii="宋体" w:hAnsi="宋体"/>
          <w:sz w:val="24"/>
          <w:szCs w:val="21"/>
        </w:rPr>
        <w:t>的基金份</w:t>
      </w:r>
      <w:r>
        <w:rPr>
          <w:rFonts w:ascii="宋体" w:hAnsi="宋体"/>
          <w:color w:val="000000"/>
          <w:sz w:val="24"/>
          <w:szCs w:val="21"/>
        </w:rPr>
        <w:t>额持有人仍认为有必要召开的，应当向基金托管人提出书面提议。</w:t>
      </w:r>
    </w:p>
    <w:p w14:paraId="71FF0BF9" w14:textId="77777777" w:rsidR="00BF0C91" w:rsidRDefault="00D65346">
      <w:pPr>
        <w:spacing w:line="420" w:lineRule="exact"/>
        <w:ind w:firstLineChars="200" w:firstLine="480"/>
        <w:rPr>
          <w:rFonts w:ascii="宋体" w:hAnsi="宋体"/>
          <w:color w:val="000000"/>
          <w:sz w:val="24"/>
          <w:szCs w:val="21"/>
        </w:rPr>
      </w:pPr>
      <w:r>
        <w:rPr>
          <w:rFonts w:ascii="宋体" w:hAnsi="宋体"/>
          <w:color w:val="000000"/>
          <w:sz w:val="24"/>
          <w:szCs w:val="21"/>
        </w:rPr>
        <w:t>基金托管人应当自收到书面提议之日起10日内决定是否召集，并书面告知提出提议的基金份额持有人代表和基金管理人；基金托管人决定召集的，应当自出具书面决定之日起</w:t>
      </w:r>
      <w:r>
        <w:rPr>
          <w:rFonts w:ascii="宋体" w:hAnsi="宋体" w:hint="eastAsia"/>
          <w:color w:val="000000"/>
          <w:sz w:val="24"/>
          <w:szCs w:val="21"/>
        </w:rPr>
        <w:t>6</w:t>
      </w:r>
      <w:r>
        <w:rPr>
          <w:rFonts w:ascii="宋体" w:hAnsi="宋体"/>
          <w:color w:val="000000"/>
          <w:sz w:val="24"/>
          <w:szCs w:val="21"/>
        </w:rPr>
        <w:t>0日内召开。</w:t>
      </w:r>
    </w:p>
    <w:p w14:paraId="607B38A8"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5、如在上述第4条情况下，基金管理人、基金托管人都不召集的，代表基金份额10%以上（含10%）的基金份额持有人有权自行召集，并至少提前30日报中国证监会备案。</w:t>
      </w:r>
    </w:p>
    <w:p w14:paraId="723976D8"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6、基金份额持有人会议的召集人负责选择确定开会时间、地点、方式和权益登记日。</w:t>
      </w:r>
    </w:p>
    <w:p w14:paraId="2191394D" w14:textId="77777777" w:rsidR="00BF0C91" w:rsidRDefault="00D65346">
      <w:pPr>
        <w:spacing w:beforeLines="50" w:before="156" w:afterLines="50" w:after="156" w:line="420" w:lineRule="exact"/>
        <w:ind w:firstLineChars="200" w:firstLine="482"/>
        <w:outlineLvl w:val="1"/>
        <w:rPr>
          <w:rFonts w:ascii="宋体" w:hAnsi="宋体"/>
          <w:b/>
          <w:bCs/>
          <w:color w:val="000000"/>
          <w:sz w:val="24"/>
          <w:szCs w:val="21"/>
        </w:rPr>
      </w:pPr>
      <w:r>
        <w:rPr>
          <w:rFonts w:ascii="宋体" w:hAnsi="宋体" w:hint="eastAsia"/>
          <w:b/>
          <w:bCs/>
          <w:color w:val="000000"/>
          <w:sz w:val="24"/>
          <w:szCs w:val="21"/>
        </w:rPr>
        <w:t>三、</w:t>
      </w:r>
      <w:r>
        <w:rPr>
          <w:rFonts w:ascii="宋体" w:hAnsi="宋体" w:hint="eastAsia"/>
          <w:b/>
          <w:bCs/>
          <w:color w:val="000000"/>
          <w:sz w:val="24"/>
          <w:szCs w:val="21"/>
        </w:rPr>
        <w:tab/>
        <w:t>召开基金份额持有人大会的通知时间、通知内容、通知方式</w:t>
      </w:r>
    </w:p>
    <w:p w14:paraId="5B500A20"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1、召开基金份额持有人大会，召集人应于会议召开前</w:t>
      </w:r>
      <w:r>
        <w:rPr>
          <w:rFonts w:ascii="宋体" w:hAnsi="宋体"/>
          <w:color w:val="000000"/>
          <w:sz w:val="24"/>
          <w:szCs w:val="21"/>
        </w:rPr>
        <w:t>30</w:t>
      </w:r>
      <w:r>
        <w:rPr>
          <w:rFonts w:ascii="宋体" w:hAnsi="宋体" w:hint="eastAsia"/>
          <w:color w:val="000000"/>
          <w:sz w:val="24"/>
          <w:szCs w:val="21"/>
        </w:rPr>
        <w:t>天，在中国证监会指定媒介上公告。基金份额持有人大会通知应至少载明以下内容：</w:t>
      </w:r>
    </w:p>
    <w:p w14:paraId="28A14E95"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（1）会议召开的时间、地点、方式；</w:t>
      </w:r>
    </w:p>
    <w:p w14:paraId="4F50859E"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（2）会议拟审议的事项、议事程序；</w:t>
      </w:r>
    </w:p>
    <w:p w14:paraId="5F22CFEB"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（3）有权出席基金份额持有人大会的基金份额持有人的权利登记日；</w:t>
      </w:r>
    </w:p>
    <w:p w14:paraId="558F5C30"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（4）代理投票授权委托书送达时间和地点；</w:t>
      </w:r>
    </w:p>
    <w:p w14:paraId="77D073E7"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（5）会务常设联系人姓名及联系电话。</w:t>
      </w:r>
    </w:p>
    <w:p w14:paraId="12FB564A"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2、采</w:t>
      </w:r>
      <w:r>
        <w:rPr>
          <w:rFonts w:ascii="宋体" w:hAnsi="宋体"/>
          <w:color w:val="000000"/>
          <w:sz w:val="24"/>
          <w:szCs w:val="21"/>
        </w:rPr>
        <w:t>取通讯开会方式并进行表决的情况下，</w:t>
      </w:r>
      <w:r>
        <w:rPr>
          <w:rFonts w:ascii="宋体" w:hAnsi="宋体" w:hint="eastAsia"/>
          <w:color w:val="000000"/>
          <w:sz w:val="24"/>
          <w:szCs w:val="21"/>
        </w:rPr>
        <w:t>由会议召集人决定通讯方式和书面表决方式，并在会议通知中说明本次基金份额持有人大会所采取的具体通讯方式、委托的公证机关及其联系方式和联系人、书面表决意见的寄交的截止时间和收取方式。</w:t>
      </w:r>
    </w:p>
    <w:p w14:paraId="4F2A019D" w14:textId="77777777" w:rsidR="00BF0C91" w:rsidRDefault="00D65346">
      <w:pPr>
        <w:spacing w:beforeLines="50" w:before="156" w:afterLines="50" w:after="156" w:line="420" w:lineRule="exact"/>
        <w:ind w:firstLineChars="200" w:firstLine="482"/>
        <w:outlineLvl w:val="1"/>
        <w:rPr>
          <w:rFonts w:ascii="宋体" w:hAnsi="宋体"/>
          <w:b/>
          <w:bCs/>
          <w:color w:val="000000"/>
          <w:sz w:val="24"/>
          <w:szCs w:val="21"/>
        </w:rPr>
      </w:pPr>
      <w:r>
        <w:rPr>
          <w:rFonts w:ascii="宋体" w:hAnsi="宋体" w:hint="eastAsia"/>
          <w:b/>
          <w:bCs/>
          <w:color w:val="000000"/>
          <w:sz w:val="24"/>
          <w:szCs w:val="21"/>
        </w:rPr>
        <w:lastRenderedPageBreak/>
        <w:t>四、</w:t>
      </w:r>
      <w:r>
        <w:rPr>
          <w:rFonts w:ascii="宋体" w:hAnsi="宋体" w:hint="eastAsia"/>
          <w:b/>
          <w:bCs/>
          <w:color w:val="000000"/>
          <w:sz w:val="24"/>
          <w:szCs w:val="21"/>
        </w:rPr>
        <w:tab/>
        <w:t>基金份额持有人出席会议的方式</w:t>
      </w:r>
    </w:p>
    <w:p w14:paraId="198CCEBC" w14:textId="77777777" w:rsidR="00BF0C91" w:rsidRDefault="00D65346">
      <w:pPr>
        <w:spacing w:line="420" w:lineRule="exact"/>
        <w:ind w:firstLineChars="200" w:firstLine="480"/>
        <w:rPr>
          <w:rFonts w:ascii="宋体" w:hAnsi="宋体"/>
          <w:color w:val="000000"/>
          <w:sz w:val="24"/>
          <w:szCs w:val="21"/>
        </w:rPr>
      </w:pPr>
      <w:r>
        <w:rPr>
          <w:rFonts w:ascii="宋体" w:hAnsi="宋体"/>
          <w:color w:val="000000"/>
          <w:sz w:val="24"/>
          <w:szCs w:val="21"/>
        </w:rPr>
        <w:t>基金份额持有人大会</w:t>
      </w:r>
      <w:r>
        <w:rPr>
          <w:rFonts w:ascii="宋体" w:hAnsi="宋体" w:hint="eastAsia"/>
          <w:color w:val="000000"/>
          <w:sz w:val="24"/>
          <w:szCs w:val="21"/>
        </w:rPr>
        <w:t>可通过现场开会方式或通讯开会方式召开。</w:t>
      </w:r>
    </w:p>
    <w:p w14:paraId="49E3CEF3" w14:textId="77777777" w:rsidR="00BF0C91" w:rsidRDefault="00D65346">
      <w:pPr>
        <w:spacing w:line="420" w:lineRule="exact"/>
        <w:ind w:firstLineChars="200" w:firstLine="480"/>
        <w:rPr>
          <w:rFonts w:ascii="宋体" w:hAnsi="宋体"/>
          <w:color w:val="000000"/>
          <w:sz w:val="24"/>
          <w:szCs w:val="21"/>
        </w:rPr>
      </w:pPr>
      <w:r>
        <w:rPr>
          <w:rFonts w:ascii="宋体" w:hAnsi="宋体"/>
          <w:color w:val="000000"/>
          <w:sz w:val="24"/>
          <w:szCs w:val="21"/>
        </w:rPr>
        <w:t>会议的召开方式由</w:t>
      </w:r>
      <w:r>
        <w:rPr>
          <w:rFonts w:ascii="宋体" w:hAnsi="宋体" w:hint="eastAsia"/>
          <w:color w:val="000000"/>
          <w:sz w:val="24"/>
          <w:szCs w:val="21"/>
        </w:rPr>
        <w:t>会议</w:t>
      </w:r>
      <w:r>
        <w:rPr>
          <w:rFonts w:ascii="宋体" w:hAnsi="宋体"/>
          <w:color w:val="000000"/>
          <w:sz w:val="24"/>
          <w:szCs w:val="21"/>
        </w:rPr>
        <w:t>召集人确定，但更换基金管理人和基金托管人必须以现场开会方式召开。</w:t>
      </w:r>
    </w:p>
    <w:p w14:paraId="43871326"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1、</w:t>
      </w:r>
      <w:r>
        <w:rPr>
          <w:rFonts w:ascii="宋体" w:hAnsi="宋体"/>
          <w:color w:val="000000"/>
          <w:sz w:val="24"/>
          <w:szCs w:val="21"/>
        </w:rPr>
        <w:t>现场开会。由基金份额持有人本人出席或以代理投票授权委托书委派代表出席，现场开会时基金管理人和基金托管人的授权代表应当列席基金份额持有人大会</w:t>
      </w:r>
      <w:r>
        <w:rPr>
          <w:rFonts w:ascii="宋体" w:hAnsi="宋体" w:hint="eastAsia"/>
          <w:color w:val="000000"/>
          <w:sz w:val="24"/>
          <w:szCs w:val="21"/>
        </w:rPr>
        <w:t>，基金管理人或托管人拒不派代表列席的，不影响表决效力。</w:t>
      </w:r>
      <w:r>
        <w:rPr>
          <w:rFonts w:ascii="宋体" w:hAnsi="宋体"/>
          <w:color w:val="000000"/>
          <w:sz w:val="24"/>
          <w:szCs w:val="21"/>
        </w:rPr>
        <w:t>现场开会同时符合以下条件时，可以进行基金份额持有人大会议程：</w:t>
      </w:r>
    </w:p>
    <w:p w14:paraId="2FF66E99"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（1）亲</w:t>
      </w:r>
      <w:r>
        <w:rPr>
          <w:rFonts w:ascii="宋体" w:hAnsi="宋体"/>
          <w:color w:val="000000"/>
          <w:sz w:val="24"/>
          <w:szCs w:val="21"/>
        </w:rPr>
        <w:t>自出席会议者持有基金份额的凭证、受托出席会议者出具的委托人持有基金份额的凭证及委托人</w:t>
      </w:r>
      <w:r>
        <w:rPr>
          <w:rFonts w:ascii="宋体" w:hAnsi="宋体" w:hint="eastAsia"/>
          <w:color w:val="000000"/>
          <w:sz w:val="24"/>
          <w:szCs w:val="21"/>
        </w:rPr>
        <w:t>出具</w:t>
      </w:r>
      <w:r>
        <w:rPr>
          <w:rFonts w:ascii="宋体" w:hAnsi="宋体"/>
          <w:color w:val="000000"/>
          <w:sz w:val="24"/>
          <w:szCs w:val="21"/>
        </w:rPr>
        <w:t>的代理投票授权委托书符合法律法规、基金合同和会议通知的规定；</w:t>
      </w:r>
    </w:p>
    <w:p w14:paraId="1BFDBC99"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（2）</w:t>
      </w:r>
      <w:r>
        <w:rPr>
          <w:rFonts w:ascii="宋体" w:hAnsi="宋体"/>
          <w:color w:val="000000"/>
          <w:sz w:val="24"/>
          <w:szCs w:val="21"/>
        </w:rPr>
        <w:t>经核对，汇总到会者出示的在权利登记日持有基金份额的凭证显示，有效的基金份额</w:t>
      </w:r>
      <w:r>
        <w:rPr>
          <w:rFonts w:ascii="宋体" w:hAnsi="宋体" w:hint="eastAsia"/>
          <w:color w:val="000000"/>
          <w:sz w:val="24"/>
          <w:szCs w:val="21"/>
        </w:rPr>
        <w:t>不少</w:t>
      </w:r>
      <w:r>
        <w:rPr>
          <w:rFonts w:ascii="宋体" w:hAnsi="宋体"/>
          <w:color w:val="000000"/>
          <w:sz w:val="24"/>
          <w:szCs w:val="21"/>
        </w:rPr>
        <w:t>于在权利登记日本基金总</w:t>
      </w:r>
      <w:r>
        <w:rPr>
          <w:rFonts w:ascii="宋体" w:hAnsi="宋体" w:hint="eastAsia"/>
          <w:color w:val="000000"/>
          <w:sz w:val="24"/>
          <w:szCs w:val="21"/>
        </w:rPr>
        <w:t>份</w:t>
      </w:r>
      <w:r>
        <w:rPr>
          <w:rFonts w:ascii="宋体" w:hAnsi="宋体"/>
          <w:color w:val="000000"/>
          <w:sz w:val="24"/>
          <w:szCs w:val="21"/>
        </w:rPr>
        <w:t>额的</w:t>
      </w:r>
      <w:r>
        <w:rPr>
          <w:rFonts w:ascii="宋体" w:hAnsi="宋体" w:hint="eastAsia"/>
          <w:color w:val="000000"/>
          <w:sz w:val="24"/>
          <w:szCs w:val="21"/>
        </w:rPr>
        <w:t>50</w:t>
      </w:r>
      <w:r>
        <w:rPr>
          <w:rFonts w:ascii="宋体" w:hAnsi="宋体"/>
          <w:color w:val="000000"/>
          <w:sz w:val="24"/>
          <w:szCs w:val="21"/>
        </w:rPr>
        <w:t>%</w:t>
      </w:r>
      <w:r>
        <w:rPr>
          <w:rFonts w:ascii="宋体" w:hAnsi="宋体" w:hint="eastAsia"/>
          <w:color w:val="000000"/>
          <w:sz w:val="24"/>
          <w:szCs w:val="21"/>
        </w:rPr>
        <w:t>（含50%）</w:t>
      </w:r>
      <w:r>
        <w:rPr>
          <w:rFonts w:ascii="宋体" w:hAnsi="宋体"/>
          <w:color w:val="000000"/>
          <w:sz w:val="24"/>
          <w:szCs w:val="21"/>
        </w:rPr>
        <w:t>。</w:t>
      </w:r>
    </w:p>
    <w:p w14:paraId="70390B54"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2、</w:t>
      </w:r>
      <w:r>
        <w:rPr>
          <w:rFonts w:ascii="宋体" w:hAnsi="宋体"/>
          <w:color w:val="000000"/>
          <w:sz w:val="24"/>
          <w:szCs w:val="21"/>
        </w:rPr>
        <w:t>通讯开会。通讯开会应以书面方式进行表决。</w:t>
      </w:r>
    </w:p>
    <w:p w14:paraId="577475DF" w14:textId="77777777" w:rsidR="00BF0C91" w:rsidRDefault="00D65346">
      <w:pPr>
        <w:spacing w:line="420" w:lineRule="exact"/>
        <w:ind w:firstLineChars="200" w:firstLine="480"/>
        <w:rPr>
          <w:rFonts w:ascii="宋体" w:hAnsi="宋体"/>
          <w:color w:val="000000"/>
          <w:sz w:val="24"/>
          <w:szCs w:val="21"/>
        </w:rPr>
      </w:pPr>
      <w:r>
        <w:rPr>
          <w:rFonts w:ascii="宋体" w:hAnsi="宋体"/>
          <w:color w:val="000000"/>
          <w:sz w:val="24"/>
          <w:szCs w:val="21"/>
        </w:rPr>
        <w:t>在</w:t>
      </w:r>
      <w:r>
        <w:rPr>
          <w:rFonts w:ascii="宋体" w:hAnsi="宋体" w:hint="eastAsia"/>
          <w:color w:val="000000"/>
          <w:sz w:val="24"/>
          <w:szCs w:val="21"/>
        </w:rPr>
        <w:t>同时</w:t>
      </w:r>
      <w:r>
        <w:rPr>
          <w:rFonts w:ascii="宋体" w:hAnsi="宋体"/>
          <w:color w:val="000000"/>
          <w:sz w:val="24"/>
          <w:szCs w:val="21"/>
        </w:rPr>
        <w:t>符合以下条件时，通讯开会的方式视为有效：</w:t>
      </w:r>
    </w:p>
    <w:p w14:paraId="29DADCA1"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（1）会议召集人</w:t>
      </w:r>
      <w:r>
        <w:rPr>
          <w:rFonts w:ascii="宋体" w:hAnsi="宋体"/>
          <w:color w:val="000000"/>
          <w:sz w:val="24"/>
          <w:szCs w:val="21"/>
        </w:rPr>
        <w:t>按基金合同规定公布会议通知后，在</w:t>
      </w:r>
      <w:r>
        <w:rPr>
          <w:rFonts w:ascii="宋体" w:hAnsi="宋体" w:hint="eastAsia"/>
          <w:color w:val="000000"/>
          <w:sz w:val="24"/>
          <w:szCs w:val="21"/>
        </w:rPr>
        <w:t>2</w:t>
      </w:r>
      <w:r>
        <w:rPr>
          <w:rFonts w:ascii="宋体" w:hAnsi="宋体"/>
          <w:color w:val="000000"/>
          <w:sz w:val="24"/>
          <w:szCs w:val="21"/>
        </w:rPr>
        <w:t>个工作日内连续公布相关提示性公告；</w:t>
      </w:r>
    </w:p>
    <w:p w14:paraId="4C4EE68D"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（2）会议召集人</w:t>
      </w:r>
      <w:r>
        <w:rPr>
          <w:rFonts w:ascii="宋体" w:hAnsi="宋体"/>
          <w:color w:val="000000"/>
          <w:sz w:val="24"/>
          <w:szCs w:val="21"/>
        </w:rPr>
        <w:t>在基金托管人</w:t>
      </w:r>
      <w:r>
        <w:rPr>
          <w:rFonts w:ascii="宋体" w:hAnsi="宋体" w:hint="eastAsia"/>
          <w:color w:val="000000"/>
          <w:sz w:val="24"/>
          <w:szCs w:val="21"/>
        </w:rPr>
        <w:t>（如果基金托管人为召集人，则为基金管理人）</w:t>
      </w:r>
      <w:r>
        <w:rPr>
          <w:rFonts w:ascii="宋体" w:hAnsi="宋体"/>
          <w:color w:val="000000"/>
          <w:sz w:val="24"/>
          <w:szCs w:val="21"/>
        </w:rPr>
        <w:t>和公证机关的监督下按照会议通知规定的方式收取基金份额持有人的书面表决意见；</w:t>
      </w:r>
      <w:r>
        <w:rPr>
          <w:rFonts w:ascii="宋体" w:hAnsi="宋体" w:hint="eastAsia"/>
          <w:color w:val="000000"/>
          <w:sz w:val="24"/>
          <w:szCs w:val="21"/>
        </w:rPr>
        <w:t>基金托管人或基金管理人经通知拒不参加收取书面表决意见的，不影响表决效力；</w:t>
      </w:r>
    </w:p>
    <w:p w14:paraId="09EF95CE"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 xml:space="preserve">（3） </w:t>
      </w:r>
      <w:r>
        <w:rPr>
          <w:rFonts w:ascii="宋体" w:hAnsi="宋体"/>
          <w:color w:val="000000"/>
          <w:sz w:val="24"/>
          <w:szCs w:val="21"/>
        </w:rPr>
        <w:t>本人直接出具书面意见或授权他人代</w:t>
      </w:r>
      <w:r>
        <w:rPr>
          <w:rFonts w:ascii="宋体" w:hAnsi="宋体" w:hint="eastAsia"/>
          <w:color w:val="000000"/>
          <w:sz w:val="24"/>
          <w:szCs w:val="21"/>
        </w:rPr>
        <w:t>为</w:t>
      </w:r>
      <w:r>
        <w:rPr>
          <w:rFonts w:ascii="宋体" w:hAnsi="宋体"/>
          <w:color w:val="000000"/>
          <w:sz w:val="24"/>
          <w:szCs w:val="21"/>
        </w:rPr>
        <w:t>出具书面意见的基金份额持有人所持有的基金份额</w:t>
      </w:r>
      <w:r>
        <w:rPr>
          <w:rFonts w:ascii="宋体" w:hAnsi="宋体" w:hint="eastAsia"/>
          <w:color w:val="000000"/>
          <w:sz w:val="24"/>
          <w:szCs w:val="21"/>
        </w:rPr>
        <w:t>不少</w:t>
      </w:r>
      <w:r>
        <w:rPr>
          <w:rFonts w:ascii="宋体" w:hAnsi="宋体"/>
          <w:color w:val="000000"/>
          <w:sz w:val="24"/>
          <w:szCs w:val="21"/>
        </w:rPr>
        <w:t>于在权利登记日基金总份额的</w:t>
      </w:r>
      <w:r>
        <w:rPr>
          <w:rFonts w:ascii="宋体" w:hAnsi="宋体" w:hint="eastAsia"/>
          <w:color w:val="000000"/>
          <w:sz w:val="24"/>
          <w:szCs w:val="21"/>
        </w:rPr>
        <w:t>50%（含50%）</w:t>
      </w:r>
      <w:r>
        <w:rPr>
          <w:rFonts w:ascii="宋体" w:hAnsi="宋体"/>
          <w:color w:val="000000"/>
          <w:sz w:val="24"/>
          <w:szCs w:val="21"/>
        </w:rPr>
        <w:t>；</w:t>
      </w:r>
    </w:p>
    <w:p w14:paraId="4752A680"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（4）上述第（3）项中</w:t>
      </w:r>
      <w:r>
        <w:rPr>
          <w:rFonts w:ascii="宋体" w:hAnsi="宋体"/>
          <w:color w:val="000000"/>
          <w:sz w:val="24"/>
          <w:szCs w:val="21"/>
        </w:rPr>
        <w:t>直接出具书面意见的基金份额持有人提交的持有基金份额的凭证、受托</w:t>
      </w:r>
      <w:r>
        <w:rPr>
          <w:rFonts w:ascii="宋体" w:hAnsi="宋体" w:hint="eastAsia"/>
          <w:color w:val="000000"/>
          <w:sz w:val="24"/>
          <w:szCs w:val="21"/>
        </w:rPr>
        <w:t>出具书面意见的代理人</w:t>
      </w:r>
      <w:r>
        <w:rPr>
          <w:rFonts w:ascii="宋体" w:hAnsi="宋体"/>
          <w:color w:val="000000"/>
          <w:sz w:val="24"/>
          <w:szCs w:val="21"/>
        </w:rPr>
        <w:t>出具的委托人持有基金份额的凭证及委托人</w:t>
      </w:r>
      <w:r>
        <w:rPr>
          <w:rFonts w:ascii="宋体" w:hAnsi="宋体" w:hint="eastAsia"/>
          <w:color w:val="000000"/>
          <w:sz w:val="24"/>
          <w:szCs w:val="21"/>
        </w:rPr>
        <w:t>出具</w:t>
      </w:r>
      <w:r>
        <w:rPr>
          <w:rFonts w:ascii="宋体" w:hAnsi="宋体"/>
          <w:color w:val="000000"/>
          <w:sz w:val="24"/>
          <w:szCs w:val="21"/>
        </w:rPr>
        <w:t>的代理投票授权委托书符合法律法规、基金合同和会议通知的规定；</w:t>
      </w:r>
    </w:p>
    <w:p w14:paraId="48CA4BD9"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（5）</w:t>
      </w:r>
      <w:r>
        <w:rPr>
          <w:rFonts w:ascii="宋体" w:hAnsi="宋体"/>
          <w:color w:val="000000"/>
          <w:sz w:val="24"/>
          <w:szCs w:val="21"/>
        </w:rPr>
        <w:t>会议通知公布前报中国证监会备案。</w:t>
      </w:r>
    </w:p>
    <w:p w14:paraId="13CCAB63" w14:textId="77777777" w:rsidR="00BF0C91" w:rsidRDefault="00D65346">
      <w:pPr>
        <w:spacing w:beforeLines="50" w:before="156" w:afterLines="50" w:after="156" w:line="420" w:lineRule="exact"/>
        <w:ind w:firstLineChars="200" w:firstLine="482"/>
        <w:outlineLvl w:val="1"/>
        <w:rPr>
          <w:rFonts w:ascii="宋体" w:hAnsi="宋体"/>
          <w:b/>
          <w:bCs/>
          <w:color w:val="000000"/>
          <w:sz w:val="24"/>
          <w:szCs w:val="21"/>
        </w:rPr>
      </w:pPr>
      <w:r>
        <w:rPr>
          <w:rFonts w:ascii="宋体" w:hAnsi="宋体" w:hint="eastAsia"/>
          <w:b/>
          <w:bCs/>
          <w:color w:val="000000"/>
          <w:sz w:val="24"/>
          <w:szCs w:val="21"/>
        </w:rPr>
        <w:t>五、</w:t>
      </w:r>
      <w:r>
        <w:rPr>
          <w:rFonts w:ascii="宋体" w:hAnsi="宋体" w:hint="eastAsia"/>
          <w:b/>
          <w:bCs/>
          <w:color w:val="000000"/>
          <w:sz w:val="24"/>
          <w:szCs w:val="21"/>
        </w:rPr>
        <w:tab/>
      </w:r>
      <w:r>
        <w:rPr>
          <w:rFonts w:ascii="宋体" w:hAnsi="宋体"/>
          <w:b/>
          <w:bCs/>
          <w:color w:val="000000"/>
          <w:sz w:val="24"/>
          <w:szCs w:val="21"/>
        </w:rPr>
        <w:t>议事内容与程序</w:t>
      </w:r>
    </w:p>
    <w:p w14:paraId="2DD7A97E"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1、</w:t>
      </w:r>
      <w:r>
        <w:rPr>
          <w:rFonts w:ascii="宋体" w:hAnsi="宋体"/>
          <w:color w:val="000000"/>
          <w:sz w:val="24"/>
          <w:szCs w:val="21"/>
        </w:rPr>
        <w:t>议事内容及提案权</w:t>
      </w:r>
    </w:p>
    <w:p w14:paraId="458E06E9" w14:textId="77777777" w:rsidR="00BF0C91" w:rsidRDefault="00D65346">
      <w:pPr>
        <w:spacing w:line="420" w:lineRule="exact"/>
        <w:ind w:firstLineChars="200" w:firstLine="480"/>
        <w:rPr>
          <w:rFonts w:ascii="宋体" w:hAnsi="宋体"/>
          <w:color w:val="000000"/>
          <w:sz w:val="24"/>
          <w:szCs w:val="21"/>
        </w:rPr>
      </w:pPr>
      <w:r>
        <w:rPr>
          <w:rFonts w:ascii="宋体" w:hAnsi="宋体"/>
          <w:color w:val="000000"/>
          <w:sz w:val="24"/>
          <w:szCs w:val="21"/>
        </w:rPr>
        <w:t>议事内容为</w:t>
      </w:r>
      <w:r>
        <w:rPr>
          <w:rFonts w:ascii="宋体" w:hAnsi="宋体" w:hint="eastAsia"/>
          <w:color w:val="000000"/>
          <w:sz w:val="24"/>
          <w:szCs w:val="21"/>
        </w:rPr>
        <w:t>关系基金份额持有人利益的重大事项，如修改基金合同、终止基金合同、转换基金运作方式、更换基金管理人、更换基金托管人、与其他基金合</w:t>
      </w:r>
      <w:r>
        <w:rPr>
          <w:rFonts w:ascii="宋体" w:hAnsi="宋体" w:hint="eastAsia"/>
          <w:color w:val="000000"/>
          <w:sz w:val="24"/>
          <w:szCs w:val="21"/>
        </w:rPr>
        <w:lastRenderedPageBreak/>
        <w:t>并、变更基金类别、变更基金投资目标、范围或策略；变更基金份额持有人大会程序以及法律法规及基金合同规定的其他事项</w:t>
      </w:r>
      <w:r>
        <w:rPr>
          <w:rFonts w:ascii="宋体" w:hAnsi="宋体"/>
          <w:color w:val="000000"/>
          <w:sz w:val="24"/>
          <w:szCs w:val="21"/>
        </w:rPr>
        <w:t>。</w:t>
      </w:r>
    </w:p>
    <w:p w14:paraId="74AC0510" w14:textId="77777777" w:rsidR="00BF0C91" w:rsidRDefault="00D65346">
      <w:pPr>
        <w:spacing w:line="420" w:lineRule="exact"/>
        <w:ind w:firstLineChars="200" w:firstLine="480"/>
        <w:rPr>
          <w:rFonts w:ascii="宋体" w:hAnsi="宋体"/>
          <w:color w:val="000000"/>
          <w:sz w:val="24"/>
          <w:szCs w:val="21"/>
        </w:rPr>
      </w:pPr>
      <w:r>
        <w:rPr>
          <w:rFonts w:ascii="宋体" w:hAnsi="宋体"/>
          <w:color w:val="000000"/>
          <w:sz w:val="24"/>
          <w:szCs w:val="21"/>
        </w:rPr>
        <w:t>基金管理人、基金托管人、单独或合并持有权利登记日基金总份额10%以上</w:t>
      </w:r>
      <w:r>
        <w:rPr>
          <w:rFonts w:ascii="宋体" w:hAnsi="宋体" w:hint="eastAsia"/>
          <w:color w:val="000000"/>
          <w:sz w:val="24"/>
          <w:szCs w:val="21"/>
        </w:rPr>
        <w:t>（含10%）</w:t>
      </w:r>
      <w:r>
        <w:rPr>
          <w:rFonts w:ascii="宋体" w:hAnsi="宋体"/>
          <w:color w:val="000000"/>
          <w:sz w:val="24"/>
          <w:szCs w:val="21"/>
        </w:rPr>
        <w:t>的基金份额持有人可以在大会召集人发出会议通知前向大会召集人提交需由基金份额持有人大会审议表决的提案。</w:t>
      </w:r>
    </w:p>
    <w:p w14:paraId="064B30A6" w14:textId="77777777" w:rsidR="00BF0C91" w:rsidRDefault="00D65346">
      <w:pPr>
        <w:spacing w:line="420" w:lineRule="exact"/>
        <w:ind w:firstLineChars="200" w:firstLine="480"/>
        <w:rPr>
          <w:rFonts w:ascii="宋体" w:hAnsi="宋体"/>
          <w:color w:val="000000"/>
          <w:sz w:val="24"/>
          <w:szCs w:val="21"/>
        </w:rPr>
      </w:pPr>
      <w:r>
        <w:rPr>
          <w:rFonts w:ascii="宋体" w:hAnsi="宋体"/>
          <w:color w:val="000000"/>
          <w:sz w:val="24"/>
          <w:szCs w:val="21"/>
        </w:rPr>
        <w:t>大会召集人应当按照以下原则对提案进行审核：</w:t>
      </w:r>
    </w:p>
    <w:p w14:paraId="0D961145"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（1）</w:t>
      </w:r>
      <w:r>
        <w:rPr>
          <w:rFonts w:ascii="宋体" w:hAnsi="宋体"/>
          <w:color w:val="000000"/>
          <w:sz w:val="24"/>
          <w:szCs w:val="21"/>
        </w:rPr>
        <w:t>关联性。对于涉及事项与</w:t>
      </w:r>
      <w:r>
        <w:rPr>
          <w:rFonts w:ascii="宋体" w:hAnsi="宋体" w:hint="eastAsia"/>
          <w:color w:val="000000"/>
          <w:sz w:val="24"/>
          <w:szCs w:val="21"/>
        </w:rPr>
        <w:t>本</w:t>
      </w:r>
      <w:r>
        <w:rPr>
          <w:rFonts w:ascii="宋体" w:hAnsi="宋体"/>
          <w:color w:val="000000"/>
          <w:sz w:val="24"/>
          <w:szCs w:val="21"/>
        </w:rPr>
        <w:t>基金有直接关系，并且不超出法律法规和</w:t>
      </w:r>
      <w:r>
        <w:rPr>
          <w:rFonts w:ascii="宋体" w:hAnsi="宋体" w:hint="eastAsia"/>
          <w:color w:val="000000"/>
          <w:sz w:val="24"/>
          <w:szCs w:val="21"/>
        </w:rPr>
        <w:t>基金合同</w:t>
      </w:r>
      <w:r>
        <w:rPr>
          <w:rFonts w:ascii="宋体" w:hAnsi="宋体"/>
          <w:color w:val="000000"/>
          <w:sz w:val="24"/>
          <w:szCs w:val="21"/>
        </w:rPr>
        <w:t>规定的基金份额持有人大会职权范围的</w:t>
      </w:r>
      <w:r>
        <w:rPr>
          <w:rFonts w:ascii="宋体" w:hAnsi="宋体" w:hint="eastAsia"/>
          <w:color w:val="000000"/>
          <w:sz w:val="24"/>
          <w:szCs w:val="21"/>
        </w:rPr>
        <w:t>提案</w:t>
      </w:r>
      <w:r>
        <w:rPr>
          <w:rFonts w:ascii="宋体" w:hAnsi="宋体"/>
          <w:color w:val="000000"/>
          <w:sz w:val="24"/>
          <w:szCs w:val="21"/>
        </w:rPr>
        <w:t>，</w:t>
      </w:r>
      <w:r>
        <w:rPr>
          <w:rFonts w:ascii="宋体" w:hAnsi="宋体" w:hint="eastAsia"/>
          <w:color w:val="000000"/>
          <w:sz w:val="24"/>
          <w:szCs w:val="21"/>
        </w:rPr>
        <w:t>大会召集人</w:t>
      </w:r>
      <w:r>
        <w:rPr>
          <w:rFonts w:ascii="宋体" w:hAnsi="宋体"/>
          <w:color w:val="000000"/>
          <w:sz w:val="24"/>
          <w:szCs w:val="21"/>
        </w:rPr>
        <w:t>应</w:t>
      </w:r>
      <w:r>
        <w:rPr>
          <w:rFonts w:ascii="宋体" w:hAnsi="宋体" w:hint="eastAsia"/>
          <w:color w:val="000000"/>
          <w:sz w:val="24"/>
          <w:szCs w:val="21"/>
        </w:rPr>
        <w:t>将提案</w:t>
      </w:r>
      <w:r>
        <w:rPr>
          <w:rFonts w:ascii="宋体" w:hAnsi="宋体"/>
          <w:color w:val="000000"/>
          <w:sz w:val="24"/>
          <w:szCs w:val="21"/>
        </w:rPr>
        <w:t>提交大会审议；对于不符合上述要求的，不提交基金份额持有人大会审议。如果召集人决定不将基金份额持有人提案提交大会表决，应当在该次基金份额持有人大会上进行解释和说明。</w:t>
      </w:r>
    </w:p>
    <w:p w14:paraId="51214A0C"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（2）</w:t>
      </w:r>
      <w:r>
        <w:rPr>
          <w:rFonts w:ascii="宋体" w:hAnsi="宋体"/>
          <w:color w:val="000000"/>
          <w:sz w:val="24"/>
          <w:szCs w:val="21"/>
        </w:rPr>
        <w:t>程序性。大会召集人可以对提案涉及的程序性问题</w:t>
      </w:r>
      <w:r>
        <w:rPr>
          <w:rFonts w:ascii="宋体" w:hAnsi="宋体" w:hint="eastAsia"/>
          <w:color w:val="000000"/>
          <w:sz w:val="24"/>
          <w:szCs w:val="21"/>
        </w:rPr>
        <w:t>做</w:t>
      </w:r>
      <w:r>
        <w:rPr>
          <w:rFonts w:ascii="宋体" w:hAnsi="宋体"/>
          <w:color w:val="000000"/>
          <w:sz w:val="24"/>
          <w:szCs w:val="21"/>
        </w:rPr>
        <w:t>出决定。如将提案进行分拆或合并表决，需征得原提案人同意；原提案人不同意变更的，大会主持人可以就程序性问题提请基金份额持有人大会</w:t>
      </w:r>
      <w:r>
        <w:rPr>
          <w:rFonts w:ascii="宋体" w:hAnsi="宋体" w:hint="eastAsia"/>
          <w:color w:val="000000"/>
          <w:sz w:val="24"/>
          <w:szCs w:val="21"/>
        </w:rPr>
        <w:t>做</w:t>
      </w:r>
      <w:r>
        <w:rPr>
          <w:rFonts w:ascii="宋体" w:hAnsi="宋体"/>
          <w:color w:val="000000"/>
          <w:sz w:val="24"/>
          <w:szCs w:val="21"/>
        </w:rPr>
        <w:t>出决定，并按照基金份额持有人大会决定的程序进行审议。</w:t>
      </w:r>
    </w:p>
    <w:p w14:paraId="0522A13A"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单独或合并持有权利登记日基金总份额10%以上（含10%）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的除外。</w:t>
      </w:r>
    </w:p>
    <w:p w14:paraId="1C8FF302" w14:textId="77777777" w:rsidR="00BF0C91" w:rsidRDefault="00D65346">
      <w:pPr>
        <w:spacing w:line="420" w:lineRule="exact"/>
        <w:ind w:firstLineChars="200" w:firstLine="480"/>
        <w:rPr>
          <w:rFonts w:ascii="宋体" w:hAnsi="宋体"/>
          <w:color w:val="000000"/>
          <w:sz w:val="24"/>
          <w:szCs w:val="21"/>
        </w:rPr>
      </w:pPr>
      <w:r>
        <w:rPr>
          <w:rFonts w:ascii="宋体" w:hAnsi="宋体"/>
          <w:color w:val="000000"/>
          <w:sz w:val="24"/>
          <w:szCs w:val="21"/>
        </w:rPr>
        <w:t>基金份额持有人大会不得对未事先公告的议事内容进行表决。</w:t>
      </w:r>
    </w:p>
    <w:p w14:paraId="596A4B66"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2、</w:t>
      </w:r>
      <w:r>
        <w:rPr>
          <w:rFonts w:ascii="宋体" w:hAnsi="宋体"/>
          <w:color w:val="000000"/>
          <w:sz w:val="24"/>
          <w:szCs w:val="21"/>
        </w:rPr>
        <w:t>议事程序</w:t>
      </w:r>
    </w:p>
    <w:p w14:paraId="5DDB6052"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（1）</w:t>
      </w:r>
      <w:r>
        <w:rPr>
          <w:rFonts w:ascii="宋体" w:hAnsi="宋体"/>
          <w:color w:val="000000"/>
          <w:sz w:val="24"/>
          <w:szCs w:val="21"/>
        </w:rPr>
        <w:t>现场开会</w:t>
      </w:r>
    </w:p>
    <w:p w14:paraId="440B0294" w14:textId="77777777" w:rsidR="00BF0C91" w:rsidRDefault="00D65346">
      <w:pPr>
        <w:spacing w:line="420" w:lineRule="exact"/>
        <w:ind w:firstLineChars="200" w:firstLine="480"/>
        <w:rPr>
          <w:rFonts w:ascii="宋体" w:hAnsi="宋体"/>
          <w:color w:val="000000"/>
          <w:sz w:val="24"/>
          <w:szCs w:val="21"/>
        </w:rPr>
      </w:pPr>
      <w:r>
        <w:rPr>
          <w:rFonts w:ascii="宋体" w:hAnsi="宋体"/>
          <w:color w:val="000000"/>
          <w:sz w:val="24"/>
          <w:szCs w:val="21"/>
        </w:rPr>
        <w:t>在现场开会的方式下，首先由大会主持人按照下列第七</w:t>
      </w:r>
      <w:r>
        <w:rPr>
          <w:rFonts w:ascii="宋体" w:hAnsi="宋体" w:hint="eastAsia"/>
          <w:color w:val="000000"/>
          <w:sz w:val="24"/>
          <w:szCs w:val="21"/>
        </w:rPr>
        <w:t>条</w:t>
      </w:r>
      <w:r>
        <w:rPr>
          <w:rFonts w:ascii="宋体" w:hAnsi="宋体"/>
          <w:color w:val="000000"/>
          <w:sz w:val="24"/>
          <w:szCs w:val="21"/>
        </w:rPr>
        <w:t>规定程序确定和公布监票人，然后由大会主持人宣读提案，经讨论后进行表决，并形成大会决议。大会主持人为基金管理人授权出席会议的代表，在基金管理人</w:t>
      </w:r>
      <w:r>
        <w:rPr>
          <w:rFonts w:ascii="宋体" w:hAnsi="宋体" w:hint="eastAsia"/>
          <w:color w:val="000000"/>
          <w:sz w:val="24"/>
          <w:szCs w:val="21"/>
        </w:rPr>
        <w:t>授权代表</w:t>
      </w:r>
      <w:r>
        <w:rPr>
          <w:rFonts w:ascii="宋体" w:hAnsi="宋体"/>
          <w:color w:val="000000"/>
          <w:sz w:val="24"/>
          <w:szCs w:val="21"/>
        </w:rPr>
        <w:t>未能主持大会的情况下，由基金托管人授权其出席会议的代表主持；如果基金管理人</w:t>
      </w:r>
      <w:r>
        <w:rPr>
          <w:rFonts w:ascii="宋体" w:hAnsi="宋体" w:hint="eastAsia"/>
          <w:color w:val="000000"/>
          <w:sz w:val="24"/>
          <w:szCs w:val="21"/>
        </w:rPr>
        <w:t>授权代表</w:t>
      </w:r>
      <w:r>
        <w:rPr>
          <w:rFonts w:ascii="宋体" w:hAnsi="宋体"/>
          <w:color w:val="000000"/>
          <w:sz w:val="24"/>
          <w:szCs w:val="21"/>
        </w:rPr>
        <w:t>和基金托管人</w:t>
      </w:r>
      <w:r>
        <w:rPr>
          <w:rFonts w:ascii="宋体" w:hAnsi="宋体" w:hint="eastAsia"/>
          <w:color w:val="000000"/>
          <w:sz w:val="24"/>
          <w:szCs w:val="21"/>
        </w:rPr>
        <w:t>授权代表均未出席或</w:t>
      </w:r>
      <w:r>
        <w:rPr>
          <w:rFonts w:ascii="宋体" w:hAnsi="宋体"/>
          <w:color w:val="000000"/>
          <w:sz w:val="24"/>
          <w:szCs w:val="21"/>
        </w:rPr>
        <w:t>主持大会，则由出席大会的基金份额持有人</w:t>
      </w:r>
      <w:r>
        <w:rPr>
          <w:rFonts w:ascii="宋体" w:hAnsi="宋体" w:hint="eastAsia"/>
          <w:color w:val="000000"/>
          <w:sz w:val="24"/>
          <w:szCs w:val="21"/>
        </w:rPr>
        <w:t>所持表决权的</w:t>
      </w:r>
      <w:r>
        <w:rPr>
          <w:rFonts w:ascii="宋体" w:hAnsi="宋体"/>
          <w:color w:val="000000"/>
          <w:sz w:val="24"/>
          <w:szCs w:val="21"/>
        </w:rPr>
        <w:t>50%以上（含50%）选举产生一名基金份额持有人作为该次基金份额持有人大会的主持人。</w:t>
      </w:r>
      <w:r>
        <w:rPr>
          <w:rFonts w:ascii="宋体" w:hAnsi="宋体" w:hint="eastAsia"/>
          <w:color w:val="000000"/>
          <w:sz w:val="24"/>
          <w:szCs w:val="21"/>
        </w:rPr>
        <w:t>基金管理人和基金托管人拒不出席或主持基金份额持有人大会，不影响基金份额持有人大会作出的决议的效力。</w:t>
      </w:r>
    </w:p>
    <w:p w14:paraId="756ECAF8"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（2）</w:t>
      </w:r>
      <w:r>
        <w:rPr>
          <w:rFonts w:ascii="宋体" w:hAnsi="宋体"/>
          <w:color w:val="000000"/>
          <w:sz w:val="24"/>
          <w:szCs w:val="21"/>
        </w:rPr>
        <w:t>通讯开会</w:t>
      </w:r>
    </w:p>
    <w:p w14:paraId="366D78D1" w14:textId="77777777" w:rsidR="00BF0C91" w:rsidRDefault="00D65346">
      <w:pPr>
        <w:spacing w:line="420" w:lineRule="exact"/>
        <w:ind w:firstLineChars="200" w:firstLine="480"/>
        <w:rPr>
          <w:rFonts w:ascii="宋体" w:hAnsi="宋体"/>
          <w:color w:val="000000"/>
          <w:sz w:val="24"/>
          <w:szCs w:val="21"/>
        </w:rPr>
      </w:pPr>
      <w:r>
        <w:rPr>
          <w:rFonts w:ascii="宋体" w:hAnsi="宋体"/>
          <w:color w:val="000000"/>
          <w:sz w:val="24"/>
          <w:szCs w:val="21"/>
        </w:rPr>
        <w:lastRenderedPageBreak/>
        <w:t>在通讯开会的情况下，</w:t>
      </w:r>
      <w:r>
        <w:rPr>
          <w:rFonts w:ascii="宋体" w:hAnsi="宋体" w:hint="eastAsia"/>
          <w:color w:val="000000"/>
          <w:sz w:val="24"/>
          <w:szCs w:val="21"/>
        </w:rPr>
        <w:t>公告会议通知时应当同时</w:t>
      </w:r>
      <w:r>
        <w:rPr>
          <w:rFonts w:ascii="宋体" w:hAnsi="宋体"/>
          <w:color w:val="000000"/>
          <w:sz w:val="24"/>
          <w:szCs w:val="21"/>
        </w:rPr>
        <w:t>公布提案，在所通知的表决截止日期</w:t>
      </w:r>
      <w:r>
        <w:rPr>
          <w:rFonts w:ascii="宋体" w:hAnsi="宋体" w:hint="eastAsia"/>
          <w:color w:val="000000"/>
          <w:sz w:val="24"/>
          <w:szCs w:val="21"/>
        </w:rPr>
        <w:t>后2个工作日内</w:t>
      </w:r>
      <w:r>
        <w:rPr>
          <w:rFonts w:ascii="宋体" w:hAnsi="宋体"/>
          <w:color w:val="000000"/>
          <w:sz w:val="24"/>
          <w:szCs w:val="21"/>
        </w:rPr>
        <w:t>统计全部有效表决，在公证</w:t>
      </w:r>
      <w:r>
        <w:rPr>
          <w:rFonts w:ascii="宋体" w:hAnsi="宋体" w:hint="eastAsia"/>
          <w:color w:val="000000"/>
          <w:sz w:val="24"/>
          <w:szCs w:val="21"/>
        </w:rPr>
        <w:t>机关</w:t>
      </w:r>
      <w:r>
        <w:rPr>
          <w:rFonts w:ascii="宋体" w:hAnsi="宋体"/>
          <w:color w:val="000000"/>
          <w:sz w:val="24"/>
          <w:szCs w:val="21"/>
        </w:rPr>
        <w:t>监督下形成决议。</w:t>
      </w:r>
    </w:p>
    <w:p w14:paraId="20C0B2FC" w14:textId="77777777" w:rsidR="00BF0C91" w:rsidRDefault="00D65346">
      <w:pPr>
        <w:spacing w:beforeLines="50" w:before="156" w:afterLines="50" w:after="156" w:line="420" w:lineRule="exact"/>
        <w:ind w:firstLineChars="200" w:firstLine="482"/>
        <w:outlineLvl w:val="1"/>
        <w:rPr>
          <w:rFonts w:ascii="宋体" w:hAnsi="宋体"/>
          <w:b/>
          <w:bCs/>
          <w:color w:val="000000"/>
          <w:sz w:val="24"/>
          <w:szCs w:val="21"/>
        </w:rPr>
      </w:pPr>
      <w:r>
        <w:rPr>
          <w:rFonts w:ascii="宋体" w:hAnsi="宋体" w:hint="eastAsia"/>
          <w:b/>
          <w:bCs/>
          <w:color w:val="000000"/>
          <w:sz w:val="24"/>
          <w:szCs w:val="21"/>
        </w:rPr>
        <w:t>六、</w:t>
      </w:r>
      <w:r>
        <w:rPr>
          <w:rFonts w:ascii="宋体" w:hAnsi="宋体" w:hint="eastAsia"/>
          <w:b/>
          <w:bCs/>
          <w:color w:val="000000"/>
          <w:sz w:val="24"/>
          <w:szCs w:val="21"/>
        </w:rPr>
        <w:tab/>
      </w:r>
      <w:r>
        <w:rPr>
          <w:rFonts w:ascii="宋体" w:hAnsi="宋体"/>
          <w:b/>
          <w:bCs/>
          <w:color w:val="000000"/>
          <w:sz w:val="24"/>
          <w:szCs w:val="21"/>
        </w:rPr>
        <w:t>表决</w:t>
      </w:r>
    </w:p>
    <w:p w14:paraId="1B9F24D9" w14:textId="77777777" w:rsidR="00BF0C91" w:rsidRDefault="00D65346">
      <w:pPr>
        <w:spacing w:line="420" w:lineRule="exact"/>
        <w:ind w:firstLineChars="200" w:firstLine="480"/>
        <w:rPr>
          <w:rFonts w:ascii="宋体" w:hAnsi="宋体"/>
          <w:color w:val="000000"/>
          <w:sz w:val="24"/>
          <w:szCs w:val="21"/>
        </w:rPr>
      </w:pPr>
      <w:r>
        <w:rPr>
          <w:rFonts w:ascii="宋体" w:hAnsi="宋体"/>
          <w:color w:val="000000"/>
          <w:sz w:val="24"/>
          <w:szCs w:val="21"/>
        </w:rPr>
        <w:t>基金份额持有人所持每份基金份额有一票表决权。</w:t>
      </w:r>
    </w:p>
    <w:p w14:paraId="43554E42" w14:textId="77777777" w:rsidR="00BF0C91" w:rsidRDefault="00D65346">
      <w:pPr>
        <w:spacing w:line="420" w:lineRule="exact"/>
        <w:ind w:firstLineChars="200" w:firstLine="480"/>
        <w:rPr>
          <w:rFonts w:ascii="宋体" w:hAnsi="宋体"/>
          <w:color w:val="000000"/>
          <w:sz w:val="24"/>
          <w:szCs w:val="21"/>
        </w:rPr>
      </w:pPr>
      <w:r>
        <w:rPr>
          <w:rFonts w:ascii="宋体" w:hAnsi="宋体"/>
          <w:color w:val="000000"/>
          <w:sz w:val="24"/>
          <w:szCs w:val="21"/>
        </w:rPr>
        <w:t>基金份额持有人大会决议分为一般决议和特别决议：</w:t>
      </w:r>
    </w:p>
    <w:p w14:paraId="3AA80102"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1、</w:t>
      </w:r>
      <w:r>
        <w:rPr>
          <w:rFonts w:ascii="宋体" w:hAnsi="宋体"/>
          <w:color w:val="000000"/>
          <w:sz w:val="24"/>
          <w:szCs w:val="21"/>
        </w:rPr>
        <w:t>一般决议，一般决议须经参加大会的基金份额持有人所持表决权的</w:t>
      </w:r>
      <w:r>
        <w:rPr>
          <w:rFonts w:ascii="宋体" w:hAnsi="宋体" w:hint="eastAsia"/>
          <w:color w:val="000000"/>
          <w:sz w:val="24"/>
          <w:szCs w:val="21"/>
        </w:rPr>
        <w:t>50%</w:t>
      </w:r>
      <w:r>
        <w:rPr>
          <w:rFonts w:ascii="宋体" w:hAnsi="宋体"/>
          <w:color w:val="000000"/>
          <w:sz w:val="24"/>
          <w:szCs w:val="21"/>
        </w:rPr>
        <w:t>以上（含</w:t>
      </w:r>
      <w:r>
        <w:rPr>
          <w:rFonts w:ascii="宋体" w:hAnsi="宋体" w:hint="eastAsia"/>
          <w:color w:val="000000"/>
          <w:sz w:val="24"/>
          <w:szCs w:val="21"/>
        </w:rPr>
        <w:t>50%</w:t>
      </w:r>
      <w:r>
        <w:rPr>
          <w:rFonts w:ascii="宋体" w:hAnsi="宋体"/>
          <w:color w:val="000000"/>
          <w:sz w:val="24"/>
          <w:szCs w:val="21"/>
        </w:rPr>
        <w:t>）通过方为有效；除下列</w:t>
      </w:r>
      <w:r>
        <w:rPr>
          <w:rFonts w:ascii="宋体" w:hAnsi="宋体" w:hint="eastAsia"/>
          <w:color w:val="000000"/>
          <w:sz w:val="24"/>
          <w:szCs w:val="21"/>
        </w:rPr>
        <w:t>第2项</w:t>
      </w:r>
      <w:r>
        <w:rPr>
          <w:rFonts w:ascii="宋体" w:hAnsi="宋体"/>
          <w:color w:val="000000"/>
          <w:sz w:val="24"/>
          <w:szCs w:val="21"/>
        </w:rPr>
        <w:t>所规定的须以特别决议通过事项以外的其他事项均以一般决议的方式通过。</w:t>
      </w:r>
    </w:p>
    <w:p w14:paraId="5A3B8B0F"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2、</w:t>
      </w:r>
      <w:r>
        <w:rPr>
          <w:rFonts w:ascii="宋体" w:hAnsi="宋体"/>
          <w:color w:val="000000"/>
          <w:sz w:val="24"/>
          <w:szCs w:val="21"/>
        </w:rPr>
        <w:t>特别决议，特别决议应当经参加大会的基金份额持有人所持表决权的三分之二以上</w:t>
      </w:r>
      <w:r>
        <w:rPr>
          <w:rFonts w:ascii="宋体" w:hAnsi="宋体" w:hint="eastAsia"/>
          <w:color w:val="000000"/>
          <w:sz w:val="24"/>
          <w:szCs w:val="21"/>
        </w:rPr>
        <w:t>（含</w:t>
      </w:r>
      <w:r>
        <w:rPr>
          <w:rFonts w:ascii="宋体" w:hAnsi="宋体"/>
          <w:color w:val="000000"/>
          <w:sz w:val="24"/>
          <w:szCs w:val="21"/>
        </w:rPr>
        <w:t>三分之二</w:t>
      </w:r>
      <w:r>
        <w:rPr>
          <w:rFonts w:ascii="宋体" w:hAnsi="宋体" w:hint="eastAsia"/>
          <w:color w:val="000000"/>
          <w:sz w:val="24"/>
          <w:szCs w:val="21"/>
        </w:rPr>
        <w:t>）</w:t>
      </w:r>
      <w:r>
        <w:rPr>
          <w:rFonts w:ascii="宋体" w:hAnsi="宋体"/>
          <w:color w:val="000000"/>
          <w:sz w:val="24"/>
          <w:szCs w:val="21"/>
        </w:rPr>
        <w:t>通过方可</w:t>
      </w:r>
      <w:r>
        <w:rPr>
          <w:rFonts w:ascii="宋体" w:hAnsi="宋体" w:hint="eastAsia"/>
          <w:color w:val="000000"/>
          <w:sz w:val="24"/>
          <w:szCs w:val="21"/>
        </w:rPr>
        <w:t>为有效</w:t>
      </w:r>
      <w:r>
        <w:rPr>
          <w:rFonts w:ascii="宋体" w:hAnsi="宋体"/>
          <w:color w:val="000000"/>
          <w:sz w:val="24"/>
          <w:szCs w:val="21"/>
        </w:rPr>
        <w:t>。转换基金运作方式、更换基金管理人或者基金托管人、终止基金合同以特别决议通过方为有效。</w:t>
      </w:r>
    </w:p>
    <w:p w14:paraId="3952966A" w14:textId="77777777" w:rsidR="00BF0C91" w:rsidRDefault="00D65346">
      <w:pPr>
        <w:spacing w:line="420" w:lineRule="exact"/>
        <w:ind w:firstLineChars="200" w:firstLine="480"/>
        <w:rPr>
          <w:rFonts w:ascii="宋体" w:hAnsi="宋体"/>
          <w:color w:val="000000"/>
          <w:sz w:val="24"/>
          <w:szCs w:val="21"/>
        </w:rPr>
      </w:pPr>
      <w:r>
        <w:rPr>
          <w:rFonts w:ascii="宋体" w:hAnsi="宋体"/>
          <w:color w:val="000000"/>
          <w:sz w:val="24"/>
          <w:szCs w:val="21"/>
        </w:rPr>
        <w:t>基金份额持有人大会采取记名方式进行投票表决。</w:t>
      </w:r>
    </w:p>
    <w:p w14:paraId="306143CA" w14:textId="77777777" w:rsidR="00BF0C91" w:rsidRDefault="00D65346">
      <w:pPr>
        <w:spacing w:line="420" w:lineRule="exact"/>
        <w:ind w:firstLineChars="200" w:firstLine="480"/>
        <w:rPr>
          <w:rFonts w:ascii="宋体" w:hAnsi="宋体"/>
          <w:color w:val="000000"/>
          <w:sz w:val="24"/>
          <w:szCs w:val="21"/>
        </w:rPr>
      </w:pPr>
      <w:r>
        <w:rPr>
          <w:rFonts w:ascii="宋体" w:hAnsi="宋体"/>
          <w:color w:val="000000"/>
          <w:sz w:val="24"/>
          <w:szCs w:val="21"/>
        </w:rPr>
        <w:t>采取通讯方式进行表决时，</w:t>
      </w:r>
      <w:r>
        <w:rPr>
          <w:rFonts w:ascii="宋体" w:hAnsi="宋体" w:hint="eastAsia"/>
          <w:color w:val="000000"/>
          <w:sz w:val="24"/>
          <w:szCs w:val="21"/>
        </w:rPr>
        <w:t>除非在计票时有充分的相反证据证明，提交符合会议通知中规定的确认投资者身份文件的表决视为有效出席的投资者，</w:t>
      </w:r>
      <w:r>
        <w:rPr>
          <w:rFonts w:ascii="宋体" w:hAnsi="宋体"/>
          <w:color w:val="000000"/>
          <w:sz w:val="24"/>
          <w:szCs w:val="21"/>
        </w:rPr>
        <w:t>符合会议通知规定的书面表决意见视为有效表决</w:t>
      </w:r>
      <w:r>
        <w:rPr>
          <w:rFonts w:ascii="宋体" w:hAnsi="宋体" w:hint="eastAsia"/>
          <w:color w:val="000000"/>
          <w:sz w:val="24"/>
          <w:szCs w:val="21"/>
        </w:rPr>
        <w:t>，表决意见模糊不清或相互矛盾的视为弃权表决，但应当计入出具书面意见的基金份额持有人所代表的基金份额总数。</w:t>
      </w:r>
    </w:p>
    <w:p w14:paraId="1E7269B6" w14:textId="77777777" w:rsidR="00BF0C91" w:rsidRDefault="00D65346">
      <w:pPr>
        <w:spacing w:line="420" w:lineRule="exact"/>
        <w:ind w:firstLineChars="200" w:firstLine="480"/>
        <w:rPr>
          <w:rFonts w:ascii="宋体" w:hAnsi="宋体"/>
          <w:color w:val="000000"/>
          <w:sz w:val="24"/>
          <w:szCs w:val="21"/>
        </w:rPr>
      </w:pPr>
      <w:r>
        <w:rPr>
          <w:rFonts w:ascii="宋体" w:hAnsi="宋体"/>
          <w:color w:val="000000"/>
          <w:sz w:val="24"/>
          <w:szCs w:val="21"/>
        </w:rPr>
        <w:t>基金份额持有人大会的各项提案或同一项提案内并列的各项议题应当分开审议、逐项表决。</w:t>
      </w:r>
    </w:p>
    <w:p w14:paraId="264E2FFA" w14:textId="77777777" w:rsidR="00BF0C91" w:rsidRDefault="00D65346">
      <w:pPr>
        <w:spacing w:beforeLines="50" w:before="156" w:afterLines="50" w:after="156" w:line="420" w:lineRule="exact"/>
        <w:ind w:firstLineChars="200" w:firstLine="482"/>
        <w:outlineLvl w:val="1"/>
        <w:rPr>
          <w:rFonts w:ascii="宋体" w:hAnsi="宋体"/>
          <w:b/>
          <w:bCs/>
          <w:color w:val="000000"/>
          <w:sz w:val="24"/>
          <w:szCs w:val="21"/>
        </w:rPr>
      </w:pPr>
      <w:r>
        <w:rPr>
          <w:rFonts w:ascii="宋体" w:hAnsi="宋体" w:hint="eastAsia"/>
          <w:b/>
          <w:bCs/>
          <w:color w:val="000000"/>
          <w:sz w:val="24"/>
          <w:szCs w:val="21"/>
        </w:rPr>
        <w:t>七、</w:t>
      </w:r>
      <w:r>
        <w:rPr>
          <w:rFonts w:ascii="宋体" w:hAnsi="宋体" w:hint="eastAsia"/>
          <w:b/>
          <w:bCs/>
          <w:color w:val="000000"/>
          <w:sz w:val="24"/>
          <w:szCs w:val="21"/>
        </w:rPr>
        <w:tab/>
      </w:r>
      <w:r>
        <w:rPr>
          <w:rFonts w:ascii="宋体" w:hAnsi="宋体"/>
          <w:b/>
          <w:bCs/>
          <w:color w:val="000000"/>
          <w:sz w:val="24"/>
          <w:szCs w:val="21"/>
        </w:rPr>
        <w:t>计票</w:t>
      </w:r>
    </w:p>
    <w:p w14:paraId="209360E4"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1、</w:t>
      </w:r>
      <w:r>
        <w:rPr>
          <w:rFonts w:ascii="宋体" w:hAnsi="宋体"/>
          <w:color w:val="000000"/>
          <w:sz w:val="24"/>
          <w:szCs w:val="21"/>
        </w:rPr>
        <w:t>现场开会</w:t>
      </w:r>
    </w:p>
    <w:p w14:paraId="50F8C0DA"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（1）</w:t>
      </w:r>
      <w:r>
        <w:rPr>
          <w:rFonts w:ascii="宋体" w:hAnsi="宋体"/>
          <w:color w:val="000000"/>
          <w:sz w:val="24"/>
          <w:szCs w:val="21"/>
        </w:rPr>
        <w:t>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w:t>
      </w:r>
      <w:r>
        <w:rPr>
          <w:rFonts w:ascii="宋体" w:hAnsi="宋体" w:hint="eastAsia"/>
          <w:color w:val="000000"/>
          <w:sz w:val="24"/>
          <w:szCs w:val="21"/>
        </w:rPr>
        <w:t>或大会虽然由基金管理人或基金托管人召集，但是基金管理人或基金托管人未出席大会的</w:t>
      </w:r>
      <w:r>
        <w:rPr>
          <w:rFonts w:ascii="宋体" w:hAnsi="宋体"/>
          <w:color w:val="000000"/>
          <w:sz w:val="24"/>
          <w:szCs w:val="21"/>
        </w:rPr>
        <w:t>，基金份额持有人大会的主持人应当在会议开始后宣布在出席会议的基金份额持有人中选举三名基金份额持有人代表担任监票人。</w:t>
      </w:r>
      <w:r>
        <w:rPr>
          <w:rFonts w:ascii="宋体" w:hAnsi="宋体" w:hint="eastAsia"/>
          <w:color w:val="000000"/>
          <w:sz w:val="24"/>
          <w:szCs w:val="21"/>
        </w:rPr>
        <w:t>基金管理人或基金托管人拒不出席大会的，不影响计票的效力。</w:t>
      </w:r>
    </w:p>
    <w:p w14:paraId="720B439C"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（2）</w:t>
      </w:r>
      <w:r>
        <w:rPr>
          <w:rFonts w:ascii="宋体" w:hAnsi="宋体"/>
          <w:color w:val="000000"/>
          <w:sz w:val="24"/>
          <w:szCs w:val="21"/>
        </w:rPr>
        <w:t>监票人应当在基金份额持有人表决后立即进行清点并由大会主持人当场公布计票结果。</w:t>
      </w:r>
    </w:p>
    <w:p w14:paraId="352D9E66"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（3）</w:t>
      </w:r>
      <w:r>
        <w:rPr>
          <w:rFonts w:ascii="宋体" w:hAnsi="宋体"/>
          <w:color w:val="000000"/>
          <w:sz w:val="24"/>
          <w:szCs w:val="21"/>
        </w:rPr>
        <w:t>如果会议主持人</w:t>
      </w:r>
      <w:r>
        <w:rPr>
          <w:rFonts w:ascii="宋体" w:hAnsi="宋体" w:hint="eastAsia"/>
          <w:color w:val="000000"/>
          <w:sz w:val="24"/>
          <w:szCs w:val="21"/>
        </w:rPr>
        <w:t>或</w:t>
      </w:r>
      <w:r>
        <w:rPr>
          <w:rFonts w:ascii="宋体" w:hAnsi="宋体"/>
          <w:color w:val="000000"/>
          <w:sz w:val="24"/>
          <w:szCs w:val="21"/>
        </w:rPr>
        <w:t>基金份额持有人对于提交的表决结果有怀疑，可以在宣布表决结果后立即对所投票数</w:t>
      </w:r>
      <w:r>
        <w:rPr>
          <w:rFonts w:ascii="宋体" w:hAnsi="宋体" w:hint="eastAsia"/>
          <w:color w:val="000000"/>
          <w:sz w:val="24"/>
          <w:szCs w:val="21"/>
        </w:rPr>
        <w:t>要求</w:t>
      </w:r>
      <w:r>
        <w:rPr>
          <w:rFonts w:ascii="宋体" w:hAnsi="宋体"/>
          <w:color w:val="000000"/>
          <w:sz w:val="24"/>
          <w:szCs w:val="21"/>
        </w:rPr>
        <w:t>进行重新清点</w:t>
      </w:r>
      <w:r>
        <w:rPr>
          <w:rFonts w:ascii="宋体" w:hAnsi="宋体" w:hint="eastAsia"/>
          <w:color w:val="000000"/>
          <w:sz w:val="24"/>
          <w:szCs w:val="21"/>
        </w:rPr>
        <w:t>。监票人应当进行重新清点，</w:t>
      </w:r>
      <w:r>
        <w:rPr>
          <w:rFonts w:ascii="宋体" w:hAnsi="宋体" w:hint="eastAsia"/>
          <w:color w:val="000000"/>
          <w:sz w:val="24"/>
          <w:szCs w:val="21"/>
        </w:rPr>
        <w:lastRenderedPageBreak/>
        <w:t>重新清点以一次为限。重新清点后，大会主持人应当当场公布重新清点结果。</w:t>
      </w:r>
    </w:p>
    <w:p w14:paraId="32228A18"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（4）计票过程应由公证机关予以公证。</w:t>
      </w:r>
    </w:p>
    <w:p w14:paraId="721888CB"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2、</w:t>
      </w:r>
      <w:r>
        <w:rPr>
          <w:rFonts w:ascii="宋体" w:hAnsi="宋体"/>
          <w:color w:val="000000"/>
          <w:sz w:val="24"/>
          <w:szCs w:val="21"/>
        </w:rPr>
        <w:t>通讯开会</w:t>
      </w:r>
    </w:p>
    <w:p w14:paraId="3244B7ED" w14:textId="77777777" w:rsidR="00BF0C91" w:rsidRDefault="00D65346">
      <w:pPr>
        <w:spacing w:line="420" w:lineRule="exact"/>
        <w:ind w:firstLineChars="200" w:firstLine="480"/>
        <w:rPr>
          <w:rFonts w:ascii="宋体" w:hAnsi="宋体"/>
          <w:color w:val="000000"/>
          <w:sz w:val="24"/>
          <w:szCs w:val="21"/>
        </w:rPr>
      </w:pPr>
      <w:r>
        <w:rPr>
          <w:rFonts w:ascii="宋体" w:hAnsi="宋体"/>
          <w:color w:val="000000"/>
          <w:sz w:val="24"/>
          <w:szCs w:val="21"/>
        </w:rPr>
        <w:t>在通讯开会的情况下，计票方式为：由大会召集人授权的两名监督员在基金托管人授权代表</w:t>
      </w:r>
      <w:r>
        <w:rPr>
          <w:rFonts w:ascii="宋体" w:hAnsi="宋体" w:hint="eastAsia"/>
          <w:color w:val="000000"/>
          <w:sz w:val="24"/>
          <w:szCs w:val="21"/>
        </w:rPr>
        <w:t>（若由基金托管人召集，则为基金管理人</w:t>
      </w:r>
      <w:r>
        <w:rPr>
          <w:rFonts w:ascii="宋体" w:hAnsi="宋体"/>
          <w:color w:val="000000"/>
          <w:sz w:val="24"/>
          <w:szCs w:val="21"/>
        </w:rPr>
        <w:t>授权代表</w:t>
      </w:r>
      <w:r>
        <w:rPr>
          <w:rFonts w:ascii="宋体" w:hAnsi="宋体" w:hint="eastAsia"/>
          <w:color w:val="000000"/>
          <w:sz w:val="24"/>
          <w:szCs w:val="21"/>
        </w:rPr>
        <w:t>）</w:t>
      </w:r>
      <w:r>
        <w:rPr>
          <w:rFonts w:ascii="宋体" w:hAnsi="宋体"/>
          <w:color w:val="000000"/>
          <w:sz w:val="24"/>
          <w:szCs w:val="21"/>
        </w:rPr>
        <w:t>的监督下进行计票，并由公证机关对其计票过程予以公证。</w:t>
      </w:r>
      <w:r>
        <w:rPr>
          <w:rFonts w:ascii="宋体" w:hAnsi="宋体" w:hint="eastAsia"/>
          <w:color w:val="000000"/>
          <w:sz w:val="24"/>
          <w:szCs w:val="21"/>
        </w:rPr>
        <w:t>基金管理人或托管人拒不派代表监督计票的，不影响计票效力。</w:t>
      </w:r>
    </w:p>
    <w:p w14:paraId="1150D365" w14:textId="77777777" w:rsidR="00BF0C91" w:rsidRDefault="00D65346">
      <w:pPr>
        <w:spacing w:beforeLines="50" w:before="156" w:afterLines="50" w:after="156" w:line="420" w:lineRule="exact"/>
        <w:ind w:firstLineChars="200" w:firstLine="482"/>
        <w:outlineLvl w:val="1"/>
        <w:rPr>
          <w:rFonts w:ascii="宋体" w:hAnsi="宋体"/>
          <w:b/>
          <w:bCs/>
          <w:color w:val="000000"/>
          <w:sz w:val="24"/>
          <w:szCs w:val="21"/>
        </w:rPr>
      </w:pPr>
      <w:r>
        <w:rPr>
          <w:rFonts w:ascii="宋体" w:hAnsi="宋体" w:hint="eastAsia"/>
          <w:b/>
          <w:bCs/>
          <w:color w:val="000000"/>
          <w:sz w:val="24"/>
          <w:szCs w:val="21"/>
        </w:rPr>
        <w:t>八、</w:t>
      </w:r>
      <w:r>
        <w:rPr>
          <w:rFonts w:ascii="宋体" w:hAnsi="宋体" w:hint="eastAsia"/>
          <w:b/>
          <w:bCs/>
          <w:color w:val="000000"/>
          <w:sz w:val="24"/>
          <w:szCs w:val="21"/>
        </w:rPr>
        <w:tab/>
      </w:r>
      <w:r>
        <w:rPr>
          <w:rFonts w:ascii="宋体" w:hAnsi="宋体"/>
          <w:b/>
          <w:bCs/>
          <w:color w:val="000000"/>
          <w:sz w:val="24"/>
          <w:szCs w:val="21"/>
        </w:rPr>
        <w:t>生效与公告</w:t>
      </w:r>
    </w:p>
    <w:p w14:paraId="64CA8A6D"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基金份额持有人大会表决通过的事项，召集人应当自通过之日起5日内报中国证监会核准或者备案。</w:t>
      </w:r>
    </w:p>
    <w:p w14:paraId="492D7567" w14:textId="77777777" w:rsidR="00BF0C91" w:rsidRDefault="00D65346">
      <w:pPr>
        <w:spacing w:line="420" w:lineRule="exact"/>
        <w:ind w:firstLineChars="200" w:firstLine="480"/>
        <w:rPr>
          <w:rFonts w:ascii="宋体" w:hAnsi="宋体"/>
          <w:color w:val="000000"/>
          <w:sz w:val="24"/>
          <w:szCs w:val="21"/>
        </w:rPr>
      </w:pPr>
      <w:r>
        <w:rPr>
          <w:rFonts w:ascii="宋体" w:hAnsi="宋体" w:hint="eastAsia"/>
          <w:color w:val="000000"/>
          <w:sz w:val="24"/>
          <w:szCs w:val="21"/>
        </w:rPr>
        <w:t>基金份额持有人大会决定的事项自中国证监会依法核准或者出具无异议意见之日起生效。</w:t>
      </w:r>
    </w:p>
    <w:p w14:paraId="6FFDC948" w14:textId="77777777" w:rsidR="00BF0C91" w:rsidRDefault="00D65346">
      <w:pPr>
        <w:spacing w:line="420" w:lineRule="exact"/>
        <w:ind w:firstLineChars="200" w:firstLine="480"/>
        <w:rPr>
          <w:rFonts w:ascii="宋体" w:hAnsi="宋体"/>
          <w:sz w:val="24"/>
          <w:szCs w:val="21"/>
        </w:rPr>
      </w:pPr>
      <w:r>
        <w:rPr>
          <w:rFonts w:ascii="宋体" w:hAnsi="宋体"/>
          <w:sz w:val="24"/>
          <w:szCs w:val="21"/>
        </w:rPr>
        <w:t>基金份额持有人大会决议自生效之日起</w:t>
      </w:r>
      <w:r>
        <w:rPr>
          <w:rFonts w:ascii="宋体" w:hAnsi="宋体" w:hint="eastAsia"/>
          <w:sz w:val="24"/>
          <w:szCs w:val="21"/>
        </w:rPr>
        <w:t>两</w:t>
      </w:r>
      <w:r>
        <w:rPr>
          <w:rFonts w:ascii="宋体" w:hAnsi="宋体"/>
          <w:sz w:val="24"/>
          <w:szCs w:val="21"/>
        </w:rPr>
        <w:t>日内在中国证监会指定媒介</w:t>
      </w:r>
      <w:r>
        <w:rPr>
          <w:rFonts w:ascii="宋体" w:hAnsi="宋体" w:hint="eastAsia"/>
          <w:sz w:val="24"/>
          <w:szCs w:val="21"/>
        </w:rPr>
        <w:t>上</w:t>
      </w:r>
      <w:r>
        <w:rPr>
          <w:rFonts w:ascii="宋体" w:hAnsi="宋体"/>
          <w:sz w:val="24"/>
          <w:szCs w:val="21"/>
        </w:rPr>
        <w:t>公告。</w:t>
      </w:r>
    </w:p>
    <w:p w14:paraId="761FB954" w14:textId="77777777" w:rsidR="00BF0C91" w:rsidRDefault="00D65346">
      <w:pPr>
        <w:spacing w:line="420" w:lineRule="exact"/>
        <w:ind w:firstLineChars="200" w:firstLine="480"/>
        <w:rPr>
          <w:rFonts w:ascii="宋体" w:hAnsi="宋体"/>
          <w:sz w:val="24"/>
          <w:szCs w:val="21"/>
        </w:rPr>
      </w:pPr>
      <w:r>
        <w:rPr>
          <w:rFonts w:ascii="宋体" w:hAnsi="宋体" w:hint="eastAsia"/>
          <w:sz w:val="24"/>
          <w:szCs w:val="21"/>
        </w:rPr>
        <w:t>如果采用通讯方式进行表决，在公告基金份额持有人大会决议时，必须将公证书全文、公证机关、公证员姓名等一同公告。</w:t>
      </w:r>
    </w:p>
    <w:p w14:paraId="3A15B431" w14:textId="77777777" w:rsidR="00BF0C91" w:rsidRDefault="00D65346">
      <w:pPr>
        <w:spacing w:line="420" w:lineRule="exact"/>
        <w:ind w:firstLineChars="200" w:firstLine="480"/>
        <w:rPr>
          <w:rFonts w:ascii="宋体" w:hAnsi="宋体"/>
          <w:sz w:val="24"/>
          <w:szCs w:val="21"/>
        </w:rPr>
      </w:pPr>
      <w:r>
        <w:rPr>
          <w:rFonts w:ascii="宋体" w:hAnsi="宋体" w:hint="eastAsia"/>
          <w:sz w:val="24"/>
          <w:szCs w:val="21"/>
        </w:rPr>
        <w:t>基金管理人、基金托管人和基金份额持有人应当执行生效的基金份额持有人大会的决定。</w:t>
      </w:r>
    </w:p>
    <w:p w14:paraId="6DAE8C32" w14:textId="77777777" w:rsidR="00BF0C91" w:rsidRDefault="00D65346">
      <w:pPr>
        <w:spacing w:line="420" w:lineRule="exact"/>
        <w:ind w:firstLineChars="200" w:firstLine="480"/>
        <w:rPr>
          <w:rFonts w:ascii="宋体" w:hAnsi="宋体"/>
          <w:sz w:val="24"/>
          <w:szCs w:val="21"/>
        </w:rPr>
      </w:pPr>
      <w:r>
        <w:rPr>
          <w:rFonts w:ascii="宋体" w:hAnsi="宋体" w:hint="eastAsia"/>
          <w:sz w:val="24"/>
          <w:szCs w:val="21"/>
        </w:rPr>
        <w:t>基金份额持有人大会决议对全体基金份额持有人、基金管理人、基金托管人均有约束力。</w:t>
      </w:r>
    </w:p>
    <w:p w14:paraId="5C45568B" w14:textId="77777777" w:rsidR="00BF0C91" w:rsidRDefault="00D65346">
      <w:pPr>
        <w:pStyle w:val="1"/>
        <w:spacing w:before="100" w:beforeAutospacing="1" w:after="100" w:afterAutospacing="1" w:line="360" w:lineRule="auto"/>
        <w:rPr>
          <w:rFonts w:ascii="黑体" w:eastAsia="黑体" w:hAnsi="Arial" w:cs="Arial"/>
          <w:color w:val="000000"/>
          <w:sz w:val="30"/>
          <w:szCs w:val="32"/>
        </w:rPr>
      </w:pPr>
      <w:r>
        <w:rPr>
          <w:color w:val="000000"/>
          <w:sz w:val="24"/>
        </w:rPr>
        <w:br w:type="page"/>
      </w:r>
      <w:bookmarkStart w:id="93" w:name="_Toc169580223"/>
      <w:r>
        <w:rPr>
          <w:rFonts w:ascii="黑体" w:eastAsia="黑体" w:hAnsi="Arial" w:cs="Arial" w:hint="eastAsia"/>
          <w:color w:val="000000"/>
          <w:sz w:val="30"/>
          <w:szCs w:val="32"/>
        </w:rPr>
        <w:lastRenderedPageBreak/>
        <w:t>第九部分  基金管理人、基金托管人的更换条件和程序</w:t>
      </w:r>
      <w:bookmarkEnd w:id="93"/>
    </w:p>
    <w:p w14:paraId="6B16006A" w14:textId="77777777" w:rsidR="00BF0C91" w:rsidRDefault="00D65346">
      <w:pPr>
        <w:spacing w:line="360" w:lineRule="auto"/>
        <w:ind w:firstLineChars="200" w:firstLine="482"/>
        <w:outlineLvl w:val="1"/>
        <w:rPr>
          <w:rFonts w:ascii="宋体" w:hAnsi="宋体"/>
          <w:b/>
          <w:bCs/>
          <w:color w:val="000000"/>
          <w:sz w:val="24"/>
          <w:szCs w:val="21"/>
        </w:rPr>
      </w:pPr>
      <w:r>
        <w:rPr>
          <w:rFonts w:ascii="宋体" w:hAnsi="宋体" w:hint="eastAsia"/>
          <w:b/>
          <w:bCs/>
          <w:color w:val="000000"/>
          <w:sz w:val="24"/>
          <w:szCs w:val="21"/>
        </w:rPr>
        <w:t>一、</w:t>
      </w:r>
      <w:r>
        <w:rPr>
          <w:rFonts w:ascii="宋体" w:hAnsi="宋体" w:hint="eastAsia"/>
          <w:b/>
          <w:bCs/>
          <w:color w:val="000000"/>
          <w:sz w:val="24"/>
          <w:szCs w:val="21"/>
        </w:rPr>
        <w:tab/>
        <w:t>基金管理人和基金托管人职责终止的情形</w:t>
      </w:r>
    </w:p>
    <w:p w14:paraId="461ACE41" w14:textId="77777777" w:rsidR="00BF0C91" w:rsidRDefault="00D65346">
      <w:pPr>
        <w:spacing w:line="360" w:lineRule="auto"/>
        <w:ind w:firstLineChars="200" w:firstLine="482"/>
        <w:outlineLvl w:val="2"/>
        <w:rPr>
          <w:rFonts w:ascii="宋体" w:hAnsi="宋体"/>
          <w:b/>
          <w:bCs/>
          <w:color w:val="000000"/>
          <w:sz w:val="24"/>
          <w:szCs w:val="21"/>
        </w:rPr>
      </w:pPr>
      <w:r>
        <w:rPr>
          <w:rFonts w:ascii="宋体" w:hAnsi="宋体" w:hint="eastAsia"/>
          <w:b/>
          <w:bCs/>
          <w:color w:val="000000"/>
          <w:sz w:val="24"/>
          <w:szCs w:val="21"/>
        </w:rPr>
        <w:t>（一）</w:t>
      </w:r>
      <w:r>
        <w:rPr>
          <w:rFonts w:ascii="宋体" w:hAnsi="宋体" w:hint="eastAsia"/>
          <w:b/>
          <w:bCs/>
          <w:color w:val="000000"/>
          <w:sz w:val="24"/>
          <w:szCs w:val="21"/>
        </w:rPr>
        <w:tab/>
        <w:t>基金管理人职责终止的情形</w:t>
      </w:r>
    </w:p>
    <w:p w14:paraId="0D677540"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有下列情形之一的，</w:t>
      </w:r>
      <w:r>
        <w:rPr>
          <w:rFonts w:ascii="宋体" w:hAnsi="宋体" w:hint="eastAsia"/>
          <w:color w:val="000000"/>
          <w:sz w:val="24"/>
        </w:rPr>
        <w:t>基金管理人职责终止：</w:t>
      </w:r>
    </w:p>
    <w:p w14:paraId="5509BF5D"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1、被依法取消基金管理资格；</w:t>
      </w:r>
    </w:p>
    <w:p w14:paraId="71FF2594"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2、被基金份额持有人大会解任</w:t>
      </w:r>
      <w:r>
        <w:rPr>
          <w:rFonts w:ascii="宋体" w:hAnsi="宋体"/>
          <w:color w:val="000000"/>
          <w:sz w:val="24"/>
          <w:szCs w:val="21"/>
        </w:rPr>
        <w:t>；</w:t>
      </w:r>
    </w:p>
    <w:p w14:paraId="645193F4"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3、依法解散、被依法撤销或被依法宣告破产</w:t>
      </w:r>
      <w:r>
        <w:rPr>
          <w:rFonts w:ascii="宋体" w:hAnsi="宋体"/>
          <w:color w:val="000000"/>
          <w:sz w:val="24"/>
          <w:szCs w:val="21"/>
        </w:rPr>
        <w:t>；</w:t>
      </w:r>
    </w:p>
    <w:p w14:paraId="28A5D4C7"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4、法律法规和基金合同规定的其他情形。</w:t>
      </w:r>
    </w:p>
    <w:p w14:paraId="7CE0A7A9" w14:textId="77777777" w:rsidR="00BF0C91" w:rsidRDefault="00D65346">
      <w:pPr>
        <w:spacing w:line="360" w:lineRule="auto"/>
        <w:ind w:firstLineChars="200" w:firstLine="482"/>
        <w:outlineLvl w:val="2"/>
        <w:rPr>
          <w:rFonts w:ascii="宋体" w:hAnsi="宋体"/>
          <w:b/>
          <w:bCs/>
          <w:color w:val="000000"/>
          <w:sz w:val="24"/>
          <w:szCs w:val="21"/>
        </w:rPr>
      </w:pPr>
      <w:r>
        <w:rPr>
          <w:rFonts w:ascii="宋体" w:hAnsi="宋体" w:hint="eastAsia"/>
          <w:b/>
          <w:bCs/>
          <w:color w:val="000000"/>
          <w:sz w:val="24"/>
          <w:szCs w:val="21"/>
        </w:rPr>
        <w:t>（二）</w:t>
      </w:r>
      <w:r>
        <w:rPr>
          <w:rFonts w:ascii="宋体" w:hAnsi="宋体" w:hint="eastAsia"/>
          <w:b/>
          <w:bCs/>
          <w:color w:val="000000"/>
          <w:sz w:val="24"/>
          <w:szCs w:val="21"/>
        </w:rPr>
        <w:tab/>
        <w:t>基金托管人职责终止的情形</w:t>
      </w:r>
    </w:p>
    <w:p w14:paraId="518D08A3"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有下列情形之一的，</w:t>
      </w:r>
      <w:r>
        <w:rPr>
          <w:rFonts w:ascii="宋体" w:hAnsi="宋体" w:hint="eastAsia"/>
          <w:color w:val="000000"/>
          <w:sz w:val="24"/>
        </w:rPr>
        <w:t>基金托管人职责终止：</w:t>
      </w:r>
    </w:p>
    <w:p w14:paraId="2A913400"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1、被依法取消基金托管资格；</w:t>
      </w:r>
    </w:p>
    <w:p w14:paraId="1F84B539"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2、被基金份额持有人大会解任</w:t>
      </w:r>
      <w:r>
        <w:rPr>
          <w:rFonts w:ascii="宋体" w:hAnsi="宋体"/>
          <w:color w:val="000000"/>
          <w:sz w:val="24"/>
          <w:szCs w:val="21"/>
        </w:rPr>
        <w:t>；</w:t>
      </w:r>
    </w:p>
    <w:p w14:paraId="412921A6"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3、依法解散、被依法撤销或被依法宣告破产</w:t>
      </w:r>
      <w:r>
        <w:rPr>
          <w:rFonts w:ascii="宋体" w:hAnsi="宋体"/>
          <w:color w:val="000000"/>
          <w:sz w:val="24"/>
          <w:szCs w:val="21"/>
        </w:rPr>
        <w:t>；</w:t>
      </w:r>
    </w:p>
    <w:p w14:paraId="61FCC441"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4、法律法规和基金合同规定的其他情形。</w:t>
      </w:r>
    </w:p>
    <w:p w14:paraId="3901E17B" w14:textId="77777777" w:rsidR="00BF0C91" w:rsidRDefault="00D65346">
      <w:pPr>
        <w:spacing w:beforeLines="50" w:before="156" w:line="360" w:lineRule="auto"/>
        <w:ind w:firstLineChars="200" w:firstLine="482"/>
        <w:outlineLvl w:val="1"/>
        <w:rPr>
          <w:rFonts w:ascii="宋体" w:hAnsi="宋体"/>
          <w:b/>
          <w:bCs/>
          <w:color w:val="000000"/>
          <w:sz w:val="24"/>
          <w:szCs w:val="21"/>
        </w:rPr>
      </w:pPr>
      <w:r>
        <w:rPr>
          <w:rFonts w:ascii="宋体" w:hAnsi="宋体" w:hint="eastAsia"/>
          <w:b/>
          <w:bCs/>
          <w:color w:val="000000"/>
          <w:sz w:val="24"/>
          <w:szCs w:val="21"/>
        </w:rPr>
        <w:t>二、</w:t>
      </w:r>
      <w:r>
        <w:rPr>
          <w:rFonts w:ascii="宋体" w:hAnsi="宋体" w:hint="eastAsia"/>
          <w:b/>
          <w:bCs/>
          <w:color w:val="000000"/>
          <w:sz w:val="24"/>
          <w:szCs w:val="21"/>
        </w:rPr>
        <w:tab/>
        <w:t>基金管理人和基金托管人的更换程序</w:t>
      </w:r>
    </w:p>
    <w:p w14:paraId="18340CCB" w14:textId="77777777" w:rsidR="00BF0C91" w:rsidRDefault="00D65346">
      <w:pPr>
        <w:spacing w:line="360" w:lineRule="auto"/>
        <w:ind w:firstLineChars="200" w:firstLine="482"/>
        <w:outlineLvl w:val="2"/>
        <w:rPr>
          <w:rFonts w:ascii="宋体" w:hAnsi="宋体"/>
          <w:b/>
          <w:bCs/>
          <w:color w:val="000000"/>
          <w:sz w:val="24"/>
          <w:szCs w:val="21"/>
        </w:rPr>
      </w:pPr>
      <w:r>
        <w:rPr>
          <w:rFonts w:ascii="宋体" w:hAnsi="宋体" w:hint="eastAsia"/>
          <w:b/>
          <w:bCs/>
          <w:color w:val="000000"/>
          <w:sz w:val="24"/>
          <w:szCs w:val="21"/>
        </w:rPr>
        <w:t>（一）</w:t>
      </w:r>
      <w:r>
        <w:rPr>
          <w:rFonts w:ascii="宋体" w:hAnsi="宋体" w:hint="eastAsia"/>
          <w:b/>
          <w:bCs/>
          <w:color w:val="000000"/>
          <w:sz w:val="24"/>
          <w:szCs w:val="21"/>
        </w:rPr>
        <w:tab/>
        <w:t>基金管理人的更换程序</w:t>
      </w:r>
    </w:p>
    <w:p w14:paraId="1FDB8ACF"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1、提名：新任基金管理人由基金托管人或由代表10%以上（含10%）基金份额的基金份额持有人提名。</w:t>
      </w:r>
    </w:p>
    <w:p w14:paraId="4468F07B"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2、决议：基金份额持有人大会在基金管理人职责终止后6个月内对被提名的基金管理人形成决议，该决议需经参加大会的基金份额持有人所持表决权的2/3以上（含2/3）表决通过。</w:t>
      </w:r>
    </w:p>
    <w:p w14:paraId="08DE6AE4"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3、临时基金管理人：新任基金管理人产生之前，由中国证监会指定临时基金管理人。</w:t>
      </w:r>
    </w:p>
    <w:p w14:paraId="57B755E3"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4、核准并公告：更换基金管理人的的基金份额持有人大会决议经中国证监会核准生效后方可执行并公告。</w:t>
      </w:r>
    </w:p>
    <w:p w14:paraId="2F66D3FC"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5、交接：基金管理人职责终止的，应当妥善保管基金管理业务资料，及时办理基金管理业务的移交手续，新基金管理人或者临时基金管理人应当及时接收。新任基金管理人应与基金托管人核对基金资产总值。</w:t>
      </w:r>
    </w:p>
    <w:p w14:paraId="16DF4151"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lastRenderedPageBreak/>
        <w:t>6、审计：基金管理人职责终止的，应当按照法律法规规定聘请会计师事务所对基金财产进行审计，并将审计结果予以公告同时报中国证监会备案。</w:t>
      </w:r>
    </w:p>
    <w:p w14:paraId="0DD980F1"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7、基金名称变更：基金管理人更换后，如果原任或新任基金管理人要求，应按其要求替换或删除基金名称中与原基金管理人有关的名称字样。</w:t>
      </w:r>
    </w:p>
    <w:p w14:paraId="6C346016" w14:textId="77777777" w:rsidR="00BF0C91" w:rsidRDefault="00D65346">
      <w:pPr>
        <w:spacing w:line="360" w:lineRule="auto"/>
        <w:ind w:firstLineChars="200" w:firstLine="482"/>
        <w:outlineLvl w:val="2"/>
        <w:rPr>
          <w:rFonts w:ascii="宋体" w:hAnsi="宋体"/>
          <w:b/>
          <w:bCs/>
          <w:color w:val="000000"/>
          <w:sz w:val="24"/>
          <w:szCs w:val="21"/>
        </w:rPr>
      </w:pPr>
      <w:r>
        <w:rPr>
          <w:rFonts w:ascii="宋体" w:hAnsi="宋体" w:hint="eastAsia"/>
          <w:b/>
          <w:bCs/>
          <w:color w:val="000000"/>
          <w:sz w:val="24"/>
          <w:szCs w:val="21"/>
        </w:rPr>
        <w:t>（二）</w:t>
      </w:r>
      <w:r>
        <w:rPr>
          <w:rFonts w:ascii="宋体" w:hAnsi="宋体" w:hint="eastAsia"/>
          <w:b/>
          <w:bCs/>
          <w:color w:val="000000"/>
          <w:sz w:val="24"/>
          <w:szCs w:val="21"/>
        </w:rPr>
        <w:tab/>
        <w:t>基金托管人的更换程序</w:t>
      </w:r>
    </w:p>
    <w:p w14:paraId="30571139"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1、提名：新任基金托管人由基金管理人或由代表10%以上（含10%）基金份额的基金份额持有人提名。</w:t>
      </w:r>
    </w:p>
    <w:p w14:paraId="173C7A79"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2、决议：基金份额持有人大会在基金托管人职责终止后6个月内对被提名的基金托管人形成决议，该决议需经参加大会的基金份额持有人所持表决权的2/3以上（含2/3）表决通过。</w:t>
      </w:r>
    </w:p>
    <w:p w14:paraId="0633215E"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3、临时基金托管人：新任基金托管人产生之前，由中国证监会指定临时基金托管人。</w:t>
      </w:r>
    </w:p>
    <w:p w14:paraId="7293C978"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4、核准并公告：更换基金托管人的基金份额持有人大会决议经中国证监会核准生效后方可执行并公告。</w:t>
      </w:r>
    </w:p>
    <w:p w14:paraId="2AA4F4E2"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5、交接：基金托管人职责终止的，应当妥善保管基金财产和基金托管业务资料，及时办理基金财产和基金托管业务的移交手续，新基金托管人或者临时基金托管人应当及时接收。新任基金托管人与基金管理人核对基金资产总值。</w:t>
      </w:r>
    </w:p>
    <w:p w14:paraId="15535859"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6、审计：基金托管人职责终止的，应当按照法律法规规定聘请会计师事务所对基金财产进行审计，并将审计结果予以公告，同时报中国证监会备案。</w:t>
      </w:r>
    </w:p>
    <w:p w14:paraId="3971046E" w14:textId="77777777" w:rsidR="00BF0C91" w:rsidRDefault="00D65346">
      <w:pPr>
        <w:spacing w:line="360" w:lineRule="auto"/>
        <w:ind w:firstLineChars="200" w:firstLine="482"/>
        <w:outlineLvl w:val="2"/>
        <w:rPr>
          <w:rFonts w:ascii="宋体" w:hAnsi="宋体"/>
          <w:b/>
          <w:bCs/>
          <w:color w:val="000000"/>
          <w:sz w:val="24"/>
          <w:szCs w:val="21"/>
        </w:rPr>
      </w:pPr>
      <w:r>
        <w:rPr>
          <w:rFonts w:ascii="宋体" w:hAnsi="宋体"/>
          <w:b/>
          <w:bCs/>
          <w:color w:val="000000"/>
          <w:sz w:val="24"/>
          <w:szCs w:val="21"/>
        </w:rPr>
        <w:t xml:space="preserve">（三）基金管理人与基金托管人同时更换 </w:t>
      </w:r>
    </w:p>
    <w:p w14:paraId="3FC3CF58" w14:textId="77777777" w:rsidR="00BF0C91" w:rsidRDefault="00D65346">
      <w:pPr>
        <w:spacing w:line="360" w:lineRule="auto"/>
        <w:ind w:firstLineChars="200" w:firstLine="480"/>
        <w:rPr>
          <w:rFonts w:ascii="宋体" w:hAnsi="宋体"/>
          <w:color w:val="000000"/>
          <w:sz w:val="24"/>
          <w:szCs w:val="21"/>
        </w:rPr>
      </w:pPr>
      <w:r>
        <w:rPr>
          <w:rFonts w:ascii="宋体" w:hAnsi="宋体"/>
          <w:color w:val="000000"/>
          <w:sz w:val="24"/>
          <w:szCs w:val="21"/>
        </w:rPr>
        <w:t>1</w:t>
      </w:r>
      <w:r>
        <w:rPr>
          <w:rFonts w:ascii="宋体" w:hAnsi="宋体" w:hint="eastAsia"/>
          <w:color w:val="000000"/>
          <w:sz w:val="24"/>
          <w:szCs w:val="21"/>
        </w:rPr>
        <w:t>、</w:t>
      </w:r>
      <w:r>
        <w:rPr>
          <w:rFonts w:ascii="宋体" w:hAnsi="宋体"/>
          <w:color w:val="000000"/>
          <w:sz w:val="24"/>
          <w:szCs w:val="21"/>
        </w:rPr>
        <w:t xml:space="preserve">提名：如果基金管理人和基金托管人同时更换，由单独或合计持有基金总份额10%以上的基金份额持有人提名新的基金管理人和基金托管人。 </w:t>
      </w:r>
    </w:p>
    <w:p w14:paraId="55F64593" w14:textId="77777777" w:rsidR="00BF0C91" w:rsidRDefault="00D65346">
      <w:pPr>
        <w:spacing w:line="360" w:lineRule="auto"/>
        <w:ind w:firstLineChars="200" w:firstLine="480"/>
        <w:rPr>
          <w:rFonts w:ascii="宋体" w:hAnsi="宋体"/>
          <w:color w:val="000000"/>
          <w:sz w:val="24"/>
          <w:szCs w:val="21"/>
        </w:rPr>
      </w:pPr>
      <w:r>
        <w:rPr>
          <w:rFonts w:ascii="宋体" w:hAnsi="宋体"/>
          <w:color w:val="000000"/>
          <w:sz w:val="24"/>
          <w:szCs w:val="21"/>
        </w:rPr>
        <w:t>2</w:t>
      </w:r>
      <w:r>
        <w:rPr>
          <w:rFonts w:ascii="宋体" w:hAnsi="宋体" w:hint="eastAsia"/>
          <w:color w:val="000000"/>
          <w:sz w:val="24"/>
          <w:szCs w:val="21"/>
        </w:rPr>
        <w:t>、</w:t>
      </w:r>
      <w:r>
        <w:rPr>
          <w:rFonts w:ascii="宋体" w:hAnsi="宋体"/>
          <w:color w:val="000000"/>
          <w:sz w:val="24"/>
          <w:szCs w:val="21"/>
        </w:rPr>
        <w:t xml:space="preserve">基金管理人和基金托管人的更换分别按上述程序进行。 </w:t>
      </w:r>
    </w:p>
    <w:p w14:paraId="63D7F3BD" w14:textId="77777777" w:rsidR="00BF0C91" w:rsidRDefault="00D65346">
      <w:pPr>
        <w:spacing w:line="360" w:lineRule="auto"/>
        <w:ind w:firstLineChars="200" w:firstLine="480"/>
        <w:outlineLvl w:val="0"/>
        <w:rPr>
          <w:rFonts w:ascii="宋体" w:hAnsi="宋体"/>
          <w:color w:val="000000"/>
          <w:sz w:val="24"/>
          <w:szCs w:val="21"/>
        </w:rPr>
      </w:pPr>
      <w:r>
        <w:rPr>
          <w:rFonts w:ascii="宋体" w:hAnsi="宋体"/>
          <w:color w:val="000000"/>
          <w:sz w:val="24"/>
          <w:szCs w:val="21"/>
        </w:rPr>
        <w:t>3</w:t>
      </w:r>
      <w:r>
        <w:rPr>
          <w:rFonts w:ascii="宋体" w:hAnsi="宋体" w:hint="eastAsia"/>
          <w:color w:val="000000"/>
          <w:sz w:val="24"/>
          <w:szCs w:val="21"/>
        </w:rPr>
        <w:t>、</w:t>
      </w:r>
      <w:r>
        <w:rPr>
          <w:rFonts w:ascii="宋体" w:hAnsi="宋体"/>
          <w:color w:val="000000"/>
          <w:sz w:val="24"/>
          <w:szCs w:val="21"/>
        </w:rPr>
        <w:t>公告：新任基金管理人和基金托管人应当在</w:t>
      </w:r>
      <w:r>
        <w:rPr>
          <w:rFonts w:ascii="宋体" w:hAnsi="宋体" w:hint="eastAsia"/>
          <w:color w:val="000000"/>
          <w:sz w:val="24"/>
          <w:szCs w:val="21"/>
        </w:rPr>
        <w:t>监管机构核准后</w:t>
      </w:r>
      <w:r>
        <w:rPr>
          <w:rFonts w:ascii="宋体" w:hAnsi="宋体"/>
          <w:color w:val="000000"/>
          <w:sz w:val="24"/>
          <w:szCs w:val="21"/>
        </w:rPr>
        <w:t>两日内编制</w:t>
      </w:r>
      <w:r>
        <w:rPr>
          <w:rFonts w:ascii="宋体" w:hAnsi="宋体" w:hint="eastAsia"/>
          <w:color w:val="000000"/>
          <w:sz w:val="24"/>
          <w:szCs w:val="21"/>
        </w:rPr>
        <w:t>临时报告书，予以公告。</w:t>
      </w:r>
    </w:p>
    <w:p w14:paraId="6EAE839B" w14:textId="77777777" w:rsidR="00BF0C91" w:rsidRDefault="00D65346">
      <w:pPr>
        <w:pStyle w:val="1"/>
        <w:spacing w:before="100" w:beforeAutospacing="1" w:after="100" w:afterAutospacing="1" w:line="360" w:lineRule="auto"/>
        <w:rPr>
          <w:rFonts w:ascii="黑体" w:eastAsia="黑体" w:hAnsi="Arial" w:cs="Arial"/>
          <w:color w:val="000000"/>
          <w:sz w:val="30"/>
          <w:szCs w:val="32"/>
        </w:rPr>
      </w:pPr>
      <w:r>
        <w:rPr>
          <w:rFonts w:ascii="宋体" w:hAnsi="宋体"/>
          <w:color w:val="000000"/>
          <w:sz w:val="24"/>
          <w:szCs w:val="21"/>
        </w:rPr>
        <w:br w:type="page"/>
      </w:r>
      <w:bookmarkStart w:id="94" w:name="_Hlt85281737"/>
      <w:bookmarkStart w:id="95" w:name="_Hlt83964519"/>
      <w:bookmarkStart w:id="96" w:name="_Toc169580224"/>
      <w:bookmarkStart w:id="97" w:name="_Toc79392622"/>
      <w:bookmarkEnd w:id="94"/>
      <w:bookmarkEnd w:id="95"/>
      <w:r>
        <w:rPr>
          <w:rFonts w:ascii="黑体" w:eastAsia="黑体" w:hAnsi="Arial" w:cs="Arial" w:hint="eastAsia"/>
          <w:color w:val="000000"/>
          <w:sz w:val="30"/>
          <w:szCs w:val="32"/>
        </w:rPr>
        <w:lastRenderedPageBreak/>
        <w:t>第十部分  基金的托管</w:t>
      </w:r>
      <w:bookmarkEnd w:id="86"/>
      <w:bookmarkEnd w:id="96"/>
      <w:bookmarkEnd w:id="97"/>
    </w:p>
    <w:p w14:paraId="37FBCB5E"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基金托管人和基金管理人按照《基金法》、基金合同及其他有关规定订立托管协议。</w:t>
      </w:r>
    </w:p>
    <w:p w14:paraId="51B5AAF1"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订立托管协议的目的是明确基金托管人与基金管理人之间在基金份额持有人名册登记、基金财产的保管、基金财产的管理和运作及相互监督等相关事宜中的权利、义务及职责，确保基金财产的安全，保护基金份额持有人的合法权益。</w:t>
      </w:r>
      <w:bookmarkStart w:id="98" w:name="_Hlt81031755"/>
      <w:bookmarkEnd w:id="98"/>
    </w:p>
    <w:p w14:paraId="416BB891" w14:textId="77777777" w:rsidR="00BF0C91" w:rsidRDefault="00D65346">
      <w:pPr>
        <w:pStyle w:val="1"/>
        <w:spacing w:before="100" w:beforeAutospacing="1" w:after="100" w:afterAutospacing="1" w:line="360" w:lineRule="auto"/>
        <w:rPr>
          <w:rFonts w:ascii="黑体" w:eastAsia="黑体" w:hAnsi="Arial" w:cs="Arial"/>
          <w:color w:val="000000"/>
          <w:sz w:val="30"/>
          <w:szCs w:val="32"/>
        </w:rPr>
      </w:pPr>
      <w:bookmarkStart w:id="99" w:name="_Toc48649710"/>
      <w:bookmarkStart w:id="100" w:name="_Toc15118278"/>
      <w:r>
        <w:rPr>
          <w:rFonts w:ascii="黑体" w:eastAsia="黑体" w:hAnsi="宋体"/>
          <w:color w:val="000000"/>
          <w:sz w:val="24"/>
          <w:szCs w:val="32"/>
        </w:rPr>
        <w:br w:type="page"/>
      </w:r>
      <w:bookmarkStart w:id="101" w:name="_Toc79392624"/>
      <w:bookmarkStart w:id="102" w:name="_Toc169580225"/>
      <w:r>
        <w:rPr>
          <w:rFonts w:ascii="黑体" w:eastAsia="黑体" w:hAnsi="Arial" w:cs="Arial" w:hint="eastAsia"/>
          <w:color w:val="000000"/>
          <w:sz w:val="30"/>
          <w:szCs w:val="32"/>
        </w:rPr>
        <w:lastRenderedPageBreak/>
        <w:t>第十一部分</w:t>
      </w:r>
      <w:r>
        <w:rPr>
          <w:rFonts w:ascii="黑体" w:eastAsia="黑体" w:hAnsi="Arial" w:cs="Arial"/>
          <w:color w:val="000000"/>
          <w:sz w:val="30"/>
          <w:szCs w:val="32"/>
        </w:rPr>
        <w:t xml:space="preserve">  </w:t>
      </w:r>
      <w:r>
        <w:rPr>
          <w:rFonts w:ascii="黑体" w:eastAsia="黑体" w:hAnsi="Arial" w:cs="Arial" w:hint="eastAsia"/>
          <w:color w:val="000000"/>
          <w:sz w:val="30"/>
          <w:szCs w:val="32"/>
        </w:rPr>
        <w:t>基金份额的登记</w:t>
      </w:r>
      <w:bookmarkEnd w:id="99"/>
      <w:bookmarkEnd w:id="101"/>
      <w:bookmarkEnd w:id="102"/>
    </w:p>
    <w:p w14:paraId="5C94646C" w14:textId="77777777" w:rsidR="00BF0C91" w:rsidRDefault="00D65346">
      <w:pPr>
        <w:spacing w:beforeLines="50" w:before="156" w:afterLines="50" w:after="156" w:line="360" w:lineRule="auto"/>
        <w:ind w:firstLineChars="200" w:firstLine="482"/>
        <w:outlineLvl w:val="1"/>
        <w:rPr>
          <w:rFonts w:ascii="宋体" w:hAnsi="宋体"/>
          <w:b/>
          <w:bCs/>
          <w:sz w:val="24"/>
          <w:szCs w:val="21"/>
        </w:rPr>
      </w:pPr>
      <w:r>
        <w:rPr>
          <w:rFonts w:ascii="宋体" w:hAnsi="宋体" w:hint="eastAsia"/>
          <w:b/>
          <w:bCs/>
          <w:sz w:val="24"/>
          <w:szCs w:val="21"/>
        </w:rPr>
        <w:t>一、</w:t>
      </w:r>
      <w:r>
        <w:rPr>
          <w:rFonts w:ascii="宋体" w:hAnsi="宋体" w:hint="eastAsia"/>
          <w:b/>
          <w:bCs/>
          <w:sz w:val="24"/>
          <w:szCs w:val="21"/>
        </w:rPr>
        <w:tab/>
        <w:t>基金份额注册登记业务</w:t>
      </w:r>
    </w:p>
    <w:p w14:paraId="43DD6398"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本基金份额的注册登记业务指本基金登记、存管、清算和交收业务，具体内容包括投资者基金账户管理、基金份额注册登记、清算及基金交易确认、发放红利、建立并保管基金份额持有人名册等。</w:t>
      </w:r>
    </w:p>
    <w:p w14:paraId="1F428853" w14:textId="77777777" w:rsidR="00BF0C91" w:rsidRDefault="00D65346">
      <w:pPr>
        <w:spacing w:beforeLines="50" w:before="156" w:afterLines="50" w:after="156" w:line="360" w:lineRule="auto"/>
        <w:ind w:firstLineChars="200" w:firstLine="482"/>
        <w:outlineLvl w:val="1"/>
        <w:rPr>
          <w:rFonts w:ascii="宋体" w:hAnsi="宋体"/>
          <w:b/>
          <w:bCs/>
          <w:sz w:val="24"/>
          <w:szCs w:val="21"/>
        </w:rPr>
      </w:pPr>
      <w:r>
        <w:rPr>
          <w:rFonts w:ascii="宋体" w:hAnsi="宋体" w:hint="eastAsia"/>
          <w:b/>
          <w:bCs/>
          <w:sz w:val="24"/>
          <w:szCs w:val="21"/>
        </w:rPr>
        <w:t>二、</w:t>
      </w:r>
      <w:r>
        <w:rPr>
          <w:rFonts w:ascii="宋体" w:hAnsi="宋体" w:hint="eastAsia"/>
          <w:b/>
          <w:bCs/>
          <w:sz w:val="24"/>
          <w:szCs w:val="21"/>
        </w:rPr>
        <w:tab/>
        <w:t>基金份额注册登记业务办理机构</w:t>
      </w:r>
    </w:p>
    <w:p w14:paraId="5674A447" w14:textId="77777777" w:rsidR="00BF0C91" w:rsidRDefault="00D65346">
      <w:pPr>
        <w:spacing w:line="360" w:lineRule="auto"/>
        <w:ind w:firstLineChars="200" w:firstLine="480"/>
        <w:rPr>
          <w:rFonts w:ascii="宋体" w:hAnsi="宋体"/>
          <w:sz w:val="24"/>
          <w:szCs w:val="21"/>
        </w:rPr>
      </w:pPr>
      <w:r>
        <w:rPr>
          <w:rFonts w:ascii="宋体" w:hAnsi="宋体"/>
          <w:sz w:val="24"/>
          <w:szCs w:val="21"/>
        </w:rPr>
        <w:t>本基金</w:t>
      </w:r>
      <w:r>
        <w:rPr>
          <w:rFonts w:ascii="宋体" w:hAnsi="宋体" w:hint="eastAsia"/>
          <w:sz w:val="24"/>
          <w:szCs w:val="21"/>
        </w:rPr>
        <w:t>份额</w:t>
      </w:r>
      <w:r>
        <w:rPr>
          <w:rFonts w:ascii="宋体" w:hAnsi="宋体"/>
          <w:sz w:val="24"/>
          <w:szCs w:val="21"/>
        </w:rPr>
        <w:t>的注册登记业务由基金管理人或基金管理人委托的其他符合条件的机构办理。基金管理人委托其他机构办理本基金</w:t>
      </w:r>
      <w:r>
        <w:rPr>
          <w:rFonts w:ascii="宋体" w:hAnsi="宋体" w:hint="eastAsia"/>
          <w:sz w:val="24"/>
          <w:szCs w:val="21"/>
        </w:rPr>
        <w:t>份额</w:t>
      </w:r>
      <w:r>
        <w:rPr>
          <w:rFonts w:ascii="宋体" w:hAnsi="宋体"/>
          <w:sz w:val="24"/>
          <w:szCs w:val="21"/>
        </w:rPr>
        <w:t>注册登记业务的，应与代理</w:t>
      </w:r>
      <w:r>
        <w:rPr>
          <w:rFonts w:ascii="宋体" w:hAnsi="宋体" w:hint="eastAsia"/>
          <w:sz w:val="24"/>
          <w:szCs w:val="21"/>
        </w:rPr>
        <w:t>机构</w:t>
      </w:r>
      <w:r>
        <w:rPr>
          <w:rFonts w:ascii="宋体" w:hAnsi="宋体"/>
          <w:sz w:val="24"/>
          <w:szCs w:val="21"/>
        </w:rPr>
        <w:t>签订委托代理协议，以明确基金管理人和代理机构在投资</w:t>
      </w:r>
      <w:r>
        <w:rPr>
          <w:rFonts w:ascii="宋体" w:hAnsi="宋体" w:hint="eastAsia"/>
          <w:sz w:val="24"/>
          <w:szCs w:val="21"/>
        </w:rPr>
        <w:t>者</w:t>
      </w:r>
      <w:r>
        <w:rPr>
          <w:rFonts w:ascii="宋体" w:hAnsi="宋体"/>
          <w:sz w:val="24"/>
          <w:szCs w:val="21"/>
        </w:rPr>
        <w:t>基金账户管理、基金份额注册登记、清算及基金交易确认、发放红利、建立并保管基金份额持有人名册等事宜中的权利和义务，保护基金份额持有人的合法权益。</w:t>
      </w:r>
    </w:p>
    <w:p w14:paraId="53CF269C" w14:textId="77777777" w:rsidR="00BF0C91" w:rsidRDefault="00D65346">
      <w:pPr>
        <w:spacing w:beforeLines="50" w:before="156" w:afterLines="50" w:after="156" w:line="360" w:lineRule="auto"/>
        <w:ind w:firstLineChars="200" w:firstLine="482"/>
        <w:outlineLvl w:val="1"/>
        <w:rPr>
          <w:rFonts w:ascii="宋体" w:hAnsi="宋体"/>
          <w:b/>
          <w:bCs/>
          <w:sz w:val="24"/>
          <w:szCs w:val="21"/>
        </w:rPr>
      </w:pPr>
      <w:r>
        <w:rPr>
          <w:rFonts w:ascii="宋体" w:hAnsi="宋体" w:hint="eastAsia"/>
          <w:b/>
          <w:bCs/>
          <w:sz w:val="24"/>
          <w:szCs w:val="21"/>
        </w:rPr>
        <w:t>三、</w:t>
      </w:r>
      <w:r>
        <w:rPr>
          <w:rFonts w:ascii="宋体" w:hAnsi="宋体" w:hint="eastAsia"/>
          <w:b/>
          <w:bCs/>
          <w:sz w:val="24"/>
          <w:szCs w:val="21"/>
        </w:rPr>
        <w:tab/>
        <w:t>基金份额注册登记机构的权利</w:t>
      </w:r>
    </w:p>
    <w:p w14:paraId="4D092150"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基金份额注册登记机构享有以下权利：</w:t>
      </w:r>
    </w:p>
    <w:p w14:paraId="724FD074" w14:textId="77777777" w:rsidR="00BF0C91" w:rsidRDefault="00D65346">
      <w:pPr>
        <w:spacing w:line="348" w:lineRule="auto"/>
        <w:ind w:firstLineChars="200" w:firstLine="480"/>
        <w:rPr>
          <w:rFonts w:ascii="宋体" w:hAnsi="宋体"/>
          <w:sz w:val="24"/>
        </w:rPr>
      </w:pPr>
      <w:r>
        <w:rPr>
          <w:rFonts w:ascii="宋体" w:hAnsi="宋体" w:hint="eastAsia"/>
          <w:sz w:val="24"/>
          <w:szCs w:val="21"/>
        </w:rPr>
        <w:t>1、</w:t>
      </w:r>
      <w:r>
        <w:rPr>
          <w:rFonts w:ascii="宋体" w:hAnsi="宋体"/>
          <w:sz w:val="24"/>
        </w:rPr>
        <w:t>建立和管理投资者基金账户</w:t>
      </w:r>
      <w:r>
        <w:rPr>
          <w:rFonts w:ascii="宋体" w:hAnsi="宋体" w:hint="eastAsia"/>
          <w:sz w:val="24"/>
        </w:rPr>
        <w:t>；</w:t>
      </w:r>
    </w:p>
    <w:p w14:paraId="7AFCDC89" w14:textId="77777777" w:rsidR="00BF0C91" w:rsidRDefault="00D65346">
      <w:pPr>
        <w:spacing w:line="348" w:lineRule="auto"/>
        <w:ind w:firstLineChars="200" w:firstLine="480"/>
        <w:rPr>
          <w:rFonts w:ascii="宋体" w:hAnsi="宋体"/>
          <w:sz w:val="24"/>
        </w:rPr>
      </w:pPr>
      <w:r>
        <w:rPr>
          <w:rFonts w:ascii="宋体" w:hAnsi="宋体" w:hint="eastAsia"/>
          <w:sz w:val="24"/>
        </w:rPr>
        <w:t>2、取得注册登记费；</w:t>
      </w:r>
    </w:p>
    <w:p w14:paraId="51A57146" w14:textId="77777777" w:rsidR="00BF0C91" w:rsidRDefault="00D65346">
      <w:pPr>
        <w:spacing w:line="348" w:lineRule="auto"/>
        <w:ind w:firstLineChars="200" w:firstLine="480"/>
        <w:rPr>
          <w:rFonts w:ascii="宋体" w:hAnsi="宋体"/>
          <w:sz w:val="24"/>
        </w:rPr>
      </w:pPr>
      <w:r>
        <w:rPr>
          <w:rFonts w:ascii="宋体" w:hAnsi="宋体" w:hint="eastAsia"/>
          <w:sz w:val="24"/>
        </w:rPr>
        <w:t>3、保管基金份额持有人开户资料、交易资料、基金份额持有人名册等；</w:t>
      </w:r>
    </w:p>
    <w:p w14:paraId="52F76DDC" w14:textId="77777777" w:rsidR="00BF0C91" w:rsidRDefault="00D65346">
      <w:pPr>
        <w:spacing w:line="348" w:lineRule="auto"/>
        <w:ind w:firstLineChars="200" w:firstLine="480"/>
        <w:rPr>
          <w:rFonts w:ascii="宋体" w:hAnsi="宋体"/>
          <w:sz w:val="24"/>
        </w:rPr>
      </w:pPr>
      <w:r>
        <w:rPr>
          <w:rFonts w:ascii="宋体" w:hAnsi="宋体" w:hint="eastAsia"/>
          <w:sz w:val="24"/>
        </w:rPr>
        <w:t>4、</w:t>
      </w:r>
      <w:r>
        <w:rPr>
          <w:rFonts w:ascii="宋体" w:hAnsi="宋体"/>
          <w:sz w:val="24"/>
        </w:rPr>
        <w:t>在法律法规允许的范围内，对注册登记业务的办理时间进行调整，并</w:t>
      </w:r>
      <w:r>
        <w:rPr>
          <w:rFonts w:ascii="宋体" w:hAnsi="宋体" w:hint="eastAsia"/>
          <w:sz w:val="24"/>
        </w:rPr>
        <w:t>依照《信息披露办法》和《信息披露特别规定》的有关规定于</w:t>
      </w:r>
      <w:r>
        <w:rPr>
          <w:rFonts w:ascii="宋体" w:hAnsi="宋体"/>
          <w:sz w:val="24"/>
        </w:rPr>
        <w:t>开始实施前在指定媒介上公告；</w:t>
      </w:r>
    </w:p>
    <w:p w14:paraId="793E6C2E" w14:textId="77777777" w:rsidR="00BF0C91" w:rsidRDefault="00D65346">
      <w:pPr>
        <w:spacing w:line="348" w:lineRule="auto"/>
        <w:ind w:firstLineChars="200" w:firstLine="480"/>
        <w:rPr>
          <w:rFonts w:ascii="宋体" w:hAnsi="宋体"/>
          <w:sz w:val="24"/>
        </w:rPr>
      </w:pPr>
      <w:r>
        <w:rPr>
          <w:rFonts w:ascii="宋体" w:hAnsi="宋体" w:hint="eastAsia"/>
          <w:sz w:val="24"/>
        </w:rPr>
        <w:t>5、法律法规规定的其他权利。</w:t>
      </w:r>
    </w:p>
    <w:p w14:paraId="6AC92A0D" w14:textId="77777777" w:rsidR="00BF0C91" w:rsidRDefault="00D65346">
      <w:pPr>
        <w:spacing w:beforeLines="50" w:before="156" w:afterLines="50" w:after="156" w:line="360" w:lineRule="auto"/>
        <w:ind w:firstLineChars="200" w:firstLine="482"/>
        <w:outlineLvl w:val="1"/>
        <w:rPr>
          <w:rFonts w:ascii="宋体" w:hAnsi="宋体"/>
          <w:b/>
          <w:bCs/>
          <w:sz w:val="24"/>
          <w:szCs w:val="21"/>
        </w:rPr>
      </w:pPr>
      <w:r>
        <w:rPr>
          <w:rFonts w:ascii="宋体" w:hAnsi="宋体" w:hint="eastAsia"/>
          <w:b/>
          <w:bCs/>
          <w:sz w:val="24"/>
          <w:szCs w:val="21"/>
        </w:rPr>
        <w:t>四、</w:t>
      </w:r>
      <w:r>
        <w:rPr>
          <w:rFonts w:ascii="宋体" w:hAnsi="宋体" w:hint="eastAsia"/>
          <w:b/>
          <w:bCs/>
          <w:sz w:val="24"/>
          <w:szCs w:val="21"/>
        </w:rPr>
        <w:tab/>
        <w:t>基金份额注册登记机构的义务</w:t>
      </w:r>
    </w:p>
    <w:p w14:paraId="425F32FA"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基金份额注册登记机构承担以下义务：</w:t>
      </w:r>
    </w:p>
    <w:p w14:paraId="59337D35"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1、配备足够的专业人员办理本基金份额的注册登记业务；</w:t>
      </w:r>
    </w:p>
    <w:p w14:paraId="275732AC"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2、严格按照法律法规和基金合同规定的条件办理本基金份额的注册登记业务；</w:t>
      </w:r>
    </w:p>
    <w:p w14:paraId="573FB0D9" w14:textId="77777777" w:rsidR="00BF0C91" w:rsidRDefault="00D65346">
      <w:pPr>
        <w:spacing w:line="348" w:lineRule="auto"/>
        <w:ind w:firstLineChars="200" w:firstLine="480"/>
        <w:rPr>
          <w:rFonts w:ascii="宋体" w:hAnsi="宋体"/>
          <w:sz w:val="24"/>
          <w:szCs w:val="21"/>
        </w:rPr>
      </w:pPr>
      <w:r>
        <w:rPr>
          <w:rFonts w:ascii="宋体" w:hAnsi="宋体" w:hint="eastAsia"/>
          <w:sz w:val="24"/>
        </w:rPr>
        <w:t>3、接受基金管理人的监督；</w:t>
      </w:r>
    </w:p>
    <w:p w14:paraId="41704FCC"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lastRenderedPageBreak/>
        <w:t>4、保持基金份额持有人名册及相关的申购与赎回等业务记录</w:t>
      </w:r>
      <w:r>
        <w:rPr>
          <w:rFonts w:ascii="宋体" w:hAnsi="宋体"/>
          <w:sz w:val="24"/>
          <w:szCs w:val="21"/>
        </w:rPr>
        <w:t>15</w:t>
      </w:r>
      <w:r>
        <w:rPr>
          <w:rFonts w:ascii="宋体" w:hAnsi="宋体" w:hint="eastAsia"/>
          <w:sz w:val="24"/>
          <w:szCs w:val="21"/>
        </w:rPr>
        <w:t>年以上；</w:t>
      </w:r>
    </w:p>
    <w:p w14:paraId="0CB20C38"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5、对基金份额持有人的基金账户信息负有保密义务，因违反该保密义务对投资者或基金带来的损失，须承担相应的赔偿责任，但司法强制检查情形及法律法规规定的其他情形除外；</w:t>
      </w:r>
    </w:p>
    <w:p w14:paraId="258B8248"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6、按本基金合同及招募说明书规定为投资者办理非交易过户业务、提供其他必要的服务；</w:t>
      </w:r>
    </w:p>
    <w:p w14:paraId="7411D800"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7、法律法规规定的其他义务。</w:t>
      </w:r>
    </w:p>
    <w:p w14:paraId="6B985BA7" w14:textId="77777777" w:rsidR="00BF0C91" w:rsidRDefault="00D65346">
      <w:pPr>
        <w:pStyle w:val="1"/>
        <w:spacing w:before="0" w:after="0" w:line="360" w:lineRule="auto"/>
        <w:rPr>
          <w:rFonts w:ascii="黑体" w:eastAsia="黑体" w:hAnsi="Arial" w:cs="Arial"/>
          <w:color w:val="000000"/>
          <w:sz w:val="30"/>
          <w:szCs w:val="32"/>
        </w:rPr>
      </w:pPr>
      <w:bookmarkStart w:id="103" w:name="_Toc48649711"/>
      <w:bookmarkEnd w:id="100"/>
      <w:r>
        <w:rPr>
          <w:rFonts w:ascii="黑体" w:eastAsia="黑体" w:hAnsi="宋体"/>
          <w:sz w:val="24"/>
          <w:szCs w:val="32"/>
        </w:rPr>
        <w:br w:type="page"/>
      </w:r>
      <w:bookmarkStart w:id="104" w:name="_Toc79392625"/>
      <w:bookmarkStart w:id="105" w:name="_Toc169580226"/>
      <w:r>
        <w:rPr>
          <w:rFonts w:ascii="黑体" w:eastAsia="黑体" w:hAnsi="Arial" w:cs="Arial" w:hint="eastAsia"/>
          <w:color w:val="000000"/>
          <w:sz w:val="30"/>
          <w:szCs w:val="32"/>
        </w:rPr>
        <w:lastRenderedPageBreak/>
        <w:t>第十二部分</w:t>
      </w:r>
      <w:r>
        <w:rPr>
          <w:rFonts w:ascii="黑体" w:eastAsia="黑体" w:hAnsi="Arial" w:cs="Arial"/>
          <w:color w:val="000000"/>
          <w:sz w:val="30"/>
          <w:szCs w:val="32"/>
        </w:rPr>
        <w:t xml:space="preserve">  </w:t>
      </w:r>
      <w:r>
        <w:rPr>
          <w:rFonts w:ascii="黑体" w:eastAsia="黑体" w:hAnsi="Arial" w:cs="Arial" w:hint="eastAsia"/>
          <w:color w:val="000000"/>
          <w:sz w:val="30"/>
          <w:szCs w:val="32"/>
        </w:rPr>
        <w:t>基金的投资</w:t>
      </w:r>
      <w:bookmarkEnd w:id="103"/>
      <w:bookmarkEnd w:id="104"/>
      <w:bookmarkEnd w:id="105"/>
    </w:p>
    <w:p w14:paraId="4F0105FC" w14:textId="77777777" w:rsidR="00BF0C91" w:rsidRDefault="00D65346">
      <w:pPr>
        <w:spacing w:beforeLines="50" w:before="156" w:afterLines="50" w:after="156" w:line="360" w:lineRule="auto"/>
        <w:ind w:firstLineChars="200" w:firstLine="482"/>
        <w:outlineLvl w:val="1"/>
        <w:rPr>
          <w:rFonts w:ascii="宋体" w:hAnsi="宋体"/>
          <w:b/>
          <w:bCs/>
          <w:sz w:val="24"/>
          <w:szCs w:val="21"/>
        </w:rPr>
      </w:pPr>
      <w:bookmarkStart w:id="106" w:name="_Toc66720082"/>
      <w:bookmarkStart w:id="107" w:name="_Toc66719557"/>
      <w:bookmarkStart w:id="108" w:name="_Toc109059024"/>
      <w:r>
        <w:rPr>
          <w:rFonts w:ascii="宋体" w:hAnsi="宋体" w:hint="eastAsia"/>
          <w:b/>
          <w:bCs/>
          <w:sz w:val="24"/>
          <w:szCs w:val="21"/>
        </w:rPr>
        <w:t>一、</w:t>
      </w:r>
      <w:r>
        <w:rPr>
          <w:rFonts w:ascii="宋体" w:hAnsi="宋体" w:hint="eastAsia"/>
          <w:b/>
          <w:bCs/>
          <w:sz w:val="24"/>
          <w:szCs w:val="21"/>
        </w:rPr>
        <w:tab/>
        <w:t>投资理念</w:t>
      </w:r>
      <w:bookmarkEnd w:id="106"/>
      <w:bookmarkEnd w:id="107"/>
      <w:bookmarkEnd w:id="108"/>
    </w:p>
    <w:p w14:paraId="754F792C" w14:textId="77777777" w:rsidR="00BF0C91" w:rsidRDefault="00D65346">
      <w:pPr>
        <w:pStyle w:val="af0"/>
        <w:spacing w:line="440" w:lineRule="exact"/>
        <w:rPr>
          <w:rFonts w:ascii="宋体" w:hAnsi="宋体"/>
          <w:sz w:val="24"/>
        </w:rPr>
      </w:pPr>
      <w:r>
        <w:rPr>
          <w:rFonts w:ascii="宋体" w:hAnsi="宋体" w:hint="eastAsia"/>
          <w:sz w:val="24"/>
          <w:szCs w:val="24"/>
        </w:rPr>
        <w:t>在严格控制流动性风险的前提下，通过合理安排组合期限结构、积极选择投资工具，获取高于</w:t>
      </w:r>
      <w:r>
        <w:rPr>
          <w:rFonts w:hint="eastAsia"/>
          <w:sz w:val="24"/>
          <w:szCs w:val="24"/>
        </w:rPr>
        <w:t>业绩比较基准的投资收益</w:t>
      </w:r>
      <w:r>
        <w:rPr>
          <w:rFonts w:ascii="宋体" w:hAnsi="宋体" w:hint="eastAsia"/>
          <w:sz w:val="24"/>
          <w:szCs w:val="24"/>
        </w:rPr>
        <w:t>。</w:t>
      </w:r>
    </w:p>
    <w:p w14:paraId="04E88B05" w14:textId="77777777" w:rsidR="00BF0C91" w:rsidRDefault="00D65346">
      <w:pPr>
        <w:spacing w:beforeLines="50" w:before="156" w:afterLines="50" w:after="156" w:line="360" w:lineRule="auto"/>
        <w:ind w:firstLineChars="200" w:firstLine="482"/>
        <w:outlineLvl w:val="1"/>
        <w:rPr>
          <w:rFonts w:ascii="宋体" w:hAnsi="宋体"/>
          <w:b/>
          <w:bCs/>
          <w:sz w:val="24"/>
          <w:szCs w:val="21"/>
        </w:rPr>
      </w:pPr>
      <w:bookmarkStart w:id="109" w:name="_Toc109059025"/>
      <w:bookmarkStart w:id="110" w:name="_Toc109059027"/>
      <w:bookmarkEnd w:id="109"/>
      <w:r>
        <w:rPr>
          <w:rFonts w:ascii="宋体" w:hAnsi="宋体" w:hint="eastAsia"/>
          <w:b/>
          <w:bCs/>
          <w:sz w:val="24"/>
          <w:szCs w:val="21"/>
        </w:rPr>
        <w:t>二、</w:t>
      </w:r>
      <w:r>
        <w:rPr>
          <w:rFonts w:ascii="宋体" w:hAnsi="宋体" w:hint="eastAsia"/>
          <w:b/>
          <w:bCs/>
          <w:sz w:val="24"/>
          <w:szCs w:val="21"/>
        </w:rPr>
        <w:tab/>
        <w:t>投资目标</w:t>
      </w:r>
      <w:bookmarkEnd w:id="110"/>
    </w:p>
    <w:p w14:paraId="6829E002" w14:textId="77777777" w:rsidR="00BF0C91" w:rsidRDefault="00D65346">
      <w:pPr>
        <w:pStyle w:val="a4"/>
        <w:spacing w:line="360" w:lineRule="auto"/>
        <w:ind w:firstLine="480"/>
        <w:rPr>
          <w:sz w:val="24"/>
        </w:rPr>
      </w:pPr>
      <w:r>
        <w:rPr>
          <w:rFonts w:ascii="宋体" w:hAnsi="宋体" w:hint="eastAsia"/>
          <w:sz w:val="24"/>
        </w:rPr>
        <w:t>本基金属于货币市场基金，投资目标是在</w:t>
      </w:r>
      <w:r>
        <w:rPr>
          <w:rFonts w:hint="eastAsia"/>
          <w:sz w:val="24"/>
        </w:rPr>
        <w:t>力求本金稳妥和资产充分流动性的前提下，追求超过业绩比较基准的投资收益。</w:t>
      </w:r>
    </w:p>
    <w:p w14:paraId="2983987A" w14:textId="77777777" w:rsidR="00BF0C91" w:rsidRDefault="00D65346">
      <w:pPr>
        <w:spacing w:beforeLines="50" w:before="156" w:afterLines="50" w:after="156" w:line="360" w:lineRule="auto"/>
        <w:ind w:firstLineChars="200" w:firstLine="482"/>
        <w:outlineLvl w:val="1"/>
        <w:rPr>
          <w:rFonts w:ascii="宋体" w:hAnsi="宋体"/>
          <w:b/>
          <w:bCs/>
          <w:sz w:val="24"/>
          <w:szCs w:val="21"/>
        </w:rPr>
      </w:pPr>
      <w:bookmarkStart w:id="111" w:name="_Toc109059028"/>
      <w:r>
        <w:rPr>
          <w:rFonts w:ascii="宋体" w:hAnsi="宋体" w:hint="eastAsia"/>
          <w:b/>
          <w:bCs/>
          <w:sz w:val="24"/>
          <w:szCs w:val="21"/>
        </w:rPr>
        <w:t>三、</w:t>
      </w:r>
      <w:r>
        <w:rPr>
          <w:rFonts w:ascii="宋体" w:hAnsi="宋体" w:hint="eastAsia"/>
          <w:b/>
          <w:bCs/>
          <w:sz w:val="24"/>
          <w:szCs w:val="21"/>
        </w:rPr>
        <w:tab/>
        <w:t>投资范围</w:t>
      </w:r>
    </w:p>
    <w:p w14:paraId="387D3B71" w14:textId="77777777" w:rsidR="00BF0C91" w:rsidRDefault="00D65346">
      <w:pPr>
        <w:autoSpaceDE w:val="0"/>
        <w:autoSpaceDN w:val="0"/>
        <w:adjustRightInd w:val="0"/>
        <w:spacing w:line="360" w:lineRule="auto"/>
        <w:ind w:firstLineChars="200" w:firstLine="480"/>
        <w:jc w:val="left"/>
        <w:rPr>
          <w:rFonts w:ascii="宋体" w:hAnsi="宋体" w:cs="5"/>
          <w:kern w:val="0"/>
          <w:sz w:val="24"/>
        </w:rPr>
      </w:pPr>
      <w:r>
        <w:rPr>
          <w:rFonts w:ascii="宋体" w:hAnsi="宋体" w:cs="5" w:hint="eastAsia"/>
          <w:kern w:val="0"/>
          <w:sz w:val="24"/>
        </w:rPr>
        <w:t>1、现金；</w:t>
      </w:r>
      <w:r>
        <w:rPr>
          <w:rFonts w:ascii="宋体" w:hAnsi="宋体" w:cs="5"/>
          <w:kern w:val="0"/>
          <w:sz w:val="24"/>
        </w:rPr>
        <w:t xml:space="preserve">  </w:t>
      </w:r>
    </w:p>
    <w:p w14:paraId="375E1D97" w14:textId="77777777" w:rsidR="00BF0C91" w:rsidRDefault="00D65346">
      <w:pPr>
        <w:autoSpaceDE w:val="0"/>
        <w:autoSpaceDN w:val="0"/>
        <w:adjustRightInd w:val="0"/>
        <w:spacing w:line="360" w:lineRule="auto"/>
        <w:ind w:firstLineChars="200" w:firstLine="480"/>
        <w:jc w:val="left"/>
        <w:rPr>
          <w:rFonts w:ascii="宋体" w:hAnsi="宋体" w:cs="5"/>
          <w:kern w:val="0"/>
          <w:sz w:val="24"/>
        </w:rPr>
      </w:pPr>
      <w:r>
        <w:rPr>
          <w:rFonts w:ascii="宋体" w:hAnsi="宋体" w:cs="5" w:hint="eastAsia"/>
          <w:kern w:val="0"/>
          <w:sz w:val="24"/>
        </w:rPr>
        <w:t>2、通知存款；</w:t>
      </w:r>
    </w:p>
    <w:p w14:paraId="30A204E5" w14:textId="77777777" w:rsidR="00BF0C91" w:rsidRDefault="00D65346">
      <w:pPr>
        <w:autoSpaceDE w:val="0"/>
        <w:autoSpaceDN w:val="0"/>
        <w:adjustRightInd w:val="0"/>
        <w:spacing w:line="360" w:lineRule="auto"/>
        <w:ind w:firstLineChars="200" w:firstLine="480"/>
        <w:jc w:val="left"/>
        <w:rPr>
          <w:rFonts w:ascii="宋体" w:hAnsi="宋体" w:cs="5"/>
          <w:kern w:val="0"/>
          <w:sz w:val="24"/>
        </w:rPr>
      </w:pPr>
      <w:r>
        <w:rPr>
          <w:rFonts w:ascii="宋体" w:hAnsi="宋体" w:cs="5" w:hint="eastAsia"/>
          <w:kern w:val="0"/>
          <w:sz w:val="24"/>
        </w:rPr>
        <w:t>3、一年以内（含一年）的银行定期存款、大额存单；</w:t>
      </w:r>
      <w:r>
        <w:rPr>
          <w:rFonts w:ascii="宋体" w:hAnsi="宋体" w:cs="5"/>
          <w:kern w:val="0"/>
          <w:sz w:val="24"/>
        </w:rPr>
        <w:t xml:space="preserve">  </w:t>
      </w:r>
    </w:p>
    <w:p w14:paraId="52A29344" w14:textId="77777777" w:rsidR="00BF0C91" w:rsidRDefault="00D65346">
      <w:pPr>
        <w:autoSpaceDE w:val="0"/>
        <w:autoSpaceDN w:val="0"/>
        <w:adjustRightInd w:val="0"/>
        <w:spacing w:line="360" w:lineRule="auto"/>
        <w:ind w:firstLineChars="200" w:firstLine="480"/>
        <w:jc w:val="left"/>
        <w:rPr>
          <w:rFonts w:ascii="宋体" w:hAnsi="宋体" w:cs="5"/>
          <w:kern w:val="0"/>
          <w:sz w:val="24"/>
        </w:rPr>
      </w:pPr>
      <w:r>
        <w:rPr>
          <w:rFonts w:ascii="宋体" w:hAnsi="宋体" w:cs="5" w:hint="eastAsia"/>
          <w:kern w:val="0"/>
          <w:sz w:val="24"/>
        </w:rPr>
        <w:t>4、剩余期限在397天以内（含397天）的债券；</w:t>
      </w:r>
      <w:r>
        <w:rPr>
          <w:rFonts w:ascii="宋体" w:hAnsi="宋体" w:cs="5"/>
          <w:kern w:val="0"/>
          <w:sz w:val="24"/>
        </w:rPr>
        <w:t xml:space="preserve">  </w:t>
      </w:r>
    </w:p>
    <w:p w14:paraId="41F87BE2" w14:textId="77777777" w:rsidR="00BF0C91" w:rsidRDefault="00D65346">
      <w:pPr>
        <w:autoSpaceDE w:val="0"/>
        <w:autoSpaceDN w:val="0"/>
        <w:adjustRightInd w:val="0"/>
        <w:spacing w:line="360" w:lineRule="auto"/>
        <w:ind w:firstLineChars="200" w:firstLine="480"/>
        <w:jc w:val="left"/>
        <w:rPr>
          <w:rFonts w:ascii="宋体" w:hAnsi="宋体" w:cs="5"/>
          <w:kern w:val="0"/>
          <w:sz w:val="24"/>
        </w:rPr>
      </w:pPr>
      <w:r>
        <w:rPr>
          <w:rFonts w:ascii="宋体" w:hAnsi="宋体" w:cs="5" w:hint="eastAsia"/>
          <w:kern w:val="0"/>
          <w:sz w:val="24"/>
        </w:rPr>
        <w:t>5、期限在一年以内（含一年）的</w:t>
      </w:r>
      <w:bookmarkStart w:id="112" w:name="OLE_LINK1"/>
      <w:r>
        <w:rPr>
          <w:rFonts w:ascii="宋体" w:hAnsi="宋体" w:cs="5" w:hint="eastAsia"/>
          <w:kern w:val="0"/>
          <w:sz w:val="24"/>
        </w:rPr>
        <w:t>中央银行票据</w:t>
      </w:r>
      <w:bookmarkEnd w:id="112"/>
      <w:r>
        <w:rPr>
          <w:rFonts w:ascii="宋体" w:hAnsi="宋体" w:cs="5" w:hint="eastAsia"/>
          <w:kern w:val="0"/>
          <w:sz w:val="24"/>
        </w:rPr>
        <w:t>；</w:t>
      </w:r>
      <w:r>
        <w:rPr>
          <w:rFonts w:ascii="宋体" w:hAnsi="宋体" w:cs="5"/>
          <w:kern w:val="0"/>
          <w:sz w:val="24"/>
        </w:rPr>
        <w:t xml:space="preserve">  </w:t>
      </w:r>
    </w:p>
    <w:p w14:paraId="74B56151" w14:textId="77777777" w:rsidR="00BF0C91" w:rsidRDefault="00D65346">
      <w:pPr>
        <w:autoSpaceDE w:val="0"/>
        <w:autoSpaceDN w:val="0"/>
        <w:adjustRightInd w:val="0"/>
        <w:spacing w:line="360" w:lineRule="auto"/>
        <w:ind w:firstLineChars="200" w:firstLine="480"/>
        <w:jc w:val="left"/>
        <w:rPr>
          <w:rFonts w:ascii="宋体" w:hAnsi="宋体" w:cs="5"/>
          <w:kern w:val="0"/>
          <w:sz w:val="24"/>
        </w:rPr>
      </w:pPr>
      <w:r>
        <w:rPr>
          <w:rFonts w:ascii="宋体" w:hAnsi="宋体" w:cs="5" w:hint="eastAsia"/>
          <w:kern w:val="0"/>
          <w:sz w:val="24"/>
        </w:rPr>
        <w:t>6、期限在一年以内（含一年）的债券回购；</w:t>
      </w:r>
      <w:r>
        <w:rPr>
          <w:rFonts w:ascii="宋体" w:hAnsi="宋体" w:cs="5"/>
          <w:kern w:val="0"/>
          <w:sz w:val="24"/>
        </w:rPr>
        <w:t xml:space="preserve">  </w:t>
      </w:r>
    </w:p>
    <w:p w14:paraId="6D6366EB" w14:textId="77777777" w:rsidR="00BF0C91" w:rsidRDefault="00D65346">
      <w:pPr>
        <w:autoSpaceDE w:val="0"/>
        <w:autoSpaceDN w:val="0"/>
        <w:adjustRightInd w:val="0"/>
        <w:spacing w:line="360" w:lineRule="auto"/>
        <w:ind w:firstLineChars="200" w:firstLine="480"/>
        <w:jc w:val="left"/>
        <w:rPr>
          <w:rFonts w:ascii="宋体" w:hAnsi="宋体" w:cs="5"/>
          <w:kern w:val="0"/>
          <w:sz w:val="24"/>
        </w:rPr>
      </w:pPr>
      <w:r>
        <w:rPr>
          <w:rFonts w:ascii="宋体" w:hAnsi="宋体" w:cs="5" w:hint="eastAsia"/>
          <w:kern w:val="0"/>
          <w:sz w:val="24"/>
        </w:rPr>
        <w:t>7、中国证监会、中国人民银行认可的其他具有良好流动性的货币市场工具。</w:t>
      </w:r>
    </w:p>
    <w:bookmarkEnd w:id="111"/>
    <w:p w14:paraId="19704760" w14:textId="77777777" w:rsidR="00BF0C91" w:rsidRDefault="00D65346">
      <w:pPr>
        <w:spacing w:beforeLines="50" w:before="156" w:afterLines="50" w:after="156" w:line="360" w:lineRule="auto"/>
        <w:ind w:firstLineChars="200" w:firstLine="482"/>
        <w:outlineLvl w:val="1"/>
        <w:rPr>
          <w:rFonts w:ascii="宋体" w:hAnsi="宋体"/>
          <w:b/>
          <w:bCs/>
          <w:sz w:val="24"/>
          <w:szCs w:val="21"/>
        </w:rPr>
      </w:pPr>
      <w:r>
        <w:rPr>
          <w:rFonts w:ascii="宋体" w:hAnsi="宋体" w:hint="eastAsia"/>
          <w:b/>
          <w:bCs/>
          <w:sz w:val="24"/>
          <w:szCs w:val="21"/>
        </w:rPr>
        <w:t>四、</w:t>
      </w:r>
      <w:r>
        <w:rPr>
          <w:rFonts w:ascii="宋体" w:hAnsi="宋体" w:hint="eastAsia"/>
          <w:b/>
          <w:bCs/>
          <w:sz w:val="24"/>
          <w:szCs w:val="21"/>
        </w:rPr>
        <w:tab/>
        <w:t>投资组合平均剩余期限的计算</w:t>
      </w:r>
    </w:p>
    <w:p w14:paraId="036EE70D" w14:textId="77777777" w:rsidR="00BF0C91" w:rsidRDefault="00D65346">
      <w:pPr>
        <w:autoSpaceDE w:val="0"/>
        <w:autoSpaceDN w:val="0"/>
        <w:adjustRightInd w:val="0"/>
        <w:spacing w:line="360" w:lineRule="auto"/>
        <w:ind w:firstLineChars="200" w:firstLine="480"/>
        <w:jc w:val="left"/>
        <w:rPr>
          <w:rFonts w:ascii="宋体" w:hAnsi="宋体" w:cs="5"/>
          <w:kern w:val="0"/>
          <w:sz w:val="24"/>
        </w:rPr>
      </w:pPr>
      <w:r>
        <w:rPr>
          <w:rFonts w:ascii="宋体" w:hAnsi="宋体" w:cs="5" w:hint="eastAsia"/>
          <w:kern w:val="0"/>
          <w:sz w:val="24"/>
        </w:rPr>
        <w:t>1、平均剩余期限的</w:t>
      </w:r>
      <w:r>
        <w:rPr>
          <w:rFonts w:ascii="宋体" w:hAnsi="宋体" w:cs="5"/>
          <w:kern w:val="0"/>
          <w:sz w:val="24"/>
        </w:rPr>
        <w:t>计算公式</w:t>
      </w:r>
      <w:r>
        <w:rPr>
          <w:rFonts w:ascii="宋体" w:hAnsi="宋体" w:cs="5" w:hint="eastAsia"/>
          <w:kern w:val="0"/>
          <w:sz w:val="24"/>
        </w:rPr>
        <w:t>如下：</w:t>
      </w:r>
    </w:p>
    <w:p w14:paraId="50A2818A" w14:textId="77777777" w:rsidR="00BF0C91" w:rsidRDefault="00D65346">
      <w:pPr>
        <w:widowControl/>
        <w:numPr>
          <w:ilvl w:val="0"/>
          <w:numId w:val="1"/>
        </w:numPr>
        <w:spacing w:before="100" w:beforeAutospacing="1" w:after="100" w:afterAutospacing="1"/>
        <w:ind w:left="0" w:firstLineChars="150" w:firstLine="360"/>
        <w:jc w:val="left"/>
        <w:rPr>
          <w:rFonts w:ascii="宋体" w:hAnsi="宋体" w:cs="宋体"/>
          <w:kern w:val="0"/>
          <w:sz w:val="24"/>
        </w:rPr>
      </w:pPr>
      <w:r>
        <w:rPr>
          <w:rFonts w:ascii="宋体" w:hAnsi="宋体" w:cs="宋体"/>
          <w:kern w:val="0"/>
          <w:position w:val="-26"/>
          <w:sz w:val="24"/>
        </w:rPr>
        <w:object w:dxaOrig="8280" w:dyaOrig="492" w14:anchorId="7C088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24.65pt" o:ole="">
            <v:imagedata r:id="rId17" o:title=""/>
          </v:shape>
          <o:OLEObject Type="Embed" ProgID="Equation.DSMT4" ShapeID="_x0000_i1025" DrawAspect="Content" ObjectID="_1770465882" r:id="rId18"/>
        </w:object>
      </w:r>
    </w:p>
    <w:p w14:paraId="27812FFD" w14:textId="77777777" w:rsidR="00BF0C91" w:rsidRDefault="00D65346">
      <w:pPr>
        <w:widowControl/>
        <w:numPr>
          <w:ilvl w:val="0"/>
          <w:numId w:val="1"/>
        </w:numPr>
        <w:spacing w:line="360" w:lineRule="auto"/>
        <w:ind w:left="0" w:firstLineChars="200" w:firstLine="480"/>
        <w:jc w:val="left"/>
        <w:rPr>
          <w:rFonts w:ascii="宋体" w:hAnsi="宋体" w:cs="宋体"/>
          <w:kern w:val="0"/>
          <w:sz w:val="24"/>
        </w:rPr>
      </w:pPr>
      <w:r>
        <w:rPr>
          <w:rFonts w:ascii="宋体" w:hAnsi="宋体" w:cs="宋体"/>
          <w:kern w:val="0"/>
          <w:sz w:val="24"/>
        </w:rPr>
        <w:t xml:space="preserve">其中:投资于金融工具产生的资产包括现金类资产(含银行存款、清算备付金、交易保证金、证券清算款、买断式回购履约金)、一年以内(含一年)的银行定期存款、大额存单、剩余期限在397天以内(含397天)的债券、期限在一年以内(含一年)的逆回购、期限在一年以内(含一年)的中央银行票据、买断式回购产生的待回购债券、中国证监会、中国人民银行认可的其他具有良好流动性的货币市场工具。 </w:t>
      </w:r>
    </w:p>
    <w:p w14:paraId="221AB6AF" w14:textId="77777777" w:rsidR="00BF0C91" w:rsidRDefault="00D65346">
      <w:pPr>
        <w:widowControl/>
        <w:numPr>
          <w:ilvl w:val="0"/>
          <w:numId w:val="1"/>
        </w:numPr>
        <w:spacing w:line="360" w:lineRule="auto"/>
        <w:ind w:left="0" w:firstLineChars="200" w:firstLine="480"/>
        <w:rPr>
          <w:rFonts w:ascii="宋体" w:hAnsi="宋体" w:cs="宋体"/>
          <w:kern w:val="0"/>
          <w:sz w:val="24"/>
        </w:rPr>
      </w:pPr>
      <w:r>
        <w:rPr>
          <w:rFonts w:ascii="宋体" w:hAnsi="宋体" w:cs="宋体"/>
          <w:kern w:val="0"/>
          <w:sz w:val="24"/>
        </w:rPr>
        <w:lastRenderedPageBreak/>
        <w:t>投资于金融工具产生的负债包括期限在一年以内(含一年)的正回购、买断式回购产生的待返售债券等。</w:t>
      </w:r>
    </w:p>
    <w:p w14:paraId="75DF0CC5" w14:textId="77777777" w:rsidR="00BF0C91" w:rsidRDefault="00D65346">
      <w:pPr>
        <w:widowControl/>
        <w:numPr>
          <w:ilvl w:val="0"/>
          <w:numId w:val="1"/>
        </w:numPr>
        <w:spacing w:line="360" w:lineRule="auto"/>
        <w:ind w:left="0" w:firstLineChars="200" w:firstLine="480"/>
        <w:rPr>
          <w:rFonts w:ascii="宋体" w:hAnsi="宋体" w:cs="宋体"/>
          <w:kern w:val="0"/>
          <w:sz w:val="24"/>
        </w:rPr>
      </w:pPr>
      <w:r>
        <w:rPr>
          <w:rFonts w:ascii="宋体" w:hAnsi="宋体" w:cs="宋体"/>
          <w:kern w:val="0"/>
          <w:sz w:val="24"/>
        </w:rPr>
        <w:t xml:space="preserve">采用"摊余成本法"计算的附息债券成本包括债券的面值和折溢价；贴现式债券成本包括债券投资成本和内在应收利息。 </w:t>
      </w:r>
    </w:p>
    <w:p w14:paraId="08F9E06C" w14:textId="77777777" w:rsidR="00BF0C91" w:rsidRDefault="00D65346">
      <w:pPr>
        <w:autoSpaceDE w:val="0"/>
        <w:autoSpaceDN w:val="0"/>
        <w:adjustRightInd w:val="0"/>
        <w:spacing w:line="360" w:lineRule="auto"/>
        <w:ind w:firstLineChars="200" w:firstLine="480"/>
        <w:rPr>
          <w:rFonts w:ascii="宋体" w:hAnsi="宋体" w:cs="5"/>
          <w:kern w:val="0"/>
          <w:sz w:val="24"/>
        </w:rPr>
      </w:pPr>
      <w:r>
        <w:rPr>
          <w:rFonts w:ascii="宋体" w:hAnsi="宋体" w:cs="5" w:hint="eastAsia"/>
          <w:kern w:val="0"/>
          <w:sz w:val="24"/>
        </w:rPr>
        <w:t>2、</w:t>
      </w:r>
      <w:r>
        <w:rPr>
          <w:rFonts w:ascii="宋体" w:hAnsi="宋体" w:cs="5"/>
          <w:kern w:val="0"/>
          <w:sz w:val="24"/>
        </w:rPr>
        <w:t xml:space="preserve">各类资产和负债剩余期限的确定 </w:t>
      </w:r>
    </w:p>
    <w:p w14:paraId="752356A3" w14:textId="77777777" w:rsidR="00BF0C91" w:rsidRDefault="00D65346">
      <w:pPr>
        <w:widowControl/>
        <w:numPr>
          <w:ilvl w:val="0"/>
          <w:numId w:val="8"/>
        </w:numPr>
        <w:tabs>
          <w:tab w:val="clear" w:pos="3129"/>
        </w:tabs>
        <w:spacing w:line="360" w:lineRule="auto"/>
        <w:ind w:left="0" w:firstLineChars="200" w:firstLine="480"/>
        <w:rPr>
          <w:rFonts w:ascii="宋体" w:hAnsi="宋体" w:cs="宋体"/>
          <w:kern w:val="0"/>
          <w:sz w:val="24"/>
        </w:rPr>
      </w:pPr>
      <w:r>
        <w:rPr>
          <w:rFonts w:ascii="宋体" w:hAnsi="宋体" w:cs="宋体"/>
          <w:kern w:val="0"/>
          <w:sz w:val="24"/>
        </w:rPr>
        <w:t xml:space="preserve">银行存款、清算备付金、交易保证金的剩余期限为0天；证券清算款的剩余期限以计算日至交收日的剩余交易日天数计算；买断式回购履约金的剩余期限以计算日至协议到期日的实际剩余天数计算。 </w:t>
      </w:r>
    </w:p>
    <w:p w14:paraId="67BFAF63" w14:textId="77777777" w:rsidR="00BF0C91" w:rsidRDefault="00D65346">
      <w:pPr>
        <w:widowControl/>
        <w:numPr>
          <w:ilvl w:val="0"/>
          <w:numId w:val="8"/>
        </w:numPr>
        <w:tabs>
          <w:tab w:val="clear" w:pos="3129"/>
        </w:tabs>
        <w:spacing w:line="360" w:lineRule="auto"/>
        <w:ind w:left="0" w:firstLineChars="200" w:firstLine="480"/>
        <w:rPr>
          <w:rFonts w:ascii="宋体" w:hAnsi="宋体" w:cs="宋体"/>
          <w:kern w:val="0"/>
          <w:sz w:val="24"/>
        </w:rPr>
      </w:pPr>
      <w:r>
        <w:rPr>
          <w:rFonts w:ascii="宋体" w:hAnsi="宋体" w:cs="宋体"/>
          <w:kern w:val="0"/>
          <w:sz w:val="24"/>
        </w:rPr>
        <w:t xml:space="preserve">一年以内(含一年)银行定期存款、大额存单的剩余期限以计算日至协议到期日的实际剩余天数计算。 </w:t>
      </w:r>
    </w:p>
    <w:p w14:paraId="3FB852B0" w14:textId="77777777" w:rsidR="00BF0C91" w:rsidRDefault="00D65346">
      <w:pPr>
        <w:widowControl/>
        <w:numPr>
          <w:ilvl w:val="0"/>
          <w:numId w:val="8"/>
        </w:numPr>
        <w:tabs>
          <w:tab w:val="clear" w:pos="3129"/>
        </w:tabs>
        <w:spacing w:line="360" w:lineRule="auto"/>
        <w:ind w:left="0" w:firstLineChars="200" w:firstLine="480"/>
        <w:rPr>
          <w:rFonts w:ascii="宋体" w:hAnsi="宋体" w:cs="宋体"/>
          <w:kern w:val="0"/>
          <w:sz w:val="24"/>
        </w:rPr>
      </w:pPr>
      <w:r>
        <w:rPr>
          <w:rFonts w:ascii="宋体" w:hAnsi="宋体" w:cs="宋体"/>
          <w:kern w:val="0"/>
          <w:sz w:val="24"/>
        </w:rPr>
        <w:t xml:space="preserve">组合中债券的剩余期限是指计算日至债券到期日为止所剩余的天数,以下情况除外:允许投资的浮动利率债券的剩余期限以计算日至下一个利率调整日的实际剩余天数计算。 </w:t>
      </w:r>
    </w:p>
    <w:p w14:paraId="1D490F18" w14:textId="77777777" w:rsidR="00BF0C91" w:rsidRDefault="00D65346">
      <w:pPr>
        <w:widowControl/>
        <w:numPr>
          <w:ilvl w:val="0"/>
          <w:numId w:val="8"/>
        </w:numPr>
        <w:tabs>
          <w:tab w:val="clear" w:pos="3129"/>
        </w:tabs>
        <w:spacing w:line="360" w:lineRule="auto"/>
        <w:ind w:left="0" w:firstLineChars="200" w:firstLine="480"/>
        <w:rPr>
          <w:rFonts w:ascii="宋体" w:hAnsi="宋体" w:cs="宋体"/>
          <w:kern w:val="0"/>
          <w:sz w:val="24"/>
        </w:rPr>
      </w:pPr>
      <w:r>
        <w:rPr>
          <w:rFonts w:ascii="宋体" w:hAnsi="宋体" w:cs="宋体"/>
          <w:kern w:val="0"/>
          <w:sz w:val="24"/>
        </w:rPr>
        <w:t xml:space="preserve">回购(包括正回购和逆回购)的剩余期限以计算日至回购协议到期日的实际剩余天数计算。 </w:t>
      </w:r>
    </w:p>
    <w:p w14:paraId="16D4C770" w14:textId="77777777" w:rsidR="00BF0C91" w:rsidRDefault="00D65346">
      <w:pPr>
        <w:widowControl/>
        <w:numPr>
          <w:ilvl w:val="0"/>
          <w:numId w:val="8"/>
        </w:numPr>
        <w:tabs>
          <w:tab w:val="clear" w:pos="3129"/>
        </w:tabs>
        <w:spacing w:line="360" w:lineRule="auto"/>
        <w:ind w:left="0" w:firstLineChars="200" w:firstLine="480"/>
        <w:rPr>
          <w:rFonts w:ascii="宋体" w:hAnsi="宋体" w:cs="宋体"/>
          <w:kern w:val="0"/>
          <w:sz w:val="24"/>
        </w:rPr>
      </w:pPr>
      <w:r>
        <w:rPr>
          <w:rFonts w:ascii="宋体" w:hAnsi="宋体" w:cs="宋体"/>
          <w:kern w:val="0"/>
          <w:sz w:val="24"/>
        </w:rPr>
        <w:t xml:space="preserve">中央银行票据的剩余期限以计算日至中央银行票据到期日的实际剩余天数计算。 </w:t>
      </w:r>
    </w:p>
    <w:p w14:paraId="7BF3E49B" w14:textId="77777777" w:rsidR="00BF0C91" w:rsidRDefault="00D65346">
      <w:pPr>
        <w:widowControl/>
        <w:numPr>
          <w:ilvl w:val="0"/>
          <w:numId w:val="8"/>
        </w:numPr>
        <w:tabs>
          <w:tab w:val="clear" w:pos="3129"/>
        </w:tabs>
        <w:spacing w:line="360" w:lineRule="auto"/>
        <w:ind w:left="0" w:firstLineChars="200" w:firstLine="480"/>
        <w:rPr>
          <w:rFonts w:ascii="宋体" w:hAnsi="宋体" w:cs="宋体"/>
          <w:kern w:val="0"/>
          <w:sz w:val="24"/>
        </w:rPr>
      </w:pPr>
      <w:r>
        <w:rPr>
          <w:rFonts w:ascii="宋体" w:hAnsi="宋体" w:cs="宋体"/>
          <w:kern w:val="0"/>
          <w:sz w:val="24"/>
        </w:rPr>
        <w:t xml:space="preserve">买断式回购产生的待回购债券的剩余期限为该基础债券的剩余期限。 </w:t>
      </w:r>
    </w:p>
    <w:p w14:paraId="5696151B" w14:textId="77777777" w:rsidR="00BF0C91" w:rsidRDefault="00D65346">
      <w:pPr>
        <w:widowControl/>
        <w:numPr>
          <w:ilvl w:val="0"/>
          <w:numId w:val="8"/>
        </w:numPr>
        <w:tabs>
          <w:tab w:val="clear" w:pos="3129"/>
        </w:tabs>
        <w:spacing w:line="360" w:lineRule="auto"/>
        <w:ind w:left="0" w:firstLineChars="200" w:firstLine="480"/>
        <w:rPr>
          <w:rFonts w:ascii="宋体" w:hAnsi="宋体" w:cs="宋体"/>
          <w:kern w:val="0"/>
          <w:sz w:val="24"/>
        </w:rPr>
      </w:pPr>
      <w:r>
        <w:rPr>
          <w:rFonts w:ascii="宋体" w:hAnsi="宋体" w:cs="宋体"/>
          <w:kern w:val="0"/>
          <w:sz w:val="24"/>
        </w:rPr>
        <w:t xml:space="preserve">买断式回购产生的待返售债券的剩余期限以计算日至回购协议到期日的实际剩余天数计算。 </w:t>
      </w:r>
    </w:p>
    <w:p w14:paraId="56B47DF4" w14:textId="77777777" w:rsidR="00BF0C91" w:rsidRDefault="00D65346">
      <w:pPr>
        <w:widowControl/>
        <w:numPr>
          <w:ilvl w:val="0"/>
          <w:numId w:val="8"/>
        </w:numPr>
        <w:tabs>
          <w:tab w:val="clear" w:pos="3129"/>
        </w:tabs>
        <w:spacing w:line="360" w:lineRule="auto"/>
        <w:ind w:left="0" w:firstLineChars="200" w:firstLine="480"/>
        <w:rPr>
          <w:rFonts w:ascii="宋体" w:hAnsi="宋体" w:cs="宋体"/>
          <w:kern w:val="0"/>
          <w:sz w:val="24"/>
        </w:rPr>
      </w:pPr>
      <w:r>
        <w:rPr>
          <w:rFonts w:ascii="宋体" w:hAnsi="宋体" w:cs="宋体" w:hint="eastAsia"/>
          <w:kern w:val="0"/>
          <w:sz w:val="24"/>
        </w:rPr>
        <w:t>短期融资券的剩余期限以计算日至短期融资券到期日所剩余的天数计算。</w:t>
      </w:r>
    </w:p>
    <w:p w14:paraId="6550EEFA" w14:textId="77777777" w:rsidR="00BF0C91" w:rsidRDefault="00D65346">
      <w:pPr>
        <w:widowControl/>
        <w:numPr>
          <w:ilvl w:val="0"/>
          <w:numId w:val="8"/>
        </w:numPr>
        <w:tabs>
          <w:tab w:val="clear" w:pos="3129"/>
        </w:tabs>
        <w:spacing w:line="360" w:lineRule="auto"/>
        <w:ind w:left="0" w:firstLineChars="200" w:firstLine="480"/>
        <w:rPr>
          <w:rFonts w:ascii="宋体" w:hAnsi="宋体" w:cs="宋体"/>
          <w:kern w:val="0"/>
          <w:sz w:val="24"/>
        </w:rPr>
      </w:pPr>
      <w:r>
        <w:rPr>
          <w:rFonts w:ascii="宋体" w:hAnsi="宋体" w:cs="3" w:hint="eastAsia"/>
          <w:kern w:val="0"/>
          <w:sz w:val="24"/>
        </w:rPr>
        <w:t>其他</w:t>
      </w:r>
      <w:r>
        <w:rPr>
          <w:rFonts w:ascii="宋体" w:hAnsi="宋体" w:cs="2" w:hint="eastAsia"/>
          <w:kern w:val="0"/>
          <w:sz w:val="24"/>
        </w:rPr>
        <w:t>情况根据法律法规或</w:t>
      </w:r>
      <w:r>
        <w:rPr>
          <w:rFonts w:ascii="宋体" w:hAnsi="宋体" w:cs="1" w:hint="eastAsia"/>
          <w:kern w:val="0"/>
          <w:sz w:val="24"/>
        </w:rPr>
        <w:t>中国证</w:t>
      </w:r>
      <w:r>
        <w:rPr>
          <w:rFonts w:ascii="宋体" w:hAnsi="宋体" w:cs="3" w:hint="eastAsia"/>
          <w:kern w:val="0"/>
          <w:sz w:val="24"/>
        </w:rPr>
        <w:t>监</w:t>
      </w:r>
      <w:r>
        <w:rPr>
          <w:rFonts w:ascii="宋体" w:hAnsi="宋体" w:cs="2" w:hint="eastAsia"/>
          <w:kern w:val="0"/>
          <w:sz w:val="24"/>
        </w:rPr>
        <w:t>会的</w:t>
      </w:r>
      <w:r>
        <w:rPr>
          <w:rFonts w:ascii="宋体" w:hAnsi="宋体" w:cs="3" w:hint="eastAsia"/>
          <w:kern w:val="0"/>
          <w:sz w:val="24"/>
        </w:rPr>
        <w:t>规</w:t>
      </w:r>
      <w:r>
        <w:rPr>
          <w:rFonts w:ascii="宋体" w:hAnsi="宋体" w:cs="2" w:hint="eastAsia"/>
          <w:kern w:val="0"/>
          <w:sz w:val="24"/>
        </w:rPr>
        <w:t>定</w:t>
      </w:r>
      <w:r>
        <w:rPr>
          <w:rFonts w:ascii="宋体" w:hAnsi="宋体" w:cs="1" w:hint="eastAsia"/>
          <w:kern w:val="0"/>
          <w:sz w:val="24"/>
        </w:rPr>
        <w:t>确定。</w:t>
      </w:r>
    </w:p>
    <w:p w14:paraId="6CECD7E4" w14:textId="77777777" w:rsidR="00BF0C91" w:rsidRDefault="00D65346">
      <w:pPr>
        <w:spacing w:beforeLines="50" w:before="156" w:afterLines="50" w:after="156" w:line="360" w:lineRule="auto"/>
        <w:ind w:firstLineChars="200" w:firstLine="482"/>
        <w:outlineLvl w:val="1"/>
        <w:rPr>
          <w:rFonts w:ascii="宋体" w:hAnsi="宋体"/>
          <w:b/>
          <w:bCs/>
          <w:sz w:val="24"/>
          <w:szCs w:val="21"/>
        </w:rPr>
      </w:pPr>
      <w:r>
        <w:rPr>
          <w:rFonts w:ascii="宋体" w:hAnsi="宋体" w:hint="eastAsia"/>
          <w:b/>
          <w:bCs/>
          <w:sz w:val="24"/>
          <w:szCs w:val="21"/>
        </w:rPr>
        <w:t>五、</w:t>
      </w:r>
      <w:r>
        <w:rPr>
          <w:rFonts w:ascii="宋体" w:hAnsi="宋体" w:hint="eastAsia"/>
          <w:b/>
          <w:bCs/>
          <w:sz w:val="24"/>
          <w:szCs w:val="21"/>
        </w:rPr>
        <w:tab/>
        <w:t>业绩比较基准</w:t>
      </w:r>
    </w:p>
    <w:p w14:paraId="55233552" w14:textId="77777777" w:rsidR="00BF0C91" w:rsidRDefault="00D65346">
      <w:pPr>
        <w:pStyle w:val="a4"/>
        <w:spacing w:line="360" w:lineRule="auto"/>
        <w:ind w:firstLine="480"/>
        <w:rPr>
          <w:rFonts w:ascii="宋体" w:hAnsi="宋体"/>
          <w:sz w:val="24"/>
        </w:rPr>
      </w:pPr>
      <w:r>
        <w:rPr>
          <w:rFonts w:ascii="宋体" w:hAnsi="宋体" w:hint="eastAsia"/>
          <w:sz w:val="24"/>
        </w:rPr>
        <w:t>本基金业绩比较基准为六个月定期存款利率（税后）。</w:t>
      </w:r>
    </w:p>
    <w:p w14:paraId="42C16F6B" w14:textId="77777777" w:rsidR="00BF0C91" w:rsidRDefault="00D65346">
      <w:pPr>
        <w:pStyle w:val="a4"/>
        <w:spacing w:line="360" w:lineRule="auto"/>
        <w:ind w:firstLine="480"/>
        <w:rPr>
          <w:rFonts w:ascii="宋体" w:hAnsi="宋体"/>
          <w:sz w:val="24"/>
        </w:rPr>
      </w:pPr>
      <w:r>
        <w:rPr>
          <w:rFonts w:ascii="宋体" w:hAnsi="宋体" w:hint="eastAsia"/>
          <w:sz w:val="24"/>
        </w:rPr>
        <w:t>若未来市场发生变化导致此业绩基准不再适用，基金管理人可根据市场发展状况及本基金的投资范围和投资策略，调整本基金的业绩比较基准。业绩基准的变更须经基金管理人和基金托管人协商一致。</w:t>
      </w:r>
    </w:p>
    <w:p w14:paraId="11DC338A" w14:textId="77777777" w:rsidR="00BF0C91" w:rsidRDefault="00D65346">
      <w:pPr>
        <w:spacing w:beforeLines="50" w:before="156" w:afterLines="50" w:after="156" w:line="360" w:lineRule="auto"/>
        <w:ind w:firstLineChars="200" w:firstLine="482"/>
        <w:outlineLvl w:val="1"/>
        <w:rPr>
          <w:rFonts w:ascii="宋体" w:hAnsi="宋体"/>
          <w:b/>
          <w:bCs/>
          <w:sz w:val="24"/>
          <w:szCs w:val="21"/>
        </w:rPr>
      </w:pPr>
      <w:bookmarkStart w:id="113" w:name="_Toc109059036"/>
      <w:bookmarkStart w:id="114" w:name="_Hlt5528681"/>
      <w:bookmarkStart w:id="115" w:name="_Hlt5604240"/>
      <w:bookmarkStart w:id="116" w:name="_Toc109059037"/>
      <w:bookmarkEnd w:id="113"/>
      <w:bookmarkEnd w:id="114"/>
      <w:bookmarkEnd w:id="115"/>
      <w:bookmarkEnd w:id="116"/>
      <w:r>
        <w:rPr>
          <w:rFonts w:ascii="宋体" w:hAnsi="宋体" w:hint="eastAsia"/>
          <w:b/>
          <w:bCs/>
          <w:sz w:val="24"/>
          <w:szCs w:val="21"/>
        </w:rPr>
        <w:lastRenderedPageBreak/>
        <w:t>六、</w:t>
      </w:r>
      <w:r>
        <w:rPr>
          <w:rFonts w:ascii="宋体" w:hAnsi="宋体" w:hint="eastAsia"/>
          <w:b/>
          <w:bCs/>
          <w:sz w:val="24"/>
          <w:szCs w:val="21"/>
        </w:rPr>
        <w:tab/>
        <w:t>投资策略</w:t>
      </w:r>
    </w:p>
    <w:p w14:paraId="47B1FC8A" w14:textId="77777777" w:rsidR="00BF0C91" w:rsidRDefault="00D65346">
      <w:pPr>
        <w:spacing w:line="360" w:lineRule="auto"/>
        <w:ind w:firstLineChars="200" w:firstLine="480"/>
        <w:rPr>
          <w:rFonts w:ascii="宋体" w:hAnsi="宋体" w:cs="仿宋_GB2312"/>
          <w:sz w:val="24"/>
        </w:rPr>
      </w:pPr>
      <w:r>
        <w:rPr>
          <w:rFonts w:ascii="宋体" w:hAnsi="宋体"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14:paraId="123217F2" w14:textId="77777777" w:rsidR="00BF0C91" w:rsidRDefault="00D65346">
      <w:pPr>
        <w:spacing w:line="360" w:lineRule="auto"/>
        <w:ind w:firstLineChars="200" w:firstLine="480"/>
        <w:rPr>
          <w:rFonts w:ascii="宋体" w:hAnsi="宋体"/>
          <w:sz w:val="24"/>
        </w:rPr>
      </w:pPr>
      <w:r>
        <w:rPr>
          <w:rFonts w:ascii="宋体" w:hAnsi="宋体" w:cs="仿宋_GB2312" w:hint="eastAsia"/>
          <w:sz w:val="24"/>
        </w:rPr>
        <w:t>1、短期利率水平预期策略</w:t>
      </w:r>
    </w:p>
    <w:p w14:paraId="26CD6247" w14:textId="77777777" w:rsidR="00BF0C91" w:rsidRDefault="00D65346">
      <w:pPr>
        <w:spacing w:line="360" w:lineRule="auto"/>
        <w:ind w:firstLineChars="200" w:firstLine="480"/>
        <w:rPr>
          <w:rFonts w:ascii="宋体" w:hAnsi="宋体" w:cs="仿宋_GB2312"/>
          <w:sz w:val="24"/>
        </w:rPr>
      </w:pPr>
      <w:r>
        <w:rPr>
          <w:rFonts w:ascii="宋体" w:hAnsi="宋体" w:cs="仿宋_GB2312" w:hint="eastAsia"/>
          <w:sz w:val="24"/>
        </w:rPr>
        <w:t>深入分析国家货币政策、短期资金市场利率波动、资本市场资金面的情况和流动性的变化，对短期利率走势形成合理预期，并据此调整基金货币资产的配置策略。</w:t>
      </w:r>
    </w:p>
    <w:p w14:paraId="303FFC96" w14:textId="77777777" w:rsidR="00BF0C91" w:rsidRDefault="00D65346">
      <w:pPr>
        <w:spacing w:line="360" w:lineRule="auto"/>
        <w:ind w:firstLineChars="200" w:firstLine="480"/>
        <w:rPr>
          <w:rFonts w:ascii="宋体" w:hAnsi="宋体"/>
          <w:sz w:val="24"/>
        </w:rPr>
      </w:pPr>
      <w:r>
        <w:rPr>
          <w:rFonts w:ascii="宋体" w:hAnsi="宋体" w:cs="仿宋_GB2312" w:hint="eastAsia"/>
          <w:sz w:val="24"/>
        </w:rPr>
        <w:t>2、收益率曲线分析策略</w:t>
      </w:r>
    </w:p>
    <w:p w14:paraId="21C9C236" w14:textId="77777777" w:rsidR="00BF0C91" w:rsidRDefault="00D65346">
      <w:pPr>
        <w:spacing w:line="360" w:lineRule="auto"/>
        <w:ind w:firstLineChars="200" w:firstLine="480"/>
        <w:rPr>
          <w:rFonts w:ascii="宋体" w:hAnsi="宋体"/>
          <w:sz w:val="24"/>
        </w:rPr>
      </w:pPr>
      <w:r>
        <w:rPr>
          <w:rFonts w:ascii="宋体" w:hAnsi="宋体" w:cs="仿宋_GB2312" w:hint="eastAsia"/>
          <w:sz w:val="24"/>
        </w:rPr>
        <w:t>根据收益率曲线的变化趋势，采取相应的投资管理策略。货币市场收益率曲线的形状反映当时短期利率水平之间的关系，反映市场对较短期限经济状况的判断及对未来短期经济走势的预期。</w:t>
      </w:r>
    </w:p>
    <w:p w14:paraId="542C628A" w14:textId="77777777" w:rsidR="00BF0C91" w:rsidRDefault="00D65346">
      <w:pPr>
        <w:spacing w:line="360" w:lineRule="auto"/>
        <w:ind w:firstLineChars="200" w:firstLine="480"/>
        <w:rPr>
          <w:rFonts w:ascii="宋体" w:hAnsi="宋体"/>
          <w:sz w:val="24"/>
        </w:rPr>
      </w:pPr>
      <w:r>
        <w:rPr>
          <w:rFonts w:ascii="宋体" w:hAnsi="宋体" w:cs="仿宋_GB2312" w:hint="eastAsia"/>
          <w:sz w:val="24"/>
        </w:rPr>
        <w:t>3、组合剩余期限策略、期限配置策略</w:t>
      </w:r>
    </w:p>
    <w:p w14:paraId="45CD2891" w14:textId="77777777" w:rsidR="00BF0C91" w:rsidRDefault="00D65346">
      <w:pPr>
        <w:spacing w:line="360" w:lineRule="auto"/>
        <w:ind w:firstLineChars="200" w:firstLine="480"/>
        <w:rPr>
          <w:rFonts w:ascii="宋体" w:hAnsi="宋体"/>
          <w:sz w:val="24"/>
        </w:rPr>
      </w:pPr>
      <w:r>
        <w:rPr>
          <w:rFonts w:ascii="宋体" w:hAnsi="宋体" w:cs="仿宋_GB2312" w:hint="eastAsia"/>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稳定收益，锁定风险，满足组合目标期限。</w:t>
      </w:r>
    </w:p>
    <w:p w14:paraId="6A9A13BF" w14:textId="77777777" w:rsidR="00BF0C91" w:rsidRDefault="00D65346">
      <w:pPr>
        <w:spacing w:line="360" w:lineRule="auto"/>
        <w:ind w:firstLineChars="200" w:firstLine="480"/>
        <w:rPr>
          <w:rFonts w:ascii="宋体" w:hAnsi="宋体"/>
          <w:sz w:val="24"/>
        </w:rPr>
      </w:pPr>
      <w:r>
        <w:rPr>
          <w:rFonts w:ascii="宋体" w:hAnsi="宋体" w:cs="仿宋_GB2312" w:hint="eastAsia"/>
          <w:sz w:val="24"/>
        </w:rPr>
        <w:t>4、类别品种配置策略</w:t>
      </w:r>
    </w:p>
    <w:p w14:paraId="33F474C2" w14:textId="77777777" w:rsidR="00BF0C91" w:rsidRDefault="00D65346">
      <w:pPr>
        <w:spacing w:line="360" w:lineRule="auto"/>
        <w:ind w:firstLineChars="200" w:firstLine="480"/>
        <w:rPr>
          <w:rFonts w:ascii="宋体" w:hAnsi="宋体"/>
          <w:sz w:val="24"/>
        </w:rPr>
      </w:pPr>
      <w:r>
        <w:rPr>
          <w:rFonts w:ascii="宋体" w:hAnsi="宋体" w:cs="仿宋_GB2312" w:hint="eastAsia"/>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14:paraId="442FFF4F" w14:textId="77777777" w:rsidR="00BF0C91" w:rsidRDefault="00D65346">
      <w:pPr>
        <w:spacing w:line="360" w:lineRule="auto"/>
        <w:ind w:firstLineChars="200" w:firstLine="480"/>
        <w:rPr>
          <w:rFonts w:ascii="宋体" w:hAnsi="宋体"/>
          <w:sz w:val="24"/>
        </w:rPr>
      </w:pPr>
      <w:r>
        <w:rPr>
          <w:rFonts w:ascii="宋体" w:hAnsi="宋体" w:cs="仿宋_GB2312" w:hint="eastAsia"/>
          <w:sz w:val="24"/>
        </w:rPr>
        <w:t>5、流动性管理策略</w:t>
      </w:r>
    </w:p>
    <w:p w14:paraId="00624275" w14:textId="77777777" w:rsidR="00BF0C91" w:rsidRDefault="00D65346">
      <w:pPr>
        <w:pStyle w:val="33"/>
        <w:ind w:firstLineChars="200" w:firstLine="480"/>
        <w:rPr>
          <w:rFonts w:ascii="宋体" w:eastAsia="宋体" w:hAnsi="宋体"/>
        </w:rPr>
      </w:pPr>
      <w:r>
        <w:rPr>
          <w:rFonts w:ascii="宋体" w:eastAsia="宋体" w:hAnsi="宋体" w:cs="仿宋_GB2312" w:hint="eastAsia"/>
          <w:shd w:val="clear" w:color="auto" w:fill="auto"/>
        </w:rPr>
        <w:t>在满足基金投资者申购、赎回的资金需求前提下，通过基金资产安排（包括现金库存、资产变现、剩余期限管理或以其他措施），在保持基金资产高流动性的前提下，确保基金的稳定收益。</w:t>
      </w:r>
    </w:p>
    <w:p w14:paraId="549C444A" w14:textId="77777777" w:rsidR="00BF0C91" w:rsidRDefault="00D65346">
      <w:pPr>
        <w:spacing w:line="360" w:lineRule="auto"/>
        <w:ind w:firstLineChars="200" w:firstLine="480"/>
        <w:rPr>
          <w:rFonts w:ascii="宋体" w:hAnsi="宋体"/>
          <w:sz w:val="24"/>
        </w:rPr>
      </w:pPr>
      <w:r>
        <w:rPr>
          <w:rFonts w:ascii="宋体" w:hAnsi="宋体" w:cs="仿宋_GB2312" w:hint="eastAsia"/>
          <w:sz w:val="24"/>
        </w:rPr>
        <w:t>6、无风险套利策略</w:t>
      </w:r>
    </w:p>
    <w:p w14:paraId="09F4B729" w14:textId="77777777" w:rsidR="00BF0C91" w:rsidRDefault="00D65346">
      <w:pPr>
        <w:spacing w:line="360" w:lineRule="auto"/>
        <w:ind w:firstLineChars="200" w:firstLine="480"/>
        <w:rPr>
          <w:rFonts w:ascii="宋体" w:hAnsi="宋体"/>
          <w:sz w:val="24"/>
        </w:rPr>
      </w:pPr>
      <w:r>
        <w:rPr>
          <w:rFonts w:ascii="宋体" w:hAnsi="宋体" w:cs="仿宋_GB2312" w:hint="eastAsia"/>
          <w:sz w:val="24"/>
        </w:rPr>
        <w:t>无风险套利策略包括：</w:t>
      </w:r>
    </w:p>
    <w:p w14:paraId="0C234D74" w14:textId="77777777" w:rsidR="00BF0C91" w:rsidRDefault="00D65346">
      <w:pPr>
        <w:pStyle w:val="33"/>
        <w:ind w:firstLineChars="200" w:firstLine="480"/>
        <w:rPr>
          <w:rFonts w:ascii="宋体" w:eastAsia="宋体" w:hAnsi="宋体" w:cs="仿宋_GB2312"/>
          <w:shd w:val="clear" w:color="auto" w:fill="auto"/>
        </w:rPr>
      </w:pPr>
      <w:r>
        <w:rPr>
          <w:rFonts w:ascii="宋体" w:eastAsia="宋体" w:hAnsi="宋体" w:cs="仿宋_GB2312" w:hint="eastAsia"/>
          <w:shd w:val="clear" w:color="auto" w:fill="auto"/>
        </w:rPr>
        <w:t>跨市场套利策略：根据各细分短期金融工具的流动性和收益特征，动态调整</w:t>
      </w:r>
      <w:r>
        <w:rPr>
          <w:rFonts w:ascii="宋体" w:eastAsia="宋体" w:hAnsi="宋体" w:cs="仿宋_GB2312" w:hint="eastAsia"/>
          <w:shd w:val="clear" w:color="auto" w:fill="auto"/>
        </w:rPr>
        <w:lastRenderedPageBreak/>
        <w:t>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14:paraId="415F1F67" w14:textId="77777777" w:rsidR="00BF0C91" w:rsidRDefault="00D65346">
      <w:pPr>
        <w:spacing w:line="360" w:lineRule="auto"/>
        <w:ind w:firstLineChars="200" w:firstLine="480"/>
        <w:rPr>
          <w:rFonts w:ascii="宋体" w:hAnsi="宋体" w:cs="仿宋_GB2312"/>
          <w:sz w:val="24"/>
        </w:rPr>
      </w:pPr>
      <w:r>
        <w:rPr>
          <w:rFonts w:ascii="宋体" w:hAnsi="宋体" w:cs="仿宋_GB2312" w:hint="eastAsia"/>
          <w:sz w:val="24"/>
        </w:rPr>
        <w:t>跨品种套利策略：根据各细分市场中不同品种的风险参数、流动性补偿和收益特征，动态调整不同期限结构品种的配置比例。</w:t>
      </w:r>
    </w:p>
    <w:p w14:paraId="79447819" w14:textId="77777777" w:rsidR="00BF0C91" w:rsidRDefault="00D65346">
      <w:pPr>
        <w:spacing w:line="360" w:lineRule="auto"/>
        <w:ind w:firstLineChars="200" w:firstLine="480"/>
        <w:rPr>
          <w:rFonts w:ascii="宋体" w:hAnsi="宋体"/>
          <w:sz w:val="24"/>
        </w:rPr>
      </w:pPr>
      <w:r>
        <w:rPr>
          <w:rFonts w:ascii="宋体" w:hAnsi="宋体" w:cs="仿宋_GB2312" w:hint="eastAsia"/>
          <w:sz w:val="24"/>
        </w:rPr>
        <w:t>7、滚动配置策略</w:t>
      </w:r>
    </w:p>
    <w:p w14:paraId="52C05470" w14:textId="77777777" w:rsidR="00BF0C91" w:rsidRDefault="00D65346">
      <w:pPr>
        <w:spacing w:line="360" w:lineRule="auto"/>
        <w:ind w:firstLineChars="200" w:firstLine="480"/>
        <w:rPr>
          <w:rFonts w:ascii="宋体" w:hAnsi="宋体"/>
          <w:sz w:val="24"/>
        </w:rPr>
      </w:pPr>
      <w:r>
        <w:rPr>
          <w:rFonts w:ascii="宋体" w:hAnsi="宋体" w:cs="仿宋_GB2312" w:hint="eastAsia"/>
          <w:sz w:val="24"/>
        </w:rPr>
        <w:t>根据具体投资品种的市场特性，采用持续滚动投资的方法，以提高基金资产的整体持续的变现能力。如，对</w:t>
      </w:r>
      <w:r>
        <w:rPr>
          <w:rFonts w:ascii="宋体" w:hAnsi="宋体"/>
          <w:sz w:val="24"/>
        </w:rPr>
        <w:t>N</w:t>
      </w:r>
      <w:r>
        <w:rPr>
          <w:rFonts w:ascii="宋体" w:hAnsi="宋体" w:cs="仿宋_GB2312" w:hint="eastAsia"/>
          <w:sz w:val="24"/>
        </w:rPr>
        <w:t>天期回购协议进行每天等量配置，提高基金资产的流动性；在公开市场操作中，跟随人民银行每周的滚动发行，持续同品种投资，达到剩余期限的直线分布。</w:t>
      </w:r>
    </w:p>
    <w:p w14:paraId="3774222E" w14:textId="77777777" w:rsidR="00BF0C91" w:rsidRDefault="00D65346">
      <w:pPr>
        <w:spacing w:beforeLines="50" w:before="156" w:afterLines="50" w:after="156" w:line="360" w:lineRule="auto"/>
        <w:ind w:firstLineChars="200" w:firstLine="482"/>
        <w:outlineLvl w:val="1"/>
        <w:rPr>
          <w:rFonts w:ascii="宋体" w:hAnsi="宋体"/>
          <w:b/>
          <w:bCs/>
          <w:sz w:val="24"/>
          <w:szCs w:val="21"/>
        </w:rPr>
      </w:pPr>
      <w:bookmarkStart w:id="117" w:name="_Toc109059043"/>
      <w:r>
        <w:rPr>
          <w:rFonts w:ascii="宋体" w:hAnsi="宋体" w:hint="eastAsia"/>
          <w:b/>
          <w:bCs/>
          <w:sz w:val="24"/>
          <w:szCs w:val="21"/>
        </w:rPr>
        <w:t>七、</w:t>
      </w:r>
      <w:r>
        <w:rPr>
          <w:rFonts w:ascii="宋体" w:hAnsi="宋体" w:hint="eastAsia"/>
          <w:b/>
          <w:bCs/>
          <w:sz w:val="24"/>
          <w:szCs w:val="21"/>
        </w:rPr>
        <w:tab/>
        <w:t>投资程序</w:t>
      </w:r>
      <w:bookmarkEnd w:id="117"/>
    </w:p>
    <w:p w14:paraId="7D502236" w14:textId="77777777" w:rsidR="00BF0C91" w:rsidRDefault="00D65346">
      <w:pPr>
        <w:autoSpaceDE w:val="0"/>
        <w:autoSpaceDN w:val="0"/>
        <w:adjustRightInd w:val="0"/>
        <w:spacing w:line="360" w:lineRule="auto"/>
        <w:ind w:firstLineChars="200" w:firstLine="480"/>
        <w:rPr>
          <w:rFonts w:ascii="宋体" w:hAnsi="宋体"/>
          <w:sz w:val="24"/>
          <w:szCs w:val="20"/>
        </w:rPr>
      </w:pPr>
      <w:r>
        <w:rPr>
          <w:rFonts w:ascii="宋体" w:hAnsi="宋体" w:hint="eastAsia"/>
          <w:sz w:val="24"/>
          <w:szCs w:val="20"/>
        </w:rPr>
        <w:t>本基金采用投资决策委员会下的基金经理负责制。投资决策委员会定期就投资管理业务的重大问题进行讨论。基金经理、分析师、交易员在投资管理过程中既密切合作，又责任明确，在各自职责内按照业务程序独立工作并合理地相互制衡。具体的投资管理程序如下：</w:t>
      </w:r>
      <w:r>
        <w:rPr>
          <w:rFonts w:ascii="宋体" w:hAnsi="宋体"/>
          <w:sz w:val="24"/>
          <w:szCs w:val="20"/>
        </w:rPr>
        <w:t xml:space="preserve"> </w:t>
      </w:r>
    </w:p>
    <w:p w14:paraId="063D7A37" w14:textId="77777777" w:rsidR="00BF0C91" w:rsidRDefault="00D65346">
      <w:pPr>
        <w:pStyle w:val="a4"/>
        <w:spacing w:line="360" w:lineRule="auto"/>
        <w:ind w:firstLine="480"/>
        <w:rPr>
          <w:rFonts w:ascii="宋体" w:hAnsi="宋体"/>
          <w:sz w:val="24"/>
        </w:rPr>
      </w:pPr>
      <w:r>
        <w:rPr>
          <w:rFonts w:ascii="宋体" w:hAnsi="宋体" w:hint="eastAsia"/>
          <w:sz w:val="24"/>
        </w:rPr>
        <w:t>1、决策依据</w:t>
      </w:r>
    </w:p>
    <w:p w14:paraId="7F86488C" w14:textId="77777777" w:rsidR="00BF0C91" w:rsidRDefault="00D65346">
      <w:pPr>
        <w:pStyle w:val="a4"/>
        <w:numPr>
          <w:ilvl w:val="0"/>
          <w:numId w:val="9"/>
        </w:numPr>
        <w:spacing w:line="360" w:lineRule="auto"/>
        <w:ind w:firstLineChars="0"/>
        <w:rPr>
          <w:rFonts w:ascii="宋体" w:hAnsi="宋体"/>
          <w:sz w:val="24"/>
        </w:rPr>
      </w:pPr>
      <w:r>
        <w:rPr>
          <w:rFonts w:ascii="宋体" w:hAnsi="宋体" w:hint="eastAsia"/>
          <w:sz w:val="24"/>
        </w:rPr>
        <w:t>国家有关法律法规和本基金合同的有关规定。依法决策是本基金进行投资的前提。</w:t>
      </w:r>
    </w:p>
    <w:p w14:paraId="5D9A2861" w14:textId="77777777" w:rsidR="00BF0C91" w:rsidRDefault="00D65346">
      <w:pPr>
        <w:pStyle w:val="a4"/>
        <w:numPr>
          <w:ilvl w:val="0"/>
          <w:numId w:val="9"/>
        </w:numPr>
        <w:spacing w:line="360" w:lineRule="auto"/>
        <w:ind w:firstLineChars="0"/>
        <w:rPr>
          <w:rFonts w:ascii="宋体" w:hAnsi="宋体"/>
          <w:sz w:val="24"/>
        </w:rPr>
      </w:pPr>
      <w:r>
        <w:rPr>
          <w:rFonts w:ascii="宋体" w:hAnsi="宋体" w:hint="eastAsia"/>
          <w:sz w:val="24"/>
        </w:rPr>
        <w:t>宏观经济发展态势、微观经济运行环境和证券、货币市场走势。这是本基金投资决策的基础。</w:t>
      </w:r>
    </w:p>
    <w:p w14:paraId="7E0C0573" w14:textId="77777777" w:rsidR="00BF0C91" w:rsidRDefault="00D65346">
      <w:pPr>
        <w:pStyle w:val="a4"/>
        <w:numPr>
          <w:ilvl w:val="0"/>
          <w:numId w:val="9"/>
        </w:numPr>
        <w:spacing w:line="360" w:lineRule="auto"/>
        <w:ind w:firstLineChars="0"/>
        <w:rPr>
          <w:rFonts w:ascii="宋体" w:hAnsi="宋体"/>
          <w:sz w:val="24"/>
        </w:rPr>
      </w:pPr>
      <w:r>
        <w:rPr>
          <w:rFonts w:ascii="宋体" w:hAnsi="宋体" w:hint="eastAsia"/>
          <w:sz w:val="24"/>
        </w:rPr>
        <w:t>投资品种的风险—收益特征。在充分权衡投资对象的收益和风险的前提下作出投资决策，是本基金维护投资者利益的重要保障。</w:t>
      </w:r>
    </w:p>
    <w:p w14:paraId="2E3A026B" w14:textId="77777777" w:rsidR="00BF0C91" w:rsidRDefault="00D65346">
      <w:pPr>
        <w:pStyle w:val="a4"/>
        <w:spacing w:line="360" w:lineRule="auto"/>
        <w:ind w:left="480" w:firstLineChars="0" w:firstLine="0"/>
        <w:rPr>
          <w:rFonts w:ascii="宋体" w:hAnsi="宋体"/>
          <w:sz w:val="24"/>
        </w:rPr>
      </w:pPr>
      <w:r>
        <w:rPr>
          <w:rFonts w:ascii="宋体" w:hAnsi="宋体" w:hint="eastAsia"/>
          <w:sz w:val="24"/>
        </w:rPr>
        <w:t>2、决策程序</w:t>
      </w:r>
    </w:p>
    <w:p w14:paraId="027B7D3F" w14:textId="77777777" w:rsidR="00BF0C91" w:rsidRDefault="00D65346">
      <w:pPr>
        <w:numPr>
          <w:ilvl w:val="0"/>
          <w:numId w:val="10"/>
        </w:numPr>
        <w:autoSpaceDE w:val="0"/>
        <w:autoSpaceDN w:val="0"/>
        <w:adjustRightInd w:val="0"/>
        <w:spacing w:line="360" w:lineRule="auto"/>
        <w:rPr>
          <w:rFonts w:ascii="宋体" w:hAnsi="宋体"/>
          <w:sz w:val="24"/>
          <w:szCs w:val="20"/>
        </w:rPr>
      </w:pPr>
      <w:r>
        <w:rPr>
          <w:rFonts w:ascii="宋体" w:hAnsi="宋体" w:hint="eastAsia"/>
          <w:sz w:val="24"/>
          <w:szCs w:val="20"/>
        </w:rPr>
        <w:t>投资部策略分析师、固定收益产品分析师、定量分析师各自独立完成相应的研究报告，为投资策略提供依据；</w:t>
      </w:r>
      <w:r>
        <w:rPr>
          <w:rFonts w:ascii="宋体" w:hAnsi="宋体"/>
          <w:sz w:val="24"/>
          <w:szCs w:val="20"/>
        </w:rPr>
        <w:t xml:space="preserve"> </w:t>
      </w:r>
    </w:p>
    <w:p w14:paraId="56807A1B" w14:textId="77777777" w:rsidR="00BF0C91" w:rsidRDefault="00D65346">
      <w:pPr>
        <w:numPr>
          <w:ilvl w:val="0"/>
          <w:numId w:val="10"/>
        </w:numPr>
        <w:autoSpaceDE w:val="0"/>
        <w:autoSpaceDN w:val="0"/>
        <w:adjustRightInd w:val="0"/>
        <w:spacing w:line="360" w:lineRule="auto"/>
        <w:rPr>
          <w:rFonts w:ascii="宋体" w:hAnsi="宋体"/>
          <w:sz w:val="24"/>
          <w:szCs w:val="20"/>
        </w:rPr>
      </w:pPr>
      <w:r>
        <w:rPr>
          <w:rFonts w:ascii="宋体" w:hAnsi="宋体" w:hint="eastAsia"/>
          <w:sz w:val="24"/>
          <w:szCs w:val="20"/>
        </w:rPr>
        <w:t>投资决策委员会每月召开投资策略会议，决定基金的资产配置比例和投资重点等；</w:t>
      </w:r>
      <w:r>
        <w:rPr>
          <w:rFonts w:ascii="宋体" w:hAnsi="宋体"/>
          <w:sz w:val="24"/>
          <w:szCs w:val="20"/>
        </w:rPr>
        <w:t xml:space="preserve"> </w:t>
      </w:r>
    </w:p>
    <w:p w14:paraId="19D93BB3" w14:textId="77777777" w:rsidR="00BF0C91" w:rsidRDefault="00D65346">
      <w:pPr>
        <w:numPr>
          <w:ilvl w:val="0"/>
          <w:numId w:val="10"/>
        </w:numPr>
        <w:autoSpaceDE w:val="0"/>
        <w:autoSpaceDN w:val="0"/>
        <w:adjustRightInd w:val="0"/>
        <w:spacing w:line="360" w:lineRule="auto"/>
        <w:rPr>
          <w:rFonts w:ascii="宋体" w:hAnsi="宋体"/>
          <w:sz w:val="24"/>
          <w:szCs w:val="20"/>
        </w:rPr>
      </w:pPr>
      <w:r>
        <w:rPr>
          <w:rFonts w:ascii="宋体" w:hAnsi="宋体" w:hint="eastAsia"/>
          <w:sz w:val="24"/>
          <w:szCs w:val="20"/>
        </w:rPr>
        <w:t>投资总监定期召集投资例会，根据投资决策委员会的决定，结合市场和公司基本面的变化，决定具体的投资策略；</w:t>
      </w:r>
      <w:r>
        <w:rPr>
          <w:rFonts w:ascii="宋体" w:hAnsi="宋体"/>
          <w:sz w:val="24"/>
          <w:szCs w:val="20"/>
        </w:rPr>
        <w:t xml:space="preserve"> </w:t>
      </w:r>
    </w:p>
    <w:p w14:paraId="3DD3FCFF" w14:textId="77777777" w:rsidR="00BF0C91" w:rsidRDefault="00D65346">
      <w:pPr>
        <w:numPr>
          <w:ilvl w:val="0"/>
          <w:numId w:val="10"/>
        </w:numPr>
        <w:autoSpaceDE w:val="0"/>
        <w:autoSpaceDN w:val="0"/>
        <w:adjustRightInd w:val="0"/>
        <w:spacing w:line="360" w:lineRule="auto"/>
        <w:rPr>
          <w:rFonts w:ascii="宋体" w:hAnsi="宋体"/>
          <w:sz w:val="24"/>
          <w:szCs w:val="20"/>
        </w:rPr>
      </w:pPr>
      <w:r>
        <w:rPr>
          <w:rFonts w:ascii="宋体" w:hAnsi="宋体" w:hint="eastAsia"/>
          <w:sz w:val="24"/>
          <w:szCs w:val="20"/>
        </w:rPr>
        <w:lastRenderedPageBreak/>
        <w:t>基金经理依据策略分析师的宏观经济分析和策略建议、固定收益产品分析师的债券市场研究和券种选择、定量分析师的定量投资策略研究，结合本基金产品定位及风险控制的要求，在权限范围内制定具体的投资组合方案；</w:t>
      </w:r>
      <w:r>
        <w:rPr>
          <w:rFonts w:ascii="宋体" w:hAnsi="宋体"/>
          <w:sz w:val="24"/>
          <w:szCs w:val="20"/>
        </w:rPr>
        <w:t xml:space="preserve"> </w:t>
      </w:r>
    </w:p>
    <w:p w14:paraId="089D9A9B" w14:textId="77777777" w:rsidR="00BF0C91" w:rsidRDefault="00D65346">
      <w:pPr>
        <w:numPr>
          <w:ilvl w:val="0"/>
          <w:numId w:val="10"/>
        </w:numPr>
        <w:autoSpaceDE w:val="0"/>
        <w:autoSpaceDN w:val="0"/>
        <w:adjustRightInd w:val="0"/>
        <w:spacing w:line="360" w:lineRule="auto"/>
        <w:rPr>
          <w:rFonts w:ascii="宋体" w:hAnsi="宋体"/>
          <w:sz w:val="24"/>
          <w:szCs w:val="20"/>
        </w:rPr>
      </w:pPr>
      <w:r>
        <w:rPr>
          <w:rFonts w:ascii="宋体" w:hAnsi="宋体" w:hint="eastAsia"/>
          <w:sz w:val="24"/>
          <w:szCs w:val="20"/>
        </w:rPr>
        <w:t>基金经理根据基金投资组合方案，向中央交易室下达交易指令；</w:t>
      </w:r>
      <w:r>
        <w:rPr>
          <w:rFonts w:ascii="宋体" w:hAnsi="宋体"/>
          <w:sz w:val="24"/>
          <w:szCs w:val="20"/>
        </w:rPr>
        <w:t xml:space="preserve"> </w:t>
      </w:r>
    </w:p>
    <w:p w14:paraId="2140E93A" w14:textId="77777777" w:rsidR="00BF0C91" w:rsidRDefault="00D65346">
      <w:pPr>
        <w:numPr>
          <w:ilvl w:val="0"/>
          <w:numId w:val="10"/>
        </w:numPr>
        <w:autoSpaceDE w:val="0"/>
        <w:autoSpaceDN w:val="0"/>
        <w:adjustRightInd w:val="0"/>
        <w:spacing w:line="360" w:lineRule="auto"/>
        <w:rPr>
          <w:rFonts w:ascii="宋体" w:hAnsi="宋体"/>
          <w:sz w:val="24"/>
          <w:szCs w:val="20"/>
        </w:rPr>
      </w:pPr>
      <w:r>
        <w:rPr>
          <w:rFonts w:ascii="宋体" w:hAnsi="宋体" w:hint="eastAsia"/>
          <w:sz w:val="24"/>
          <w:szCs w:val="20"/>
        </w:rPr>
        <w:t>中央交易室执行基金经理的交易指令，对交易情况及时反馈；</w:t>
      </w:r>
      <w:r>
        <w:rPr>
          <w:rFonts w:ascii="宋体" w:hAnsi="宋体"/>
          <w:sz w:val="24"/>
          <w:szCs w:val="20"/>
        </w:rPr>
        <w:t xml:space="preserve"> </w:t>
      </w:r>
    </w:p>
    <w:p w14:paraId="52402365" w14:textId="77777777" w:rsidR="00BF0C91" w:rsidRDefault="00D65346">
      <w:pPr>
        <w:numPr>
          <w:ilvl w:val="0"/>
          <w:numId w:val="10"/>
        </w:numPr>
        <w:autoSpaceDE w:val="0"/>
        <w:autoSpaceDN w:val="0"/>
        <w:adjustRightInd w:val="0"/>
        <w:spacing w:line="360" w:lineRule="auto"/>
        <w:rPr>
          <w:rFonts w:ascii="宋体" w:hAnsi="宋体" w:cs="楷体_GB2312"/>
          <w:color w:val="000000"/>
          <w:kern w:val="0"/>
          <w:sz w:val="24"/>
        </w:rPr>
      </w:pPr>
      <w:r>
        <w:rPr>
          <w:rFonts w:ascii="宋体" w:hAnsi="宋体" w:hint="eastAsia"/>
          <w:sz w:val="24"/>
          <w:szCs w:val="20"/>
        </w:rPr>
        <w:t>定量分析师负责完成有关投资风险监控报告及内部基金业绩评估报告。</w:t>
      </w:r>
    </w:p>
    <w:p w14:paraId="019AC4EB" w14:textId="77777777" w:rsidR="00BF0C91" w:rsidRDefault="00D65346">
      <w:pPr>
        <w:autoSpaceDE w:val="0"/>
        <w:autoSpaceDN w:val="0"/>
        <w:adjustRightInd w:val="0"/>
        <w:spacing w:line="360" w:lineRule="auto"/>
        <w:ind w:firstLineChars="200" w:firstLine="480"/>
        <w:rPr>
          <w:rFonts w:eastAsia="楷体_GB2312"/>
          <w:sz w:val="24"/>
          <w:szCs w:val="20"/>
        </w:rPr>
      </w:pPr>
      <w:r>
        <w:rPr>
          <w:rFonts w:ascii="宋体" w:hAnsi="宋体" w:cs="楷体_GB2312" w:hint="eastAsia"/>
          <w:color w:val="000000"/>
          <w:kern w:val="0"/>
          <w:sz w:val="24"/>
        </w:rPr>
        <w:t>投资决策委员会有权根据市场变化和实际情况的需要，对上述投资管理程序作出调整。</w:t>
      </w:r>
      <w:r>
        <w:rPr>
          <w:rFonts w:ascii="宋体" w:hAnsi="宋体" w:cs="楷体_GB2312"/>
          <w:color w:val="000000"/>
          <w:kern w:val="0"/>
          <w:sz w:val="24"/>
        </w:rPr>
        <w:t xml:space="preserve"> </w:t>
      </w:r>
    </w:p>
    <w:p w14:paraId="29811C14" w14:textId="77777777" w:rsidR="00BF0C91" w:rsidRDefault="00D65346">
      <w:pPr>
        <w:spacing w:beforeLines="50" w:before="156" w:afterLines="50" w:after="156" w:line="360" w:lineRule="auto"/>
        <w:ind w:firstLineChars="200" w:firstLine="482"/>
        <w:outlineLvl w:val="1"/>
        <w:rPr>
          <w:rFonts w:ascii="宋体" w:hAnsi="宋体"/>
          <w:b/>
          <w:bCs/>
          <w:sz w:val="24"/>
          <w:szCs w:val="21"/>
        </w:rPr>
      </w:pPr>
      <w:bookmarkStart w:id="118" w:name="_Hlt88281392"/>
      <w:bookmarkEnd w:id="118"/>
      <w:r>
        <w:rPr>
          <w:rFonts w:ascii="宋体" w:hAnsi="宋体" w:hint="eastAsia"/>
          <w:b/>
          <w:bCs/>
          <w:sz w:val="24"/>
          <w:szCs w:val="21"/>
        </w:rPr>
        <w:t>八、</w:t>
      </w:r>
      <w:r>
        <w:rPr>
          <w:rFonts w:ascii="宋体" w:hAnsi="宋体" w:hint="eastAsia"/>
          <w:b/>
          <w:bCs/>
          <w:sz w:val="24"/>
          <w:szCs w:val="21"/>
        </w:rPr>
        <w:tab/>
        <w:t>投资组合限制</w:t>
      </w:r>
    </w:p>
    <w:p w14:paraId="591EE14A" w14:textId="77777777" w:rsidR="00BF0C91" w:rsidRDefault="00D65346">
      <w:pPr>
        <w:pStyle w:val="a4"/>
        <w:spacing w:line="360" w:lineRule="auto"/>
        <w:ind w:firstLine="480"/>
        <w:rPr>
          <w:rFonts w:ascii="宋体" w:hAnsi="宋体"/>
          <w:sz w:val="24"/>
        </w:rPr>
      </w:pPr>
      <w:r>
        <w:rPr>
          <w:rFonts w:ascii="宋体" w:hAnsi="宋体" w:hint="eastAsia"/>
          <w:sz w:val="24"/>
        </w:rPr>
        <w:t>1、本基金不得投资于以下金融工具：</w:t>
      </w:r>
    </w:p>
    <w:p w14:paraId="10B5B7CE" w14:textId="77777777" w:rsidR="00BF0C91" w:rsidRDefault="00D65346">
      <w:pPr>
        <w:tabs>
          <w:tab w:val="left" w:pos="900"/>
        </w:tabs>
        <w:adjustRightInd w:val="0"/>
        <w:snapToGrid w:val="0"/>
        <w:spacing w:line="360" w:lineRule="auto"/>
        <w:ind w:firstLineChars="200" w:firstLine="480"/>
        <w:rPr>
          <w:rFonts w:ascii="宋体" w:hAnsi="宋体"/>
          <w:bCs/>
          <w:color w:val="000000"/>
          <w:sz w:val="24"/>
        </w:rPr>
      </w:pPr>
      <w:r>
        <w:rPr>
          <w:rFonts w:ascii="宋体" w:hAnsi="宋体" w:hint="eastAsia"/>
          <w:bCs/>
          <w:color w:val="000000"/>
          <w:sz w:val="24"/>
        </w:rPr>
        <w:t>（1） 股票；</w:t>
      </w:r>
    </w:p>
    <w:p w14:paraId="26590273" w14:textId="77777777" w:rsidR="00BF0C91" w:rsidRDefault="00D65346">
      <w:pPr>
        <w:tabs>
          <w:tab w:val="left" w:pos="900"/>
        </w:tabs>
        <w:adjustRightInd w:val="0"/>
        <w:snapToGrid w:val="0"/>
        <w:spacing w:line="360" w:lineRule="auto"/>
        <w:ind w:firstLineChars="200" w:firstLine="480"/>
        <w:rPr>
          <w:rFonts w:ascii="宋体" w:hAnsi="宋体"/>
          <w:bCs/>
          <w:color w:val="000000"/>
          <w:sz w:val="24"/>
        </w:rPr>
      </w:pPr>
      <w:r>
        <w:rPr>
          <w:rFonts w:ascii="宋体" w:hAnsi="宋体" w:hint="eastAsia"/>
          <w:bCs/>
          <w:color w:val="000000"/>
          <w:sz w:val="24"/>
        </w:rPr>
        <w:t>（2） 可转换债券；</w:t>
      </w:r>
    </w:p>
    <w:p w14:paraId="3FBFBA7D" w14:textId="77777777" w:rsidR="00BF0C91" w:rsidRDefault="00D65346">
      <w:pPr>
        <w:tabs>
          <w:tab w:val="left" w:pos="900"/>
        </w:tabs>
        <w:adjustRightInd w:val="0"/>
        <w:snapToGrid w:val="0"/>
        <w:spacing w:line="360" w:lineRule="auto"/>
        <w:ind w:firstLineChars="200" w:firstLine="480"/>
        <w:rPr>
          <w:rFonts w:ascii="宋体" w:hAnsi="宋体"/>
          <w:bCs/>
          <w:color w:val="000000"/>
          <w:sz w:val="24"/>
        </w:rPr>
      </w:pPr>
      <w:r>
        <w:rPr>
          <w:rFonts w:ascii="宋体" w:hAnsi="宋体" w:hint="eastAsia"/>
          <w:bCs/>
          <w:color w:val="000000"/>
          <w:sz w:val="24"/>
        </w:rPr>
        <w:t>（3） 剩余期限超过397天的债券；</w:t>
      </w:r>
    </w:p>
    <w:p w14:paraId="3962168A" w14:textId="77777777" w:rsidR="00BF0C91" w:rsidRDefault="00D65346">
      <w:pPr>
        <w:tabs>
          <w:tab w:val="left" w:pos="900"/>
        </w:tabs>
        <w:adjustRightInd w:val="0"/>
        <w:snapToGrid w:val="0"/>
        <w:spacing w:line="360" w:lineRule="auto"/>
        <w:ind w:firstLineChars="200" w:firstLine="480"/>
        <w:rPr>
          <w:rFonts w:ascii="宋体" w:hAnsi="宋体"/>
          <w:bCs/>
          <w:color w:val="000000"/>
          <w:sz w:val="24"/>
        </w:rPr>
      </w:pPr>
      <w:r>
        <w:rPr>
          <w:rFonts w:ascii="宋体" w:hAnsi="宋体" w:hint="eastAsia"/>
          <w:bCs/>
          <w:color w:val="000000"/>
          <w:sz w:val="24"/>
        </w:rPr>
        <w:t>（4） 信用等级在</w:t>
      </w:r>
      <w:r>
        <w:rPr>
          <w:rFonts w:ascii="宋体" w:hAnsi="宋体"/>
          <w:bCs/>
          <w:color w:val="000000"/>
          <w:sz w:val="24"/>
        </w:rPr>
        <w:t>AAA</w:t>
      </w:r>
      <w:r>
        <w:rPr>
          <w:rFonts w:ascii="宋体" w:hAnsi="宋体" w:hint="eastAsia"/>
          <w:bCs/>
          <w:color w:val="000000"/>
          <w:sz w:val="24"/>
        </w:rPr>
        <w:t>级以下的企业债券；</w:t>
      </w:r>
    </w:p>
    <w:p w14:paraId="030790C4" w14:textId="77777777" w:rsidR="00BF0C91" w:rsidRDefault="00D65346">
      <w:pPr>
        <w:tabs>
          <w:tab w:val="left" w:pos="900"/>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 xml:space="preserve">（5） </w:t>
      </w:r>
      <w:r>
        <w:rPr>
          <w:rFonts w:ascii="宋体" w:hAnsi="宋体"/>
          <w:color w:val="000000"/>
          <w:sz w:val="24"/>
        </w:rPr>
        <w:t>投资于以定期存款利率为基准利率的浮动利率债券</w:t>
      </w:r>
      <w:r>
        <w:rPr>
          <w:rFonts w:ascii="宋体" w:hAnsi="宋体" w:hint="eastAsia"/>
          <w:color w:val="000000"/>
          <w:sz w:val="24"/>
        </w:rPr>
        <w:t>，但市场条件发生变化后另有规定的，从其规定；</w:t>
      </w:r>
    </w:p>
    <w:p w14:paraId="54496081" w14:textId="77777777" w:rsidR="00BF0C91" w:rsidRDefault="00D65346">
      <w:pPr>
        <w:tabs>
          <w:tab w:val="left" w:pos="900"/>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（6） 在有关法律法规允许交易所债券可以采用摊余成本法前，本基金暂不投资于交易所债券；</w:t>
      </w:r>
    </w:p>
    <w:p w14:paraId="1E0822A3" w14:textId="77777777" w:rsidR="00BF0C91" w:rsidRDefault="00D65346">
      <w:pPr>
        <w:tabs>
          <w:tab w:val="left" w:pos="900"/>
        </w:tabs>
        <w:adjustRightInd w:val="0"/>
        <w:snapToGrid w:val="0"/>
        <w:spacing w:line="360" w:lineRule="auto"/>
        <w:ind w:firstLineChars="200" w:firstLine="480"/>
        <w:rPr>
          <w:rFonts w:ascii="宋体" w:hAnsi="宋体"/>
          <w:bCs/>
          <w:color w:val="000000"/>
          <w:sz w:val="24"/>
        </w:rPr>
      </w:pPr>
      <w:r>
        <w:rPr>
          <w:rFonts w:ascii="宋体" w:hAnsi="宋体" w:hint="eastAsia"/>
          <w:bCs/>
          <w:color w:val="000000"/>
          <w:sz w:val="24"/>
        </w:rPr>
        <w:t>（7） 中国证监会、中国人民银行禁止投资的其他金融工具。</w:t>
      </w:r>
    </w:p>
    <w:p w14:paraId="392595AA" w14:textId="77777777" w:rsidR="00BF0C91" w:rsidRDefault="00D65346">
      <w:pPr>
        <w:tabs>
          <w:tab w:val="left" w:pos="900"/>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本基金拟投资于主体信用评级低于AA+的商业银行的银行存款与同业存单的，应当经基金管理人董事会审议批准，相关交易应当事先征得基金托管人的同意，并作为重大事项履行信息披露程序。</w:t>
      </w:r>
    </w:p>
    <w:p w14:paraId="71EB7B6A" w14:textId="77777777" w:rsidR="00BF0C91" w:rsidRDefault="00D65346">
      <w:pPr>
        <w:spacing w:line="360" w:lineRule="auto"/>
        <w:ind w:firstLineChars="200" w:firstLine="480"/>
        <w:rPr>
          <w:sz w:val="24"/>
        </w:rPr>
      </w:pPr>
      <w:r>
        <w:rPr>
          <w:rFonts w:hint="eastAsia"/>
          <w:sz w:val="24"/>
        </w:rPr>
        <w:t>2</w:t>
      </w:r>
      <w:r>
        <w:rPr>
          <w:rFonts w:hint="eastAsia"/>
          <w:sz w:val="24"/>
        </w:rPr>
        <w:t>、本基金投资组合遵循如下投资限制：</w:t>
      </w:r>
    </w:p>
    <w:p w14:paraId="71EA777C" w14:textId="77777777" w:rsidR="00BF0C91" w:rsidRDefault="00D65346">
      <w:pPr>
        <w:adjustRightInd w:val="0"/>
        <w:snapToGrid w:val="0"/>
        <w:spacing w:line="360" w:lineRule="auto"/>
        <w:ind w:firstLineChars="200" w:firstLine="480"/>
        <w:rPr>
          <w:rFonts w:ascii="宋体" w:hAnsi="宋体"/>
          <w:color w:val="000000"/>
          <w:sz w:val="24"/>
        </w:rPr>
      </w:pPr>
      <w:r>
        <w:rPr>
          <w:rFonts w:ascii="宋体" w:hAnsi="宋体" w:hint="eastAsia"/>
          <w:bCs/>
          <w:color w:val="000000"/>
          <w:sz w:val="24"/>
        </w:rPr>
        <w:t xml:space="preserve">（1） </w:t>
      </w:r>
      <w:r>
        <w:rPr>
          <w:rFonts w:ascii="宋体" w:hAnsi="宋体" w:hint="eastAsia"/>
          <w:color w:val="000000"/>
          <w:sz w:val="24"/>
        </w:rPr>
        <w:t>本基金投资组合的平均剩余期限，</w:t>
      </w:r>
      <w:r>
        <w:rPr>
          <w:rFonts w:ascii="宋体" w:hAnsi="宋体"/>
          <w:color w:val="000000"/>
          <w:sz w:val="24"/>
        </w:rPr>
        <w:t>在每个交易日均</w:t>
      </w:r>
      <w:r>
        <w:rPr>
          <w:rFonts w:ascii="宋体" w:hAnsi="宋体" w:hint="eastAsia"/>
          <w:color w:val="000000"/>
          <w:sz w:val="24"/>
        </w:rPr>
        <w:t>不超过180天；</w:t>
      </w:r>
    </w:p>
    <w:p w14:paraId="4AF6B221" w14:textId="77777777" w:rsidR="00BF0C91" w:rsidRDefault="00D65346">
      <w:pPr>
        <w:tabs>
          <w:tab w:val="left" w:pos="900"/>
        </w:tabs>
        <w:adjustRightInd w:val="0"/>
        <w:snapToGrid w:val="0"/>
        <w:spacing w:line="360" w:lineRule="auto"/>
        <w:ind w:firstLineChars="200" w:firstLine="480"/>
        <w:rPr>
          <w:rFonts w:ascii="宋体" w:hAnsi="宋体"/>
          <w:color w:val="000000"/>
          <w:sz w:val="24"/>
        </w:rPr>
      </w:pPr>
      <w:r>
        <w:rPr>
          <w:rFonts w:ascii="宋体" w:hAnsi="宋体" w:hint="eastAsia"/>
          <w:bCs/>
          <w:color w:val="000000"/>
          <w:sz w:val="24"/>
        </w:rPr>
        <w:t>（2） 本</w:t>
      </w:r>
      <w:r>
        <w:rPr>
          <w:rFonts w:ascii="宋体" w:hAnsi="宋体"/>
          <w:bCs/>
          <w:color w:val="000000"/>
          <w:sz w:val="24"/>
        </w:rPr>
        <w:t>基金不得与基金管理人的股东进行交易,不得通过交易上的安排人为降低投资组合的平均剩余期限的真实天数</w:t>
      </w:r>
      <w:r>
        <w:rPr>
          <w:rFonts w:ascii="宋体" w:hAnsi="宋体" w:hint="eastAsia"/>
          <w:bCs/>
          <w:color w:val="000000"/>
          <w:sz w:val="24"/>
        </w:rPr>
        <w:t>；</w:t>
      </w:r>
    </w:p>
    <w:p w14:paraId="751C6CFC" w14:textId="77777777" w:rsidR="00BF0C91" w:rsidRDefault="00D65346">
      <w:pPr>
        <w:tabs>
          <w:tab w:val="left" w:pos="900"/>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 除发生巨额赎回的情形外，本基金的投资组合中，债券正回购的资金余额在每个交易日均不得超过基金资产净值的20</w:t>
      </w:r>
      <w:r>
        <w:rPr>
          <w:rFonts w:ascii="宋体" w:hAnsi="宋体"/>
          <w:color w:val="000000"/>
          <w:sz w:val="24"/>
        </w:rPr>
        <w:t>%</w:t>
      </w:r>
      <w:r>
        <w:rPr>
          <w:rFonts w:ascii="宋体" w:hAnsi="宋体" w:hint="eastAsia"/>
          <w:color w:val="000000"/>
          <w:sz w:val="24"/>
        </w:rPr>
        <w:t>；</w:t>
      </w:r>
      <w:r>
        <w:rPr>
          <w:rFonts w:ascii="宋体" w:hAnsi="宋体"/>
          <w:color w:val="000000"/>
          <w:sz w:val="24"/>
        </w:rPr>
        <w:t>因发生巨额赎回致使</w:t>
      </w:r>
      <w:r>
        <w:rPr>
          <w:rFonts w:ascii="宋体" w:hAnsi="宋体" w:hint="eastAsia"/>
          <w:color w:val="000000"/>
          <w:sz w:val="24"/>
        </w:rPr>
        <w:t>本</w:t>
      </w:r>
      <w:r>
        <w:rPr>
          <w:rFonts w:ascii="宋体" w:hAnsi="宋体"/>
          <w:color w:val="000000"/>
          <w:sz w:val="24"/>
        </w:rPr>
        <w:t>基金</w:t>
      </w:r>
      <w:r>
        <w:rPr>
          <w:rFonts w:ascii="宋体" w:hAnsi="宋体"/>
          <w:color w:val="000000"/>
          <w:sz w:val="24"/>
        </w:rPr>
        <w:lastRenderedPageBreak/>
        <w:t>债券正回购的资金余额超过基金资产净值20%的,基金管理人应当在5个交易日内进行调整</w:t>
      </w:r>
      <w:r>
        <w:rPr>
          <w:rFonts w:ascii="宋体" w:hAnsi="宋体" w:hint="eastAsia"/>
          <w:color w:val="000000"/>
          <w:sz w:val="24"/>
        </w:rPr>
        <w:t>；</w:t>
      </w:r>
    </w:p>
    <w:p w14:paraId="5E8DE6F2" w14:textId="77777777" w:rsidR="00BF0C91" w:rsidRDefault="00D65346">
      <w:pPr>
        <w:tabs>
          <w:tab w:val="left" w:pos="900"/>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 xml:space="preserve">（4） </w:t>
      </w:r>
      <w:r>
        <w:rPr>
          <w:rFonts w:ascii="宋体" w:hAnsi="宋体"/>
          <w:color w:val="000000"/>
          <w:sz w:val="24"/>
        </w:rPr>
        <w:t>基金持有的剩余期限不超过397天</w:t>
      </w:r>
      <w:r>
        <w:rPr>
          <w:rFonts w:ascii="宋体" w:hAnsi="宋体" w:hint="eastAsia"/>
          <w:color w:val="000000"/>
          <w:sz w:val="24"/>
        </w:rPr>
        <w:t>，</w:t>
      </w:r>
      <w:r>
        <w:rPr>
          <w:rFonts w:ascii="宋体" w:hAnsi="宋体"/>
          <w:color w:val="000000"/>
          <w:sz w:val="24"/>
        </w:rPr>
        <w:t>但剩余存续期超过397天的浮动利率债券的摊余成本总计不得超过当日基金资产净值的20%</w:t>
      </w:r>
      <w:r>
        <w:rPr>
          <w:rFonts w:ascii="宋体" w:hAnsi="宋体" w:hint="eastAsia"/>
          <w:color w:val="000000"/>
          <w:sz w:val="24"/>
        </w:rPr>
        <w:t>；</w:t>
      </w:r>
    </w:p>
    <w:p w14:paraId="04E1C53C" w14:textId="77777777" w:rsidR="00BF0C91" w:rsidRDefault="00D65346">
      <w:pPr>
        <w:tabs>
          <w:tab w:val="left" w:pos="900"/>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 xml:space="preserve">（5） </w:t>
      </w:r>
      <w:r>
        <w:rPr>
          <w:rFonts w:ascii="宋体" w:hAnsi="宋体"/>
          <w:color w:val="000000"/>
          <w:sz w:val="24"/>
        </w:rPr>
        <w:t>买断式回购融入基础债券的剩余期限不得超过397天</w:t>
      </w:r>
      <w:r>
        <w:rPr>
          <w:rFonts w:ascii="宋体" w:hAnsi="宋体" w:hint="eastAsia"/>
          <w:color w:val="000000"/>
          <w:sz w:val="24"/>
        </w:rPr>
        <w:t>；</w:t>
      </w:r>
    </w:p>
    <w:p w14:paraId="645830D0" w14:textId="77777777" w:rsidR="00BF0C91" w:rsidRDefault="00D65346">
      <w:pPr>
        <w:tabs>
          <w:tab w:val="left" w:pos="900"/>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 xml:space="preserve">（6） </w:t>
      </w:r>
      <w:r>
        <w:rPr>
          <w:rFonts w:ascii="宋体" w:hAnsi="宋体"/>
          <w:color w:val="000000"/>
          <w:sz w:val="24"/>
        </w:rPr>
        <w:t>存放在具有基金托管资格的同一商业银行的存款,不得超过基金资产净值的百分之三十；存放在不具有基金托管资格的同一商业银行的存款,不得超过基金资产净值的百分之五</w:t>
      </w:r>
      <w:r>
        <w:rPr>
          <w:rFonts w:ascii="宋体" w:hAnsi="宋体" w:hint="eastAsia"/>
          <w:color w:val="000000"/>
          <w:sz w:val="24"/>
        </w:rPr>
        <w:t>；</w:t>
      </w:r>
    </w:p>
    <w:p w14:paraId="2655873D" w14:textId="77777777" w:rsidR="00BF0C91" w:rsidRDefault="00D65346">
      <w:pPr>
        <w:tabs>
          <w:tab w:val="left" w:pos="900"/>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（7） 在全国银行间债券市场债券正回购的资金余额不得超过基金资产净值的40</w:t>
      </w:r>
      <w:r>
        <w:rPr>
          <w:rFonts w:ascii="宋体" w:hAnsi="宋体"/>
          <w:color w:val="000000"/>
          <w:sz w:val="24"/>
        </w:rPr>
        <w:t>%</w:t>
      </w:r>
      <w:r>
        <w:rPr>
          <w:rFonts w:ascii="宋体" w:hAnsi="宋体" w:hint="eastAsia"/>
          <w:color w:val="000000"/>
          <w:sz w:val="24"/>
        </w:rPr>
        <w:t>；</w:t>
      </w:r>
    </w:p>
    <w:p w14:paraId="3A31E350" w14:textId="77777777" w:rsidR="00BF0C91" w:rsidRDefault="00D65346">
      <w:pPr>
        <w:tabs>
          <w:tab w:val="left" w:pos="900"/>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（8） 投资于同一公司发行的短期企业债券及短期融资券的比例，合计不得超过基金资产净值的10</w:t>
      </w:r>
      <w:r>
        <w:rPr>
          <w:rFonts w:ascii="宋体" w:hAnsi="宋体"/>
          <w:color w:val="000000"/>
          <w:sz w:val="24"/>
        </w:rPr>
        <w:t>%</w:t>
      </w:r>
      <w:r>
        <w:rPr>
          <w:rFonts w:ascii="宋体" w:hAnsi="宋体" w:hint="eastAsia"/>
          <w:color w:val="000000"/>
          <w:sz w:val="24"/>
        </w:rPr>
        <w:t>；因市场波动、基金规模变动等基金管理人之外的因素致使基金投资不符合上述比例的，基金管理人应当在十个交易日内调整完毕；</w:t>
      </w:r>
    </w:p>
    <w:p w14:paraId="26EA37B9" w14:textId="77777777" w:rsidR="00BF0C91" w:rsidRDefault="00D65346">
      <w:pPr>
        <w:tabs>
          <w:tab w:val="left" w:pos="900"/>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（9） 本基金投资于定期存款的比例不得超过基金资产净值的30%；</w:t>
      </w:r>
    </w:p>
    <w:p w14:paraId="02688EE0" w14:textId="77777777" w:rsidR="00BF0C91" w:rsidRDefault="00D65346">
      <w:pPr>
        <w:tabs>
          <w:tab w:val="left" w:pos="900"/>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10）</w:t>
      </w:r>
      <w:r>
        <w:rPr>
          <w:rFonts w:ascii="宋体" w:hAnsi="宋体" w:hint="eastAsia"/>
          <w:color w:val="000000"/>
          <w:sz w:val="24"/>
        </w:rPr>
        <w:t>本基金管理人管理的全部货币市场基金投资于同一商业银行的银行存款及其发行的同业存单与债券，不得超过该商业银行最近一个季度末净资产的10%；</w:t>
      </w:r>
    </w:p>
    <w:p w14:paraId="003DD29D" w14:textId="77777777" w:rsidR="00BF0C91" w:rsidRDefault="00D65346">
      <w:pPr>
        <w:tabs>
          <w:tab w:val="left" w:pos="900"/>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1</w:t>
      </w:r>
      <w:r>
        <w:rPr>
          <w:rFonts w:ascii="宋体" w:hAnsi="宋体" w:hint="eastAsia"/>
          <w:color w:val="000000"/>
          <w:sz w:val="24"/>
        </w:rPr>
        <w:t>）当本基金前10 名份额持有人的持有份额合计超过基金总份额的50%时，本基金投资组合的平均剩余期限不得超过60 天，平均剩余存续期不得超过120天；投资组合中现金、国债、中央银行票据、政策性金融债券以及5 个交易日内到期的其他金融工具占基金资产净值的比例合计不得低于30%；</w:t>
      </w:r>
    </w:p>
    <w:p w14:paraId="5EC57D18" w14:textId="77777777" w:rsidR="00BF0C91" w:rsidRDefault="00D65346">
      <w:pPr>
        <w:tabs>
          <w:tab w:val="left" w:pos="900"/>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2</w:t>
      </w:r>
      <w:r>
        <w:rPr>
          <w:rFonts w:ascii="宋体" w:hAnsi="宋体" w:hint="eastAsia"/>
          <w:color w:val="000000"/>
          <w:sz w:val="24"/>
        </w:rPr>
        <w:t>）当本基金前10 名份额持有人的持有份额合计超过基金总份额的20%时，本基金投资组合的平均剩余期限不得超过90 天，平均剩余存续期不得超过180天；投资组合中现金、国债、中央银行票据、政策性金融债券以及5 个交易日内到期的其他金融工具占基金资产净值的比例合计不得低于20%；</w:t>
      </w:r>
    </w:p>
    <w:p w14:paraId="595CEB10" w14:textId="77777777" w:rsidR="00BF0C91" w:rsidRDefault="00D65346">
      <w:pPr>
        <w:tabs>
          <w:tab w:val="left" w:pos="900"/>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3</w:t>
      </w:r>
      <w:r>
        <w:rPr>
          <w:rFonts w:ascii="宋体" w:hAnsi="宋体" w:hint="eastAsia"/>
          <w:color w:val="000000"/>
          <w:sz w:val="24"/>
        </w:rPr>
        <w:t>）本基金投资于主体信用评级低于AAA 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w:t>
      </w:r>
      <w:r>
        <w:rPr>
          <w:rFonts w:ascii="宋体" w:hAnsi="宋体" w:hint="eastAsia"/>
          <w:color w:val="000000"/>
          <w:sz w:val="24"/>
        </w:rPr>
        <w:lastRenderedPageBreak/>
        <w:t>定的其他品种；</w:t>
      </w:r>
    </w:p>
    <w:p w14:paraId="5CB29D3A" w14:textId="77777777" w:rsidR="00BF0C91" w:rsidRDefault="00D65346">
      <w:pPr>
        <w:tabs>
          <w:tab w:val="left" w:pos="900"/>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4</w:t>
      </w:r>
      <w:r>
        <w:rPr>
          <w:rFonts w:ascii="宋体" w:hAnsi="宋体" w:hint="eastAsia"/>
          <w:color w:val="000000"/>
          <w:sz w:val="24"/>
        </w:rPr>
        <w:t>）本基金主动投资于流动性受限资产的市值合计不得超过基金资产净值的 10%；因证券市场波动、基金规模变动等基金管理人之外的因素致使基金不符合前款所规定比例限制的，基金管理人不得主动新增流动性受限资产的投资；</w:t>
      </w:r>
    </w:p>
    <w:p w14:paraId="4B46A0CC" w14:textId="77777777" w:rsidR="00BF0C91" w:rsidRDefault="00D65346">
      <w:pPr>
        <w:tabs>
          <w:tab w:val="left" w:pos="900"/>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5</w:t>
      </w:r>
      <w:r>
        <w:rPr>
          <w:rFonts w:ascii="宋体" w:hAnsi="宋体" w:hint="eastAsia"/>
          <w:color w:val="000000"/>
          <w:sz w:val="24"/>
        </w:rPr>
        <w:t>）本基金与私募类证券资管产品及中国证监会认定的其他主体为交易对手开展逆回购交易的，可接受质押品的资质要求应当与本基金合同约定的投资范围保持一致；</w:t>
      </w:r>
    </w:p>
    <w:p w14:paraId="6F938D12" w14:textId="77777777" w:rsidR="00BF0C91" w:rsidRDefault="00D65346">
      <w:pPr>
        <w:tabs>
          <w:tab w:val="left" w:pos="900"/>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6</w:t>
      </w:r>
      <w:r>
        <w:rPr>
          <w:rFonts w:ascii="宋体" w:hAnsi="宋体" w:hint="eastAsia"/>
          <w:color w:val="000000"/>
          <w:sz w:val="24"/>
        </w:rPr>
        <w:t>）中国证监会、中国人民银行规定的其他比例限制。</w:t>
      </w:r>
    </w:p>
    <w:p w14:paraId="0A97D903" w14:textId="77777777" w:rsidR="00BF0C91" w:rsidRDefault="00D65346">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除上述第（14）项、</w:t>
      </w:r>
      <w:r>
        <w:rPr>
          <w:rFonts w:ascii="宋体" w:hAnsi="宋体"/>
          <w:color w:val="000000"/>
          <w:sz w:val="24"/>
        </w:rPr>
        <w:t>第</w:t>
      </w:r>
      <w:r>
        <w:rPr>
          <w:rFonts w:ascii="宋体" w:hAnsi="宋体" w:hint="eastAsia"/>
          <w:color w:val="000000"/>
          <w:sz w:val="24"/>
        </w:rPr>
        <w:t>（</w:t>
      </w:r>
      <w:r>
        <w:rPr>
          <w:rFonts w:ascii="宋体" w:hAnsi="宋体"/>
          <w:color w:val="000000"/>
          <w:sz w:val="24"/>
        </w:rPr>
        <w:t>15）项</w:t>
      </w:r>
      <w:r>
        <w:rPr>
          <w:rFonts w:ascii="宋体" w:hAnsi="宋体" w:hint="eastAsia"/>
          <w:color w:val="000000"/>
          <w:sz w:val="24"/>
        </w:rPr>
        <w:t>外，因基金规模或市场变化导致投资组合超过以上比例限制的，基金管理人应在10个交易日内进行调整，以达到上述标准。法律法规和监管机关另有规定时，从其规定。</w:t>
      </w:r>
    </w:p>
    <w:p w14:paraId="7E6D0A19" w14:textId="77777777" w:rsidR="00BF0C91" w:rsidRDefault="00D65346">
      <w:pPr>
        <w:pStyle w:val="4"/>
        <w:numPr>
          <w:ilvl w:val="0"/>
          <w:numId w:val="0"/>
        </w:numPr>
        <w:ind w:firstLineChars="200" w:firstLine="480"/>
        <w:rPr>
          <w:rFonts w:ascii="宋体" w:hAnsi="宋体"/>
          <w:sz w:val="24"/>
          <w:szCs w:val="24"/>
        </w:rPr>
      </w:pPr>
      <w:r>
        <w:rPr>
          <w:rFonts w:ascii="宋体" w:hAnsi="宋体" w:hint="eastAsia"/>
          <w:sz w:val="24"/>
          <w:szCs w:val="24"/>
        </w:rPr>
        <w:t>3、</w:t>
      </w:r>
      <w:r>
        <w:rPr>
          <w:rFonts w:ascii="宋体" w:hAnsi="宋体" w:hint="eastAsia"/>
          <w:color w:val="000000"/>
          <w:sz w:val="24"/>
          <w:szCs w:val="24"/>
        </w:rPr>
        <w:t>本基金投资的短期融资券的信用评级，应不低于以下标准：</w:t>
      </w:r>
    </w:p>
    <w:p w14:paraId="38296242" w14:textId="77777777" w:rsidR="00BF0C91" w:rsidRDefault="00D65346">
      <w:pPr>
        <w:pStyle w:val="5"/>
        <w:numPr>
          <w:ilvl w:val="0"/>
          <w:numId w:val="0"/>
        </w:numPr>
        <w:ind w:firstLineChars="200" w:firstLine="480"/>
        <w:rPr>
          <w:rFonts w:ascii="宋体" w:hAnsi="宋体"/>
          <w:sz w:val="24"/>
          <w:szCs w:val="24"/>
        </w:rPr>
      </w:pPr>
      <w:r>
        <w:rPr>
          <w:rFonts w:ascii="宋体" w:hAnsi="宋体" w:hint="eastAsia"/>
          <w:sz w:val="24"/>
          <w:szCs w:val="24"/>
        </w:rPr>
        <w:t>（1） 国内信用评级机构评定的A-1级或相当于A-1级的短期信用级别；</w:t>
      </w:r>
    </w:p>
    <w:p w14:paraId="26AB5D83" w14:textId="77777777" w:rsidR="00BF0C91" w:rsidRDefault="00D65346">
      <w:pPr>
        <w:pStyle w:val="5"/>
        <w:numPr>
          <w:ilvl w:val="0"/>
          <w:numId w:val="0"/>
        </w:numPr>
        <w:ind w:firstLineChars="200" w:firstLine="480"/>
        <w:rPr>
          <w:rFonts w:ascii="宋体" w:hAnsi="宋体"/>
          <w:sz w:val="24"/>
          <w:szCs w:val="24"/>
        </w:rPr>
      </w:pPr>
      <w:r>
        <w:rPr>
          <w:rFonts w:ascii="宋体" w:hAnsi="宋体" w:hint="eastAsia"/>
          <w:sz w:val="24"/>
          <w:szCs w:val="24"/>
        </w:rPr>
        <w:t>（2） 根据有关规定予以豁免信用评级的短期融资券，其发行人最近三年的信用评级和跟踪评级具备下列条件之一：</w:t>
      </w:r>
    </w:p>
    <w:p w14:paraId="172F34C6" w14:textId="77777777" w:rsidR="00BF0C91" w:rsidRDefault="00D65346">
      <w:pPr>
        <w:numPr>
          <w:ilvl w:val="0"/>
          <w:numId w:val="11"/>
        </w:numPr>
        <w:adjustRightInd w:val="0"/>
        <w:snapToGrid w:val="0"/>
        <w:spacing w:line="360" w:lineRule="auto"/>
        <w:ind w:left="0" w:firstLineChars="200" w:firstLine="480"/>
        <w:rPr>
          <w:rFonts w:ascii="宋体" w:hAnsi="宋体"/>
          <w:color w:val="000000"/>
          <w:sz w:val="24"/>
        </w:rPr>
      </w:pPr>
      <w:r>
        <w:rPr>
          <w:rFonts w:ascii="宋体" w:hAnsi="宋体" w:hint="eastAsia"/>
          <w:color w:val="000000"/>
          <w:sz w:val="24"/>
        </w:rPr>
        <w:t>国内信用评级机构评定的AAA级或相当于AAA级的长期信用级别；</w:t>
      </w:r>
    </w:p>
    <w:p w14:paraId="09083CAA" w14:textId="77777777" w:rsidR="00BF0C91" w:rsidRDefault="00D65346">
      <w:pPr>
        <w:numPr>
          <w:ilvl w:val="0"/>
          <w:numId w:val="11"/>
        </w:numPr>
        <w:adjustRightInd w:val="0"/>
        <w:snapToGrid w:val="0"/>
        <w:spacing w:line="360" w:lineRule="auto"/>
        <w:ind w:left="0" w:firstLineChars="200" w:firstLine="480"/>
        <w:rPr>
          <w:rFonts w:ascii="宋体" w:hAnsi="宋体"/>
          <w:color w:val="000000"/>
          <w:sz w:val="24"/>
        </w:rPr>
      </w:pPr>
      <w:r>
        <w:rPr>
          <w:rFonts w:ascii="宋体" w:hAnsi="宋体" w:hint="eastAsia"/>
          <w:color w:val="000000"/>
          <w:sz w:val="24"/>
        </w:rPr>
        <w:t>国际信用评级机构评定的低于中国主权评级一个级别的信用级别（例如，若中国主权评级为A-级，则低于中国主权评级一个级别的为BBB+级）；</w:t>
      </w:r>
    </w:p>
    <w:p w14:paraId="1C0C0A18" w14:textId="77777777" w:rsidR="00BF0C91" w:rsidRDefault="00D65346">
      <w:pPr>
        <w:adjustRightInd w:val="0"/>
        <w:snapToGrid w:val="0"/>
        <w:spacing w:line="360" w:lineRule="auto"/>
        <w:rPr>
          <w:rFonts w:ascii="宋体" w:hAnsi="宋体"/>
          <w:color w:val="000000"/>
          <w:sz w:val="24"/>
        </w:rPr>
      </w:pPr>
      <w:r>
        <w:rPr>
          <w:rFonts w:ascii="宋体" w:hAnsi="宋体" w:hint="eastAsia"/>
          <w:color w:val="000000"/>
          <w:sz w:val="24"/>
        </w:rPr>
        <w:tab/>
        <w:t>同一发行人同时具有国内信用评级和国际信用评级的，以国内信用级别为准。</w:t>
      </w:r>
    </w:p>
    <w:p w14:paraId="14EC0760" w14:textId="77777777" w:rsidR="00BF0C91" w:rsidRDefault="00D65346">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本基金持有短期融资券期间，如果其信用等级下降、不再符合投资标准，应在评级报告发布之日起二十个交易日内予以全部减持。</w:t>
      </w:r>
    </w:p>
    <w:p w14:paraId="3DE39A62" w14:textId="77777777" w:rsidR="00BF0C91" w:rsidRDefault="00D65346">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如果法律法规和相关规定发生变动，基金管理人有权依据新的规定相应修改本第八部分“投资组合限制”中的相关条款，并依法在指定媒介公告，但不需要召开基金份额持有人大会。</w:t>
      </w:r>
    </w:p>
    <w:p w14:paraId="5FA67765" w14:textId="77777777" w:rsidR="00BF0C91" w:rsidRDefault="00D65346">
      <w:pPr>
        <w:spacing w:beforeLines="50" w:before="156" w:afterLines="50" w:after="156" w:line="360" w:lineRule="auto"/>
        <w:ind w:firstLineChars="200" w:firstLine="482"/>
        <w:outlineLvl w:val="1"/>
        <w:rPr>
          <w:rFonts w:ascii="宋体" w:hAnsi="宋体"/>
          <w:b/>
          <w:bCs/>
          <w:sz w:val="24"/>
          <w:szCs w:val="21"/>
        </w:rPr>
      </w:pPr>
      <w:r>
        <w:rPr>
          <w:rFonts w:ascii="宋体" w:hAnsi="宋体" w:hint="eastAsia"/>
          <w:b/>
          <w:bCs/>
          <w:sz w:val="24"/>
          <w:szCs w:val="21"/>
        </w:rPr>
        <w:t>九、</w:t>
      </w:r>
      <w:r>
        <w:rPr>
          <w:rFonts w:ascii="宋体" w:hAnsi="宋体" w:hint="eastAsia"/>
          <w:b/>
          <w:bCs/>
          <w:sz w:val="24"/>
          <w:szCs w:val="21"/>
        </w:rPr>
        <w:tab/>
        <w:t>禁止行为</w:t>
      </w:r>
    </w:p>
    <w:p w14:paraId="103F36B6" w14:textId="77777777" w:rsidR="00BF0C91" w:rsidRDefault="00D65346">
      <w:pPr>
        <w:spacing w:line="360" w:lineRule="auto"/>
        <w:ind w:firstLineChars="200" w:firstLine="480"/>
        <w:rPr>
          <w:rFonts w:ascii="宋体" w:hAnsi="宋体"/>
          <w:sz w:val="24"/>
        </w:rPr>
      </w:pPr>
      <w:r>
        <w:rPr>
          <w:rFonts w:ascii="宋体" w:hAnsi="宋体" w:hint="eastAsia"/>
          <w:sz w:val="24"/>
        </w:rPr>
        <w:t>为维护基金份额持有人的合法权益，本基金禁止从事下列行为：</w:t>
      </w:r>
    </w:p>
    <w:p w14:paraId="64228F80" w14:textId="77777777" w:rsidR="00BF0C91" w:rsidRDefault="00D65346">
      <w:pPr>
        <w:autoSpaceDE w:val="0"/>
        <w:autoSpaceDN w:val="0"/>
        <w:adjustRightInd w:val="0"/>
        <w:spacing w:line="360" w:lineRule="auto"/>
        <w:ind w:firstLineChars="200" w:firstLine="480"/>
        <w:jc w:val="left"/>
        <w:rPr>
          <w:rFonts w:ascii="宋体" w:hAnsi="宋体" w:cs="1"/>
          <w:kern w:val="0"/>
          <w:sz w:val="24"/>
        </w:rPr>
      </w:pPr>
      <w:r>
        <w:rPr>
          <w:rFonts w:ascii="宋体" w:hAnsi="宋体" w:cs="1" w:hint="eastAsia"/>
          <w:kern w:val="0"/>
          <w:sz w:val="24"/>
        </w:rPr>
        <w:t>1、 承销证券；</w:t>
      </w:r>
    </w:p>
    <w:p w14:paraId="1CE801DC" w14:textId="77777777" w:rsidR="00BF0C91" w:rsidRDefault="00D65346">
      <w:pPr>
        <w:autoSpaceDE w:val="0"/>
        <w:autoSpaceDN w:val="0"/>
        <w:adjustRightInd w:val="0"/>
        <w:spacing w:line="360" w:lineRule="auto"/>
        <w:ind w:firstLineChars="200" w:firstLine="480"/>
        <w:jc w:val="left"/>
        <w:rPr>
          <w:rFonts w:ascii="宋体" w:hAnsi="宋体" w:cs="1"/>
          <w:kern w:val="0"/>
          <w:sz w:val="24"/>
        </w:rPr>
      </w:pPr>
      <w:r>
        <w:rPr>
          <w:rFonts w:ascii="宋体" w:hAnsi="宋体" w:cs="1" w:hint="eastAsia"/>
          <w:kern w:val="0"/>
          <w:sz w:val="24"/>
        </w:rPr>
        <w:t>2、 用基金财产向他人贷款或者提供担保；</w:t>
      </w:r>
    </w:p>
    <w:p w14:paraId="0B9C1F08" w14:textId="77777777" w:rsidR="00BF0C91" w:rsidRDefault="00D65346">
      <w:pPr>
        <w:autoSpaceDE w:val="0"/>
        <w:autoSpaceDN w:val="0"/>
        <w:adjustRightInd w:val="0"/>
        <w:spacing w:line="360" w:lineRule="auto"/>
        <w:ind w:firstLineChars="200" w:firstLine="480"/>
        <w:jc w:val="left"/>
        <w:rPr>
          <w:rFonts w:ascii="宋体" w:hAnsi="宋体" w:cs="1"/>
          <w:kern w:val="0"/>
          <w:sz w:val="24"/>
        </w:rPr>
      </w:pPr>
      <w:r>
        <w:rPr>
          <w:rFonts w:ascii="宋体" w:hAnsi="宋体" w:cs="1" w:hint="eastAsia"/>
          <w:kern w:val="0"/>
          <w:sz w:val="24"/>
        </w:rPr>
        <w:t>3、 从事可能使基金承担无限责任的投资；</w:t>
      </w:r>
    </w:p>
    <w:p w14:paraId="7F5F1BAB" w14:textId="77777777" w:rsidR="00BF0C91" w:rsidRDefault="00D65346">
      <w:pPr>
        <w:autoSpaceDE w:val="0"/>
        <w:autoSpaceDN w:val="0"/>
        <w:adjustRightInd w:val="0"/>
        <w:spacing w:line="360" w:lineRule="auto"/>
        <w:ind w:firstLineChars="200" w:firstLine="480"/>
        <w:jc w:val="left"/>
        <w:rPr>
          <w:rFonts w:ascii="宋体" w:hAnsi="宋体" w:cs="1"/>
          <w:kern w:val="0"/>
          <w:sz w:val="24"/>
        </w:rPr>
      </w:pPr>
      <w:r>
        <w:rPr>
          <w:rFonts w:ascii="宋体" w:hAnsi="宋体" w:cs="1" w:hint="eastAsia"/>
          <w:kern w:val="0"/>
          <w:sz w:val="24"/>
        </w:rPr>
        <w:lastRenderedPageBreak/>
        <w:t>4、 买卖其他基金份额，但国务院另有规定的除外；</w:t>
      </w:r>
    </w:p>
    <w:p w14:paraId="7EB55DF0" w14:textId="77777777" w:rsidR="00BF0C91" w:rsidRDefault="00D65346">
      <w:pPr>
        <w:autoSpaceDE w:val="0"/>
        <w:autoSpaceDN w:val="0"/>
        <w:adjustRightInd w:val="0"/>
        <w:spacing w:line="360" w:lineRule="auto"/>
        <w:ind w:firstLineChars="200" w:firstLine="480"/>
        <w:jc w:val="left"/>
        <w:rPr>
          <w:rFonts w:ascii="宋体" w:hAnsi="宋体" w:cs="1"/>
          <w:kern w:val="0"/>
          <w:sz w:val="24"/>
        </w:rPr>
      </w:pPr>
      <w:r>
        <w:rPr>
          <w:rFonts w:ascii="宋体" w:hAnsi="宋体" w:cs="1" w:hint="eastAsia"/>
          <w:kern w:val="0"/>
          <w:sz w:val="24"/>
        </w:rPr>
        <w:t>5、 向基金管理人、基金托管人出资或者买卖基金托管人、基金管理人发行的股票或债券；</w:t>
      </w:r>
    </w:p>
    <w:p w14:paraId="0EE1B2E8" w14:textId="77777777" w:rsidR="00BF0C91" w:rsidRDefault="00D65346">
      <w:pPr>
        <w:autoSpaceDE w:val="0"/>
        <w:autoSpaceDN w:val="0"/>
        <w:adjustRightInd w:val="0"/>
        <w:spacing w:line="360" w:lineRule="auto"/>
        <w:ind w:firstLineChars="200" w:firstLine="480"/>
        <w:jc w:val="left"/>
        <w:rPr>
          <w:rFonts w:ascii="宋体" w:hAnsi="宋体" w:cs="1"/>
          <w:kern w:val="0"/>
          <w:sz w:val="24"/>
        </w:rPr>
      </w:pPr>
      <w:r>
        <w:rPr>
          <w:rFonts w:ascii="宋体" w:hAnsi="宋体" w:cs="1" w:hint="eastAsia"/>
          <w:kern w:val="0"/>
          <w:sz w:val="24"/>
        </w:rPr>
        <w:t>6、 买卖与基金管理人、基金托管人有控股关系的股东或者与基金管理人、基金托管人有其他重大利害关系的公司发行的证券或承销期内承销的证券；</w:t>
      </w:r>
    </w:p>
    <w:p w14:paraId="0399255C" w14:textId="77777777" w:rsidR="00BF0C91" w:rsidRDefault="00D65346">
      <w:pPr>
        <w:autoSpaceDE w:val="0"/>
        <w:autoSpaceDN w:val="0"/>
        <w:adjustRightInd w:val="0"/>
        <w:spacing w:line="360" w:lineRule="auto"/>
        <w:ind w:firstLineChars="200" w:firstLine="480"/>
        <w:jc w:val="left"/>
        <w:rPr>
          <w:rFonts w:ascii="宋体" w:hAnsi="宋体" w:cs="1"/>
          <w:kern w:val="0"/>
          <w:sz w:val="24"/>
        </w:rPr>
      </w:pPr>
      <w:r>
        <w:rPr>
          <w:rFonts w:ascii="宋体" w:hAnsi="宋体" w:cs="1" w:hint="eastAsia"/>
          <w:kern w:val="0"/>
          <w:sz w:val="24"/>
        </w:rPr>
        <w:t>7、 从事内幕交易、操纵证券交易价格及其他不正当的证券交易活动；</w:t>
      </w:r>
    </w:p>
    <w:p w14:paraId="253ADAF1" w14:textId="77777777" w:rsidR="00BF0C91" w:rsidRDefault="00D65346">
      <w:pPr>
        <w:autoSpaceDE w:val="0"/>
        <w:autoSpaceDN w:val="0"/>
        <w:adjustRightInd w:val="0"/>
        <w:spacing w:line="360" w:lineRule="auto"/>
        <w:ind w:firstLineChars="200" w:firstLine="480"/>
        <w:jc w:val="left"/>
        <w:rPr>
          <w:rFonts w:ascii="宋体" w:hAnsi="宋体" w:cs="1"/>
          <w:kern w:val="0"/>
          <w:sz w:val="24"/>
        </w:rPr>
      </w:pPr>
      <w:r>
        <w:rPr>
          <w:rFonts w:ascii="宋体" w:hAnsi="宋体" w:cs="1" w:hint="eastAsia"/>
          <w:kern w:val="0"/>
          <w:sz w:val="24"/>
        </w:rPr>
        <w:t>8、 法律法规、中国证监会及基金合同规定禁止的其他活动。</w:t>
      </w:r>
    </w:p>
    <w:p w14:paraId="5DEE22F2" w14:textId="77777777" w:rsidR="00BF0C91" w:rsidRDefault="00D65346">
      <w:pPr>
        <w:spacing w:beforeLines="50" w:before="156" w:afterLines="50" w:after="156" w:line="360" w:lineRule="auto"/>
        <w:ind w:firstLineChars="200" w:firstLine="482"/>
        <w:outlineLvl w:val="1"/>
        <w:rPr>
          <w:rFonts w:ascii="宋体" w:hAnsi="宋体"/>
          <w:b/>
          <w:bCs/>
          <w:sz w:val="24"/>
          <w:szCs w:val="21"/>
        </w:rPr>
      </w:pPr>
      <w:bookmarkStart w:id="119" w:name="_Hlt81033424"/>
      <w:bookmarkStart w:id="120" w:name="_Hlt81033092"/>
      <w:bookmarkEnd w:id="119"/>
      <w:bookmarkEnd w:id="120"/>
      <w:r>
        <w:rPr>
          <w:rFonts w:ascii="宋体" w:hAnsi="宋体" w:hint="eastAsia"/>
          <w:b/>
          <w:bCs/>
          <w:sz w:val="24"/>
          <w:szCs w:val="21"/>
        </w:rPr>
        <w:t>十、</w:t>
      </w:r>
      <w:r>
        <w:rPr>
          <w:rFonts w:ascii="宋体" w:hAnsi="宋体" w:hint="eastAsia"/>
          <w:b/>
          <w:bCs/>
          <w:sz w:val="24"/>
          <w:szCs w:val="21"/>
        </w:rPr>
        <w:tab/>
        <w:t>投资组合比例调整</w:t>
      </w:r>
    </w:p>
    <w:p w14:paraId="13BF7E20" w14:textId="77777777" w:rsidR="00BF0C91" w:rsidRDefault="00D65346">
      <w:pPr>
        <w:spacing w:line="360" w:lineRule="auto"/>
        <w:ind w:firstLineChars="200" w:firstLine="480"/>
        <w:rPr>
          <w:rFonts w:ascii="宋体" w:hAnsi="宋体"/>
          <w:sz w:val="24"/>
        </w:rPr>
      </w:pPr>
      <w:r>
        <w:rPr>
          <w:rFonts w:ascii="宋体" w:hAnsi="宋体" w:hint="eastAsia"/>
          <w:sz w:val="24"/>
        </w:rPr>
        <w:t>基金管理人应当自基金合同生效之日起6个月内使基金的投资组合比例符合基金合同的约定。因证券市场波动、基金规模变动等基金管理人之外的因素致使基金投资不符合基金合同约定的投资比例规定的，基金管理人应当在10个交易日内进行调整。法律法规另有规定的，从其规定。</w:t>
      </w:r>
    </w:p>
    <w:p w14:paraId="34564DCB" w14:textId="77777777" w:rsidR="00BF0C91" w:rsidRDefault="00D65346">
      <w:pPr>
        <w:spacing w:beforeLines="50" w:before="156" w:afterLines="50" w:after="156" w:line="360" w:lineRule="auto"/>
        <w:ind w:firstLineChars="200" w:firstLine="482"/>
        <w:outlineLvl w:val="1"/>
        <w:rPr>
          <w:rFonts w:ascii="宋体" w:hAnsi="宋体"/>
          <w:b/>
          <w:bCs/>
          <w:sz w:val="24"/>
          <w:szCs w:val="21"/>
        </w:rPr>
      </w:pPr>
      <w:r>
        <w:rPr>
          <w:rFonts w:ascii="宋体" w:hAnsi="宋体" w:hint="eastAsia"/>
          <w:b/>
          <w:bCs/>
          <w:sz w:val="24"/>
          <w:szCs w:val="21"/>
        </w:rPr>
        <w:t>十一、</w:t>
      </w:r>
      <w:r>
        <w:rPr>
          <w:rFonts w:ascii="宋体" w:hAnsi="宋体" w:hint="eastAsia"/>
          <w:b/>
          <w:bCs/>
          <w:sz w:val="24"/>
          <w:szCs w:val="21"/>
        </w:rPr>
        <w:tab/>
        <w:t>风险收益特征</w:t>
      </w:r>
    </w:p>
    <w:p w14:paraId="6DF3391D" w14:textId="77777777" w:rsidR="00BF0C91" w:rsidRDefault="00D65346">
      <w:pPr>
        <w:tabs>
          <w:tab w:val="left" w:pos="1501"/>
        </w:tabs>
        <w:spacing w:line="360" w:lineRule="auto"/>
        <w:ind w:firstLineChars="200" w:firstLine="480"/>
        <w:rPr>
          <w:rFonts w:ascii="宋体" w:hAnsi="宋体"/>
          <w:sz w:val="24"/>
        </w:rPr>
      </w:pPr>
      <w:r>
        <w:rPr>
          <w:rFonts w:ascii="宋体" w:hAnsi="宋体" w:hint="eastAsia"/>
          <w:sz w:val="24"/>
        </w:rPr>
        <w:t>本货币市场基金是具有较低风险、中低收益、流动性强的证券投资基金品种。</w:t>
      </w:r>
    </w:p>
    <w:p w14:paraId="26E2FB9B" w14:textId="77777777" w:rsidR="00BF0C91" w:rsidRDefault="00BF0C91">
      <w:pPr>
        <w:tabs>
          <w:tab w:val="left" w:pos="1501"/>
        </w:tabs>
        <w:spacing w:line="360" w:lineRule="auto"/>
        <w:ind w:firstLineChars="200" w:firstLine="480"/>
        <w:rPr>
          <w:rFonts w:ascii="宋体" w:hAnsi="宋体"/>
          <w:sz w:val="24"/>
        </w:rPr>
      </w:pPr>
    </w:p>
    <w:p w14:paraId="6CDB3CB4" w14:textId="77777777" w:rsidR="00BF0C91" w:rsidRDefault="00D65346">
      <w:pPr>
        <w:jc w:val="center"/>
        <w:rPr>
          <w:rFonts w:ascii="黑体" w:eastAsia="黑体" w:hAnsi="Arial" w:cs="Arial"/>
          <w:sz w:val="30"/>
          <w:szCs w:val="32"/>
        </w:rPr>
      </w:pPr>
      <w:bookmarkStart w:id="121" w:name="_Hlt81032199"/>
      <w:bookmarkStart w:id="122" w:name="_Hlt85281735"/>
      <w:bookmarkStart w:id="123" w:name="_Hlt80959952"/>
      <w:bookmarkStart w:id="124" w:name="_Hlt80584770"/>
      <w:bookmarkStart w:id="125" w:name="_Toc48649712"/>
      <w:bookmarkStart w:id="126" w:name="_Toc510842714"/>
      <w:bookmarkStart w:id="127" w:name="_Toc523711681"/>
      <w:bookmarkEnd w:id="121"/>
      <w:bookmarkEnd w:id="122"/>
      <w:bookmarkEnd w:id="123"/>
      <w:bookmarkEnd w:id="124"/>
      <w:r>
        <w:rPr>
          <w:rFonts w:ascii="黑体" w:eastAsia="黑体" w:hAnsi="Arial" w:cs="Arial"/>
          <w:sz w:val="30"/>
          <w:szCs w:val="32"/>
        </w:rPr>
        <w:br w:type="page"/>
      </w:r>
      <w:bookmarkStart w:id="128" w:name="_Hlt80584773"/>
      <w:bookmarkStart w:id="129" w:name="_Hlt80584775"/>
      <w:bookmarkEnd w:id="128"/>
      <w:bookmarkEnd w:id="129"/>
      <w:r>
        <w:rPr>
          <w:rFonts w:ascii="黑体" w:eastAsia="黑体" w:hAnsi="Arial" w:cs="Arial" w:hint="eastAsia"/>
          <w:sz w:val="30"/>
          <w:szCs w:val="32"/>
        </w:rPr>
        <w:lastRenderedPageBreak/>
        <w:t>第十三部分</w:t>
      </w:r>
      <w:r>
        <w:rPr>
          <w:rFonts w:ascii="黑体" w:eastAsia="黑体" w:hAnsi="Arial" w:cs="Arial"/>
          <w:sz w:val="30"/>
          <w:szCs w:val="32"/>
        </w:rPr>
        <w:t xml:space="preserve">  </w:t>
      </w:r>
      <w:r>
        <w:rPr>
          <w:rFonts w:ascii="黑体" w:eastAsia="黑体" w:hAnsi="Arial" w:cs="Arial" w:hint="eastAsia"/>
          <w:sz w:val="30"/>
          <w:szCs w:val="32"/>
        </w:rPr>
        <w:t>基金的财产</w:t>
      </w:r>
      <w:bookmarkEnd w:id="125"/>
    </w:p>
    <w:p w14:paraId="31B4A59A" w14:textId="77777777" w:rsidR="00BF0C91" w:rsidRDefault="00D65346">
      <w:pPr>
        <w:spacing w:beforeLines="50" w:before="156" w:afterLines="50" w:after="156" w:line="400" w:lineRule="exact"/>
        <w:ind w:firstLineChars="200" w:firstLine="482"/>
        <w:outlineLvl w:val="1"/>
        <w:rPr>
          <w:rFonts w:ascii="宋体" w:hAnsi="宋体"/>
          <w:b/>
          <w:bCs/>
          <w:color w:val="000000"/>
          <w:sz w:val="24"/>
          <w:szCs w:val="21"/>
        </w:rPr>
      </w:pPr>
      <w:r>
        <w:rPr>
          <w:rFonts w:ascii="宋体" w:hAnsi="宋体" w:hint="eastAsia"/>
          <w:b/>
          <w:bCs/>
          <w:color w:val="000000"/>
          <w:sz w:val="24"/>
          <w:szCs w:val="21"/>
        </w:rPr>
        <w:t>一、基金资产总值</w:t>
      </w:r>
    </w:p>
    <w:p w14:paraId="7A41C11C" w14:textId="77777777" w:rsidR="00BF0C91" w:rsidRDefault="00D65346">
      <w:pPr>
        <w:spacing w:line="400" w:lineRule="exact"/>
        <w:ind w:firstLineChars="200" w:firstLine="480"/>
        <w:rPr>
          <w:rFonts w:ascii="宋体" w:hAnsi="宋体"/>
          <w:color w:val="000000"/>
          <w:sz w:val="24"/>
          <w:szCs w:val="21"/>
        </w:rPr>
      </w:pPr>
      <w:r>
        <w:rPr>
          <w:rFonts w:hint="eastAsia"/>
          <w:color w:val="000000"/>
          <w:sz w:val="24"/>
        </w:rPr>
        <w:t>基金资产总值是指购买的各类证券及票据价值、银行存款本息和基金应收的申购基金款以及其他投资所形成的价值总和。</w:t>
      </w:r>
    </w:p>
    <w:p w14:paraId="479A49E7" w14:textId="77777777" w:rsidR="00BF0C91" w:rsidRDefault="00D65346">
      <w:pPr>
        <w:spacing w:beforeLines="50" w:before="156" w:afterLines="50" w:after="156" w:line="400" w:lineRule="exact"/>
        <w:ind w:firstLineChars="200" w:firstLine="482"/>
        <w:outlineLvl w:val="1"/>
        <w:rPr>
          <w:rFonts w:ascii="宋体" w:hAnsi="宋体"/>
          <w:b/>
          <w:bCs/>
          <w:color w:val="000000"/>
          <w:sz w:val="24"/>
          <w:szCs w:val="21"/>
        </w:rPr>
      </w:pPr>
      <w:r>
        <w:rPr>
          <w:rFonts w:ascii="宋体" w:hAnsi="宋体" w:hint="eastAsia"/>
          <w:b/>
          <w:bCs/>
          <w:color w:val="000000"/>
          <w:sz w:val="24"/>
          <w:szCs w:val="21"/>
        </w:rPr>
        <w:t>二、基金资产净值</w:t>
      </w:r>
    </w:p>
    <w:p w14:paraId="05121124" w14:textId="77777777" w:rsidR="00BF0C91" w:rsidRDefault="00D65346">
      <w:pPr>
        <w:spacing w:line="400" w:lineRule="exact"/>
        <w:ind w:firstLineChars="200" w:firstLine="480"/>
        <w:rPr>
          <w:rFonts w:ascii="宋体" w:hAnsi="宋体"/>
          <w:color w:val="000000"/>
          <w:sz w:val="24"/>
          <w:szCs w:val="21"/>
        </w:rPr>
      </w:pPr>
      <w:r>
        <w:rPr>
          <w:rFonts w:ascii="宋体" w:hAnsi="宋体" w:hint="eastAsia"/>
          <w:color w:val="000000"/>
          <w:sz w:val="24"/>
          <w:szCs w:val="21"/>
        </w:rPr>
        <w:t>基金资产净值是指基金资产总值减去基金负债后的价值，其构成主要有：</w:t>
      </w:r>
    </w:p>
    <w:p w14:paraId="21284CF9" w14:textId="77777777" w:rsidR="00BF0C91" w:rsidRDefault="00D65346">
      <w:pPr>
        <w:spacing w:line="400" w:lineRule="exact"/>
        <w:ind w:firstLineChars="200" w:firstLine="480"/>
        <w:rPr>
          <w:rFonts w:ascii="宋体" w:hAnsi="宋体"/>
          <w:color w:val="000000"/>
          <w:sz w:val="24"/>
          <w:szCs w:val="21"/>
        </w:rPr>
      </w:pPr>
      <w:r>
        <w:rPr>
          <w:rFonts w:ascii="宋体" w:hAnsi="宋体" w:hint="eastAsia"/>
          <w:color w:val="000000"/>
          <w:sz w:val="24"/>
          <w:szCs w:val="21"/>
        </w:rPr>
        <w:t>1、基金份额持有人申购基金份额所支付的款项；</w:t>
      </w:r>
    </w:p>
    <w:p w14:paraId="221DBD75" w14:textId="77777777" w:rsidR="00BF0C91" w:rsidRDefault="00D65346">
      <w:pPr>
        <w:spacing w:line="400" w:lineRule="exact"/>
        <w:ind w:firstLineChars="200" w:firstLine="480"/>
        <w:rPr>
          <w:rFonts w:ascii="宋体" w:hAnsi="宋体"/>
          <w:color w:val="000000"/>
          <w:sz w:val="24"/>
          <w:szCs w:val="21"/>
        </w:rPr>
      </w:pPr>
      <w:r>
        <w:rPr>
          <w:rFonts w:ascii="宋体" w:hAnsi="宋体" w:hint="eastAsia"/>
          <w:color w:val="000000"/>
          <w:sz w:val="24"/>
          <w:szCs w:val="21"/>
        </w:rPr>
        <w:t>2、运用基金财产所获得收益（亏损）；</w:t>
      </w:r>
    </w:p>
    <w:p w14:paraId="69F9F28A" w14:textId="77777777" w:rsidR="00BF0C91" w:rsidRDefault="00D65346">
      <w:pPr>
        <w:spacing w:line="400" w:lineRule="exact"/>
        <w:ind w:firstLineChars="200" w:firstLine="480"/>
        <w:rPr>
          <w:rFonts w:ascii="宋体" w:hAnsi="宋体"/>
          <w:color w:val="000000"/>
          <w:sz w:val="24"/>
          <w:szCs w:val="21"/>
        </w:rPr>
      </w:pPr>
      <w:r>
        <w:rPr>
          <w:rFonts w:ascii="宋体" w:hAnsi="宋体" w:hint="eastAsia"/>
          <w:color w:val="000000"/>
          <w:sz w:val="24"/>
          <w:szCs w:val="21"/>
        </w:rPr>
        <w:t>3、以前年度实现的尚未分配的收益或尚未弥补的亏损等。</w:t>
      </w:r>
    </w:p>
    <w:p w14:paraId="34DA8B73" w14:textId="77777777" w:rsidR="00BF0C91" w:rsidRDefault="00D65346">
      <w:pPr>
        <w:spacing w:beforeLines="50" w:before="156" w:afterLines="50" w:after="156" w:line="400" w:lineRule="exact"/>
        <w:ind w:firstLineChars="200" w:firstLine="482"/>
        <w:outlineLvl w:val="1"/>
        <w:rPr>
          <w:rFonts w:ascii="宋体" w:hAnsi="宋体"/>
          <w:b/>
          <w:bCs/>
          <w:color w:val="000000"/>
          <w:sz w:val="24"/>
          <w:szCs w:val="21"/>
        </w:rPr>
      </w:pPr>
      <w:r>
        <w:rPr>
          <w:rFonts w:ascii="宋体" w:hAnsi="宋体" w:hint="eastAsia"/>
          <w:b/>
          <w:bCs/>
          <w:color w:val="000000"/>
          <w:sz w:val="24"/>
          <w:szCs w:val="21"/>
        </w:rPr>
        <w:t>三、基金财产的账户</w:t>
      </w:r>
    </w:p>
    <w:p w14:paraId="3F248329" w14:textId="77777777" w:rsidR="00BF0C91" w:rsidRDefault="00D65346">
      <w:pPr>
        <w:spacing w:line="400" w:lineRule="exact"/>
        <w:ind w:firstLine="480"/>
        <w:rPr>
          <w:rFonts w:ascii="宋体" w:hAnsi="宋体"/>
          <w:color w:val="000000"/>
          <w:sz w:val="24"/>
          <w:szCs w:val="21"/>
        </w:rPr>
      </w:pPr>
      <w:r>
        <w:rPr>
          <w:rFonts w:ascii="宋体" w:hAnsi="宋体" w:hint="eastAsia"/>
          <w:color w:val="000000"/>
          <w:sz w:val="24"/>
        </w:rPr>
        <w:t>本基金以基金托管人的名义开立资金结算账户和托管专户用于基金的资金结算业务，并以基金托管人和“交银施罗德货币市场证券投资基金”联名的方式开立基金证券账户、以“交银施罗德货币市场证券投资基金”的名义开立银行间债券托管账户并报中国人民银行备案。开立的基金专用账户与基金管理人、基金托管人、基金代销机构和基金注册登记机构自有的财产账户以及其他基金财产账户相独立。</w:t>
      </w:r>
      <w:bookmarkStart w:id="130" w:name="_Hlt88900045"/>
      <w:bookmarkEnd w:id="130"/>
    </w:p>
    <w:p w14:paraId="76C88133" w14:textId="77777777" w:rsidR="00BF0C91" w:rsidRDefault="00D65346">
      <w:pPr>
        <w:spacing w:beforeLines="50" w:before="156" w:afterLines="50" w:after="156" w:line="400" w:lineRule="exact"/>
        <w:ind w:firstLineChars="200" w:firstLine="482"/>
        <w:outlineLvl w:val="1"/>
        <w:rPr>
          <w:rFonts w:ascii="宋体" w:hAnsi="宋体"/>
          <w:b/>
          <w:bCs/>
          <w:color w:val="000000"/>
          <w:sz w:val="24"/>
          <w:szCs w:val="21"/>
        </w:rPr>
      </w:pPr>
      <w:r>
        <w:rPr>
          <w:rFonts w:ascii="宋体" w:hAnsi="宋体" w:hint="eastAsia"/>
          <w:b/>
          <w:bCs/>
          <w:color w:val="000000"/>
          <w:sz w:val="24"/>
          <w:szCs w:val="21"/>
        </w:rPr>
        <w:t>四、基金财产的保管和处分</w:t>
      </w:r>
    </w:p>
    <w:p w14:paraId="05118268" w14:textId="77777777" w:rsidR="00BF0C91" w:rsidRDefault="00D65346">
      <w:pPr>
        <w:spacing w:line="400" w:lineRule="exact"/>
        <w:ind w:firstLineChars="200" w:firstLine="480"/>
        <w:rPr>
          <w:rFonts w:ascii="宋体" w:hAnsi="宋体"/>
          <w:color w:val="000000"/>
          <w:sz w:val="24"/>
          <w:szCs w:val="21"/>
        </w:rPr>
      </w:pPr>
      <w:r>
        <w:rPr>
          <w:rFonts w:ascii="宋体" w:hAnsi="宋体" w:hint="eastAsia"/>
          <w:color w:val="000000"/>
          <w:sz w:val="24"/>
          <w:szCs w:val="21"/>
        </w:rPr>
        <w:t>1、基金财产应独立于基金管理人、基金托管人的固有财产。基金管理人、基金托管人不得将基金财产归入其固有财产。</w:t>
      </w:r>
    </w:p>
    <w:p w14:paraId="0BC49372" w14:textId="77777777" w:rsidR="00BF0C91" w:rsidRDefault="00D65346">
      <w:pPr>
        <w:spacing w:line="400" w:lineRule="exact"/>
        <w:ind w:firstLineChars="200" w:firstLine="480"/>
        <w:rPr>
          <w:rFonts w:ascii="宋体" w:hAnsi="宋体"/>
          <w:color w:val="000000"/>
          <w:sz w:val="24"/>
          <w:szCs w:val="21"/>
        </w:rPr>
      </w:pPr>
      <w:r>
        <w:rPr>
          <w:rFonts w:ascii="宋体" w:hAnsi="宋体" w:hint="eastAsia"/>
          <w:color w:val="000000"/>
          <w:sz w:val="24"/>
          <w:szCs w:val="21"/>
        </w:rPr>
        <w:t>2、基金管理人、基金托管人因基金财产的管理、运用或者其他情形而取得的财产和收益，归入基金财产。</w:t>
      </w:r>
    </w:p>
    <w:p w14:paraId="0F5930B8" w14:textId="77777777" w:rsidR="00BF0C91" w:rsidRDefault="00D65346">
      <w:pPr>
        <w:spacing w:line="400" w:lineRule="exact"/>
        <w:ind w:firstLineChars="200" w:firstLine="480"/>
        <w:rPr>
          <w:rFonts w:ascii="宋体" w:hAnsi="宋体"/>
          <w:sz w:val="24"/>
          <w:szCs w:val="21"/>
        </w:rPr>
      </w:pPr>
      <w:r>
        <w:rPr>
          <w:rFonts w:ascii="宋体" w:hAnsi="宋体" w:hint="eastAsia"/>
          <w:color w:val="000000"/>
          <w:sz w:val="24"/>
          <w:szCs w:val="21"/>
        </w:rPr>
        <w:t>3、基金管理人、基金托管人因依法解散、被依法撤销或者被依法宣告破产</w:t>
      </w:r>
      <w:r>
        <w:rPr>
          <w:rFonts w:ascii="宋体" w:hAnsi="宋体" w:hint="eastAsia"/>
          <w:sz w:val="24"/>
          <w:szCs w:val="21"/>
        </w:rPr>
        <w:t>等原因进行清算的，基金财产不属于其清算财产。</w:t>
      </w:r>
    </w:p>
    <w:p w14:paraId="6BAEAE13" w14:textId="77777777" w:rsidR="00BF0C91" w:rsidRDefault="00D65346">
      <w:pPr>
        <w:spacing w:line="400" w:lineRule="exact"/>
        <w:ind w:firstLineChars="200" w:firstLine="480"/>
        <w:rPr>
          <w:rFonts w:ascii="宋体" w:hAnsi="宋体"/>
          <w:sz w:val="24"/>
          <w:szCs w:val="21"/>
        </w:rPr>
      </w:pPr>
      <w:r>
        <w:rPr>
          <w:rFonts w:ascii="宋体" w:hAnsi="宋体" w:hint="eastAsia"/>
          <w:sz w:val="24"/>
          <w:szCs w:val="21"/>
        </w:rPr>
        <w:t>4、基金财产的债权，不得与基金管理人、基金托管人固有财产的债务相抵销；不同基金财产的债权债务，不得相互抵销。</w:t>
      </w:r>
    </w:p>
    <w:p w14:paraId="275907B0" w14:textId="77777777" w:rsidR="00BF0C91" w:rsidRDefault="00D65346">
      <w:pPr>
        <w:spacing w:line="400" w:lineRule="exact"/>
        <w:ind w:firstLineChars="200" w:firstLine="480"/>
        <w:rPr>
          <w:rFonts w:ascii="宋体" w:hAnsi="宋体"/>
          <w:sz w:val="24"/>
          <w:szCs w:val="21"/>
        </w:rPr>
      </w:pPr>
      <w:r>
        <w:rPr>
          <w:rFonts w:ascii="宋体" w:hAnsi="宋体" w:hint="eastAsia"/>
          <w:sz w:val="24"/>
          <w:szCs w:val="21"/>
        </w:rPr>
        <w:t>5、非因基金财产本身承担的债务，不得对基金财产强制执行。</w:t>
      </w:r>
    </w:p>
    <w:p w14:paraId="1D88BD49" w14:textId="77777777" w:rsidR="00BF0C91" w:rsidRDefault="00D65346">
      <w:pPr>
        <w:spacing w:line="400" w:lineRule="exact"/>
        <w:ind w:firstLineChars="200" w:firstLine="480"/>
        <w:rPr>
          <w:rFonts w:ascii="宋体" w:hAnsi="宋体"/>
          <w:sz w:val="24"/>
          <w:szCs w:val="21"/>
        </w:rPr>
      </w:pPr>
      <w:r>
        <w:rPr>
          <w:rFonts w:ascii="宋体" w:hAnsi="宋体" w:hint="eastAsia"/>
          <w:sz w:val="24"/>
          <w:szCs w:val="21"/>
        </w:rPr>
        <w:t>6、基金管理人、基金托管人可以按基金合同的规定，收取管理费、托管费及其他费用。</w:t>
      </w:r>
    </w:p>
    <w:p w14:paraId="21D264E6" w14:textId="77777777" w:rsidR="00BF0C91" w:rsidRDefault="00D65346">
      <w:pPr>
        <w:spacing w:line="400" w:lineRule="exact"/>
        <w:ind w:firstLineChars="200" w:firstLine="480"/>
        <w:rPr>
          <w:rFonts w:ascii="宋体" w:hAnsi="宋体"/>
          <w:sz w:val="24"/>
          <w:szCs w:val="21"/>
        </w:rPr>
      </w:pPr>
      <w:r>
        <w:rPr>
          <w:rFonts w:ascii="宋体" w:hAnsi="宋体" w:hint="eastAsia"/>
          <w:sz w:val="24"/>
          <w:szCs w:val="21"/>
        </w:rPr>
        <w:t>7、除依法律法规和基金合同的规定处分外，基金财产不得被处分。</w:t>
      </w:r>
      <w:bookmarkStart w:id="131" w:name="_Toc48649713"/>
    </w:p>
    <w:p w14:paraId="1F759B0E" w14:textId="77777777" w:rsidR="00BF0C91" w:rsidRDefault="00D65346">
      <w:pPr>
        <w:pStyle w:val="1"/>
        <w:spacing w:before="100" w:beforeAutospacing="1" w:after="100" w:afterAutospacing="1" w:line="360" w:lineRule="auto"/>
        <w:rPr>
          <w:rFonts w:ascii="黑体" w:eastAsia="黑体" w:hAnsi="Arial" w:cs="Arial"/>
          <w:sz w:val="30"/>
          <w:szCs w:val="32"/>
        </w:rPr>
      </w:pPr>
      <w:r>
        <w:rPr>
          <w:rFonts w:ascii="黑体" w:eastAsia="黑体" w:hAnsi="宋体"/>
          <w:b w:val="0"/>
          <w:color w:val="000000"/>
          <w:sz w:val="24"/>
          <w:szCs w:val="32"/>
        </w:rPr>
        <w:br w:type="page"/>
      </w:r>
      <w:bookmarkStart w:id="132" w:name="_Toc169580227"/>
      <w:r>
        <w:rPr>
          <w:rFonts w:ascii="黑体" w:eastAsia="黑体" w:hAnsi="Arial" w:cs="Arial" w:hint="eastAsia"/>
          <w:sz w:val="30"/>
          <w:szCs w:val="32"/>
        </w:rPr>
        <w:lastRenderedPageBreak/>
        <w:t>第十四部分</w:t>
      </w:r>
      <w:r>
        <w:rPr>
          <w:rFonts w:ascii="黑体" w:eastAsia="黑体" w:hAnsi="Arial" w:cs="Arial"/>
          <w:sz w:val="30"/>
          <w:szCs w:val="32"/>
        </w:rPr>
        <w:t xml:space="preserve">  </w:t>
      </w:r>
      <w:r>
        <w:rPr>
          <w:rFonts w:ascii="黑体" w:eastAsia="黑体" w:hAnsi="Arial" w:cs="Arial" w:hint="eastAsia"/>
          <w:sz w:val="30"/>
          <w:szCs w:val="32"/>
        </w:rPr>
        <w:t>基金资产估值</w:t>
      </w:r>
      <w:bookmarkEnd w:id="131"/>
      <w:bookmarkEnd w:id="132"/>
    </w:p>
    <w:p w14:paraId="7DCA3735" w14:textId="77777777" w:rsidR="00BF0C91" w:rsidRDefault="00D65346">
      <w:pPr>
        <w:spacing w:beforeLines="50" w:before="156" w:afterLines="50" w:after="156" w:line="360" w:lineRule="auto"/>
        <w:ind w:firstLineChars="200" w:firstLine="482"/>
        <w:outlineLvl w:val="1"/>
        <w:rPr>
          <w:rFonts w:ascii="宋体" w:hAnsi="宋体"/>
          <w:b/>
          <w:bCs/>
          <w:sz w:val="24"/>
          <w:szCs w:val="21"/>
        </w:rPr>
      </w:pPr>
      <w:bookmarkStart w:id="133" w:name="_Hlt88453226"/>
      <w:bookmarkEnd w:id="133"/>
      <w:r>
        <w:rPr>
          <w:rFonts w:ascii="宋体" w:hAnsi="宋体" w:hint="eastAsia"/>
          <w:b/>
          <w:bCs/>
          <w:sz w:val="24"/>
          <w:szCs w:val="21"/>
        </w:rPr>
        <w:t>一、估值目的</w:t>
      </w:r>
    </w:p>
    <w:p w14:paraId="51B4E543"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基金资产估值的目的是客观、准确地反映基金财产</w:t>
      </w:r>
      <w:r>
        <w:rPr>
          <w:rFonts w:hint="eastAsia"/>
          <w:sz w:val="24"/>
          <w:szCs w:val="21"/>
        </w:rPr>
        <w:t>的价值</w:t>
      </w:r>
      <w:r>
        <w:rPr>
          <w:rFonts w:ascii="宋体" w:hAnsi="宋体" w:hint="eastAsia"/>
          <w:sz w:val="24"/>
          <w:szCs w:val="21"/>
        </w:rPr>
        <w:t>，依据经基金资产估值后确定的基金资产净值计算出的基金份额收益。本基金采用固定份额净值，基金账面份额净值始终保持为1.00元。</w:t>
      </w:r>
      <w:bookmarkStart w:id="134" w:name="_Hlt81129040"/>
      <w:bookmarkEnd w:id="134"/>
    </w:p>
    <w:p w14:paraId="23CC22AB" w14:textId="77777777" w:rsidR="00BF0C91" w:rsidRDefault="00D65346">
      <w:pPr>
        <w:spacing w:beforeLines="50" w:before="156" w:afterLines="50" w:after="156" w:line="360" w:lineRule="auto"/>
        <w:ind w:firstLineChars="200" w:firstLine="482"/>
        <w:outlineLvl w:val="1"/>
        <w:rPr>
          <w:rFonts w:ascii="宋体" w:hAnsi="宋体"/>
          <w:b/>
          <w:bCs/>
          <w:sz w:val="24"/>
          <w:szCs w:val="21"/>
        </w:rPr>
      </w:pPr>
      <w:r>
        <w:rPr>
          <w:rFonts w:ascii="宋体" w:hAnsi="宋体" w:hint="eastAsia"/>
          <w:b/>
          <w:bCs/>
          <w:sz w:val="24"/>
          <w:szCs w:val="21"/>
        </w:rPr>
        <w:t>二、估值日</w:t>
      </w:r>
    </w:p>
    <w:p w14:paraId="695AC01A"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本基金的估值日为相关的证券交易场所的正常营业日</w:t>
      </w:r>
      <w:r>
        <w:rPr>
          <w:rFonts w:hAnsi="宋体" w:hint="eastAsia"/>
          <w:sz w:val="24"/>
        </w:rPr>
        <w:t>以及国家法律法规规定需要对外披露基金净值的非营业日</w:t>
      </w:r>
      <w:r>
        <w:rPr>
          <w:rFonts w:ascii="宋体" w:hAnsi="宋体" w:hint="eastAsia"/>
          <w:sz w:val="24"/>
          <w:szCs w:val="21"/>
        </w:rPr>
        <w:t>。</w:t>
      </w:r>
      <w:bookmarkStart w:id="135" w:name="_Hlt80435237"/>
      <w:bookmarkEnd w:id="135"/>
    </w:p>
    <w:p w14:paraId="5988984F" w14:textId="77777777" w:rsidR="00BF0C91" w:rsidRDefault="00D65346">
      <w:pPr>
        <w:spacing w:line="360" w:lineRule="auto"/>
        <w:ind w:firstLineChars="200" w:firstLine="482"/>
        <w:rPr>
          <w:rFonts w:ascii="宋体" w:hAnsi="宋体"/>
          <w:b/>
          <w:bCs/>
          <w:sz w:val="24"/>
          <w:szCs w:val="21"/>
        </w:rPr>
      </w:pPr>
      <w:r>
        <w:rPr>
          <w:rFonts w:ascii="宋体" w:hAnsi="宋体" w:hint="eastAsia"/>
          <w:b/>
          <w:bCs/>
          <w:sz w:val="24"/>
          <w:szCs w:val="21"/>
        </w:rPr>
        <w:t>三、估值方法</w:t>
      </w:r>
    </w:p>
    <w:p w14:paraId="6847F9FF" w14:textId="77777777" w:rsidR="00BF0C91" w:rsidRDefault="00D65346">
      <w:pPr>
        <w:spacing w:line="360" w:lineRule="auto"/>
        <w:ind w:right="28" w:firstLineChars="200" w:firstLine="480"/>
        <w:rPr>
          <w:rFonts w:ascii="宋体" w:hAnsi="宋体"/>
          <w:sz w:val="24"/>
          <w:szCs w:val="21"/>
        </w:rPr>
      </w:pPr>
      <w:r>
        <w:rPr>
          <w:rFonts w:ascii="宋体" w:hAnsi="宋体" w:hint="eastAsia"/>
          <w:sz w:val="24"/>
          <w:szCs w:val="21"/>
        </w:rPr>
        <w:t>1、本基金目前投资工具的估值方法如下：</w:t>
      </w:r>
    </w:p>
    <w:p w14:paraId="2C4E89AC" w14:textId="77777777" w:rsidR="00BF0C91" w:rsidRDefault="00D65346">
      <w:pPr>
        <w:spacing w:line="360" w:lineRule="auto"/>
        <w:ind w:right="28" w:firstLineChars="200" w:firstLine="480"/>
        <w:rPr>
          <w:rFonts w:ascii="宋体" w:hAnsi="宋体"/>
          <w:sz w:val="24"/>
          <w:szCs w:val="21"/>
        </w:rPr>
      </w:pPr>
      <w:r>
        <w:rPr>
          <w:rFonts w:ascii="宋体" w:hAnsi="宋体" w:hint="eastAsia"/>
          <w:sz w:val="24"/>
          <w:szCs w:val="21"/>
        </w:rPr>
        <w:t>(1) 基金持有的银行存款以本金列示，按银行实际协议利率逐日计提利息；</w:t>
      </w:r>
    </w:p>
    <w:p w14:paraId="5C0463C0" w14:textId="77777777" w:rsidR="00BF0C91" w:rsidRDefault="00D65346">
      <w:pPr>
        <w:spacing w:line="360" w:lineRule="auto"/>
        <w:ind w:right="28" w:firstLineChars="200" w:firstLine="480"/>
        <w:rPr>
          <w:sz w:val="24"/>
          <w:szCs w:val="21"/>
        </w:rPr>
      </w:pPr>
      <w:r>
        <w:rPr>
          <w:rFonts w:ascii="宋体" w:hAnsi="宋体" w:hint="eastAsia"/>
          <w:sz w:val="24"/>
          <w:szCs w:val="21"/>
        </w:rPr>
        <w:t>(2)</w:t>
      </w:r>
      <w:r>
        <w:rPr>
          <w:sz w:val="24"/>
          <w:szCs w:val="21"/>
        </w:rPr>
        <w:t xml:space="preserve"> </w:t>
      </w:r>
      <w:r>
        <w:rPr>
          <w:sz w:val="24"/>
          <w:szCs w:val="21"/>
        </w:rPr>
        <w:t>基金持有的回购协议（封闭式回购）以成本列示，按</w:t>
      </w:r>
      <w:r>
        <w:rPr>
          <w:rFonts w:hint="eastAsia"/>
          <w:sz w:val="24"/>
          <w:szCs w:val="21"/>
        </w:rPr>
        <w:t>实际</w:t>
      </w:r>
      <w:r>
        <w:rPr>
          <w:sz w:val="24"/>
          <w:szCs w:val="21"/>
        </w:rPr>
        <w:t>利率在实际持有期间内逐日计提利息</w:t>
      </w:r>
      <w:r>
        <w:rPr>
          <w:rFonts w:hint="eastAsia"/>
          <w:sz w:val="24"/>
          <w:szCs w:val="21"/>
        </w:rPr>
        <w:t>，合同利率与实际利率差异较小的，也可采用合同利率计算确定利息收入</w:t>
      </w:r>
      <w:r>
        <w:rPr>
          <w:sz w:val="24"/>
          <w:szCs w:val="21"/>
        </w:rPr>
        <w:t>；</w:t>
      </w:r>
    </w:p>
    <w:p w14:paraId="2F73958B" w14:textId="77777777" w:rsidR="00BF0C91" w:rsidRDefault="00D65346">
      <w:pPr>
        <w:spacing w:line="360" w:lineRule="auto"/>
        <w:ind w:right="28" w:firstLineChars="200" w:firstLine="480"/>
        <w:rPr>
          <w:sz w:val="24"/>
          <w:szCs w:val="21"/>
        </w:rPr>
      </w:pPr>
      <w:r>
        <w:rPr>
          <w:rFonts w:ascii="宋体" w:hAnsi="宋体" w:hint="eastAsia"/>
          <w:sz w:val="24"/>
          <w:szCs w:val="21"/>
        </w:rPr>
        <w:t xml:space="preserve">(3) </w:t>
      </w:r>
      <w:r>
        <w:rPr>
          <w:sz w:val="24"/>
          <w:szCs w:val="21"/>
        </w:rPr>
        <w:t>基金持有的附息债券</w:t>
      </w:r>
      <w:r>
        <w:rPr>
          <w:rFonts w:hint="eastAsia"/>
          <w:sz w:val="24"/>
          <w:szCs w:val="21"/>
        </w:rPr>
        <w:t>、贴现券购买时采用实际支付价款（包含交易费用）确定初始成本，每日按摊余成本和实际利率计算确定利息收入</w:t>
      </w:r>
      <w:r>
        <w:rPr>
          <w:sz w:val="24"/>
          <w:szCs w:val="21"/>
        </w:rPr>
        <w:t>；</w:t>
      </w:r>
    </w:p>
    <w:p w14:paraId="003CB258" w14:textId="77777777" w:rsidR="00BF0C91" w:rsidRDefault="00D65346">
      <w:pPr>
        <w:spacing w:line="360" w:lineRule="auto"/>
        <w:ind w:right="28" w:firstLineChars="200" w:firstLine="480"/>
        <w:rPr>
          <w:sz w:val="24"/>
          <w:szCs w:val="21"/>
        </w:rPr>
      </w:pPr>
      <w:r>
        <w:rPr>
          <w:rFonts w:ascii="宋体" w:hAnsi="宋体" w:hint="eastAsia"/>
          <w:sz w:val="24"/>
          <w:szCs w:val="21"/>
        </w:rPr>
        <w:t xml:space="preserve">(4) </w:t>
      </w:r>
      <w:r>
        <w:rPr>
          <w:sz w:val="24"/>
          <w:szCs w:val="21"/>
        </w:rPr>
        <w:t>基金持有的买断式回购以协议成本列示，所产生的利息在实际持有期间内逐日计提。回购期间对涉及的金融资产根据其资产的性质进行相应的估值。回购期满时，若双方都能履约，则按协议进行交割。若融资业务到期无法履约，则继续持有现金资产，实际持有的相关资产按其性质进行估值；</w:t>
      </w:r>
    </w:p>
    <w:p w14:paraId="339279F7" w14:textId="77777777" w:rsidR="00BF0C91" w:rsidRDefault="00D65346">
      <w:pPr>
        <w:spacing w:line="360" w:lineRule="auto"/>
        <w:ind w:right="28" w:firstLineChars="200" w:firstLine="480"/>
        <w:rPr>
          <w:sz w:val="24"/>
          <w:szCs w:val="21"/>
        </w:rPr>
      </w:pPr>
      <w:r>
        <w:rPr>
          <w:rFonts w:ascii="宋体" w:hAnsi="宋体" w:hint="eastAsia"/>
          <w:sz w:val="24"/>
          <w:szCs w:val="21"/>
        </w:rPr>
        <w:t>(5)</w:t>
      </w:r>
      <w:r>
        <w:rPr>
          <w:sz w:val="24"/>
          <w:szCs w:val="21"/>
        </w:rPr>
        <w:t xml:space="preserve"> </w:t>
      </w:r>
      <w:r>
        <w:rPr>
          <w:sz w:val="24"/>
          <w:szCs w:val="21"/>
        </w:rPr>
        <w:t>基金持有的资产支持证券视同债券</w:t>
      </w:r>
      <w:r>
        <w:rPr>
          <w:rFonts w:hint="eastAsia"/>
          <w:sz w:val="24"/>
          <w:szCs w:val="21"/>
        </w:rPr>
        <w:t>，购买时采用实际支付价款（包含交易费用）确定初始成本，每日按摊余成本和实际利率计算确定利息收入</w:t>
      </w:r>
      <w:r>
        <w:rPr>
          <w:sz w:val="24"/>
          <w:szCs w:val="21"/>
        </w:rPr>
        <w:t>。</w:t>
      </w:r>
    </w:p>
    <w:p w14:paraId="155DC1B7" w14:textId="77777777" w:rsidR="00BF0C91" w:rsidRDefault="00D65346">
      <w:pPr>
        <w:spacing w:line="360" w:lineRule="auto"/>
        <w:ind w:right="28" w:firstLineChars="200" w:firstLine="480"/>
        <w:rPr>
          <w:rFonts w:ascii="宋体" w:hAnsi="宋体"/>
          <w:sz w:val="24"/>
          <w:szCs w:val="21"/>
        </w:rPr>
      </w:pPr>
      <w:r>
        <w:rPr>
          <w:rFonts w:ascii="宋体" w:hAnsi="宋体" w:hint="eastAsia"/>
          <w:sz w:val="24"/>
          <w:szCs w:val="21"/>
        </w:rPr>
        <w:t>2、如有确凿证据表明按上述方法进行估值不能客观反映其公允价值的，基金管理人可根据具体情况与基金托管人商定后，按最能反映公允价值的价格估值。即使存在上述情况，基金管理人若采用上述(1)-(5)规定的方法为基金财产进行了估值，仍应被认为采用了适当的估值方法。</w:t>
      </w:r>
    </w:p>
    <w:p w14:paraId="48DD4832" w14:textId="77777777" w:rsidR="00BF0C91" w:rsidRDefault="00D65346">
      <w:pPr>
        <w:spacing w:line="360" w:lineRule="auto"/>
        <w:ind w:right="28" w:firstLineChars="200" w:firstLine="480"/>
        <w:rPr>
          <w:sz w:val="24"/>
          <w:szCs w:val="21"/>
        </w:rPr>
      </w:pPr>
      <w:r>
        <w:rPr>
          <w:rFonts w:ascii="宋体" w:hAnsi="宋体" w:hint="eastAsia"/>
          <w:sz w:val="24"/>
          <w:szCs w:val="21"/>
        </w:rPr>
        <w:t>3、</w:t>
      </w:r>
      <w:r>
        <w:rPr>
          <w:rFonts w:ascii="宋体" w:hAnsi="宋体" w:hint="eastAsia"/>
          <w:sz w:val="24"/>
        </w:rPr>
        <w:t>货币市场基金存续期间，基金管理人应定期计算货币市场基金投资组合</w:t>
      </w:r>
      <w:r>
        <w:rPr>
          <w:rFonts w:ascii="宋体" w:hAnsi="宋体" w:hint="eastAsia"/>
          <w:sz w:val="24"/>
        </w:rPr>
        <w:lastRenderedPageBreak/>
        <w:t>摊余成本与其他可参考公允价值指标之间的偏离程度，并定期测试其他可参考公允价值指标确定方法的有效性。</w:t>
      </w:r>
      <w:r>
        <w:rPr>
          <w:rFonts w:hint="eastAsia"/>
          <w:sz w:val="24"/>
          <w:szCs w:val="21"/>
        </w:rPr>
        <w:t>投资组合的摊余成本与其他可参考公允价值指标产生重大偏离的（偏离度超过</w:t>
      </w:r>
      <w:r>
        <w:rPr>
          <w:rFonts w:hint="eastAsia"/>
          <w:sz w:val="24"/>
          <w:szCs w:val="21"/>
        </w:rPr>
        <w:t>0</w:t>
      </w:r>
      <w:r>
        <w:rPr>
          <w:sz w:val="24"/>
          <w:szCs w:val="21"/>
        </w:rPr>
        <w:t>.</w:t>
      </w:r>
      <w:r>
        <w:rPr>
          <w:rFonts w:hint="eastAsia"/>
          <w:sz w:val="24"/>
          <w:szCs w:val="21"/>
        </w:rPr>
        <w:t>5%</w:t>
      </w:r>
      <w:r>
        <w:rPr>
          <w:rFonts w:hint="eastAsia"/>
          <w:sz w:val="24"/>
          <w:szCs w:val="21"/>
        </w:rPr>
        <w:t>），应按其他公允价值指标对组合的账面价值进行调整，调整差额确认为</w:t>
      </w:r>
      <w:r>
        <w:rPr>
          <w:sz w:val="24"/>
          <w:szCs w:val="21"/>
        </w:rPr>
        <w:t>“</w:t>
      </w:r>
      <w:r>
        <w:rPr>
          <w:rFonts w:hint="eastAsia"/>
          <w:sz w:val="24"/>
          <w:szCs w:val="21"/>
        </w:rPr>
        <w:t>公允价值变动损益</w:t>
      </w:r>
      <w:r>
        <w:rPr>
          <w:sz w:val="24"/>
          <w:szCs w:val="21"/>
        </w:rPr>
        <w:t>”</w:t>
      </w:r>
      <w:r>
        <w:rPr>
          <w:rFonts w:hint="eastAsia"/>
          <w:sz w:val="24"/>
          <w:szCs w:val="21"/>
        </w:rPr>
        <w:t>，并按其他公允价值指标进行后续计量。如基金份额净值恢复至</w:t>
      </w:r>
      <w:r>
        <w:rPr>
          <w:sz w:val="24"/>
          <w:szCs w:val="21"/>
        </w:rPr>
        <w:t>1</w:t>
      </w:r>
      <w:r>
        <w:rPr>
          <w:rFonts w:hint="eastAsia"/>
          <w:sz w:val="24"/>
          <w:szCs w:val="21"/>
        </w:rPr>
        <w:t>元，可恢复使用摊余成本法估算公允价值。</w:t>
      </w:r>
    </w:p>
    <w:p w14:paraId="6C278146" w14:textId="77777777" w:rsidR="00BF0C91" w:rsidRDefault="00D65346">
      <w:pPr>
        <w:spacing w:line="360" w:lineRule="auto"/>
        <w:ind w:right="28" w:firstLineChars="200" w:firstLine="480"/>
        <w:rPr>
          <w:rFonts w:ascii="宋体" w:hAnsi="宋体"/>
          <w:sz w:val="24"/>
          <w:szCs w:val="21"/>
        </w:rPr>
      </w:pPr>
      <w:r>
        <w:rPr>
          <w:rFonts w:ascii="宋体" w:hAnsi="宋体" w:hint="eastAsia"/>
          <w:sz w:val="24"/>
          <w:szCs w:val="21"/>
        </w:rPr>
        <w:t>4、如有新增事项，按国家有关法律法规的最新规定估值。</w:t>
      </w:r>
    </w:p>
    <w:p w14:paraId="429755D6" w14:textId="77777777" w:rsidR="00BF0C91" w:rsidRDefault="00D65346">
      <w:pPr>
        <w:spacing w:line="360" w:lineRule="auto"/>
        <w:ind w:right="28" w:firstLineChars="200" w:firstLine="480"/>
        <w:rPr>
          <w:rFonts w:ascii="宋体" w:hAnsi="宋体"/>
          <w:sz w:val="24"/>
          <w:szCs w:val="21"/>
        </w:rPr>
      </w:pPr>
      <w:r>
        <w:rPr>
          <w:sz w:val="24"/>
          <w:szCs w:val="21"/>
        </w:rPr>
        <w:t>5</w:t>
      </w:r>
      <w:r>
        <w:rPr>
          <w:sz w:val="24"/>
          <w:szCs w:val="21"/>
        </w:rPr>
        <w:t>、采用本估值方法可能对基金资产净值波动带来的影响：适用影子定价法对估值对象进行调整时，调整差额于当日计入基金资产净值，基金资产净值可能产生相应的波动。</w:t>
      </w:r>
    </w:p>
    <w:p w14:paraId="42C4D2E0" w14:textId="77777777" w:rsidR="00BF0C91" w:rsidRDefault="00D65346">
      <w:pPr>
        <w:adjustRightInd w:val="0"/>
        <w:snapToGrid w:val="0"/>
        <w:spacing w:line="360" w:lineRule="auto"/>
        <w:ind w:firstLineChars="200" w:firstLine="480"/>
        <w:rPr>
          <w:rStyle w:val="read"/>
          <w:rFonts w:ascii="宋体" w:hAnsi="宋体" w:cs="Arial"/>
          <w:sz w:val="24"/>
        </w:rPr>
      </w:pPr>
      <w:r>
        <w:rPr>
          <w:rFonts w:ascii="宋体" w:hAnsi="宋体" w:hint="eastAsia"/>
          <w:sz w:val="24"/>
          <w:szCs w:val="21"/>
        </w:rPr>
        <w:t>6、</w:t>
      </w:r>
      <w:r>
        <w:rPr>
          <w:rStyle w:val="read"/>
          <w:rFonts w:ascii="宋体"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3DAB6F1" w14:textId="77777777" w:rsidR="00BF0C91" w:rsidRDefault="00D65346">
      <w:pPr>
        <w:spacing w:line="360" w:lineRule="auto"/>
        <w:ind w:right="28" w:firstLineChars="200" w:firstLine="480"/>
        <w:rPr>
          <w:rFonts w:ascii="宋体" w:hAnsi="宋体"/>
          <w:sz w:val="24"/>
          <w:szCs w:val="21"/>
        </w:rPr>
      </w:pPr>
      <w:r>
        <w:rPr>
          <w:rFonts w:ascii="宋体" w:hAnsi="宋体" w:hint="eastAsia"/>
          <w:sz w:val="24"/>
          <w:szCs w:val="21"/>
        </w:rPr>
        <w:t>根据有关法律法规，开放式基金的基金会计责任方由基金管理人担任。因此，就与本基金有关的会计问题，如经相关各方在平等基础上充分讨论后，仍无法达成一致的意见，</w:t>
      </w:r>
      <w:r>
        <w:rPr>
          <w:rFonts w:hint="eastAsia"/>
          <w:sz w:val="24"/>
        </w:rPr>
        <w:t>基金管理人有权按照其</w:t>
      </w:r>
      <w:r>
        <w:rPr>
          <w:rFonts w:ascii="宋体" w:hAnsi="宋体" w:hint="eastAsia"/>
          <w:sz w:val="24"/>
          <w:szCs w:val="21"/>
        </w:rPr>
        <w:t>对基金资产净值的计算结果对外予以公布。</w:t>
      </w:r>
      <w:bookmarkStart w:id="136" w:name="_Hlt88900301"/>
      <w:bookmarkEnd w:id="136"/>
    </w:p>
    <w:p w14:paraId="48A8EDAD" w14:textId="77777777" w:rsidR="00BF0C91" w:rsidRDefault="00D65346">
      <w:pPr>
        <w:spacing w:beforeLines="50" w:before="156" w:afterLines="50" w:after="156" w:line="360" w:lineRule="auto"/>
        <w:ind w:firstLineChars="200" w:firstLine="482"/>
        <w:outlineLvl w:val="1"/>
        <w:rPr>
          <w:rFonts w:ascii="宋体" w:hAnsi="宋体"/>
          <w:b/>
          <w:bCs/>
          <w:sz w:val="24"/>
          <w:szCs w:val="21"/>
        </w:rPr>
      </w:pPr>
      <w:r>
        <w:rPr>
          <w:rFonts w:ascii="宋体" w:hAnsi="宋体" w:hint="eastAsia"/>
          <w:b/>
          <w:bCs/>
          <w:sz w:val="24"/>
          <w:szCs w:val="21"/>
        </w:rPr>
        <w:t>四、估值对象</w:t>
      </w:r>
    </w:p>
    <w:p w14:paraId="13B2F38C" w14:textId="77777777" w:rsidR="00BF0C91" w:rsidRDefault="00D65346">
      <w:pPr>
        <w:autoSpaceDE w:val="0"/>
        <w:autoSpaceDN w:val="0"/>
        <w:adjustRightInd w:val="0"/>
        <w:spacing w:line="360" w:lineRule="auto"/>
        <w:ind w:firstLine="420"/>
        <w:jc w:val="left"/>
        <w:rPr>
          <w:rFonts w:ascii="宋体" w:hAnsi="宋体"/>
          <w:sz w:val="24"/>
          <w:szCs w:val="21"/>
        </w:rPr>
      </w:pPr>
      <w:r>
        <w:rPr>
          <w:rFonts w:ascii="宋体" w:hAnsi="宋体" w:hint="eastAsia"/>
          <w:sz w:val="24"/>
          <w:szCs w:val="21"/>
        </w:rPr>
        <w:t>本基金依法持有的银行存款、各类有价证券和应收款项以及其他投资等资产。</w:t>
      </w:r>
    </w:p>
    <w:p w14:paraId="5335F256" w14:textId="77777777" w:rsidR="00BF0C91" w:rsidRDefault="00D65346">
      <w:pPr>
        <w:spacing w:beforeLines="50" w:before="156" w:afterLines="50" w:after="156" w:line="360" w:lineRule="auto"/>
        <w:ind w:firstLineChars="200" w:firstLine="482"/>
        <w:outlineLvl w:val="1"/>
        <w:rPr>
          <w:rFonts w:ascii="宋体" w:hAnsi="宋体"/>
          <w:b/>
          <w:bCs/>
          <w:sz w:val="24"/>
          <w:szCs w:val="21"/>
        </w:rPr>
      </w:pPr>
      <w:r>
        <w:rPr>
          <w:rFonts w:ascii="宋体" w:hAnsi="宋体" w:hint="eastAsia"/>
          <w:b/>
          <w:bCs/>
          <w:sz w:val="24"/>
          <w:szCs w:val="21"/>
        </w:rPr>
        <w:t>五、估值程序</w:t>
      </w:r>
    </w:p>
    <w:p w14:paraId="579EBB16"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基金日常估值由基金管理人进行。基金资产净值由基金管理人完成估值后，将估值结果加盖业务公章以书面形式传真至基金托管人，基金托管人按法律法规、基金合同规定的估值方法、时间和程序进行复核；基金托管人复核无误后加盖业务公章返回给基金管理人；月末、年中和年末估值复核与基金会计账目的核对同时进行。</w:t>
      </w:r>
    </w:p>
    <w:p w14:paraId="7F7C1FC4" w14:textId="011515F8" w:rsidR="00BF0C91" w:rsidRDefault="00D65346">
      <w:pPr>
        <w:spacing w:beforeLines="50" w:before="156" w:afterLines="50" w:after="156" w:line="360" w:lineRule="auto"/>
        <w:ind w:firstLineChars="200" w:firstLine="482"/>
        <w:outlineLvl w:val="1"/>
        <w:rPr>
          <w:rFonts w:ascii="宋体" w:hAnsi="宋体"/>
          <w:b/>
          <w:bCs/>
          <w:sz w:val="24"/>
          <w:szCs w:val="21"/>
        </w:rPr>
      </w:pPr>
      <w:r>
        <w:rPr>
          <w:rFonts w:ascii="宋体" w:hAnsi="宋体" w:hint="eastAsia"/>
          <w:b/>
          <w:bCs/>
          <w:sz w:val="24"/>
          <w:szCs w:val="21"/>
        </w:rPr>
        <w:t>六、每万份基金已实现收益的确认和估值错误的处理</w:t>
      </w:r>
    </w:p>
    <w:p w14:paraId="57DBAE2B" w14:textId="20F88BC2" w:rsidR="00BF0C91" w:rsidRDefault="00D65346">
      <w:pPr>
        <w:spacing w:line="360" w:lineRule="auto"/>
        <w:ind w:firstLineChars="200" w:firstLine="480"/>
        <w:rPr>
          <w:sz w:val="24"/>
        </w:rPr>
      </w:pPr>
      <w:r>
        <w:rPr>
          <w:rFonts w:hint="eastAsia"/>
          <w:sz w:val="24"/>
        </w:rPr>
        <w:t>本基金的估值采用四舍五入方式，每万份基金已实现收益的计算</w:t>
      </w:r>
      <w:r>
        <w:rPr>
          <w:rFonts w:ascii="宋体" w:hAnsi="宋体" w:hint="eastAsia"/>
          <w:sz w:val="24"/>
          <w:szCs w:val="21"/>
        </w:rPr>
        <w:t>保留到小数点后四位</w:t>
      </w:r>
      <w:r>
        <w:rPr>
          <w:rFonts w:hint="eastAsia"/>
          <w:sz w:val="24"/>
        </w:rPr>
        <w:t>，基金七日年化收益率保留到小数点后三位，国家另有规定的从其规定。</w:t>
      </w:r>
    </w:p>
    <w:p w14:paraId="21B58D27" w14:textId="7A1661F3" w:rsidR="00BF0C91" w:rsidRDefault="00D65346">
      <w:pPr>
        <w:spacing w:line="360" w:lineRule="auto"/>
        <w:ind w:firstLineChars="200" w:firstLine="480"/>
        <w:rPr>
          <w:sz w:val="24"/>
        </w:rPr>
      </w:pPr>
      <w:r>
        <w:rPr>
          <w:rFonts w:hint="eastAsia"/>
          <w:sz w:val="24"/>
        </w:rPr>
        <w:lastRenderedPageBreak/>
        <w:t>当基金资产的估值导致每万份基金已实现收益小数点后四位或基金七日</w:t>
      </w:r>
      <w:r>
        <w:rPr>
          <w:rFonts w:ascii="宋体" w:hAnsi="宋体" w:cs="宋体" w:hint="eastAsia"/>
          <w:sz w:val="24"/>
        </w:rPr>
        <w:t>年化收益率</w:t>
      </w:r>
      <w:r>
        <w:rPr>
          <w:rFonts w:hint="eastAsia"/>
          <w:sz w:val="24"/>
        </w:rPr>
        <w:t>小数点后三位以内发生差错时，视为估值错误。国家另有规定的，从其规定。</w:t>
      </w:r>
    </w:p>
    <w:p w14:paraId="4CF4C95D" w14:textId="0E702467" w:rsidR="00BF0C91" w:rsidRDefault="00D65346">
      <w:pPr>
        <w:spacing w:line="360" w:lineRule="auto"/>
        <w:ind w:firstLineChars="200" w:firstLine="480"/>
        <w:rPr>
          <w:rFonts w:hAnsi="宋体"/>
          <w:kern w:val="0"/>
          <w:sz w:val="24"/>
        </w:rPr>
      </w:pPr>
      <w:r>
        <w:rPr>
          <w:rFonts w:ascii="宋体" w:hAnsi="宋体" w:hint="eastAsia"/>
          <w:sz w:val="24"/>
          <w:szCs w:val="21"/>
        </w:rPr>
        <w:t>当基金管理人确认已经发生估值错误情形时，基金管理人应当立即公告予以纠正，并采取合理的措施防止损失进一步扩大；</w:t>
      </w:r>
      <w:r>
        <w:rPr>
          <w:rFonts w:hAnsi="宋体" w:hint="eastAsia"/>
          <w:kern w:val="0"/>
          <w:sz w:val="24"/>
        </w:rPr>
        <w:t>当错误偏差达到或超过基金</w:t>
      </w:r>
      <w:r w:rsidR="00861BCD">
        <w:rPr>
          <w:rFonts w:hAnsi="宋体" w:hint="eastAsia"/>
          <w:kern w:val="0"/>
          <w:sz w:val="24"/>
        </w:rPr>
        <w:t>资产</w:t>
      </w:r>
      <w:r>
        <w:rPr>
          <w:rFonts w:hAnsi="宋体" w:hint="eastAsia"/>
          <w:kern w:val="0"/>
          <w:sz w:val="24"/>
        </w:rPr>
        <w:t>净值的</w:t>
      </w:r>
      <w:r>
        <w:rPr>
          <w:rFonts w:hAnsi="宋体" w:hint="eastAsia"/>
          <w:kern w:val="0"/>
          <w:sz w:val="24"/>
        </w:rPr>
        <w:t>0.25%</w:t>
      </w:r>
      <w:r>
        <w:rPr>
          <w:rFonts w:hAnsi="宋体" w:hint="eastAsia"/>
          <w:kern w:val="0"/>
          <w:sz w:val="24"/>
        </w:rPr>
        <w:t>时，基金管理人应当及时通知基金托管人并报中国证监会；</w:t>
      </w:r>
      <w:r>
        <w:rPr>
          <w:rFonts w:hAnsi="宋体"/>
          <w:kern w:val="0"/>
          <w:sz w:val="24"/>
        </w:rPr>
        <w:t>错误偏差达到基金</w:t>
      </w:r>
      <w:r w:rsidR="00861BCD">
        <w:rPr>
          <w:rFonts w:hAnsi="宋体" w:hint="eastAsia"/>
          <w:kern w:val="0"/>
          <w:sz w:val="24"/>
        </w:rPr>
        <w:t>资产</w:t>
      </w:r>
      <w:r>
        <w:rPr>
          <w:rFonts w:hAnsi="宋体"/>
          <w:kern w:val="0"/>
          <w:sz w:val="24"/>
        </w:rPr>
        <w:t>净值的</w:t>
      </w:r>
      <w:r>
        <w:rPr>
          <w:kern w:val="0"/>
          <w:sz w:val="24"/>
        </w:rPr>
        <w:t>0.</w:t>
      </w:r>
      <w:r>
        <w:rPr>
          <w:rFonts w:hint="eastAsia"/>
          <w:kern w:val="0"/>
          <w:sz w:val="24"/>
        </w:rPr>
        <w:t>5</w:t>
      </w:r>
      <w:r>
        <w:rPr>
          <w:kern w:val="0"/>
          <w:sz w:val="24"/>
        </w:rPr>
        <w:t>%</w:t>
      </w:r>
      <w:r>
        <w:rPr>
          <w:rFonts w:hAnsi="宋体"/>
          <w:kern w:val="0"/>
          <w:sz w:val="24"/>
        </w:rPr>
        <w:t>时，基金管理人应当公告、通报基金托管人并报中国证监会备案</w:t>
      </w:r>
      <w:r>
        <w:rPr>
          <w:rFonts w:hAnsi="宋体" w:hint="eastAsia"/>
          <w:kern w:val="0"/>
          <w:sz w:val="24"/>
        </w:rPr>
        <w:t>。</w:t>
      </w:r>
    </w:p>
    <w:p w14:paraId="65DDD777"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因基金估值错误给投资者造成损失的应先由基金管理人承担，基金管理人对不应由其承担的责任，有权向过错人追偿。基金合同的当事人应将按照以下约定处理：</w:t>
      </w:r>
    </w:p>
    <w:p w14:paraId="0A9FD28A"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1、差错类型</w:t>
      </w:r>
    </w:p>
    <w:p w14:paraId="305CB799"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本基金运作过程中，如果由于基金管理人或基金托管人、或注册登记机构、或代销机构、或投资者自身的过错造成差错，导致其他当事人遭受损失的，过错的责任人应当对由于该差错遭受损失的当事人（“受损方”）按下述“差错处理原则”给予赔偿，承担赔偿责任。</w:t>
      </w:r>
    </w:p>
    <w:p w14:paraId="6FFC3CA6"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3AAFA4DD"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7F549629"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2、差错处理原则</w:t>
      </w:r>
    </w:p>
    <w:p w14:paraId="6B11A7F7"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(1) 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w:t>
      </w:r>
      <w:r>
        <w:rPr>
          <w:rFonts w:ascii="宋体" w:hAnsi="宋体" w:hint="eastAsia"/>
          <w:sz w:val="24"/>
          <w:szCs w:val="21"/>
        </w:rPr>
        <w:lastRenderedPageBreak/>
        <w:t>保差错已得到更正。</w:t>
      </w:r>
    </w:p>
    <w:p w14:paraId="1F659F5A"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(2) 差错的责任方对可能导致有关当事人的直接损失负责，不对间接损失负责，并且仅对差错的有关直接当事人负责，不对第三方负责。</w:t>
      </w:r>
    </w:p>
    <w:p w14:paraId="189EF379"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(3) 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24EF3024"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(4) 差错调整采用尽量恢复至假设未发生差错的正确情形的方式。</w:t>
      </w:r>
    </w:p>
    <w:p w14:paraId="07169DFD"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(5) 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14:paraId="09B79C46"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(6) 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损失。</w:t>
      </w:r>
    </w:p>
    <w:p w14:paraId="63F2E718"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(7) 按法律法规规定的其他原则处理差错。</w:t>
      </w:r>
    </w:p>
    <w:p w14:paraId="7898705D"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3、差错处理程序</w:t>
      </w:r>
    </w:p>
    <w:p w14:paraId="0B1B882A"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差错被发现后，有关的当事人应当及时进行处理，处理的程序如下：</w:t>
      </w:r>
    </w:p>
    <w:p w14:paraId="3A4367C9"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sz w:val="24"/>
          <w:szCs w:val="21"/>
        </w:rPr>
        <w:t>1</w:t>
      </w:r>
      <w:r>
        <w:rPr>
          <w:rFonts w:ascii="宋体" w:hAnsi="宋体" w:hint="eastAsia"/>
          <w:sz w:val="24"/>
          <w:szCs w:val="21"/>
        </w:rPr>
        <w:t>) 查明差错发生的原因，列明所有的当事人，并根据差错发生的原因确定差错的责任方；</w:t>
      </w:r>
    </w:p>
    <w:p w14:paraId="46F14A28"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sz w:val="24"/>
          <w:szCs w:val="21"/>
        </w:rPr>
        <w:t>2</w:t>
      </w:r>
      <w:r>
        <w:rPr>
          <w:rFonts w:ascii="宋体" w:hAnsi="宋体" w:hint="eastAsia"/>
          <w:sz w:val="24"/>
          <w:szCs w:val="21"/>
        </w:rPr>
        <w:t>) 根据差错处理原则或当事人协商的方法对因差错造成的损失进行评估；</w:t>
      </w:r>
    </w:p>
    <w:p w14:paraId="31B6CCF4"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sz w:val="24"/>
          <w:szCs w:val="21"/>
        </w:rPr>
        <w:t>3</w:t>
      </w:r>
      <w:r>
        <w:rPr>
          <w:rFonts w:ascii="宋体" w:hAnsi="宋体" w:hint="eastAsia"/>
          <w:sz w:val="24"/>
          <w:szCs w:val="21"/>
        </w:rPr>
        <w:t>) 根据差错处理原则或当事人协商的方法由差错的责任方进行更正和赔偿损失；</w:t>
      </w:r>
    </w:p>
    <w:p w14:paraId="4CE1801C"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lastRenderedPageBreak/>
        <w:t>(</w:t>
      </w:r>
      <w:r>
        <w:rPr>
          <w:rFonts w:ascii="宋体" w:hAnsi="宋体"/>
          <w:sz w:val="24"/>
          <w:szCs w:val="21"/>
        </w:rPr>
        <w:t>4</w:t>
      </w:r>
      <w:r>
        <w:rPr>
          <w:rFonts w:ascii="宋体" w:hAnsi="宋体" w:hint="eastAsia"/>
          <w:sz w:val="24"/>
          <w:szCs w:val="21"/>
        </w:rPr>
        <w:t>) 根据差错处理的方法，需要修改基金注册登记登记机构的交易数据的，由基金注册登记机构进行更正，并就差错的更正向有关当事人进行确认；</w:t>
      </w:r>
    </w:p>
    <w:p w14:paraId="01FC995A" w14:textId="416FBB35" w:rsidR="00BF0C91" w:rsidRDefault="00D65346">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sz w:val="24"/>
          <w:szCs w:val="21"/>
        </w:rPr>
        <w:t>5</w:t>
      </w:r>
      <w:r>
        <w:rPr>
          <w:rFonts w:ascii="宋体" w:hAnsi="宋体" w:hint="eastAsia"/>
          <w:sz w:val="24"/>
          <w:szCs w:val="21"/>
        </w:rPr>
        <w:t>) 基金管理人及基金托管人基金</w:t>
      </w:r>
      <w:r w:rsidR="00340430">
        <w:rPr>
          <w:rFonts w:ascii="宋体" w:hAnsi="宋体" w:hint="eastAsia"/>
          <w:sz w:val="24"/>
          <w:szCs w:val="21"/>
        </w:rPr>
        <w:t>资产</w:t>
      </w:r>
      <w:r>
        <w:rPr>
          <w:rFonts w:ascii="宋体" w:hAnsi="宋体" w:hint="eastAsia"/>
          <w:sz w:val="24"/>
          <w:szCs w:val="21"/>
        </w:rPr>
        <w:t>净值计算错误偏差</w:t>
      </w:r>
      <w:r>
        <w:rPr>
          <w:rFonts w:hAnsi="宋体" w:hint="eastAsia"/>
          <w:kern w:val="0"/>
          <w:sz w:val="24"/>
        </w:rPr>
        <w:t>达到或超过基金</w:t>
      </w:r>
      <w:r w:rsidR="00052FA9">
        <w:rPr>
          <w:rFonts w:hAnsi="宋体" w:hint="eastAsia"/>
          <w:kern w:val="0"/>
          <w:sz w:val="24"/>
        </w:rPr>
        <w:t>资产</w:t>
      </w:r>
      <w:r>
        <w:rPr>
          <w:rFonts w:hAnsi="宋体" w:hint="eastAsia"/>
          <w:kern w:val="0"/>
          <w:sz w:val="24"/>
        </w:rPr>
        <w:t>净值的</w:t>
      </w:r>
      <w:r>
        <w:rPr>
          <w:rFonts w:hAnsi="宋体" w:hint="eastAsia"/>
          <w:kern w:val="0"/>
          <w:sz w:val="24"/>
        </w:rPr>
        <w:t>0.25%</w:t>
      </w:r>
      <w:r>
        <w:rPr>
          <w:rFonts w:hAnsi="宋体" w:hint="eastAsia"/>
          <w:kern w:val="0"/>
          <w:sz w:val="24"/>
        </w:rPr>
        <w:t>时，基金管理人应当及时通知基金托管人并报中国证监会；</w:t>
      </w:r>
      <w:r>
        <w:rPr>
          <w:rFonts w:hAnsi="宋体"/>
          <w:kern w:val="0"/>
          <w:sz w:val="24"/>
        </w:rPr>
        <w:t>错误偏差达到基金</w:t>
      </w:r>
      <w:r w:rsidR="00052FA9">
        <w:rPr>
          <w:rFonts w:hAnsi="宋体" w:hint="eastAsia"/>
          <w:kern w:val="0"/>
          <w:sz w:val="24"/>
        </w:rPr>
        <w:t>资产</w:t>
      </w:r>
      <w:r>
        <w:rPr>
          <w:rFonts w:hAnsi="宋体"/>
          <w:kern w:val="0"/>
          <w:sz w:val="24"/>
        </w:rPr>
        <w:t>净值的</w:t>
      </w:r>
      <w:r>
        <w:rPr>
          <w:kern w:val="0"/>
          <w:sz w:val="24"/>
        </w:rPr>
        <w:t>0.</w:t>
      </w:r>
      <w:r>
        <w:rPr>
          <w:rFonts w:hint="eastAsia"/>
          <w:kern w:val="0"/>
          <w:sz w:val="24"/>
        </w:rPr>
        <w:t>5</w:t>
      </w:r>
      <w:r>
        <w:rPr>
          <w:kern w:val="0"/>
          <w:sz w:val="24"/>
        </w:rPr>
        <w:t>%</w:t>
      </w:r>
      <w:r>
        <w:rPr>
          <w:rFonts w:hAnsi="宋体"/>
          <w:kern w:val="0"/>
          <w:sz w:val="24"/>
        </w:rPr>
        <w:t>时，基金管理人应当公告、通报基金托管人并报中国证监会备案</w:t>
      </w:r>
      <w:r>
        <w:rPr>
          <w:rFonts w:hAnsi="宋体" w:hint="eastAsia"/>
          <w:kern w:val="0"/>
          <w:sz w:val="24"/>
        </w:rPr>
        <w:t>。</w:t>
      </w:r>
    </w:p>
    <w:p w14:paraId="5293C9BE" w14:textId="77777777" w:rsidR="00BF0C91" w:rsidRDefault="00D65346">
      <w:pPr>
        <w:spacing w:line="360" w:lineRule="auto"/>
        <w:ind w:firstLineChars="200" w:firstLine="482"/>
        <w:rPr>
          <w:rFonts w:ascii="宋体" w:hAnsi="宋体"/>
          <w:b/>
          <w:bCs/>
          <w:sz w:val="24"/>
          <w:szCs w:val="21"/>
        </w:rPr>
      </w:pPr>
      <w:r>
        <w:rPr>
          <w:rFonts w:ascii="宋体" w:hAnsi="宋体" w:hint="eastAsia"/>
          <w:b/>
          <w:bCs/>
          <w:sz w:val="24"/>
          <w:szCs w:val="21"/>
        </w:rPr>
        <w:t>七、暂停估值的情形</w:t>
      </w:r>
    </w:p>
    <w:p w14:paraId="0AAF52C6"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1、与本基金投资有关的证券交易场所遇法定节假日或因其他原因暂停营业时；</w:t>
      </w:r>
    </w:p>
    <w:p w14:paraId="03072AC2"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2、因不可抗力或其他情形致使基金管理人无法准确评估基金财产价值时；</w:t>
      </w:r>
    </w:p>
    <w:p w14:paraId="45000A20"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3</w:t>
      </w:r>
      <w:r>
        <w:rPr>
          <w:rFonts w:ascii="宋体" w:hAnsi="宋体"/>
          <w:sz w:val="24"/>
          <w:szCs w:val="21"/>
        </w:rPr>
        <w:t>、</w:t>
      </w:r>
      <w:r>
        <w:rPr>
          <w:rFonts w:ascii="宋体" w:hAnsi="宋体" w:hint="eastAsia"/>
          <w:sz w:val="24"/>
          <w:szCs w:val="21"/>
        </w:rPr>
        <w:t>当前一估值日基金资产净值50%以上的资产出现无可参考的活跃市场价格且采用估值技术仍导致公允价值存在重大不确定性时，经与基金托管人协商确认后，基金管理人应当暂停估值；</w:t>
      </w:r>
    </w:p>
    <w:p w14:paraId="2D914991" w14:textId="77777777" w:rsidR="00BF0C91" w:rsidRDefault="00D65346">
      <w:pPr>
        <w:spacing w:line="360" w:lineRule="auto"/>
        <w:ind w:firstLineChars="200" w:firstLine="480"/>
        <w:rPr>
          <w:rFonts w:ascii="宋体" w:hAnsi="宋体"/>
          <w:sz w:val="24"/>
          <w:szCs w:val="21"/>
        </w:rPr>
      </w:pPr>
      <w:r>
        <w:rPr>
          <w:rFonts w:ascii="宋体" w:hAnsi="宋体"/>
          <w:sz w:val="24"/>
        </w:rPr>
        <w:t>4</w:t>
      </w:r>
      <w:r>
        <w:rPr>
          <w:rFonts w:ascii="宋体" w:hAnsi="宋体" w:hint="eastAsia"/>
          <w:sz w:val="24"/>
        </w:rPr>
        <w:t>、中国证监会认定的其他情形</w:t>
      </w:r>
      <w:r>
        <w:rPr>
          <w:rFonts w:ascii="宋体" w:hAnsi="宋体" w:hint="eastAsia"/>
          <w:sz w:val="24"/>
          <w:szCs w:val="21"/>
        </w:rPr>
        <w:t>。</w:t>
      </w:r>
    </w:p>
    <w:p w14:paraId="39C00549" w14:textId="77777777" w:rsidR="00BF0C91" w:rsidRDefault="00D65346">
      <w:pPr>
        <w:spacing w:beforeLines="50" w:before="156" w:afterLines="50" w:after="156" w:line="360" w:lineRule="auto"/>
        <w:ind w:firstLineChars="200" w:firstLine="482"/>
        <w:outlineLvl w:val="1"/>
        <w:rPr>
          <w:rFonts w:ascii="宋体" w:hAnsi="宋体"/>
          <w:b/>
          <w:bCs/>
          <w:sz w:val="24"/>
          <w:szCs w:val="21"/>
        </w:rPr>
      </w:pPr>
      <w:r>
        <w:rPr>
          <w:rFonts w:ascii="宋体" w:hAnsi="宋体" w:hint="eastAsia"/>
          <w:b/>
          <w:bCs/>
          <w:sz w:val="24"/>
          <w:szCs w:val="21"/>
        </w:rPr>
        <w:t>八、特殊情形的处理</w:t>
      </w:r>
    </w:p>
    <w:p w14:paraId="1697918C"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1、基金管理人按估值方法的第2、3项进行估值时，所造成的误差不作为基金资产估值错误处理；</w:t>
      </w:r>
    </w:p>
    <w:p w14:paraId="4FB75B09"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bookmarkStart w:id="137" w:name="_Toc15118286"/>
    </w:p>
    <w:bookmarkEnd w:id="137"/>
    <w:p w14:paraId="482C446E" w14:textId="77777777" w:rsidR="00BF0C91" w:rsidRDefault="00BF0C91">
      <w:pPr>
        <w:autoSpaceDE w:val="0"/>
        <w:autoSpaceDN w:val="0"/>
        <w:spacing w:line="360" w:lineRule="auto"/>
        <w:ind w:firstLine="540"/>
        <w:textAlignment w:val="bottom"/>
        <w:rPr>
          <w:rFonts w:ascii="宋体" w:hAnsi="宋体"/>
          <w:color w:val="0000FF"/>
          <w:sz w:val="24"/>
          <w:szCs w:val="21"/>
        </w:rPr>
      </w:pPr>
    </w:p>
    <w:p w14:paraId="654A19D5" w14:textId="77777777" w:rsidR="00BF0C91" w:rsidRDefault="00D65346">
      <w:pPr>
        <w:pStyle w:val="1"/>
        <w:spacing w:before="100" w:beforeAutospacing="1" w:after="100" w:afterAutospacing="1" w:line="360" w:lineRule="auto"/>
        <w:rPr>
          <w:rFonts w:ascii="黑体" w:eastAsia="黑体" w:hAnsi="Arial" w:cs="Arial"/>
          <w:bCs/>
          <w:sz w:val="30"/>
          <w:szCs w:val="32"/>
        </w:rPr>
      </w:pPr>
      <w:bookmarkStart w:id="138" w:name="_Toc48649714"/>
      <w:r>
        <w:rPr>
          <w:rFonts w:ascii="黑体" w:eastAsia="黑体" w:hAnsi="宋体"/>
          <w:color w:val="0000FF"/>
          <w:sz w:val="24"/>
          <w:szCs w:val="32"/>
        </w:rPr>
        <w:br w:type="page"/>
      </w:r>
      <w:bookmarkStart w:id="139" w:name="_Toc169580228"/>
      <w:bookmarkStart w:id="140" w:name="_Toc79392636"/>
      <w:r>
        <w:rPr>
          <w:rFonts w:ascii="黑体" w:eastAsia="黑体" w:hAnsi="Arial" w:cs="Arial" w:hint="eastAsia"/>
          <w:bCs/>
          <w:sz w:val="30"/>
          <w:szCs w:val="32"/>
        </w:rPr>
        <w:lastRenderedPageBreak/>
        <w:t>第十五部分</w:t>
      </w:r>
      <w:r>
        <w:rPr>
          <w:rFonts w:ascii="黑体" w:eastAsia="黑体" w:hAnsi="宋体" w:hint="eastAsia"/>
          <w:bCs/>
          <w:color w:val="0000FF"/>
          <w:sz w:val="24"/>
          <w:szCs w:val="32"/>
        </w:rPr>
        <w:t xml:space="preserve">  </w:t>
      </w:r>
      <w:r>
        <w:rPr>
          <w:rFonts w:ascii="黑体" w:eastAsia="黑体" w:hAnsi="Arial" w:cs="Arial"/>
          <w:bCs/>
          <w:sz w:val="30"/>
          <w:szCs w:val="32"/>
        </w:rPr>
        <w:t>基金的销售</w:t>
      </w:r>
      <w:bookmarkEnd w:id="139"/>
      <w:r>
        <w:rPr>
          <w:rFonts w:ascii="黑体" w:eastAsia="黑体" w:hAnsi="Arial" w:cs="Arial"/>
          <w:bCs/>
          <w:sz w:val="30"/>
          <w:szCs w:val="32"/>
        </w:rPr>
        <w:t xml:space="preserve"> </w:t>
      </w:r>
    </w:p>
    <w:p w14:paraId="66CDF377" w14:textId="77777777" w:rsidR="00BF0C91" w:rsidRDefault="00D65346">
      <w:pPr>
        <w:spacing w:line="360" w:lineRule="auto"/>
        <w:ind w:firstLineChars="200" w:firstLine="480"/>
        <w:rPr>
          <w:rFonts w:ascii="宋体" w:hAnsi="宋体"/>
          <w:sz w:val="24"/>
          <w:szCs w:val="21"/>
        </w:rPr>
      </w:pPr>
      <w:r>
        <w:rPr>
          <w:rFonts w:ascii="宋体" w:hAnsi="宋体"/>
          <w:sz w:val="24"/>
          <w:szCs w:val="21"/>
        </w:rPr>
        <w:t>基金的销售业务由</w:t>
      </w:r>
      <w:r>
        <w:rPr>
          <w:rFonts w:ascii="宋体" w:hAnsi="宋体" w:hint="eastAsia"/>
          <w:sz w:val="24"/>
          <w:szCs w:val="21"/>
        </w:rPr>
        <w:t>基金管理</w:t>
      </w:r>
      <w:r>
        <w:rPr>
          <w:rFonts w:ascii="宋体" w:hAnsi="宋体"/>
          <w:sz w:val="24"/>
          <w:szCs w:val="21"/>
        </w:rPr>
        <w:t>人办理。基金管理人委托其他机构</w:t>
      </w:r>
      <w:r>
        <w:rPr>
          <w:rFonts w:ascii="宋体" w:hAnsi="宋体" w:hint="eastAsia"/>
          <w:sz w:val="24"/>
          <w:szCs w:val="21"/>
        </w:rPr>
        <w:t>代为</w:t>
      </w:r>
      <w:r>
        <w:rPr>
          <w:rFonts w:ascii="宋体" w:hAnsi="宋体"/>
          <w:sz w:val="24"/>
          <w:szCs w:val="21"/>
        </w:rPr>
        <w:t>办理基金销售业务的，应与</w:t>
      </w:r>
      <w:r>
        <w:rPr>
          <w:rFonts w:ascii="宋体" w:hAnsi="宋体" w:hint="eastAsia"/>
          <w:sz w:val="24"/>
          <w:szCs w:val="21"/>
        </w:rPr>
        <w:t>代销机构</w:t>
      </w:r>
      <w:r>
        <w:rPr>
          <w:rFonts w:ascii="宋体" w:hAnsi="宋体"/>
          <w:sz w:val="24"/>
          <w:szCs w:val="21"/>
        </w:rPr>
        <w:t>签订《代</w:t>
      </w:r>
      <w:r>
        <w:rPr>
          <w:rFonts w:ascii="宋体" w:hAnsi="宋体" w:hint="eastAsia"/>
          <w:sz w:val="24"/>
          <w:szCs w:val="21"/>
        </w:rPr>
        <w:t>销</w:t>
      </w:r>
      <w:r>
        <w:rPr>
          <w:rFonts w:ascii="宋体" w:hAnsi="宋体"/>
          <w:sz w:val="24"/>
          <w:szCs w:val="21"/>
        </w:rPr>
        <w:t>协议》。《代</w:t>
      </w:r>
      <w:r>
        <w:rPr>
          <w:rFonts w:ascii="宋体" w:hAnsi="宋体" w:hint="eastAsia"/>
          <w:sz w:val="24"/>
          <w:szCs w:val="21"/>
        </w:rPr>
        <w:t>销</w:t>
      </w:r>
      <w:r>
        <w:rPr>
          <w:rFonts w:ascii="宋体" w:hAnsi="宋体"/>
          <w:sz w:val="24"/>
          <w:szCs w:val="21"/>
        </w:rPr>
        <w:t>协议》应依照《基金法》、《销售管理办法》、基金合同以及基金管理人制定的相关业务规则订立，以明确基金管理人与</w:t>
      </w:r>
      <w:r>
        <w:rPr>
          <w:rFonts w:ascii="宋体" w:hAnsi="宋体" w:hint="eastAsia"/>
          <w:sz w:val="24"/>
          <w:szCs w:val="21"/>
        </w:rPr>
        <w:t>代销机构</w:t>
      </w:r>
      <w:r>
        <w:rPr>
          <w:rFonts w:ascii="宋体" w:hAnsi="宋体"/>
          <w:sz w:val="24"/>
          <w:szCs w:val="21"/>
        </w:rPr>
        <w:t>之间在基金份额认购、申购、赎回等事宜中的权利、义务，确保基金财产的安全，保护基金份额持有人的合法权益。</w:t>
      </w:r>
    </w:p>
    <w:p w14:paraId="06021C70" w14:textId="77777777" w:rsidR="00BF0C91" w:rsidRDefault="00D65346">
      <w:pPr>
        <w:pStyle w:val="1"/>
        <w:spacing w:before="100" w:beforeAutospacing="1" w:after="100" w:afterAutospacing="1" w:line="360" w:lineRule="auto"/>
        <w:rPr>
          <w:rFonts w:ascii="黑体" w:eastAsia="黑体" w:hAnsi="Arial" w:cs="Arial"/>
          <w:sz w:val="30"/>
          <w:szCs w:val="32"/>
        </w:rPr>
      </w:pPr>
      <w:r>
        <w:rPr>
          <w:rFonts w:ascii="宋体" w:hAnsi="宋体" w:cs="宋体"/>
          <w:bCs/>
          <w:color w:val="000000"/>
          <w:kern w:val="0"/>
          <w:sz w:val="24"/>
        </w:rPr>
        <w:br w:type="page"/>
      </w:r>
      <w:bookmarkStart w:id="141" w:name="_Toc169580229"/>
      <w:r>
        <w:rPr>
          <w:rFonts w:ascii="黑体" w:eastAsia="黑体" w:hAnsi="Arial" w:cs="Arial" w:hint="eastAsia"/>
          <w:sz w:val="30"/>
          <w:szCs w:val="32"/>
        </w:rPr>
        <w:lastRenderedPageBreak/>
        <w:t>第十六部分</w:t>
      </w:r>
      <w:r>
        <w:rPr>
          <w:rFonts w:ascii="黑体" w:eastAsia="黑体" w:hAnsi="Arial" w:cs="Arial"/>
          <w:sz w:val="30"/>
          <w:szCs w:val="32"/>
        </w:rPr>
        <w:t xml:space="preserve">  </w:t>
      </w:r>
      <w:r>
        <w:rPr>
          <w:rFonts w:ascii="黑体" w:eastAsia="黑体" w:hAnsi="Arial" w:cs="Arial" w:hint="eastAsia"/>
          <w:sz w:val="30"/>
          <w:szCs w:val="32"/>
        </w:rPr>
        <w:t>基金费用与税收</w:t>
      </w:r>
      <w:bookmarkEnd w:id="138"/>
      <w:bookmarkEnd w:id="140"/>
      <w:bookmarkEnd w:id="141"/>
    </w:p>
    <w:p w14:paraId="1A09A000" w14:textId="77777777" w:rsidR="00BF0C91" w:rsidRDefault="00D65346">
      <w:pPr>
        <w:spacing w:beforeLines="50" w:before="156" w:afterLines="50" w:after="156" w:line="360" w:lineRule="auto"/>
        <w:ind w:firstLineChars="200" w:firstLine="482"/>
        <w:outlineLvl w:val="1"/>
        <w:rPr>
          <w:rFonts w:ascii="宋体" w:hAnsi="宋体"/>
          <w:b/>
          <w:bCs/>
          <w:sz w:val="24"/>
          <w:szCs w:val="21"/>
        </w:rPr>
      </w:pPr>
      <w:r>
        <w:rPr>
          <w:rFonts w:ascii="宋体" w:hAnsi="宋体" w:hint="eastAsia"/>
          <w:b/>
          <w:bCs/>
          <w:sz w:val="24"/>
          <w:szCs w:val="21"/>
        </w:rPr>
        <w:t>一、基金费用的种类</w:t>
      </w:r>
    </w:p>
    <w:p w14:paraId="7E4BD306" w14:textId="77777777" w:rsidR="00BF0C91" w:rsidRDefault="00D65346">
      <w:pPr>
        <w:numPr>
          <w:ilvl w:val="0"/>
          <w:numId w:val="12"/>
        </w:numPr>
        <w:tabs>
          <w:tab w:val="clear" w:pos="3069"/>
        </w:tabs>
        <w:spacing w:line="360" w:lineRule="auto"/>
        <w:ind w:leftChars="200" w:left="420" w:firstLine="0"/>
        <w:rPr>
          <w:rFonts w:ascii="宋体" w:hAnsi="宋体"/>
          <w:sz w:val="24"/>
        </w:rPr>
      </w:pPr>
      <w:r>
        <w:rPr>
          <w:rFonts w:ascii="宋体" w:hAnsi="宋体" w:hint="eastAsia"/>
          <w:sz w:val="24"/>
        </w:rPr>
        <w:t>基金管理人的管理费；</w:t>
      </w:r>
    </w:p>
    <w:p w14:paraId="3DEB81C5" w14:textId="77777777" w:rsidR="00BF0C91" w:rsidRDefault="00D65346">
      <w:pPr>
        <w:numPr>
          <w:ilvl w:val="0"/>
          <w:numId w:val="12"/>
        </w:numPr>
        <w:tabs>
          <w:tab w:val="clear" w:pos="3069"/>
        </w:tabs>
        <w:spacing w:line="360" w:lineRule="auto"/>
        <w:ind w:leftChars="200" w:left="420" w:firstLine="0"/>
        <w:rPr>
          <w:rFonts w:ascii="宋体" w:hAnsi="宋体"/>
          <w:sz w:val="24"/>
        </w:rPr>
      </w:pPr>
      <w:r>
        <w:rPr>
          <w:rFonts w:ascii="宋体" w:hAnsi="宋体" w:hint="eastAsia"/>
          <w:sz w:val="24"/>
        </w:rPr>
        <w:t>基金托管人的托管费；</w:t>
      </w:r>
    </w:p>
    <w:p w14:paraId="0EDE2E52" w14:textId="77777777" w:rsidR="00BF0C91" w:rsidRDefault="00D65346">
      <w:pPr>
        <w:numPr>
          <w:ilvl w:val="0"/>
          <w:numId w:val="12"/>
        </w:numPr>
        <w:tabs>
          <w:tab w:val="clear" w:pos="3069"/>
        </w:tabs>
        <w:spacing w:line="360" w:lineRule="auto"/>
        <w:ind w:leftChars="200" w:left="420" w:firstLine="0"/>
        <w:rPr>
          <w:rFonts w:ascii="宋体" w:hAnsi="宋体"/>
          <w:sz w:val="24"/>
        </w:rPr>
      </w:pPr>
      <w:r>
        <w:rPr>
          <w:rFonts w:ascii="宋体" w:hAnsi="宋体" w:hint="eastAsia"/>
          <w:sz w:val="24"/>
        </w:rPr>
        <w:t>基金销售服务费；</w:t>
      </w:r>
    </w:p>
    <w:p w14:paraId="7CA3CBC3" w14:textId="77777777" w:rsidR="00BF0C91" w:rsidRDefault="00D65346">
      <w:pPr>
        <w:numPr>
          <w:ilvl w:val="0"/>
          <w:numId w:val="12"/>
        </w:numPr>
        <w:tabs>
          <w:tab w:val="clear" w:pos="3069"/>
        </w:tabs>
        <w:spacing w:line="360" w:lineRule="auto"/>
        <w:ind w:leftChars="200" w:left="420" w:firstLine="0"/>
        <w:rPr>
          <w:rFonts w:ascii="宋体" w:hAnsi="宋体"/>
          <w:sz w:val="24"/>
        </w:rPr>
      </w:pPr>
      <w:r>
        <w:rPr>
          <w:rFonts w:ascii="宋体" w:hAnsi="宋体" w:hint="eastAsia"/>
          <w:sz w:val="24"/>
        </w:rPr>
        <w:t>基金合同生效后的基金信息披露费用；</w:t>
      </w:r>
    </w:p>
    <w:p w14:paraId="32CCFF16" w14:textId="77777777" w:rsidR="00BF0C91" w:rsidRDefault="00D65346">
      <w:pPr>
        <w:numPr>
          <w:ilvl w:val="0"/>
          <w:numId w:val="12"/>
        </w:numPr>
        <w:tabs>
          <w:tab w:val="clear" w:pos="3069"/>
        </w:tabs>
        <w:spacing w:line="360" w:lineRule="auto"/>
        <w:ind w:leftChars="200" w:left="420" w:firstLine="0"/>
        <w:rPr>
          <w:rFonts w:ascii="宋体" w:hAnsi="宋体"/>
          <w:sz w:val="24"/>
        </w:rPr>
      </w:pPr>
      <w:r>
        <w:rPr>
          <w:rFonts w:ascii="宋体" w:hAnsi="宋体" w:hint="eastAsia"/>
          <w:sz w:val="24"/>
        </w:rPr>
        <w:t>基金合同生效后与基金相关的会计师费、律师费；</w:t>
      </w:r>
    </w:p>
    <w:p w14:paraId="7D62C395" w14:textId="77777777" w:rsidR="00BF0C91" w:rsidRDefault="00D65346">
      <w:pPr>
        <w:numPr>
          <w:ilvl w:val="0"/>
          <w:numId w:val="12"/>
        </w:numPr>
        <w:tabs>
          <w:tab w:val="clear" w:pos="3069"/>
        </w:tabs>
        <w:spacing w:line="360" w:lineRule="auto"/>
        <w:ind w:leftChars="200" w:left="420" w:firstLine="0"/>
        <w:rPr>
          <w:rFonts w:ascii="宋体" w:hAnsi="宋体"/>
          <w:sz w:val="24"/>
        </w:rPr>
      </w:pPr>
      <w:r>
        <w:rPr>
          <w:rFonts w:ascii="宋体" w:hAnsi="宋体" w:hint="eastAsia"/>
          <w:sz w:val="24"/>
        </w:rPr>
        <w:t>基金份额持有人大会费用；</w:t>
      </w:r>
    </w:p>
    <w:p w14:paraId="50F62E1A" w14:textId="77777777" w:rsidR="00BF0C91" w:rsidRDefault="00D65346">
      <w:pPr>
        <w:numPr>
          <w:ilvl w:val="0"/>
          <w:numId w:val="12"/>
        </w:numPr>
        <w:tabs>
          <w:tab w:val="clear" w:pos="3069"/>
        </w:tabs>
        <w:spacing w:line="360" w:lineRule="auto"/>
        <w:ind w:leftChars="200" w:left="420" w:firstLine="0"/>
        <w:rPr>
          <w:rFonts w:ascii="宋体" w:hAnsi="宋体"/>
          <w:sz w:val="24"/>
        </w:rPr>
      </w:pPr>
      <w:r>
        <w:rPr>
          <w:rFonts w:ascii="宋体" w:hAnsi="宋体" w:hint="eastAsia"/>
          <w:sz w:val="24"/>
        </w:rPr>
        <w:t>基金的证券交易费用；</w:t>
      </w:r>
    </w:p>
    <w:p w14:paraId="0F5388C5" w14:textId="77777777" w:rsidR="00BF0C91" w:rsidRDefault="00D65346">
      <w:pPr>
        <w:numPr>
          <w:ilvl w:val="0"/>
          <w:numId w:val="12"/>
        </w:numPr>
        <w:tabs>
          <w:tab w:val="clear" w:pos="3069"/>
        </w:tabs>
        <w:spacing w:line="360" w:lineRule="auto"/>
        <w:ind w:leftChars="200" w:left="420" w:firstLine="0"/>
        <w:rPr>
          <w:rFonts w:ascii="宋体" w:hAnsi="宋体"/>
          <w:sz w:val="24"/>
        </w:rPr>
      </w:pPr>
      <w:r>
        <w:rPr>
          <w:rFonts w:ascii="宋体" w:hAnsi="宋体" w:hint="eastAsia"/>
          <w:sz w:val="24"/>
        </w:rPr>
        <w:t>按照国家有关规定和基金合同约定，可以在基金财产中列支的其他费用。</w:t>
      </w:r>
    </w:p>
    <w:p w14:paraId="12B2A192" w14:textId="77777777" w:rsidR="00BF0C91" w:rsidRDefault="00D65346">
      <w:pPr>
        <w:spacing w:line="360" w:lineRule="auto"/>
        <w:ind w:firstLine="360"/>
        <w:rPr>
          <w:rFonts w:ascii="宋体" w:hAnsi="宋体"/>
          <w:sz w:val="24"/>
          <w:szCs w:val="21"/>
        </w:rPr>
      </w:pPr>
      <w:r>
        <w:rPr>
          <w:rFonts w:ascii="宋体" w:hAnsi="宋体" w:hint="eastAsia"/>
          <w:sz w:val="24"/>
        </w:rPr>
        <w:t>本基金基金合同终止清算时所发生费用，按实际支出额从基金财产总值中扣除。</w:t>
      </w:r>
    </w:p>
    <w:p w14:paraId="69ED13C3" w14:textId="77777777" w:rsidR="00BF0C91" w:rsidRDefault="00D65346">
      <w:pPr>
        <w:spacing w:beforeLines="50" w:before="156" w:afterLines="50" w:after="156" w:line="360" w:lineRule="auto"/>
        <w:ind w:firstLineChars="200" w:firstLine="482"/>
        <w:outlineLvl w:val="1"/>
        <w:rPr>
          <w:rFonts w:ascii="宋体" w:hAnsi="宋体"/>
          <w:b/>
          <w:bCs/>
          <w:sz w:val="24"/>
          <w:szCs w:val="21"/>
        </w:rPr>
      </w:pPr>
      <w:r>
        <w:rPr>
          <w:rFonts w:ascii="宋体" w:hAnsi="宋体" w:hint="eastAsia"/>
          <w:b/>
          <w:bCs/>
          <w:sz w:val="24"/>
          <w:szCs w:val="21"/>
        </w:rPr>
        <w:t>二、基金费用计提方法、计提标准和支付方式</w:t>
      </w:r>
    </w:p>
    <w:p w14:paraId="471C02BF"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1、基金管理人的管理费</w:t>
      </w:r>
    </w:p>
    <w:p w14:paraId="18A22A3D" w14:textId="77777777" w:rsidR="00BF0C91" w:rsidRDefault="00D65346">
      <w:pPr>
        <w:spacing w:line="360" w:lineRule="auto"/>
        <w:ind w:firstLineChars="200" w:firstLine="496"/>
        <w:rPr>
          <w:rFonts w:ascii="宋体" w:hAnsi="宋体"/>
          <w:sz w:val="24"/>
          <w:szCs w:val="21"/>
        </w:rPr>
      </w:pPr>
      <w:r>
        <w:rPr>
          <w:rFonts w:ascii="宋体" w:hAnsi="宋体" w:hint="eastAsia"/>
          <w:spacing w:val="4"/>
          <w:sz w:val="24"/>
        </w:rPr>
        <w:t>本基金</w:t>
      </w:r>
      <w:r>
        <w:rPr>
          <w:rFonts w:ascii="宋体" w:hAnsi="宋体" w:hint="eastAsia"/>
          <w:sz w:val="24"/>
        </w:rPr>
        <w:t>的管理费按基金资产净值的</w:t>
      </w:r>
      <w:r>
        <w:rPr>
          <w:rFonts w:ascii="宋体" w:hAnsi="宋体"/>
          <w:sz w:val="24"/>
        </w:rPr>
        <w:t>0.15</w:t>
      </w:r>
      <w:r>
        <w:rPr>
          <w:rFonts w:hint="eastAsia"/>
          <w:sz w:val="24"/>
        </w:rPr>
        <w:t>%</w:t>
      </w:r>
      <w:r>
        <w:rPr>
          <w:rFonts w:ascii="宋体" w:hAnsi="宋体" w:hint="eastAsia"/>
          <w:sz w:val="24"/>
        </w:rPr>
        <w:t>的年费率计提。管理费的计算方法如下：</w:t>
      </w:r>
    </w:p>
    <w:p w14:paraId="203B1943" w14:textId="77777777" w:rsidR="00BF0C91" w:rsidRDefault="00D65346">
      <w:pPr>
        <w:spacing w:line="360" w:lineRule="auto"/>
        <w:ind w:firstLineChars="200" w:firstLine="480"/>
        <w:rPr>
          <w:rFonts w:ascii="宋体" w:hAnsi="宋体"/>
          <w:sz w:val="24"/>
          <w:szCs w:val="21"/>
        </w:rPr>
      </w:pPr>
      <w:r>
        <w:rPr>
          <w:sz w:val="24"/>
          <w:szCs w:val="21"/>
        </w:rPr>
        <w:t>H</w:t>
      </w:r>
      <w:r>
        <w:rPr>
          <w:rFonts w:hint="eastAsia"/>
          <w:sz w:val="24"/>
          <w:szCs w:val="21"/>
        </w:rPr>
        <w:t xml:space="preserve"> </w:t>
      </w:r>
      <w:r>
        <w:rPr>
          <w:sz w:val="24"/>
          <w:szCs w:val="21"/>
        </w:rPr>
        <w:t>=</w:t>
      </w:r>
      <w:r>
        <w:rPr>
          <w:rFonts w:hint="eastAsia"/>
          <w:sz w:val="24"/>
          <w:szCs w:val="21"/>
        </w:rPr>
        <w:t xml:space="preserve"> </w:t>
      </w:r>
      <w:r>
        <w:rPr>
          <w:sz w:val="24"/>
          <w:szCs w:val="21"/>
        </w:rPr>
        <w:t>E</w:t>
      </w:r>
      <w:r>
        <w:rPr>
          <w:rFonts w:ascii="宋体" w:hAnsi="宋体" w:hint="eastAsia"/>
          <w:sz w:val="24"/>
          <w:szCs w:val="21"/>
        </w:rPr>
        <w:t>×</w:t>
      </w:r>
      <w:r>
        <w:rPr>
          <w:sz w:val="24"/>
          <w:szCs w:val="21"/>
        </w:rPr>
        <w:t>0.15</w:t>
      </w:r>
      <w:r>
        <w:rPr>
          <w:sz w:val="24"/>
        </w:rPr>
        <w:t>%</w:t>
      </w:r>
      <w:r>
        <w:rPr>
          <w:rFonts w:hint="eastAsia"/>
          <w:sz w:val="24"/>
        </w:rPr>
        <w:t xml:space="preserve"> </w:t>
      </w:r>
      <w:r>
        <w:rPr>
          <w:sz w:val="28"/>
          <w:szCs w:val="28"/>
        </w:rPr>
        <w:sym w:font="Symbol" w:char="F0B8"/>
      </w:r>
      <w:r>
        <w:rPr>
          <w:rFonts w:ascii="宋体" w:hAnsi="宋体" w:hint="eastAsia"/>
          <w:sz w:val="24"/>
          <w:szCs w:val="21"/>
        </w:rPr>
        <w:t>当年天数</w:t>
      </w:r>
    </w:p>
    <w:p w14:paraId="1644F489" w14:textId="77777777" w:rsidR="00BF0C91" w:rsidRDefault="00D65346">
      <w:pPr>
        <w:spacing w:line="360" w:lineRule="auto"/>
        <w:ind w:firstLineChars="200" w:firstLine="480"/>
        <w:rPr>
          <w:rFonts w:ascii="宋体" w:hAnsi="宋体"/>
          <w:sz w:val="24"/>
          <w:szCs w:val="21"/>
        </w:rPr>
      </w:pPr>
      <w:r>
        <w:rPr>
          <w:sz w:val="24"/>
          <w:szCs w:val="21"/>
        </w:rPr>
        <w:t>H</w:t>
      </w:r>
      <w:r>
        <w:rPr>
          <w:rFonts w:ascii="宋体" w:hAnsi="宋体" w:hint="eastAsia"/>
          <w:sz w:val="24"/>
          <w:szCs w:val="21"/>
        </w:rPr>
        <w:t>为每日应付的基金管理费</w:t>
      </w:r>
    </w:p>
    <w:p w14:paraId="6E65F366" w14:textId="77777777" w:rsidR="00BF0C91" w:rsidRDefault="00D65346">
      <w:pPr>
        <w:spacing w:line="360" w:lineRule="auto"/>
        <w:ind w:firstLineChars="200" w:firstLine="480"/>
        <w:rPr>
          <w:rFonts w:ascii="宋体" w:hAnsi="宋体"/>
          <w:sz w:val="24"/>
          <w:szCs w:val="21"/>
        </w:rPr>
      </w:pPr>
      <w:r>
        <w:rPr>
          <w:sz w:val="24"/>
          <w:szCs w:val="21"/>
        </w:rPr>
        <w:t>E</w:t>
      </w:r>
      <w:r>
        <w:rPr>
          <w:rFonts w:ascii="宋体" w:hAnsi="宋体" w:hint="eastAsia"/>
          <w:sz w:val="24"/>
          <w:szCs w:val="21"/>
        </w:rPr>
        <w:t>为前一日的基金资产净值</w:t>
      </w:r>
    </w:p>
    <w:p w14:paraId="583782C5" w14:textId="77777777" w:rsidR="00BF0C91" w:rsidRDefault="00D65346">
      <w:pPr>
        <w:spacing w:line="360" w:lineRule="auto"/>
        <w:ind w:firstLineChars="200" w:firstLine="480"/>
        <w:rPr>
          <w:rFonts w:ascii="宋体" w:hAnsi="宋体"/>
          <w:sz w:val="24"/>
        </w:rPr>
      </w:pPr>
      <w:r>
        <w:rPr>
          <w:rFonts w:ascii="宋体" w:hAnsi="宋体" w:hint="eastAsia"/>
          <w:sz w:val="24"/>
        </w:rPr>
        <w:t>基金管理费每日计提，按月支付，由基金管理人向基金托管人发送基金管理费划款指令，基金托管人复核后于次月前2个工作日内从基金财产中一次性支付给基金管理人。若遇法定节假日、公休假等，支付日期顺延。</w:t>
      </w:r>
    </w:p>
    <w:p w14:paraId="64A09D00"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2、基金托管人的托管费</w:t>
      </w:r>
    </w:p>
    <w:p w14:paraId="00B3F640" w14:textId="77777777" w:rsidR="00BF0C91" w:rsidRDefault="00D65346">
      <w:pPr>
        <w:spacing w:line="360" w:lineRule="auto"/>
        <w:ind w:firstLineChars="200" w:firstLine="480"/>
        <w:rPr>
          <w:rFonts w:ascii="宋体" w:hAnsi="宋体"/>
          <w:sz w:val="24"/>
          <w:szCs w:val="21"/>
        </w:rPr>
      </w:pPr>
      <w:r>
        <w:rPr>
          <w:rFonts w:ascii="宋体" w:hAnsi="宋体" w:hint="eastAsia"/>
          <w:sz w:val="24"/>
        </w:rPr>
        <w:t>本基金</w:t>
      </w:r>
      <w:r>
        <w:rPr>
          <w:rFonts w:hint="eastAsia"/>
          <w:sz w:val="24"/>
        </w:rPr>
        <w:t>的托管费按基金资产净值的</w:t>
      </w:r>
      <w:r>
        <w:rPr>
          <w:sz w:val="24"/>
        </w:rPr>
        <w:t>0.05</w:t>
      </w:r>
      <w:r>
        <w:rPr>
          <w:rFonts w:hint="eastAsia"/>
          <w:sz w:val="24"/>
        </w:rPr>
        <w:t>%</w:t>
      </w:r>
      <w:r>
        <w:rPr>
          <w:rFonts w:hint="eastAsia"/>
          <w:sz w:val="24"/>
        </w:rPr>
        <w:t>的年费率计提。托管费的计算方法如下：</w:t>
      </w:r>
    </w:p>
    <w:p w14:paraId="12FAA249" w14:textId="77777777" w:rsidR="00BF0C91" w:rsidRDefault="00D65346">
      <w:pPr>
        <w:spacing w:line="360" w:lineRule="auto"/>
        <w:ind w:firstLineChars="200" w:firstLine="480"/>
        <w:rPr>
          <w:rFonts w:ascii="宋体" w:hAnsi="宋体"/>
          <w:sz w:val="24"/>
          <w:szCs w:val="21"/>
        </w:rPr>
      </w:pPr>
      <w:r>
        <w:rPr>
          <w:sz w:val="24"/>
          <w:szCs w:val="21"/>
        </w:rPr>
        <w:t>H</w:t>
      </w:r>
      <w:r>
        <w:rPr>
          <w:rFonts w:hAnsi="宋体"/>
          <w:sz w:val="24"/>
          <w:szCs w:val="21"/>
        </w:rPr>
        <w:t>＝</w:t>
      </w:r>
      <w:r>
        <w:rPr>
          <w:sz w:val="24"/>
          <w:szCs w:val="21"/>
        </w:rPr>
        <w:t>E</w:t>
      </w:r>
      <w:r>
        <w:rPr>
          <w:rFonts w:ascii="宋体" w:hAnsi="宋体" w:hint="eastAsia"/>
          <w:sz w:val="24"/>
          <w:szCs w:val="21"/>
        </w:rPr>
        <w:t>×</w:t>
      </w:r>
      <w:r>
        <w:rPr>
          <w:sz w:val="24"/>
          <w:szCs w:val="21"/>
        </w:rPr>
        <w:t>0.05</w:t>
      </w:r>
      <w:r>
        <w:rPr>
          <w:sz w:val="24"/>
        </w:rPr>
        <w:t>%</w:t>
      </w:r>
      <w:r>
        <w:rPr>
          <w:rFonts w:hint="eastAsia"/>
          <w:sz w:val="24"/>
        </w:rPr>
        <w:t xml:space="preserve"> </w:t>
      </w:r>
      <w:r>
        <w:rPr>
          <w:sz w:val="28"/>
          <w:szCs w:val="28"/>
        </w:rPr>
        <w:sym w:font="Symbol" w:char="F0B8"/>
      </w:r>
      <w:r>
        <w:rPr>
          <w:rFonts w:ascii="宋体" w:hAnsi="宋体" w:hint="eastAsia"/>
          <w:sz w:val="24"/>
          <w:szCs w:val="21"/>
        </w:rPr>
        <w:t>当年天数</w:t>
      </w:r>
    </w:p>
    <w:p w14:paraId="3430845E" w14:textId="77777777" w:rsidR="00BF0C91" w:rsidRDefault="00D65346">
      <w:pPr>
        <w:spacing w:line="360" w:lineRule="auto"/>
        <w:ind w:firstLineChars="200" w:firstLine="480"/>
        <w:rPr>
          <w:sz w:val="24"/>
          <w:szCs w:val="21"/>
        </w:rPr>
      </w:pPr>
      <w:r>
        <w:rPr>
          <w:sz w:val="24"/>
          <w:szCs w:val="21"/>
        </w:rPr>
        <w:t>H</w:t>
      </w:r>
      <w:r>
        <w:rPr>
          <w:rFonts w:hAnsi="宋体"/>
          <w:sz w:val="24"/>
          <w:szCs w:val="21"/>
        </w:rPr>
        <w:t>为每日应支付的基金托管费</w:t>
      </w:r>
    </w:p>
    <w:p w14:paraId="4452D1D1" w14:textId="77777777" w:rsidR="00BF0C91" w:rsidRDefault="00D65346">
      <w:pPr>
        <w:spacing w:line="360" w:lineRule="auto"/>
        <w:ind w:firstLineChars="200" w:firstLine="480"/>
        <w:rPr>
          <w:rFonts w:ascii="宋体" w:hAnsi="宋体"/>
          <w:sz w:val="24"/>
          <w:szCs w:val="21"/>
        </w:rPr>
      </w:pPr>
      <w:r>
        <w:rPr>
          <w:sz w:val="24"/>
          <w:szCs w:val="21"/>
        </w:rPr>
        <w:lastRenderedPageBreak/>
        <w:t>E</w:t>
      </w:r>
      <w:r>
        <w:rPr>
          <w:rFonts w:hAnsi="宋体"/>
          <w:sz w:val="24"/>
          <w:szCs w:val="21"/>
        </w:rPr>
        <w:t>为</w:t>
      </w:r>
      <w:r>
        <w:rPr>
          <w:rFonts w:ascii="宋体" w:hAnsi="宋体" w:hint="eastAsia"/>
          <w:sz w:val="24"/>
          <w:szCs w:val="21"/>
        </w:rPr>
        <w:t>前一日的基金资产净值</w:t>
      </w:r>
    </w:p>
    <w:p w14:paraId="384821F2"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基金托管费每日计提，按月支付，</w:t>
      </w:r>
      <w:r>
        <w:rPr>
          <w:rFonts w:ascii="宋体" w:hAnsi="宋体"/>
          <w:sz w:val="24"/>
        </w:rPr>
        <w:t>由</w:t>
      </w:r>
      <w:r>
        <w:rPr>
          <w:rFonts w:ascii="宋体" w:hAnsi="宋体" w:hint="eastAsia"/>
          <w:sz w:val="24"/>
        </w:rPr>
        <w:t>基金管理人向基金托管人发送基金托管费划款指令，</w:t>
      </w:r>
      <w:r>
        <w:rPr>
          <w:rFonts w:ascii="宋体" w:hAnsi="宋体"/>
          <w:sz w:val="24"/>
        </w:rPr>
        <w:t>基金托管人</w:t>
      </w:r>
      <w:r>
        <w:rPr>
          <w:rFonts w:ascii="宋体" w:hAnsi="宋体" w:hint="eastAsia"/>
          <w:sz w:val="24"/>
        </w:rPr>
        <w:t>复核后</w:t>
      </w:r>
      <w:r>
        <w:rPr>
          <w:rFonts w:ascii="宋体" w:hAnsi="宋体" w:hint="eastAsia"/>
          <w:sz w:val="24"/>
          <w:szCs w:val="21"/>
        </w:rPr>
        <w:t>于次月前2个工作日内从基金财产中一次性支取。若遇法定节假日、公休假等，支付日期顺延。</w:t>
      </w:r>
    </w:p>
    <w:p w14:paraId="424B08FF" w14:textId="77777777" w:rsidR="00BF0C91" w:rsidRDefault="00D65346">
      <w:pPr>
        <w:spacing w:line="360" w:lineRule="auto"/>
        <w:ind w:right="28" w:firstLineChars="200" w:firstLine="480"/>
        <w:rPr>
          <w:rFonts w:ascii="宋体" w:hAnsi="宋体"/>
          <w:sz w:val="24"/>
          <w:szCs w:val="21"/>
        </w:rPr>
      </w:pPr>
      <w:r>
        <w:rPr>
          <w:rFonts w:ascii="宋体" w:hAnsi="宋体" w:hint="eastAsia"/>
          <w:sz w:val="24"/>
          <w:szCs w:val="21"/>
        </w:rPr>
        <w:t>3、基金销售服务费</w:t>
      </w:r>
    </w:p>
    <w:p w14:paraId="53A4EE6F" w14:textId="43C256BC" w:rsidR="00BF0C91" w:rsidRDefault="00D65346">
      <w:pPr>
        <w:spacing w:line="360" w:lineRule="auto"/>
        <w:ind w:firstLineChars="200" w:firstLine="480"/>
        <w:rPr>
          <w:rFonts w:ascii="宋体" w:hAnsi="宋体"/>
          <w:sz w:val="24"/>
        </w:rPr>
      </w:pPr>
      <w:r>
        <w:rPr>
          <w:rFonts w:ascii="宋体" w:hAnsi="宋体"/>
          <w:sz w:val="24"/>
        </w:rPr>
        <w:t>本基金各</w:t>
      </w:r>
      <w:r w:rsidR="00280AAE">
        <w:rPr>
          <w:rFonts w:ascii="宋体" w:hAnsi="宋体" w:hint="eastAsia"/>
          <w:sz w:val="24"/>
        </w:rPr>
        <w:t>类</w:t>
      </w:r>
      <w:r>
        <w:rPr>
          <w:rFonts w:ascii="宋体" w:hAnsi="宋体"/>
          <w:sz w:val="24"/>
        </w:rPr>
        <w:t>基金份额按照不同的费率计提销售服务费，但各</w:t>
      </w:r>
      <w:r w:rsidR="00280AAE">
        <w:rPr>
          <w:rFonts w:ascii="宋体" w:hAnsi="宋体" w:hint="eastAsia"/>
          <w:sz w:val="24"/>
        </w:rPr>
        <w:t>类</w:t>
      </w:r>
      <w:r>
        <w:rPr>
          <w:rFonts w:ascii="宋体" w:hAnsi="宋体"/>
          <w:sz w:val="24"/>
        </w:rPr>
        <w:t>基金份额的销售服务费</w:t>
      </w:r>
      <w:r>
        <w:rPr>
          <w:rFonts w:ascii="宋体" w:hAnsi="宋体" w:hint="eastAsia"/>
          <w:sz w:val="24"/>
        </w:rPr>
        <w:t>年费</w:t>
      </w:r>
      <w:r>
        <w:rPr>
          <w:rFonts w:ascii="宋体" w:hAnsi="宋体"/>
          <w:sz w:val="24"/>
        </w:rPr>
        <w:t>率均不超过0.25%。</w:t>
      </w:r>
    </w:p>
    <w:p w14:paraId="795C0352" w14:textId="118655E6" w:rsidR="00BF0C91" w:rsidRDefault="00D65346">
      <w:pPr>
        <w:spacing w:line="360" w:lineRule="auto"/>
        <w:ind w:firstLineChars="200" w:firstLine="480"/>
        <w:rPr>
          <w:rFonts w:ascii="宋体" w:hAnsi="宋体"/>
          <w:sz w:val="24"/>
        </w:rPr>
      </w:pPr>
      <w:r>
        <w:rPr>
          <w:rFonts w:ascii="宋体" w:hAnsi="宋体"/>
          <w:sz w:val="24"/>
        </w:rPr>
        <w:t>各</w:t>
      </w:r>
      <w:r w:rsidR="00FF5437">
        <w:rPr>
          <w:rFonts w:ascii="宋体" w:hAnsi="宋体" w:hint="eastAsia"/>
          <w:sz w:val="24"/>
        </w:rPr>
        <w:t>类</w:t>
      </w:r>
      <w:r>
        <w:rPr>
          <w:rFonts w:ascii="宋体" w:hAnsi="宋体"/>
          <w:sz w:val="24"/>
        </w:rPr>
        <w:t>基金份额的销售服务费计提的计算公式如下：</w:t>
      </w:r>
    </w:p>
    <w:p w14:paraId="59F84950" w14:textId="77777777" w:rsidR="00BF0C91" w:rsidRDefault="00D65346">
      <w:pPr>
        <w:spacing w:line="360" w:lineRule="auto"/>
        <w:ind w:firstLineChars="200" w:firstLine="480"/>
        <w:rPr>
          <w:rFonts w:ascii="宋体" w:hAnsi="宋体"/>
          <w:sz w:val="24"/>
        </w:rPr>
      </w:pPr>
      <w:r>
        <w:rPr>
          <w:rFonts w:ascii="宋体" w:hAnsi="宋体"/>
          <w:sz w:val="24"/>
        </w:rPr>
        <w:t>H＝E×R÷当年天数</w:t>
      </w:r>
    </w:p>
    <w:p w14:paraId="25216AE4" w14:textId="699A05BC" w:rsidR="00BF0C91" w:rsidRDefault="00D65346">
      <w:pPr>
        <w:spacing w:line="360" w:lineRule="auto"/>
        <w:ind w:firstLineChars="200" w:firstLine="480"/>
        <w:rPr>
          <w:rFonts w:ascii="宋体" w:hAnsi="宋体"/>
          <w:sz w:val="24"/>
        </w:rPr>
      </w:pPr>
      <w:r>
        <w:rPr>
          <w:rFonts w:ascii="宋体" w:hAnsi="宋体"/>
          <w:sz w:val="24"/>
        </w:rPr>
        <w:t>H为每</w:t>
      </w:r>
      <w:r w:rsidR="00F2376B">
        <w:rPr>
          <w:rFonts w:ascii="宋体" w:hAnsi="宋体" w:hint="eastAsia"/>
          <w:sz w:val="24"/>
        </w:rPr>
        <w:t>类</w:t>
      </w:r>
      <w:r>
        <w:rPr>
          <w:rFonts w:ascii="宋体" w:hAnsi="宋体"/>
          <w:sz w:val="24"/>
        </w:rPr>
        <w:t>基金份额每日应计提的销售服务费</w:t>
      </w:r>
    </w:p>
    <w:p w14:paraId="0E0E64BA" w14:textId="54DAEB71" w:rsidR="00BF0C91" w:rsidRDefault="00D65346">
      <w:pPr>
        <w:spacing w:line="360" w:lineRule="auto"/>
        <w:ind w:firstLineChars="200" w:firstLine="480"/>
        <w:rPr>
          <w:rFonts w:ascii="宋体" w:hAnsi="宋体"/>
          <w:sz w:val="24"/>
        </w:rPr>
      </w:pPr>
      <w:r>
        <w:rPr>
          <w:rFonts w:ascii="宋体" w:hAnsi="宋体"/>
          <w:sz w:val="24"/>
        </w:rPr>
        <w:t>E为前一日该</w:t>
      </w:r>
      <w:r w:rsidR="00F2376B">
        <w:rPr>
          <w:rFonts w:ascii="宋体" w:hAnsi="宋体" w:hint="eastAsia"/>
          <w:sz w:val="24"/>
        </w:rPr>
        <w:t>类</w:t>
      </w:r>
      <w:r>
        <w:rPr>
          <w:rFonts w:ascii="宋体" w:hAnsi="宋体"/>
          <w:sz w:val="24"/>
        </w:rPr>
        <w:t>基金份额的基金资产净值</w:t>
      </w:r>
    </w:p>
    <w:p w14:paraId="593AFA60" w14:textId="6D872856" w:rsidR="00BF0C91" w:rsidRDefault="00D65346">
      <w:pPr>
        <w:spacing w:line="360" w:lineRule="auto"/>
        <w:ind w:right="28" w:firstLineChars="200" w:firstLine="480"/>
        <w:rPr>
          <w:rFonts w:hAnsi="宋体"/>
          <w:sz w:val="24"/>
        </w:rPr>
      </w:pPr>
      <w:r>
        <w:rPr>
          <w:rFonts w:ascii="宋体" w:hAnsi="宋体"/>
          <w:sz w:val="24"/>
        </w:rPr>
        <w:t>R为该</w:t>
      </w:r>
      <w:r w:rsidR="00F2376B">
        <w:rPr>
          <w:rFonts w:ascii="宋体" w:hAnsi="宋体" w:hint="eastAsia"/>
          <w:sz w:val="24"/>
        </w:rPr>
        <w:t>类</w:t>
      </w:r>
      <w:r>
        <w:rPr>
          <w:rFonts w:ascii="宋体" w:hAnsi="宋体"/>
          <w:sz w:val="24"/>
        </w:rPr>
        <w:t>基金份额的销售服务费</w:t>
      </w:r>
      <w:r>
        <w:rPr>
          <w:rFonts w:ascii="宋体" w:hAnsi="宋体" w:hint="eastAsia"/>
          <w:sz w:val="24"/>
        </w:rPr>
        <w:t>年费</w:t>
      </w:r>
      <w:r>
        <w:rPr>
          <w:rFonts w:ascii="宋体" w:hAnsi="宋体"/>
          <w:sz w:val="24"/>
        </w:rPr>
        <w:t>率</w:t>
      </w:r>
    </w:p>
    <w:p w14:paraId="46A427AA" w14:textId="6A28AE3B" w:rsidR="00BF0C91" w:rsidRDefault="00D65346">
      <w:pPr>
        <w:spacing w:line="360" w:lineRule="auto"/>
        <w:ind w:right="28" w:firstLineChars="200" w:firstLine="480"/>
        <w:rPr>
          <w:rFonts w:ascii="宋体" w:hAnsi="宋体"/>
          <w:sz w:val="24"/>
          <w:szCs w:val="21"/>
        </w:rPr>
      </w:pPr>
      <w:r>
        <w:rPr>
          <w:rFonts w:ascii="宋体" w:hAnsi="宋体" w:hint="eastAsia"/>
          <w:sz w:val="24"/>
          <w:szCs w:val="21"/>
        </w:rPr>
        <w:t>各</w:t>
      </w:r>
      <w:r w:rsidR="00F2376B">
        <w:rPr>
          <w:rFonts w:ascii="宋体" w:hAnsi="宋体" w:hint="eastAsia"/>
          <w:sz w:val="24"/>
        </w:rPr>
        <w:t>类</w:t>
      </w:r>
      <w:r>
        <w:rPr>
          <w:rFonts w:ascii="宋体" w:hAnsi="宋体" w:hint="eastAsia"/>
          <w:sz w:val="24"/>
          <w:szCs w:val="21"/>
        </w:rPr>
        <w:t>基金份额计提的销售服务费率参见本基金的招募说明书。基金管理人可以调整对各</w:t>
      </w:r>
      <w:r w:rsidR="005A1A34">
        <w:rPr>
          <w:rFonts w:ascii="宋体" w:hAnsi="宋体" w:hint="eastAsia"/>
          <w:sz w:val="24"/>
        </w:rPr>
        <w:t>类</w:t>
      </w:r>
      <w:r>
        <w:rPr>
          <w:rFonts w:ascii="宋体" w:hAnsi="宋体" w:hint="eastAsia"/>
          <w:sz w:val="24"/>
          <w:szCs w:val="21"/>
        </w:rPr>
        <w:t>基金份额计提的销售服务费率，但销售服务费年费率最高不超过0.25%。基金管理人</w:t>
      </w:r>
      <w:r>
        <w:rPr>
          <w:rFonts w:ascii="宋体" w:hAnsi="宋体" w:hint="eastAsia"/>
          <w:color w:val="000000"/>
          <w:sz w:val="24"/>
          <w:szCs w:val="21"/>
        </w:rPr>
        <w:t>应在调整前依照《信息披露办法》和《信息披露特别规定》的有关规定在中国证监会指定媒介上公告并报中国证监会备案</w:t>
      </w:r>
      <w:r>
        <w:rPr>
          <w:rFonts w:ascii="宋体" w:hAnsi="宋体" w:hint="eastAsia"/>
          <w:sz w:val="24"/>
          <w:szCs w:val="21"/>
        </w:rPr>
        <w:t>。</w:t>
      </w:r>
    </w:p>
    <w:p w14:paraId="22928917" w14:textId="35B10459" w:rsidR="00BF0C91" w:rsidRDefault="00D65346">
      <w:pPr>
        <w:spacing w:line="360" w:lineRule="auto"/>
        <w:ind w:right="28" w:firstLineChars="200" w:firstLine="480"/>
        <w:rPr>
          <w:rFonts w:ascii="宋体" w:hAnsi="宋体"/>
          <w:sz w:val="24"/>
        </w:rPr>
      </w:pPr>
      <w:r>
        <w:rPr>
          <w:rFonts w:ascii="宋体" w:hAnsi="宋体"/>
          <w:sz w:val="24"/>
        </w:rPr>
        <w:t>各</w:t>
      </w:r>
      <w:r w:rsidR="00006B76">
        <w:rPr>
          <w:rFonts w:ascii="宋体" w:hAnsi="宋体" w:hint="eastAsia"/>
          <w:sz w:val="24"/>
        </w:rPr>
        <w:t>类</w:t>
      </w:r>
      <w:r>
        <w:rPr>
          <w:rFonts w:ascii="宋体" w:hAnsi="宋体"/>
          <w:sz w:val="24"/>
        </w:rPr>
        <w:t>基金份额</w:t>
      </w:r>
      <w:r>
        <w:rPr>
          <w:rFonts w:ascii="宋体" w:hAnsi="宋体" w:hint="eastAsia"/>
          <w:sz w:val="24"/>
        </w:rPr>
        <w:t>的基金销售服务费每日计提，按月支付。由基金管理人向基金托管人发送基金销售管理费划付指令，基金托管人复核后于次月前2个工作日内从基金财产中一次性支付给基金管理人，若遇法定节假日、休息日等，支付日期顺延。</w:t>
      </w:r>
    </w:p>
    <w:p w14:paraId="6AA1F325" w14:textId="77777777" w:rsidR="00BF0C91" w:rsidRDefault="00D65346">
      <w:pPr>
        <w:spacing w:line="360" w:lineRule="auto"/>
        <w:ind w:right="28" w:firstLineChars="200" w:firstLine="480"/>
        <w:rPr>
          <w:rFonts w:ascii="宋体" w:hAnsi="宋体"/>
          <w:sz w:val="24"/>
        </w:rPr>
      </w:pPr>
      <w:r>
        <w:rPr>
          <w:rFonts w:ascii="宋体" w:hAnsi="宋体" w:hint="eastAsia"/>
          <w:sz w:val="24"/>
        </w:rPr>
        <w:t>基金销售服务费主要用于支付销售机构佣金以及基金管理人的基金营销广告费、促销活动费、持有人服务费等。</w:t>
      </w:r>
    </w:p>
    <w:p w14:paraId="61F9D0B2"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上述“一、基金费用的种类”中4－8项费用由基金托管人根据有关法规及相应协议规定，按费用实际支出金额列入当期费用，从基金财产中支付。</w:t>
      </w:r>
      <w:bookmarkStart w:id="142" w:name="_Hlt81193394"/>
      <w:bookmarkEnd w:id="142"/>
    </w:p>
    <w:p w14:paraId="47C818FA" w14:textId="77777777" w:rsidR="00BF0C91" w:rsidRDefault="00D65346">
      <w:pPr>
        <w:spacing w:beforeLines="50" w:before="156" w:afterLines="50" w:after="156" w:line="360" w:lineRule="auto"/>
        <w:ind w:firstLineChars="200" w:firstLine="482"/>
        <w:outlineLvl w:val="1"/>
        <w:rPr>
          <w:rFonts w:ascii="宋体" w:hAnsi="宋体"/>
          <w:b/>
          <w:bCs/>
          <w:sz w:val="24"/>
          <w:szCs w:val="21"/>
        </w:rPr>
      </w:pPr>
      <w:r>
        <w:rPr>
          <w:rFonts w:ascii="宋体" w:hAnsi="宋体" w:hint="eastAsia"/>
          <w:b/>
          <w:bCs/>
          <w:sz w:val="24"/>
          <w:szCs w:val="21"/>
        </w:rPr>
        <w:t>三、不列入基金费用的项目</w:t>
      </w:r>
    </w:p>
    <w:p w14:paraId="62730044"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基金管理人和基金托管人因未履行或未完全履行义务导致的费用支出或基金财产的损失，以及处理与基金运作无关的事项发生的费用等不列入基金费用。</w:t>
      </w:r>
    </w:p>
    <w:p w14:paraId="70DE1B8C" w14:textId="77777777" w:rsidR="00BF0C91" w:rsidRDefault="00D65346">
      <w:pPr>
        <w:spacing w:line="360" w:lineRule="auto"/>
        <w:ind w:firstLineChars="200" w:firstLine="480"/>
        <w:rPr>
          <w:rFonts w:ascii="宋体" w:hAnsi="宋体"/>
          <w:sz w:val="24"/>
          <w:szCs w:val="21"/>
        </w:rPr>
      </w:pPr>
      <w:r>
        <w:rPr>
          <w:rFonts w:ascii="宋体" w:hAnsi="宋体" w:hint="eastAsia"/>
          <w:sz w:val="24"/>
        </w:rPr>
        <w:t>基金募集期间的信息披露费、会计师费、律师费及其他费用，不得从基金财产中列支。</w:t>
      </w:r>
      <w:r>
        <w:rPr>
          <w:rFonts w:ascii="宋体" w:hAnsi="宋体" w:hint="eastAsia"/>
          <w:sz w:val="24"/>
          <w:szCs w:val="21"/>
        </w:rPr>
        <w:t>其他具体不列入基金费用的项目依据中国证监会有关规定执行。</w:t>
      </w:r>
      <w:bookmarkStart w:id="143" w:name="_Hlt88900784"/>
      <w:bookmarkEnd w:id="143"/>
    </w:p>
    <w:p w14:paraId="13D3CAD0" w14:textId="77777777" w:rsidR="00BF0C91" w:rsidRDefault="00D65346">
      <w:pPr>
        <w:spacing w:beforeLines="50" w:before="156" w:afterLines="50" w:after="156" w:line="360" w:lineRule="auto"/>
        <w:ind w:firstLineChars="200" w:firstLine="482"/>
        <w:outlineLvl w:val="1"/>
        <w:rPr>
          <w:rFonts w:ascii="宋体" w:hAnsi="宋体"/>
          <w:b/>
          <w:bCs/>
          <w:sz w:val="24"/>
          <w:szCs w:val="21"/>
        </w:rPr>
      </w:pPr>
      <w:r>
        <w:rPr>
          <w:rFonts w:ascii="宋体" w:hAnsi="宋体" w:hint="eastAsia"/>
          <w:b/>
          <w:bCs/>
          <w:sz w:val="24"/>
          <w:szCs w:val="21"/>
        </w:rPr>
        <w:lastRenderedPageBreak/>
        <w:t>四、费用调整</w:t>
      </w:r>
    </w:p>
    <w:p w14:paraId="3F185844" w14:textId="77777777" w:rsidR="00BF0C91" w:rsidRDefault="00D65346">
      <w:pPr>
        <w:spacing w:line="360" w:lineRule="auto"/>
        <w:ind w:firstLineChars="200" w:firstLine="480"/>
        <w:rPr>
          <w:rFonts w:ascii="宋体" w:hAnsi="宋体"/>
          <w:sz w:val="24"/>
          <w:szCs w:val="21"/>
        </w:rPr>
      </w:pPr>
      <w:r>
        <w:rPr>
          <w:rFonts w:ascii="宋体" w:hAnsi="宋体" w:hint="eastAsia"/>
          <w:sz w:val="24"/>
        </w:rPr>
        <w:t>基金管理人和基金托管人可根据基金发展情况调整基金管理费率、基金托管费率和销售服务费率。调高基金管理费率、基金托管费率、销售服务费率，须召开基金份额持有人大会审议；调低基金管理费率、基金托管费率、销售服务费率，无须召开基金份额持有人大会。基金管理人必须最迟于新的费率实施日前依照《信息披露办法》和《信息披露特别规定》的有关规定在中国证监会指定媒介上公告。</w:t>
      </w:r>
    </w:p>
    <w:p w14:paraId="23FF0637" w14:textId="77777777" w:rsidR="00BF0C91" w:rsidRDefault="00D65346">
      <w:pPr>
        <w:spacing w:beforeLines="50" w:before="156" w:afterLines="50" w:after="156" w:line="360" w:lineRule="auto"/>
        <w:ind w:firstLineChars="200" w:firstLine="482"/>
        <w:outlineLvl w:val="1"/>
        <w:rPr>
          <w:rFonts w:ascii="宋体" w:hAnsi="宋体"/>
          <w:b/>
          <w:bCs/>
          <w:sz w:val="24"/>
          <w:szCs w:val="21"/>
        </w:rPr>
      </w:pPr>
      <w:r>
        <w:rPr>
          <w:rFonts w:ascii="宋体" w:hAnsi="宋体" w:hint="eastAsia"/>
          <w:b/>
          <w:bCs/>
          <w:sz w:val="24"/>
          <w:szCs w:val="21"/>
        </w:rPr>
        <w:t>五、基金税收</w:t>
      </w:r>
    </w:p>
    <w:p w14:paraId="099E39D6"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本基金运作过程中涉及的各纳税主体，其纳税义务按国家税收法律法规执行。</w:t>
      </w:r>
    </w:p>
    <w:p w14:paraId="161D6FA8" w14:textId="77777777" w:rsidR="00BF0C91" w:rsidRDefault="00D65346">
      <w:pPr>
        <w:pStyle w:val="1"/>
        <w:spacing w:before="100" w:beforeAutospacing="1" w:after="100" w:afterAutospacing="1" w:line="360" w:lineRule="auto"/>
        <w:rPr>
          <w:rFonts w:ascii="黑体" w:eastAsia="黑体" w:hAnsi="Arial" w:cs="Arial"/>
          <w:sz w:val="30"/>
          <w:szCs w:val="32"/>
        </w:rPr>
      </w:pPr>
      <w:bookmarkStart w:id="144" w:name="_Toc48649715"/>
      <w:r>
        <w:rPr>
          <w:rFonts w:ascii="黑体" w:eastAsia="黑体" w:hAnsi="宋体"/>
          <w:sz w:val="24"/>
          <w:szCs w:val="32"/>
        </w:rPr>
        <w:br w:type="page"/>
      </w:r>
      <w:bookmarkStart w:id="145" w:name="_Hlt81193204"/>
      <w:bookmarkStart w:id="146" w:name="_Toc169580230"/>
      <w:bookmarkStart w:id="147" w:name="_Toc79392637"/>
      <w:bookmarkEnd w:id="145"/>
      <w:r>
        <w:rPr>
          <w:rFonts w:ascii="黑体" w:eastAsia="黑体" w:hAnsi="Arial" w:cs="Arial" w:hint="eastAsia"/>
          <w:sz w:val="30"/>
          <w:szCs w:val="32"/>
        </w:rPr>
        <w:lastRenderedPageBreak/>
        <w:t>第</w:t>
      </w:r>
      <w:r>
        <w:rPr>
          <w:rFonts w:ascii="黑体" w:eastAsia="黑体" w:hAnsi="Arial" w:cs="Arial"/>
          <w:sz w:val="30"/>
          <w:szCs w:val="32"/>
        </w:rPr>
        <w:t>十</w:t>
      </w:r>
      <w:r>
        <w:rPr>
          <w:rFonts w:ascii="黑体" w:eastAsia="黑体" w:hAnsi="Arial" w:cs="Arial" w:hint="eastAsia"/>
          <w:sz w:val="30"/>
          <w:szCs w:val="32"/>
        </w:rPr>
        <w:t xml:space="preserve">七部分  </w:t>
      </w:r>
      <w:r>
        <w:rPr>
          <w:rFonts w:ascii="黑体" w:eastAsia="黑体" w:hAnsi="Arial" w:cs="Arial"/>
          <w:sz w:val="30"/>
          <w:szCs w:val="32"/>
        </w:rPr>
        <w:t>基金的融资</w:t>
      </w:r>
      <w:bookmarkEnd w:id="146"/>
      <w:r>
        <w:rPr>
          <w:rFonts w:ascii="黑体" w:eastAsia="黑体" w:hAnsi="Arial" w:cs="Arial"/>
          <w:sz w:val="30"/>
          <w:szCs w:val="32"/>
        </w:rPr>
        <w:t xml:space="preserve"> </w:t>
      </w:r>
    </w:p>
    <w:p w14:paraId="02513A41" w14:textId="77777777" w:rsidR="00BF0C91" w:rsidRDefault="00D65346">
      <w:pPr>
        <w:widowControl/>
        <w:spacing w:before="100" w:beforeAutospacing="1" w:after="100" w:afterAutospacing="1"/>
        <w:ind w:firstLine="420"/>
        <w:jc w:val="left"/>
        <w:rPr>
          <w:rFonts w:ascii="宋体" w:hAnsi="宋体" w:cs="宋体"/>
          <w:color w:val="000000"/>
          <w:kern w:val="0"/>
          <w:sz w:val="24"/>
        </w:rPr>
      </w:pPr>
      <w:r>
        <w:rPr>
          <w:rFonts w:ascii="宋体" w:hAnsi="宋体" w:cs="宋体" w:hint="eastAsia"/>
          <w:color w:val="000000"/>
          <w:kern w:val="0"/>
          <w:sz w:val="24"/>
        </w:rPr>
        <w:t>若法律法规允许，</w:t>
      </w:r>
      <w:r>
        <w:rPr>
          <w:rFonts w:ascii="宋体" w:hAnsi="宋体" w:cs="宋体"/>
          <w:color w:val="000000"/>
          <w:kern w:val="0"/>
          <w:sz w:val="24"/>
        </w:rPr>
        <w:t>本基金可</w:t>
      </w:r>
      <w:r>
        <w:rPr>
          <w:rFonts w:ascii="宋体" w:hAnsi="宋体" w:cs="宋体" w:hint="eastAsia"/>
          <w:color w:val="000000"/>
          <w:kern w:val="0"/>
          <w:sz w:val="24"/>
        </w:rPr>
        <w:t>依法</w:t>
      </w:r>
      <w:r>
        <w:rPr>
          <w:rFonts w:ascii="宋体" w:hAnsi="宋体" w:cs="宋体"/>
          <w:color w:val="000000"/>
          <w:kern w:val="0"/>
          <w:sz w:val="24"/>
        </w:rPr>
        <w:t xml:space="preserve">进行融资。 </w:t>
      </w:r>
    </w:p>
    <w:p w14:paraId="01348843" w14:textId="77777777" w:rsidR="00BF0C91" w:rsidRDefault="00D65346">
      <w:pPr>
        <w:pStyle w:val="1"/>
        <w:spacing w:before="100" w:beforeAutospacing="1" w:after="100" w:afterAutospacing="1" w:line="360" w:lineRule="auto"/>
        <w:rPr>
          <w:rFonts w:ascii="黑体" w:eastAsia="黑体" w:hAnsi="Arial" w:cs="Arial"/>
          <w:sz w:val="30"/>
          <w:szCs w:val="32"/>
        </w:rPr>
      </w:pPr>
      <w:r>
        <w:rPr>
          <w:rFonts w:ascii="黑体" w:eastAsia="黑体" w:hAnsi="Arial" w:cs="Arial"/>
          <w:sz w:val="30"/>
          <w:szCs w:val="32"/>
        </w:rPr>
        <w:br w:type="page"/>
      </w:r>
      <w:bookmarkStart w:id="148" w:name="_Toc169580231"/>
      <w:r>
        <w:rPr>
          <w:rFonts w:ascii="黑体" w:eastAsia="黑体" w:hAnsi="Arial" w:cs="Arial" w:hint="eastAsia"/>
          <w:sz w:val="30"/>
          <w:szCs w:val="32"/>
        </w:rPr>
        <w:lastRenderedPageBreak/>
        <w:t>第十八部分</w:t>
      </w:r>
      <w:r>
        <w:rPr>
          <w:rFonts w:ascii="黑体" w:eastAsia="黑体" w:hAnsi="Arial" w:cs="Arial"/>
          <w:sz w:val="30"/>
          <w:szCs w:val="32"/>
        </w:rPr>
        <w:t xml:space="preserve">  </w:t>
      </w:r>
      <w:r>
        <w:rPr>
          <w:rFonts w:ascii="黑体" w:eastAsia="黑体" w:hAnsi="Arial" w:cs="Arial" w:hint="eastAsia"/>
          <w:sz w:val="30"/>
          <w:szCs w:val="32"/>
        </w:rPr>
        <w:t>基金的收益与分配</w:t>
      </w:r>
      <w:bookmarkEnd w:id="144"/>
      <w:bookmarkEnd w:id="147"/>
      <w:bookmarkEnd w:id="148"/>
    </w:p>
    <w:p w14:paraId="575C321B" w14:textId="77777777" w:rsidR="00BF0C91" w:rsidRDefault="00D65346">
      <w:pPr>
        <w:spacing w:beforeLines="50" w:before="156" w:afterLines="50" w:after="156" w:line="360" w:lineRule="auto"/>
        <w:ind w:firstLineChars="200" w:firstLine="482"/>
        <w:outlineLvl w:val="1"/>
        <w:rPr>
          <w:rFonts w:ascii="宋体" w:hAnsi="宋体"/>
          <w:b/>
          <w:bCs/>
          <w:sz w:val="24"/>
          <w:szCs w:val="21"/>
        </w:rPr>
      </w:pPr>
      <w:r>
        <w:rPr>
          <w:rFonts w:ascii="宋体" w:hAnsi="宋体" w:hint="eastAsia"/>
          <w:b/>
          <w:bCs/>
          <w:sz w:val="24"/>
          <w:szCs w:val="21"/>
        </w:rPr>
        <w:t>一、基金收益的构成</w:t>
      </w:r>
    </w:p>
    <w:p w14:paraId="06FB1664"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基金收益包括：</w:t>
      </w:r>
      <w:r>
        <w:rPr>
          <w:rFonts w:ascii="宋体" w:hAnsi="宋体" w:hint="eastAsia"/>
          <w:color w:val="000000"/>
          <w:sz w:val="24"/>
          <w:szCs w:val="21"/>
        </w:rPr>
        <w:t>基金投资所得银行存款利息、债券利息、买卖债券差价、以及其他合法收益</w:t>
      </w:r>
      <w:r>
        <w:rPr>
          <w:rFonts w:ascii="宋体" w:hAnsi="宋体" w:hint="eastAsia"/>
          <w:sz w:val="24"/>
          <w:szCs w:val="21"/>
        </w:rPr>
        <w:t>。因运用基金资产带来的成本或费用的节约计入基金收益。</w:t>
      </w:r>
      <w:r>
        <w:rPr>
          <w:rFonts w:ascii="宋体" w:hAnsi="宋体"/>
          <w:sz w:val="24"/>
          <w:szCs w:val="21"/>
        </w:rPr>
        <w:t xml:space="preserve"> </w:t>
      </w:r>
    </w:p>
    <w:p w14:paraId="69969FDD" w14:textId="77777777" w:rsidR="00BF0C91" w:rsidRDefault="00D65346">
      <w:pPr>
        <w:spacing w:beforeLines="50" w:before="156" w:afterLines="50" w:after="156" w:line="360" w:lineRule="auto"/>
        <w:ind w:firstLineChars="200" w:firstLine="482"/>
        <w:outlineLvl w:val="1"/>
        <w:rPr>
          <w:rFonts w:ascii="宋体" w:hAnsi="宋体"/>
          <w:b/>
          <w:bCs/>
          <w:sz w:val="24"/>
          <w:szCs w:val="21"/>
        </w:rPr>
      </w:pPr>
      <w:r>
        <w:rPr>
          <w:rFonts w:ascii="宋体" w:hAnsi="宋体" w:hint="eastAsia"/>
          <w:b/>
          <w:bCs/>
          <w:sz w:val="24"/>
          <w:szCs w:val="21"/>
        </w:rPr>
        <w:t>二、基金净收益</w:t>
      </w:r>
    </w:p>
    <w:p w14:paraId="527FE190"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基金净收益为基金收益扣除按照有关规定可以在基金收益中扣除的费用后的余额。</w:t>
      </w:r>
    </w:p>
    <w:p w14:paraId="0EFD29F5" w14:textId="77777777" w:rsidR="00BF0C91" w:rsidRDefault="00D65346">
      <w:pPr>
        <w:spacing w:beforeLines="50" w:before="156" w:afterLines="50" w:after="156" w:line="360" w:lineRule="auto"/>
        <w:ind w:firstLineChars="200" w:firstLine="482"/>
        <w:outlineLvl w:val="1"/>
        <w:rPr>
          <w:rFonts w:ascii="宋体" w:hAnsi="宋体"/>
          <w:b/>
          <w:bCs/>
          <w:sz w:val="24"/>
          <w:szCs w:val="21"/>
        </w:rPr>
      </w:pPr>
      <w:r>
        <w:rPr>
          <w:rFonts w:ascii="宋体" w:hAnsi="宋体" w:hint="eastAsia"/>
          <w:b/>
          <w:bCs/>
          <w:sz w:val="24"/>
          <w:szCs w:val="21"/>
        </w:rPr>
        <w:t>三、基金收益分配原则</w:t>
      </w:r>
    </w:p>
    <w:p w14:paraId="213F4AE9" w14:textId="77777777" w:rsidR="00BF0C91" w:rsidRDefault="00D65346">
      <w:pPr>
        <w:spacing w:line="360" w:lineRule="auto"/>
        <w:ind w:firstLineChars="200" w:firstLine="480"/>
        <w:rPr>
          <w:rFonts w:ascii="宋体" w:hAnsi="宋体"/>
          <w:sz w:val="24"/>
        </w:rPr>
      </w:pPr>
      <w:r>
        <w:rPr>
          <w:rFonts w:ascii="宋体" w:hAnsi="宋体" w:hint="eastAsia"/>
          <w:sz w:val="24"/>
        </w:rPr>
        <w:t>1、基金收益分配原则遵循国家有关法律规定并符合基金合同的有关规定。</w:t>
      </w:r>
    </w:p>
    <w:p w14:paraId="14299B3F" w14:textId="16816E9C" w:rsidR="00BF0C91" w:rsidRDefault="00D65346">
      <w:pPr>
        <w:spacing w:line="360" w:lineRule="auto"/>
        <w:ind w:firstLineChars="200" w:firstLine="480"/>
        <w:rPr>
          <w:rFonts w:ascii="宋体" w:hAnsi="宋体"/>
          <w:sz w:val="24"/>
        </w:rPr>
      </w:pPr>
      <w:r>
        <w:rPr>
          <w:rFonts w:ascii="宋体" w:hAnsi="宋体" w:hint="eastAsia"/>
          <w:sz w:val="24"/>
        </w:rPr>
        <w:t>2、“每日分配、按日支付”。本基金根据每日基金收益情况，以每万份基金已实现收益为基准，为投资人每日计算当日收益并分配，且每日进行支付。投资人当日收益分配的计算保留到小数点后2位，如当日收益计算结果为正，则小数点后第三位采用截位的方式，如当日收益计算结果为负，则小数点后第三位采用非零即入的方式，因截位或用非零即入形成的余额归入基金财产，参与第二个工作日的分配。</w:t>
      </w:r>
      <w:bookmarkStart w:id="149" w:name="_Hlt80958353"/>
      <w:bookmarkStart w:id="150" w:name="_Hlt88366812"/>
      <w:bookmarkEnd w:id="149"/>
      <w:bookmarkEnd w:id="150"/>
    </w:p>
    <w:p w14:paraId="1B35881F" w14:textId="165155F4" w:rsidR="00BF0C91" w:rsidRDefault="00D65346">
      <w:pPr>
        <w:spacing w:line="360" w:lineRule="auto"/>
        <w:ind w:firstLineChars="200" w:firstLine="480"/>
        <w:rPr>
          <w:rFonts w:ascii="宋体" w:hAnsi="宋体"/>
          <w:sz w:val="24"/>
        </w:rPr>
      </w:pPr>
      <w:r>
        <w:rPr>
          <w:rFonts w:ascii="宋体" w:hAnsi="宋体" w:hint="eastAsia"/>
          <w:sz w:val="24"/>
        </w:rPr>
        <w:t>3、本基金每日进行收益支付，以人民币元方式簿记，收益支付方式只采用红利再投资（即红利转基金份额）方式；若当日净收益大于零时，则增加投资人基金份额，若当日净收益等于零时，则保持投资人基金份额不变；基金管理人将采取必要措施尽量避免基金净收益小于零，若当日净收益小于零时，缩减投资人基金份额。</w:t>
      </w:r>
    </w:p>
    <w:p w14:paraId="2392ECBC" w14:textId="77777777" w:rsidR="00BF0C91" w:rsidRDefault="00D65346">
      <w:pPr>
        <w:spacing w:line="360" w:lineRule="auto"/>
        <w:ind w:firstLineChars="200" w:firstLine="480"/>
        <w:rPr>
          <w:rFonts w:ascii="宋体" w:hAnsi="宋体"/>
          <w:color w:val="000000"/>
          <w:sz w:val="24"/>
        </w:rPr>
      </w:pPr>
      <w:r>
        <w:rPr>
          <w:rFonts w:ascii="宋体" w:hAnsi="宋体" w:hint="eastAsia"/>
          <w:color w:val="000000"/>
          <w:sz w:val="24"/>
        </w:rPr>
        <w:t>4、当日申购的基金份额自下一个工作日起享有基金的分配权益；当日赎回的基金份额自下一个工作日起不享有基金的分配权益。</w:t>
      </w:r>
    </w:p>
    <w:p w14:paraId="07F946F9" w14:textId="1EA0A5AA" w:rsidR="00BF0C91" w:rsidRDefault="00D65346">
      <w:pPr>
        <w:spacing w:line="324"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sidR="00732679" w:rsidRPr="00732679">
        <w:rPr>
          <w:rFonts w:ascii="宋体" w:hAnsi="宋体" w:hint="eastAsia"/>
          <w:color w:val="000000"/>
          <w:sz w:val="24"/>
        </w:rPr>
        <w:t>本基金同一类别的</w:t>
      </w:r>
      <w:r>
        <w:rPr>
          <w:rFonts w:ascii="宋体" w:hAnsi="宋体" w:hint="eastAsia"/>
          <w:color w:val="000000"/>
          <w:sz w:val="24"/>
        </w:rPr>
        <w:t>每一基金份额享有同等分配权。</w:t>
      </w:r>
    </w:p>
    <w:p w14:paraId="01246786" w14:textId="108AD790" w:rsidR="00BF0C91" w:rsidRDefault="00D65346">
      <w:pPr>
        <w:spacing w:line="324"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、在符合相关法律法规及规范性文件的规定，且不影响基金份额持有人利益的情况下，基金管理人可酌情调整基金收益分配方式，此项调整不需要基金份额持有人大会决议通过，基金管理人应于实施更改前</w:t>
      </w:r>
      <w:r>
        <w:rPr>
          <w:rFonts w:ascii="宋体" w:hAnsi="宋体" w:hint="eastAsia"/>
          <w:sz w:val="24"/>
        </w:rPr>
        <w:t>依照《信息披露办法》和《信息披露特别规定》的有关规定在中国证监会指定媒介上公告。</w:t>
      </w:r>
    </w:p>
    <w:p w14:paraId="6CA42178" w14:textId="397C7C31" w:rsidR="00BF0C91" w:rsidRDefault="00D65346">
      <w:pPr>
        <w:spacing w:line="324" w:lineRule="auto"/>
        <w:ind w:firstLineChars="200" w:firstLine="480"/>
        <w:rPr>
          <w:rFonts w:ascii="宋体" w:hAnsi="宋体"/>
          <w:color w:val="000000"/>
          <w:sz w:val="24"/>
          <w:szCs w:val="21"/>
        </w:rPr>
      </w:pPr>
      <w:r>
        <w:rPr>
          <w:rFonts w:ascii="宋体" w:hAnsi="宋体"/>
          <w:color w:val="000000"/>
          <w:sz w:val="24"/>
        </w:rPr>
        <w:lastRenderedPageBreak/>
        <w:t>7</w:t>
      </w:r>
      <w:r>
        <w:rPr>
          <w:rFonts w:ascii="宋体" w:hAnsi="宋体" w:hint="eastAsia"/>
          <w:color w:val="000000"/>
          <w:sz w:val="24"/>
        </w:rPr>
        <w:t>、法律法规或监管机关另有规定的，从其规定。</w:t>
      </w:r>
    </w:p>
    <w:p w14:paraId="6FA4F5B9" w14:textId="77777777" w:rsidR="00BF0C91" w:rsidRDefault="00D65346">
      <w:pPr>
        <w:spacing w:line="360" w:lineRule="auto"/>
        <w:ind w:firstLineChars="200" w:firstLine="482"/>
        <w:rPr>
          <w:rFonts w:ascii="宋体" w:hAnsi="宋体"/>
          <w:b/>
          <w:bCs/>
          <w:sz w:val="24"/>
          <w:szCs w:val="21"/>
        </w:rPr>
      </w:pPr>
      <w:r>
        <w:rPr>
          <w:rFonts w:ascii="宋体" w:hAnsi="宋体" w:hint="eastAsia"/>
          <w:b/>
          <w:bCs/>
          <w:sz w:val="24"/>
          <w:szCs w:val="21"/>
        </w:rPr>
        <w:t>四、基金收益公告</w:t>
      </w:r>
    </w:p>
    <w:p w14:paraId="2673ACA0" w14:textId="266B4E6A" w:rsidR="00BF0C91" w:rsidRDefault="00D65346">
      <w:pPr>
        <w:spacing w:line="324" w:lineRule="auto"/>
        <w:ind w:firstLineChars="200" w:firstLine="480"/>
        <w:rPr>
          <w:rFonts w:ascii="宋体" w:hAnsi="宋体"/>
          <w:color w:val="000000"/>
          <w:sz w:val="24"/>
          <w:szCs w:val="21"/>
        </w:rPr>
      </w:pPr>
      <w:r>
        <w:rPr>
          <w:rFonts w:ascii="宋体" w:hAnsi="宋体" w:hint="eastAsia"/>
          <w:color w:val="000000"/>
          <w:sz w:val="24"/>
          <w:szCs w:val="21"/>
        </w:rPr>
        <w:t>本</w:t>
      </w:r>
      <w:r>
        <w:rPr>
          <w:rFonts w:ascii="宋体" w:hAnsi="宋体"/>
          <w:color w:val="000000"/>
          <w:sz w:val="24"/>
          <w:szCs w:val="21"/>
        </w:rPr>
        <w:t>基金的基金合同生效后,</w:t>
      </w:r>
      <w:r>
        <w:rPr>
          <w:rFonts w:ascii="宋体" w:hAnsi="宋体" w:hint="eastAsia"/>
          <w:color w:val="000000"/>
          <w:sz w:val="24"/>
          <w:szCs w:val="21"/>
        </w:rPr>
        <w:t>将</w:t>
      </w:r>
      <w:r>
        <w:rPr>
          <w:rFonts w:ascii="宋体" w:hAnsi="宋体"/>
          <w:color w:val="000000"/>
          <w:sz w:val="24"/>
          <w:szCs w:val="21"/>
        </w:rPr>
        <w:t>于开始办理基金份额申购或者赎回当日,</w:t>
      </w:r>
      <w:r>
        <w:rPr>
          <w:rFonts w:ascii="宋体" w:hAnsi="宋体" w:hint="eastAsia"/>
          <w:color w:val="000000"/>
          <w:sz w:val="24"/>
          <w:szCs w:val="21"/>
        </w:rPr>
        <w:t>公告</w:t>
      </w:r>
      <w:r>
        <w:rPr>
          <w:rFonts w:ascii="宋体" w:hAnsi="宋体"/>
          <w:color w:val="000000"/>
          <w:sz w:val="24"/>
          <w:szCs w:val="21"/>
        </w:rPr>
        <w:t>截止前一日</w:t>
      </w:r>
      <w:r>
        <w:rPr>
          <w:rFonts w:ascii="宋体" w:hAnsi="宋体" w:hint="eastAsia"/>
          <w:sz w:val="24"/>
        </w:rPr>
        <w:t>各</w:t>
      </w:r>
      <w:r w:rsidR="006C2084">
        <w:rPr>
          <w:rFonts w:ascii="宋体" w:hAnsi="宋体" w:hint="eastAsia"/>
          <w:sz w:val="24"/>
        </w:rPr>
        <w:t>类</w:t>
      </w:r>
      <w:r>
        <w:rPr>
          <w:rFonts w:ascii="宋体" w:hAnsi="宋体" w:hint="eastAsia"/>
          <w:sz w:val="24"/>
        </w:rPr>
        <w:t>基金份额</w:t>
      </w:r>
      <w:r>
        <w:rPr>
          <w:rFonts w:ascii="宋体" w:hAnsi="宋体"/>
          <w:color w:val="000000"/>
          <w:sz w:val="24"/>
          <w:szCs w:val="21"/>
        </w:rPr>
        <w:t>的基金资产净值、基金合同生效至前一日期间</w:t>
      </w:r>
      <w:r>
        <w:rPr>
          <w:rFonts w:ascii="宋体" w:hAnsi="宋体" w:hint="eastAsia"/>
          <w:sz w:val="24"/>
        </w:rPr>
        <w:t>各</w:t>
      </w:r>
      <w:r w:rsidR="00557396">
        <w:rPr>
          <w:rFonts w:ascii="宋体" w:hAnsi="宋体" w:hint="eastAsia"/>
          <w:sz w:val="24"/>
        </w:rPr>
        <w:t>类</w:t>
      </w:r>
      <w:r>
        <w:rPr>
          <w:rFonts w:ascii="宋体" w:hAnsi="宋体" w:hint="eastAsia"/>
          <w:sz w:val="24"/>
        </w:rPr>
        <w:t>基金份额</w:t>
      </w:r>
      <w:r>
        <w:rPr>
          <w:rFonts w:ascii="宋体" w:hAnsi="宋体"/>
          <w:color w:val="000000"/>
          <w:sz w:val="24"/>
          <w:szCs w:val="21"/>
        </w:rPr>
        <w:t>的每万份基金已实现收益、前一日的</w:t>
      </w:r>
      <w:r>
        <w:rPr>
          <w:rFonts w:ascii="宋体" w:hAnsi="宋体" w:hint="eastAsia"/>
          <w:color w:val="000000"/>
          <w:sz w:val="24"/>
          <w:szCs w:val="21"/>
        </w:rPr>
        <w:t>七</w:t>
      </w:r>
      <w:r>
        <w:rPr>
          <w:rFonts w:ascii="宋体" w:hAnsi="宋体"/>
          <w:color w:val="000000"/>
          <w:sz w:val="24"/>
          <w:szCs w:val="21"/>
        </w:rPr>
        <w:t>日年化收益率。</w:t>
      </w:r>
    </w:p>
    <w:p w14:paraId="3EB237B0" w14:textId="7DABFEA3" w:rsidR="00BF0C91" w:rsidRDefault="00D65346">
      <w:pPr>
        <w:spacing w:line="324" w:lineRule="auto"/>
        <w:ind w:firstLineChars="200" w:firstLine="480"/>
        <w:rPr>
          <w:rFonts w:ascii="宋体" w:hAnsi="宋体"/>
          <w:color w:val="000000"/>
          <w:sz w:val="24"/>
        </w:rPr>
      </w:pPr>
      <w:r>
        <w:rPr>
          <w:rFonts w:ascii="宋体" w:hAnsi="宋体" w:hint="eastAsia"/>
          <w:color w:val="000000"/>
          <w:sz w:val="24"/>
          <w:szCs w:val="21"/>
        </w:rPr>
        <w:t>本基金每一工作日公告截止前一工作日（含节假日）的各</w:t>
      </w:r>
      <w:r w:rsidR="00F606FD">
        <w:rPr>
          <w:rFonts w:ascii="宋体" w:hAnsi="宋体" w:hint="eastAsia"/>
          <w:sz w:val="24"/>
        </w:rPr>
        <w:t>类</w:t>
      </w:r>
      <w:r>
        <w:rPr>
          <w:rFonts w:ascii="宋体" w:hAnsi="宋体" w:hint="eastAsia"/>
          <w:color w:val="000000"/>
          <w:sz w:val="24"/>
          <w:szCs w:val="21"/>
        </w:rPr>
        <w:t>基金份额的每万份基金已实现收益和基金七日年化收益率。基金收益公告由基金管理人编制，并由基金托管人复核后公告。遇特殊情况，可以适当延迟计算或公告。</w:t>
      </w:r>
    </w:p>
    <w:p w14:paraId="560F324E" w14:textId="20D699E2" w:rsidR="00BF0C91" w:rsidRDefault="00D65346">
      <w:pPr>
        <w:spacing w:line="324" w:lineRule="auto"/>
        <w:ind w:firstLineChars="200" w:firstLine="480"/>
        <w:rPr>
          <w:rFonts w:ascii="宋体" w:hAnsi="宋体"/>
          <w:sz w:val="24"/>
          <w:szCs w:val="21"/>
        </w:rPr>
      </w:pPr>
      <w:r>
        <w:rPr>
          <w:rFonts w:ascii="宋体" w:hAnsi="宋体" w:hint="eastAsia"/>
          <w:color w:val="000000"/>
          <w:sz w:val="24"/>
        </w:rPr>
        <w:t>某</w:t>
      </w:r>
      <w:r w:rsidR="00F606FD">
        <w:rPr>
          <w:rFonts w:ascii="宋体" w:hAnsi="宋体" w:hint="eastAsia"/>
          <w:sz w:val="24"/>
        </w:rPr>
        <w:t>类</w:t>
      </w:r>
      <w:r>
        <w:rPr>
          <w:rFonts w:ascii="宋体" w:hAnsi="宋体" w:hint="eastAsia"/>
          <w:color w:val="000000"/>
          <w:sz w:val="24"/>
        </w:rPr>
        <w:t>基金份额的日每万份基金已实现收益=[当日该</w:t>
      </w:r>
      <w:r w:rsidR="00F606FD">
        <w:rPr>
          <w:rFonts w:ascii="宋体" w:hAnsi="宋体" w:hint="eastAsia"/>
          <w:sz w:val="24"/>
        </w:rPr>
        <w:t>类</w:t>
      </w:r>
      <w:r>
        <w:rPr>
          <w:rFonts w:ascii="宋体" w:hAnsi="宋体" w:hint="eastAsia"/>
          <w:color w:val="000000"/>
          <w:sz w:val="24"/>
        </w:rPr>
        <w:t>基金份额的基金已实现收益/当日该</w:t>
      </w:r>
      <w:r w:rsidR="008D3FD2">
        <w:rPr>
          <w:rFonts w:ascii="宋体" w:hAnsi="宋体" w:hint="eastAsia"/>
          <w:sz w:val="24"/>
        </w:rPr>
        <w:t>类</w:t>
      </w:r>
      <w:r>
        <w:rPr>
          <w:rFonts w:ascii="宋体" w:hAnsi="宋体" w:hint="eastAsia"/>
          <w:color w:val="000000"/>
          <w:sz w:val="24"/>
        </w:rPr>
        <w:t>基金份额的总额]</w:t>
      </w:r>
      <w:r>
        <w:rPr>
          <w:rFonts w:ascii="宋体" w:hAnsi="宋体" w:hint="eastAsia"/>
          <w:sz w:val="24"/>
          <w:szCs w:val="21"/>
        </w:rPr>
        <w:t>×10000</w:t>
      </w:r>
    </w:p>
    <w:p w14:paraId="2009AC3C" w14:textId="63DA4033" w:rsidR="00BF0C91" w:rsidRDefault="00D65346">
      <w:pPr>
        <w:spacing w:line="324" w:lineRule="auto"/>
        <w:ind w:firstLineChars="200" w:firstLine="480"/>
      </w:pPr>
      <w:r>
        <w:rPr>
          <w:rFonts w:ascii="宋体" w:hAnsi="宋体"/>
          <w:color w:val="000000"/>
          <w:sz w:val="24"/>
          <w:szCs w:val="21"/>
        </w:rPr>
        <w:t>期间</w:t>
      </w:r>
      <w:r>
        <w:rPr>
          <w:rFonts w:ascii="宋体" w:hAnsi="宋体" w:hint="eastAsia"/>
          <w:color w:val="000000"/>
          <w:sz w:val="24"/>
        </w:rPr>
        <w:t>某</w:t>
      </w:r>
      <w:r w:rsidR="00F606FD">
        <w:rPr>
          <w:rFonts w:ascii="宋体" w:hAnsi="宋体" w:hint="eastAsia"/>
          <w:sz w:val="24"/>
        </w:rPr>
        <w:t>类</w:t>
      </w:r>
      <w:r>
        <w:rPr>
          <w:rFonts w:ascii="宋体" w:hAnsi="宋体" w:hint="eastAsia"/>
          <w:color w:val="000000"/>
          <w:sz w:val="24"/>
        </w:rPr>
        <w:t>基金份额的</w:t>
      </w:r>
      <w:r>
        <w:rPr>
          <w:rFonts w:ascii="宋体" w:hAnsi="宋体"/>
          <w:color w:val="000000"/>
          <w:sz w:val="24"/>
          <w:szCs w:val="21"/>
        </w:rPr>
        <w:t>每万份基金已实现收益＝</w:t>
      </w:r>
      <w:r>
        <w:rPr>
          <w:position w:val="-28"/>
        </w:rPr>
        <w:object w:dxaOrig="1824" w:dyaOrig="696" w14:anchorId="0FE71A96">
          <v:shape id="_x0000_i1026" type="#_x0000_t75" style="width:91.35pt;height:35.35pt" o:ole="">
            <v:imagedata r:id="rId19" o:title=""/>
          </v:shape>
          <o:OLEObject Type="Embed" ProgID="Equation.DSMT4" ShapeID="_x0000_i1026" DrawAspect="Content" ObjectID="_1770465883" r:id="rId20"/>
        </w:object>
      </w:r>
    </w:p>
    <w:p w14:paraId="30583E40" w14:textId="1415C187" w:rsidR="00BF0C91" w:rsidRDefault="00D65346">
      <w:pPr>
        <w:spacing w:line="324" w:lineRule="auto"/>
        <w:ind w:firstLineChars="200" w:firstLine="480"/>
        <w:rPr>
          <w:rFonts w:ascii="宋体" w:hAnsi="宋体"/>
          <w:color w:val="000000"/>
          <w:sz w:val="24"/>
          <w:szCs w:val="21"/>
        </w:rPr>
      </w:pPr>
      <w:r>
        <w:rPr>
          <w:rFonts w:ascii="宋体" w:hAnsi="宋体"/>
          <w:color w:val="000000"/>
          <w:sz w:val="24"/>
          <w:szCs w:val="21"/>
        </w:rPr>
        <w:t>其中,r</w:t>
      </w:r>
      <w:r>
        <w:rPr>
          <w:rFonts w:ascii="宋体" w:hAnsi="宋体"/>
          <w:color w:val="000000"/>
          <w:sz w:val="24"/>
          <w:vertAlign w:val="subscript"/>
        </w:rPr>
        <w:t>1</w:t>
      </w:r>
      <w:r>
        <w:rPr>
          <w:rFonts w:ascii="宋体" w:hAnsi="宋体"/>
          <w:color w:val="000000"/>
          <w:sz w:val="24"/>
          <w:szCs w:val="21"/>
        </w:rPr>
        <w:t>为期间首日</w:t>
      </w:r>
      <w:r>
        <w:rPr>
          <w:rFonts w:ascii="宋体" w:hAnsi="宋体" w:hint="eastAsia"/>
          <w:color w:val="000000"/>
          <w:sz w:val="24"/>
        </w:rPr>
        <w:t>该</w:t>
      </w:r>
      <w:r w:rsidR="00F606FD">
        <w:rPr>
          <w:rFonts w:ascii="宋体" w:hAnsi="宋体" w:hint="eastAsia"/>
          <w:sz w:val="24"/>
        </w:rPr>
        <w:t>类</w:t>
      </w:r>
      <w:r>
        <w:rPr>
          <w:rFonts w:ascii="宋体" w:hAnsi="宋体" w:hint="eastAsia"/>
          <w:color w:val="000000"/>
          <w:sz w:val="24"/>
        </w:rPr>
        <w:t>基金份额的</w:t>
      </w:r>
      <w:r>
        <w:rPr>
          <w:rFonts w:ascii="宋体" w:hAnsi="宋体"/>
          <w:color w:val="000000"/>
          <w:sz w:val="24"/>
          <w:szCs w:val="21"/>
        </w:rPr>
        <w:t>基金已实现收益,</w:t>
      </w:r>
      <w:r>
        <w:rPr>
          <w:rFonts w:ascii="宋体" w:hAnsi="宋体" w:hint="eastAsia"/>
          <w:color w:val="000000"/>
          <w:sz w:val="24"/>
          <w:szCs w:val="21"/>
        </w:rPr>
        <w:t>s</w:t>
      </w:r>
      <w:r>
        <w:rPr>
          <w:rFonts w:ascii="宋体" w:hAnsi="宋体"/>
          <w:color w:val="000000"/>
          <w:sz w:val="24"/>
          <w:vertAlign w:val="subscript"/>
        </w:rPr>
        <w:t>1</w:t>
      </w:r>
      <w:r>
        <w:rPr>
          <w:rFonts w:ascii="宋体" w:hAnsi="宋体"/>
          <w:color w:val="000000"/>
          <w:sz w:val="24"/>
          <w:szCs w:val="21"/>
        </w:rPr>
        <w:t>为期间首日</w:t>
      </w:r>
      <w:r>
        <w:rPr>
          <w:rFonts w:ascii="宋体" w:hAnsi="宋体" w:hint="eastAsia"/>
          <w:color w:val="000000"/>
          <w:sz w:val="24"/>
        </w:rPr>
        <w:t>该</w:t>
      </w:r>
      <w:r w:rsidR="00F606FD">
        <w:rPr>
          <w:rFonts w:ascii="宋体" w:hAnsi="宋体" w:hint="eastAsia"/>
          <w:sz w:val="24"/>
        </w:rPr>
        <w:t>类</w:t>
      </w:r>
      <w:r>
        <w:rPr>
          <w:rFonts w:ascii="宋体" w:hAnsi="宋体"/>
          <w:color w:val="000000"/>
          <w:sz w:val="24"/>
          <w:szCs w:val="21"/>
        </w:rPr>
        <w:t>基金份额</w:t>
      </w:r>
      <w:r>
        <w:rPr>
          <w:rFonts w:ascii="宋体" w:hAnsi="宋体" w:hint="eastAsia"/>
          <w:color w:val="000000"/>
          <w:sz w:val="24"/>
          <w:szCs w:val="21"/>
        </w:rPr>
        <w:t>的</w:t>
      </w:r>
      <w:r>
        <w:rPr>
          <w:rFonts w:ascii="宋体" w:hAnsi="宋体"/>
          <w:color w:val="000000"/>
          <w:sz w:val="24"/>
          <w:szCs w:val="21"/>
        </w:rPr>
        <w:t>总额,r</w:t>
      </w:r>
      <w:r>
        <w:rPr>
          <w:rFonts w:ascii="宋体" w:hAnsi="宋体"/>
          <w:color w:val="000000"/>
          <w:sz w:val="24"/>
          <w:vertAlign w:val="subscript"/>
        </w:rPr>
        <w:t>w</w:t>
      </w:r>
      <w:r>
        <w:rPr>
          <w:rFonts w:ascii="宋体" w:hAnsi="宋体"/>
          <w:color w:val="000000"/>
          <w:sz w:val="24"/>
          <w:szCs w:val="21"/>
        </w:rPr>
        <w:t>为第w日</w:t>
      </w:r>
      <w:r>
        <w:rPr>
          <w:rFonts w:ascii="宋体" w:hAnsi="宋体" w:hint="eastAsia"/>
          <w:color w:val="000000"/>
          <w:sz w:val="24"/>
        </w:rPr>
        <w:t>该</w:t>
      </w:r>
      <w:r w:rsidR="00F606FD">
        <w:rPr>
          <w:rFonts w:ascii="宋体" w:hAnsi="宋体" w:hint="eastAsia"/>
          <w:sz w:val="24"/>
        </w:rPr>
        <w:t>类</w:t>
      </w:r>
      <w:r>
        <w:rPr>
          <w:rFonts w:ascii="宋体" w:hAnsi="宋体" w:hint="eastAsia"/>
          <w:color w:val="000000"/>
          <w:sz w:val="24"/>
        </w:rPr>
        <w:t>基金份额的</w:t>
      </w:r>
      <w:r>
        <w:rPr>
          <w:rFonts w:ascii="宋体" w:hAnsi="宋体"/>
          <w:color w:val="000000"/>
          <w:sz w:val="24"/>
          <w:szCs w:val="21"/>
        </w:rPr>
        <w:t>基金已实现收益,</w:t>
      </w:r>
      <w:r>
        <w:rPr>
          <w:rFonts w:ascii="宋体" w:hAnsi="宋体" w:hint="eastAsia"/>
          <w:color w:val="000000"/>
          <w:sz w:val="24"/>
          <w:szCs w:val="21"/>
        </w:rPr>
        <w:t>s</w:t>
      </w:r>
      <w:r>
        <w:rPr>
          <w:rFonts w:ascii="宋体" w:hAnsi="宋体"/>
          <w:color w:val="000000"/>
          <w:sz w:val="24"/>
          <w:vertAlign w:val="subscript"/>
        </w:rPr>
        <w:t>w</w:t>
      </w:r>
      <w:r>
        <w:rPr>
          <w:rFonts w:ascii="宋体" w:hAnsi="宋体"/>
          <w:color w:val="000000"/>
          <w:sz w:val="24"/>
          <w:szCs w:val="21"/>
        </w:rPr>
        <w:t>为第w日</w:t>
      </w:r>
      <w:r>
        <w:rPr>
          <w:rFonts w:ascii="宋体" w:hAnsi="宋体" w:hint="eastAsia"/>
          <w:color w:val="000000"/>
          <w:sz w:val="24"/>
        </w:rPr>
        <w:t>该</w:t>
      </w:r>
      <w:r w:rsidR="00F606FD">
        <w:rPr>
          <w:rFonts w:ascii="宋体" w:hAnsi="宋体" w:hint="eastAsia"/>
          <w:sz w:val="24"/>
        </w:rPr>
        <w:t>类</w:t>
      </w:r>
      <w:r>
        <w:rPr>
          <w:rFonts w:ascii="宋体" w:hAnsi="宋体"/>
          <w:color w:val="000000"/>
          <w:sz w:val="24"/>
          <w:szCs w:val="21"/>
        </w:rPr>
        <w:t>基金份额</w:t>
      </w:r>
      <w:r>
        <w:rPr>
          <w:rFonts w:ascii="宋体" w:hAnsi="宋体" w:hint="eastAsia"/>
          <w:color w:val="000000"/>
          <w:sz w:val="24"/>
          <w:szCs w:val="21"/>
        </w:rPr>
        <w:t>的</w:t>
      </w:r>
      <w:r>
        <w:rPr>
          <w:rFonts w:ascii="宋体" w:hAnsi="宋体"/>
          <w:color w:val="000000"/>
          <w:sz w:val="24"/>
          <w:szCs w:val="21"/>
        </w:rPr>
        <w:t>总额,r</w:t>
      </w:r>
      <w:r>
        <w:rPr>
          <w:rFonts w:ascii="宋体" w:hAnsi="宋体"/>
          <w:color w:val="000000"/>
          <w:sz w:val="24"/>
          <w:vertAlign w:val="subscript"/>
        </w:rPr>
        <w:t>n</w:t>
      </w:r>
      <w:r>
        <w:rPr>
          <w:rFonts w:ascii="宋体" w:hAnsi="宋体"/>
          <w:color w:val="000000"/>
          <w:sz w:val="24"/>
          <w:szCs w:val="21"/>
        </w:rPr>
        <w:t>为期间最后一日</w:t>
      </w:r>
      <w:r>
        <w:rPr>
          <w:rFonts w:ascii="宋体" w:hAnsi="宋体" w:hint="eastAsia"/>
          <w:color w:val="000000"/>
          <w:sz w:val="24"/>
        </w:rPr>
        <w:t>该</w:t>
      </w:r>
      <w:r w:rsidR="00F606FD">
        <w:rPr>
          <w:rFonts w:ascii="宋体" w:hAnsi="宋体" w:hint="eastAsia"/>
          <w:sz w:val="24"/>
        </w:rPr>
        <w:t>类</w:t>
      </w:r>
      <w:r>
        <w:rPr>
          <w:rFonts w:ascii="宋体" w:hAnsi="宋体" w:hint="eastAsia"/>
          <w:color w:val="000000"/>
          <w:sz w:val="24"/>
        </w:rPr>
        <w:t>基金份额的</w:t>
      </w:r>
      <w:r>
        <w:rPr>
          <w:rFonts w:ascii="宋体" w:hAnsi="宋体"/>
          <w:color w:val="000000"/>
          <w:sz w:val="24"/>
          <w:szCs w:val="21"/>
        </w:rPr>
        <w:t>基金已实现收益,</w:t>
      </w:r>
      <w:r>
        <w:rPr>
          <w:rFonts w:ascii="宋体" w:hAnsi="宋体" w:hint="eastAsia"/>
          <w:color w:val="000000"/>
          <w:sz w:val="24"/>
          <w:szCs w:val="21"/>
        </w:rPr>
        <w:t>s</w:t>
      </w:r>
      <w:r>
        <w:rPr>
          <w:rFonts w:ascii="宋体" w:hAnsi="宋体"/>
          <w:color w:val="000000"/>
          <w:sz w:val="24"/>
          <w:vertAlign w:val="subscript"/>
        </w:rPr>
        <w:t>n</w:t>
      </w:r>
      <w:r>
        <w:rPr>
          <w:rFonts w:ascii="宋体" w:hAnsi="宋体"/>
          <w:color w:val="000000"/>
          <w:sz w:val="24"/>
          <w:szCs w:val="21"/>
        </w:rPr>
        <w:t>为期间最后一日</w:t>
      </w:r>
      <w:r>
        <w:rPr>
          <w:rFonts w:ascii="宋体" w:hAnsi="宋体" w:hint="eastAsia"/>
          <w:color w:val="000000"/>
          <w:sz w:val="24"/>
        </w:rPr>
        <w:t>该</w:t>
      </w:r>
      <w:r w:rsidR="00F606FD">
        <w:rPr>
          <w:rFonts w:ascii="宋体" w:hAnsi="宋体" w:hint="eastAsia"/>
          <w:sz w:val="24"/>
        </w:rPr>
        <w:t>类</w:t>
      </w:r>
      <w:r>
        <w:rPr>
          <w:rFonts w:ascii="宋体" w:hAnsi="宋体"/>
          <w:color w:val="000000"/>
          <w:sz w:val="24"/>
          <w:szCs w:val="21"/>
        </w:rPr>
        <w:t>基金份额</w:t>
      </w:r>
      <w:r>
        <w:rPr>
          <w:rFonts w:ascii="宋体" w:hAnsi="宋体" w:hint="eastAsia"/>
          <w:color w:val="000000"/>
          <w:sz w:val="24"/>
          <w:szCs w:val="21"/>
        </w:rPr>
        <w:t>的</w:t>
      </w:r>
      <w:r>
        <w:rPr>
          <w:rFonts w:ascii="宋体" w:hAnsi="宋体"/>
          <w:color w:val="000000"/>
          <w:sz w:val="24"/>
          <w:szCs w:val="21"/>
        </w:rPr>
        <w:t>总额</w:t>
      </w:r>
      <w:r>
        <w:rPr>
          <w:rFonts w:ascii="宋体" w:hAnsi="宋体" w:hint="eastAsia"/>
          <w:color w:val="000000"/>
          <w:sz w:val="24"/>
          <w:szCs w:val="21"/>
        </w:rPr>
        <w:t>。</w:t>
      </w:r>
    </w:p>
    <w:p w14:paraId="4458E628" w14:textId="77777777" w:rsidR="00BF0C91" w:rsidRDefault="00D65346">
      <w:pPr>
        <w:spacing w:line="324" w:lineRule="auto"/>
        <w:ind w:firstLineChars="200" w:firstLine="480"/>
        <w:rPr>
          <w:rFonts w:ascii="宋体" w:hAnsi="宋体"/>
          <w:color w:val="000000"/>
          <w:sz w:val="24"/>
          <w:szCs w:val="21"/>
        </w:rPr>
      </w:pPr>
      <w:r>
        <w:rPr>
          <w:rFonts w:ascii="宋体" w:hAnsi="宋体" w:hint="eastAsia"/>
          <w:sz w:val="24"/>
          <w:szCs w:val="21"/>
        </w:rPr>
        <w:t>上述收益的精度为0.0001元，第5位采用四舍五入的方式。</w:t>
      </w:r>
    </w:p>
    <w:p w14:paraId="21825C42" w14:textId="21AE0740" w:rsidR="00BF0C91" w:rsidRDefault="00D65346">
      <w:pPr>
        <w:spacing w:line="324" w:lineRule="auto"/>
        <w:ind w:firstLineChars="200" w:firstLine="480"/>
        <w:rPr>
          <w:rFonts w:ascii="宋体" w:hAnsi="宋体"/>
          <w:sz w:val="24"/>
          <w:szCs w:val="21"/>
        </w:rPr>
      </w:pPr>
      <w:r>
        <w:rPr>
          <w:rFonts w:ascii="宋体" w:hAnsi="宋体" w:hint="eastAsia"/>
          <w:color w:val="000000"/>
          <w:sz w:val="24"/>
        </w:rPr>
        <w:t>某</w:t>
      </w:r>
      <w:r w:rsidR="00F606FD">
        <w:rPr>
          <w:rFonts w:ascii="宋体" w:hAnsi="宋体" w:hint="eastAsia"/>
          <w:sz w:val="24"/>
        </w:rPr>
        <w:t>类</w:t>
      </w:r>
      <w:r>
        <w:rPr>
          <w:rFonts w:ascii="宋体" w:hAnsi="宋体" w:hint="eastAsia"/>
          <w:sz w:val="24"/>
          <w:szCs w:val="21"/>
        </w:rPr>
        <w:t>基金</w:t>
      </w:r>
      <w:r>
        <w:rPr>
          <w:rFonts w:ascii="宋体" w:hAnsi="宋体" w:hint="eastAsia"/>
          <w:color w:val="000000"/>
          <w:sz w:val="24"/>
        </w:rPr>
        <w:t>份额的</w:t>
      </w:r>
      <w:r>
        <w:rPr>
          <w:rFonts w:ascii="宋体" w:hAnsi="宋体" w:hint="eastAsia"/>
          <w:sz w:val="24"/>
          <w:szCs w:val="21"/>
        </w:rPr>
        <w:t>七日</w:t>
      </w:r>
      <w:r>
        <w:rPr>
          <w:rFonts w:ascii="宋体" w:hAnsi="宋体" w:cs="宋体" w:hint="eastAsia"/>
          <w:sz w:val="24"/>
          <w:szCs w:val="21"/>
        </w:rPr>
        <w:t>年化收益率</w:t>
      </w:r>
      <w:r>
        <w:rPr>
          <w:rFonts w:ascii="宋体" w:hAnsi="宋体" w:hint="eastAsia"/>
          <w:sz w:val="24"/>
          <w:szCs w:val="21"/>
        </w:rPr>
        <w:t>=</w:t>
      </w:r>
      <w:r>
        <w:rPr>
          <w:rFonts w:ascii="宋体" w:hAnsi="宋体"/>
          <w:noProof/>
          <w:kern w:val="0"/>
          <w:sz w:val="24"/>
        </w:rPr>
        <w:drawing>
          <wp:inline distT="0" distB="0" distL="0" distR="0" wp14:anchorId="629D50D0" wp14:editId="48323193">
            <wp:extent cx="2216150" cy="577850"/>
            <wp:effectExtent l="0" t="0" r="0" b="0"/>
            <wp:docPr id="6" name="图片 6"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212566102420208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216150" cy="577850"/>
                    </a:xfrm>
                    <a:prstGeom prst="rect">
                      <a:avLst/>
                    </a:prstGeom>
                    <a:noFill/>
                    <a:ln>
                      <a:noFill/>
                    </a:ln>
                  </pic:spPr>
                </pic:pic>
              </a:graphicData>
            </a:graphic>
          </wp:inline>
        </w:drawing>
      </w:r>
    </w:p>
    <w:p w14:paraId="1A086DAD" w14:textId="2C58E65D" w:rsidR="00BF0C91" w:rsidRDefault="00D65346">
      <w:pPr>
        <w:spacing w:line="324" w:lineRule="auto"/>
        <w:ind w:firstLineChars="200" w:firstLine="480"/>
        <w:rPr>
          <w:rFonts w:hAnsi="宋体"/>
          <w:sz w:val="24"/>
          <w:szCs w:val="21"/>
        </w:rPr>
      </w:pPr>
      <w:r>
        <w:rPr>
          <w:rFonts w:hAnsi="宋体"/>
          <w:sz w:val="24"/>
          <w:szCs w:val="21"/>
        </w:rPr>
        <w:t>其中</w:t>
      </w:r>
      <w:r>
        <w:rPr>
          <w:i/>
          <w:sz w:val="24"/>
          <w:szCs w:val="21"/>
        </w:rPr>
        <w:t>R</w:t>
      </w:r>
      <w:r>
        <w:rPr>
          <w:i/>
          <w:sz w:val="24"/>
          <w:vertAlign w:val="subscript"/>
        </w:rPr>
        <w:t>i</w:t>
      </w:r>
      <w:r>
        <w:rPr>
          <w:rFonts w:hAnsi="宋体"/>
          <w:sz w:val="24"/>
          <w:szCs w:val="21"/>
        </w:rPr>
        <w:t>为最近第</w:t>
      </w:r>
      <w:r>
        <w:rPr>
          <w:i/>
          <w:sz w:val="24"/>
          <w:szCs w:val="21"/>
        </w:rPr>
        <w:t>i</w:t>
      </w:r>
      <w:r>
        <w:rPr>
          <w:rFonts w:hAnsi="宋体"/>
          <w:sz w:val="24"/>
          <w:szCs w:val="21"/>
        </w:rPr>
        <w:t>个</w:t>
      </w:r>
      <w:r>
        <w:rPr>
          <w:rFonts w:hAnsi="宋体" w:hint="eastAsia"/>
          <w:sz w:val="24"/>
          <w:szCs w:val="21"/>
        </w:rPr>
        <w:t>公历日（包括计算当日，</w:t>
      </w:r>
      <w:r>
        <w:rPr>
          <w:i/>
          <w:sz w:val="24"/>
          <w:szCs w:val="21"/>
        </w:rPr>
        <w:t>i</w:t>
      </w:r>
      <w:r>
        <w:rPr>
          <w:rFonts w:hAnsi="宋体" w:hint="eastAsia"/>
          <w:sz w:val="24"/>
          <w:szCs w:val="21"/>
        </w:rPr>
        <w:t>=1</w:t>
      </w:r>
      <w:r>
        <w:rPr>
          <w:rFonts w:hAnsi="宋体" w:hint="eastAsia"/>
          <w:sz w:val="24"/>
          <w:szCs w:val="21"/>
        </w:rPr>
        <w:t>，</w:t>
      </w:r>
      <w:r>
        <w:rPr>
          <w:rFonts w:hAnsi="宋体" w:hint="eastAsia"/>
          <w:sz w:val="24"/>
          <w:szCs w:val="21"/>
        </w:rPr>
        <w:t>2</w:t>
      </w:r>
      <w:r>
        <w:rPr>
          <w:rFonts w:hAnsi="宋体" w:hint="eastAsia"/>
          <w:sz w:val="24"/>
          <w:szCs w:val="21"/>
        </w:rPr>
        <w:t>，</w:t>
      </w:r>
      <w:r>
        <w:rPr>
          <w:rFonts w:hAnsi="宋体"/>
          <w:sz w:val="24"/>
          <w:szCs w:val="21"/>
        </w:rPr>
        <w:t>…</w:t>
      </w:r>
      <w:r>
        <w:rPr>
          <w:rFonts w:hAnsi="宋体" w:hint="eastAsia"/>
          <w:sz w:val="24"/>
          <w:szCs w:val="21"/>
        </w:rPr>
        <w:t>，</w:t>
      </w:r>
      <w:r>
        <w:rPr>
          <w:rFonts w:hAnsi="宋体" w:hint="eastAsia"/>
          <w:sz w:val="24"/>
          <w:szCs w:val="21"/>
        </w:rPr>
        <w:t>7</w:t>
      </w:r>
      <w:r>
        <w:rPr>
          <w:rFonts w:hAnsi="宋体" w:hint="eastAsia"/>
          <w:sz w:val="24"/>
          <w:szCs w:val="21"/>
        </w:rPr>
        <w:t>）</w:t>
      </w:r>
      <w:r>
        <w:rPr>
          <w:rFonts w:ascii="宋体" w:hAnsi="宋体" w:hint="eastAsia"/>
          <w:color w:val="000000"/>
          <w:sz w:val="24"/>
        </w:rPr>
        <w:t>该</w:t>
      </w:r>
      <w:r w:rsidR="00EB2112">
        <w:rPr>
          <w:rFonts w:ascii="宋体" w:hAnsi="宋体" w:hint="eastAsia"/>
          <w:sz w:val="24"/>
        </w:rPr>
        <w:t>类</w:t>
      </w:r>
      <w:r>
        <w:rPr>
          <w:rFonts w:ascii="宋体" w:hAnsi="宋体" w:hint="eastAsia"/>
          <w:color w:val="000000"/>
          <w:sz w:val="24"/>
        </w:rPr>
        <w:t>基金份额</w:t>
      </w:r>
      <w:r>
        <w:rPr>
          <w:rFonts w:hAnsi="宋体" w:hint="eastAsia"/>
          <w:sz w:val="24"/>
          <w:szCs w:val="21"/>
        </w:rPr>
        <w:t>的每万份基金已实现收益，基金七日年化收益率采用四舍五入方式保留小数点后三位。</w:t>
      </w:r>
    </w:p>
    <w:p w14:paraId="50644709" w14:textId="77777777" w:rsidR="00BF0C91" w:rsidRDefault="00D65346">
      <w:pPr>
        <w:spacing w:line="360" w:lineRule="auto"/>
        <w:ind w:firstLineChars="200" w:firstLine="482"/>
        <w:rPr>
          <w:rFonts w:ascii="宋体" w:hAnsi="宋体"/>
          <w:b/>
          <w:bCs/>
          <w:sz w:val="24"/>
          <w:szCs w:val="21"/>
        </w:rPr>
      </w:pPr>
      <w:r>
        <w:rPr>
          <w:rFonts w:ascii="宋体" w:hAnsi="宋体" w:hint="eastAsia"/>
          <w:b/>
          <w:bCs/>
          <w:sz w:val="24"/>
          <w:szCs w:val="21"/>
        </w:rPr>
        <w:t>五、基金收益分配方案的确定、公告与实施</w:t>
      </w:r>
    </w:p>
    <w:p w14:paraId="3205FF29" w14:textId="77777777" w:rsidR="00BF0C91" w:rsidRDefault="00D65346">
      <w:pPr>
        <w:spacing w:line="360" w:lineRule="auto"/>
        <w:ind w:firstLineChars="200" w:firstLine="480"/>
        <w:rPr>
          <w:color w:val="000000"/>
          <w:sz w:val="24"/>
          <w:szCs w:val="21"/>
        </w:rPr>
      </w:pPr>
      <w:r>
        <w:rPr>
          <w:rFonts w:hint="eastAsia"/>
          <w:color w:val="000000"/>
          <w:sz w:val="24"/>
          <w:szCs w:val="21"/>
        </w:rPr>
        <w:t>基金收益分配方案由基金管理人拟定，并由基金托管人核实后确定。</w:t>
      </w:r>
      <w:r>
        <w:rPr>
          <w:rFonts w:ascii="宋体" w:hAnsi="宋体" w:hint="eastAsia"/>
          <w:sz w:val="24"/>
        </w:rPr>
        <w:t>本基金按日计算并分配收益，基金管理人不另行公告基金收益分配方案。</w:t>
      </w:r>
    </w:p>
    <w:p w14:paraId="2B1A8809" w14:textId="77777777" w:rsidR="00BF0C91" w:rsidRDefault="00D65346">
      <w:pPr>
        <w:spacing w:beforeLines="50" w:before="156" w:afterLines="50" w:after="156" w:line="360" w:lineRule="auto"/>
        <w:ind w:firstLineChars="200" w:firstLine="482"/>
        <w:outlineLvl w:val="1"/>
        <w:rPr>
          <w:rFonts w:ascii="宋体" w:hAnsi="宋体"/>
          <w:b/>
          <w:bCs/>
          <w:sz w:val="24"/>
          <w:szCs w:val="21"/>
        </w:rPr>
      </w:pPr>
      <w:bookmarkStart w:id="151" w:name="_Toc22006048"/>
      <w:r>
        <w:rPr>
          <w:rFonts w:ascii="宋体" w:hAnsi="宋体" w:hint="eastAsia"/>
          <w:b/>
          <w:bCs/>
          <w:sz w:val="24"/>
          <w:szCs w:val="21"/>
        </w:rPr>
        <w:t>六、基金收益分配中发生的费用</w:t>
      </w:r>
      <w:bookmarkEnd w:id="151"/>
    </w:p>
    <w:p w14:paraId="33E18754" w14:textId="77777777" w:rsidR="00BF0C91" w:rsidRDefault="00D65346">
      <w:pPr>
        <w:spacing w:line="360" w:lineRule="auto"/>
        <w:ind w:firstLineChars="200" w:firstLine="480"/>
        <w:rPr>
          <w:rFonts w:ascii="宋体" w:hAnsi="宋体"/>
          <w:color w:val="000000"/>
          <w:sz w:val="24"/>
          <w:szCs w:val="21"/>
        </w:rPr>
      </w:pPr>
      <w:r>
        <w:rPr>
          <w:rFonts w:ascii="宋体" w:hint="eastAsia"/>
          <w:color w:val="000000"/>
          <w:sz w:val="24"/>
        </w:rPr>
        <w:t>收益分配采用红利再投资方式，免收再投资费用。</w:t>
      </w:r>
    </w:p>
    <w:p w14:paraId="6E1174FC" w14:textId="77777777" w:rsidR="00BF0C91" w:rsidRDefault="00D65346">
      <w:pPr>
        <w:pStyle w:val="1"/>
        <w:spacing w:before="0" w:after="0" w:line="360" w:lineRule="auto"/>
        <w:rPr>
          <w:rFonts w:ascii="黑体" w:eastAsia="黑体" w:hAnsi="Arial" w:cs="Arial"/>
          <w:color w:val="000000"/>
          <w:sz w:val="30"/>
          <w:szCs w:val="32"/>
        </w:rPr>
      </w:pPr>
      <w:bookmarkStart w:id="152" w:name="_Toc48649716"/>
      <w:r>
        <w:rPr>
          <w:rFonts w:ascii="黑体" w:eastAsia="黑体" w:hAnsi="宋体"/>
          <w:b w:val="0"/>
          <w:color w:val="000000"/>
          <w:sz w:val="24"/>
          <w:szCs w:val="32"/>
        </w:rPr>
        <w:br w:type="page"/>
      </w:r>
      <w:bookmarkStart w:id="153" w:name="_Toc169580232"/>
      <w:r>
        <w:rPr>
          <w:rFonts w:ascii="黑体" w:eastAsia="黑体" w:hAnsi="Arial" w:cs="Arial" w:hint="eastAsia"/>
          <w:color w:val="000000"/>
          <w:sz w:val="30"/>
          <w:szCs w:val="32"/>
        </w:rPr>
        <w:lastRenderedPageBreak/>
        <w:t>第十九部分</w:t>
      </w:r>
      <w:r>
        <w:rPr>
          <w:rFonts w:ascii="黑体" w:eastAsia="黑体" w:hAnsi="Arial" w:cs="Arial"/>
          <w:color w:val="000000"/>
          <w:sz w:val="30"/>
          <w:szCs w:val="32"/>
        </w:rPr>
        <w:t xml:space="preserve">  </w:t>
      </w:r>
      <w:r>
        <w:rPr>
          <w:rFonts w:ascii="黑体" w:eastAsia="黑体" w:hAnsi="Arial" w:cs="Arial" w:hint="eastAsia"/>
          <w:color w:val="000000"/>
          <w:sz w:val="30"/>
          <w:szCs w:val="32"/>
        </w:rPr>
        <w:t>基金的会计与审计</w:t>
      </w:r>
      <w:bookmarkEnd w:id="152"/>
      <w:bookmarkEnd w:id="153"/>
    </w:p>
    <w:p w14:paraId="2EC1CEB9" w14:textId="77777777" w:rsidR="00BF0C91" w:rsidRDefault="00BF0C91">
      <w:pPr>
        <w:autoSpaceDE w:val="0"/>
        <w:autoSpaceDN w:val="0"/>
        <w:spacing w:line="360" w:lineRule="auto"/>
        <w:ind w:left="2159" w:hangingChars="896" w:hanging="2159"/>
        <w:jc w:val="center"/>
        <w:textAlignment w:val="bottom"/>
        <w:outlineLvl w:val="0"/>
        <w:rPr>
          <w:rFonts w:ascii="宋体" w:hAnsi="宋体"/>
          <w:b/>
          <w:color w:val="000000"/>
          <w:sz w:val="24"/>
          <w:szCs w:val="32"/>
        </w:rPr>
      </w:pPr>
    </w:p>
    <w:p w14:paraId="5C246DB1" w14:textId="77777777" w:rsidR="00BF0C91" w:rsidRDefault="00D65346">
      <w:pPr>
        <w:spacing w:beforeLines="50" w:before="156" w:afterLines="50" w:after="156" w:line="360" w:lineRule="auto"/>
        <w:ind w:firstLineChars="200" w:firstLine="482"/>
        <w:outlineLvl w:val="1"/>
        <w:rPr>
          <w:rFonts w:ascii="宋体" w:hAnsi="宋体"/>
          <w:b/>
          <w:bCs/>
          <w:color w:val="000000"/>
          <w:sz w:val="24"/>
          <w:szCs w:val="21"/>
        </w:rPr>
      </w:pPr>
      <w:r>
        <w:rPr>
          <w:rFonts w:ascii="宋体" w:hAnsi="宋体" w:hint="eastAsia"/>
          <w:b/>
          <w:bCs/>
          <w:color w:val="000000"/>
          <w:sz w:val="24"/>
          <w:szCs w:val="21"/>
        </w:rPr>
        <w:t>一、基金会计政策</w:t>
      </w:r>
    </w:p>
    <w:p w14:paraId="7C90FB02" w14:textId="77777777" w:rsidR="00BF0C91" w:rsidRDefault="00D65346">
      <w:pPr>
        <w:spacing w:line="360" w:lineRule="auto"/>
        <w:ind w:firstLineChars="200" w:firstLine="480"/>
        <w:rPr>
          <w:rFonts w:ascii="宋体" w:hAnsi="宋体"/>
          <w:color w:val="000000"/>
          <w:sz w:val="24"/>
          <w:szCs w:val="21"/>
        </w:rPr>
      </w:pPr>
      <w:r>
        <w:rPr>
          <w:rFonts w:ascii="宋体" w:hAnsi="宋体"/>
          <w:color w:val="000000"/>
          <w:sz w:val="24"/>
          <w:szCs w:val="21"/>
        </w:rPr>
        <w:t>1</w:t>
      </w:r>
      <w:r>
        <w:rPr>
          <w:rFonts w:ascii="宋体" w:hAnsi="宋体" w:hint="eastAsia"/>
          <w:color w:val="000000"/>
          <w:sz w:val="24"/>
          <w:szCs w:val="21"/>
        </w:rPr>
        <w:t>、基金管理人为本基金的基金会计责任方；</w:t>
      </w:r>
    </w:p>
    <w:p w14:paraId="60FA8884" w14:textId="77777777" w:rsidR="00BF0C91" w:rsidRDefault="00D65346">
      <w:pPr>
        <w:spacing w:line="360" w:lineRule="auto"/>
        <w:ind w:firstLineChars="200" w:firstLine="480"/>
        <w:rPr>
          <w:rFonts w:ascii="宋体" w:hAnsi="宋体"/>
          <w:color w:val="000000"/>
          <w:sz w:val="24"/>
          <w:szCs w:val="21"/>
        </w:rPr>
      </w:pPr>
      <w:r>
        <w:rPr>
          <w:rFonts w:ascii="宋体" w:hAnsi="宋体"/>
          <w:color w:val="000000"/>
          <w:sz w:val="24"/>
          <w:szCs w:val="21"/>
        </w:rPr>
        <w:t>2</w:t>
      </w:r>
      <w:r>
        <w:rPr>
          <w:rFonts w:ascii="宋体" w:hAnsi="宋体" w:hint="eastAsia"/>
          <w:color w:val="000000"/>
          <w:sz w:val="24"/>
          <w:szCs w:val="21"/>
        </w:rPr>
        <w:t>、基金的会计年度为公历年度的</w:t>
      </w:r>
      <w:r>
        <w:rPr>
          <w:rFonts w:ascii="宋体" w:hAnsi="宋体"/>
          <w:color w:val="000000"/>
          <w:sz w:val="24"/>
          <w:szCs w:val="21"/>
        </w:rPr>
        <w:t>1</w:t>
      </w:r>
      <w:r>
        <w:rPr>
          <w:rFonts w:ascii="宋体" w:hAnsi="宋体" w:hint="eastAsia"/>
          <w:color w:val="000000"/>
          <w:sz w:val="24"/>
          <w:szCs w:val="21"/>
        </w:rPr>
        <w:t>月</w:t>
      </w:r>
      <w:r>
        <w:rPr>
          <w:rFonts w:ascii="宋体" w:hAnsi="宋体"/>
          <w:color w:val="000000"/>
          <w:sz w:val="24"/>
          <w:szCs w:val="21"/>
        </w:rPr>
        <w:t>1</w:t>
      </w:r>
      <w:r>
        <w:rPr>
          <w:rFonts w:ascii="宋体" w:hAnsi="宋体" w:hint="eastAsia"/>
          <w:color w:val="000000"/>
          <w:sz w:val="24"/>
          <w:szCs w:val="21"/>
        </w:rPr>
        <w:t>日至</w:t>
      </w:r>
      <w:r>
        <w:rPr>
          <w:rFonts w:ascii="宋体" w:hAnsi="宋体"/>
          <w:color w:val="000000"/>
          <w:sz w:val="24"/>
          <w:szCs w:val="21"/>
        </w:rPr>
        <w:t>12</w:t>
      </w:r>
      <w:r>
        <w:rPr>
          <w:rFonts w:ascii="宋体" w:hAnsi="宋体" w:hint="eastAsia"/>
          <w:color w:val="000000"/>
          <w:sz w:val="24"/>
          <w:szCs w:val="21"/>
        </w:rPr>
        <w:t>月</w:t>
      </w:r>
      <w:r>
        <w:rPr>
          <w:rFonts w:ascii="宋体" w:hAnsi="宋体"/>
          <w:color w:val="000000"/>
          <w:sz w:val="24"/>
          <w:szCs w:val="21"/>
        </w:rPr>
        <w:t>31</w:t>
      </w:r>
      <w:r>
        <w:rPr>
          <w:rFonts w:ascii="宋体" w:hAnsi="宋体" w:hint="eastAsia"/>
          <w:color w:val="000000"/>
          <w:sz w:val="24"/>
          <w:szCs w:val="21"/>
        </w:rPr>
        <w:t>日；</w:t>
      </w:r>
      <w:r>
        <w:rPr>
          <w:rFonts w:ascii="宋体" w:hAnsi="宋体" w:hint="eastAsia"/>
          <w:color w:val="000000"/>
          <w:sz w:val="24"/>
        </w:rPr>
        <w:t>基金募集所在会计年度按如下原则：如果基金合同生效少于3个月，可以并入下一个会计年度；</w:t>
      </w:r>
    </w:p>
    <w:p w14:paraId="0654157C" w14:textId="77777777" w:rsidR="00BF0C91" w:rsidRDefault="00D65346">
      <w:pPr>
        <w:spacing w:line="360" w:lineRule="auto"/>
        <w:ind w:firstLineChars="200" w:firstLine="480"/>
        <w:rPr>
          <w:rFonts w:ascii="宋体" w:hAnsi="宋体"/>
          <w:color w:val="000000"/>
          <w:sz w:val="24"/>
          <w:szCs w:val="21"/>
        </w:rPr>
      </w:pPr>
      <w:r>
        <w:rPr>
          <w:rFonts w:ascii="宋体" w:hAnsi="宋体"/>
          <w:color w:val="000000"/>
          <w:sz w:val="24"/>
          <w:szCs w:val="21"/>
        </w:rPr>
        <w:t>3</w:t>
      </w:r>
      <w:r>
        <w:rPr>
          <w:rFonts w:ascii="宋体" w:hAnsi="宋体" w:hint="eastAsia"/>
          <w:color w:val="000000"/>
          <w:sz w:val="24"/>
          <w:szCs w:val="21"/>
        </w:rPr>
        <w:t>、基金核算以人民币为记账本位币，以人民币元为记账单位；</w:t>
      </w:r>
    </w:p>
    <w:p w14:paraId="62C8EE3E" w14:textId="77777777" w:rsidR="00BF0C91" w:rsidRDefault="00D65346">
      <w:pPr>
        <w:spacing w:line="360" w:lineRule="auto"/>
        <w:ind w:firstLineChars="200" w:firstLine="480"/>
        <w:rPr>
          <w:rFonts w:ascii="宋体" w:hAnsi="宋体"/>
          <w:color w:val="000000"/>
          <w:sz w:val="24"/>
          <w:szCs w:val="21"/>
        </w:rPr>
      </w:pPr>
      <w:r>
        <w:rPr>
          <w:rFonts w:ascii="宋体" w:hAnsi="宋体"/>
          <w:color w:val="000000"/>
          <w:sz w:val="24"/>
          <w:szCs w:val="21"/>
        </w:rPr>
        <w:t>4</w:t>
      </w:r>
      <w:r>
        <w:rPr>
          <w:rFonts w:ascii="宋体" w:hAnsi="宋体" w:hint="eastAsia"/>
          <w:color w:val="000000"/>
          <w:sz w:val="24"/>
          <w:szCs w:val="21"/>
        </w:rPr>
        <w:t>、会计制度执行国家有关会计制度；</w:t>
      </w:r>
    </w:p>
    <w:p w14:paraId="5168A334" w14:textId="77777777" w:rsidR="00BF0C91" w:rsidRDefault="00D65346">
      <w:pPr>
        <w:spacing w:line="360" w:lineRule="auto"/>
        <w:ind w:firstLineChars="200" w:firstLine="480"/>
        <w:rPr>
          <w:rFonts w:ascii="宋体" w:hAnsi="宋体"/>
          <w:color w:val="000000"/>
          <w:sz w:val="24"/>
          <w:szCs w:val="21"/>
        </w:rPr>
      </w:pPr>
      <w:r>
        <w:rPr>
          <w:rFonts w:ascii="宋体" w:hAnsi="宋体"/>
          <w:color w:val="000000"/>
          <w:sz w:val="24"/>
          <w:szCs w:val="21"/>
        </w:rPr>
        <w:t>5</w:t>
      </w:r>
      <w:r>
        <w:rPr>
          <w:rFonts w:ascii="宋体" w:hAnsi="宋体" w:hint="eastAsia"/>
          <w:color w:val="000000"/>
          <w:sz w:val="24"/>
          <w:szCs w:val="21"/>
        </w:rPr>
        <w:t>、本基金独立建账、独立核算；</w:t>
      </w:r>
    </w:p>
    <w:p w14:paraId="3649E433" w14:textId="77777777" w:rsidR="00BF0C91" w:rsidRDefault="00D65346">
      <w:pPr>
        <w:spacing w:line="360" w:lineRule="auto"/>
        <w:ind w:firstLineChars="200" w:firstLine="480"/>
        <w:rPr>
          <w:rFonts w:ascii="宋体" w:hAnsi="宋体"/>
          <w:color w:val="000000"/>
          <w:sz w:val="24"/>
          <w:szCs w:val="21"/>
        </w:rPr>
      </w:pPr>
      <w:r>
        <w:rPr>
          <w:rFonts w:ascii="宋体" w:hAnsi="宋体"/>
          <w:color w:val="000000"/>
          <w:sz w:val="24"/>
          <w:szCs w:val="21"/>
        </w:rPr>
        <w:t>6</w:t>
      </w:r>
      <w:r>
        <w:rPr>
          <w:rFonts w:ascii="宋体" w:hAnsi="宋体" w:hint="eastAsia"/>
          <w:color w:val="000000"/>
          <w:sz w:val="24"/>
          <w:szCs w:val="21"/>
        </w:rPr>
        <w:t>、基金管理人及基金托管人各自保留完整的会计账目、凭证并进行日常的会计核算，按照有关规定编制基金会计报表；</w:t>
      </w:r>
    </w:p>
    <w:p w14:paraId="4BC437FE" w14:textId="77777777" w:rsidR="00BF0C91" w:rsidRDefault="00D65346">
      <w:pPr>
        <w:spacing w:line="360" w:lineRule="auto"/>
        <w:ind w:firstLineChars="200" w:firstLine="480"/>
        <w:rPr>
          <w:rFonts w:ascii="宋体" w:hAnsi="宋体"/>
          <w:color w:val="000000"/>
          <w:sz w:val="24"/>
          <w:szCs w:val="21"/>
        </w:rPr>
      </w:pPr>
      <w:r>
        <w:rPr>
          <w:rFonts w:ascii="宋体" w:hAnsi="宋体"/>
          <w:color w:val="000000"/>
          <w:sz w:val="24"/>
          <w:szCs w:val="21"/>
        </w:rPr>
        <w:t>7</w:t>
      </w:r>
      <w:r>
        <w:rPr>
          <w:rFonts w:ascii="宋体" w:hAnsi="宋体" w:hint="eastAsia"/>
          <w:color w:val="000000"/>
          <w:sz w:val="24"/>
          <w:szCs w:val="21"/>
        </w:rPr>
        <w:t>、基金托管人每月与基金管理人就基金的会计核算、报表编制等进行核对，并以书面方式确认。</w:t>
      </w:r>
    </w:p>
    <w:p w14:paraId="41A4DF58" w14:textId="77777777" w:rsidR="00BF0C91" w:rsidRDefault="00D65346">
      <w:pPr>
        <w:spacing w:beforeLines="50" w:before="156" w:afterLines="50" w:after="156" w:line="360" w:lineRule="auto"/>
        <w:ind w:firstLineChars="200" w:firstLine="482"/>
        <w:outlineLvl w:val="1"/>
        <w:rPr>
          <w:rFonts w:ascii="宋体" w:hAnsi="宋体"/>
          <w:b/>
          <w:bCs/>
          <w:color w:val="000000"/>
          <w:sz w:val="24"/>
          <w:szCs w:val="21"/>
        </w:rPr>
      </w:pPr>
      <w:r>
        <w:rPr>
          <w:rFonts w:ascii="宋体" w:hAnsi="宋体" w:hint="eastAsia"/>
          <w:b/>
          <w:bCs/>
          <w:color w:val="000000"/>
          <w:sz w:val="24"/>
          <w:szCs w:val="21"/>
        </w:rPr>
        <w:t>二、基金的年度审计</w:t>
      </w:r>
    </w:p>
    <w:p w14:paraId="6D19052A" w14:textId="77777777" w:rsidR="00BF0C91" w:rsidRDefault="00D65346">
      <w:pPr>
        <w:spacing w:line="360" w:lineRule="auto"/>
        <w:ind w:firstLineChars="200" w:firstLine="480"/>
        <w:rPr>
          <w:rFonts w:ascii="宋体" w:hAnsi="宋体"/>
          <w:color w:val="000000"/>
          <w:sz w:val="24"/>
          <w:szCs w:val="21"/>
        </w:rPr>
      </w:pPr>
      <w:r>
        <w:rPr>
          <w:rFonts w:ascii="宋体" w:hAnsi="宋体"/>
          <w:color w:val="000000"/>
          <w:sz w:val="24"/>
          <w:szCs w:val="21"/>
        </w:rPr>
        <w:t>1</w:t>
      </w:r>
      <w:r>
        <w:rPr>
          <w:rFonts w:ascii="宋体" w:hAnsi="宋体" w:hint="eastAsia"/>
          <w:color w:val="000000"/>
          <w:sz w:val="24"/>
          <w:szCs w:val="21"/>
        </w:rPr>
        <w:t>、</w:t>
      </w:r>
      <w:r>
        <w:rPr>
          <w:rFonts w:ascii="宋体" w:hAnsi="宋体" w:hint="eastAsia"/>
          <w:color w:val="000000"/>
          <w:sz w:val="24"/>
        </w:rPr>
        <w:t>基金管理人聘请与基金管理人、基金托管人相互独立的具有证券、期货相关从业资格的会计师事务所及其注册会计师对本基金的年度财务报表进行审计。</w:t>
      </w:r>
    </w:p>
    <w:p w14:paraId="73E8000F" w14:textId="77777777" w:rsidR="00BF0C91" w:rsidRDefault="00D65346">
      <w:pPr>
        <w:spacing w:line="360" w:lineRule="auto"/>
        <w:ind w:firstLineChars="200" w:firstLine="480"/>
        <w:rPr>
          <w:rFonts w:ascii="宋体" w:hAnsi="宋体"/>
          <w:color w:val="000000"/>
          <w:sz w:val="24"/>
          <w:szCs w:val="21"/>
        </w:rPr>
      </w:pPr>
      <w:r>
        <w:rPr>
          <w:rFonts w:ascii="宋体" w:hAnsi="宋体"/>
          <w:color w:val="000000"/>
          <w:sz w:val="24"/>
          <w:szCs w:val="21"/>
        </w:rPr>
        <w:t>2</w:t>
      </w:r>
      <w:r>
        <w:rPr>
          <w:rFonts w:ascii="宋体" w:hAnsi="宋体" w:hint="eastAsia"/>
          <w:color w:val="000000"/>
          <w:sz w:val="24"/>
          <w:szCs w:val="21"/>
        </w:rPr>
        <w:t>、会计师事务所更换经办注册会计师，应事先征得基金管理人和基金托管人同意，并报中国证监会备案。</w:t>
      </w:r>
    </w:p>
    <w:p w14:paraId="26573D8E" w14:textId="77777777" w:rsidR="00BF0C91" w:rsidRDefault="00D65346">
      <w:pPr>
        <w:spacing w:line="360" w:lineRule="auto"/>
        <w:ind w:firstLineChars="200" w:firstLine="480"/>
        <w:rPr>
          <w:rFonts w:ascii="宋体" w:hAnsi="宋体"/>
          <w:sz w:val="24"/>
          <w:szCs w:val="21"/>
        </w:rPr>
      </w:pPr>
      <w:r>
        <w:rPr>
          <w:rFonts w:ascii="宋体" w:hAnsi="宋体"/>
          <w:color w:val="000000"/>
          <w:sz w:val="24"/>
          <w:szCs w:val="21"/>
        </w:rPr>
        <w:t>3</w:t>
      </w:r>
      <w:r>
        <w:rPr>
          <w:rFonts w:ascii="宋体" w:hAnsi="宋体" w:hint="eastAsia"/>
          <w:color w:val="000000"/>
          <w:sz w:val="24"/>
          <w:szCs w:val="21"/>
        </w:rPr>
        <w:t>、</w:t>
      </w:r>
      <w:bookmarkStart w:id="154" w:name="_Hlt4221115"/>
      <w:bookmarkEnd w:id="154"/>
      <w:r>
        <w:rPr>
          <w:rFonts w:ascii="宋体" w:hAnsi="宋体" w:hint="eastAsia"/>
          <w:color w:val="000000"/>
          <w:sz w:val="24"/>
          <w:szCs w:val="21"/>
        </w:rPr>
        <w:t>基金管理人（或基金托管人）认为有充足理由更换会计师事务所，须经基金托管人（或基金管理人）同意，并报中国证监会备案。更换会计师事务所按照《信息披露办法》的有关规定</w:t>
      </w:r>
      <w:r>
        <w:rPr>
          <w:rFonts w:ascii="宋体" w:hAnsi="宋体" w:hint="eastAsia"/>
          <w:sz w:val="24"/>
          <w:szCs w:val="21"/>
        </w:rPr>
        <w:t>在</w:t>
      </w:r>
      <w:r>
        <w:rPr>
          <w:rFonts w:ascii="宋体" w:hAnsi="宋体" w:hint="eastAsia"/>
          <w:sz w:val="24"/>
        </w:rPr>
        <w:t>中国证监会指定媒介上</w:t>
      </w:r>
      <w:r>
        <w:rPr>
          <w:rFonts w:ascii="宋体" w:hAnsi="宋体" w:hint="eastAsia"/>
          <w:sz w:val="24"/>
          <w:szCs w:val="21"/>
        </w:rPr>
        <w:t>公告。</w:t>
      </w:r>
    </w:p>
    <w:p w14:paraId="7BE13F08" w14:textId="77777777" w:rsidR="00BF0C91" w:rsidRDefault="00BF0C91">
      <w:pPr>
        <w:autoSpaceDE w:val="0"/>
        <w:autoSpaceDN w:val="0"/>
        <w:spacing w:line="360" w:lineRule="auto"/>
        <w:ind w:firstLine="540"/>
        <w:textAlignment w:val="bottom"/>
        <w:rPr>
          <w:rFonts w:ascii="宋体" w:hAnsi="宋体"/>
          <w:color w:val="000000"/>
          <w:sz w:val="24"/>
          <w:szCs w:val="21"/>
        </w:rPr>
      </w:pPr>
    </w:p>
    <w:p w14:paraId="0B3C1CEE" w14:textId="77777777" w:rsidR="00BF0C91" w:rsidRDefault="00D65346">
      <w:pPr>
        <w:pStyle w:val="1"/>
        <w:spacing w:before="100" w:beforeAutospacing="1" w:after="100" w:afterAutospacing="1" w:line="360" w:lineRule="auto"/>
      </w:pPr>
      <w:bookmarkStart w:id="155" w:name="_Toc48649717"/>
      <w:r>
        <w:rPr>
          <w:rFonts w:ascii="黑体" w:eastAsia="黑体" w:hAnsi="宋体"/>
          <w:color w:val="000000"/>
          <w:sz w:val="24"/>
          <w:szCs w:val="32"/>
        </w:rPr>
        <w:br w:type="page"/>
      </w:r>
      <w:bookmarkStart w:id="156" w:name="_Toc79392638"/>
      <w:bookmarkStart w:id="157" w:name="_Toc169580233"/>
      <w:r>
        <w:rPr>
          <w:rFonts w:ascii="黑体" w:eastAsia="黑体" w:hAnsi="Arial" w:cs="Arial" w:hint="eastAsia"/>
          <w:color w:val="000000"/>
          <w:sz w:val="30"/>
          <w:szCs w:val="32"/>
        </w:rPr>
        <w:lastRenderedPageBreak/>
        <w:t xml:space="preserve">第二十部分 </w:t>
      </w:r>
      <w:r>
        <w:rPr>
          <w:rFonts w:ascii="黑体" w:eastAsia="黑体" w:hAnsi="Arial" w:cs="Arial"/>
          <w:color w:val="000000"/>
          <w:sz w:val="30"/>
          <w:szCs w:val="32"/>
        </w:rPr>
        <w:t xml:space="preserve"> </w:t>
      </w:r>
      <w:r>
        <w:rPr>
          <w:rFonts w:ascii="黑体" w:eastAsia="黑体" w:hAnsi="Arial" w:cs="Arial" w:hint="eastAsia"/>
          <w:color w:val="000000"/>
          <w:sz w:val="30"/>
          <w:szCs w:val="32"/>
        </w:rPr>
        <w:t>基金的信息披露</w:t>
      </w:r>
      <w:bookmarkEnd w:id="155"/>
      <w:bookmarkEnd w:id="156"/>
      <w:bookmarkEnd w:id="157"/>
    </w:p>
    <w:p w14:paraId="1C2E963A" w14:textId="77777777" w:rsidR="00BF0C91" w:rsidRDefault="00D65346">
      <w:pPr>
        <w:spacing w:line="360" w:lineRule="auto"/>
        <w:ind w:firstLineChars="200" w:firstLine="480"/>
        <w:rPr>
          <w:rFonts w:ascii="宋体" w:hAnsi="宋体"/>
          <w:color w:val="000000"/>
          <w:sz w:val="24"/>
        </w:rPr>
      </w:pPr>
      <w:r>
        <w:rPr>
          <w:rFonts w:ascii="宋体" w:hAnsi="宋体" w:hint="eastAsia"/>
          <w:color w:val="000000"/>
          <w:sz w:val="24"/>
        </w:rPr>
        <w:t>本基金的信息披露应符合《基金法》、《运作办法》、《信息披露办法》、《流动性规定》、基金合同及其他有关规定。</w:t>
      </w:r>
    </w:p>
    <w:p w14:paraId="4245F8A6" w14:textId="77777777" w:rsidR="00BF0C91" w:rsidRDefault="00D65346">
      <w:pPr>
        <w:spacing w:line="360" w:lineRule="auto"/>
        <w:ind w:firstLineChars="200" w:firstLine="480"/>
        <w:rPr>
          <w:bCs/>
          <w:sz w:val="24"/>
        </w:rPr>
      </w:pPr>
      <w:r>
        <w:rPr>
          <w:rFonts w:hint="eastAsia"/>
          <w:bCs/>
          <w:sz w:val="24"/>
        </w:rPr>
        <w:t>本基金信息披露义务人包括基金管理人、基金托管人、召集基金份额持有人大会的基金份额持有人等法律法规和中国证监会规定的自然人、法人和非法人组织。</w:t>
      </w:r>
    </w:p>
    <w:p w14:paraId="1160E062" w14:textId="77777777" w:rsidR="00BF0C91" w:rsidRDefault="00D65346">
      <w:pPr>
        <w:spacing w:line="360" w:lineRule="auto"/>
        <w:ind w:firstLineChars="200" w:firstLine="48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4C8CCE8A" w14:textId="77777777" w:rsidR="00BF0C91" w:rsidRDefault="00D65346">
      <w:pPr>
        <w:spacing w:line="360" w:lineRule="auto"/>
        <w:ind w:firstLineChars="200" w:firstLine="480"/>
        <w:rPr>
          <w:rFonts w:ascii="宋体" w:hAnsi="宋体"/>
          <w:color w:val="000000"/>
          <w:sz w:val="24"/>
        </w:rPr>
      </w:pPr>
      <w:r>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r>
        <w:rPr>
          <w:rFonts w:ascii="宋体" w:hAnsi="宋体" w:hint="eastAsia"/>
          <w:color w:val="000000"/>
          <w:sz w:val="24"/>
        </w:rPr>
        <w:t>。</w:t>
      </w:r>
    </w:p>
    <w:p w14:paraId="50DC7426" w14:textId="77777777" w:rsidR="00BF0C91" w:rsidRDefault="00D65346">
      <w:pPr>
        <w:spacing w:line="360" w:lineRule="auto"/>
        <w:ind w:firstLineChars="200" w:firstLine="480"/>
        <w:rPr>
          <w:rFonts w:ascii="宋体" w:hAnsi="宋体"/>
          <w:color w:val="000000"/>
          <w:sz w:val="24"/>
        </w:rPr>
      </w:pPr>
      <w:r>
        <w:rPr>
          <w:rFonts w:ascii="宋体" w:hAnsi="宋体" w:hint="eastAsia"/>
          <w:color w:val="000000"/>
          <w:sz w:val="24"/>
        </w:rPr>
        <w:t>本基金信息披露义务人承诺公开披露的基金信息，不得有下列行为：</w:t>
      </w:r>
    </w:p>
    <w:p w14:paraId="3460C4D9" w14:textId="77777777" w:rsidR="00BF0C91" w:rsidRDefault="00D65346">
      <w:pPr>
        <w:spacing w:line="360" w:lineRule="auto"/>
        <w:ind w:firstLineChars="200" w:firstLine="480"/>
        <w:rPr>
          <w:bCs/>
          <w:sz w:val="24"/>
        </w:rPr>
      </w:pPr>
      <w:r>
        <w:rPr>
          <w:rFonts w:hint="eastAsia"/>
          <w:bCs/>
          <w:sz w:val="24"/>
        </w:rPr>
        <w:t>1</w:t>
      </w:r>
      <w:r>
        <w:rPr>
          <w:rFonts w:hint="eastAsia"/>
          <w:bCs/>
          <w:sz w:val="24"/>
        </w:rPr>
        <w:t>、虚假记载、误导性陈述或者重大遗漏；</w:t>
      </w:r>
    </w:p>
    <w:p w14:paraId="7F6C9A03" w14:textId="77777777" w:rsidR="00BF0C91" w:rsidRDefault="00D65346">
      <w:pPr>
        <w:spacing w:line="360" w:lineRule="auto"/>
        <w:ind w:firstLineChars="200" w:firstLine="480"/>
        <w:rPr>
          <w:bCs/>
          <w:sz w:val="24"/>
        </w:rPr>
      </w:pPr>
      <w:r>
        <w:rPr>
          <w:rFonts w:hint="eastAsia"/>
          <w:bCs/>
          <w:sz w:val="24"/>
        </w:rPr>
        <w:t>2</w:t>
      </w:r>
      <w:r>
        <w:rPr>
          <w:rFonts w:hint="eastAsia"/>
          <w:bCs/>
          <w:sz w:val="24"/>
        </w:rPr>
        <w:t>、对证券投资业绩进行预测；</w:t>
      </w:r>
    </w:p>
    <w:p w14:paraId="045D557C" w14:textId="77777777" w:rsidR="00BF0C91" w:rsidRDefault="00D65346">
      <w:pPr>
        <w:spacing w:line="360" w:lineRule="auto"/>
        <w:ind w:firstLineChars="200" w:firstLine="480"/>
        <w:rPr>
          <w:bCs/>
          <w:sz w:val="24"/>
        </w:rPr>
      </w:pPr>
      <w:r>
        <w:rPr>
          <w:rFonts w:hint="eastAsia"/>
          <w:bCs/>
          <w:sz w:val="24"/>
        </w:rPr>
        <w:t>3</w:t>
      </w:r>
      <w:r>
        <w:rPr>
          <w:rFonts w:hint="eastAsia"/>
          <w:bCs/>
          <w:sz w:val="24"/>
        </w:rPr>
        <w:t>、违规承诺收益或者承担损失；</w:t>
      </w:r>
    </w:p>
    <w:p w14:paraId="0BA53B36" w14:textId="77777777" w:rsidR="00BF0C91" w:rsidRDefault="00D65346">
      <w:pPr>
        <w:spacing w:line="360" w:lineRule="auto"/>
        <w:ind w:firstLineChars="200" w:firstLine="480"/>
        <w:rPr>
          <w:bCs/>
          <w:sz w:val="24"/>
        </w:rPr>
      </w:pPr>
      <w:r>
        <w:rPr>
          <w:rFonts w:hint="eastAsia"/>
          <w:bCs/>
          <w:sz w:val="24"/>
        </w:rPr>
        <w:t>4</w:t>
      </w:r>
      <w:r>
        <w:rPr>
          <w:rFonts w:hint="eastAsia"/>
          <w:bCs/>
          <w:sz w:val="24"/>
        </w:rPr>
        <w:t>、诋毁其他基金管理人、基金托管人或者基金销售机构；</w:t>
      </w:r>
    </w:p>
    <w:p w14:paraId="5CDD2CD4" w14:textId="77777777" w:rsidR="00BF0C91" w:rsidRDefault="00D65346">
      <w:pPr>
        <w:spacing w:line="360" w:lineRule="auto"/>
        <w:ind w:firstLineChars="200" w:firstLine="480"/>
        <w:rPr>
          <w:bCs/>
          <w:sz w:val="24"/>
        </w:rPr>
      </w:pPr>
      <w:r>
        <w:rPr>
          <w:rFonts w:hint="eastAsia"/>
          <w:bCs/>
          <w:sz w:val="24"/>
        </w:rPr>
        <w:t>5</w:t>
      </w:r>
      <w:r>
        <w:rPr>
          <w:rFonts w:hint="eastAsia"/>
          <w:bCs/>
          <w:sz w:val="24"/>
        </w:rPr>
        <w:t>、登载任何自然人、法人和非法人组织的祝贺性、恭维性或推荐性的文字；</w:t>
      </w:r>
    </w:p>
    <w:p w14:paraId="2C0DB348" w14:textId="77777777" w:rsidR="00BF0C91" w:rsidRDefault="00D65346">
      <w:pPr>
        <w:spacing w:line="360" w:lineRule="auto"/>
        <w:ind w:firstLineChars="200" w:firstLine="480"/>
        <w:rPr>
          <w:rFonts w:ascii="宋体" w:hAnsi="宋体"/>
          <w:color w:val="000000"/>
          <w:sz w:val="24"/>
        </w:rPr>
      </w:pPr>
      <w:r>
        <w:rPr>
          <w:rFonts w:hint="eastAsia"/>
          <w:bCs/>
          <w:sz w:val="24"/>
        </w:rPr>
        <w:t>6</w:t>
      </w:r>
      <w:r>
        <w:rPr>
          <w:rFonts w:hint="eastAsia"/>
          <w:bCs/>
          <w:sz w:val="24"/>
        </w:rPr>
        <w:t>、中国证监会禁止的其他行为</w:t>
      </w:r>
      <w:r>
        <w:rPr>
          <w:rFonts w:ascii="宋体" w:hAnsi="宋体" w:hint="eastAsia"/>
          <w:color w:val="000000"/>
          <w:sz w:val="24"/>
        </w:rPr>
        <w:t>。</w:t>
      </w:r>
    </w:p>
    <w:p w14:paraId="24A3AB12" w14:textId="77777777" w:rsidR="00BF0C91" w:rsidRDefault="00D65346">
      <w:pPr>
        <w:spacing w:line="360" w:lineRule="auto"/>
        <w:ind w:firstLineChars="200" w:firstLine="480"/>
        <w:rPr>
          <w:rFonts w:ascii="宋体" w:hAnsi="宋体"/>
          <w:color w:val="000000"/>
          <w:sz w:val="24"/>
        </w:rPr>
      </w:pPr>
      <w:r>
        <w:rPr>
          <w:rFonts w:hint="eastAsia"/>
          <w:bCs/>
          <w:sz w:val="24"/>
        </w:rPr>
        <w:t>本基金公开披露的信息应采用中文文本。如同时采用外文文本的，基金信息披露义务人应保证不同文本的内容一致。不同文本之间发生歧义的，以中文文本为准。</w:t>
      </w:r>
    </w:p>
    <w:p w14:paraId="35E6AA2E" w14:textId="77777777" w:rsidR="00BF0C91" w:rsidRDefault="00D65346">
      <w:pPr>
        <w:spacing w:line="360" w:lineRule="auto"/>
        <w:ind w:firstLineChars="200" w:firstLine="480"/>
        <w:rPr>
          <w:rFonts w:ascii="宋体" w:hAnsi="宋体"/>
          <w:color w:val="000000"/>
          <w:sz w:val="24"/>
        </w:rPr>
      </w:pPr>
      <w:r>
        <w:rPr>
          <w:rFonts w:ascii="宋体" w:hAnsi="宋体" w:hint="eastAsia"/>
          <w:color w:val="000000"/>
          <w:sz w:val="24"/>
        </w:rPr>
        <w:t>本基金公开披露的信息采用阿拉伯数字；除特别说明外，货币单位为人民币元。</w:t>
      </w:r>
    </w:p>
    <w:p w14:paraId="6D1B7BFA" w14:textId="77777777" w:rsidR="00BF0C91" w:rsidRDefault="00D65346">
      <w:pPr>
        <w:spacing w:line="360" w:lineRule="auto"/>
        <w:ind w:firstLineChars="200" w:firstLine="482"/>
        <w:outlineLvl w:val="1"/>
        <w:rPr>
          <w:rFonts w:ascii="宋体" w:hAnsi="宋体"/>
          <w:b/>
          <w:bCs/>
          <w:color w:val="000000"/>
          <w:sz w:val="24"/>
          <w:szCs w:val="21"/>
        </w:rPr>
      </w:pPr>
      <w:r>
        <w:rPr>
          <w:rFonts w:ascii="宋体" w:hAnsi="宋体" w:hint="eastAsia"/>
          <w:b/>
          <w:bCs/>
          <w:color w:val="000000"/>
          <w:sz w:val="24"/>
          <w:szCs w:val="21"/>
        </w:rPr>
        <w:t>一、公开披露的基金信息</w:t>
      </w:r>
    </w:p>
    <w:p w14:paraId="52701AC8" w14:textId="77777777" w:rsidR="00BF0C91" w:rsidRDefault="00D65346">
      <w:pPr>
        <w:spacing w:line="360" w:lineRule="auto"/>
        <w:ind w:firstLineChars="200" w:firstLine="480"/>
        <w:rPr>
          <w:rFonts w:ascii="宋体" w:hAnsi="宋体"/>
          <w:color w:val="000000"/>
          <w:sz w:val="24"/>
        </w:rPr>
      </w:pPr>
      <w:r>
        <w:rPr>
          <w:rFonts w:ascii="宋体" w:hAnsi="宋体" w:hint="eastAsia"/>
          <w:color w:val="000000"/>
          <w:sz w:val="24"/>
        </w:rPr>
        <w:t>公开披露的基金信息包括：</w:t>
      </w:r>
    </w:p>
    <w:p w14:paraId="31C05954" w14:textId="77777777" w:rsidR="00BF0C91" w:rsidRDefault="00D65346">
      <w:pPr>
        <w:spacing w:line="360" w:lineRule="auto"/>
        <w:ind w:firstLineChars="200" w:firstLine="480"/>
        <w:rPr>
          <w:rFonts w:ascii="宋体" w:hAnsi="宋体"/>
          <w:color w:val="000000"/>
          <w:sz w:val="24"/>
        </w:rPr>
      </w:pPr>
      <w:r>
        <w:rPr>
          <w:rFonts w:ascii="宋体" w:hAnsi="宋体" w:hint="eastAsia"/>
          <w:color w:val="000000"/>
          <w:sz w:val="24"/>
        </w:rPr>
        <w:t>（一）基金招募说明书、基金合同、基金托管协议</w:t>
      </w:r>
      <w:r>
        <w:rPr>
          <w:rFonts w:hint="eastAsia"/>
          <w:bCs/>
          <w:sz w:val="24"/>
        </w:rPr>
        <w:t>、基金产品资料概要</w:t>
      </w:r>
    </w:p>
    <w:p w14:paraId="3B2FA9DB" w14:textId="77777777" w:rsidR="00BF0C91" w:rsidRDefault="00D65346">
      <w:pPr>
        <w:spacing w:line="360" w:lineRule="auto"/>
        <w:ind w:firstLineChars="200" w:firstLine="480"/>
        <w:rPr>
          <w:rFonts w:ascii="宋体" w:hAnsi="宋体"/>
          <w:color w:val="000000"/>
          <w:sz w:val="24"/>
        </w:rPr>
      </w:pPr>
      <w:r>
        <w:rPr>
          <w:rFonts w:ascii="宋体" w:hAnsi="宋体" w:hint="eastAsia"/>
          <w:color w:val="000000"/>
          <w:sz w:val="24"/>
        </w:rPr>
        <w:lastRenderedPageBreak/>
        <w:t>基金募集申请经中国证监会核准后，基金管理人在基金份额发售前，依照《信息披露办法》和《信息披露特别规定》的有关规定将基金招募说明书、基金合同摘要登载在指定报刊和网站上；基金管理人、基金托管人应当将基金合同、基金托管协议登载在网站上。</w:t>
      </w:r>
    </w:p>
    <w:p w14:paraId="2E941532" w14:textId="77777777" w:rsidR="00BF0C91" w:rsidRDefault="00D65346">
      <w:pPr>
        <w:spacing w:line="360" w:lineRule="auto"/>
        <w:ind w:firstLineChars="200" w:firstLine="480"/>
        <w:rPr>
          <w:bCs/>
          <w:sz w:val="24"/>
        </w:rPr>
      </w:pPr>
      <w:r>
        <w:rPr>
          <w:rFonts w:hint="eastAsia"/>
          <w:bCs/>
          <w:sz w:val="24"/>
        </w:rPr>
        <w:t>1</w:t>
      </w:r>
      <w:r>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01FDE274" w14:textId="77777777" w:rsidR="00BF0C91" w:rsidRDefault="00D65346">
      <w:pPr>
        <w:spacing w:line="360" w:lineRule="auto"/>
        <w:ind w:firstLineChars="200" w:firstLine="480"/>
        <w:rPr>
          <w:bCs/>
          <w:sz w:val="24"/>
        </w:rPr>
      </w:pPr>
      <w:r>
        <w:rPr>
          <w:rFonts w:hint="eastAsia"/>
          <w:bCs/>
          <w:sz w:val="24"/>
        </w:rPr>
        <w:t>2</w:t>
      </w:r>
      <w:r>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03E533F7" w14:textId="77777777" w:rsidR="00BF0C91" w:rsidRDefault="00D65346">
      <w:pPr>
        <w:spacing w:line="360" w:lineRule="auto"/>
        <w:ind w:firstLineChars="200" w:firstLine="480"/>
        <w:rPr>
          <w:bCs/>
          <w:sz w:val="24"/>
        </w:rPr>
      </w:pPr>
      <w:r>
        <w:rPr>
          <w:rFonts w:hint="eastAsia"/>
          <w:bCs/>
          <w:sz w:val="24"/>
        </w:rPr>
        <w:t>3</w:t>
      </w:r>
      <w:r>
        <w:rPr>
          <w:rFonts w:hint="eastAsia"/>
          <w:bCs/>
          <w:sz w:val="24"/>
        </w:rPr>
        <w:t>、基金托管协议是界定基金托管人和基金管理人在基金财产保管及基金运作监督等活动中的权利、义务关系的法律文件。</w:t>
      </w:r>
    </w:p>
    <w:p w14:paraId="0B074A93" w14:textId="77777777" w:rsidR="00BF0C91" w:rsidRDefault="00D65346">
      <w:pPr>
        <w:spacing w:line="360" w:lineRule="auto"/>
        <w:ind w:firstLineChars="200" w:firstLine="480"/>
        <w:rPr>
          <w:rFonts w:ascii="宋体" w:hAnsi="宋体"/>
          <w:color w:val="000000"/>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31C4AA95" w14:textId="77777777" w:rsidR="00BF0C91" w:rsidRDefault="00D65346">
      <w:pPr>
        <w:spacing w:line="360" w:lineRule="auto"/>
        <w:ind w:firstLineChars="200" w:firstLine="480"/>
        <w:rPr>
          <w:rFonts w:ascii="宋体" w:hAnsi="宋体"/>
          <w:color w:val="000000"/>
          <w:sz w:val="24"/>
        </w:rPr>
      </w:pPr>
      <w:r>
        <w:rPr>
          <w:rFonts w:ascii="宋体" w:hAnsi="宋体" w:hint="eastAsia"/>
          <w:color w:val="000000"/>
          <w:sz w:val="24"/>
        </w:rPr>
        <w:t>（二）发售公告</w:t>
      </w:r>
    </w:p>
    <w:p w14:paraId="60D0E1C2" w14:textId="77777777" w:rsidR="00BF0C91" w:rsidRDefault="00D65346">
      <w:pPr>
        <w:spacing w:line="360" w:lineRule="auto"/>
        <w:ind w:firstLineChars="200" w:firstLine="480"/>
        <w:rPr>
          <w:rFonts w:ascii="宋体" w:hAnsi="宋体"/>
          <w:color w:val="000000"/>
          <w:sz w:val="24"/>
        </w:rPr>
      </w:pPr>
      <w:r>
        <w:rPr>
          <w:rFonts w:ascii="宋体" w:hAnsi="宋体" w:hint="eastAsia"/>
          <w:color w:val="000000"/>
          <w:sz w:val="24"/>
        </w:rPr>
        <w:t>基金管理人应当就基金份额发售的具体事宜编制基金份额发售公告，并在披露招募说明书的当日登载于指定报刊和网站上。</w:t>
      </w:r>
    </w:p>
    <w:p w14:paraId="4871BB4C" w14:textId="77777777" w:rsidR="00BF0C91" w:rsidRDefault="00D65346">
      <w:pPr>
        <w:spacing w:line="360" w:lineRule="auto"/>
        <w:ind w:firstLineChars="200" w:firstLine="480"/>
        <w:rPr>
          <w:rFonts w:ascii="宋体" w:hAnsi="宋体"/>
          <w:color w:val="000000"/>
          <w:sz w:val="24"/>
        </w:rPr>
      </w:pPr>
      <w:r>
        <w:rPr>
          <w:rFonts w:ascii="宋体" w:hAnsi="宋体" w:hint="eastAsia"/>
          <w:color w:val="000000"/>
          <w:sz w:val="24"/>
        </w:rPr>
        <w:t>（三）基金合同生效公告</w:t>
      </w:r>
    </w:p>
    <w:p w14:paraId="4E2B3B0F" w14:textId="77777777" w:rsidR="00BF0C91" w:rsidRDefault="00D65346">
      <w:pPr>
        <w:spacing w:line="360" w:lineRule="auto"/>
        <w:ind w:firstLineChars="200" w:firstLine="480"/>
        <w:rPr>
          <w:rFonts w:ascii="宋体" w:hAnsi="宋体"/>
          <w:color w:val="000000"/>
          <w:sz w:val="24"/>
        </w:rPr>
      </w:pPr>
      <w:r>
        <w:rPr>
          <w:rFonts w:ascii="宋体" w:hAnsi="宋体" w:hint="eastAsia"/>
          <w:color w:val="000000"/>
          <w:sz w:val="24"/>
        </w:rPr>
        <w:t>基金管理人应当在本基金合同生效的次日在指定报刊和网站上登载基金合同生效公告。</w:t>
      </w:r>
    </w:p>
    <w:p w14:paraId="6B85903A" w14:textId="77777777" w:rsidR="00BF0C91" w:rsidRDefault="00D65346">
      <w:pPr>
        <w:spacing w:line="360" w:lineRule="auto"/>
        <w:ind w:firstLineChars="200" w:firstLine="480"/>
        <w:rPr>
          <w:bCs/>
          <w:sz w:val="24"/>
        </w:rPr>
      </w:pPr>
      <w:r>
        <w:rPr>
          <w:rFonts w:ascii="宋体" w:hAnsi="宋体" w:hint="eastAsia"/>
          <w:color w:val="000000"/>
          <w:sz w:val="24"/>
        </w:rPr>
        <w:t>（四）</w:t>
      </w:r>
      <w:r>
        <w:rPr>
          <w:rFonts w:hint="eastAsia"/>
          <w:bCs/>
          <w:sz w:val="24"/>
        </w:rPr>
        <w:t>基金净值信息</w:t>
      </w:r>
    </w:p>
    <w:p w14:paraId="7DFB02D8" w14:textId="698A3588" w:rsidR="00BF0C91" w:rsidRDefault="00D65346">
      <w:pPr>
        <w:spacing w:line="360" w:lineRule="auto"/>
        <w:ind w:firstLineChars="200" w:firstLine="480"/>
        <w:rPr>
          <w:bCs/>
          <w:sz w:val="24"/>
        </w:rPr>
      </w:pPr>
      <w:r>
        <w:rPr>
          <w:rFonts w:hint="eastAsia"/>
          <w:bCs/>
          <w:sz w:val="24"/>
        </w:rPr>
        <w:t>本基金合同生效后，在开始办理基金份额申购或者赎回前，基金管理人应当</w:t>
      </w:r>
      <w:r>
        <w:rPr>
          <w:rFonts w:hint="eastAsia"/>
          <w:bCs/>
          <w:sz w:val="24"/>
        </w:rPr>
        <w:lastRenderedPageBreak/>
        <w:t>至少每周公告一次各</w:t>
      </w:r>
      <w:r w:rsidR="00A90C7A">
        <w:rPr>
          <w:rFonts w:hint="eastAsia"/>
          <w:bCs/>
          <w:sz w:val="24"/>
        </w:rPr>
        <w:t>类</w:t>
      </w:r>
      <w:r>
        <w:rPr>
          <w:rFonts w:hint="eastAsia"/>
          <w:bCs/>
          <w:sz w:val="24"/>
        </w:rPr>
        <w:t>基金份额的基金资产净值、每万份基金已实现收益和基金七日年化收益率。</w:t>
      </w:r>
    </w:p>
    <w:p w14:paraId="21A90963" w14:textId="575E453F" w:rsidR="00BF0C91" w:rsidRDefault="00D65346">
      <w:pPr>
        <w:spacing w:line="360" w:lineRule="auto"/>
        <w:ind w:firstLineChars="200" w:firstLine="480"/>
        <w:rPr>
          <w:bCs/>
          <w:sz w:val="24"/>
        </w:rPr>
      </w:pPr>
      <w:r>
        <w:rPr>
          <w:rFonts w:hint="eastAsia"/>
          <w:bCs/>
          <w:sz w:val="24"/>
        </w:rPr>
        <w:t>基金管理人应于开始办理基金份额申购或者赎回当日，在指定报刊和网站上披露截止前一日各</w:t>
      </w:r>
      <w:r w:rsidR="00A90C7A">
        <w:rPr>
          <w:rFonts w:hint="eastAsia"/>
          <w:bCs/>
          <w:sz w:val="24"/>
        </w:rPr>
        <w:t>类</w:t>
      </w:r>
      <w:r>
        <w:rPr>
          <w:rFonts w:hint="eastAsia"/>
          <w:bCs/>
          <w:sz w:val="24"/>
        </w:rPr>
        <w:t>基金份额的基金资产净值、基金合同生效至前一日期间各</w:t>
      </w:r>
      <w:r w:rsidR="00A90C7A">
        <w:rPr>
          <w:rFonts w:hint="eastAsia"/>
          <w:bCs/>
          <w:sz w:val="24"/>
        </w:rPr>
        <w:t>类</w:t>
      </w:r>
      <w:r>
        <w:rPr>
          <w:rFonts w:hint="eastAsia"/>
          <w:bCs/>
          <w:sz w:val="24"/>
        </w:rPr>
        <w:t>基金份额的每万份基金已实现收益、前一日的基金七日年化收益率。</w:t>
      </w:r>
    </w:p>
    <w:p w14:paraId="6CD9EA9C" w14:textId="6FAE2F2B" w:rsidR="00BF0C91" w:rsidRDefault="00D65346">
      <w:pPr>
        <w:spacing w:line="360" w:lineRule="auto"/>
        <w:ind w:firstLineChars="200" w:firstLine="480"/>
        <w:rPr>
          <w:bCs/>
          <w:sz w:val="24"/>
        </w:rPr>
      </w:pPr>
      <w:r>
        <w:rPr>
          <w:rFonts w:hint="eastAsia"/>
          <w:bCs/>
          <w:sz w:val="24"/>
        </w:rPr>
        <w:t>基金管理人应当至少于每个开放日的次日，</w:t>
      </w:r>
      <w:r>
        <w:rPr>
          <w:bCs/>
          <w:sz w:val="24"/>
        </w:rPr>
        <w:t>通过</w:t>
      </w:r>
      <w:r>
        <w:rPr>
          <w:rFonts w:hint="eastAsia"/>
          <w:bCs/>
          <w:sz w:val="24"/>
        </w:rPr>
        <w:t>指定</w:t>
      </w:r>
      <w:r>
        <w:rPr>
          <w:bCs/>
          <w:sz w:val="24"/>
        </w:rPr>
        <w:t>网站、</w:t>
      </w:r>
      <w:r>
        <w:rPr>
          <w:rFonts w:hint="eastAsia"/>
          <w:bCs/>
          <w:sz w:val="24"/>
        </w:rPr>
        <w:t>基金销售机构网站或者营业网点披露截止开放日各</w:t>
      </w:r>
      <w:r w:rsidR="00A90C7A">
        <w:rPr>
          <w:rFonts w:hint="eastAsia"/>
          <w:bCs/>
          <w:sz w:val="24"/>
        </w:rPr>
        <w:t>类</w:t>
      </w:r>
      <w:r>
        <w:rPr>
          <w:rFonts w:hint="eastAsia"/>
          <w:bCs/>
          <w:sz w:val="24"/>
        </w:rPr>
        <w:t>基金份额的每万份基金已实现收益和七日年化收益率。若遇法定节假日，应于节假日结束后第二个自然日披露节假日期间各</w:t>
      </w:r>
      <w:r w:rsidR="005F3276">
        <w:rPr>
          <w:rFonts w:hint="eastAsia"/>
          <w:bCs/>
          <w:sz w:val="24"/>
        </w:rPr>
        <w:t>类</w:t>
      </w:r>
      <w:r>
        <w:rPr>
          <w:rFonts w:hint="eastAsia"/>
          <w:bCs/>
          <w:sz w:val="24"/>
        </w:rPr>
        <w:t>基金份额的每万份基金已实现收益、节假日最后一日的七日年化收益率，以及节假日后首个开放日的每万份基金已实现收益和七日年化收益率。</w:t>
      </w:r>
    </w:p>
    <w:p w14:paraId="7F0A6618" w14:textId="08547D7C" w:rsidR="00BF0C91" w:rsidRDefault="00D65346">
      <w:pPr>
        <w:spacing w:line="360" w:lineRule="auto"/>
        <w:ind w:firstLineChars="200" w:firstLine="480"/>
        <w:rPr>
          <w:rFonts w:ascii="宋体" w:hAnsi="宋体"/>
          <w:color w:val="000000"/>
          <w:sz w:val="24"/>
        </w:rPr>
      </w:pPr>
      <w:r>
        <w:rPr>
          <w:rFonts w:hint="eastAsia"/>
          <w:bCs/>
          <w:sz w:val="24"/>
        </w:rPr>
        <w:t>基金管理人应当在不晚于半年度和年度最后一日的次日，在指定网站披露半年度和年度最后一日的各</w:t>
      </w:r>
      <w:r w:rsidR="0067605D">
        <w:rPr>
          <w:rFonts w:hint="eastAsia"/>
          <w:bCs/>
          <w:sz w:val="24"/>
        </w:rPr>
        <w:t>类</w:t>
      </w:r>
      <w:r>
        <w:rPr>
          <w:rFonts w:hint="eastAsia"/>
          <w:bCs/>
          <w:sz w:val="24"/>
        </w:rPr>
        <w:t>基金份额的每万份基金已实现收益和</w:t>
      </w:r>
      <w:r>
        <w:rPr>
          <w:rFonts w:hint="eastAsia"/>
          <w:bCs/>
          <w:sz w:val="24"/>
        </w:rPr>
        <w:t>7</w:t>
      </w:r>
      <w:r>
        <w:rPr>
          <w:rFonts w:hint="eastAsia"/>
          <w:bCs/>
          <w:sz w:val="24"/>
        </w:rPr>
        <w:t>日年化收益率。</w:t>
      </w:r>
    </w:p>
    <w:p w14:paraId="4CFB97A3" w14:textId="77777777" w:rsidR="00BF0C91" w:rsidRDefault="00D65346">
      <w:pPr>
        <w:spacing w:line="360" w:lineRule="auto"/>
        <w:ind w:firstLineChars="200" w:firstLine="480"/>
        <w:rPr>
          <w:bCs/>
          <w:sz w:val="24"/>
        </w:rPr>
      </w:pPr>
      <w:r>
        <w:rPr>
          <w:rFonts w:ascii="宋体" w:hAnsi="宋体" w:hint="eastAsia"/>
          <w:color w:val="000000"/>
          <w:sz w:val="24"/>
        </w:rPr>
        <w:t>（五）</w:t>
      </w:r>
      <w:r>
        <w:rPr>
          <w:rFonts w:hint="eastAsia"/>
          <w:bCs/>
          <w:sz w:val="24"/>
        </w:rPr>
        <w:t>基金定期报告，包括基金年度报告、基金中期报告和基金季度报告</w:t>
      </w:r>
    </w:p>
    <w:p w14:paraId="6AF517DC" w14:textId="77777777" w:rsidR="00BF0C91" w:rsidRDefault="00D65346">
      <w:pPr>
        <w:spacing w:line="360" w:lineRule="auto"/>
        <w:ind w:firstLineChars="200" w:firstLine="480"/>
        <w:rPr>
          <w:bCs/>
          <w:sz w:val="24"/>
        </w:rPr>
      </w:pPr>
      <w:r>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57A15658" w14:textId="77777777" w:rsidR="00BF0C91" w:rsidRDefault="00D65346">
      <w:pPr>
        <w:spacing w:line="360" w:lineRule="auto"/>
        <w:ind w:firstLineChars="200" w:firstLine="480"/>
        <w:rPr>
          <w:bCs/>
          <w:sz w:val="24"/>
        </w:rPr>
      </w:pPr>
      <w:r>
        <w:rPr>
          <w:rFonts w:hint="eastAsia"/>
          <w:bCs/>
          <w:sz w:val="24"/>
        </w:rPr>
        <w:t>基金管理人应当在上半年结束之日起两个月内，编制完成基金中期报告，将中期报告登载在指定网站上，并将中期报告提示性公告登载在指定报刊上。</w:t>
      </w:r>
    </w:p>
    <w:p w14:paraId="637A5EE2" w14:textId="77777777" w:rsidR="00BF0C91" w:rsidRDefault="00D65346">
      <w:pPr>
        <w:spacing w:line="360" w:lineRule="auto"/>
        <w:ind w:firstLineChars="200" w:firstLine="480"/>
        <w:rPr>
          <w:bCs/>
          <w:sz w:val="24"/>
        </w:rPr>
      </w:pPr>
      <w:r>
        <w:rPr>
          <w:rFonts w:hint="eastAsia"/>
          <w:bCs/>
          <w:sz w:val="24"/>
        </w:rPr>
        <w:t>基金管理人应当在季度结束之日起</w:t>
      </w:r>
      <w:r>
        <w:rPr>
          <w:rFonts w:hint="eastAsia"/>
          <w:bCs/>
          <w:sz w:val="24"/>
        </w:rPr>
        <w:t>15</w:t>
      </w:r>
      <w:r>
        <w:rPr>
          <w:rFonts w:hint="eastAsia"/>
          <w:bCs/>
          <w:sz w:val="24"/>
        </w:rPr>
        <w:t>个工作日内，编制完成基金季度报告，将季度报告登载在指定网站上，并将季度报告提示性公告登载在指定报刊上。</w:t>
      </w:r>
    </w:p>
    <w:p w14:paraId="6896FA09" w14:textId="77777777" w:rsidR="00BF0C91" w:rsidRDefault="00D65346">
      <w:pPr>
        <w:spacing w:line="360" w:lineRule="auto"/>
        <w:ind w:firstLineChars="200" w:firstLine="480"/>
        <w:rPr>
          <w:bCs/>
          <w:sz w:val="24"/>
        </w:rPr>
      </w:pPr>
      <w:r>
        <w:rPr>
          <w:rFonts w:hint="eastAsia"/>
          <w:bCs/>
          <w:sz w:val="24"/>
        </w:rPr>
        <w:t>《基金合同》生效不足</w:t>
      </w:r>
      <w:r>
        <w:rPr>
          <w:rFonts w:hint="eastAsia"/>
          <w:bCs/>
          <w:sz w:val="24"/>
        </w:rPr>
        <w:t>2</w:t>
      </w:r>
      <w:r>
        <w:rPr>
          <w:rFonts w:hint="eastAsia"/>
          <w:bCs/>
          <w:sz w:val="24"/>
        </w:rPr>
        <w:t>个月的，基金管理人可以不编制当期季度报告、中期报告或者年度报告。</w:t>
      </w:r>
    </w:p>
    <w:p w14:paraId="030327BB" w14:textId="77777777" w:rsidR="00BF0C91" w:rsidRDefault="00D65346">
      <w:pPr>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B17D919" w14:textId="77777777" w:rsidR="00BF0C91" w:rsidRDefault="00D65346">
      <w:pPr>
        <w:spacing w:line="360" w:lineRule="auto"/>
        <w:ind w:firstLineChars="200" w:firstLine="480"/>
        <w:rPr>
          <w:rFonts w:ascii="宋体" w:hAnsi="宋体"/>
          <w:color w:val="000000"/>
          <w:sz w:val="24"/>
        </w:rPr>
      </w:pPr>
      <w:r>
        <w:rPr>
          <w:rFonts w:hint="eastAsia"/>
          <w:bCs/>
          <w:sz w:val="24"/>
        </w:rPr>
        <w:t>基金管理人应当在基金年度报告和中期报告中披露基金组合资产情况及其</w:t>
      </w:r>
      <w:r>
        <w:rPr>
          <w:rFonts w:hint="eastAsia"/>
          <w:bCs/>
          <w:sz w:val="24"/>
        </w:rPr>
        <w:lastRenderedPageBreak/>
        <w:t>流动性风险分析等。</w:t>
      </w:r>
    </w:p>
    <w:p w14:paraId="4CF05559" w14:textId="77777777" w:rsidR="00BF0C91" w:rsidRDefault="00D65346">
      <w:pPr>
        <w:spacing w:line="360" w:lineRule="auto"/>
        <w:ind w:firstLineChars="200" w:firstLine="480"/>
        <w:rPr>
          <w:rFonts w:ascii="宋体" w:hAnsi="宋体"/>
          <w:color w:val="000000"/>
          <w:sz w:val="24"/>
        </w:rPr>
      </w:pPr>
      <w:r>
        <w:rPr>
          <w:rFonts w:ascii="宋体" w:hAnsi="宋体" w:hint="eastAsia"/>
          <w:color w:val="000000"/>
          <w:sz w:val="24"/>
        </w:rPr>
        <w:t>（六）临时报告</w:t>
      </w:r>
    </w:p>
    <w:p w14:paraId="3B0709D4" w14:textId="77777777" w:rsidR="00BF0C91" w:rsidRDefault="00D65346">
      <w:pPr>
        <w:spacing w:line="360" w:lineRule="auto"/>
        <w:ind w:firstLineChars="200" w:firstLine="480"/>
        <w:rPr>
          <w:bCs/>
          <w:sz w:val="24"/>
        </w:rPr>
      </w:pPr>
      <w:r>
        <w:rPr>
          <w:rFonts w:hint="eastAsia"/>
          <w:bCs/>
          <w:sz w:val="24"/>
        </w:rPr>
        <w:t>本基金发生重大事件，有关信息披露义务人应当在</w:t>
      </w:r>
      <w:r>
        <w:rPr>
          <w:rFonts w:hint="eastAsia"/>
          <w:bCs/>
          <w:sz w:val="24"/>
        </w:rPr>
        <w:t>2</w:t>
      </w:r>
      <w:r>
        <w:rPr>
          <w:rFonts w:hint="eastAsia"/>
          <w:bCs/>
          <w:sz w:val="24"/>
        </w:rPr>
        <w:t>日内编制临时报告书，并登载在指定报刊和指定网站上。</w:t>
      </w:r>
    </w:p>
    <w:p w14:paraId="1810E355" w14:textId="77777777" w:rsidR="00BF0C91" w:rsidRDefault="00D65346">
      <w:pPr>
        <w:spacing w:line="360" w:lineRule="auto"/>
        <w:ind w:firstLineChars="200" w:firstLine="480"/>
        <w:rPr>
          <w:bCs/>
          <w:sz w:val="24"/>
        </w:rPr>
      </w:pPr>
      <w:r>
        <w:rPr>
          <w:rFonts w:hint="eastAsia"/>
          <w:bCs/>
          <w:sz w:val="24"/>
        </w:rPr>
        <w:t>前款所称重大事件，是指可能对基金份额持有人权益或者基金份额的价格产生重大影响的下列事件：</w:t>
      </w:r>
    </w:p>
    <w:p w14:paraId="5AEDFB22" w14:textId="77777777" w:rsidR="00BF0C91" w:rsidRDefault="00D65346">
      <w:pPr>
        <w:spacing w:line="360" w:lineRule="auto"/>
        <w:ind w:firstLineChars="200" w:firstLine="480"/>
        <w:rPr>
          <w:bCs/>
          <w:sz w:val="24"/>
        </w:rPr>
      </w:pPr>
      <w:r>
        <w:rPr>
          <w:rFonts w:hint="eastAsia"/>
          <w:bCs/>
          <w:sz w:val="24"/>
        </w:rPr>
        <w:t>1</w:t>
      </w:r>
      <w:r>
        <w:rPr>
          <w:rFonts w:hint="eastAsia"/>
          <w:bCs/>
          <w:sz w:val="24"/>
        </w:rPr>
        <w:t>、基金份额持有人大会的召开及决定的事项；</w:t>
      </w:r>
    </w:p>
    <w:p w14:paraId="76C83D96" w14:textId="77777777" w:rsidR="00BF0C91" w:rsidRDefault="00D65346">
      <w:pPr>
        <w:spacing w:line="360" w:lineRule="auto"/>
        <w:ind w:firstLineChars="200" w:firstLine="480"/>
        <w:rPr>
          <w:bCs/>
          <w:sz w:val="24"/>
        </w:rPr>
      </w:pPr>
      <w:r>
        <w:rPr>
          <w:rFonts w:hint="eastAsia"/>
          <w:bCs/>
          <w:sz w:val="24"/>
        </w:rPr>
        <w:t>2</w:t>
      </w:r>
      <w:r>
        <w:rPr>
          <w:rFonts w:hint="eastAsia"/>
          <w:bCs/>
          <w:sz w:val="24"/>
        </w:rPr>
        <w:t>、《基金合同》终止、基金清算；</w:t>
      </w:r>
    </w:p>
    <w:p w14:paraId="7AEF9574" w14:textId="77777777" w:rsidR="00BF0C91" w:rsidRDefault="00D65346">
      <w:pPr>
        <w:spacing w:line="360" w:lineRule="auto"/>
        <w:ind w:firstLineChars="200" w:firstLine="480"/>
        <w:rPr>
          <w:bCs/>
          <w:sz w:val="24"/>
        </w:rPr>
      </w:pPr>
      <w:r>
        <w:rPr>
          <w:rFonts w:hint="eastAsia"/>
          <w:bCs/>
          <w:sz w:val="24"/>
        </w:rPr>
        <w:t>3</w:t>
      </w:r>
      <w:r>
        <w:rPr>
          <w:rFonts w:hint="eastAsia"/>
          <w:bCs/>
          <w:sz w:val="24"/>
        </w:rPr>
        <w:t>、转换基金运作方式、基金合并；</w:t>
      </w:r>
    </w:p>
    <w:p w14:paraId="54458DFB" w14:textId="77777777" w:rsidR="00BF0C91" w:rsidRDefault="00D65346">
      <w:pPr>
        <w:spacing w:line="360" w:lineRule="auto"/>
        <w:ind w:firstLineChars="200" w:firstLine="480"/>
        <w:rPr>
          <w:bCs/>
          <w:sz w:val="24"/>
        </w:rPr>
      </w:pPr>
      <w:r>
        <w:rPr>
          <w:rFonts w:hint="eastAsia"/>
          <w:bCs/>
          <w:sz w:val="24"/>
        </w:rPr>
        <w:t>4</w:t>
      </w:r>
      <w:r>
        <w:rPr>
          <w:rFonts w:hint="eastAsia"/>
          <w:bCs/>
          <w:sz w:val="24"/>
        </w:rPr>
        <w:t>、更换基金管理人、基金托管人、基金份额登记机构，基金改聘会计师事务所；</w:t>
      </w:r>
    </w:p>
    <w:p w14:paraId="0B64C65B" w14:textId="77777777" w:rsidR="00BF0C91" w:rsidRDefault="00D65346">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341A4150" w14:textId="77777777" w:rsidR="00BF0C91" w:rsidRDefault="00D65346">
      <w:pPr>
        <w:spacing w:line="360" w:lineRule="auto"/>
        <w:ind w:firstLineChars="200" w:firstLine="480"/>
        <w:rPr>
          <w:bCs/>
          <w:sz w:val="24"/>
        </w:rPr>
      </w:pPr>
      <w:r>
        <w:rPr>
          <w:rFonts w:hint="eastAsia"/>
          <w:bCs/>
          <w:sz w:val="24"/>
        </w:rPr>
        <w:t>6</w:t>
      </w:r>
      <w:r>
        <w:rPr>
          <w:rFonts w:hint="eastAsia"/>
          <w:bCs/>
          <w:sz w:val="24"/>
        </w:rPr>
        <w:t>、基金管理人、基金托管人的法定名称、住所发生变更；</w:t>
      </w:r>
    </w:p>
    <w:p w14:paraId="6E487300" w14:textId="77777777" w:rsidR="00BF0C91" w:rsidRDefault="00D65346">
      <w:pPr>
        <w:spacing w:line="360" w:lineRule="auto"/>
        <w:ind w:firstLineChars="200" w:firstLine="480"/>
        <w:rPr>
          <w:bCs/>
          <w:sz w:val="24"/>
        </w:rPr>
      </w:pPr>
      <w:r>
        <w:rPr>
          <w:rFonts w:hint="eastAsia"/>
          <w:bCs/>
          <w:sz w:val="24"/>
        </w:rPr>
        <w:t>7</w:t>
      </w:r>
      <w:r>
        <w:rPr>
          <w:rFonts w:hint="eastAsia"/>
          <w:bCs/>
          <w:sz w:val="24"/>
        </w:rPr>
        <w:t>、基金管理人变更持有百分之五以上股权的股东、基金管理人的实际控制人变更；</w:t>
      </w:r>
    </w:p>
    <w:p w14:paraId="6C70B824" w14:textId="77777777" w:rsidR="00BF0C91" w:rsidRDefault="00D65346">
      <w:pPr>
        <w:spacing w:line="360" w:lineRule="auto"/>
        <w:ind w:firstLineChars="200" w:firstLine="480"/>
        <w:rPr>
          <w:bCs/>
          <w:sz w:val="24"/>
        </w:rPr>
      </w:pPr>
      <w:r>
        <w:rPr>
          <w:rFonts w:hint="eastAsia"/>
          <w:bCs/>
          <w:sz w:val="24"/>
        </w:rPr>
        <w:t>8</w:t>
      </w:r>
      <w:r>
        <w:rPr>
          <w:rFonts w:hint="eastAsia"/>
          <w:bCs/>
          <w:sz w:val="24"/>
        </w:rPr>
        <w:t>、基金募集期延长或提前结束募集；</w:t>
      </w:r>
    </w:p>
    <w:p w14:paraId="3B5521B5" w14:textId="77777777" w:rsidR="00BF0C91" w:rsidRDefault="00D65346">
      <w:pPr>
        <w:spacing w:line="360" w:lineRule="auto"/>
        <w:ind w:firstLineChars="200" w:firstLine="480"/>
        <w:rPr>
          <w:bCs/>
          <w:sz w:val="24"/>
        </w:rPr>
      </w:pPr>
      <w:r>
        <w:rPr>
          <w:rFonts w:hint="eastAsia"/>
          <w:bCs/>
          <w:sz w:val="24"/>
        </w:rPr>
        <w:t>9</w:t>
      </w:r>
      <w:r>
        <w:rPr>
          <w:rFonts w:hint="eastAsia"/>
          <w:bCs/>
          <w:sz w:val="24"/>
        </w:rPr>
        <w:t>、基金管理人的高级管理人员、基金经理和基金托管人专门基金托管部门负责人发生变动；</w:t>
      </w:r>
    </w:p>
    <w:p w14:paraId="4BFAF47F" w14:textId="77777777" w:rsidR="00BF0C91" w:rsidRDefault="00D65346">
      <w:pPr>
        <w:spacing w:line="360" w:lineRule="auto"/>
        <w:ind w:firstLineChars="200" w:firstLine="480"/>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75827A82" w14:textId="77777777" w:rsidR="00BF0C91" w:rsidRDefault="00D65346">
      <w:pPr>
        <w:spacing w:line="360" w:lineRule="auto"/>
        <w:ind w:firstLineChars="200" w:firstLine="480"/>
        <w:rPr>
          <w:bCs/>
          <w:sz w:val="24"/>
        </w:rPr>
      </w:pPr>
      <w:r>
        <w:rPr>
          <w:rFonts w:hint="eastAsia"/>
          <w:bCs/>
          <w:sz w:val="24"/>
        </w:rPr>
        <w:t>11</w:t>
      </w:r>
      <w:r>
        <w:rPr>
          <w:rFonts w:hint="eastAsia"/>
          <w:bCs/>
          <w:sz w:val="24"/>
        </w:rPr>
        <w:t>、涉及基金财产、基金管理业务、基金托管业务的诉讼或仲裁；</w:t>
      </w:r>
    </w:p>
    <w:p w14:paraId="29A2CD48" w14:textId="77777777" w:rsidR="00BF0C91" w:rsidRDefault="00D65346">
      <w:pPr>
        <w:spacing w:line="360" w:lineRule="auto"/>
        <w:ind w:firstLineChars="200" w:firstLine="480"/>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5AA06F7" w14:textId="77777777" w:rsidR="00BF0C91" w:rsidRDefault="00D65346">
      <w:pPr>
        <w:spacing w:line="360" w:lineRule="auto"/>
        <w:ind w:firstLineChars="200" w:firstLine="480"/>
        <w:rPr>
          <w:bCs/>
          <w:sz w:val="24"/>
        </w:rPr>
      </w:pP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46DA1A55" w14:textId="77777777" w:rsidR="00BF0C91" w:rsidRDefault="00D65346">
      <w:pPr>
        <w:spacing w:line="360" w:lineRule="auto"/>
        <w:ind w:firstLineChars="200" w:firstLine="480"/>
        <w:rPr>
          <w:bCs/>
          <w:sz w:val="24"/>
        </w:rPr>
      </w:pPr>
      <w:r>
        <w:rPr>
          <w:rFonts w:hint="eastAsia"/>
          <w:bCs/>
          <w:sz w:val="24"/>
        </w:rPr>
        <w:lastRenderedPageBreak/>
        <w:t>14</w:t>
      </w:r>
      <w:r>
        <w:rPr>
          <w:rFonts w:hint="eastAsia"/>
          <w:bCs/>
          <w:sz w:val="24"/>
        </w:rPr>
        <w:t>、基金收益分配事项；</w:t>
      </w:r>
    </w:p>
    <w:p w14:paraId="3830F83C" w14:textId="77777777" w:rsidR="00BF0C91" w:rsidRDefault="00D65346">
      <w:pPr>
        <w:spacing w:line="360" w:lineRule="auto"/>
        <w:ind w:firstLineChars="200" w:firstLine="480"/>
        <w:rPr>
          <w:bCs/>
          <w:sz w:val="24"/>
        </w:rPr>
      </w:pPr>
      <w:r>
        <w:rPr>
          <w:rFonts w:hint="eastAsia"/>
          <w:bCs/>
          <w:sz w:val="24"/>
        </w:rPr>
        <w:t>15</w:t>
      </w:r>
      <w:r>
        <w:rPr>
          <w:rFonts w:hint="eastAsia"/>
          <w:bCs/>
          <w:sz w:val="24"/>
        </w:rPr>
        <w:t>、管理费、托管费、销售服务费、申购费、赎回费等费用计提标准、计提方式和费率发生变更；</w:t>
      </w:r>
    </w:p>
    <w:p w14:paraId="49AFE8F8" w14:textId="2C51F443" w:rsidR="00BF0C91" w:rsidRDefault="00D65346">
      <w:pPr>
        <w:spacing w:line="360" w:lineRule="auto"/>
        <w:ind w:firstLineChars="200" w:firstLine="480"/>
        <w:rPr>
          <w:bCs/>
          <w:sz w:val="24"/>
        </w:rPr>
      </w:pPr>
      <w:r>
        <w:rPr>
          <w:rFonts w:hint="eastAsia"/>
          <w:bCs/>
          <w:sz w:val="24"/>
        </w:rPr>
        <w:t>16</w:t>
      </w:r>
      <w:r>
        <w:rPr>
          <w:rFonts w:hint="eastAsia"/>
          <w:bCs/>
          <w:sz w:val="24"/>
        </w:rPr>
        <w:t>、基金</w:t>
      </w:r>
      <w:r w:rsidR="00BF6981">
        <w:rPr>
          <w:rFonts w:hint="eastAsia"/>
          <w:bCs/>
          <w:sz w:val="24"/>
        </w:rPr>
        <w:t>资产</w:t>
      </w:r>
      <w:r>
        <w:rPr>
          <w:rFonts w:hint="eastAsia"/>
          <w:bCs/>
          <w:sz w:val="24"/>
        </w:rPr>
        <w:t>净值计价错误达基金</w:t>
      </w:r>
      <w:r w:rsidR="00BF6981">
        <w:rPr>
          <w:rFonts w:hint="eastAsia"/>
          <w:bCs/>
          <w:sz w:val="24"/>
        </w:rPr>
        <w:t>资产</w:t>
      </w:r>
      <w:r>
        <w:rPr>
          <w:rFonts w:hint="eastAsia"/>
          <w:bCs/>
          <w:sz w:val="24"/>
        </w:rPr>
        <w:t>净值百分之零点五；</w:t>
      </w:r>
    </w:p>
    <w:p w14:paraId="7C893D65" w14:textId="77777777" w:rsidR="00BF0C91" w:rsidRDefault="00D65346">
      <w:pPr>
        <w:spacing w:line="360" w:lineRule="auto"/>
        <w:ind w:firstLineChars="200" w:firstLine="480"/>
        <w:rPr>
          <w:bCs/>
          <w:sz w:val="24"/>
        </w:rPr>
      </w:pPr>
      <w:r>
        <w:rPr>
          <w:rFonts w:hint="eastAsia"/>
          <w:bCs/>
          <w:sz w:val="24"/>
        </w:rPr>
        <w:t>17</w:t>
      </w:r>
      <w:r>
        <w:rPr>
          <w:rFonts w:hint="eastAsia"/>
          <w:bCs/>
          <w:sz w:val="24"/>
        </w:rPr>
        <w:t>、影子定价确定的基金资产净值与摊余成本法计算的基金资产净值的偏离度的绝对值达到或超过基金资产净值的</w:t>
      </w:r>
      <w:r>
        <w:rPr>
          <w:rFonts w:hint="eastAsia"/>
          <w:bCs/>
          <w:sz w:val="24"/>
        </w:rPr>
        <w:t>0.5</w:t>
      </w:r>
      <w:r>
        <w:rPr>
          <w:bCs/>
          <w:sz w:val="24"/>
        </w:rPr>
        <w:t>%</w:t>
      </w:r>
      <w:r>
        <w:rPr>
          <w:rFonts w:hint="eastAsia"/>
          <w:bCs/>
          <w:sz w:val="24"/>
        </w:rPr>
        <w:t>；</w:t>
      </w:r>
    </w:p>
    <w:p w14:paraId="38053A96" w14:textId="77777777" w:rsidR="00BF0C91" w:rsidRDefault="00D65346">
      <w:pPr>
        <w:spacing w:line="360" w:lineRule="auto"/>
        <w:ind w:firstLineChars="200" w:firstLine="480"/>
        <w:rPr>
          <w:bCs/>
          <w:sz w:val="24"/>
        </w:rPr>
      </w:pPr>
      <w:r>
        <w:rPr>
          <w:rFonts w:hint="eastAsia"/>
          <w:bCs/>
          <w:sz w:val="24"/>
        </w:rPr>
        <w:t>18</w:t>
      </w:r>
      <w:r>
        <w:rPr>
          <w:rFonts w:hint="eastAsia"/>
          <w:bCs/>
          <w:sz w:val="24"/>
        </w:rPr>
        <w:t>、本基金开始办理申购、赎回；</w:t>
      </w:r>
    </w:p>
    <w:p w14:paraId="3BA55FBD" w14:textId="77777777" w:rsidR="00BF0C91" w:rsidRDefault="00D65346">
      <w:pPr>
        <w:spacing w:line="360" w:lineRule="auto"/>
        <w:ind w:firstLineChars="200" w:firstLine="480"/>
        <w:rPr>
          <w:bCs/>
          <w:sz w:val="24"/>
        </w:rPr>
      </w:pPr>
      <w:r>
        <w:rPr>
          <w:rFonts w:hint="eastAsia"/>
          <w:bCs/>
          <w:sz w:val="24"/>
        </w:rPr>
        <w:t>19</w:t>
      </w:r>
      <w:r>
        <w:rPr>
          <w:rFonts w:hint="eastAsia"/>
          <w:bCs/>
          <w:sz w:val="24"/>
        </w:rPr>
        <w:t>、本基金发生巨额赎回并延期办理；</w:t>
      </w:r>
    </w:p>
    <w:p w14:paraId="5256A7EE" w14:textId="77777777" w:rsidR="00BF0C91" w:rsidRDefault="00D65346">
      <w:pPr>
        <w:spacing w:line="360" w:lineRule="auto"/>
        <w:ind w:firstLineChars="200" w:firstLine="480"/>
        <w:rPr>
          <w:bCs/>
          <w:sz w:val="24"/>
        </w:rPr>
      </w:pPr>
      <w:r>
        <w:rPr>
          <w:rFonts w:hint="eastAsia"/>
          <w:bCs/>
          <w:sz w:val="24"/>
        </w:rPr>
        <w:t>20</w:t>
      </w:r>
      <w:r>
        <w:rPr>
          <w:rFonts w:hint="eastAsia"/>
          <w:bCs/>
          <w:sz w:val="24"/>
        </w:rPr>
        <w:t>、本基金连续发生巨额赎回并暂停接受赎回申请或延缓支付赎回款项；</w:t>
      </w:r>
    </w:p>
    <w:p w14:paraId="6175403B" w14:textId="77777777" w:rsidR="00BF0C91" w:rsidRDefault="00D65346">
      <w:pPr>
        <w:spacing w:line="360" w:lineRule="auto"/>
        <w:ind w:firstLineChars="200" w:firstLine="480"/>
        <w:rPr>
          <w:bCs/>
          <w:sz w:val="24"/>
        </w:rPr>
      </w:pPr>
      <w:r>
        <w:rPr>
          <w:rFonts w:hint="eastAsia"/>
          <w:bCs/>
          <w:sz w:val="24"/>
        </w:rPr>
        <w:t>21</w:t>
      </w:r>
      <w:r>
        <w:rPr>
          <w:rFonts w:hint="eastAsia"/>
          <w:bCs/>
          <w:sz w:val="24"/>
        </w:rPr>
        <w:t>、本基金暂停接受申购、赎回申请或重新接受申购、赎回申请；</w:t>
      </w:r>
    </w:p>
    <w:p w14:paraId="6A2E116A" w14:textId="77777777" w:rsidR="00BF0C91" w:rsidRDefault="00D65346">
      <w:pPr>
        <w:spacing w:line="360" w:lineRule="auto"/>
        <w:ind w:firstLineChars="200" w:firstLine="480"/>
        <w:rPr>
          <w:bCs/>
          <w:sz w:val="24"/>
        </w:rPr>
      </w:pPr>
      <w:r>
        <w:rPr>
          <w:rFonts w:hint="eastAsia"/>
          <w:bCs/>
          <w:sz w:val="24"/>
        </w:rPr>
        <w:t>22</w:t>
      </w:r>
      <w:r>
        <w:rPr>
          <w:rFonts w:hint="eastAsia"/>
          <w:bCs/>
          <w:sz w:val="24"/>
        </w:rPr>
        <w:t>、发生涉及基金申购、赎回事项调整或潜在影响投资者赎回等重大事项时；</w:t>
      </w:r>
    </w:p>
    <w:p w14:paraId="045F04A0" w14:textId="77777777" w:rsidR="00BF0C91" w:rsidRDefault="00D65346">
      <w:pPr>
        <w:spacing w:line="360" w:lineRule="auto"/>
        <w:ind w:firstLineChars="200" w:firstLine="480"/>
        <w:rPr>
          <w:bCs/>
          <w:sz w:val="24"/>
        </w:rPr>
      </w:pPr>
      <w:r>
        <w:rPr>
          <w:rFonts w:ascii="宋体" w:hAnsi="宋体" w:hint="eastAsia"/>
          <w:color w:val="000000"/>
          <w:sz w:val="24"/>
        </w:rPr>
        <w:t>23、本基金投资于主体信用评级低于AA+的商业银行的银行存款与同业存单；</w:t>
      </w:r>
    </w:p>
    <w:p w14:paraId="4C411DEE" w14:textId="77777777" w:rsidR="00BF0C91" w:rsidRDefault="00D65346">
      <w:pPr>
        <w:spacing w:line="360" w:lineRule="auto"/>
        <w:ind w:firstLineChars="200" w:firstLine="480"/>
        <w:rPr>
          <w:rFonts w:ascii="宋体" w:hAnsi="宋体"/>
          <w:color w:val="000000"/>
          <w:sz w:val="24"/>
        </w:rPr>
      </w:pPr>
      <w:r>
        <w:rPr>
          <w:rFonts w:hint="eastAsia"/>
          <w:bCs/>
          <w:sz w:val="24"/>
        </w:rPr>
        <w:t>24</w:t>
      </w:r>
      <w:r>
        <w:rPr>
          <w:rFonts w:hint="eastAsia"/>
          <w:bCs/>
          <w:sz w:val="24"/>
        </w:rPr>
        <w:t>、基金信息披露义务人认为可能对基金份额持有人权益或者基金份额的价格产生重大影响的其他事项或中国证监会规定的其他事项。</w:t>
      </w:r>
    </w:p>
    <w:p w14:paraId="792608F3" w14:textId="77777777" w:rsidR="00BF0C91" w:rsidRDefault="00D65346">
      <w:pPr>
        <w:spacing w:line="360" w:lineRule="auto"/>
        <w:ind w:firstLineChars="200" w:firstLine="480"/>
        <w:rPr>
          <w:rFonts w:ascii="宋体" w:hAnsi="宋体"/>
          <w:color w:val="000000"/>
          <w:sz w:val="24"/>
        </w:rPr>
      </w:pPr>
      <w:r>
        <w:rPr>
          <w:rFonts w:ascii="宋体" w:hAnsi="宋体" w:hint="eastAsia"/>
          <w:color w:val="000000"/>
          <w:sz w:val="24"/>
        </w:rPr>
        <w:t>（七）澄清公告</w:t>
      </w:r>
    </w:p>
    <w:p w14:paraId="43325C25" w14:textId="77777777" w:rsidR="00BF0C91" w:rsidRDefault="00D65346">
      <w:pPr>
        <w:spacing w:line="360" w:lineRule="auto"/>
        <w:ind w:firstLineChars="200" w:firstLine="480"/>
        <w:rPr>
          <w:rFonts w:ascii="宋体" w:hAnsi="宋体"/>
          <w:color w:val="000000"/>
          <w:sz w:val="24"/>
        </w:rPr>
      </w:pPr>
      <w:r>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7E05D9AB" w14:textId="77777777" w:rsidR="00BF0C91" w:rsidRDefault="00D65346">
      <w:pPr>
        <w:spacing w:line="360" w:lineRule="auto"/>
        <w:ind w:firstLineChars="200" w:firstLine="480"/>
        <w:rPr>
          <w:rFonts w:ascii="宋体" w:hAnsi="宋体"/>
          <w:color w:val="000000"/>
          <w:sz w:val="24"/>
        </w:rPr>
      </w:pPr>
      <w:r>
        <w:rPr>
          <w:rFonts w:ascii="宋体" w:hAnsi="宋体" w:hint="eastAsia"/>
          <w:color w:val="000000"/>
          <w:sz w:val="24"/>
        </w:rPr>
        <w:t>（八）基金份额持有人大会决议</w:t>
      </w:r>
    </w:p>
    <w:p w14:paraId="417C7A58" w14:textId="77777777" w:rsidR="00BF0C91" w:rsidRDefault="00D65346">
      <w:pPr>
        <w:spacing w:line="360" w:lineRule="auto"/>
        <w:ind w:firstLineChars="200" w:firstLine="480"/>
        <w:rPr>
          <w:bCs/>
          <w:sz w:val="24"/>
        </w:rPr>
      </w:pPr>
      <w:r>
        <w:rPr>
          <w:rFonts w:hint="eastAsia"/>
          <w:bCs/>
          <w:sz w:val="24"/>
        </w:rPr>
        <w:t>基金份额持有人大会决定的事项，应当依法报中国证监会备案，并予以公告。</w:t>
      </w:r>
    </w:p>
    <w:p w14:paraId="5F6E5A4F" w14:textId="77777777" w:rsidR="00BF0C91" w:rsidRDefault="00D65346">
      <w:pPr>
        <w:spacing w:line="360" w:lineRule="auto"/>
        <w:ind w:firstLineChars="200" w:firstLine="480"/>
        <w:rPr>
          <w:rFonts w:ascii="宋体" w:hAnsi="宋体"/>
          <w:color w:val="000000"/>
          <w:sz w:val="24"/>
        </w:rPr>
      </w:pPr>
      <w:r>
        <w:rPr>
          <w:rFonts w:hint="eastAsia"/>
          <w:bCs/>
          <w:sz w:val="24"/>
        </w:rPr>
        <w:t>基金份额持有人依法自行召集基金份额持有人大会，基金管理人、本基金托管人对基金份额持有人大会决定的事项不依法履行信息披露义务的，召集人应当履行相关信息披露义务。</w:t>
      </w:r>
    </w:p>
    <w:p w14:paraId="278B6876" w14:textId="77777777" w:rsidR="00BF0C91" w:rsidRDefault="00D65346">
      <w:pPr>
        <w:spacing w:line="360" w:lineRule="auto"/>
        <w:ind w:firstLineChars="200" w:firstLine="480"/>
        <w:rPr>
          <w:rFonts w:ascii="宋体" w:hAnsi="宋体"/>
          <w:color w:val="000000"/>
          <w:sz w:val="24"/>
        </w:rPr>
      </w:pPr>
      <w:r>
        <w:rPr>
          <w:rFonts w:ascii="宋体" w:hAnsi="宋体" w:hint="eastAsia"/>
          <w:color w:val="000000"/>
          <w:sz w:val="24"/>
        </w:rPr>
        <w:t>（九）中国证监会规定的其他信息。</w:t>
      </w:r>
    </w:p>
    <w:p w14:paraId="2A332F97" w14:textId="77777777" w:rsidR="00BF0C91" w:rsidRDefault="00D65346">
      <w:pPr>
        <w:spacing w:line="360" w:lineRule="auto"/>
        <w:ind w:firstLineChars="200" w:firstLine="482"/>
        <w:outlineLvl w:val="1"/>
        <w:rPr>
          <w:rFonts w:ascii="宋体" w:hAnsi="宋体"/>
          <w:b/>
          <w:bCs/>
          <w:color w:val="000000"/>
          <w:sz w:val="24"/>
          <w:szCs w:val="21"/>
        </w:rPr>
      </w:pPr>
      <w:r>
        <w:rPr>
          <w:rFonts w:ascii="宋体" w:hAnsi="宋体" w:hint="eastAsia"/>
          <w:b/>
          <w:bCs/>
          <w:color w:val="000000"/>
          <w:sz w:val="24"/>
          <w:szCs w:val="21"/>
        </w:rPr>
        <w:t>二、信息披露事务管理</w:t>
      </w:r>
    </w:p>
    <w:p w14:paraId="08B57A97" w14:textId="77777777" w:rsidR="00BF0C91" w:rsidRDefault="00D65346">
      <w:pPr>
        <w:spacing w:line="360" w:lineRule="auto"/>
        <w:ind w:firstLineChars="200" w:firstLine="480"/>
        <w:rPr>
          <w:bCs/>
          <w:sz w:val="24"/>
        </w:rPr>
      </w:pPr>
      <w:r>
        <w:rPr>
          <w:rFonts w:hint="eastAsia"/>
          <w:bCs/>
          <w:sz w:val="24"/>
        </w:rPr>
        <w:t>基金管理人、基金托管人应当建立健全信息披露管理制度，指定专门部门及高级管理人员负责管理信息披露事务。</w:t>
      </w:r>
    </w:p>
    <w:p w14:paraId="352CB851" w14:textId="77777777" w:rsidR="00BF0C91" w:rsidRDefault="00D65346">
      <w:pPr>
        <w:spacing w:line="360" w:lineRule="auto"/>
        <w:ind w:firstLineChars="200" w:firstLine="480"/>
        <w:rPr>
          <w:bCs/>
          <w:sz w:val="24"/>
        </w:rPr>
      </w:pPr>
      <w:r>
        <w:rPr>
          <w:rFonts w:hint="eastAsia"/>
          <w:bCs/>
          <w:sz w:val="24"/>
        </w:rPr>
        <w:t>基金信息披露义务人公开披露基金信息，应当符合中国证监会相关基金信息</w:t>
      </w:r>
      <w:r>
        <w:rPr>
          <w:rFonts w:hint="eastAsia"/>
          <w:bCs/>
          <w:sz w:val="24"/>
        </w:rPr>
        <w:lastRenderedPageBreak/>
        <w:t>披露内容与格式准则等法律法规规定。</w:t>
      </w:r>
    </w:p>
    <w:p w14:paraId="0FA7BD84" w14:textId="77777777" w:rsidR="00BF0C91" w:rsidRDefault="00D65346">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311E2C5F" w14:textId="77777777" w:rsidR="00BF0C91" w:rsidRDefault="00D65346">
      <w:pPr>
        <w:spacing w:line="360" w:lineRule="auto"/>
        <w:ind w:firstLineChars="200" w:firstLine="480"/>
        <w:rPr>
          <w:bCs/>
          <w:sz w:val="24"/>
        </w:rPr>
      </w:pPr>
      <w:r>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6D9913EC" w14:textId="77777777" w:rsidR="00BF0C91" w:rsidRDefault="00D65346">
      <w:pPr>
        <w:spacing w:line="360" w:lineRule="auto"/>
        <w:ind w:firstLineChars="200" w:firstLine="480"/>
        <w:rPr>
          <w:bCs/>
          <w:sz w:val="24"/>
        </w:rPr>
      </w:pPr>
      <w:r>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249E35A7" w14:textId="77777777" w:rsidR="00BF0C91" w:rsidRDefault="00D65346">
      <w:pPr>
        <w:spacing w:line="360" w:lineRule="auto"/>
        <w:ind w:firstLineChars="200" w:firstLine="480"/>
        <w:rPr>
          <w:rFonts w:ascii="宋体" w:hAnsi="宋体"/>
          <w:color w:val="000000"/>
          <w:sz w:val="24"/>
        </w:rPr>
      </w:pPr>
      <w:r>
        <w:rPr>
          <w:rFonts w:hint="eastAsia"/>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rFonts w:hint="eastAsia"/>
          <w:bCs/>
          <w:sz w:val="24"/>
        </w:rPr>
        <w:t>年</w:t>
      </w:r>
      <w:r>
        <w:rPr>
          <w:rFonts w:ascii="宋体" w:hAnsi="宋体" w:hint="eastAsia"/>
          <w:color w:val="000000"/>
          <w:sz w:val="24"/>
        </w:rPr>
        <w:t>。</w:t>
      </w:r>
    </w:p>
    <w:p w14:paraId="647D1751" w14:textId="77777777" w:rsidR="00BF0C91" w:rsidRDefault="00D65346">
      <w:pPr>
        <w:spacing w:line="360" w:lineRule="auto"/>
        <w:ind w:firstLineChars="200" w:firstLine="480"/>
        <w:rPr>
          <w:rFonts w:ascii="宋体" w:hAnsi="宋体"/>
          <w:color w:val="000000"/>
          <w:sz w:val="24"/>
        </w:rPr>
      </w:pPr>
      <w:r>
        <w:rPr>
          <w:rFonts w:ascii="宋体" w:hAnsi="宋体" w:hint="eastAsia"/>
          <w:color w:val="000000"/>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2DF45B7D" w14:textId="77777777" w:rsidR="00BF0C91" w:rsidRDefault="00D65346">
      <w:pPr>
        <w:spacing w:line="360" w:lineRule="auto"/>
        <w:ind w:firstLineChars="200" w:firstLine="482"/>
        <w:outlineLvl w:val="1"/>
        <w:rPr>
          <w:rFonts w:ascii="宋体" w:hAnsi="宋体"/>
          <w:b/>
          <w:bCs/>
          <w:color w:val="000000"/>
          <w:sz w:val="24"/>
          <w:szCs w:val="21"/>
        </w:rPr>
      </w:pPr>
      <w:r>
        <w:rPr>
          <w:rFonts w:ascii="宋体" w:hAnsi="宋体" w:hint="eastAsia"/>
          <w:b/>
          <w:bCs/>
          <w:color w:val="000000"/>
          <w:sz w:val="24"/>
          <w:szCs w:val="21"/>
        </w:rPr>
        <w:t>三、信息披露文件的存放与查阅</w:t>
      </w:r>
    </w:p>
    <w:p w14:paraId="126694D1" w14:textId="77777777" w:rsidR="00BF0C91" w:rsidRDefault="00D65346">
      <w:pPr>
        <w:spacing w:line="360" w:lineRule="auto"/>
        <w:ind w:firstLineChars="200" w:firstLine="480"/>
        <w:outlineLvl w:val="1"/>
        <w:rPr>
          <w:rFonts w:ascii="宋体" w:hAnsi="宋体"/>
          <w:color w:val="000000"/>
          <w:sz w:val="24"/>
        </w:rPr>
      </w:pPr>
      <w:r>
        <w:rPr>
          <w:rFonts w:ascii="宋体" w:hAnsi="宋体" w:hint="eastAsia"/>
          <w:color w:val="000000"/>
          <w:sz w:val="24"/>
        </w:rPr>
        <w:t>依法必须披露的信息发布后，基金管理人、基金托管人应当按照相关法律法规规定将信息置备于各自住所，供社会公众查阅、复制。</w:t>
      </w:r>
    </w:p>
    <w:p w14:paraId="0467D791" w14:textId="77777777" w:rsidR="00BF0C91" w:rsidRDefault="00D65346">
      <w:pPr>
        <w:spacing w:line="440" w:lineRule="exact"/>
        <w:ind w:firstLineChars="200" w:firstLine="482"/>
        <w:rPr>
          <w:rFonts w:ascii="宋体" w:hAnsi="宋体"/>
          <w:color w:val="000000"/>
          <w:sz w:val="24"/>
          <w:szCs w:val="21"/>
        </w:rPr>
      </w:pPr>
      <w:r>
        <w:rPr>
          <w:rFonts w:ascii="宋体" w:hAnsi="宋体" w:hint="eastAsia"/>
          <w:b/>
          <w:bCs/>
          <w:color w:val="000000"/>
          <w:sz w:val="24"/>
          <w:szCs w:val="21"/>
        </w:rPr>
        <w:t>四、</w:t>
      </w:r>
      <w:r>
        <w:rPr>
          <w:rFonts w:ascii="宋体" w:hAnsi="宋体" w:hint="eastAsia"/>
          <w:color w:val="000000"/>
          <w:sz w:val="24"/>
        </w:rPr>
        <w:t>本基金信息披露事项以法律法规规定及本章节约定的内容为准。</w:t>
      </w:r>
      <w:bookmarkStart w:id="158" w:name="_Hlt91150550"/>
      <w:bookmarkStart w:id="159" w:name="_Hlt88901012"/>
      <w:bookmarkEnd w:id="158"/>
      <w:bookmarkEnd w:id="159"/>
    </w:p>
    <w:p w14:paraId="1EC58DA6" w14:textId="77777777" w:rsidR="00BF0C91" w:rsidRDefault="00D65346">
      <w:pPr>
        <w:pStyle w:val="1"/>
        <w:spacing w:before="100" w:beforeAutospacing="1" w:after="100" w:afterAutospacing="1" w:line="360" w:lineRule="auto"/>
        <w:rPr>
          <w:rFonts w:ascii="黑体" w:eastAsia="黑体" w:hAnsi="Arial" w:cs="Arial"/>
          <w:color w:val="000000"/>
          <w:sz w:val="30"/>
          <w:szCs w:val="32"/>
        </w:rPr>
      </w:pPr>
      <w:bookmarkStart w:id="160" w:name="_Toc48649718"/>
      <w:r>
        <w:rPr>
          <w:rFonts w:ascii="宋体" w:hAnsi="宋体"/>
          <w:color w:val="000000"/>
          <w:sz w:val="24"/>
          <w:szCs w:val="21"/>
        </w:rPr>
        <w:br w:type="page"/>
      </w:r>
      <w:bookmarkStart w:id="161" w:name="_Hlt81039779"/>
      <w:bookmarkStart w:id="162" w:name="_Hlt81039784"/>
      <w:bookmarkStart w:id="163" w:name="_Toc169580234"/>
      <w:bookmarkEnd w:id="161"/>
      <w:bookmarkEnd w:id="162"/>
      <w:r>
        <w:rPr>
          <w:rFonts w:ascii="黑体" w:eastAsia="黑体" w:hAnsi="Arial" w:cs="Arial" w:hint="eastAsia"/>
          <w:color w:val="000000"/>
          <w:sz w:val="30"/>
          <w:szCs w:val="32"/>
        </w:rPr>
        <w:lastRenderedPageBreak/>
        <w:t>第二十一部分</w:t>
      </w:r>
      <w:r>
        <w:rPr>
          <w:rFonts w:ascii="黑体" w:eastAsia="黑体" w:hAnsi="Arial" w:cs="Arial"/>
          <w:color w:val="000000"/>
          <w:sz w:val="30"/>
          <w:szCs w:val="32"/>
        </w:rPr>
        <w:t xml:space="preserve"> </w:t>
      </w:r>
      <w:r>
        <w:rPr>
          <w:rFonts w:ascii="黑体" w:eastAsia="黑体" w:hAnsi="Arial" w:cs="Arial" w:hint="eastAsia"/>
          <w:color w:val="000000"/>
          <w:sz w:val="30"/>
          <w:szCs w:val="32"/>
        </w:rPr>
        <w:t>基金合同的变更、终止与基金财产的清算</w:t>
      </w:r>
      <w:bookmarkEnd w:id="160"/>
      <w:bookmarkEnd w:id="163"/>
    </w:p>
    <w:p w14:paraId="1BD7E715" w14:textId="77777777" w:rsidR="00BF0C91" w:rsidRDefault="00D65346">
      <w:pPr>
        <w:spacing w:beforeLines="50" w:before="156" w:afterLines="50" w:after="156" w:line="360" w:lineRule="auto"/>
        <w:ind w:firstLineChars="200" w:firstLine="482"/>
        <w:outlineLvl w:val="1"/>
        <w:rPr>
          <w:rFonts w:ascii="宋体" w:hAnsi="宋体"/>
          <w:b/>
          <w:bCs/>
          <w:color w:val="000000"/>
          <w:sz w:val="24"/>
          <w:szCs w:val="21"/>
        </w:rPr>
      </w:pPr>
      <w:bookmarkStart w:id="164" w:name="_Toc79392639"/>
      <w:r>
        <w:rPr>
          <w:rFonts w:ascii="宋体" w:hAnsi="宋体" w:hint="eastAsia"/>
          <w:b/>
          <w:bCs/>
          <w:color w:val="000000"/>
          <w:sz w:val="24"/>
          <w:szCs w:val="21"/>
        </w:rPr>
        <w:t>一、</w:t>
      </w:r>
      <w:r>
        <w:rPr>
          <w:rFonts w:ascii="宋体" w:hAnsi="宋体" w:hint="eastAsia"/>
          <w:b/>
          <w:bCs/>
          <w:color w:val="000000"/>
          <w:sz w:val="24"/>
          <w:szCs w:val="21"/>
        </w:rPr>
        <w:tab/>
        <w:t>基金合同的变更</w:t>
      </w:r>
      <w:bookmarkEnd w:id="164"/>
    </w:p>
    <w:p w14:paraId="44C8D8EF"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1、下列涉及到基金合同内容变更的事项须召开基金份额持有人大会：</w:t>
      </w:r>
    </w:p>
    <w:p w14:paraId="68372D87"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（1）更换基金管理人；</w:t>
      </w:r>
    </w:p>
    <w:p w14:paraId="27DA72AE"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（2）更换基金托管人；</w:t>
      </w:r>
    </w:p>
    <w:p w14:paraId="026E4080"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（3）转换基金运作方式；</w:t>
      </w:r>
    </w:p>
    <w:p w14:paraId="5AAD2652"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（4）提高基金管理人、基金托管人的报酬标准；</w:t>
      </w:r>
    </w:p>
    <w:p w14:paraId="3FA3FDFE"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（5）变更基金类别；</w:t>
      </w:r>
    </w:p>
    <w:p w14:paraId="1153E0D4"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（6）变更基金投资目标、范围或策略；</w:t>
      </w:r>
    </w:p>
    <w:p w14:paraId="59E4D98A"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（7）变更基金份额持有人大会程序；</w:t>
      </w:r>
    </w:p>
    <w:p w14:paraId="3B7A69A3"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（8）对基金当事人权利和义务产生重大影响的事项；</w:t>
      </w:r>
    </w:p>
    <w:p w14:paraId="62335845"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（9）法律法规、基金合同或中国证监会规定的其他事项。</w:t>
      </w:r>
    </w:p>
    <w:p w14:paraId="66CE48E6"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2、除非法律法规和基金合同另有规定，对基金合同的变更应当召开基金份额持有人大会的，基金合同变更的内容应经基金份额持有人大会决议通过，并报中国证监会核准或备案。</w:t>
      </w:r>
      <w:bookmarkStart w:id="165" w:name="_Hlt94542775"/>
      <w:bookmarkEnd w:id="165"/>
    </w:p>
    <w:p w14:paraId="12CF86BC"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3、依现行有效的有关法律法规，对基金合同的变更自中国证监会核准或出具无异议意见之日起生效。</w:t>
      </w:r>
    </w:p>
    <w:p w14:paraId="3E709258"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4、除依本基金合同和依现行有效的有关法律法规，对基金合同的变更须基金份额持有人大会决议通过和须报中国证监会核准以外的情形，经基金管理人和基金托管人同意可对基金合同进行变更后公布，并报中国证监会备案。</w:t>
      </w:r>
    </w:p>
    <w:p w14:paraId="7FAB0EB6" w14:textId="77777777" w:rsidR="00BF0C91" w:rsidRDefault="00D65346">
      <w:pPr>
        <w:spacing w:beforeLines="50" w:before="156" w:afterLines="50" w:after="156" w:line="360" w:lineRule="auto"/>
        <w:ind w:firstLineChars="200" w:firstLine="482"/>
        <w:outlineLvl w:val="1"/>
        <w:rPr>
          <w:rFonts w:ascii="宋体" w:hAnsi="宋体"/>
          <w:b/>
          <w:bCs/>
          <w:color w:val="000000"/>
          <w:sz w:val="24"/>
          <w:szCs w:val="21"/>
        </w:rPr>
      </w:pPr>
      <w:r>
        <w:rPr>
          <w:rFonts w:ascii="宋体" w:hAnsi="宋体" w:hint="eastAsia"/>
          <w:b/>
          <w:bCs/>
          <w:color w:val="000000"/>
          <w:sz w:val="24"/>
          <w:szCs w:val="21"/>
        </w:rPr>
        <w:t>二、</w:t>
      </w:r>
      <w:r>
        <w:rPr>
          <w:rFonts w:ascii="宋体" w:hAnsi="宋体" w:hint="eastAsia"/>
          <w:b/>
          <w:bCs/>
          <w:color w:val="000000"/>
          <w:sz w:val="24"/>
          <w:szCs w:val="21"/>
        </w:rPr>
        <w:tab/>
        <w:t>基金合同的终止</w:t>
      </w:r>
    </w:p>
    <w:p w14:paraId="606046AA"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有下列情形之一的，基金合同应当终止：</w:t>
      </w:r>
    </w:p>
    <w:p w14:paraId="6883CCFC" w14:textId="77777777" w:rsidR="00BF0C91" w:rsidRDefault="00D65346">
      <w:pPr>
        <w:pStyle w:val="a4"/>
        <w:spacing w:line="360" w:lineRule="auto"/>
        <w:ind w:firstLine="480"/>
        <w:rPr>
          <w:rFonts w:ascii="宋体" w:hAnsi="宋体"/>
          <w:color w:val="000000"/>
          <w:sz w:val="24"/>
          <w:szCs w:val="18"/>
        </w:rPr>
      </w:pPr>
      <w:r>
        <w:rPr>
          <w:rFonts w:ascii="宋体" w:hAnsi="宋体" w:hint="eastAsia"/>
          <w:color w:val="000000"/>
          <w:sz w:val="24"/>
          <w:szCs w:val="18"/>
        </w:rPr>
        <w:t>1、基金份额持有人大会决定终止的；</w:t>
      </w:r>
    </w:p>
    <w:p w14:paraId="235BC899" w14:textId="77777777" w:rsidR="00BF0C91" w:rsidRDefault="00D65346">
      <w:pPr>
        <w:pStyle w:val="a4"/>
        <w:spacing w:line="360" w:lineRule="auto"/>
        <w:ind w:firstLine="480"/>
        <w:rPr>
          <w:rFonts w:ascii="宋体" w:hAnsi="宋体"/>
          <w:color w:val="000000"/>
          <w:sz w:val="24"/>
          <w:szCs w:val="18"/>
        </w:rPr>
      </w:pPr>
      <w:r>
        <w:rPr>
          <w:rFonts w:ascii="宋体" w:hAnsi="宋体" w:hint="eastAsia"/>
          <w:color w:val="000000"/>
          <w:sz w:val="24"/>
          <w:szCs w:val="18"/>
        </w:rPr>
        <w:t>2、基金管理人、基金托管人职责终止，在6个月内没有新基金管理人、新基金托管人承接的；</w:t>
      </w:r>
      <w:bookmarkStart w:id="166" w:name="_Hlt80977405"/>
      <w:bookmarkEnd w:id="166"/>
    </w:p>
    <w:p w14:paraId="132B6263" w14:textId="77777777" w:rsidR="00BF0C91" w:rsidRDefault="00D65346">
      <w:pPr>
        <w:pStyle w:val="a4"/>
        <w:spacing w:line="360" w:lineRule="auto"/>
        <w:ind w:firstLine="480"/>
        <w:rPr>
          <w:rFonts w:ascii="宋体" w:hAnsi="宋体"/>
          <w:color w:val="000000"/>
          <w:sz w:val="24"/>
          <w:szCs w:val="18"/>
        </w:rPr>
      </w:pPr>
      <w:r>
        <w:rPr>
          <w:rFonts w:ascii="宋体" w:hAnsi="宋体" w:hint="eastAsia"/>
          <w:color w:val="000000"/>
          <w:sz w:val="24"/>
          <w:szCs w:val="18"/>
        </w:rPr>
        <w:t>3、基金合同约定的其他情形；</w:t>
      </w:r>
    </w:p>
    <w:p w14:paraId="026A2A6A" w14:textId="77777777" w:rsidR="00BF0C91" w:rsidRDefault="00D65346">
      <w:pPr>
        <w:pStyle w:val="a4"/>
        <w:spacing w:line="360" w:lineRule="auto"/>
        <w:ind w:firstLine="480"/>
        <w:rPr>
          <w:rFonts w:ascii="宋体" w:hAnsi="宋体"/>
          <w:color w:val="000000"/>
          <w:sz w:val="24"/>
          <w:szCs w:val="18"/>
        </w:rPr>
      </w:pPr>
      <w:r>
        <w:rPr>
          <w:rFonts w:ascii="宋体" w:hAnsi="宋体" w:hint="eastAsia"/>
          <w:color w:val="000000"/>
          <w:sz w:val="24"/>
          <w:szCs w:val="18"/>
        </w:rPr>
        <w:t>4、中国证监会规定的其他情况。</w:t>
      </w:r>
    </w:p>
    <w:p w14:paraId="3DE9CBB2"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18"/>
        </w:rPr>
        <w:lastRenderedPageBreak/>
        <w:t>基金合同终止时，基金管理人应予公告并组织清算小组对基金财产进行清算。</w:t>
      </w:r>
    </w:p>
    <w:p w14:paraId="4D38456E" w14:textId="77777777" w:rsidR="00BF0C91" w:rsidRDefault="00D65346">
      <w:pPr>
        <w:spacing w:beforeLines="50" w:before="156" w:afterLines="50" w:after="156" w:line="360" w:lineRule="auto"/>
        <w:ind w:firstLineChars="200" w:firstLine="482"/>
        <w:outlineLvl w:val="1"/>
        <w:rPr>
          <w:rFonts w:ascii="宋体" w:hAnsi="宋体"/>
          <w:b/>
          <w:bCs/>
          <w:color w:val="000000"/>
          <w:sz w:val="24"/>
          <w:szCs w:val="21"/>
        </w:rPr>
      </w:pPr>
      <w:r>
        <w:rPr>
          <w:rFonts w:ascii="宋体" w:hAnsi="宋体" w:hint="eastAsia"/>
          <w:b/>
          <w:bCs/>
          <w:color w:val="000000"/>
          <w:sz w:val="24"/>
          <w:szCs w:val="21"/>
        </w:rPr>
        <w:t>三、</w:t>
      </w:r>
      <w:r>
        <w:rPr>
          <w:rFonts w:ascii="宋体" w:hAnsi="宋体" w:hint="eastAsia"/>
          <w:b/>
          <w:bCs/>
          <w:color w:val="000000"/>
          <w:sz w:val="24"/>
          <w:szCs w:val="21"/>
        </w:rPr>
        <w:tab/>
        <w:t>基金财产的清算</w:t>
      </w:r>
    </w:p>
    <w:p w14:paraId="02CC6EAC"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1、基金财产清算小组：自出现基金合同终止事由之日起</w:t>
      </w:r>
      <w:r>
        <w:rPr>
          <w:rFonts w:ascii="宋体" w:hAnsi="宋体"/>
          <w:color w:val="000000"/>
          <w:sz w:val="24"/>
          <w:szCs w:val="21"/>
        </w:rPr>
        <w:t>30</w:t>
      </w:r>
      <w:r>
        <w:rPr>
          <w:rFonts w:ascii="宋体" w:hAnsi="宋体" w:hint="eastAsia"/>
          <w:color w:val="000000"/>
          <w:sz w:val="24"/>
          <w:szCs w:val="21"/>
        </w:rPr>
        <w:t>个工作日内成立清算小组，基金管理人组织基金财产清算小组并在中国证监会的监督下进行基金清算。</w:t>
      </w:r>
    </w:p>
    <w:p w14:paraId="77BE6A90"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2、基金财产清算小组组成：基金财产清算小组成员由基金管理人、基金托管人、具有从事证券相关业务资格的注册会计师、律师</w:t>
      </w:r>
      <w:r>
        <w:rPr>
          <w:rFonts w:ascii="宋体" w:hAnsi="宋体" w:hint="eastAsia"/>
          <w:color w:val="000000"/>
          <w:sz w:val="24"/>
          <w:szCs w:val="18"/>
        </w:rPr>
        <w:t>以及中国证监会指定的人员</w:t>
      </w:r>
      <w:r>
        <w:rPr>
          <w:rFonts w:ascii="宋体" w:hAnsi="宋体" w:hint="eastAsia"/>
          <w:color w:val="000000"/>
          <w:sz w:val="24"/>
          <w:szCs w:val="21"/>
        </w:rPr>
        <w:t>组成。基金财产清算小组可以聘用必要的工作人员。</w:t>
      </w:r>
    </w:p>
    <w:p w14:paraId="5F0B0B5A"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3、基金财产清算小组职责：基金财产清算小组负责基金财产的保管、清理、估价、变现和分配。基金财产清算小组可以依法以基金的名义进行必要的民事活动。</w:t>
      </w:r>
    </w:p>
    <w:p w14:paraId="45BF61F9"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4、基金财产清算程序：</w:t>
      </w:r>
    </w:p>
    <w:p w14:paraId="5A1E64F9"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（1）基金合同终止后，由基金财产清算小组统一接管基金财产；</w:t>
      </w:r>
    </w:p>
    <w:p w14:paraId="5B14844A"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（2）对基金财产和债权债务进行清理和确认；</w:t>
      </w:r>
    </w:p>
    <w:p w14:paraId="3D23F0F0"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（3）对基金财产进行估值和变现；</w:t>
      </w:r>
    </w:p>
    <w:p w14:paraId="26DEE9CD"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（4）对基金财产进行分配；</w:t>
      </w:r>
    </w:p>
    <w:p w14:paraId="50BC234E"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（5）制作清算报告；</w:t>
      </w:r>
    </w:p>
    <w:p w14:paraId="5CA34C43"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（6）聘请会计师事务所对清算报告进行外部审计，聘请律师事务所对清算报告出具法律意见书；</w:t>
      </w:r>
    </w:p>
    <w:p w14:paraId="7FB199E0"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（7）将清算报告报中国证监会备案并公告。</w:t>
      </w:r>
    </w:p>
    <w:p w14:paraId="5B692A06" w14:textId="77777777" w:rsidR="00BF0C91" w:rsidRDefault="00D65346">
      <w:pPr>
        <w:spacing w:beforeLines="50" w:before="156" w:afterLines="50" w:after="156" w:line="360" w:lineRule="auto"/>
        <w:ind w:firstLineChars="200" w:firstLine="482"/>
        <w:outlineLvl w:val="1"/>
        <w:rPr>
          <w:rFonts w:ascii="宋体" w:hAnsi="宋体"/>
          <w:b/>
          <w:bCs/>
          <w:color w:val="000000"/>
          <w:sz w:val="24"/>
          <w:szCs w:val="21"/>
        </w:rPr>
      </w:pPr>
      <w:r>
        <w:rPr>
          <w:rFonts w:ascii="宋体" w:hAnsi="宋体" w:hint="eastAsia"/>
          <w:b/>
          <w:bCs/>
          <w:color w:val="000000"/>
          <w:sz w:val="24"/>
          <w:szCs w:val="21"/>
        </w:rPr>
        <w:t>四、</w:t>
      </w:r>
      <w:r>
        <w:rPr>
          <w:rFonts w:ascii="宋体" w:hAnsi="宋体" w:hint="eastAsia"/>
          <w:b/>
          <w:bCs/>
          <w:color w:val="000000"/>
          <w:sz w:val="24"/>
          <w:szCs w:val="21"/>
        </w:rPr>
        <w:tab/>
        <w:t>清算费用</w:t>
      </w:r>
    </w:p>
    <w:p w14:paraId="6C7E0790"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清算费用是指基金财产清算小组在进行基金清算过程中发生的所有合理费用，清算费用由基金财产清算小组优先从基金财产中支付。</w:t>
      </w:r>
    </w:p>
    <w:p w14:paraId="39F501EB" w14:textId="77777777" w:rsidR="00BF0C91" w:rsidRDefault="00D65346">
      <w:pPr>
        <w:spacing w:beforeLines="50" w:before="156" w:afterLines="50" w:after="156" w:line="360" w:lineRule="auto"/>
        <w:ind w:firstLineChars="200" w:firstLine="482"/>
        <w:outlineLvl w:val="1"/>
        <w:rPr>
          <w:rFonts w:ascii="宋体" w:hAnsi="宋体"/>
          <w:b/>
          <w:bCs/>
          <w:color w:val="000000"/>
          <w:sz w:val="24"/>
          <w:szCs w:val="21"/>
        </w:rPr>
      </w:pPr>
      <w:r>
        <w:rPr>
          <w:rFonts w:ascii="宋体" w:hAnsi="宋体" w:hint="eastAsia"/>
          <w:b/>
          <w:bCs/>
          <w:color w:val="000000"/>
          <w:sz w:val="24"/>
          <w:szCs w:val="21"/>
        </w:rPr>
        <w:t>五、</w:t>
      </w:r>
      <w:r>
        <w:rPr>
          <w:rFonts w:ascii="宋体" w:hAnsi="宋体" w:hint="eastAsia"/>
          <w:b/>
          <w:bCs/>
          <w:color w:val="000000"/>
          <w:sz w:val="24"/>
          <w:szCs w:val="21"/>
        </w:rPr>
        <w:tab/>
        <w:t>基金财产清算剩余资产的分配</w:t>
      </w:r>
    </w:p>
    <w:p w14:paraId="07576FB6"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基金财产清算后的全部剩余资产</w:t>
      </w:r>
      <w:r>
        <w:rPr>
          <w:rFonts w:ascii="宋体" w:hAnsi="宋体" w:hint="eastAsia"/>
          <w:color w:val="000000"/>
          <w:sz w:val="24"/>
          <w:szCs w:val="18"/>
        </w:rPr>
        <w:t>扣除基金财产清算费用后，</w:t>
      </w:r>
      <w:r>
        <w:rPr>
          <w:rFonts w:ascii="宋体" w:hAnsi="宋体" w:hint="eastAsia"/>
          <w:color w:val="000000"/>
          <w:sz w:val="24"/>
          <w:szCs w:val="21"/>
        </w:rPr>
        <w:t>按基金份额持有人持有的基金份额比例进行分配。</w:t>
      </w:r>
    </w:p>
    <w:p w14:paraId="40655CB4" w14:textId="77777777" w:rsidR="00BF0C91" w:rsidRDefault="00D65346">
      <w:pPr>
        <w:spacing w:beforeLines="50" w:before="156" w:afterLines="50" w:after="156" w:line="360" w:lineRule="auto"/>
        <w:ind w:firstLineChars="200" w:firstLine="482"/>
        <w:outlineLvl w:val="1"/>
        <w:rPr>
          <w:rFonts w:ascii="宋体" w:hAnsi="宋体"/>
          <w:b/>
          <w:bCs/>
          <w:color w:val="000000"/>
          <w:sz w:val="24"/>
          <w:szCs w:val="21"/>
        </w:rPr>
      </w:pPr>
      <w:r>
        <w:rPr>
          <w:rFonts w:ascii="宋体" w:hAnsi="宋体" w:hint="eastAsia"/>
          <w:b/>
          <w:bCs/>
          <w:color w:val="000000"/>
          <w:sz w:val="24"/>
          <w:szCs w:val="21"/>
        </w:rPr>
        <w:t>六、</w:t>
      </w:r>
      <w:r>
        <w:rPr>
          <w:rFonts w:ascii="宋体" w:hAnsi="宋体" w:hint="eastAsia"/>
          <w:b/>
          <w:bCs/>
          <w:color w:val="000000"/>
          <w:sz w:val="24"/>
          <w:szCs w:val="21"/>
        </w:rPr>
        <w:tab/>
        <w:t>基金财产清算的公告</w:t>
      </w:r>
    </w:p>
    <w:p w14:paraId="0BA23917"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lastRenderedPageBreak/>
        <w:t>清算过程中的有关重大事项须及时公告；基金财产清算报告经会计师事务所审计并由律师事务所出具法律意见书后报中国证监会备案并公告。</w:t>
      </w:r>
    </w:p>
    <w:p w14:paraId="6974D6B5" w14:textId="77777777" w:rsidR="00BF0C91" w:rsidRDefault="00D65346">
      <w:pPr>
        <w:spacing w:beforeLines="50" w:before="156" w:afterLines="50" w:after="156" w:line="360" w:lineRule="auto"/>
        <w:ind w:firstLineChars="200" w:firstLine="482"/>
        <w:outlineLvl w:val="1"/>
        <w:rPr>
          <w:rFonts w:ascii="宋体" w:hAnsi="宋体"/>
          <w:b/>
          <w:bCs/>
          <w:color w:val="000000"/>
          <w:sz w:val="24"/>
          <w:szCs w:val="21"/>
        </w:rPr>
      </w:pPr>
      <w:r>
        <w:rPr>
          <w:rFonts w:ascii="宋体" w:hAnsi="宋体" w:hint="eastAsia"/>
          <w:b/>
          <w:bCs/>
          <w:color w:val="000000"/>
          <w:sz w:val="24"/>
          <w:szCs w:val="21"/>
        </w:rPr>
        <w:t>七、</w:t>
      </w:r>
      <w:r>
        <w:rPr>
          <w:rFonts w:ascii="宋体" w:hAnsi="宋体" w:hint="eastAsia"/>
          <w:b/>
          <w:bCs/>
          <w:color w:val="000000"/>
          <w:sz w:val="24"/>
          <w:szCs w:val="21"/>
        </w:rPr>
        <w:tab/>
        <w:t>基金财产清算账册及文件的保存</w:t>
      </w:r>
    </w:p>
    <w:p w14:paraId="425DD62A"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基金财产清算账册及有关文件由基金托管人保存</w:t>
      </w:r>
      <w:r>
        <w:rPr>
          <w:rFonts w:ascii="宋体" w:hAnsi="宋体"/>
          <w:color w:val="000000"/>
          <w:sz w:val="24"/>
          <w:szCs w:val="21"/>
        </w:rPr>
        <w:t>15</w:t>
      </w:r>
      <w:r>
        <w:rPr>
          <w:rFonts w:ascii="宋体" w:hAnsi="宋体" w:hint="eastAsia"/>
          <w:color w:val="000000"/>
          <w:sz w:val="24"/>
          <w:szCs w:val="21"/>
        </w:rPr>
        <w:t>年以上。</w:t>
      </w:r>
    </w:p>
    <w:p w14:paraId="24EDDF21" w14:textId="77777777" w:rsidR="00BF0C91" w:rsidRDefault="00D65346">
      <w:pPr>
        <w:pStyle w:val="1"/>
        <w:spacing w:before="100" w:beforeAutospacing="1" w:after="100" w:afterAutospacing="1" w:line="360" w:lineRule="auto"/>
        <w:rPr>
          <w:rFonts w:ascii="黑体" w:eastAsia="黑体" w:hAnsi="Arial" w:cs="Arial"/>
          <w:color w:val="000000"/>
          <w:sz w:val="30"/>
          <w:szCs w:val="32"/>
        </w:rPr>
      </w:pPr>
      <w:bookmarkStart w:id="167" w:name="_Toc79392640"/>
      <w:bookmarkStart w:id="168" w:name="_Toc48649719"/>
      <w:bookmarkEnd w:id="126"/>
      <w:bookmarkEnd w:id="127"/>
      <w:r>
        <w:rPr>
          <w:rFonts w:ascii="黑体" w:eastAsia="黑体" w:hAnsi="Arial" w:cs="Arial"/>
          <w:color w:val="000000"/>
          <w:sz w:val="30"/>
          <w:szCs w:val="32"/>
        </w:rPr>
        <w:br w:type="page"/>
      </w:r>
      <w:bookmarkStart w:id="169" w:name="_Toc48649720"/>
      <w:bookmarkStart w:id="170" w:name="_Toc79392641"/>
      <w:bookmarkStart w:id="171" w:name="_Toc169580235"/>
      <w:bookmarkEnd w:id="167"/>
      <w:bookmarkEnd w:id="168"/>
      <w:r>
        <w:rPr>
          <w:rFonts w:ascii="黑体" w:eastAsia="黑体" w:hAnsi="Arial" w:cs="Arial" w:hint="eastAsia"/>
          <w:color w:val="000000"/>
          <w:sz w:val="30"/>
          <w:szCs w:val="32"/>
        </w:rPr>
        <w:lastRenderedPageBreak/>
        <w:t>第二十二部分</w:t>
      </w:r>
      <w:r>
        <w:rPr>
          <w:rFonts w:ascii="黑体" w:eastAsia="黑体" w:hAnsi="Arial" w:cs="Arial"/>
          <w:color w:val="000000"/>
          <w:sz w:val="30"/>
          <w:szCs w:val="32"/>
        </w:rPr>
        <w:t xml:space="preserve"> </w:t>
      </w:r>
      <w:r>
        <w:rPr>
          <w:rFonts w:ascii="黑体" w:eastAsia="黑体" w:hAnsi="Arial" w:cs="Arial" w:hint="eastAsia"/>
          <w:color w:val="000000"/>
          <w:sz w:val="30"/>
          <w:szCs w:val="32"/>
        </w:rPr>
        <w:t>违约责任</w:t>
      </w:r>
      <w:bookmarkEnd w:id="169"/>
      <w:bookmarkEnd w:id="170"/>
      <w:bookmarkEnd w:id="171"/>
    </w:p>
    <w:p w14:paraId="5495AE9B" w14:textId="77777777" w:rsidR="00BF0C91" w:rsidRDefault="00D65346">
      <w:pPr>
        <w:spacing w:line="360" w:lineRule="auto"/>
        <w:ind w:firstLineChars="200" w:firstLine="480"/>
        <w:rPr>
          <w:rFonts w:ascii="宋体" w:hAnsi="宋体"/>
          <w:sz w:val="24"/>
          <w:szCs w:val="21"/>
        </w:rPr>
      </w:pPr>
      <w:r>
        <w:rPr>
          <w:rFonts w:ascii="宋体" w:hAnsi="宋体" w:hint="eastAsia"/>
          <w:sz w:val="24"/>
          <w:szCs w:val="21"/>
        </w:rPr>
        <w:t>一、</w:t>
      </w:r>
      <w:r>
        <w:rPr>
          <w:rFonts w:ascii="宋体" w:hAnsi="宋体"/>
          <w:color w:val="000000"/>
          <w:sz w:val="24"/>
          <w:szCs w:val="21"/>
        </w:rPr>
        <w:t>基金合同当事人违反基金合同，给其他基金合同当事人造成损失的，应当承担赔偿责任。</w:t>
      </w:r>
      <w:r>
        <w:rPr>
          <w:rFonts w:ascii="宋体" w:hAnsi="宋体" w:hint="eastAsia"/>
          <w:sz w:val="24"/>
          <w:szCs w:val="21"/>
        </w:rPr>
        <w:t>但是发生下列情况，当事人可以免责：</w:t>
      </w:r>
    </w:p>
    <w:p w14:paraId="0D58644D"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1、基金管理人及基金托管人按照中国证监会的规定或当时有效的法律法规的作为或不作为而造成的损失等；</w:t>
      </w:r>
    </w:p>
    <w:p w14:paraId="130C9858"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2、在没有故意或过失的情况下，基金管理人由于按照基金合同规定的投资原则而投资或不投资而造成的损失等；</w:t>
      </w:r>
    </w:p>
    <w:p w14:paraId="653D2E8D"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3、不可抗力。</w:t>
      </w:r>
    </w:p>
    <w:p w14:paraId="772FB51B"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二、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p>
    <w:p w14:paraId="7C43BD7F" w14:textId="77777777" w:rsidR="00BF0C91" w:rsidRDefault="00D65346">
      <w:pPr>
        <w:spacing w:line="360" w:lineRule="auto"/>
        <w:ind w:firstLineChars="200" w:firstLine="480"/>
        <w:rPr>
          <w:rFonts w:ascii="宋体" w:hAnsi="宋体"/>
          <w:sz w:val="24"/>
          <w:szCs w:val="21"/>
        </w:rPr>
      </w:pPr>
      <w:bookmarkStart w:id="172" w:name="_Toc523711687"/>
      <w:r>
        <w:rPr>
          <w:rFonts w:ascii="宋体" w:hAnsi="宋体" w:hint="eastAsia"/>
          <w:sz w:val="24"/>
          <w:szCs w:val="21"/>
        </w:rPr>
        <w:t>三、在发生一方或多方违约的情况下，在最大限度地保护基金份额持有人利益的前提下，基金合同能够继续履行的应当继续履行。未违约方当事人在职责范围内有义务及时采取必要的措施，防止损失的扩大。没有采取适当措施致使损失进一步扩大的，不得就扩大的损失要求赔偿。守约方因防止损失扩大而支出的合理费用由违约方承担。</w:t>
      </w:r>
    </w:p>
    <w:p w14:paraId="4DC9B888" w14:textId="77777777" w:rsidR="00BF0C91" w:rsidRDefault="00D65346">
      <w:pPr>
        <w:pStyle w:val="1"/>
        <w:spacing w:before="100" w:beforeAutospacing="1" w:after="100" w:afterAutospacing="1" w:line="360" w:lineRule="auto"/>
        <w:rPr>
          <w:rFonts w:ascii="黑体" w:eastAsia="黑体" w:hAnsi="Arial" w:cs="Arial"/>
          <w:color w:val="000000"/>
          <w:sz w:val="30"/>
          <w:szCs w:val="32"/>
        </w:rPr>
      </w:pPr>
      <w:bookmarkStart w:id="173" w:name="_Toc79392642"/>
      <w:bookmarkStart w:id="174" w:name="_Toc48649721"/>
      <w:bookmarkEnd w:id="172"/>
      <w:r>
        <w:rPr>
          <w:rFonts w:ascii="黑体" w:eastAsia="黑体" w:hAnsi="Arial" w:cs="Arial"/>
          <w:color w:val="000000"/>
          <w:sz w:val="30"/>
          <w:szCs w:val="32"/>
        </w:rPr>
        <w:br w:type="page"/>
      </w:r>
      <w:bookmarkStart w:id="175" w:name="_Toc169580236"/>
      <w:r>
        <w:rPr>
          <w:rFonts w:ascii="黑体" w:eastAsia="黑体" w:hAnsi="Arial" w:cs="Arial" w:hint="eastAsia"/>
          <w:color w:val="000000"/>
          <w:sz w:val="30"/>
          <w:szCs w:val="32"/>
        </w:rPr>
        <w:lastRenderedPageBreak/>
        <w:t>第二十三部分</w:t>
      </w:r>
      <w:r>
        <w:rPr>
          <w:rFonts w:ascii="黑体" w:eastAsia="黑体" w:hAnsi="Arial" w:cs="Arial"/>
          <w:color w:val="000000"/>
          <w:sz w:val="30"/>
          <w:szCs w:val="32"/>
        </w:rPr>
        <w:t xml:space="preserve"> </w:t>
      </w:r>
      <w:r>
        <w:rPr>
          <w:rFonts w:ascii="黑体" w:eastAsia="黑体" w:hAnsi="Arial" w:cs="Arial" w:hint="eastAsia"/>
          <w:color w:val="000000"/>
          <w:sz w:val="30"/>
          <w:szCs w:val="32"/>
        </w:rPr>
        <w:t>争议的处理和适用的法律</w:t>
      </w:r>
      <w:bookmarkEnd w:id="173"/>
      <w:bookmarkEnd w:id="174"/>
      <w:bookmarkEnd w:id="175"/>
    </w:p>
    <w:p w14:paraId="4EB91BF0" w14:textId="77777777" w:rsidR="00BF0C91" w:rsidRDefault="00D65346">
      <w:pPr>
        <w:spacing w:line="360" w:lineRule="auto"/>
        <w:ind w:firstLineChars="200" w:firstLine="480"/>
        <w:rPr>
          <w:rFonts w:ascii="宋体" w:hAnsi="宋体"/>
          <w:sz w:val="24"/>
          <w:szCs w:val="21"/>
        </w:rPr>
      </w:pPr>
      <w:bookmarkStart w:id="176" w:name="_Toc523711688"/>
      <w:r>
        <w:rPr>
          <w:rFonts w:ascii="宋体" w:hAnsi="宋体" w:hint="eastAsia"/>
          <w:sz w:val="24"/>
          <w:szCs w:val="21"/>
        </w:rPr>
        <w:t>各方当事人同意，因基金合同而产生的或与基金合同有关的一切争议，如经友好协商未能解决的，应提交中国国际经济贸易仲裁委员会根据该会当时有效的仲裁规则进行仲裁，仲裁的地点在上海分会，仲裁裁决是终局性的并对各方当事人具有约束力，仲裁费由败诉方承担。</w:t>
      </w:r>
    </w:p>
    <w:p w14:paraId="2E719A8F"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本基金合同受中国法律管辖。</w:t>
      </w:r>
    </w:p>
    <w:p w14:paraId="574327A8" w14:textId="77777777" w:rsidR="00BF0C91" w:rsidRDefault="00D65346">
      <w:pPr>
        <w:pStyle w:val="1"/>
        <w:spacing w:before="100" w:beforeAutospacing="1" w:after="100" w:afterAutospacing="1" w:line="360" w:lineRule="auto"/>
      </w:pPr>
      <w:bookmarkStart w:id="177" w:name="_Toc48649722"/>
      <w:bookmarkStart w:id="178" w:name="_Toc79392643"/>
      <w:bookmarkEnd w:id="176"/>
      <w:r>
        <w:rPr>
          <w:rFonts w:ascii="黑体" w:eastAsia="黑体" w:hAnsi="Arial" w:cs="Arial"/>
          <w:color w:val="000000"/>
          <w:sz w:val="30"/>
          <w:szCs w:val="32"/>
        </w:rPr>
        <w:br w:type="page"/>
      </w:r>
      <w:bookmarkStart w:id="179" w:name="_Toc169580237"/>
      <w:r>
        <w:rPr>
          <w:rFonts w:ascii="黑体" w:eastAsia="黑体" w:hAnsi="Arial" w:cs="Arial" w:hint="eastAsia"/>
          <w:color w:val="000000"/>
          <w:sz w:val="30"/>
          <w:szCs w:val="32"/>
        </w:rPr>
        <w:lastRenderedPageBreak/>
        <w:t>第二十四部分</w:t>
      </w:r>
      <w:bookmarkStart w:id="180" w:name="_Hlt80517617"/>
      <w:bookmarkEnd w:id="180"/>
      <w:r>
        <w:rPr>
          <w:rFonts w:ascii="黑体" w:eastAsia="黑体" w:hAnsi="Arial" w:cs="Arial"/>
          <w:color w:val="000000"/>
          <w:sz w:val="30"/>
          <w:szCs w:val="32"/>
        </w:rPr>
        <w:t xml:space="preserve"> </w:t>
      </w:r>
      <w:r>
        <w:rPr>
          <w:rFonts w:ascii="黑体" w:eastAsia="黑体" w:hAnsi="Arial" w:cs="Arial" w:hint="eastAsia"/>
          <w:color w:val="000000"/>
          <w:sz w:val="30"/>
          <w:szCs w:val="32"/>
        </w:rPr>
        <w:t>基金合同的效力</w:t>
      </w:r>
      <w:bookmarkEnd w:id="177"/>
      <w:bookmarkEnd w:id="178"/>
      <w:bookmarkEnd w:id="179"/>
    </w:p>
    <w:p w14:paraId="46552B5A"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基金合同是约定基金当事人之间、基金与基金当事人之间权利义务关系的法律文件。</w:t>
      </w:r>
    </w:p>
    <w:p w14:paraId="4C6CF4EF"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1、基金合同经基金管理人、基金托管人双方盖章、以及双方法定代表人或授权代表签字、并在募集结束后经基金管理人向中国证监会办理基金备案手续且获得中国证监会书面确认后生效。</w:t>
      </w:r>
    </w:p>
    <w:p w14:paraId="0AFD5B7B"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2、基金合同的有效期自其生效之日起至本基金财产清算结果报中国证监会备案并公告之日止。</w:t>
      </w:r>
    </w:p>
    <w:p w14:paraId="34AB2B51"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3、基金合同自生效之日起对包括基金管理人、基金托管人和基金份额持有人在内的基金合同各方当事人具有同等的法律约束力。</w:t>
      </w:r>
    </w:p>
    <w:p w14:paraId="25A98DA8"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4、基金合同正本一式六份，除上报有关监管机构一式二份外，基金管理人、基金托管人各持有二份，每份具有同等的法律效力。</w:t>
      </w:r>
    </w:p>
    <w:p w14:paraId="74AC2797" w14:textId="77777777" w:rsidR="00BF0C91" w:rsidRDefault="00D65346">
      <w:pPr>
        <w:spacing w:line="360" w:lineRule="auto"/>
        <w:ind w:firstLineChars="200" w:firstLine="480"/>
        <w:rPr>
          <w:rFonts w:ascii="宋体" w:hAnsi="宋体"/>
          <w:color w:val="000000"/>
          <w:sz w:val="24"/>
          <w:szCs w:val="21"/>
        </w:rPr>
      </w:pPr>
      <w:bookmarkStart w:id="181" w:name="_Toc523711689"/>
      <w:r>
        <w:rPr>
          <w:rFonts w:ascii="宋体" w:hAnsi="宋体" w:hint="eastAsia"/>
          <w:color w:val="000000"/>
          <w:sz w:val="24"/>
          <w:szCs w:val="21"/>
        </w:rPr>
        <w:t>5、基金合同可印制成册，供投资者在基金管理人、基金托管人、</w:t>
      </w:r>
      <w:bookmarkStart w:id="182" w:name="_Hlt83963581"/>
      <w:bookmarkEnd w:id="182"/>
      <w:r>
        <w:rPr>
          <w:rFonts w:ascii="宋体" w:hAnsi="宋体" w:hint="eastAsia"/>
          <w:color w:val="000000"/>
          <w:sz w:val="24"/>
          <w:szCs w:val="21"/>
        </w:rPr>
        <w:t>代销机构的办公场所和营业场所查阅；投资者也可按工本费购买基金合同复制件或复印件，但内容应以本基金合同正本为准。</w:t>
      </w:r>
    </w:p>
    <w:p w14:paraId="0B77C997" w14:textId="77777777" w:rsidR="00BF0C91" w:rsidRDefault="00BF0C91">
      <w:pPr>
        <w:spacing w:line="360" w:lineRule="auto"/>
        <w:ind w:firstLineChars="200" w:firstLine="480"/>
        <w:rPr>
          <w:rFonts w:ascii="宋体" w:hAnsi="宋体"/>
          <w:color w:val="000000"/>
          <w:sz w:val="24"/>
          <w:szCs w:val="21"/>
        </w:rPr>
      </w:pPr>
    </w:p>
    <w:p w14:paraId="0D7D518B" w14:textId="77777777" w:rsidR="00BF0C91" w:rsidRDefault="00D65346">
      <w:pPr>
        <w:pStyle w:val="1"/>
        <w:spacing w:before="100" w:beforeAutospacing="1" w:after="100" w:afterAutospacing="1" w:line="360" w:lineRule="auto"/>
        <w:rPr>
          <w:rFonts w:ascii="黑体" w:eastAsia="黑体" w:hAnsi="Arial" w:cs="Arial"/>
          <w:color w:val="000000"/>
          <w:sz w:val="30"/>
          <w:szCs w:val="32"/>
        </w:rPr>
      </w:pPr>
      <w:bookmarkStart w:id="183" w:name="_Hlt81127996"/>
      <w:bookmarkStart w:id="184" w:name="_Hlt80524077"/>
      <w:bookmarkStart w:id="185" w:name="_Toc48649724"/>
      <w:bookmarkStart w:id="186" w:name="_Toc79392644"/>
      <w:bookmarkEnd w:id="181"/>
      <w:bookmarkEnd w:id="183"/>
      <w:bookmarkEnd w:id="184"/>
      <w:r>
        <w:rPr>
          <w:rFonts w:ascii="黑体" w:eastAsia="黑体" w:hAnsi="Arial" w:cs="Arial"/>
          <w:color w:val="000000"/>
          <w:sz w:val="30"/>
          <w:szCs w:val="32"/>
        </w:rPr>
        <w:br w:type="page"/>
      </w:r>
      <w:bookmarkStart w:id="187" w:name="_Toc169580238"/>
      <w:r>
        <w:rPr>
          <w:rFonts w:ascii="黑体" w:eastAsia="黑体" w:hAnsi="Arial" w:cs="Arial" w:hint="eastAsia"/>
          <w:color w:val="000000"/>
          <w:sz w:val="30"/>
          <w:szCs w:val="32"/>
        </w:rPr>
        <w:lastRenderedPageBreak/>
        <w:t>第二十五部分</w:t>
      </w:r>
      <w:r>
        <w:rPr>
          <w:rFonts w:ascii="黑体" w:eastAsia="黑体" w:hAnsi="Arial" w:cs="Arial"/>
          <w:color w:val="000000"/>
          <w:sz w:val="30"/>
          <w:szCs w:val="32"/>
        </w:rPr>
        <w:t xml:space="preserve"> </w:t>
      </w:r>
      <w:r>
        <w:rPr>
          <w:rFonts w:ascii="黑体" w:eastAsia="黑体" w:hAnsi="Arial" w:cs="Arial" w:hint="eastAsia"/>
          <w:color w:val="000000"/>
          <w:sz w:val="30"/>
          <w:szCs w:val="32"/>
        </w:rPr>
        <w:t>其他事项</w:t>
      </w:r>
      <w:bookmarkEnd w:id="185"/>
      <w:bookmarkEnd w:id="186"/>
      <w:bookmarkEnd w:id="187"/>
    </w:p>
    <w:p w14:paraId="1BADF101" w14:textId="77777777" w:rsidR="00BF0C91" w:rsidRDefault="00D65346">
      <w:pPr>
        <w:spacing w:line="360" w:lineRule="auto"/>
        <w:ind w:firstLineChars="200" w:firstLine="480"/>
        <w:rPr>
          <w:rFonts w:ascii="宋体" w:hAnsi="宋体"/>
          <w:color w:val="000000"/>
          <w:sz w:val="24"/>
          <w:szCs w:val="21"/>
        </w:rPr>
      </w:pPr>
      <w:r>
        <w:rPr>
          <w:rFonts w:ascii="宋体" w:hAnsi="宋体" w:hint="eastAsia"/>
          <w:color w:val="000000"/>
          <w:sz w:val="24"/>
          <w:szCs w:val="21"/>
        </w:rPr>
        <w:t>本基金合同如有未尽事宜，由本基金合同当事人各方按有关法律法规协商解决。</w:t>
      </w:r>
    </w:p>
    <w:p w14:paraId="7B036CFB" w14:textId="77777777" w:rsidR="00BF0C91" w:rsidRDefault="00D65346">
      <w:pPr>
        <w:spacing w:after="120" w:line="360" w:lineRule="auto"/>
        <w:rPr>
          <w:sz w:val="28"/>
          <w:szCs w:val="28"/>
        </w:rPr>
      </w:pPr>
      <w:r>
        <w:rPr>
          <w:rFonts w:ascii="宋体" w:hAnsi="宋体"/>
          <w:color w:val="000000"/>
          <w:sz w:val="24"/>
          <w:szCs w:val="21"/>
        </w:rPr>
        <w:br w:type="page"/>
      </w:r>
      <w:r>
        <w:rPr>
          <w:sz w:val="28"/>
          <w:szCs w:val="28"/>
        </w:rPr>
        <w:lastRenderedPageBreak/>
        <w:t>本页无正文，为《交银施罗德</w:t>
      </w:r>
      <w:r>
        <w:rPr>
          <w:rFonts w:hint="eastAsia"/>
          <w:sz w:val="28"/>
          <w:szCs w:val="28"/>
        </w:rPr>
        <w:t>货币市场证券</w:t>
      </w:r>
      <w:r>
        <w:rPr>
          <w:sz w:val="28"/>
          <w:szCs w:val="28"/>
        </w:rPr>
        <w:t>投资基金基金合同》的签字盖章页。</w:t>
      </w:r>
    </w:p>
    <w:p w14:paraId="4D78CD2C" w14:textId="77777777" w:rsidR="00BF0C91" w:rsidRDefault="00BF0C91">
      <w:pPr>
        <w:spacing w:line="360" w:lineRule="auto"/>
        <w:ind w:right="26"/>
        <w:rPr>
          <w:sz w:val="24"/>
        </w:rPr>
      </w:pPr>
    </w:p>
    <w:p w14:paraId="2E63F1B8" w14:textId="77777777" w:rsidR="00BF0C91" w:rsidRDefault="00BF0C91">
      <w:pPr>
        <w:spacing w:line="360" w:lineRule="auto"/>
        <w:ind w:right="26"/>
        <w:rPr>
          <w:sz w:val="24"/>
        </w:rPr>
      </w:pPr>
    </w:p>
    <w:p w14:paraId="4B3CE66D" w14:textId="77777777" w:rsidR="00BF0C91" w:rsidRDefault="00D65346">
      <w:pPr>
        <w:adjustRightInd w:val="0"/>
        <w:snapToGrid w:val="0"/>
        <w:spacing w:line="360" w:lineRule="auto"/>
        <w:rPr>
          <w:b/>
          <w:sz w:val="28"/>
          <w:szCs w:val="28"/>
        </w:rPr>
      </w:pPr>
      <w:r>
        <w:rPr>
          <w:b/>
          <w:sz w:val="28"/>
          <w:szCs w:val="28"/>
        </w:rPr>
        <w:t>基金管理人：交银施罗德基金管理有限公司（公章）</w:t>
      </w:r>
    </w:p>
    <w:p w14:paraId="7A60C17B" w14:textId="77777777" w:rsidR="00BF0C91" w:rsidRDefault="00BF0C91">
      <w:pPr>
        <w:adjustRightInd w:val="0"/>
        <w:snapToGrid w:val="0"/>
        <w:spacing w:line="360" w:lineRule="auto"/>
        <w:rPr>
          <w:b/>
          <w:sz w:val="28"/>
          <w:szCs w:val="28"/>
        </w:rPr>
      </w:pPr>
    </w:p>
    <w:p w14:paraId="6CEB7C60" w14:textId="77777777" w:rsidR="00BF0C91" w:rsidRDefault="00BF0C91">
      <w:pPr>
        <w:adjustRightInd w:val="0"/>
        <w:snapToGrid w:val="0"/>
        <w:spacing w:line="360" w:lineRule="auto"/>
        <w:rPr>
          <w:b/>
          <w:sz w:val="28"/>
          <w:szCs w:val="28"/>
        </w:rPr>
      </w:pPr>
    </w:p>
    <w:p w14:paraId="210F4FE9" w14:textId="77777777" w:rsidR="00BF0C91" w:rsidRDefault="00BF0C91">
      <w:pPr>
        <w:adjustRightInd w:val="0"/>
        <w:snapToGrid w:val="0"/>
        <w:spacing w:line="360" w:lineRule="auto"/>
        <w:rPr>
          <w:b/>
          <w:sz w:val="28"/>
          <w:szCs w:val="28"/>
        </w:rPr>
      </w:pPr>
    </w:p>
    <w:p w14:paraId="637959CF" w14:textId="77777777" w:rsidR="00BF0C91" w:rsidRDefault="00D65346">
      <w:pPr>
        <w:adjustRightInd w:val="0"/>
        <w:snapToGrid w:val="0"/>
        <w:spacing w:line="360" w:lineRule="auto"/>
        <w:rPr>
          <w:b/>
          <w:sz w:val="28"/>
          <w:szCs w:val="28"/>
        </w:rPr>
      </w:pPr>
      <w:r>
        <w:rPr>
          <w:b/>
          <w:sz w:val="28"/>
          <w:szCs w:val="28"/>
        </w:rPr>
        <w:t>法定代表人或授权代理人：</w:t>
      </w:r>
      <w:r>
        <w:rPr>
          <w:b/>
          <w:sz w:val="28"/>
          <w:szCs w:val="28"/>
        </w:rPr>
        <w:t xml:space="preserve"> </w:t>
      </w:r>
    </w:p>
    <w:p w14:paraId="417754EF" w14:textId="77777777" w:rsidR="00BF0C91" w:rsidRDefault="00BF0C91">
      <w:pPr>
        <w:adjustRightInd w:val="0"/>
        <w:snapToGrid w:val="0"/>
        <w:spacing w:line="360" w:lineRule="auto"/>
        <w:rPr>
          <w:b/>
          <w:sz w:val="28"/>
          <w:szCs w:val="28"/>
        </w:rPr>
      </w:pPr>
    </w:p>
    <w:p w14:paraId="1A021C89" w14:textId="77777777" w:rsidR="00BF0C91" w:rsidRDefault="00BF0C91">
      <w:pPr>
        <w:adjustRightInd w:val="0"/>
        <w:snapToGrid w:val="0"/>
        <w:spacing w:line="360" w:lineRule="auto"/>
        <w:rPr>
          <w:b/>
          <w:sz w:val="28"/>
          <w:szCs w:val="28"/>
        </w:rPr>
      </w:pPr>
    </w:p>
    <w:p w14:paraId="5E0D60BA" w14:textId="77777777" w:rsidR="00BF0C91" w:rsidRDefault="00BF0C91">
      <w:pPr>
        <w:adjustRightInd w:val="0"/>
        <w:snapToGrid w:val="0"/>
        <w:spacing w:line="360" w:lineRule="auto"/>
        <w:rPr>
          <w:b/>
          <w:sz w:val="28"/>
          <w:szCs w:val="28"/>
        </w:rPr>
      </w:pPr>
    </w:p>
    <w:p w14:paraId="424498CF" w14:textId="77777777" w:rsidR="00BF0C91" w:rsidRDefault="00BF0C91">
      <w:pPr>
        <w:adjustRightInd w:val="0"/>
        <w:snapToGrid w:val="0"/>
        <w:spacing w:line="360" w:lineRule="auto"/>
        <w:rPr>
          <w:b/>
          <w:sz w:val="28"/>
          <w:szCs w:val="28"/>
        </w:rPr>
      </w:pPr>
    </w:p>
    <w:p w14:paraId="5CA723D9" w14:textId="77777777" w:rsidR="00BF0C91" w:rsidRDefault="00BF0C91">
      <w:pPr>
        <w:adjustRightInd w:val="0"/>
        <w:snapToGrid w:val="0"/>
        <w:spacing w:line="360" w:lineRule="auto"/>
        <w:rPr>
          <w:b/>
          <w:sz w:val="28"/>
          <w:szCs w:val="28"/>
        </w:rPr>
      </w:pPr>
    </w:p>
    <w:p w14:paraId="13173631" w14:textId="77777777" w:rsidR="00BF0C91" w:rsidRDefault="00D65346">
      <w:pPr>
        <w:adjustRightInd w:val="0"/>
        <w:snapToGrid w:val="0"/>
        <w:spacing w:line="360" w:lineRule="auto"/>
        <w:rPr>
          <w:b/>
          <w:sz w:val="28"/>
          <w:szCs w:val="28"/>
        </w:rPr>
      </w:pPr>
      <w:r>
        <w:rPr>
          <w:b/>
          <w:sz w:val="28"/>
          <w:szCs w:val="28"/>
        </w:rPr>
        <w:t>基金托管人：</w:t>
      </w:r>
      <w:r>
        <w:rPr>
          <w:rFonts w:hint="eastAsia"/>
          <w:b/>
          <w:sz w:val="28"/>
          <w:szCs w:val="28"/>
        </w:rPr>
        <w:t>中国农业</w:t>
      </w:r>
      <w:r>
        <w:rPr>
          <w:b/>
          <w:sz w:val="28"/>
          <w:szCs w:val="28"/>
        </w:rPr>
        <w:t>银行股份有限公司（公章）</w:t>
      </w:r>
    </w:p>
    <w:p w14:paraId="7C86C107" w14:textId="77777777" w:rsidR="00BF0C91" w:rsidRDefault="00BF0C91">
      <w:pPr>
        <w:adjustRightInd w:val="0"/>
        <w:snapToGrid w:val="0"/>
        <w:spacing w:line="360" w:lineRule="auto"/>
        <w:rPr>
          <w:b/>
          <w:sz w:val="28"/>
          <w:szCs w:val="28"/>
        </w:rPr>
      </w:pPr>
    </w:p>
    <w:p w14:paraId="58A81178" w14:textId="77777777" w:rsidR="00BF0C91" w:rsidRDefault="00BF0C91">
      <w:pPr>
        <w:adjustRightInd w:val="0"/>
        <w:snapToGrid w:val="0"/>
        <w:spacing w:line="360" w:lineRule="auto"/>
        <w:rPr>
          <w:b/>
          <w:sz w:val="28"/>
          <w:szCs w:val="28"/>
        </w:rPr>
      </w:pPr>
    </w:p>
    <w:p w14:paraId="42B30009" w14:textId="77777777" w:rsidR="00BF0C91" w:rsidRDefault="00BF0C91">
      <w:pPr>
        <w:adjustRightInd w:val="0"/>
        <w:snapToGrid w:val="0"/>
        <w:spacing w:line="360" w:lineRule="auto"/>
        <w:rPr>
          <w:b/>
          <w:sz w:val="28"/>
          <w:szCs w:val="28"/>
        </w:rPr>
      </w:pPr>
    </w:p>
    <w:p w14:paraId="68153222" w14:textId="77777777" w:rsidR="00BF0C91" w:rsidRDefault="00D65346">
      <w:pPr>
        <w:adjustRightInd w:val="0"/>
        <w:snapToGrid w:val="0"/>
        <w:spacing w:line="360" w:lineRule="auto"/>
        <w:rPr>
          <w:b/>
          <w:sz w:val="28"/>
          <w:szCs w:val="28"/>
        </w:rPr>
      </w:pPr>
      <w:r>
        <w:rPr>
          <w:b/>
          <w:sz w:val="28"/>
          <w:szCs w:val="28"/>
        </w:rPr>
        <w:t>法定代表人或授权代理人：</w:t>
      </w:r>
    </w:p>
    <w:p w14:paraId="10312C87" w14:textId="77777777" w:rsidR="00BF0C91" w:rsidRDefault="00BF0C91">
      <w:pPr>
        <w:adjustRightInd w:val="0"/>
        <w:snapToGrid w:val="0"/>
        <w:spacing w:line="360" w:lineRule="auto"/>
        <w:rPr>
          <w:b/>
          <w:sz w:val="28"/>
          <w:szCs w:val="28"/>
        </w:rPr>
      </w:pPr>
    </w:p>
    <w:p w14:paraId="4985F948" w14:textId="77777777" w:rsidR="00BF0C91" w:rsidRDefault="00BF0C91">
      <w:pPr>
        <w:adjustRightInd w:val="0"/>
        <w:snapToGrid w:val="0"/>
        <w:spacing w:line="360" w:lineRule="auto"/>
        <w:rPr>
          <w:b/>
          <w:sz w:val="28"/>
          <w:szCs w:val="28"/>
        </w:rPr>
      </w:pPr>
    </w:p>
    <w:p w14:paraId="33B90883" w14:textId="77777777" w:rsidR="00BF0C91" w:rsidRDefault="00BF0C91">
      <w:pPr>
        <w:adjustRightInd w:val="0"/>
        <w:snapToGrid w:val="0"/>
        <w:spacing w:line="360" w:lineRule="auto"/>
        <w:rPr>
          <w:b/>
          <w:sz w:val="28"/>
          <w:szCs w:val="28"/>
        </w:rPr>
      </w:pPr>
    </w:p>
    <w:p w14:paraId="5C885CC2" w14:textId="77777777" w:rsidR="00BF0C91" w:rsidRDefault="00D65346">
      <w:pPr>
        <w:adjustRightInd w:val="0"/>
        <w:snapToGrid w:val="0"/>
        <w:spacing w:line="360" w:lineRule="auto"/>
        <w:rPr>
          <w:b/>
          <w:sz w:val="28"/>
          <w:szCs w:val="28"/>
        </w:rPr>
      </w:pPr>
      <w:r>
        <w:rPr>
          <w:b/>
          <w:sz w:val="28"/>
          <w:szCs w:val="28"/>
        </w:rPr>
        <w:t>签订地点：</w:t>
      </w:r>
    </w:p>
    <w:p w14:paraId="765B7024" w14:textId="77777777" w:rsidR="00BF0C91" w:rsidRDefault="00D65346">
      <w:pPr>
        <w:spacing w:after="120" w:line="360" w:lineRule="auto"/>
        <w:rPr>
          <w:bCs/>
        </w:rPr>
      </w:pPr>
      <w:r>
        <w:rPr>
          <w:b/>
          <w:sz w:val="28"/>
          <w:szCs w:val="28"/>
        </w:rPr>
        <w:t>签</w:t>
      </w:r>
      <w:r>
        <w:rPr>
          <w:b/>
          <w:sz w:val="28"/>
          <w:szCs w:val="28"/>
        </w:rPr>
        <w:t xml:space="preserve"> </w:t>
      </w:r>
      <w:r>
        <w:rPr>
          <w:b/>
          <w:sz w:val="28"/>
          <w:szCs w:val="28"/>
        </w:rPr>
        <w:t>订</w:t>
      </w:r>
      <w:r>
        <w:rPr>
          <w:b/>
          <w:sz w:val="28"/>
          <w:szCs w:val="28"/>
        </w:rPr>
        <w:t xml:space="preserve"> </w:t>
      </w:r>
      <w:r>
        <w:rPr>
          <w:b/>
          <w:sz w:val="28"/>
          <w:szCs w:val="28"/>
        </w:rPr>
        <w:t>日：二〇</w:t>
      </w:r>
      <w:r>
        <w:rPr>
          <w:b/>
          <w:sz w:val="28"/>
          <w:szCs w:val="28"/>
        </w:rPr>
        <w:t xml:space="preserve">   </w:t>
      </w:r>
      <w:r>
        <w:rPr>
          <w:b/>
          <w:sz w:val="28"/>
          <w:szCs w:val="28"/>
        </w:rPr>
        <w:t>年</w:t>
      </w:r>
      <w:r>
        <w:rPr>
          <w:b/>
          <w:sz w:val="28"/>
          <w:szCs w:val="28"/>
        </w:rPr>
        <w:t xml:space="preserve">   </w:t>
      </w:r>
      <w:r>
        <w:rPr>
          <w:b/>
          <w:sz w:val="28"/>
          <w:szCs w:val="28"/>
        </w:rPr>
        <w:t>月</w:t>
      </w:r>
      <w:r>
        <w:rPr>
          <w:b/>
          <w:sz w:val="28"/>
          <w:szCs w:val="28"/>
        </w:rPr>
        <w:t xml:space="preserve">   </w:t>
      </w:r>
      <w:r>
        <w:rPr>
          <w:b/>
          <w:sz w:val="28"/>
          <w:szCs w:val="28"/>
        </w:rPr>
        <w:t>日</w:t>
      </w:r>
    </w:p>
    <w:p w14:paraId="2CEA03F9" w14:textId="77777777" w:rsidR="00BF0C91" w:rsidRDefault="00BF0C91"/>
    <w:p w14:paraId="28A73AB4" w14:textId="77777777" w:rsidR="00BF0C91" w:rsidRDefault="00BF0C91">
      <w:pPr>
        <w:autoSpaceDE w:val="0"/>
        <w:autoSpaceDN w:val="0"/>
        <w:adjustRightInd w:val="0"/>
        <w:spacing w:line="360" w:lineRule="auto"/>
        <w:ind w:right="420"/>
        <w:rPr>
          <w:bCs/>
        </w:rPr>
      </w:pPr>
    </w:p>
    <w:p w14:paraId="3283DDAA" w14:textId="77777777" w:rsidR="00BF0C91" w:rsidRDefault="00BF0C91">
      <w:pPr>
        <w:spacing w:line="360" w:lineRule="auto"/>
        <w:ind w:firstLineChars="200" w:firstLine="420"/>
      </w:pPr>
    </w:p>
    <w:sectPr w:rsidR="00BF0C91">
      <w:footerReference w:type="default" r:id="rId22"/>
      <w:pgSz w:w="11906" w:h="16838"/>
      <w:pgMar w:top="1440" w:right="1797" w:bottom="1440" w:left="1797" w:header="851" w:footer="992" w:gutter="0"/>
      <w:pgNumType w:start="1"/>
      <w:cols w:space="720"/>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953344" w16cid:durableId="2964A06F"/>
  <w16cid:commentId w16cid:paraId="2CA916A3" w16cid:durableId="296694EE"/>
  <w16cid:commentId w16cid:paraId="72422184" w16cid:durableId="2964A070"/>
  <w16cid:commentId w16cid:paraId="0D61387B" w16cid:durableId="2966967A"/>
  <w16cid:commentId w16cid:paraId="54D40BBD" w16cid:durableId="29669EA4"/>
  <w16cid:commentId w16cid:paraId="0139877C" w16cid:durableId="2966A0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CD9B8" w14:textId="77777777" w:rsidR="0029226A" w:rsidRDefault="0029226A">
      <w:r>
        <w:separator/>
      </w:r>
    </w:p>
  </w:endnote>
  <w:endnote w:type="continuationSeparator" w:id="0">
    <w:p w14:paraId="4119D3C2" w14:textId="77777777" w:rsidR="0029226A" w:rsidRDefault="0029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Arial Unicode MS">
    <w:panose1 w:val="020B0604020202020204"/>
    <w:charset w:val="00"/>
    <w:family w:val="roman"/>
    <w:pitch w:val="variable"/>
    <w:sig w:usb0="00000003" w:usb1="00000000" w:usb2="00000000" w:usb3="00000000" w:csb0="00000001" w:csb1="00000000"/>
  </w:font>
  <w:font w:name="仿宋_GB2312">
    <w:altName w:val="微软雅黑"/>
    <w:panose1 w:val="0201060903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Trebuchet MS">
    <w:altName w:val="DejaVu Sans"/>
    <w:panose1 w:val="020B0603020202020204"/>
    <w:charset w:val="00"/>
    <w:family w:val="swiss"/>
    <w:pitch w:val="variable"/>
    <w:sig w:usb0="00000687" w:usb1="00000000" w:usb2="00000000" w:usb3="00000000" w:csb0="0000009F" w:csb1="00000000"/>
  </w:font>
  <w:font w:name="5">
    <w:altName w:val="方正舒体"/>
    <w:charset w:val="86"/>
    <w:family w:val="auto"/>
    <w:pitch w:val="default"/>
    <w:sig w:usb0="00000001" w:usb1="080E0000" w:usb2="00000010" w:usb3="00000000" w:csb0="00040000" w:csb1="00000000"/>
  </w:font>
  <w:font w:name="3">
    <w:altName w:val="方正舒体"/>
    <w:charset w:val="86"/>
    <w:family w:val="auto"/>
    <w:pitch w:val="default"/>
    <w:sig w:usb0="00000001" w:usb1="080E0000" w:usb2="00000010" w:usb3="00000000" w:csb0="00040000" w:csb1="00000000"/>
  </w:font>
  <w:font w:name="2">
    <w:altName w:val="方正舒体"/>
    <w:charset w:val="86"/>
    <w:family w:val="auto"/>
    <w:pitch w:val="default"/>
    <w:sig w:usb0="00000001" w:usb1="080E0000" w:usb2="00000010" w:usb3="00000000" w:csb0="00040000" w:csb1="00000000"/>
  </w:font>
  <w:font w:name="1">
    <w:altName w:val="仿宋_GB2312"/>
    <w:charset w:val="86"/>
    <w:family w:val="auto"/>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02E95" w14:textId="77777777" w:rsidR="00732679" w:rsidRDefault="00732679">
    <w:pPr>
      <w:pStyle w:val="a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6677E6BD" w14:textId="77777777" w:rsidR="00732679" w:rsidRDefault="0073267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71886" w14:textId="74984BED" w:rsidR="00732679" w:rsidRDefault="00732679">
    <w:pPr>
      <w:pStyle w:val="ac"/>
      <w:framePr w:wrap="around" w:vAnchor="text" w:hAnchor="margin" w:xAlign="center" w:y="1"/>
      <w:rPr>
        <w:rStyle w:val="af1"/>
      </w:rPr>
    </w:pPr>
    <w:r>
      <w:rPr>
        <w:rStyle w:val="af1"/>
        <w:rFonts w:hint="eastAsia"/>
      </w:rPr>
      <w:t>3-</w:t>
    </w:r>
    <w:r>
      <w:rPr>
        <w:rStyle w:val="af1"/>
      </w:rPr>
      <w:fldChar w:fldCharType="begin"/>
    </w:r>
    <w:r>
      <w:rPr>
        <w:rStyle w:val="af1"/>
      </w:rPr>
      <w:instrText xml:space="preserve">PAGE  </w:instrText>
    </w:r>
    <w:r>
      <w:rPr>
        <w:rStyle w:val="af1"/>
      </w:rPr>
      <w:fldChar w:fldCharType="separate"/>
    </w:r>
    <w:r w:rsidR="00D60176">
      <w:rPr>
        <w:rStyle w:val="af1"/>
        <w:noProof/>
      </w:rPr>
      <w:t>1</w:t>
    </w:r>
    <w:r>
      <w:rPr>
        <w:rStyle w:val="af1"/>
      </w:rPr>
      <w:fldChar w:fldCharType="end"/>
    </w:r>
  </w:p>
  <w:p w14:paraId="7C44724A" w14:textId="77777777" w:rsidR="00732679" w:rsidRDefault="00732679">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67317" w14:textId="77777777" w:rsidR="00732679" w:rsidRDefault="00732679">
    <w:pPr>
      <w:pStyle w:val="ac"/>
      <w:ind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BD6D2" w14:textId="77777777" w:rsidR="00732679" w:rsidRDefault="00732679">
    <w:pPr>
      <w:pStyle w:val="ac"/>
      <w:ind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D503F" w14:textId="3358F4B3" w:rsidR="00732679" w:rsidRDefault="00732679">
    <w:pPr>
      <w:pStyle w:val="a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D60176">
      <w:rPr>
        <w:rStyle w:val="af1"/>
        <w:noProof/>
      </w:rPr>
      <w:t>48</w:t>
    </w:r>
    <w:r>
      <w:rPr>
        <w:rStyle w:val="af1"/>
      </w:rPr>
      <w:fldChar w:fldCharType="end"/>
    </w:r>
  </w:p>
  <w:p w14:paraId="445C2946" w14:textId="77777777" w:rsidR="00732679" w:rsidRDefault="00732679">
    <w:pPr>
      <w:pStyle w:val="ac"/>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ED02F" w14:textId="77777777" w:rsidR="0029226A" w:rsidRDefault="0029226A">
      <w:r>
        <w:separator/>
      </w:r>
    </w:p>
  </w:footnote>
  <w:footnote w:type="continuationSeparator" w:id="0">
    <w:p w14:paraId="63FDEA93" w14:textId="77777777" w:rsidR="0029226A" w:rsidRDefault="0029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F36D6" w14:textId="77777777" w:rsidR="00732679" w:rsidRDefault="00732679">
    <w:pPr>
      <w:pStyle w:val="ad"/>
      <w:pBdr>
        <w:bottom w:val="none" w:sz="0" w:space="0" w:color="auto"/>
      </w:pBdr>
      <w:ind w:firstLine="0"/>
      <w:jc w:val="right"/>
      <w:rPr>
        <w:rFonts w:eastAsia="华文行楷"/>
        <w:sz w:val="21"/>
      </w:rPr>
    </w:pPr>
    <w:r>
      <w:rPr>
        <w:rFonts w:eastAsia="华文行楷"/>
        <w:noProof/>
        <w:sz w:val="20"/>
      </w:rPr>
      <w:drawing>
        <wp:anchor distT="0" distB="0" distL="114300" distR="114300" simplePos="0" relativeHeight="251659264" behindDoc="0" locked="0" layoutInCell="1" allowOverlap="1" wp14:anchorId="48A4B177" wp14:editId="7138ECA2">
          <wp:simplePos x="0" y="0"/>
          <wp:positionH relativeFrom="column">
            <wp:posOffset>0</wp:posOffset>
          </wp:positionH>
          <wp:positionV relativeFrom="paragraph">
            <wp:posOffset>124460</wp:posOffset>
          </wp:positionV>
          <wp:extent cx="1828800" cy="242570"/>
          <wp:effectExtent l="0" t="0" r="0" b="0"/>
          <wp:wrapNone/>
          <wp:docPr id="9" name="图片 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42570"/>
                  </a:xfrm>
                  <a:prstGeom prst="rect">
                    <a:avLst/>
                  </a:prstGeom>
                  <a:noFill/>
                  <a:ln>
                    <a:noFill/>
                  </a:ln>
                </pic:spPr>
              </pic:pic>
            </a:graphicData>
          </a:graphic>
        </wp:anchor>
      </w:drawing>
    </w:r>
  </w:p>
  <w:p w14:paraId="7DB78921" w14:textId="77777777" w:rsidR="00732679" w:rsidRDefault="00732679">
    <w:pPr>
      <w:pStyle w:val="ad"/>
      <w:pBdr>
        <w:bottom w:val="none" w:sz="0" w:space="0" w:color="auto"/>
      </w:pBdr>
      <w:ind w:firstLine="0"/>
      <w:jc w:val="right"/>
      <w:rPr>
        <w:rFonts w:ascii="宋体" w:hAnsi="宋体"/>
        <w:szCs w:val="18"/>
      </w:rPr>
    </w:pPr>
    <w:r>
      <w:rPr>
        <w:rFonts w:ascii="宋体" w:hAnsi="宋体"/>
        <w:noProof/>
        <w:szCs w:val="18"/>
      </w:rPr>
      <mc:AlternateContent>
        <mc:Choice Requires="wps">
          <w:drawing>
            <wp:anchor distT="0" distB="0" distL="114300" distR="114300" simplePos="0" relativeHeight="251660288" behindDoc="0" locked="0" layoutInCell="1" allowOverlap="1" wp14:anchorId="2FDAEADA" wp14:editId="7C708B87">
              <wp:simplePos x="0" y="0"/>
              <wp:positionH relativeFrom="column">
                <wp:posOffset>0</wp:posOffset>
              </wp:positionH>
              <wp:positionV relativeFrom="paragraph">
                <wp:posOffset>144145</wp:posOffset>
              </wp:positionV>
              <wp:extent cx="5257800" cy="0"/>
              <wp:effectExtent l="9525" t="10795" r="9525" b="8255"/>
              <wp:wrapNone/>
              <wp:docPr id="2"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直线 10" o:spid="_x0000_s1026" o:spt="20" style="position:absolute;left:0pt;margin-left:0pt;margin-top:11.35pt;height:0pt;width:414pt;z-index:251660288;mso-width-relative:page;mso-height-relative:page;" filled="f" stroked="t" coordsize="21600,21600" o:gfxdata="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ogP/TAAAABgEAAA8AAAAAAAAAAQAgAAAA&#10;IgAAAGRycy9kb3ducmV2LnhtbFBLAQIUABQAAAAIAIdO4kB+hymw1wEAAKIDAAAOAAAAAAAAAAEA&#10;IAAAACIBAABkcnMvZTJvRG9jLnhtbFBLBQYAAAAABgAGAFkBAABrBQAAAAA=&#10;">
              <v:fill on="f" focussize="0,0"/>
              <v:stroke color="#000000" joinstyle="round"/>
              <v:imagedata o:title=""/>
              <o:lock v:ext="edit" aspectratio="f"/>
            </v:line>
          </w:pict>
        </mc:Fallback>
      </mc:AlternateContent>
    </w:r>
    <w:r>
      <w:rPr>
        <w:rFonts w:ascii="宋体" w:hAnsi="宋体" w:hint="eastAsia"/>
        <w:szCs w:val="18"/>
      </w:rPr>
      <w:t>交银施罗德货币市场证券投资基金—基金合同</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64DFB" w14:textId="77777777" w:rsidR="00732679" w:rsidRDefault="00732679">
    <w:pPr>
      <w:pStyle w:val="ad"/>
      <w:pBdr>
        <w:bottom w:val="none" w:sz="0" w:space="0" w:color="auto"/>
      </w:pBdr>
      <w:tabs>
        <w:tab w:val="right" w:pos="8280"/>
      </w:tabs>
      <w:spacing w:line="160" w:lineRule="exact"/>
      <w:jc w:val="right"/>
      <w:rPr>
        <w:rFonts w:eastAsia="华文行楷"/>
        <w:sz w:val="21"/>
      </w:rPr>
    </w:pPr>
  </w:p>
  <w:p w14:paraId="471A495C" w14:textId="77777777" w:rsidR="00732679" w:rsidRDefault="00732679">
    <w:pPr>
      <w:pStyle w:val="ad"/>
      <w:pBdr>
        <w:bottom w:val="none" w:sz="0" w:space="0" w:color="auto"/>
      </w:pBdr>
      <w:tabs>
        <w:tab w:val="right" w:pos="8280"/>
      </w:tabs>
      <w:spacing w:line="160" w:lineRule="exact"/>
      <w:jc w:val="right"/>
      <w:rPr>
        <w:rFonts w:eastAsia="华文行楷"/>
        <w:sz w:val="21"/>
      </w:rPr>
    </w:pPr>
  </w:p>
  <w:p w14:paraId="567D2A95" w14:textId="77777777" w:rsidR="00732679" w:rsidRDefault="00732679">
    <w:pPr>
      <w:pStyle w:val="ad"/>
      <w:pBdr>
        <w:bottom w:val="none" w:sz="0" w:space="0" w:color="auto"/>
      </w:pBdr>
      <w:tabs>
        <w:tab w:val="right" w:pos="8280"/>
      </w:tabs>
      <w:spacing w:line="160" w:lineRule="exact"/>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0CECC" w14:textId="77777777" w:rsidR="00732679" w:rsidRDefault="00732679">
    <w:pPr>
      <w:pStyle w:val="ad"/>
      <w:pBdr>
        <w:bottom w:val="none" w:sz="0" w:space="0" w:color="auto"/>
      </w:pBdr>
      <w:tabs>
        <w:tab w:val="right" w:pos="8280"/>
      </w:tabs>
      <w:spacing w:line="160" w:lineRule="exact"/>
      <w:jc w:val="right"/>
      <w:rPr>
        <w:rFonts w:eastAsia="华文行楷"/>
        <w:sz w:val="21"/>
      </w:rPr>
    </w:pPr>
    <w:r>
      <w:rPr>
        <w:noProof/>
        <w:sz w:val="20"/>
      </w:rPr>
      <w:drawing>
        <wp:anchor distT="0" distB="0" distL="114300" distR="114300" simplePos="0" relativeHeight="251661312" behindDoc="0" locked="0" layoutInCell="1" allowOverlap="1" wp14:anchorId="04A5AE30" wp14:editId="63180987">
          <wp:simplePos x="0" y="0"/>
          <wp:positionH relativeFrom="column">
            <wp:posOffset>0</wp:posOffset>
          </wp:positionH>
          <wp:positionV relativeFrom="paragraph">
            <wp:posOffset>76835</wp:posOffset>
          </wp:positionV>
          <wp:extent cx="1828800" cy="242570"/>
          <wp:effectExtent l="0" t="0" r="0" b="0"/>
          <wp:wrapNone/>
          <wp:docPr id="13" name="图片 1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42570"/>
                  </a:xfrm>
                  <a:prstGeom prst="rect">
                    <a:avLst/>
                  </a:prstGeom>
                  <a:noFill/>
                  <a:ln>
                    <a:noFill/>
                  </a:ln>
                </pic:spPr>
              </pic:pic>
            </a:graphicData>
          </a:graphic>
        </wp:anchor>
      </w:drawing>
    </w:r>
  </w:p>
  <w:p w14:paraId="20CA33B7" w14:textId="77777777" w:rsidR="00732679" w:rsidRDefault="00732679">
    <w:pPr>
      <w:pStyle w:val="ad"/>
      <w:pBdr>
        <w:bottom w:val="none" w:sz="0" w:space="0" w:color="auto"/>
      </w:pBdr>
      <w:tabs>
        <w:tab w:val="right" w:pos="8280"/>
      </w:tabs>
      <w:spacing w:line="160" w:lineRule="exact"/>
      <w:jc w:val="right"/>
      <w:rPr>
        <w:rFonts w:eastAsia="华文行楷"/>
        <w:sz w:val="21"/>
      </w:rPr>
    </w:pPr>
  </w:p>
  <w:p w14:paraId="082EB186" w14:textId="77777777" w:rsidR="00732679" w:rsidRDefault="00732679">
    <w:pPr>
      <w:pStyle w:val="ad"/>
      <w:pBdr>
        <w:bottom w:val="none" w:sz="0" w:space="0" w:color="auto"/>
      </w:pBdr>
      <w:tabs>
        <w:tab w:val="right" w:pos="8280"/>
      </w:tabs>
      <w:spacing w:line="240" w:lineRule="auto"/>
      <w:jc w:val="right"/>
      <w:rPr>
        <w:rFonts w:ascii="宋体" w:hAnsi="宋体"/>
        <w:szCs w:val="18"/>
      </w:rPr>
    </w:pPr>
    <w:r>
      <w:rPr>
        <w:rFonts w:ascii="宋体" w:hAnsi="宋体"/>
        <w:noProof/>
        <w:szCs w:val="18"/>
      </w:rPr>
      <mc:AlternateContent>
        <mc:Choice Requires="wps">
          <w:drawing>
            <wp:anchor distT="0" distB="0" distL="114300" distR="114300" simplePos="0" relativeHeight="251662336" behindDoc="0" locked="0" layoutInCell="1" allowOverlap="1" wp14:anchorId="2C3272AF" wp14:editId="266679F8">
              <wp:simplePos x="0" y="0"/>
              <wp:positionH relativeFrom="column">
                <wp:posOffset>0</wp:posOffset>
              </wp:positionH>
              <wp:positionV relativeFrom="paragraph">
                <wp:posOffset>170815</wp:posOffset>
              </wp:positionV>
              <wp:extent cx="5257800" cy="0"/>
              <wp:effectExtent l="9525" t="8890" r="9525" b="10160"/>
              <wp:wrapNone/>
              <wp:docPr id="1" name="直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直线 14" o:spid="_x0000_s1026" o:spt="20" style="position:absolute;left:0pt;margin-left:0pt;margin-top:13.45pt;height:0pt;width:414pt;z-index:251662336;mso-width-relative:page;mso-height-relative:page;" filled="f" stroked="t" coordsize="21600,21600" o:gfxdata="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4Uj8tMAAAAGAQAADwAAAAAAAAABACAAAAAi&#10;AAAAZHJzL2Rvd25yZXYueG1sUEsBAhQAFAAAAAgAh07iQDubmNjWAQAAogMAAA4AAAAAAAAAAQAg&#10;AAAAIgEAAGRycy9lMm9Eb2MueG1sUEsFBgAAAAAGAAYAWQEAAGoFAAAAAA==&#10;">
              <v:fill on="f" focussize="0,0"/>
              <v:stroke color="#000000" joinstyle="round"/>
              <v:imagedata o:title=""/>
              <o:lock v:ext="edit" aspectratio="f"/>
            </v:line>
          </w:pict>
        </mc:Fallback>
      </mc:AlternateContent>
    </w:r>
    <w:r>
      <w:rPr>
        <w:rFonts w:ascii="宋体" w:hAnsi="宋体" w:hint="eastAsia"/>
        <w:szCs w:val="18"/>
      </w:rPr>
      <w:t>交银施罗德货币市场</w:t>
    </w:r>
    <w:r>
      <w:rPr>
        <w:rFonts w:ascii="宋体" w:hAnsi="宋体"/>
        <w:szCs w:val="18"/>
      </w:rPr>
      <w:t>证券投资基金</w:t>
    </w:r>
    <w:r>
      <w:rPr>
        <w:rFonts w:ascii="宋体" w:hAnsi="宋体" w:hint="eastAsia"/>
        <w:szCs w:val="18"/>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81FC1"/>
    <w:multiLevelType w:val="multilevel"/>
    <w:tmpl w:val="0E381FC1"/>
    <w:lvl w:ilvl="0">
      <w:start w:val="1"/>
      <w:numFmt w:val="japaneseCounting"/>
      <w:lvlText w:val="（%1）"/>
      <w:lvlJc w:val="left"/>
      <w:pPr>
        <w:tabs>
          <w:tab w:val="left" w:pos="720"/>
        </w:tabs>
        <w:ind w:left="720" w:hanging="720"/>
      </w:pPr>
      <w:rPr>
        <w:rFonts w:cs="宋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BC03E11"/>
    <w:multiLevelType w:val="multilevel"/>
    <w:tmpl w:val="1BC03E11"/>
    <w:lvl w:ilvl="0">
      <w:start w:val="6"/>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15:restartNumberingAfterBreak="0">
    <w:nsid w:val="2C893F07"/>
    <w:multiLevelType w:val="multilevel"/>
    <w:tmpl w:val="2C893F07"/>
    <w:lvl w:ilvl="0">
      <w:start w:val="1"/>
      <w:numFmt w:val="decimalEnclosedCircle"/>
      <w:lvlText w:val="%1"/>
      <w:lvlJc w:val="left"/>
      <w:pPr>
        <w:tabs>
          <w:tab w:val="left" w:pos="840"/>
        </w:tabs>
        <w:ind w:left="840" w:hanging="360"/>
      </w:pPr>
      <w:rPr>
        <w:rFonts w:hint="default"/>
      </w:rPr>
    </w:lvl>
    <w:lvl w:ilvl="1">
      <w:start w:val="1"/>
      <w:numFmt w:val="lowerLetter"/>
      <w:lvlText w:val="%2)"/>
      <w:lvlJc w:val="left"/>
      <w:pPr>
        <w:tabs>
          <w:tab w:val="left" w:pos="900"/>
        </w:tabs>
        <w:ind w:left="900" w:hanging="420"/>
      </w:pPr>
    </w:lvl>
    <w:lvl w:ilvl="2">
      <w:start w:val="1"/>
      <w:numFmt w:val="lowerRoman"/>
      <w:lvlText w:val="%3."/>
      <w:lvlJc w:val="right"/>
      <w:pPr>
        <w:tabs>
          <w:tab w:val="left" w:pos="1320"/>
        </w:tabs>
        <w:ind w:left="1320" w:hanging="420"/>
      </w:pPr>
    </w:lvl>
    <w:lvl w:ilvl="3">
      <w:start w:val="1"/>
      <w:numFmt w:val="decimal"/>
      <w:lvlText w:val="%4."/>
      <w:lvlJc w:val="left"/>
      <w:pPr>
        <w:tabs>
          <w:tab w:val="left" w:pos="1740"/>
        </w:tabs>
        <w:ind w:left="1740" w:hanging="420"/>
      </w:pPr>
    </w:lvl>
    <w:lvl w:ilvl="4">
      <w:start w:val="1"/>
      <w:numFmt w:val="lowerLetter"/>
      <w:lvlText w:val="%5)"/>
      <w:lvlJc w:val="left"/>
      <w:pPr>
        <w:tabs>
          <w:tab w:val="left" w:pos="2160"/>
        </w:tabs>
        <w:ind w:left="2160" w:hanging="420"/>
      </w:pPr>
    </w:lvl>
    <w:lvl w:ilvl="5">
      <w:start w:val="1"/>
      <w:numFmt w:val="lowerRoman"/>
      <w:lvlText w:val="%6."/>
      <w:lvlJc w:val="right"/>
      <w:pPr>
        <w:tabs>
          <w:tab w:val="left" w:pos="2580"/>
        </w:tabs>
        <w:ind w:left="2580" w:hanging="420"/>
      </w:pPr>
    </w:lvl>
    <w:lvl w:ilvl="6">
      <w:start w:val="1"/>
      <w:numFmt w:val="decimal"/>
      <w:lvlText w:val="%7."/>
      <w:lvlJc w:val="left"/>
      <w:pPr>
        <w:tabs>
          <w:tab w:val="left" w:pos="3000"/>
        </w:tabs>
        <w:ind w:left="3000" w:hanging="420"/>
      </w:pPr>
    </w:lvl>
    <w:lvl w:ilvl="7">
      <w:start w:val="1"/>
      <w:numFmt w:val="lowerLetter"/>
      <w:lvlText w:val="%8)"/>
      <w:lvlJc w:val="left"/>
      <w:pPr>
        <w:tabs>
          <w:tab w:val="left" w:pos="3420"/>
        </w:tabs>
        <w:ind w:left="3420" w:hanging="420"/>
      </w:pPr>
    </w:lvl>
    <w:lvl w:ilvl="8">
      <w:start w:val="1"/>
      <w:numFmt w:val="lowerRoman"/>
      <w:lvlText w:val="%9."/>
      <w:lvlJc w:val="right"/>
      <w:pPr>
        <w:tabs>
          <w:tab w:val="left" w:pos="3840"/>
        </w:tabs>
        <w:ind w:left="3840" w:hanging="420"/>
      </w:pPr>
    </w:lvl>
  </w:abstractNum>
  <w:abstractNum w:abstractNumId="3" w15:restartNumberingAfterBreak="0">
    <w:nsid w:val="480810E9"/>
    <w:multiLevelType w:val="multilevel"/>
    <w:tmpl w:val="480810E9"/>
    <w:lvl w:ilvl="0">
      <w:start w:val="1"/>
      <w:numFmt w:val="none"/>
      <w:lvlText w:val=""/>
      <w:lvlJc w:val="left"/>
      <w:pPr>
        <w:tabs>
          <w:tab w:val="left" w:pos="425"/>
        </w:tabs>
        <w:ind w:left="0" w:firstLine="0"/>
      </w:pPr>
      <w:rPr>
        <w:rFonts w:hint="eastAsia"/>
      </w:rPr>
    </w:lvl>
    <w:lvl w:ilvl="1">
      <w:start w:val="1"/>
      <w:numFmt w:val="chineseCountingThousand"/>
      <w:pStyle w:val="2211"/>
      <w:lvlText w:val="%2、"/>
      <w:lvlJc w:val="left"/>
      <w:pPr>
        <w:tabs>
          <w:tab w:val="left" w:pos="1276"/>
        </w:tabs>
        <w:ind w:left="851" w:firstLine="0"/>
      </w:pPr>
      <w:rPr>
        <w:rFonts w:hint="eastAsia"/>
      </w:rPr>
    </w:lvl>
    <w:lvl w:ilvl="2">
      <w:start w:val="1"/>
      <w:numFmt w:val="chineseCountingThousand"/>
      <w:lvlText w:val="（%3）"/>
      <w:lvlJc w:val="left"/>
      <w:pPr>
        <w:tabs>
          <w:tab w:val="left" w:pos="2126"/>
        </w:tabs>
        <w:ind w:left="1701" w:firstLine="0"/>
      </w:pPr>
      <w:rPr>
        <w:rFonts w:hint="eastAsia"/>
      </w:rPr>
    </w:lvl>
    <w:lvl w:ilvl="3">
      <w:start w:val="1"/>
      <w:numFmt w:val="lowerLetter"/>
      <w:lvlText w:val="%4)"/>
      <w:lvlJc w:val="left"/>
      <w:pPr>
        <w:tabs>
          <w:tab w:val="left" w:pos="2976"/>
        </w:tabs>
        <w:ind w:left="2551" w:firstLine="0"/>
      </w:pPr>
      <w:rPr>
        <w:rFonts w:hint="eastAsia"/>
      </w:rPr>
    </w:lvl>
    <w:lvl w:ilvl="4">
      <w:start w:val="1"/>
      <w:numFmt w:val="decimal"/>
      <w:lvlText w:val="(%5)"/>
      <w:lvlJc w:val="left"/>
      <w:pPr>
        <w:tabs>
          <w:tab w:val="left" w:pos="3827"/>
        </w:tabs>
        <w:ind w:left="3402" w:firstLine="0"/>
      </w:pPr>
      <w:rPr>
        <w:rFonts w:hint="eastAsia"/>
      </w:rPr>
    </w:lvl>
    <w:lvl w:ilvl="5">
      <w:start w:val="1"/>
      <w:numFmt w:val="lowerLetter"/>
      <w:lvlText w:val="(%6)"/>
      <w:lvlJc w:val="left"/>
      <w:pPr>
        <w:tabs>
          <w:tab w:val="left" w:pos="4677"/>
        </w:tabs>
        <w:ind w:left="4252" w:firstLine="0"/>
      </w:pPr>
      <w:rPr>
        <w:rFonts w:hint="eastAsia"/>
      </w:rPr>
    </w:lvl>
    <w:lvl w:ilvl="6">
      <w:start w:val="1"/>
      <w:numFmt w:val="lowerRoman"/>
      <w:lvlText w:val="(%7)"/>
      <w:lvlJc w:val="left"/>
      <w:pPr>
        <w:tabs>
          <w:tab w:val="left" w:pos="5528"/>
        </w:tabs>
        <w:ind w:left="5102" w:firstLine="0"/>
      </w:pPr>
      <w:rPr>
        <w:rFonts w:hint="eastAsia"/>
      </w:rPr>
    </w:lvl>
    <w:lvl w:ilvl="7">
      <w:start w:val="1"/>
      <w:numFmt w:val="lowerLetter"/>
      <w:lvlText w:val="(%8)"/>
      <w:lvlJc w:val="left"/>
      <w:pPr>
        <w:tabs>
          <w:tab w:val="left" w:pos="6378"/>
        </w:tabs>
        <w:ind w:left="5953" w:firstLine="0"/>
      </w:pPr>
      <w:rPr>
        <w:rFonts w:hint="eastAsia"/>
      </w:rPr>
    </w:lvl>
    <w:lvl w:ilvl="8">
      <w:start w:val="1"/>
      <w:numFmt w:val="lowerRoman"/>
      <w:lvlText w:val="(%9)"/>
      <w:lvlJc w:val="left"/>
      <w:pPr>
        <w:tabs>
          <w:tab w:val="left" w:pos="7228"/>
        </w:tabs>
        <w:ind w:left="6803" w:firstLine="0"/>
      </w:pPr>
      <w:rPr>
        <w:rFonts w:hint="eastAsia"/>
      </w:rPr>
    </w:lvl>
  </w:abstractNum>
  <w:abstractNum w:abstractNumId="4" w15:restartNumberingAfterBreak="0">
    <w:nsid w:val="546435A8"/>
    <w:multiLevelType w:val="multilevel"/>
    <w:tmpl w:val="546435A8"/>
    <w:lvl w:ilvl="0">
      <w:start w:val="1"/>
      <w:numFmt w:val="decimalEnclosedCircle"/>
      <w:lvlText w:val="%1"/>
      <w:lvlJc w:val="left"/>
      <w:pPr>
        <w:tabs>
          <w:tab w:val="left" w:pos="840"/>
        </w:tabs>
        <w:ind w:left="840" w:hanging="360"/>
      </w:pPr>
      <w:rPr>
        <w:rFonts w:hint="default"/>
      </w:rPr>
    </w:lvl>
    <w:lvl w:ilvl="1">
      <w:start w:val="1"/>
      <w:numFmt w:val="decimal"/>
      <w:lvlText w:val="%2．"/>
      <w:lvlJc w:val="left"/>
      <w:pPr>
        <w:tabs>
          <w:tab w:val="left" w:pos="1005"/>
        </w:tabs>
        <w:ind w:left="1005" w:hanging="585"/>
      </w:pPr>
      <w:rPr>
        <w:rFonts w:cs="宋体"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5BED53A9"/>
    <w:multiLevelType w:val="multilevel"/>
    <w:tmpl w:val="5BED53A9"/>
    <w:lvl w:ilvl="0">
      <w:start w:val="1"/>
      <w:numFmt w:val="decimalEnclosedCircle"/>
      <w:lvlText w:val="%1"/>
      <w:lvlJc w:val="left"/>
      <w:pPr>
        <w:tabs>
          <w:tab w:val="left" w:pos="840"/>
        </w:tabs>
        <w:ind w:left="840" w:hanging="360"/>
      </w:pPr>
      <w:rPr>
        <w:rFonts w:hint="default"/>
      </w:rPr>
    </w:lvl>
    <w:lvl w:ilvl="1">
      <w:start w:val="1"/>
      <w:numFmt w:val="decimal"/>
      <w:lvlText w:val="%2．"/>
      <w:lvlJc w:val="left"/>
      <w:pPr>
        <w:tabs>
          <w:tab w:val="left" w:pos="1020"/>
        </w:tabs>
        <w:ind w:left="1020" w:hanging="600"/>
      </w:pPr>
      <w:rPr>
        <w:rFonts w:hint="default"/>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5C185EF5"/>
    <w:multiLevelType w:val="multilevel"/>
    <w:tmpl w:val="5C185EF5"/>
    <w:lvl w:ilvl="0">
      <w:start w:val="1"/>
      <w:numFmt w:val="none"/>
      <w:suff w:val="nothing"/>
      <w:lvlText w:val=""/>
      <w:lvlJc w:val="left"/>
      <w:pPr>
        <w:ind w:left="2709"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chineseCountingThousand"/>
      <w:pStyle w:val="3"/>
      <w:suff w:val="nothing"/>
      <w:lvlText w:val="（%3）"/>
      <w:lvlJc w:val="left"/>
      <w:pPr>
        <w:ind w:left="2709" w:firstLine="0"/>
      </w:pPr>
      <w:rPr>
        <w:rFonts w:hint="eastAsia"/>
      </w:rPr>
    </w:lvl>
    <w:lvl w:ilvl="3">
      <w:start w:val="1"/>
      <w:numFmt w:val="decimal"/>
      <w:pStyle w:val="4"/>
      <w:suff w:val="nothing"/>
      <w:lvlText w:val="%4、"/>
      <w:lvlJc w:val="left"/>
      <w:pPr>
        <w:ind w:left="2709" w:firstLine="0"/>
      </w:pPr>
      <w:rPr>
        <w:rFonts w:hint="eastAsia"/>
      </w:rPr>
    </w:lvl>
    <w:lvl w:ilvl="4">
      <w:start w:val="1"/>
      <w:numFmt w:val="decimal"/>
      <w:pStyle w:val="5"/>
      <w:suff w:val="nothing"/>
      <w:lvlText w:val="（%5）"/>
      <w:lvlJc w:val="left"/>
      <w:pPr>
        <w:ind w:left="2709" w:firstLine="0"/>
      </w:pPr>
      <w:rPr>
        <w:rFonts w:hint="eastAsia"/>
      </w:rPr>
    </w:lvl>
    <w:lvl w:ilvl="5">
      <w:start w:val="1"/>
      <w:numFmt w:val="none"/>
      <w:pStyle w:val="6"/>
      <w:suff w:val="nothing"/>
      <w:lvlText w:val=""/>
      <w:lvlJc w:val="left"/>
      <w:pPr>
        <w:ind w:left="2709" w:firstLine="0"/>
      </w:pPr>
      <w:rPr>
        <w:rFonts w:hint="eastAsia"/>
      </w:rPr>
    </w:lvl>
    <w:lvl w:ilvl="6">
      <w:start w:val="1"/>
      <w:numFmt w:val="none"/>
      <w:pStyle w:val="7"/>
      <w:suff w:val="nothing"/>
      <w:lvlText w:val=""/>
      <w:lvlJc w:val="left"/>
      <w:pPr>
        <w:ind w:left="2709" w:firstLine="0"/>
      </w:pPr>
      <w:rPr>
        <w:rFonts w:hint="eastAsia"/>
      </w:rPr>
    </w:lvl>
    <w:lvl w:ilvl="7">
      <w:start w:val="1"/>
      <w:numFmt w:val="none"/>
      <w:pStyle w:val="8"/>
      <w:suff w:val="nothing"/>
      <w:lvlText w:val=""/>
      <w:lvlJc w:val="left"/>
      <w:pPr>
        <w:ind w:left="2709" w:firstLine="0"/>
      </w:pPr>
      <w:rPr>
        <w:rFonts w:hint="eastAsia"/>
      </w:rPr>
    </w:lvl>
    <w:lvl w:ilvl="8">
      <w:start w:val="1"/>
      <w:numFmt w:val="none"/>
      <w:pStyle w:val="9"/>
      <w:suff w:val="nothing"/>
      <w:lvlText w:val=""/>
      <w:lvlJc w:val="left"/>
      <w:pPr>
        <w:ind w:left="2709" w:firstLine="0"/>
      </w:pPr>
      <w:rPr>
        <w:rFonts w:hint="eastAsia"/>
      </w:rPr>
    </w:lvl>
  </w:abstractNum>
  <w:abstractNum w:abstractNumId="7" w15:restartNumberingAfterBreak="0">
    <w:nsid w:val="64F014E2"/>
    <w:multiLevelType w:val="multilevel"/>
    <w:tmpl w:val="64F014E2"/>
    <w:lvl w:ilvl="0">
      <w:start w:val="7"/>
      <w:numFmt w:val="decimal"/>
      <w:lvlText w:val="（%1）"/>
      <w:lvlJc w:val="left"/>
      <w:pPr>
        <w:tabs>
          <w:tab w:val="left" w:pos="1260"/>
        </w:tabs>
        <w:ind w:left="1260" w:hanging="78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8" w15:restartNumberingAfterBreak="0">
    <w:nsid w:val="6A3F3627"/>
    <w:multiLevelType w:val="multilevel"/>
    <w:tmpl w:val="6A3F3627"/>
    <w:lvl w:ilvl="0">
      <w:start w:val="1"/>
      <w:numFmt w:val="decimal"/>
      <w:pStyle w:val="a"/>
      <w:lvlText w:val="%1、"/>
      <w:lvlJc w:val="left"/>
      <w:pPr>
        <w:tabs>
          <w:tab w:val="left" w:pos="644"/>
        </w:tabs>
        <w:ind w:left="567" w:hanging="283"/>
      </w:pPr>
      <w:rPr>
        <w:rFonts w:hint="eastAsia"/>
      </w:rPr>
    </w:lvl>
    <w:lvl w:ilvl="1">
      <w:start w:val="1"/>
      <w:numFmt w:val="japaneseCounting"/>
      <w:lvlText w:val="%2、"/>
      <w:lvlJc w:val="left"/>
      <w:pPr>
        <w:tabs>
          <w:tab w:val="left" w:pos="1680"/>
        </w:tabs>
        <w:ind w:left="1680" w:hanging="720"/>
      </w:pPr>
      <w:rPr>
        <w:rFonts w:hint="eastAsia"/>
      </w:rPr>
    </w:lvl>
    <w:lvl w:ilvl="2">
      <w:start w:val="1"/>
      <w:numFmt w:val="bullet"/>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abstractNum w:abstractNumId="9" w15:restartNumberingAfterBreak="0">
    <w:nsid w:val="6CC04618"/>
    <w:multiLevelType w:val="multilevel"/>
    <w:tmpl w:val="6CC04618"/>
    <w:lvl w:ilvl="0">
      <w:start w:val="1"/>
      <w:numFmt w:val="decimal"/>
      <w:lvlText w:val="（%1）"/>
      <w:lvlJc w:val="left"/>
      <w:pPr>
        <w:tabs>
          <w:tab w:val="left" w:pos="3129"/>
        </w:tabs>
        <w:ind w:left="3129" w:hanging="420"/>
      </w:pPr>
      <w:rPr>
        <w:rFonts w:hint="eastAsia"/>
      </w:rPr>
    </w:lvl>
    <w:lvl w:ilvl="1">
      <w:start w:val="5"/>
      <w:numFmt w:val="chineseCountingThousand"/>
      <w:lvlText w:val="%2、"/>
      <w:lvlJc w:val="left"/>
      <w:pPr>
        <w:tabs>
          <w:tab w:val="left" w:pos="1611"/>
        </w:tabs>
        <w:ind w:left="-147" w:firstLine="567"/>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lvl>
    <w:lvl w:ilvl="4">
      <w:start w:val="1"/>
      <w:numFmt w:val="decimal"/>
      <w:lvlText w:val="（%5）"/>
      <w:lvlJc w:val="left"/>
      <w:pPr>
        <w:tabs>
          <w:tab w:val="left" w:pos="3129"/>
        </w:tabs>
        <w:ind w:left="3129" w:hanging="42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6FE147B6"/>
    <w:multiLevelType w:val="singleLevel"/>
    <w:tmpl w:val="6FE147B6"/>
    <w:lvl w:ilvl="0">
      <w:start w:val="1"/>
      <w:numFmt w:val="decimal"/>
      <w:pStyle w:val="20"/>
      <w:lvlText w:val="(%1)"/>
      <w:lvlJc w:val="left"/>
      <w:pPr>
        <w:tabs>
          <w:tab w:val="left" w:pos="360"/>
        </w:tabs>
        <w:ind w:left="0" w:firstLine="0"/>
      </w:pPr>
      <w:rPr>
        <w:rFonts w:hint="eastAsia"/>
      </w:rPr>
    </w:lvl>
  </w:abstractNum>
  <w:abstractNum w:abstractNumId="11" w15:restartNumberingAfterBreak="0">
    <w:nsid w:val="7D0E544C"/>
    <w:multiLevelType w:val="multilevel"/>
    <w:tmpl w:val="7D0E544C"/>
    <w:lvl w:ilvl="0">
      <w:start w:val="1"/>
      <w:numFmt w:val="decimal"/>
      <w:lvlText w:val="%1、"/>
      <w:lvlJc w:val="left"/>
      <w:pPr>
        <w:tabs>
          <w:tab w:val="left" w:pos="3069"/>
        </w:tabs>
        <w:ind w:left="3069"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8"/>
  </w:num>
  <w:num w:numId="3">
    <w:abstractNumId w:val="10"/>
  </w:num>
  <w:num w:numId="4">
    <w:abstractNumId w:val="3"/>
  </w:num>
  <w:num w:numId="5">
    <w:abstractNumId w:val="0"/>
  </w:num>
  <w:num w:numId="6">
    <w:abstractNumId w:val="1"/>
  </w:num>
  <w:num w:numId="7">
    <w:abstractNumId w:val="7"/>
  </w:num>
  <w:num w:numId="8">
    <w:abstractNumId w:val="9"/>
  </w:num>
  <w:num w:numId="9">
    <w:abstractNumId w:val="4"/>
  </w:num>
  <w:num w:numId="10">
    <w:abstractNumId w:val="5"/>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C13"/>
    <w:rsid w:val="00001159"/>
    <w:rsid w:val="0000150A"/>
    <w:rsid w:val="00003C6A"/>
    <w:rsid w:val="00006B76"/>
    <w:rsid w:val="00016142"/>
    <w:rsid w:val="00025EE0"/>
    <w:rsid w:val="000313C2"/>
    <w:rsid w:val="00032A08"/>
    <w:rsid w:val="00043E40"/>
    <w:rsid w:val="00052FA9"/>
    <w:rsid w:val="00053058"/>
    <w:rsid w:val="00056C22"/>
    <w:rsid w:val="0005714E"/>
    <w:rsid w:val="00082571"/>
    <w:rsid w:val="00082773"/>
    <w:rsid w:val="00087942"/>
    <w:rsid w:val="00087D15"/>
    <w:rsid w:val="00090B01"/>
    <w:rsid w:val="00096135"/>
    <w:rsid w:val="000A5772"/>
    <w:rsid w:val="000B16CD"/>
    <w:rsid w:val="000B2B8A"/>
    <w:rsid w:val="000D4A49"/>
    <w:rsid w:val="000E22FC"/>
    <w:rsid w:val="000E56BB"/>
    <w:rsid w:val="000E6796"/>
    <w:rsid w:val="000E769E"/>
    <w:rsid w:val="000F154E"/>
    <w:rsid w:val="000F4FD2"/>
    <w:rsid w:val="00106584"/>
    <w:rsid w:val="00106EDE"/>
    <w:rsid w:val="0010736B"/>
    <w:rsid w:val="00114A79"/>
    <w:rsid w:val="00115A26"/>
    <w:rsid w:val="00116C77"/>
    <w:rsid w:val="001256FD"/>
    <w:rsid w:val="00125FD0"/>
    <w:rsid w:val="0012786B"/>
    <w:rsid w:val="00132721"/>
    <w:rsid w:val="00146821"/>
    <w:rsid w:val="00157C8E"/>
    <w:rsid w:val="00175468"/>
    <w:rsid w:val="00184929"/>
    <w:rsid w:val="0018508F"/>
    <w:rsid w:val="001A04BC"/>
    <w:rsid w:val="001B2D08"/>
    <w:rsid w:val="001B755E"/>
    <w:rsid w:val="001B7655"/>
    <w:rsid w:val="001C1487"/>
    <w:rsid w:val="001C2BD1"/>
    <w:rsid w:val="001C3324"/>
    <w:rsid w:val="001C5B75"/>
    <w:rsid w:val="001C7C59"/>
    <w:rsid w:val="001F6AA5"/>
    <w:rsid w:val="001F7B95"/>
    <w:rsid w:val="00200255"/>
    <w:rsid w:val="00202550"/>
    <w:rsid w:val="00211AB2"/>
    <w:rsid w:val="002152BD"/>
    <w:rsid w:val="00225D91"/>
    <w:rsid w:val="00234D22"/>
    <w:rsid w:val="002424FF"/>
    <w:rsid w:val="002572BE"/>
    <w:rsid w:val="00262C8C"/>
    <w:rsid w:val="002701A4"/>
    <w:rsid w:val="00270919"/>
    <w:rsid w:val="002756B0"/>
    <w:rsid w:val="00280AAE"/>
    <w:rsid w:val="00280B2B"/>
    <w:rsid w:val="00281229"/>
    <w:rsid w:val="0028495A"/>
    <w:rsid w:val="002872CF"/>
    <w:rsid w:val="0028763A"/>
    <w:rsid w:val="0029226A"/>
    <w:rsid w:val="002A048E"/>
    <w:rsid w:val="002A097C"/>
    <w:rsid w:val="002A12B2"/>
    <w:rsid w:val="002B733E"/>
    <w:rsid w:val="002C4E7B"/>
    <w:rsid w:val="002C56C7"/>
    <w:rsid w:val="002D12BE"/>
    <w:rsid w:val="002F014C"/>
    <w:rsid w:val="002F4F0E"/>
    <w:rsid w:val="002F62DD"/>
    <w:rsid w:val="00301B53"/>
    <w:rsid w:val="003068D2"/>
    <w:rsid w:val="003074EF"/>
    <w:rsid w:val="00312933"/>
    <w:rsid w:val="003138AE"/>
    <w:rsid w:val="003234BD"/>
    <w:rsid w:val="00325E10"/>
    <w:rsid w:val="00326241"/>
    <w:rsid w:val="00340430"/>
    <w:rsid w:val="003562C3"/>
    <w:rsid w:val="00357BC6"/>
    <w:rsid w:val="003645C3"/>
    <w:rsid w:val="0037044D"/>
    <w:rsid w:val="00372F7F"/>
    <w:rsid w:val="00375945"/>
    <w:rsid w:val="00384538"/>
    <w:rsid w:val="003915E7"/>
    <w:rsid w:val="0039525A"/>
    <w:rsid w:val="00395F09"/>
    <w:rsid w:val="003B2DDB"/>
    <w:rsid w:val="003B758D"/>
    <w:rsid w:val="003E3FDD"/>
    <w:rsid w:val="003F0C13"/>
    <w:rsid w:val="003F324D"/>
    <w:rsid w:val="003F4ED7"/>
    <w:rsid w:val="00400A55"/>
    <w:rsid w:val="00404486"/>
    <w:rsid w:val="00410956"/>
    <w:rsid w:val="00423E01"/>
    <w:rsid w:val="004250AE"/>
    <w:rsid w:val="00431E9D"/>
    <w:rsid w:val="00436BB0"/>
    <w:rsid w:val="00437939"/>
    <w:rsid w:val="0045609F"/>
    <w:rsid w:val="00471507"/>
    <w:rsid w:val="00471B58"/>
    <w:rsid w:val="00474C94"/>
    <w:rsid w:val="0047528E"/>
    <w:rsid w:val="004805B7"/>
    <w:rsid w:val="004823E2"/>
    <w:rsid w:val="00483E36"/>
    <w:rsid w:val="00487B4B"/>
    <w:rsid w:val="004935AD"/>
    <w:rsid w:val="004966E4"/>
    <w:rsid w:val="004A3106"/>
    <w:rsid w:val="004B1989"/>
    <w:rsid w:val="004C60F7"/>
    <w:rsid w:val="004D6AF9"/>
    <w:rsid w:val="004E4281"/>
    <w:rsid w:val="004E605D"/>
    <w:rsid w:val="004F20A8"/>
    <w:rsid w:val="00503C29"/>
    <w:rsid w:val="0050778C"/>
    <w:rsid w:val="00510143"/>
    <w:rsid w:val="0051135D"/>
    <w:rsid w:val="005152B6"/>
    <w:rsid w:val="005173D5"/>
    <w:rsid w:val="00520902"/>
    <w:rsid w:val="00532B22"/>
    <w:rsid w:val="00536B98"/>
    <w:rsid w:val="00542095"/>
    <w:rsid w:val="00543ADC"/>
    <w:rsid w:val="00554529"/>
    <w:rsid w:val="00554B78"/>
    <w:rsid w:val="0055589F"/>
    <w:rsid w:val="00557396"/>
    <w:rsid w:val="00561249"/>
    <w:rsid w:val="00564ECD"/>
    <w:rsid w:val="005668F0"/>
    <w:rsid w:val="00573CE4"/>
    <w:rsid w:val="0058183E"/>
    <w:rsid w:val="00583F5B"/>
    <w:rsid w:val="0058769D"/>
    <w:rsid w:val="005877BD"/>
    <w:rsid w:val="00593759"/>
    <w:rsid w:val="0059500E"/>
    <w:rsid w:val="005A0CD0"/>
    <w:rsid w:val="005A1A34"/>
    <w:rsid w:val="005A36ED"/>
    <w:rsid w:val="005A4802"/>
    <w:rsid w:val="005B3A27"/>
    <w:rsid w:val="005B49B8"/>
    <w:rsid w:val="005B56DA"/>
    <w:rsid w:val="005C355F"/>
    <w:rsid w:val="005C4236"/>
    <w:rsid w:val="005E29BA"/>
    <w:rsid w:val="005E47E7"/>
    <w:rsid w:val="005E7D9B"/>
    <w:rsid w:val="005F3276"/>
    <w:rsid w:val="005F3F40"/>
    <w:rsid w:val="0060483F"/>
    <w:rsid w:val="006136D9"/>
    <w:rsid w:val="0061381B"/>
    <w:rsid w:val="00630469"/>
    <w:rsid w:val="00630757"/>
    <w:rsid w:val="006368B0"/>
    <w:rsid w:val="00636E2F"/>
    <w:rsid w:val="00641DD6"/>
    <w:rsid w:val="00651428"/>
    <w:rsid w:val="0067605D"/>
    <w:rsid w:val="006804AE"/>
    <w:rsid w:val="0068143E"/>
    <w:rsid w:val="006835AE"/>
    <w:rsid w:val="006850C5"/>
    <w:rsid w:val="006875ED"/>
    <w:rsid w:val="006924A4"/>
    <w:rsid w:val="00696629"/>
    <w:rsid w:val="006A0471"/>
    <w:rsid w:val="006A258F"/>
    <w:rsid w:val="006A5B56"/>
    <w:rsid w:val="006B6579"/>
    <w:rsid w:val="006C0C71"/>
    <w:rsid w:val="006C2084"/>
    <w:rsid w:val="006C33C3"/>
    <w:rsid w:val="006D07DF"/>
    <w:rsid w:val="006E0DCB"/>
    <w:rsid w:val="006E76C9"/>
    <w:rsid w:val="006F1776"/>
    <w:rsid w:val="006F195A"/>
    <w:rsid w:val="006F4DD7"/>
    <w:rsid w:val="00702501"/>
    <w:rsid w:val="0071142D"/>
    <w:rsid w:val="0072129B"/>
    <w:rsid w:val="00721D7E"/>
    <w:rsid w:val="00723CF7"/>
    <w:rsid w:val="00732679"/>
    <w:rsid w:val="00734BD8"/>
    <w:rsid w:val="007407E4"/>
    <w:rsid w:val="00743552"/>
    <w:rsid w:val="00747463"/>
    <w:rsid w:val="00760501"/>
    <w:rsid w:val="007610B1"/>
    <w:rsid w:val="0076240D"/>
    <w:rsid w:val="00767655"/>
    <w:rsid w:val="00772D6C"/>
    <w:rsid w:val="00784346"/>
    <w:rsid w:val="00784A56"/>
    <w:rsid w:val="00792016"/>
    <w:rsid w:val="007A1BAC"/>
    <w:rsid w:val="007A30D3"/>
    <w:rsid w:val="007B06CF"/>
    <w:rsid w:val="007B303A"/>
    <w:rsid w:val="007B5854"/>
    <w:rsid w:val="007B7D74"/>
    <w:rsid w:val="007C44BA"/>
    <w:rsid w:val="007C62BC"/>
    <w:rsid w:val="00800720"/>
    <w:rsid w:val="00802D45"/>
    <w:rsid w:val="008060CA"/>
    <w:rsid w:val="00812348"/>
    <w:rsid w:val="008123F6"/>
    <w:rsid w:val="0082629D"/>
    <w:rsid w:val="008308B9"/>
    <w:rsid w:val="00831AD9"/>
    <w:rsid w:val="00834E53"/>
    <w:rsid w:val="00837393"/>
    <w:rsid w:val="0083768E"/>
    <w:rsid w:val="00840707"/>
    <w:rsid w:val="00842DB0"/>
    <w:rsid w:val="00843089"/>
    <w:rsid w:val="008468A1"/>
    <w:rsid w:val="00851F0F"/>
    <w:rsid w:val="00853947"/>
    <w:rsid w:val="008561C0"/>
    <w:rsid w:val="00861BCD"/>
    <w:rsid w:val="00866F95"/>
    <w:rsid w:val="00871E0E"/>
    <w:rsid w:val="008773DC"/>
    <w:rsid w:val="00881353"/>
    <w:rsid w:val="00892E11"/>
    <w:rsid w:val="008A19F4"/>
    <w:rsid w:val="008A65EE"/>
    <w:rsid w:val="008A6AC7"/>
    <w:rsid w:val="008B05E6"/>
    <w:rsid w:val="008B4F90"/>
    <w:rsid w:val="008B5189"/>
    <w:rsid w:val="008C11AA"/>
    <w:rsid w:val="008D0A40"/>
    <w:rsid w:val="008D3FD2"/>
    <w:rsid w:val="008D5E9E"/>
    <w:rsid w:val="008E4EBB"/>
    <w:rsid w:val="008F017A"/>
    <w:rsid w:val="008F55DD"/>
    <w:rsid w:val="008F564D"/>
    <w:rsid w:val="009061DF"/>
    <w:rsid w:val="00911EAF"/>
    <w:rsid w:val="00916B7D"/>
    <w:rsid w:val="00922294"/>
    <w:rsid w:val="009239B5"/>
    <w:rsid w:val="00926532"/>
    <w:rsid w:val="00926E6A"/>
    <w:rsid w:val="009309B4"/>
    <w:rsid w:val="00955E1D"/>
    <w:rsid w:val="00962C70"/>
    <w:rsid w:val="00962D03"/>
    <w:rsid w:val="00966FB0"/>
    <w:rsid w:val="009714AE"/>
    <w:rsid w:val="00974250"/>
    <w:rsid w:val="0097524C"/>
    <w:rsid w:val="00976133"/>
    <w:rsid w:val="0098295B"/>
    <w:rsid w:val="00983A84"/>
    <w:rsid w:val="00984574"/>
    <w:rsid w:val="00985900"/>
    <w:rsid w:val="00992754"/>
    <w:rsid w:val="009A52FF"/>
    <w:rsid w:val="009A7539"/>
    <w:rsid w:val="009A78F4"/>
    <w:rsid w:val="009A7F88"/>
    <w:rsid w:val="009B1340"/>
    <w:rsid w:val="009B3C9A"/>
    <w:rsid w:val="009B4141"/>
    <w:rsid w:val="009B512B"/>
    <w:rsid w:val="009B61A1"/>
    <w:rsid w:val="009C4AA1"/>
    <w:rsid w:val="009D2408"/>
    <w:rsid w:val="009D3837"/>
    <w:rsid w:val="009E52B5"/>
    <w:rsid w:val="009F2AD8"/>
    <w:rsid w:val="009F5883"/>
    <w:rsid w:val="009F7017"/>
    <w:rsid w:val="00A01622"/>
    <w:rsid w:val="00A12E0C"/>
    <w:rsid w:val="00A134AD"/>
    <w:rsid w:val="00A20050"/>
    <w:rsid w:val="00A22835"/>
    <w:rsid w:val="00A24D90"/>
    <w:rsid w:val="00A26E19"/>
    <w:rsid w:val="00A3107C"/>
    <w:rsid w:val="00A32107"/>
    <w:rsid w:val="00A355E5"/>
    <w:rsid w:val="00A44D2F"/>
    <w:rsid w:val="00A454D2"/>
    <w:rsid w:val="00A5169E"/>
    <w:rsid w:val="00A769D9"/>
    <w:rsid w:val="00A85501"/>
    <w:rsid w:val="00A90C7A"/>
    <w:rsid w:val="00A93CC0"/>
    <w:rsid w:val="00AA467C"/>
    <w:rsid w:val="00AA77A4"/>
    <w:rsid w:val="00AB06AB"/>
    <w:rsid w:val="00AB63AF"/>
    <w:rsid w:val="00AB7FAC"/>
    <w:rsid w:val="00AC345F"/>
    <w:rsid w:val="00AC3629"/>
    <w:rsid w:val="00AD1CA7"/>
    <w:rsid w:val="00AE0CCE"/>
    <w:rsid w:val="00AE1D3E"/>
    <w:rsid w:val="00AE23A7"/>
    <w:rsid w:val="00AE396E"/>
    <w:rsid w:val="00AE3DFB"/>
    <w:rsid w:val="00AF6C29"/>
    <w:rsid w:val="00B043E1"/>
    <w:rsid w:val="00B07204"/>
    <w:rsid w:val="00B1463A"/>
    <w:rsid w:val="00B16B90"/>
    <w:rsid w:val="00B17F39"/>
    <w:rsid w:val="00B35056"/>
    <w:rsid w:val="00B3613F"/>
    <w:rsid w:val="00B43565"/>
    <w:rsid w:val="00B444A8"/>
    <w:rsid w:val="00B64767"/>
    <w:rsid w:val="00B83841"/>
    <w:rsid w:val="00BA2BED"/>
    <w:rsid w:val="00BC0B42"/>
    <w:rsid w:val="00BC4951"/>
    <w:rsid w:val="00BD0D13"/>
    <w:rsid w:val="00BD3646"/>
    <w:rsid w:val="00BE02CA"/>
    <w:rsid w:val="00BF0C91"/>
    <w:rsid w:val="00BF5BEF"/>
    <w:rsid w:val="00BF6981"/>
    <w:rsid w:val="00BF7C57"/>
    <w:rsid w:val="00C05247"/>
    <w:rsid w:val="00C1183D"/>
    <w:rsid w:val="00C160E7"/>
    <w:rsid w:val="00C2035E"/>
    <w:rsid w:val="00C27199"/>
    <w:rsid w:val="00C272A1"/>
    <w:rsid w:val="00C37A53"/>
    <w:rsid w:val="00C42BEC"/>
    <w:rsid w:val="00C44E92"/>
    <w:rsid w:val="00C57909"/>
    <w:rsid w:val="00C60D48"/>
    <w:rsid w:val="00C64C3A"/>
    <w:rsid w:val="00C676E2"/>
    <w:rsid w:val="00C80A06"/>
    <w:rsid w:val="00C916E3"/>
    <w:rsid w:val="00C94204"/>
    <w:rsid w:val="00CA4517"/>
    <w:rsid w:val="00CA6B14"/>
    <w:rsid w:val="00CB1AA4"/>
    <w:rsid w:val="00CB32D8"/>
    <w:rsid w:val="00CB405F"/>
    <w:rsid w:val="00CB6416"/>
    <w:rsid w:val="00CC057C"/>
    <w:rsid w:val="00CC0608"/>
    <w:rsid w:val="00CC0FBB"/>
    <w:rsid w:val="00CC5C03"/>
    <w:rsid w:val="00CD4371"/>
    <w:rsid w:val="00CD7C4D"/>
    <w:rsid w:val="00CE3B61"/>
    <w:rsid w:val="00CE6A8E"/>
    <w:rsid w:val="00D03111"/>
    <w:rsid w:val="00D13ED5"/>
    <w:rsid w:val="00D203C7"/>
    <w:rsid w:val="00D21724"/>
    <w:rsid w:val="00D26609"/>
    <w:rsid w:val="00D41576"/>
    <w:rsid w:val="00D43A15"/>
    <w:rsid w:val="00D51951"/>
    <w:rsid w:val="00D51AED"/>
    <w:rsid w:val="00D52700"/>
    <w:rsid w:val="00D60176"/>
    <w:rsid w:val="00D62BFB"/>
    <w:rsid w:val="00D65346"/>
    <w:rsid w:val="00D6591A"/>
    <w:rsid w:val="00D67D2E"/>
    <w:rsid w:val="00D74F4D"/>
    <w:rsid w:val="00D76405"/>
    <w:rsid w:val="00D77228"/>
    <w:rsid w:val="00D83718"/>
    <w:rsid w:val="00D873F3"/>
    <w:rsid w:val="00D906D3"/>
    <w:rsid w:val="00D91E12"/>
    <w:rsid w:val="00DA2CB1"/>
    <w:rsid w:val="00DA2DC7"/>
    <w:rsid w:val="00DB12BA"/>
    <w:rsid w:val="00DB5DA6"/>
    <w:rsid w:val="00DC3B14"/>
    <w:rsid w:val="00DC6F9C"/>
    <w:rsid w:val="00DD2BCE"/>
    <w:rsid w:val="00DD5111"/>
    <w:rsid w:val="00DD735F"/>
    <w:rsid w:val="00DE102D"/>
    <w:rsid w:val="00DE4B20"/>
    <w:rsid w:val="00DE4B9F"/>
    <w:rsid w:val="00DF1342"/>
    <w:rsid w:val="00DF314B"/>
    <w:rsid w:val="00E025FF"/>
    <w:rsid w:val="00E149E8"/>
    <w:rsid w:val="00E16B5E"/>
    <w:rsid w:val="00E2266C"/>
    <w:rsid w:val="00E22D04"/>
    <w:rsid w:val="00E25991"/>
    <w:rsid w:val="00E30912"/>
    <w:rsid w:val="00E33E92"/>
    <w:rsid w:val="00E4121B"/>
    <w:rsid w:val="00E45829"/>
    <w:rsid w:val="00E50DE9"/>
    <w:rsid w:val="00E51B51"/>
    <w:rsid w:val="00E53928"/>
    <w:rsid w:val="00E56BE6"/>
    <w:rsid w:val="00E57C2D"/>
    <w:rsid w:val="00E641C5"/>
    <w:rsid w:val="00E745F3"/>
    <w:rsid w:val="00E751D1"/>
    <w:rsid w:val="00E76861"/>
    <w:rsid w:val="00E8051D"/>
    <w:rsid w:val="00E86434"/>
    <w:rsid w:val="00E87ABC"/>
    <w:rsid w:val="00E92146"/>
    <w:rsid w:val="00E94932"/>
    <w:rsid w:val="00EB2112"/>
    <w:rsid w:val="00ED1C88"/>
    <w:rsid w:val="00ED4FFE"/>
    <w:rsid w:val="00EE3178"/>
    <w:rsid w:val="00EE7874"/>
    <w:rsid w:val="00EF1CB5"/>
    <w:rsid w:val="00EF6BC8"/>
    <w:rsid w:val="00F2376B"/>
    <w:rsid w:val="00F324AF"/>
    <w:rsid w:val="00F32FF2"/>
    <w:rsid w:val="00F37B12"/>
    <w:rsid w:val="00F4029D"/>
    <w:rsid w:val="00F4064C"/>
    <w:rsid w:val="00F43428"/>
    <w:rsid w:val="00F52D41"/>
    <w:rsid w:val="00F606FD"/>
    <w:rsid w:val="00F613E0"/>
    <w:rsid w:val="00F65569"/>
    <w:rsid w:val="00F710EC"/>
    <w:rsid w:val="00F81703"/>
    <w:rsid w:val="00F90BED"/>
    <w:rsid w:val="00F940DE"/>
    <w:rsid w:val="00FA50C0"/>
    <w:rsid w:val="00FA531F"/>
    <w:rsid w:val="00FB725A"/>
    <w:rsid w:val="00FC57FB"/>
    <w:rsid w:val="00FC5EEB"/>
    <w:rsid w:val="00FD0798"/>
    <w:rsid w:val="00FD3CB3"/>
    <w:rsid w:val="00FD64FF"/>
    <w:rsid w:val="00FE65DD"/>
    <w:rsid w:val="00FF5437"/>
    <w:rsid w:val="00FF631B"/>
    <w:rsid w:val="00FF7835"/>
    <w:rsid w:val="334F4AB8"/>
    <w:rsid w:val="536F6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C14E1"/>
  <w15:docId w15:val="{15259D79-DDAA-4F94-87B8-1D62F57D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7"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semiHidden="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2"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32B22"/>
    <w:pPr>
      <w:widowControl w:val="0"/>
      <w:jc w:val="both"/>
    </w:pPr>
    <w:rPr>
      <w:kern w:val="2"/>
      <w:sz w:val="21"/>
      <w:szCs w:val="24"/>
    </w:rPr>
  </w:style>
  <w:style w:type="paragraph" w:styleId="1">
    <w:name w:val="heading 1"/>
    <w:basedOn w:val="a0"/>
    <w:next w:val="a0"/>
    <w:qFormat/>
    <w:pPr>
      <w:keepNext/>
      <w:keepLines/>
      <w:spacing w:before="340" w:after="330" w:line="578" w:lineRule="auto"/>
      <w:jc w:val="center"/>
      <w:outlineLvl w:val="0"/>
    </w:pPr>
    <w:rPr>
      <w:b/>
      <w:kern w:val="44"/>
      <w:sz w:val="28"/>
      <w:szCs w:val="20"/>
    </w:rPr>
  </w:style>
  <w:style w:type="paragraph" w:styleId="2">
    <w:name w:val="heading 2"/>
    <w:basedOn w:val="a0"/>
    <w:next w:val="a0"/>
    <w:qFormat/>
    <w:pPr>
      <w:keepNext/>
      <w:keepLines/>
      <w:numPr>
        <w:ilvl w:val="1"/>
        <w:numId w:val="1"/>
      </w:numPr>
      <w:spacing w:before="200" w:after="200" w:line="360" w:lineRule="auto"/>
      <w:outlineLvl w:val="1"/>
    </w:pPr>
    <w:rPr>
      <w:rFonts w:ascii="Arial" w:hAnsi="Arial"/>
      <w:b/>
      <w:sz w:val="24"/>
      <w:szCs w:val="20"/>
    </w:rPr>
  </w:style>
  <w:style w:type="paragraph" w:styleId="3">
    <w:name w:val="heading 3"/>
    <w:basedOn w:val="a0"/>
    <w:next w:val="a0"/>
    <w:qFormat/>
    <w:pPr>
      <w:numPr>
        <w:ilvl w:val="2"/>
        <w:numId w:val="1"/>
      </w:numPr>
      <w:spacing w:before="120" w:after="120" w:line="360" w:lineRule="auto"/>
      <w:outlineLvl w:val="2"/>
    </w:pPr>
    <w:rPr>
      <w:rFonts w:ascii="宋体"/>
      <w:b/>
      <w:szCs w:val="20"/>
    </w:rPr>
  </w:style>
  <w:style w:type="paragraph" w:styleId="4">
    <w:name w:val="heading 4"/>
    <w:basedOn w:val="a0"/>
    <w:next w:val="a0"/>
    <w:qFormat/>
    <w:pPr>
      <w:keepNext/>
      <w:keepLines/>
      <w:numPr>
        <w:ilvl w:val="3"/>
        <w:numId w:val="1"/>
      </w:numPr>
      <w:spacing w:line="360" w:lineRule="auto"/>
      <w:outlineLvl w:val="3"/>
    </w:pPr>
    <w:rPr>
      <w:rFonts w:ascii="Arial" w:hAnsi="Arial"/>
      <w:szCs w:val="20"/>
    </w:rPr>
  </w:style>
  <w:style w:type="paragraph" w:styleId="5">
    <w:name w:val="heading 5"/>
    <w:basedOn w:val="a0"/>
    <w:next w:val="a0"/>
    <w:qFormat/>
    <w:pPr>
      <w:keepNext/>
      <w:keepLines/>
      <w:numPr>
        <w:ilvl w:val="4"/>
        <w:numId w:val="1"/>
      </w:numPr>
      <w:adjustRightInd w:val="0"/>
      <w:snapToGrid w:val="0"/>
      <w:spacing w:line="360" w:lineRule="auto"/>
      <w:outlineLvl w:val="4"/>
    </w:pPr>
    <w:rPr>
      <w:szCs w:val="20"/>
    </w:rPr>
  </w:style>
  <w:style w:type="paragraph" w:styleId="6">
    <w:name w:val="heading 6"/>
    <w:basedOn w:val="a0"/>
    <w:next w:val="a0"/>
    <w:qFormat/>
    <w:pPr>
      <w:keepNext/>
      <w:keepLines/>
      <w:numPr>
        <w:ilvl w:val="5"/>
        <w:numId w:val="1"/>
      </w:numPr>
      <w:spacing w:before="240" w:after="64" w:line="320" w:lineRule="auto"/>
      <w:outlineLvl w:val="5"/>
    </w:pPr>
    <w:rPr>
      <w:rFonts w:ascii="Arial" w:eastAsia="黑体" w:hAnsi="Arial"/>
      <w:b/>
      <w:sz w:val="24"/>
      <w:szCs w:val="20"/>
    </w:rPr>
  </w:style>
  <w:style w:type="paragraph" w:styleId="7">
    <w:name w:val="heading 7"/>
    <w:basedOn w:val="a0"/>
    <w:next w:val="a0"/>
    <w:qFormat/>
    <w:pPr>
      <w:keepNext/>
      <w:keepLines/>
      <w:numPr>
        <w:ilvl w:val="6"/>
        <w:numId w:val="1"/>
      </w:numPr>
      <w:spacing w:before="240" w:after="64" w:line="320" w:lineRule="auto"/>
      <w:outlineLvl w:val="6"/>
    </w:pPr>
    <w:rPr>
      <w:b/>
      <w:sz w:val="24"/>
      <w:szCs w:val="20"/>
    </w:rPr>
  </w:style>
  <w:style w:type="paragraph" w:styleId="8">
    <w:name w:val="heading 8"/>
    <w:basedOn w:val="a0"/>
    <w:next w:val="a0"/>
    <w:qFormat/>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0"/>
    <w:next w:val="a0"/>
    <w:qFormat/>
    <w:pPr>
      <w:keepNext/>
      <w:keepLines/>
      <w:numPr>
        <w:ilvl w:val="8"/>
        <w:numId w:val="1"/>
      </w:numPr>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semiHidden/>
    <w:qFormat/>
    <w:pPr>
      <w:ind w:leftChars="1200" w:left="2520"/>
    </w:pPr>
  </w:style>
  <w:style w:type="paragraph" w:styleId="a4">
    <w:name w:val="Normal Indent"/>
    <w:basedOn w:val="a0"/>
    <w:pPr>
      <w:ind w:firstLineChars="200" w:firstLine="420"/>
    </w:pPr>
  </w:style>
  <w:style w:type="paragraph" w:styleId="a5">
    <w:name w:val="Document Map"/>
    <w:basedOn w:val="a0"/>
    <w:semiHidden/>
    <w:qFormat/>
    <w:pPr>
      <w:shd w:val="clear" w:color="auto" w:fill="000080"/>
    </w:pPr>
  </w:style>
  <w:style w:type="paragraph" w:styleId="a6">
    <w:name w:val="annotation text"/>
    <w:basedOn w:val="a0"/>
    <w:link w:val="a7"/>
    <w:qFormat/>
    <w:pPr>
      <w:jc w:val="left"/>
    </w:pPr>
  </w:style>
  <w:style w:type="paragraph" w:styleId="30">
    <w:name w:val="Body Text 3"/>
    <w:basedOn w:val="a0"/>
    <w:pPr>
      <w:spacing w:before="100" w:beforeAutospacing="1" w:after="100" w:afterAutospacing="1" w:line="360" w:lineRule="auto"/>
    </w:pPr>
    <w:rPr>
      <w:rFonts w:ascii="宋体" w:hAnsi="宋体"/>
      <w:color w:val="000000"/>
      <w:sz w:val="24"/>
      <w:szCs w:val="21"/>
    </w:rPr>
  </w:style>
  <w:style w:type="paragraph" w:styleId="a8">
    <w:name w:val="Body Text"/>
    <w:basedOn w:val="a0"/>
    <w:qFormat/>
    <w:pPr>
      <w:spacing w:after="120"/>
    </w:pPr>
  </w:style>
  <w:style w:type="paragraph" w:styleId="a9">
    <w:name w:val="Body Text Indent"/>
    <w:basedOn w:val="a0"/>
    <w:qFormat/>
    <w:pPr>
      <w:autoSpaceDE w:val="0"/>
      <w:autoSpaceDN w:val="0"/>
      <w:spacing w:line="360" w:lineRule="auto"/>
      <w:ind w:firstLine="425"/>
      <w:textAlignment w:val="bottom"/>
    </w:pPr>
    <w:rPr>
      <w:rFonts w:ascii="宋体"/>
      <w:color w:val="FF0000"/>
      <w:szCs w:val="20"/>
    </w:rPr>
  </w:style>
  <w:style w:type="paragraph" w:styleId="50">
    <w:name w:val="toc 5"/>
    <w:basedOn w:val="a0"/>
    <w:next w:val="a0"/>
    <w:semiHidden/>
    <w:qFormat/>
    <w:pPr>
      <w:ind w:leftChars="800" w:left="1680"/>
    </w:pPr>
  </w:style>
  <w:style w:type="paragraph" w:styleId="31">
    <w:name w:val="toc 3"/>
    <w:basedOn w:val="a0"/>
    <w:next w:val="a0"/>
    <w:semiHidden/>
    <w:qFormat/>
    <w:pPr>
      <w:ind w:leftChars="400" w:left="840"/>
    </w:pPr>
  </w:style>
  <w:style w:type="paragraph" w:styleId="aa">
    <w:name w:val="Plain Text"/>
    <w:basedOn w:val="a0"/>
    <w:qFormat/>
    <w:pPr>
      <w:adjustRightInd w:val="0"/>
      <w:spacing w:line="312" w:lineRule="atLeast"/>
      <w:textAlignment w:val="baseline"/>
    </w:pPr>
    <w:rPr>
      <w:rFonts w:ascii="宋体" w:hAnsi="Courier New"/>
      <w:kern w:val="0"/>
      <w:szCs w:val="21"/>
    </w:rPr>
  </w:style>
  <w:style w:type="paragraph" w:styleId="80">
    <w:name w:val="toc 8"/>
    <w:basedOn w:val="a0"/>
    <w:next w:val="a0"/>
    <w:semiHidden/>
    <w:qFormat/>
    <w:pPr>
      <w:ind w:leftChars="1400" w:left="2940"/>
    </w:pPr>
  </w:style>
  <w:style w:type="paragraph" w:styleId="21">
    <w:name w:val="Body Text Indent 2"/>
    <w:basedOn w:val="a0"/>
    <w:qFormat/>
    <w:pPr>
      <w:autoSpaceDE w:val="0"/>
      <w:autoSpaceDN w:val="0"/>
      <w:spacing w:line="360" w:lineRule="auto"/>
      <w:ind w:firstLine="425"/>
      <w:textAlignment w:val="bottom"/>
    </w:pPr>
    <w:rPr>
      <w:rFonts w:ascii="宋体"/>
      <w:szCs w:val="20"/>
    </w:rPr>
  </w:style>
  <w:style w:type="paragraph" w:styleId="ab">
    <w:name w:val="Balloon Text"/>
    <w:basedOn w:val="a0"/>
    <w:semiHidden/>
    <w:rPr>
      <w:sz w:val="18"/>
      <w:szCs w:val="18"/>
    </w:rPr>
  </w:style>
  <w:style w:type="paragraph" w:styleId="ac">
    <w:name w:val="footer"/>
    <w:basedOn w:val="a0"/>
    <w:qFormat/>
    <w:pPr>
      <w:tabs>
        <w:tab w:val="center" w:pos="4153"/>
        <w:tab w:val="right" w:pos="8306"/>
      </w:tabs>
      <w:adjustRightInd w:val="0"/>
      <w:spacing w:line="240" w:lineRule="atLeast"/>
      <w:ind w:firstLine="425"/>
      <w:jc w:val="left"/>
      <w:textAlignment w:val="baseline"/>
    </w:pPr>
    <w:rPr>
      <w:rFonts w:ascii="宋体"/>
      <w:kern w:val="0"/>
      <w:sz w:val="18"/>
      <w:szCs w:val="20"/>
    </w:rPr>
  </w:style>
  <w:style w:type="paragraph" w:styleId="ad">
    <w:name w:val="header"/>
    <w:basedOn w:val="a0"/>
    <w:qFormat/>
    <w:pPr>
      <w:pBdr>
        <w:bottom w:val="single" w:sz="6" w:space="1" w:color="auto"/>
      </w:pBdr>
      <w:tabs>
        <w:tab w:val="center" w:pos="4153"/>
        <w:tab w:val="right" w:pos="8306"/>
      </w:tabs>
      <w:snapToGrid w:val="0"/>
      <w:spacing w:line="360" w:lineRule="auto"/>
      <w:ind w:firstLine="425"/>
      <w:jc w:val="center"/>
    </w:pPr>
    <w:rPr>
      <w:sz w:val="18"/>
      <w:szCs w:val="20"/>
    </w:rPr>
  </w:style>
  <w:style w:type="paragraph" w:styleId="10">
    <w:name w:val="toc 1"/>
    <w:basedOn w:val="a0"/>
    <w:next w:val="a0"/>
    <w:semiHidden/>
    <w:qFormat/>
    <w:pPr>
      <w:tabs>
        <w:tab w:val="right" w:leader="dot" w:pos="8302"/>
      </w:tabs>
      <w:spacing w:line="360" w:lineRule="auto"/>
      <w:ind w:firstLine="425"/>
      <w:jc w:val="left"/>
    </w:pPr>
    <w:rPr>
      <w:rFonts w:ascii="宋体" w:hAnsi="宋体"/>
      <w:caps/>
      <w:sz w:val="24"/>
      <w:szCs w:val="20"/>
    </w:rPr>
  </w:style>
  <w:style w:type="paragraph" w:styleId="40">
    <w:name w:val="toc 4"/>
    <w:basedOn w:val="a0"/>
    <w:next w:val="a0"/>
    <w:semiHidden/>
    <w:qFormat/>
    <w:pPr>
      <w:ind w:leftChars="600" w:left="1260"/>
    </w:pPr>
  </w:style>
  <w:style w:type="paragraph" w:styleId="60">
    <w:name w:val="toc 6"/>
    <w:basedOn w:val="a0"/>
    <w:next w:val="a0"/>
    <w:semiHidden/>
    <w:qFormat/>
    <w:pPr>
      <w:ind w:leftChars="1000" w:left="2100"/>
    </w:pPr>
  </w:style>
  <w:style w:type="paragraph" w:styleId="32">
    <w:name w:val="Body Text Indent 3"/>
    <w:basedOn w:val="a0"/>
    <w:qFormat/>
    <w:pPr>
      <w:autoSpaceDE w:val="0"/>
      <w:autoSpaceDN w:val="0"/>
      <w:spacing w:line="348" w:lineRule="auto"/>
      <w:ind w:firstLine="540"/>
      <w:textAlignment w:val="bottom"/>
    </w:pPr>
    <w:rPr>
      <w:rFonts w:ascii="宋体" w:hAnsi="宋体"/>
      <w:szCs w:val="21"/>
    </w:rPr>
  </w:style>
  <w:style w:type="paragraph" w:styleId="71">
    <w:name w:val="index 7"/>
    <w:basedOn w:val="a0"/>
    <w:next w:val="a0"/>
    <w:semiHidden/>
    <w:pPr>
      <w:ind w:leftChars="1200" w:left="1200"/>
    </w:pPr>
    <w:rPr>
      <w:rFonts w:ascii="Arial" w:hAnsi="Arial"/>
      <w:sz w:val="18"/>
    </w:rPr>
  </w:style>
  <w:style w:type="paragraph" w:styleId="22">
    <w:name w:val="toc 2"/>
    <w:basedOn w:val="a0"/>
    <w:next w:val="a0"/>
    <w:semiHidden/>
    <w:qFormat/>
    <w:pPr>
      <w:tabs>
        <w:tab w:val="left" w:pos="1470"/>
        <w:tab w:val="right" w:leader="dot" w:pos="8296"/>
      </w:tabs>
      <w:ind w:left="210" w:firstLine="425"/>
      <w:jc w:val="left"/>
    </w:pPr>
    <w:rPr>
      <w:rFonts w:ascii="宋体" w:hAnsi="宋体"/>
      <w:smallCaps/>
      <w:sz w:val="24"/>
      <w:szCs w:val="20"/>
    </w:rPr>
  </w:style>
  <w:style w:type="paragraph" w:styleId="90">
    <w:name w:val="toc 9"/>
    <w:basedOn w:val="a0"/>
    <w:next w:val="a0"/>
    <w:semiHidden/>
    <w:qFormat/>
    <w:pPr>
      <w:ind w:leftChars="1600" w:left="3360"/>
    </w:pPr>
  </w:style>
  <w:style w:type="paragraph" w:styleId="23">
    <w:name w:val="Body Text 2"/>
    <w:basedOn w:val="a0"/>
    <w:qFormat/>
    <w:rPr>
      <w:rFonts w:eastAsia="楷体_GB2312" w:cs="Arial"/>
      <w:color w:val="000080"/>
      <w:sz w:val="18"/>
      <w:szCs w:val="14"/>
    </w:rPr>
  </w:style>
  <w:style w:type="paragraph" w:styleId="a">
    <w:name w:val="Normal (Web)"/>
    <w:basedOn w:val="a0"/>
    <w:qFormat/>
    <w:pPr>
      <w:widowControl/>
      <w:numPr>
        <w:numId w:val="2"/>
      </w:numPr>
      <w:spacing w:before="100" w:beforeAutospacing="1" w:after="100" w:afterAutospacing="1"/>
      <w:jc w:val="left"/>
    </w:pPr>
    <w:rPr>
      <w:rFonts w:ascii="Arial Unicode MS" w:eastAsia="Arial Unicode MS" w:hAnsi="Arial Unicode MS" w:cs="Arial Unicode MS"/>
      <w:kern w:val="0"/>
      <w:sz w:val="24"/>
    </w:rPr>
  </w:style>
  <w:style w:type="paragraph" w:styleId="ae">
    <w:name w:val="Title"/>
    <w:basedOn w:val="a0"/>
    <w:qFormat/>
    <w:pPr>
      <w:spacing w:before="240" w:after="60"/>
      <w:jc w:val="center"/>
      <w:outlineLvl w:val="0"/>
    </w:pPr>
    <w:rPr>
      <w:rFonts w:ascii="Arial" w:hAnsi="Arial" w:cs="Arial"/>
      <w:b/>
      <w:bCs/>
      <w:sz w:val="32"/>
      <w:szCs w:val="32"/>
    </w:rPr>
  </w:style>
  <w:style w:type="paragraph" w:styleId="af">
    <w:name w:val="annotation subject"/>
    <w:basedOn w:val="a6"/>
    <w:next w:val="a6"/>
    <w:semiHidden/>
    <w:qFormat/>
    <w:rPr>
      <w:b/>
      <w:bCs/>
    </w:rPr>
  </w:style>
  <w:style w:type="paragraph" w:styleId="af0">
    <w:name w:val="Body Text First Indent"/>
    <w:basedOn w:val="a8"/>
    <w:qFormat/>
    <w:pPr>
      <w:spacing w:line="300" w:lineRule="auto"/>
      <w:ind w:firstLine="425"/>
    </w:pPr>
    <w:rPr>
      <w:szCs w:val="20"/>
    </w:rPr>
  </w:style>
  <w:style w:type="character" w:styleId="af1">
    <w:name w:val="page number"/>
    <w:qFormat/>
  </w:style>
  <w:style w:type="character" w:styleId="af2">
    <w:name w:val="FollowedHyperlink"/>
    <w:qFormat/>
    <w:rPr>
      <w:color w:val="800080"/>
      <w:u w:val="single"/>
    </w:rPr>
  </w:style>
  <w:style w:type="character" w:styleId="af3">
    <w:name w:val="Hyperlink"/>
    <w:qFormat/>
    <w:rPr>
      <w:color w:val="0000FF"/>
      <w:u w:val="single"/>
    </w:rPr>
  </w:style>
  <w:style w:type="character" w:styleId="af4">
    <w:name w:val="annotation reference"/>
    <w:rPr>
      <w:sz w:val="21"/>
      <w:szCs w:val="21"/>
    </w:rPr>
  </w:style>
  <w:style w:type="character" w:styleId="af5">
    <w:name w:val="footnote reference"/>
    <w:semiHidden/>
    <w:qFormat/>
    <w:rPr>
      <w:vertAlign w:val="superscript"/>
    </w:rPr>
  </w:style>
  <w:style w:type="paragraph" w:customStyle="1" w:styleId="ParaCharCharCharCharCharChar">
    <w:name w:val="默认段落字体 Para Char Char Char Char Char Char"/>
    <w:basedOn w:val="a0"/>
    <w:qFormat/>
    <w:pPr>
      <w:tabs>
        <w:tab w:val="left" w:pos="840"/>
      </w:tabs>
      <w:ind w:left="840" w:hanging="360"/>
    </w:pPr>
    <w:rPr>
      <w:sz w:val="24"/>
    </w:rPr>
  </w:style>
  <w:style w:type="paragraph" w:customStyle="1" w:styleId="20">
    <w:name w:val="列表2"/>
    <w:basedOn w:val="a0"/>
    <w:next w:val="ae"/>
    <w:qFormat/>
    <w:pPr>
      <w:numPr>
        <w:numId w:val="3"/>
      </w:numPr>
      <w:spacing w:line="360" w:lineRule="auto"/>
    </w:pPr>
    <w:rPr>
      <w:rFonts w:ascii="宋体"/>
      <w:szCs w:val="20"/>
    </w:rPr>
  </w:style>
  <w:style w:type="paragraph" w:customStyle="1" w:styleId="11">
    <w:name w:val="列表1"/>
    <w:basedOn w:val="a0"/>
    <w:next w:val="a0"/>
    <w:qFormat/>
    <w:pPr>
      <w:tabs>
        <w:tab w:val="left" w:pos="1440"/>
      </w:tabs>
      <w:spacing w:line="360" w:lineRule="auto"/>
      <w:ind w:leftChars="400" w:left="1203" w:hanging="363"/>
    </w:pPr>
    <w:rPr>
      <w:rFonts w:ascii="宋体" w:hAnsi="宋体"/>
      <w:color w:val="000000"/>
      <w:sz w:val="24"/>
      <w:szCs w:val="21"/>
    </w:rPr>
  </w:style>
  <w:style w:type="paragraph" w:customStyle="1" w:styleId="2211">
    <w:name w:val="样式 标题 2 + 首行缩进:  2 字符 段前: 1 行 段后: 1 行"/>
    <w:basedOn w:val="2"/>
    <w:qFormat/>
    <w:pPr>
      <w:numPr>
        <w:numId w:val="4"/>
      </w:numPr>
      <w:spacing w:before="100" w:after="100" w:line="240" w:lineRule="auto"/>
    </w:pPr>
    <w:rPr>
      <w:sz w:val="28"/>
    </w:rPr>
  </w:style>
  <w:style w:type="character" w:customStyle="1" w:styleId="read">
    <w:name w:val="read"/>
    <w:qFormat/>
  </w:style>
  <w:style w:type="paragraph" w:customStyle="1" w:styleId="2111111">
    <w:name w:val="样式 样式 样式 标题 2 + 段前: 1 行 段后: 1 行1 + 段前: 1 行 段后: 1 行 + 段前: 1 行 段后..."/>
    <w:basedOn w:val="a0"/>
    <w:qFormat/>
    <w:pPr>
      <w:keepNext/>
      <w:keepLines/>
      <w:spacing w:before="447" w:after="447"/>
      <w:outlineLvl w:val="1"/>
    </w:pPr>
    <w:rPr>
      <w:rFonts w:ascii="Arial" w:hAnsi="Arial"/>
      <w:b/>
      <w:sz w:val="28"/>
      <w:szCs w:val="20"/>
    </w:rPr>
  </w:style>
  <w:style w:type="character" w:customStyle="1" w:styleId="big1">
    <w:name w:val="big1"/>
    <w:qFormat/>
    <w:rPr>
      <w:sz w:val="22"/>
      <w:szCs w:val="22"/>
    </w:rPr>
  </w:style>
  <w:style w:type="paragraph" w:customStyle="1" w:styleId="xl22">
    <w:name w:val="xl22"/>
    <w:basedOn w:val="a0"/>
    <w:qFormat/>
    <w:pPr>
      <w:widowControl/>
      <w:spacing w:before="100" w:beforeAutospacing="1" w:after="100" w:afterAutospacing="1"/>
      <w:textAlignment w:val="top"/>
    </w:pPr>
    <w:rPr>
      <w:rFonts w:ascii="宋体" w:hAnsi="宋体" w:hint="eastAsia"/>
      <w:kern w:val="0"/>
      <w:sz w:val="18"/>
      <w:szCs w:val="18"/>
    </w:rPr>
  </w:style>
  <w:style w:type="paragraph" w:customStyle="1" w:styleId="af6">
    <w:name w:val="表格正文"/>
    <w:basedOn w:val="a4"/>
    <w:qFormat/>
    <w:pPr>
      <w:spacing w:beforeLines="50" w:before="50"/>
      <w:ind w:firstLineChars="0" w:firstLine="0"/>
      <w:jc w:val="center"/>
    </w:pPr>
    <w:rPr>
      <w:sz w:val="24"/>
      <w:szCs w:val="20"/>
    </w:rPr>
  </w:style>
  <w:style w:type="character" w:customStyle="1" w:styleId="unnamed11">
    <w:name w:val="unnamed11"/>
    <w:qFormat/>
    <w:rPr>
      <w:rFonts w:ascii="宋体" w:eastAsia="宋体" w:hAnsi="宋体" w:hint="eastAsia"/>
      <w:sz w:val="18"/>
      <w:szCs w:val="18"/>
    </w:rPr>
  </w:style>
  <w:style w:type="paragraph" w:customStyle="1" w:styleId="33">
    <w:name w:val="正文文字缩进 3"/>
    <w:basedOn w:val="a0"/>
    <w:qFormat/>
    <w:pPr>
      <w:spacing w:line="360" w:lineRule="auto"/>
      <w:ind w:firstLine="420"/>
    </w:pPr>
    <w:rPr>
      <w:rFonts w:eastAsia="仿宋_GB2312"/>
      <w:sz w:val="24"/>
      <w:shd w:val="pct10" w:color="auto" w:fill="FFFFFF"/>
    </w:rPr>
  </w:style>
  <w:style w:type="character" w:customStyle="1" w:styleId="grame">
    <w:name w:val="grame"/>
    <w:qFormat/>
  </w:style>
  <w:style w:type="paragraph" w:customStyle="1" w:styleId="CharCharCharChar1CharCharChar">
    <w:name w:val="Char Char Char Char1 Char Char Char"/>
    <w:basedOn w:val="a0"/>
    <w:qFormat/>
  </w:style>
  <w:style w:type="paragraph" w:customStyle="1" w:styleId="Char">
    <w:name w:val="Char"/>
    <w:basedOn w:val="a0"/>
    <w:qFormat/>
  </w:style>
  <w:style w:type="paragraph" w:customStyle="1" w:styleId="12">
    <w:name w:val="修订1"/>
    <w:uiPriority w:val="99"/>
    <w:semiHidden/>
    <w:qFormat/>
    <w:rPr>
      <w:kern w:val="2"/>
      <w:sz w:val="21"/>
      <w:szCs w:val="24"/>
    </w:rPr>
  </w:style>
  <w:style w:type="character" w:styleId="af7">
    <w:name w:val="Placeholder Text"/>
    <w:basedOn w:val="a1"/>
    <w:uiPriority w:val="99"/>
    <w:unhideWhenUsed/>
    <w:qFormat/>
    <w:rPr>
      <w:color w:val="808080"/>
    </w:rPr>
  </w:style>
  <w:style w:type="character" w:customStyle="1" w:styleId="13">
    <w:name w:val="未处理的提及1"/>
    <w:basedOn w:val="a1"/>
    <w:uiPriority w:val="99"/>
    <w:semiHidden/>
    <w:unhideWhenUsed/>
    <w:qFormat/>
    <w:rPr>
      <w:color w:val="605E5C"/>
      <w:shd w:val="clear" w:color="auto" w:fill="E1DFDD"/>
    </w:rPr>
  </w:style>
  <w:style w:type="paragraph" w:styleId="af8">
    <w:name w:val="Revision"/>
    <w:hidden/>
    <w:uiPriority w:val="99"/>
    <w:semiHidden/>
    <w:rsid w:val="00436BB0"/>
    <w:rPr>
      <w:kern w:val="2"/>
      <w:sz w:val="21"/>
      <w:szCs w:val="24"/>
    </w:rPr>
  </w:style>
  <w:style w:type="character" w:customStyle="1" w:styleId="a7">
    <w:name w:val="批注文字 字符"/>
    <w:basedOn w:val="a1"/>
    <w:link w:val="a6"/>
    <w:rsid w:val="00E57C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eader" Target="header1.xm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13FA5C-1013-44A2-9425-1883C0C48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75</Pages>
  <Words>6890</Words>
  <Characters>39275</Characters>
  <Application>Microsoft Office Word</Application>
  <DocSecurity>0</DocSecurity>
  <Lines>327</Lines>
  <Paragraphs>92</Paragraphs>
  <ScaleCrop>false</ScaleCrop>
  <Company>jysld</Company>
  <LinksUpToDate>false</LinksUpToDate>
  <CharactersWithSpaces>46073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基金合同（草案）</dc:title>
  <dc:creator>zhangchunhong</dc:creator>
  <cp:lastModifiedBy>张婕茹</cp:lastModifiedBy>
  <cp:revision>16</cp:revision>
  <cp:lastPrinted>2007-04-16T07:41:00Z</cp:lastPrinted>
  <dcterms:created xsi:type="dcterms:W3CDTF">2024-02-01T15:21:00Z</dcterms:created>
  <dcterms:modified xsi:type="dcterms:W3CDTF">2024-02-26T07:18:00Z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4A3C3C3E1DAE4FA1A5B6EABFFDD6CA9F</vt:lpwstr>
  </property>
</Properties>
</file>