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50024" w14:textId="77777777" w:rsidR="0041517B" w:rsidRPr="00EB07BC" w:rsidRDefault="0041517B">
      <w:pPr>
        <w:rPr>
          <w:sz w:val="32"/>
        </w:rPr>
      </w:pPr>
    </w:p>
    <w:p w14:paraId="62330E49" w14:textId="77777777" w:rsidR="0041517B" w:rsidRPr="00EB07BC" w:rsidRDefault="0041517B">
      <w:pPr>
        <w:rPr>
          <w:sz w:val="32"/>
        </w:rPr>
      </w:pPr>
    </w:p>
    <w:p w14:paraId="5BB802F9" w14:textId="77777777" w:rsidR="0041517B" w:rsidRPr="00EB07BC" w:rsidRDefault="0041517B">
      <w:pPr>
        <w:rPr>
          <w:sz w:val="32"/>
        </w:rPr>
      </w:pPr>
    </w:p>
    <w:p w14:paraId="3D56FF58" w14:textId="3620380C" w:rsidR="0041517B" w:rsidRPr="00EB07BC" w:rsidRDefault="00F931F3">
      <w:pPr>
        <w:jc w:val="center"/>
        <w:rPr>
          <w:sz w:val="32"/>
        </w:rPr>
      </w:pPr>
      <w:r>
        <w:rPr>
          <w:noProof/>
        </w:rPr>
        <w:drawing>
          <wp:inline distT="0" distB="0" distL="0" distR="0" wp14:anchorId="43F0B527" wp14:editId="5CFECD8B">
            <wp:extent cx="4343400" cy="571500"/>
            <wp:effectExtent l="0" t="0" r="0" b="0"/>
            <wp:docPr id="9"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D8EBA98" w14:textId="77777777" w:rsidR="00007225" w:rsidRDefault="0000722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7993B12" w14:textId="77777777" w:rsidR="00007225" w:rsidRDefault="0000722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C7C2A48" w14:textId="77777777" w:rsidR="00007225" w:rsidRDefault="00F07F0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交银施罗德货币市场证券投资基金</w:t>
      </w:r>
    </w:p>
    <w:p w14:paraId="526EF907" w14:textId="77777777" w:rsidR="00007225" w:rsidRDefault="00F07F0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06545877" w14:textId="63F83551" w:rsidR="00007225" w:rsidRDefault="00F07F0D">
      <w:pPr>
        <w:snapToGrid w:val="0"/>
        <w:spacing w:line="360" w:lineRule="auto"/>
        <w:jc w:val="center"/>
        <w:rPr>
          <w:rFonts w:ascii="宋体" w:hAnsi="宋体"/>
          <w:b/>
          <w:sz w:val="30"/>
          <w:szCs w:val="30"/>
        </w:rPr>
      </w:pPr>
      <w:r>
        <w:rPr>
          <w:rFonts w:ascii="Times New Roman" w:hAnsi="Times New Roman"/>
          <w:b/>
          <w:color w:val="000000"/>
          <w:sz w:val="32"/>
          <w:szCs w:val="32"/>
        </w:rPr>
        <w:t>(</w:t>
      </w:r>
      <w:r w:rsidR="003F2D08">
        <w:rPr>
          <w:rFonts w:ascii="Times New Roman" w:hAnsi="Times New Roman"/>
          <w:b/>
          <w:color w:val="000000"/>
          <w:sz w:val="32"/>
          <w:szCs w:val="32"/>
        </w:rPr>
        <w:t>2024</w:t>
      </w:r>
      <w:r>
        <w:rPr>
          <w:rFonts w:ascii="Times New Roman" w:hAnsi="Times New Roman"/>
          <w:b/>
          <w:color w:val="000000"/>
          <w:sz w:val="32"/>
          <w:szCs w:val="32"/>
        </w:rPr>
        <w:t>年</w:t>
      </w:r>
      <w:r w:rsidR="003F2D08">
        <w:rPr>
          <w:rFonts w:ascii="Times New Roman" w:hAnsi="Times New Roman"/>
          <w:b/>
          <w:color w:val="000000"/>
          <w:sz w:val="32"/>
          <w:szCs w:val="32"/>
        </w:rPr>
        <w:t>第</w:t>
      </w:r>
      <w:r w:rsidR="00EA59C4">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6CD27551"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0EB8515"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65D5CC2"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6BC480F"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025292A"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A8EF33"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7ED412E" w14:textId="77777777" w:rsidR="00007225" w:rsidRDefault="00F07F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13EA7F25" w14:textId="77777777" w:rsidR="00007225" w:rsidRDefault="00F07F0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261C6477"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A4701A6" w14:textId="77777777" w:rsidR="00007225" w:rsidRDefault="00007225">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16FDAC" w14:textId="5D15655E" w:rsidR="00007225" w:rsidRDefault="00EA10E6">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3F2D08">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EA59C4">
        <w:rPr>
          <w:rFonts w:ascii="Times New Roman" w:hAnsi="Times New Roman" w:hint="eastAsia"/>
          <w:b/>
          <w:spacing w:val="2"/>
          <w:w w:val="99"/>
          <w:kern w:val="0"/>
          <w:sz w:val="28"/>
          <w:szCs w:val="32"/>
        </w:rPr>
        <w:t>二</w:t>
      </w:r>
      <w:r>
        <w:rPr>
          <w:rFonts w:ascii="Times New Roman" w:hAnsi="Times New Roman"/>
          <w:b/>
          <w:spacing w:val="2"/>
          <w:w w:val="99"/>
          <w:kern w:val="0"/>
          <w:sz w:val="28"/>
          <w:szCs w:val="32"/>
        </w:rPr>
        <w:t>月</w:t>
      </w:r>
    </w:p>
    <w:p w14:paraId="6A0E6415" w14:textId="77777777" w:rsidR="00007225" w:rsidRDefault="00007225">
      <w:pPr>
        <w:autoSpaceDE w:val="0"/>
        <w:autoSpaceDN w:val="0"/>
        <w:adjustRightInd w:val="0"/>
        <w:snapToGrid w:val="0"/>
        <w:spacing w:line="360" w:lineRule="auto"/>
        <w:ind w:left="1347" w:rightChars="6" w:right="13"/>
        <w:rPr>
          <w:rFonts w:ascii="宋体" w:hAnsi="宋体"/>
          <w:kern w:val="0"/>
          <w:sz w:val="32"/>
          <w:szCs w:val="32"/>
        </w:rPr>
        <w:sectPr w:rsidR="00007225">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4522671A" w14:textId="77777777" w:rsidR="00007225" w:rsidRDefault="00F07F0D">
      <w:pPr>
        <w:pStyle w:val="1"/>
        <w:snapToGrid w:val="0"/>
        <w:spacing w:beforeLines="0" w:before="240" w:after="240"/>
        <w:rPr>
          <w:rFonts w:ascii="宋体" w:hAnsi="宋体"/>
          <w:kern w:val="0"/>
        </w:rPr>
      </w:pPr>
      <w:bookmarkStart w:id="0" w:name="_Toc324920538"/>
      <w:bookmarkStart w:id="1" w:name="_Toc496884613"/>
      <w:bookmarkStart w:id="2" w:name="_Toc160021631"/>
      <w:r>
        <w:rPr>
          <w:rFonts w:ascii="Times New Roman" w:hAnsi="Times New Roman"/>
          <w:kern w:val="0"/>
        </w:rPr>
        <w:lastRenderedPageBreak/>
        <w:t>重要提示</w:t>
      </w:r>
      <w:bookmarkEnd w:id="0"/>
      <w:bookmarkEnd w:id="1"/>
      <w:bookmarkEnd w:id="2"/>
    </w:p>
    <w:p w14:paraId="53DA1DD8"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交银施罗德货币市场证券投资基金（以下简称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2005</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日中国证券监督管理委员会证监基金字【</w:t>
      </w:r>
      <w:r>
        <w:rPr>
          <w:rFonts w:ascii="Times New Roman" w:hAnsi="Times New Roman"/>
          <w:kern w:val="0"/>
          <w:sz w:val="24"/>
        </w:rPr>
        <w:t>2005</w:t>
      </w:r>
      <w:r>
        <w:rPr>
          <w:rFonts w:ascii="Times New Roman" w:hAnsi="Times New Roman"/>
          <w:kern w:val="0"/>
          <w:sz w:val="24"/>
        </w:rPr>
        <w:t>】</w:t>
      </w:r>
      <w:r>
        <w:rPr>
          <w:rFonts w:ascii="Times New Roman" w:hAnsi="Times New Roman"/>
          <w:kern w:val="0"/>
          <w:sz w:val="24"/>
        </w:rPr>
        <w:t>204</w:t>
      </w:r>
      <w:r>
        <w:rPr>
          <w:rFonts w:ascii="Times New Roman" w:hAnsi="Times New Roman"/>
          <w:kern w:val="0"/>
          <w:sz w:val="24"/>
        </w:rPr>
        <w:t>号文核准募集。本基金基金合同于</w:t>
      </w:r>
      <w:r>
        <w:rPr>
          <w:rFonts w:ascii="Times New Roman" w:hAnsi="Times New Roman"/>
          <w:kern w:val="0"/>
          <w:sz w:val="24"/>
        </w:rPr>
        <w:t>2006</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20</w:t>
      </w:r>
      <w:r>
        <w:rPr>
          <w:rFonts w:ascii="Times New Roman" w:hAnsi="Times New Roman"/>
          <w:kern w:val="0"/>
          <w:sz w:val="24"/>
        </w:rPr>
        <w:t>日正式生效。</w:t>
      </w:r>
    </w:p>
    <w:p w14:paraId="71B7D9A8"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3525FB57"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投资者购买本基金并不等于将资金作为存款存放在银行或存款类金融机构，本基金管理人不保证本基金一定盈利，也不保证最低收益。</w:t>
      </w:r>
    </w:p>
    <w:p w14:paraId="0D281572" w14:textId="77777777" w:rsidR="00007225" w:rsidRDefault="00F07F0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投资有风险，投资者在认（申）购本基金前应认真阅读本招募说明书。基金的过往业绩并不代表其未来表现。基金管理人管理的其他基金的业绩并不构成对本基金业绩表现的保证。</w:t>
      </w:r>
    </w:p>
    <w:p w14:paraId="55CB6BE9" w14:textId="4F4E884D" w:rsidR="00007225" w:rsidRDefault="00C841CA">
      <w:pPr>
        <w:autoSpaceDE w:val="0"/>
        <w:autoSpaceDN w:val="0"/>
        <w:adjustRightInd w:val="0"/>
        <w:snapToGrid w:val="0"/>
        <w:spacing w:line="360" w:lineRule="auto"/>
        <w:ind w:leftChars="50" w:left="105" w:firstLineChars="200" w:firstLine="480"/>
        <w:rPr>
          <w:rFonts w:ascii="宋体" w:hAnsi="宋体"/>
          <w:kern w:val="0"/>
          <w:sz w:val="24"/>
        </w:rPr>
      </w:pPr>
      <w:r w:rsidRPr="00E96140">
        <w:rPr>
          <w:rFonts w:ascii="Times New Roman" w:hAnsi="Times New Roman" w:hint="eastAsia"/>
          <w:kern w:val="0"/>
          <w:sz w:val="24"/>
        </w:rPr>
        <w:t>本次更新招募说明书主要对本基金</w:t>
      </w:r>
      <w:r w:rsidR="00B54EB2" w:rsidRPr="00B54EB2">
        <w:rPr>
          <w:rFonts w:ascii="Times New Roman" w:hAnsi="Times New Roman" w:hint="eastAsia"/>
          <w:kern w:val="0"/>
          <w:sz w:val="24"/>
        </w:rPr>
        <w:t>增设</w:t>
      </w:r>
      <w:r w:rsidR="00B54EB2" w:rsidRPr="00B54EB2">
        <w:rPr>
          <w:rFonts w:ascii="Times New Roman" w:hAnsi="Times New Roman" w:hint="eastAsia"/>
          <w:kern w:val="0"/>
          <w:sz w:val="24"/>
        </w:rPr>
        <w:t>C</w:t>
      </w:r>
      <w:r w:rsidR="00B54EB2" w:rsidRPr="00B54EB2">
        <w:rPr>
          <w:rFonts w:ascii="Times New Roman" w:hAnsi="Times New Roman" w:hint="eastAsia"/>
          <w:kern w:val="0"/>
          <w:sz w:val="24"/>
        </w:rPr>
        <w:t>类基金份额和</w:t>
      </w:r>
      <w:r w:rsidR="00B54EB2" w:rsidRPr="00B54EB2">
        <w:rPr>
          <w:rFonts w:ascii="Times New Roman" w:hAnsi="Times New Roman" w:hint="eastAsia"/>
          <w:kern w:val="0"/>
          <w:sz w:val="24"/>
        </w:rPr>
        <w:t>D</w:t>
      </w:r>
      <w:r w:rsidR="00B54EB2" w:rsidRPr="00B54EB2">
        <w:rPr>
          <w:rFonts w:ascii="Times New Roman" w:hAnsi="Times New Roman" w:hint="eastAsia"/>
          <w:kern w:val="0"/>
          <w:sz w:val="24"/>
        </w:rPr>
        <w:t>类基金份额的相关信息</w:t>
      </w:r>
      <w:r w:rsidRPr="00E96140">
        <w:rPr>
          <w:rFonts w:ascii="Times New Roman" w:hAnsi="Times New Roman" w:hint="eastAsia"/>
          <w:kern w:val="0"/>
          <w:sz w:val="24"/>
        </w:rPr>
        <w:t>进行更新，前述内容更新截止日为</w:t>
      </w:r>
      <w:r>
        <w:rPr>
          <w:rFonts w:ascii="Times New Roman" w:hAnsi="Times New Roman" w:hint="eastAsia"/>
          <w:kern w:val="0"/>
          <w:sz w:val="24"/>
        </w:rPr>
        <w:t>202</w:t>
      </w:r>
      <w:r w:rsidR="00D214FA">
        <w:rPr>
          <w:rFonts w:ascii="Times New Roman" w:hAnsi="Times New Roman"/>
          <w:kern w:val="0"/>
          <w:sz w:val="24"/>
        </w:rPr>
        <w:t>4</w:t>
      </w:r>
      <w:r w:rsidRPr="00E96140">
        <w:rPr>
          <w:rFonts w:ascii="Times New Roman" w:hAnsi="Times New Roman" w:hint="eastAsia"/>
          <w:kern w:val="0"/>
          <w:sz w:val="24"/>
        </w:rPr>
        <w:t>年</w:t>
      </w:r>
      <w:r w:rsidR="00EA59C4">
        <w:rPr>
          <w:rFonts w:ascii="Times New Roman" w:hAnsi="Times New Roman"/>
          <w:kern w:val="0"/>
          <w:sz w:val="24"/>
        </w:rPr>
        <w:t>2</w:t>
      </w:r>
      <w:r w:rsidRPr="00E96140">
        <w:rPr>
          <w:rFonts w:ascii="Times New Roman" w:hAnsi="Times New Roman" w:hint="eastAsia"/>
          <w:kern w:val="0"/>
          <w:sz w:val="24"/>
        </w:rPr>
        <w:t>月</w:t>
      </w:r>
      <w:r w:rsidR="00EA59C4">
        <w:rPr>
          <w:rFonts w:ascii="Times New Roman" w:hAnsi="Times New Roman" w:hint="eastAsia"/>
          <w:kern w:val="0"/>
          <w:sz w:val="24"/>
        </w:rPr>
        <w:t>2</w:t>
      </w:r>
      <w:r w:rsidR="00EA59C4">
        <w:rPr>
          <w:rFonts w:ascii="Times New Roman" w:hAnsi="Times New Roman"/>
          <w:kern w:val="0"/>
          <w:sz w:val="24"/>
        </w:rPr>
        <w:t>9</w:t>
      </w:r>
      <w:r w:rsidRPr="00E96140">
        <w:rPr>
          <w:rFonts w:ascii="Times New Roman" w:hAnsi="Times New Roman" w:hint="eastAsia"/>
          <w:kern w:val="0"/>
          <w:sz w:val="24"/>
        </w:rPr>
        <w:t>日。</w:t>
      </w:r>
      <w:r w:rsidR="00B54EB2" w:rsidRPr="00E96140">
        <w:rPr>
          <w:rFonts w:ascii="Times New Roman" w:hAnsi="Times New Roman" w:hint="eastAsia"/>
          <w:kern w:val="0"/>
          <w:sz w:val="24"/>
        </w:rPr>
        <w:t>本基金</w:t>
      </w:r>
      <w:r w:rsidR="00B54EB2">
        <w:rPr>
          <w:rFonts w:ascii="Times New Roman" w:hAnsi="Times New Roman" w:hint="eastAsia"/>
          <w:kern w:val="0"/>
          <w:sz w:val="24"/>
        </w:rPr>
        <w:t>调整收益分配原则等</w:t>
      </w:r>
      <w:r w:rsidR="00B54EB2" w:rsidRPr="00E96140">
        <w:rPr>
          <w:rFonts w:ascii="Times New Roman" w:hAnsi="Times New Roman" w:hint="eastAsia"/>
          <w:kern w:val="0"/>
          <w:sz w:val="24"/>
        </w:rPr>
        <w:t>信息更新截止日为</w:t>
      </w:r>
      <w:r w:rsidR="00B54EB2">
        <w:rPr>
          <w:rFonts w:ascii="Times New Roman" w:hAnsi="Times New Roman" w:hint="eastAsia"/>
          <w:kern w:val="0"/>
          <w:sz w:val="24"/>
        </w:rPr>
        <w:t>202</w:t>
      </w:r>
      <w:r w:rsidR="00B54EB2">
        <w:rPr>
          <w:rFonts w:ascii="Times New Roman" w:hAnsi="Times New Roman"/>
          <w:kern w:val="0"/>
          <w:sz w:val="24"/>
        </w:rPr>
        <w:t>3</w:t>
      </w:r>
      <w:r w:rsidR="00B54EB2" w:rsidRPr="00E96140">
        <w:rPr>
          <w:rFonts w:ascii="Times New Roman" w:hAnsi="Times New Roman" w:hint="eastAsia"/>
          <w:kern w:val="0"/>
          <w:sz w:val="24"/>
        </w:rPr>
        <w:t>年</w:t>
      </w:r>
      <w:r w:rsidR="00B54EB2">
        <w:rPr>
          <w:rFonts w:ascii="Times New Roman" w:hAnsi="Times New Roman"/>
          <w:kern w:val="0"/>
          <w:sz w:val="24"/>
        </w:rPr>
        <w:t>9</w:t>
      </w:r>
      <w:r w:rsidR="00B54EB2" w:rsidRPr="00E96140">
        <w:rPr>
          <w:rFonts w:ascii="Times New Roman" w:hAnsi="Times New Roman" w:hint="eastAsia"/>
          <w:kern w:val="0"/>
          <w:sz w:val="24"/>
        </w:rPr>
        <w:t>月</w:t>
      </w:r>
      <w:r w:rsidR="00B54EB2">
        <w:rPr>
          <w:rFonts w:ascii="Times New Roman" w:hAnsi="Times New Roman"/>
          <w:kern w:val="0"/>
          <w:sz w:val="24"/>
        </w:rPr>
        <w:t>21</w:t>
      </w:r>
      <w:r w:rsidR="00B54EB2" w:rsidRPr="00E96140">
        <w:rPr>
          <w:rFonts w:ascii="Times New Roman" w:hAnsi="Times New Roman" w:hint="eastAsia"/>
          <w:kern w:val="0"/>
          <w:sz w:val="24"/>
        </w:rPr>
        <w:t>日</w:t>
      </w:r>
      <w:r w:rsidR="00B54EB2">
        <w:rPr>
          <w:rFonts w:ascii="Times New Roman" w:hAnsi="Times New Roman" w:hint="eastAsia"/>
          <w:kern w:val="0"/>
          <w:sz w:val="24"/>
        </w:rPr>
        <w:t>，</w:t>
      </w:r>
      <w:r w:rsidRPr="00E96140">
        <w:rPr>
          <w:rFonts w:ascii="Times New Roman" w:hAnsi="Times New Roman" w:hint="eastAsia"/>
          <w:kern w:val="0"/>
          <w:sz w:val="24"/>
        </w:rPr>
        <w:t>除非另有说明，</w:t>
      </w:r>
      <w:r w:rsidR="00F07F0D">
        <w:rPr>
          <w:rFonts w:ascii="Times New Roman" w:hAnsi="Times New Roman"/>
          <w:kern w:val="0"/>
          <w:sz w:val="24"/>
        </w:rPr>
        <w:t>本招募说明书所载</w:t>
      </w:r>
      <w:r>
        <w:rPr>
          <w:rFonts w:ascii="Times New Roman" w:hAnsi="Times New Roman" w:hint="eastAsia"/>
          <w:kern w:val="0"/>
          <w:sz w:val="24"/>
        </w:rPr>
        <w:t>其他</w:t>
      </w:r>
      <w:r w:rsidR="00F07F0D">
        <w:rPr>
          <w:rFonts w:ascii="Times New Roman" w:hAnsi="Times New Roman"/>
          <w:kern w:val="0"/>
          <w:sz w:val="24"/>
        </w:rPr>
        <w:t>内容截止日为</w:t>
      </w:r>
      <w:r w:rsidR="00F07F0D">
        <w:rPr>
          <w:rFonts w:ascii="Times New Roman" w:hAnsi="Times New Roman"/>
          <w:kern w:val="0"/>
          <w:sz w:val="24"/>
        </w:rPr>
        <w:t>2023</w:t>
      </w:r>
      <w:r w:rsidR="00F07F0D">
        <w:rPr>
          <w:rFonts w:ascii="Times New Roman" w:hAnsi="Times New Roman"/>
          <w:kern w:val="0"/>
          <w:sz w:val="24"/>
        </w:rPr>
        <w:t>年</w:t>
      </w:r>
      <w:r w:rsidR="00F07F0D">
        <w:rPr>
          <w:rFonts w:ascii="Times New Roman" w:hAnsi="Times New Roman"/>
          <w:kern w:val="0"/>
          <w:sz w:val="24"/>
        </w:rPr>
        <w:t>05</w:t>
      </w:r>
      <w:r w:rsidR="00F07F0D">
        <w:rPr>
          <w:rFonts w:ascii="Times New Roman" w:hAnsi="Times New Roman"/>
          <w:kern w:val="0"/>
          <w:sz w:val="24"/>
        </w:rPr>
        <w:t>月</w:t>
      </w:r>
      <w:r w:rsidR="00F07F0D">
        <w:rPr>
          <w:rFonts w:ascii="Times New Roman" w:hAnsi="Times New Roman"/>
          <w:kern w:val="0"/>
          <w:sz w:val="24"/>
        </w:rPr>
        <w:t>27</w:t>
      </w:r>
      <w:r w:rsidR="00F07F0D">
        <w:rPr>
          <w:rFonts w:ascii="Times New Roman" w:hAnsi="Times New Roman"/>
          <w:kern w:val="0"/>
          <w:sz w:val="24"/>
        </w:rPr>
        <w:t>日，有关财务数据和净值表现截止日为</w:t>
      </w:r>
      <w:r w:rsidR="00F07F0D">
        <w:rPr>
          <w:rFonts w:ascii="Times New Roman" w:hAnsi="Times New Roman"/>
          <w:kern w:val="0"/>
          <w:sz w:val="24"/>
        </w:rPr>
        <w:t>2023</w:t>
      </w:r>
      <w:r w:rsidR="00F07F0D">
        <w:rPr>
          <w:rFonts w:ascii="Times New Roman" w:hAnsi="Times New Roman"/>
          <w:kern w:val="0"/>
          <w:sz w:val="24"/>
        </w:rPr>
        <w:t>年</w:t>
      </w:r>
      <w:r w:rsidR="00F07F0D">
        <w:rPr>
          <w:rFonts w:ascii="Times New Roman" w:hAnsi="Times New Roman"/>
          <w:kern w:val="0"/>
          <w:sz w:val="24"/>
        </w:rPr>
        <w:t>03</w:t>
      </w:r>
      <w:r w:rsidR="00F07F0D">
        <w:rPr>
          <w:rFonts w:ascii="Times New Roman" w:hAnsi="Times New Roman"/>
          <w:kern w:val="0"/>
          <w:sz w:val="24"/>
        </w:rPr>
        <w:t>月</w:t>
      </w:r>
      <w:r w:rsidR="00F07F0D">
        <w:rPr>
          <w:rFonts w:ascii="Times New Roman" w:hAnsi="Times New Roman"/>
          <w:kern w:val="0"/>
          <w:sz w:val="24"/>
        </w:rPr>
        <w:t>31</w:t>
      </w:r>
      <w:r w:rsidR="00F07F0D">
        <w:rPr>
          <w:rFonts w:ascii="Times New Roman" w:hAnsi="Times New Roman"/>
          <w:kern w:val="0"/>
          <w:sz w:val="24"/>
        </w:rPr>
        <w:t>日。本招募说明书所载的财务数据未经审计。</w:t>
      </w:r>
    </w:p>
    <w:p w14:paraId="77F7BE01" w14:textId="6E51F9DA" w:rsidR="00007225" w:rsidRDefault="00007225">
      <w:pPr>
        <w:autoSpaceDE w:val="0"/>
        <w:autoSpaceDN w:val="0"/>
        <w:adjustRightInd w:val="0"/>
        <w:snapToGrid w:val="0"/>
        <w:spacing w:before="51" w:line="360" w:lineRule="auto"/>
        <w:ind w:left="120" w:rightChars="6" w:right="13" w:firstLine="480"/>
        <w:rPr>
          <w:rFonts w:ascii="宋体" w:hAnsi="宋体"/>
          <w:kern w:val="0"/>
          <w:szCs w:val="24"/>
        </w:rPr>
      </w:pPr>
    </w:p>
    <w:p w14:paraId="59EB03EC" w14:textId="1B87EDD1" w:rsidR="00B54EB2" w:rsidRDefault="00B54EB2">
      <w:pPr>
        <w:autoSpaceDE w:val="0"/>
        <w:autoSpaceDN w:val="0"/>
        <w:adjustRightInd w:val="0"/>
        <w:snapToGrid w:val="0"/>
        <w:spacing w:before="51" w:line="360" w:lineRule="auto"/>
        <w:ind w:left="120" w:rightChars="6" w:right="13" w:firstLine="480"/>
        <w:rPr>
          <w:rFonts w:ascii="宋体" w:hAnsi="宋体"/>
          <w:kern w:val="0"/>
          <w:szCs w:val="24"/>
        </w:rPr>
        <w:sectPr w:rsidR="00B54EB2">
          <w:headerReference w:type="default" r:id="rId13"/>
          <w:pgSz w:w="11920" w:h="16840"/>
          <w:pgMar w:top="1440" w:right="1680" w:bottom="280" w:left="1680" w:header="0" w:footer="1073" w:gutter="0"/>
          <w:pgNumType w:start="1"/>
          <w:cols w:space="720"/>
        </w:sectPr>
      </w:pPr>
    </w:p>
    <w:p w14:paraId="1E33DD07" w14:textId="77777777" w:rsidR="00775444" w:rsidRPr="000B5317" w:rsidRDefault="00F07F0D" w:rsidP="000B5317">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0B5317">
        <w:rPr>
          <w:rFonts w:ascii="宋体" w:hAnsi="宋体"/>
          <w:b/>
          <w:bCs/>
          <w:color w:val="000000"/>
          <w:kern w:val="0"/>
          <w:position w:val="-4"/>
          <w:sz w:val="24"/>
          <w:szCs w:val="30"/>
        </w:rPr>
        <w:lastRenderedPageBreak/>
        <w:t>目</w:t>
      </w:r>
      <w:r w:rsidRPr="000B5317">
        <w:rPr>
          <w:rFonts w:ascii="宋体" w:hAnsi="宋体"/>
          <w:b/>
          <w:bCs/>
          <w:color w:val="000000"/>
          <w:kern w:val="0"/>
          <w:position w:val="-4"/>
          <w:sz w:val="24"/>
          <w:szCs w:val="30"/>
        </w:rPr>
        <w:tab/>
        <w:t>录</w:t>
      </w:r>
    </w:p>
    <w:p w14:paraId="07850A6B" w14:textId="705C40EE" w:rsidR="00F410C6" w:rsidRPr="000B5317" w:rsidRDefault="0097360B" w:rsidP="000B5317">
      <w:pPr>
        <w:pStyle w:val="11"/>
        <w:tabs>
          <w:tab w:val="right" w:leader="dot" w:pos="8550"/>
        </w:tabs>
        <w:spacing w:line="360" w:lineRule="auto"/>
        <w:rPr>
          <w:rStyle w:val="af0"/>
          <w:rFonts w:ascii="宋体" w:hAnsi="宋体"/>
          <w:kern w:val="0"/>
          <w:sz w:val="24"/>
        </w:rPr>
      </w:pPr>
      <w:r w:rsidRPr="000B5317">
        <w:rPr>
          <w:rStyle w:val="af0"/>
          <w:noProof/>
          <w:kern w:val="0"/>
        </w:rPr>
        <w:fldChar w:fldCharType="begin"/>
      </w:r>
      <w:r w:rsidRPr="000B5317">
        <w:rPr>
          <w:rStyle w:val="af0"/>
          <w:noProof/>
          <w:kern w:val="0"/>
        </w:rPr>
        <w:instrText xml:space="preserve"> TOC \o "1-3" \f - \h \t "-1" </w:instrText>
      </w:r>
      <w:r w:rsidRPr="000B5317">
        <w:rPr>
          <w:rStyle w:val="af0"/>
          <w:noProof/>
          <w:kern w:val="0"/>
        </w:rPr>
        <w:fldChar w:fldCharType="separate"/>
      </w:r>
      <w:hyperlink w:anchor="_Toc160021631" w:history="1">
        <w:r w:rsidR="00F410C6" w:rsidRPr="000B5317">
          <w:rPr>
            <w:rStyle w:val="af0"/>
            <w:rFonts w:ascii="宋体" w:hAnsi="宋体"/>
            <w:noProof/>
            <w:kern w:val="0"/>
            <w:sz w:val="24"/>
          </w:rPr>
          <w:t>重要提示</w:t>
        </w:r>
        <w:r w:rsidR="00F410C6" w:rsidRPr="000B5317">
          <w:rPr>
            <w:rStyle w:val="af0"/>
            <w:rFonts w:ascii="宋体" w:hAnsi="宋体"/>
            <w:kern w:val="0"/>
            <w:sz w:val="24"/>
          </w:rPr>
          <w:tab/>
        </w:r>
        <w:r w:rsidR="00F410C6" w:rsidRPr="000B5317">
          <w:rPr>
            <w:rStyle w:val="af0"/>
            <w:rFonts w:ascii="宋体" w:hAnsi="宋体"/>
            <w:kern w:val="0"/>
            <w:sz w:val="24"/>
          </w:rPr>
          <w:fldChar w:fldCharType="begin"/>
        </w:r>
        <w:r w:rsidR="00F410C6" w:rsidRPr="000B5317">
          <w:rPr>
            <w:rStyle w:val="af0"/>
            <w:rFonts w:ascii="宋体" w:hAnsi="宋体"/>
            <w:kern w:val="0"/>
            <w:sz w:val="24"/>
          </w:rPr>
          <w:instrText xml:space="preserve"> PAGEREF _Toc160021631 \h </w:instrText>
        </w:r>
        <w:r w:rsidR="00F410C6" w:rsidRPr="000B5317">
          <w:rPr>
            <w:rStyle w:val="af0"/>
            <w:rFonts w:ascii="宋体" w:hAnsi="宋体"/>
            <w:kern w:val="0"/>
            <w:sz w:val="24"/>
          </w:rPr>
        </w:r>
        <w:r w:rsidR="00F410C6" w:rsidRPr="000B5317">
          <w:rPr>
            <w:rStyle w:val="af0"/>
            <w:rFonts w:ascii="宋体" w:hAnsi="宋体"/>
            <w:kern w:val="0"/>
            <w:sz w:val="24"/>
          </w:rPr>
          <w:fldChar w:fldCharType="separate"/>
        </w:r>
        <w:r w:rsidR="00F410C6" w:rsidRPr="000B5317">
          <w:rPr>
            <w:rStyle w:val="af0"/>
            <w:rFonts w:ascii="宋体" w:hAnsi="宋体"/>
            <w:kern w:val="0"/>
            <w:sz w:val="24"/>
          </w:rPr>
          <w:t>1</w:t>
        </w:r>
        <w:r w:rsidR="00F410C6" w:rsidRPr="000B5317">
          <w:rPr>
            <w:rStyle w:val="af0"/>
            <w:rFonts w:ascii="宋体" w:hAnsi="宋体"/>
            <w:kern w:val="0"/>
            <w:sz w:val="24"/>
          </w:rPr>
          <w:fldChar w:fldCharType="end"/>
        </w:r>
      </w:hyperlink>
    </w:p>
    <w:p w14:paraId="15ED6E16" w14:textId="140F7BEA"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2" w:history="1">
        <w:r w:rsidRPr="000B5317">
          <w:rPr>
            <w:rStyle w:val="af0"/>
            <w:rFonts w:ascii="宋体" w:hAnsi="宋体"/>
            <w:noProof/>
            <w:kern w:val="0"/>
            <w:sz w:val="24"/>
          </w:rPr>
          <w:t>一、绪言</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_Toc160021632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3</w:t>
        </w:r>
        <w:r w:rsidRPr="000B5317">
          <w:rPr>
            <w:rStyle w:val="af0"/>
            <w:rFonts w:ascii="宋体" w:hAnsi="宋体"/>
            <w:kern w:val="0"/>
            <w:sz w:val="24"/>
          </w:rPr>
          <w:fldChar w:fldCharType="end"/>
        </w:r>
      </w:hyperlink>
    </w:p>
    <w:p w14:paraId="50A4F2D8" w14:textId="01A8E422"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3" w:history="1">
        <w:r w:rsidRPr="000B5317">
          <w:rPr>
            <w:rStyle w:val="af0"/>
            <w:rFonts w:ascii="宋体" w:hAnsi="宋体"/>
            <w:noProof/>
            <w:kern w:val="0"/>
            <w:sz w:val="24"/>
          </w:rPr>
          <w:t>二、释义</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_Toc160021633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4</w:t>
        </w:r>
        <w:r w:rsidRPr="000B5317">
          <w:rPr>
            <w:rStyle w:val="af0"/>
            <w:rFonts w:ascii="宋体" w:hAnsi="宋体"/>
            <w:kern w:val="0"/>
            <w:sz w:val="24"/>
          </w:rPr>
          <w:fldChar w:fldCharType="end"/>
        </w:r>
      </w:hyperlink>
    </w:p>
    <w:p w14:paraId="630532CA" w14:textId="5EA6D1B7"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4" w:history="1">
        <w:r w:rsidRPr="000B5317">
          <w:rPr>
            <w:rStyle w:val="af0"/>
            <w:rFonts w:ascii="宋体" w:hAnsi="宋体"/>
            <w:noProof/>
            <w:kern w:val="0"/>
            <w:sz w:val="24"/>
          </w:rPr>
          <w:t>三、基金管</w:t>
        </w:r>
        <w:r w:rsidRPr="000B5317">
          <w:rPr>
            <w:rStyle w:val="af0"/>
            <w:rFonts w:ascii="宋体" w:hAnsi="宋体"/>
            <w:noProof/>
            <w:kern w:val="0"/>
            <w:sz w:val="24"/>
          </w:rPr>
          <w:t>理</w:t>
        </w:r>
        <w:r w:rsidRPr="000B5317">
          <w:rPr>
            <w:rStyle w:val="af0"/>
            <w:rFonts w:ascii="宋体" w:hAnsi="宋体"/>
            <w:noProof/>
            <w:kern w:val="0"/>
            <w:sz w:val="24"/>
          </w:rPr>
          <w:t>人</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_Toc160021634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9</w:t>
        </w:r>
        <w:r w:rsidRPr="000B5317">
          <w:rPr>
            <w:rStyle w:val="af0"/>
            <w:rFonts w:ascii="宋体" w:hAnsi="宋体"/>
            <w:kern w:val="0"/>
            <w:sz w:val="24"/>
          </w:rPr>
          <w:fldChar w:fldCharType="end"/>
        </w:r>
      </w:hyperlink>
    </w:p>
    <w:p w14:paraId="597A65EB" w14:textId="1AF63B1E"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5" w:history="1">
        <w:r w:rsidRPr="000B5317">
          <w:rPr>
            <w:rStyle w:val="af0"/>
            <w:rFonts w:ascii="宋体" w:hAnsi="宋体"/>
            <w:noProof/>
            <w:kern w:val="0"/>
            <w:sz w:val="24"/>
          </w:rPr>
          <w:t>四、基金托管人</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_Toc160021635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17</w:t>
        </w:r>
        <w:r w:rsidRPr="000B5317">
          <w:rPr>
            <w:rStyle w:val="af0"/>
            <w:rFonts w:ascii="宋体" w:hAnsi="宋体"/>
            <w:kern w:val="0"/>
            <w:sz w:val="24"/>
          </w:rPr>
          <w:fldChar w:fldCharType="end"/>
        </w:r>
      </w:hyperlink>
    </w:p>
    <w:p w14:paraId="47A4CFD9" w14:textId="6435A74F"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6" w:history="1">
        <w:r w:rsidRPr="000B5317">
          <w:rPr>
            <w:rStyle w:val="af0"/>
            <w:rFonts w:ascii="宋体" w:hAnsi="宋体"/>
            <w:noProof/>
            <w:kern w:val="0"/>
            <w:sz w:val="24"/>
          </w:rPr>
          <w:t>五、相关服务机构</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_Toc160021636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20</w:t>
        </w:r>
        <w:r w:rsidRPr="000B5317">
          <w:rPr>
            <w:rStyle w:val="af0"/>
            <w:rFonts w:ascii="宋体" w:hAnsi="宋体"/>
            <w:kern w:val="0"/>
            <w:sz w:val="24"/>
          </w:rPr>
          <w:fldChar w:fldCharType="end"/>
        </w:r>
      </w:hyperlink>
    </w:p>
    <w:p w14:paraId="18C68BC1" w14:textId="223AF05D"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7" w:history="1">
        <w:r w:rsidRPr="000B5317">
          <w:rPr>
            <w:rStyle w:val="af0"/>
            <w:rFonts w:ascii="宋体" w:hAnsi="宋体"/>
            <w:noProof/>
            <w:kern w:val="0"/>
            <w:sz w:val="24"/>
          </w:rPr>
          <w:t>六、基金的募集</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_Toc160021637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57</w:t>
        </w:r>
        <w:r w:rsidRPr="000B5317">
          <w:rPr>
            <w:rStyle w:val="af0"/>
            <w:rFonts w:ascii="宋体" w:hAnsi="宋体"/>
            <w:kern w:val="0"/>
            <w:sz w:val="24"/>
          </w:rPr>
          <w:fldChar w:fldCharType="end"/>
        </w:r>
      </w:hyperlink>
    </w:p>
    <w:p w14:paraId="13EC2F60" w14:textId="7ADC9EB7"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8" w:history="1">
        <w:r w:rsidRPr="000B5317">
          <w:rPr>
            <w:rStyle w:val="af0"/>
            <w:rFonts w:ascii="宋体" w:hAnsi="宋体"/>
            <w:noProof/>
            <w:kern w:val="0"/>
            <w:sz w:val="24"/>
          </w:rPr>
          <w:t>七、基金合同的生效</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_Toc160021638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58</w:t>
        </w:r>
        <w:r w:rsidRPr="000B5317">
          <w:rPr>
            <w:rStyle w:val="af0"/>
            <w:rFonts w:ascii="宋体" w:hAnsi="宋体"/>
            <w:kern w:val="0"/>
            <w:sz w:val="24"/>
          </w:rPr>
          <w:fldChar w:fldCharType="end"/>
        </w:r>
      </w:hyperlink>
    </w:p>
    <w:p w14:paraId="66E23B8E" w14:textId="73B6007F"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39" w:history="1">
        <w:r w:rsidRPr="000B5317">
          <w:rPr>
            <w:rStyle w:val="af0"/>
            <w:rFonts w:ascii="宋体" w:hAnsi="宋体"/>
            <w:noProof/>
            <w:kern w:val="0"/>
            <w:sz w:val="24"/>
          </w:rPr>
          <w:t>八、基金份额的分类及升降级设置</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_Toc160021639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59</w:t>
        </w:r>
        <w:r w:rsidRPr="000B5317">
          <w:rPr>
            <w:rStyle w:val="af0"/>
            <w:rFonts w:ascii="宋体" w:hAnsi="宋体"/>
            <w:kern w:val="0"/>
            <w:sz w:val="24"/>
          </w:rPr>
          <w:fldChar w:fldCharType="end"/>
        </w:r>
      </w:hyperlink>
    </w:p>
    <w:p w14:paraId="1013B3F2" w14:textId="6585C867"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0" w:history="1">
        <w:r w:rsidRPr="000B5317">
          <w:rPr>
            <w:rStyle w:val="af0"/>
            <w:rFonts w:ascii="宋体" w:hAnsi="宋体"/>
            <w:noProof/>
            <w:kern w:val="0"/>
            <w:sz w:val="24"/>
          </w:rPr>
          <w:t>九、基金份额的申购、赎回及其他业务</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_Toc160021640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60</w:t>
        </w:r>
        <w:r w:rsidRPr="000B5317">
          <w:rPr>
            <w:rStyle w:val="af0"/>
            <w:rFonts w:ascii="宋体" w:hAnsi="宋体"/>
            <w:kern w:val="0"/>
            <w:sz w:val="24"/>
          </w:rPr>
          <w:fldChar w:fldCharType="end"/>
        </w:r>
      </w:hyperlink>
    </w:p>
    <w:p w14:paraId="5EEAF9F8" w14:textId="2A3C6E47"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1" w:history="1">
        <w:r w:rsidRPr="000B5317">
          <w:rPr>
            <w:rStyle w:val="af0"/>
            <w:rFonts w:ascii="宋体" w:hAnsi="宋体"/>
            <w:noProof/>
            <w:kern w:val="0"/>
            <w:sz w:val="24"/>
          </w:rPr>
          <w:t>十、基金的转换</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_Toc160021641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69</w:t>
        </w:r>
        <w:r w:rsidRPr="000B5317">
          <w:rPr>
            <w:rStyle w:val="af0"/>
            <w:rFonts w:ascii="宋体" w:hAnsi="宋体"/>
            <w:kern w:val="0"/>
            <w:sz w:val="24"/>
          </w:rPr>
          <w:fldChar w:fldCharType="end"/>
        </w:r>
      </w:hyperlink>
    </w:p>
    <w:p w14:paraId="77847BA1" w14:textId="22BE69C6"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2" w:history="1">
        <w:r w:rsidRPr="000B5317">
          <w:rPr>
            <w:rStyle w:val="af0"/>
            <w:rFonts w:ascii="宋体" w:hAnsi="宋体"/>
            <w:noProof/>
            <w:kern w:val="0"/>
            <w:sz w:val="24"/>
          </w:rPr>
          <w:t>十一、基金的投资</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_Toc160021642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78</w:t>
        </w:r>
        <w:r w:rsidRPr="000B5317">
          <w:rPr>
            <w:rStyle w:val="af0"/>
            <w:rFonts w:ascii="宋体" w:hAnsi="宋体"/>
            <w:kern w:val="0"/>
            <w:sz w:val="24"/>
          </w:rPr>
          <w:fldChar w:fldCharType="end"/>
        </w:r>
      </w:hyperlink>
    </w:p>
    <w:p w14:paraId="3087B5D7" w14:textId="23FFB63C"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3" w:history="1">
        <w:r w:rsidRPr="000B5317">
          <w:rPr>
            <w:rStyle w:val="af0"/>
            <w:rFonts w:ascii="宋体" w:hAnsi="宋体"/>
            <w:noProof/>
            <w:kern w:val="0"/>
            <w:sz w:val="24"/>
          </w:rPr>
          <w:t>十二、基金的业绩</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_Toc160021643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91</w:t>
        </w:r>
        <w:r w:rsidRPr="000B5317">
          <w:rPr>
            <w:rStyle w:val="af0"/>
            <w:rFonts w:ascii="宋体" w:hAnsi="宋体"/>
            <w:kern w:val="0"/>
            <w:sz w:val="24"/>
          </w:rPr>
          <w:fldChar w:fldCharType="end"/>
        </w:r>
      </w:hyperlink>
    </w:p>
    <w:p w14:paraId="6157D7BD" w14:textId="0BC080FB"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4" w:history="1">
        <w:r w:rsidRPr="000B5317">
          <w:rPr>
            <w:rStyle w:val="af0"/>
            <w:rFonts w:ascii="宋体" w:hAnsi="宋体"/>
            <w:noProof/>
            <w:kern w:val="0"/>
            <w:sz w:val="24"/>
          </w:rPr>
          <w:t>十三、基金的财产</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_Toc160021644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94</w:t>
        </w:r>
        <w:r w:rsidRPr="000B5317">
          <w:rPr>
            <w:rStyle w:val="af0"/>
            <w:rFonts w:ascii="宋体" w:hAnsi="宋体"/>
            <w:kern w:val="0"/>
            <w:sz w:val="24"/>
          </w:rPr>
          <w:fldChar w:fldCharType="end"/>
        </w:r>
      </w:hyperlink>
    </w:p>
    <w:p w14:paraId="01FC5750" w14:textId="5D25A023"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5" w:history="1">
        <w:r w:rsidRPr="000B5317">
          <w:rPr>
            <w:rStyle w:val="af0"/>
            <w:rFonts w:ascii="宋体" w:hAnsi="宋体"/>
            <w:noProof/>
            <w:kern w:val="0"/>
            <w:sz w:val="24"/>
          </w:rPr>
          <w:t>十四、基金资产的估值</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_Toc160021645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95</w:t>
        </w:r>
        <w:r w:rsidRPr="000B5317">
          <w:rPr>
            <w:rStyle w:val="af0"/>
            <w:rFonts w:ascii="宋体" w:hAnsi="宋体"/>
            <w:kern w:val="0"/>
            <w:sz w:val="24"/>
          </w:rPr>
          <w:fldChar w:fldCharType="end"/>
        </w:r>
      </w:hyperlink>
    </w:p>
    <w:p w14:paraId="48AE4FE2" w14:textId="023CEB63"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6" w:history="1">
        <w:r w:rsidRPr="000B5317">
          <w:rPr>
            <w:rStyle w:val="af0"/>
            <w:rFonts w:ascii="宋体" w:hAnsi="宋体"/>
            <w:noProof/>
            <w:kern w:val="0"/>
            <w:sz w:val="24"/>
          </w:rPr>
          <w:t>十五、基金收益与分配</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_Toc160021646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100</w:t>
        </w:r>
        <w:r w:rsidRPr="000B5317">
          <w:rPr>
            <w:rStyle w:val="af0"/>
            <w:rFonts w:ascii="宋体" w:hAnsi="宋体"/>
            <w:kern w:val="0"/>
            <w:sz w:val="24"/>
          </w:rPr>
          <w:fldChar w:fldCharType="end"/>
        </w:r>
      </w:hyperlink>
    </w:p>
    <w:p w14:paraId="623B774E" w14:textId="274D2846"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7" w:history="1">
        <w:r w:rsidRPr="000B5317">
          <w:rPr>
            <w:rStyle w:val="af0"/>
            <w:rFonts w:ascii="宋体" w:hAnsi="宋体"/>
            <w:noProof/>
            <w:kern w:val="0"/>
            <w:sz w:val="24"/>
          </w:rPr>
          <w:t>十六、基金的费用与税收</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_Toc160021647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103</w:t>
        </w:r>
        <w:r w:rsidRPr="000B5317">
          <w:rPr>
            <w:rStyle w:val="af0"/>
            <w:rFonts w:ascii="宋体" w:hAnsi="宋体"/>
            <w:kern w:val="0"/>
            <w:sz w:val="24"/>
          </w:rPr>
          <w:fldChar w:fldCharType="end"/>
        </w:r>
      </w:hyperlink>
    </w:p>
    <w:p w14:paraId="1E5CD2E4" w14:textId="4D1A0785"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8" w:history="1">
        <w:r w:rsidRPr="000B5317">
          <w:rPr>
            <w:rStyle w:val="af0"/>
            <w:rFonts w:ascii="宋体" w:hAnsi="宋体"/>
            <w:noProof/>
            <w:kern w:val="0"/>
            <w:sz w:val="24"/>
          </w:rPr>
          <w:t>十七、基金的会计与审计</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_Toc160021648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106</w:t>
        </w:r>
        <w:r w:rsidRPr="000B5317">
          <w:rPr>
            <w:rStyle w:val="af0"/>
            <w:rFonts w:ascii="宋体" w:hAnsi="宋体"/>
            <w:kern w:val="0"/>
            <w:sz w:val="24"/>
          </w:rPr>
          <w:fldChar w:fldCharType="end"/>
        </w:r>
      </w:hyperlink>
    </w:p>
    <w:p w14:paraId="6A13295A" w14:textId="6549985D"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49" w:history="1">
        <w:r w:rsidRPr="000B5317">
          <w:rPr>
            <w:rStyle w:val="af0"/>
            <w:rFonts w:ascii="宋体" w:hAnsi="宋体"/>
            <w:noProof/>
            <w:kern w:val="0"/>
            <w:sz w:val="24"/>
          </w:rPr>
          <w:t>十八、基金的信息披露</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_Toc160021649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107</w:t>
        </w:r>
        <w:r w:rsidRPr="000B5317">
          <w:rPr>
            <w:rStyle w:val="af0"/>
            <w:rFonts w:ascii="宋体" w:hAnsi="宋体"/>
            <w:kern w:val="0"/>
            <w:sz w:val="24"/>
          </w:rPr>
          <w:fldChar w:fldCharType="end"/>
        </w:r>
      </w:hyperlink>
    </w:p>
    <w:p w14:paraId="7C264832" w14:textId="5AE03937"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0" w:history="1">
        <w:r w:rsidRPr="000B5317">
          <w:rPr>
            <w:rStyle w:val="af0"/>
            <w:rFonts w:ascii="宋体" w:hAnsi="宋体"/>
            <w:noProof/>
            <w:kern w:val="0"/>
            <w:sz w:val="24"/>
          </w:rPr>
          <w:t>十九、风险揭示</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_Toc160021650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113</w:t>
        </w:r>
        <w:r w:rsidRPr="000B5317">
          <w:rPr>
            <w:rStyle w:val="af0"/>
            <w:rFonts w:ascii="宋体" w:hAnsi="宋体"/>
            <w:kern w:val="0"/>
            <w:sz w:val="24"/>
          </w:rPr>
          <w:fldChar w:fldCharType="end"/>
        </w:r>
      </w:hyperlink>
    </w:p>
    <w:p w14:paraId="63AC9295" w14:textId="0EACFC32"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1" w:history="1">
        <w:r w:rsidRPr="000B5317">
          <w:rPr>
            <w:rStyle w:val="af0"/>
            <w:rFonts w:ascii="宋体" w:hAnsi="宋体"/>
            <w:noProof/>
            <w:kern w:val="0"/>
            <w:sz w:val="24"/>
          </w:rPr>
          <w:t>二十、基金合同的终止与基金财产的清算</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_Toc160021651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117</w:t>
        </w:r>
        <w:r w:rsidRPr="000B5317">
          <w:rPr>
            <w:rStyle w:val="af0"/>
            <w:rFonts w:ascii="宋体" w:hAnsi="宋体"/>
            <w:kern w:val="0"/>
            <w:sz w:val="24"/>
          </w:rPr>
          <w:fldChar w:fldCharType="end"/>
        </w:r>
      </w:hyperlink>
    </w:p>
    <w:p w14:paraId="6E805809" w14:textId="6538AA61"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2" w:history="1">
        <w:r w:rsidRPr="000B5317">
          <w:rPr>
            <w:rStyle w:val="af0"/>
            <w:rFonts w:ascii="宋体" w:hAnsi="宋体"/>
            <w:noProof/>
            <w:kern w:val="0"/>
            <w:sz w:val="24"/>
          </w:rPr>
          <w:t>二十一、基金合同内容摘要</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_Toc160021652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119</w:t>
        </w:r>
        <w:r w:rsidRPr="000B5317">
          <w:rPr>
            <w:rStyle w:val="af0"/>
            <w:rFonts w:ascii="宋体" w:hAnsi="宋体"/>
            <w:kern w:val="0"/>
            <w:sz w:val="24"/>
          </w:rPr>
          <w:fldChar w:fldCharType="end"/>
        </w:r>
      </w:hyperlink>
    </w:p>
    <w:p w14:paraId="4CBE3F6A" w14:textId="20554408"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3" w:history="1">
        <w:r w:rsidRPr="000B5317">
          <w:rPr>
            <w:rStyle w:val="af0"/>
            <w:rFonts w:ascii="宋体" w:hAnsi="宋体"/>
            <w:noProof/>
            <w:kern w:val="0"/>
            <w:sz w:val="24"/>
          </w:rPr>
          <w:t>二十二、托管协议的内容摘要</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_Toc160021653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132</w:t>
        </w:r>
        <w:r w:rsidRPr="000B5317">
          <w:rPr>
            <w:rStyle w:val="af0"/>
            <w:rFonts w:ascii="宋体" w:hAnsi="宋体"/>
            <w:kern w:val="0"/>
            <w:sz w:val="24"/>
          </w:rPr>
          <w:fldChar w:fldCharType="end"/>
        </w:r>
      </w:hyperlink>
    </w:p>
    <w:p w14:paraId="39939FF2" w14:textId="5658818A"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4" w:history="1">
        <w:r w:rsidRPr="000B5317">
          <w:rPr>
            <w:rStyle w:val="af0"/>
            <w:rFonts w:ascii="宋体" w:hAnsi="宋体"/>
            <w:noProof/>
            <w:kern w:val="0"/>
            <w:sz w:val="24"/>
          </w:rPr>
          <w:t>二十三、对基金份额持有人的服务</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_Toc160021654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142</w:t>
        </w:r>
        <w:r w:rsidRPr="000B5317">
          <w:rPr>
            <w:rStyle w:val="af0"/>
            <w:rFonts w:ascii="宋体" w:hAnsi="宋体"/>
            <w:kern w:val="0"/>
            <w:sz w:val="24"/>
          </w:rPr>
          <w:fldChar w:fldCharType="end"/>
        </w:r>
      </w:hyperlink>
    </w:p>
    <w:p w14:paraId="6F6BE9F7" w14:textId="566DE240"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5" w:history="1">
        <w:r w:rsidRPr="000B5317">
          <w:rPr>
            <w:rStyle w:val="af0"/>
            <w:rFonts w:ascii="宋体" w:hAnsi="宋体"/>
            <w:noProof/>
            <w:kern w:val="0"/>
            <w:sz w:val="24"/>
          </w:rPr>
          <w:t>二十四、其他应披露事项</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_Toc160021655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144</w:t>
        </w:r>
        <w:r w:rsidRPr="000B5317">
          <w:rPr>
            <w:rStyle w:val="af0"/>
            <w:rFonts w:ascii="宋体" w:hAnsi="宋体"/>
            <w:kern w:val="0"/>
            <w:sz w:val="24"/>
          </w:rPr>
          <w:fldChar w:fldCharType="end"/>
        </w:r>
      </w:hyperlink>
    </w:p>
    <w:p w14:paraId="19FBADE1" w14:textId="39D19B1C"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6" w:history="1">
        <w:r w:rsidRPr="000B5317">
          <w:rPr>
            <w:rStyle w:val="af0"/>
            <w:rFonts w:ascii="宋体" w:hAnsi="宋体"/>
            <w:noProof/>
            <w:kern w:val="0"/>
            <w:sz w:val="24"/>
          </w:rPr>
          <w:t>二十五、招募说明书的存放及查阅方式</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_Toc160021656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146</w:t>
        </w:r>
        <w:r w:rsidRPr="000B5317">
          <w:rPr>
            <w:rStyle w:val="af0"/>
            <w:rFonts w:ascii="宋体" w:hAnsi="宋体"/>
            <w:kern w:val="0"/>
            <w:sz w:val="24"/>
          </w:rPr>
          <w:fldChar w:fldCharType="end"/>
        </w:r>
      </w:hyperlink>
    </w:p>
    <w:p w14:paraId="674A6209" w14:textId="101302A6" w:rsidR="00F410C6" w:rsidRPr="000B5317" w:rsidRDefault="00F410C6" w:rsidP="000B5317">
      <w:pPr>
        <w:pStyle w:val="11"/>
        <w:tabs>
          <w:tab w:val="right" w:leader="dot" w:pos="8550"/>
        </w:tabs>
        <w:spacing w:line="360" w:lineRule="auto"/>
        <w:rPr>
          <w:rStyle w:val="af0"/>
          <w:rFonts w:ascii="宋体" w:hAnsi="宋体"/>
          <w:kern w:val="0"/>
          <w:sz w:val="24"/>
        </w:rPr>
      </w:pPr>
      <w:hyperlink w:anchor="_Toc160021657" w:history="1">
        <w:r w:rsidRPr="000B5317">
          <w:rPr>
            <w:rStyle w:val="af0"/>
            <w:rFonts w:ascii="宋体" w:hAnsi="宋体"/>
            <w:noProof/>
            <w:kern w:val="0"/>
            <w:sz w:val="24"/>
          </w:rPr>
          <w:t>二十六、备查文件</w:t>
        </w:r>
        <w:r w:rsidRPr="000B5317">
          <w:rPr>
            <w:rStyle w:val="af0"/>
            <w:rFonts w:ascii="宋体" w:hAnsi="宋体"/>
            <w:kern w:val="0"/>
            <w:sz w:val="24"/>
          </w:rPr>
          <w:tab/>
        </w:r>
        <w:r w:rsidRPr="000B5317">
          <w:rPr>
            <w:rStyle w:val="af0"/>
            <w:rFonts w:ascii="宋体" w:hAnsi="宋体"/>
            <w:kern w:val="0"/>
            <w:sz w:val="24"/>
          </w:rPr>
          <w:fldChar w:fldCharType="begin"/>
        </w:r>
        <w:r w:rsidRPr="000B5317">
          <w:rPr>
            <w:rStyle w:val="af0"/>
            <w:rFonts w:ascii="宋体" w:hAnsi="宋体"/>
            <w:kern w:val="0"/>
            <w:sz w:val="24"/>
          </w:rPr>
          <w:instrText xml:space="preserve"> PAGEREF _Toc160021657 \h </w:instrText>
        </w:r>
        <w:r w:rsidRPr="000B5317">
          <w:rPr>
            <w:rStyle w:val="af0"/>
            <w:rFonts w:ascii="宋体" w:hAnsi="宋体"/>
            <w:kern w:val="0"/>
            <w:sz w:val="24"/>
          </w:rPr>
        </w:r>
        <w:r w:rsidRPr="000B5317">
          <w:rPr>
            <w:rStyle w:val="af0"/>
            <w:rFonts w:ascii="宋体" w:hAnsi="宋体"/>
            <w:kern w:val="0"/>
            <w:sz w:val="24"/>
          </w:rPr>
          <w:fldChar w:fldCharType="separate"/>
        </w:r>
        <w:r w:rsidRPr="000B5317">
          <w:rPr>
            <w:rStyle w:val="af0"/>
            <w:rFonts w:ascii="宋体" w:hAnsi="宋体"/>
            <w:kern w:val="0"/>
            <w:sz w:val="24"/>
          </w:rPr>
          <w:t>147</w:t>
        </w:r>
        <w:r w:rsidRPr="000B5317">
          <w:rPr>
            <w:rStyle w:val="af0"/>
            <w:rFonts w:ascii="宋体" w:hAnsi="宋体"/>
            <w:kern w:val="0"/>
            <w:sz w:val="24"/>
          </w:rPr>
          <w:fldChar w:fldCharType="end"/>
        </w:r>
      </w:hyperlink>
    </w:p>
    <w:p w14:paraId="1E559F32" w14:textId="3AD1FFFC" w:rsidR="00007225" w:rsidRPr="000B5317" w:rsidRDefault="0097360B" w:rsidP="000B5317">
      <w:pPr>
        <w:pStyle w:val="11"/>
        <w:tabs>
          <w:tab w:val="right" w:leader="dot" w:pos="8550"/>
        </w:tabs>
        <w:spacing w:line="360" w:lineRule="auto"/>
        <w:rPr>
          <w:rStyle w:val="af0"/>
          <w:rFonts w:ascii="宋体" w:hAnsi="宋体"/>
          <w:noProof/>
          <w:kern w:val="0"/>
          <w:sz w:val="24"/>
        </w:rPr>
        <w:sectPr w:rsidR="00007225" w:rsidRPr="000B5317">
          <w:pgSz w:w="11920" w:h="16840"/>
          <w:pgMar w:top="1480" w:right="1680" w:bottom="280" w:left="1680" w:header="0" w:footer="1073" w:gutter="0"/>
          <w:cols w:space="720"/>
        </w:sectPr>
      </w:pPr>
      <w:r w:rsidRPr="000B5317">
        <w:rPr>
          <w:rStyle w:val="af0"/>
          <w:noProof/>
          <w:kern w:val="0"/>
        </w:rPr>
        <w:fldChar w:fldCharType="end"/>
      </w:r>
    </w:p>
    <w:p w14:paraId="55C90CC4" w14:textId="77777777" w:rsidR="00007225" w:rsidRDefault="00F07F0D">
      <w:pPr>
        <w:pStyle w:val="1"/>
        <w:snapToGrid w:val="0"/>
        <w:spacing w:beforeLines="0" w:before="240" w:after="240"/>
        <w:rPr>
          <w:rFonts w:ascii="宋体" w:hAnsi="宋体"/>
          <w:szCs w:val="30"/>
        </w:rPr>
      </w:pPr>
      <w:bookmarkStart w:id="3" w:name="_Toc160021632"/>
      <w:r>
        <w:rPr>
          <w:rFonts w:ascii="Times New Roman" w:hAnsi="Times New Roman"/>
          <w:sz w:val="30"/>
        </w:rPr>
        <w:lastRenderedPageBreak/>
        <w:t>一、绪言</w:t>
      </w:r>
      <w:bookmarkEnd w:id="3"/>
    </w:p>
    <w:p w14:paraId="1CFB9F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货币市场证券投资基金招募说明书（更新）》（以下简称“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货币市场基金管理暂行规定》（以下简称“《暂行规定》”）、《货币市场基金信息披露特别规定》（以下简称“《信息披露特别规定》”）、《公开募集开放式证券投资基金流动性风险管理规定》（以下简称《流动性规定》）和其他相关法律法规的规定以及《交银施罗德货币市场证券投资基金基金合同》（以下简称“基金合同”）编写。</w:t>
      </w:r>
    </w:p>
    <w:p w14:paraId="7C26E6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7B630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20A0E98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82CC886" w14:textId="77777777" w:rsidR="00007225" w:rsidRDefault="00F07F0D">
      <w:pPr>
        <w:pStyle w:val="1"/>
        <w:snapToGrid w:val="0"/>
        <w:spacing w:beforeLines="0" w:before="240" w:after="240"/>
        <w:rPr>
          <w:rFonts w:ascii="宋体" w:hAnsi="宋体"/>
          <w:szCs w:val="30"/>
        </w:rPr>
      </w:pPr>
      <w:bookmarkStart w:id="4" w:name="_Toc160021633"/>
      <w:r>
        <w:rPr>
          <w:rFonts w:ascii="Times New Roman" w:hAnsi="Times New Roman"/>
          <w:sz w:val="30"/>
        </w:rPr>
        <w:lastRenderedPageBreak/>
        <w:t>二、释义</w:t>
      </w:r>
      <w:bookmarkEnd w:id="4"/>
    </w:p>
    <w:p w14:paraId="491591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本招募说明书中，除非文意另有所指，下列词语或简称具有如下含义：</w:t>
      </w:r>
    </w:p>
    <w:p w14:paraId="5B8166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基金或本基金：指交银施罗德货币市场证券投资基金；</w:t>
      </w:r>
    </w:p>
    <w:p w14:paraId="0E4209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基金合同：指《交银施罗德货币市场证券投资基金基金合同》及其任何有效的修订和补充；</w:t>
      </w:r>
    </w:p>
    <w:p w14:paraId="166FB7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招募说明书：指《交银施罗德货币市场证券投资基金招募说明书》及其更新；</w:t>
      </w:r>
    </w:p>
    <w:p w14:paraId="56CD05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发售公告：指《交银施罗德货币市场证券投资基金基金份额发售公告》；</w:t>
      </w:r>
    </w:p>
    <w:p w14:paraId="1250FD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基金产品资料概要：指《交银施罗德货币市场证券投资基金基金产品资料概要》及其更新；</w:t>
      </w:r>
    </w:p>
    <w:p w14:paraId="480F01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托管协议：指基金管理人与基金托管人签订的《交银施罗德货币市场证券投资基金托管协议》及其任何有效的修订和补充；</w:t>
      </w:r>
    </w:p>
    <w:p w14:paraId="02ADA9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法律法规：指中国现时有效并公布实施的法律、行政法规、部门规章及规范性文件、地方性法规、地方政府规章及规范性文件；</w:t>
      </w:r>
    </w:p>
    <w:p w14:paraId="5B454D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《证券法》：指《中华人民共和国证券法》及颁布机关对其不时作出的修订；</w:t>
      </w:r>
    </w:p>
    <w:p w14:paraId="0CAFE0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《基金法》：指自2004年6月1日起施行的《中华人民共和国证券投资基金法》及颁布机关对其不时作出的修订；</w:t>
      </w:r>
    </w:p>
    <w:p w14:paraId="524CC3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《销售办法》：指自2011年10月1日起施行的《证券投资基金销售管理办法》；</w:t>
      </w:r>
    </w:p>
    <w:p w14:paraId="6607B6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《运作办法》：指自2004年7月1日起施行的《证券投资基金运作管理办法》；</w:t>
      </w:r>
    </w:p>
    <w:p w14:paraId="50E779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《信息披露办法》：指自2019年9月1日起施行的《公开募集证券投资基金信息披露管理办法》；</w:t>
      </w:r>
    </w:p>
    <w:p w14:paraId="5B3E9B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《暂行规定》：指中国证监会和中国人民银行于2004 年8月16日联合发布并于该日施行的《货币市场基金管理暂行规定》；</w:t>
      </w:r>
    </w:p>
    <w:p w14:paraId="0BE03B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《信息披露特别规定》：指自2005月4月1日起施行的《证券投资基金信息披露编报规则第5号&lt;货币市场基金信息披露特别规定&gt;》；</w:t>
      </w:r>
    </w:p>
    <w:p w14:paraId="3461A5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《流动性规定》：指中国证监会2017年8月31日颁布、同年10月1日实施的《公开募集开放式证券投资基金流动性风险管理规定》及颁布机关对其不时做出的修订；</w:t>
      </w:r>
    </w:p>
    <w:p w14:paraId="212523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业务规则：指《交银施罗德基金管理有限公司开放式基金业务规则》；</w:t>
      </w:r>
    </w:p>
    <w:p w14:paraId="28CC9D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中国：指中华人民共和国(就本招募说明书而言，不包括香港特别行政区、澳</w:t>
      </w:r>
      <w:r>
        <w:rPr>
          <w:rFonts w:ascii="宋体" w:hAnsi="宋体"/>
          <w:sz w:val="24"/>
        </w:rPr>
        <w:lastRenderedPageBreak/>
        <w:t>门特别行政区及台湾地区)</w:t>
      </w:r>
    </w:p>
    <w:p w14:paraId="4CCA05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中国证监会：指中国证券监督管理委员会；</w:t>
      </w:r>
    </w:p>
    <w:p w14:paraId="7D5286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银行业监管机构：指中国银行业监督管理委员会或其他经国务院授权的机构；</w:t>
      </w:r>
    </w:p>
    <w:p w14:paraId="621106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基金合同当事人：指受基金合同约束，根据基金合同享受权利并承担义务的基金管理人、基金托管人和基金份额持有人；</w:t>
      </w:r>
    </w:p>
    <w:p w14:paraId="42429C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基金管理人或本基金管理人：指交银施罗德基金管理有限公司；</w:t>
      </w:r>
    </w:p>
    <w:p w14:paraId="108AA4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基金托管人：指中国农业银行股份有限公司；</w:t>
      </w:r>
    </w:p>
    <w:p w14:paraId="31D21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基金份额持有人：指依法并依基金合同、招募说明书取得并持有基金份额的投资者；</w:t>
      </w:r>
    </w:p>
    <w:p w14:paraId="64B310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投资者：指个人投资者、机构投资者和合格境外机构投资者的总称；</w:t>
      </w:r>
    </w:p>
    <w:p w14:paraId="448B6A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个人投资者：指符合法律法规规定可以投资开放式证券投资基金的自然人；</w:t>
      </w:r>
    </w:p>
    <w:p w14:paraId="33830A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机构投资者：指符合法律法规规定可以投资开放式证券投资基金的在中国境内注册登记或经有关政府部门批准设立的法人、社会团体和其他组织、机构；</w:t>
      </w:r>
    </w:p>
    <w:p w14:paraId="453C45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合格境外机构投资者：指符合法律法规规定可投资于中国境内证券市场的中国境外的机构投资者；</w:t>
      </w:r>
    </w:p>
    <w:p w14:paraId="3454EF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销售机构：指交银施罗德基金管理有限公司及基金代销机构；</w:t>
      </w:r>
    </w:p>
    <w:p w14:paraId="3970C7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基金代销机构：指取得基金代销业务资格，接受基金管理人委托并与基金管理人签订了代销协议，代为办理基金销售服务业务的机构；</w:t>
      </w:r>
    </w:p>
    <w:p w14:paraId="369A34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基金销售网点：指交银施罗德基金管理有限公司的直销网点及基金代销机构的代销网点；</w:t>
      </w:r>
    </w:p>
    <w:p w14:paraId="54D566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注册登记业务：指基金登记、存管、清算和交收业务，具体内容包括投资者基金账户管理、基金份额注册登记、清算及基金交易确认、发放红利、建立并保管基金份额持有人名册等；</w:t>
      </w:r>
    </w:p>
    <w:p w14:paraId="19D112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注册登记机构：指交银施罗德基金管理有限公司或由其委托办理基金注册登记业务的机构；</w:t>
      </w:r>
    </w:p>
    <w:p w14:paraId="04D0EA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元：指中国法定货币人民币元；</w:t>
      </w:r>
    </w:p>
    <w:p w14:paraId="5DB33633" w14:textId="4557E53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销售服务费：也称持续销售和服务费用，主要用于支付销售机构佣金以及基金管理人的基金营销广告费、促销活动费、基金份额持有人服务费等，该笔费用从各</w:t>
      </w:r>
      <w:r w:rsidR="00F54CB5">
        <w:rPr>
          <w:rFonts w:ascii="宋体" w:hAnsi="宋体" w:hint="eastAsia"/>
          <w:color w:val="000000"/>
          <w:sz w:val="24"/>
          <w:szCs w:val="21"/>
        </w:rPr>
        <w:t>类</w:t>
      </w:r>
      <w:r>
        <w:rPr>
          <w:rFonts w:ascii="宋体" w:hAnsi="宋体"/>
          <w:sz w:val="24"/>
        </w:rPr>
        <w:t>基金份额的基金财产中扣除，属于基金的营运费用；</w:t>
      </w:r>
    </w:p>
    <w:p w14:paraId="3F333B89" w14:textId="40302DF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w:t>
      </w:r>
      <w:r w:rsidR="00F54CB5">
        <w:rPr>
          <w:rFonts w:ascii="宋体" w:hAnsi="宋体" w:hint="eastAsia"/>
          <w:color w:val="000000"/>
          <w:sz w:val="24"/>
          <w:szCs w:val="21"/>
        </w:rPr>
        <w:t>分类</w:t>
      </w:r>
      <w:r>
        <w:rPr>
          <w:rFonts w:ascii="宋体" w:hAnsi="宋体"/>
          <w:sz w:val="24"/>
        </w:rPr>
        <w:t>：指本基金根据</w:t>
      </w:r>
      <w:r w:rsidR="00912EE3" w:rsidRPr="00E81515">
        <w:rPr>
          <w:rFonts w:hint="eastAsia"/>
          <w:bCs/>
          <w:sz w:val="24"/>
        </w:rPr>
        <w:t>销售服务费收取</w:t>
      </w:r>
      <w:r w:rsidR="00912EE3">
        <w:rPr>
          <w:rFonts w:hint="eastAsia"/>
          <w:bCs/>
          <w:sz w:val="24"/>
        </w:rPr>
        <w:t>费率</w:t>
      </w:r>
      <w:r w:rsidR="00912EE3">
        <w:rPr>
          <w:rFonts w:ascii="宋体" w:hAnsi="宋体" w:hint="eastAsia"/>
          <w:color w:val="000000"/>
          <w:sz w:val="24"/>
          <w:szCs w:val="21"/>
        </w:rPr>
        <w:t>或</w:t>
      </w:r>
      <w:r w:rsidR="00912EE3" w:rsidRPr="001C1487">
        <w:rPr>
          <w:rFonts w:ascii="宋体" w:hAnsi="宋体" w:hint="eastAsia"/>
          <w:color w:val="000000"/>
          <w:sz w:val="24"/>
          <w:szCs w:val="21"/>
        </w:rPr>
        <w:t>注册登记机构</w:t>
      </w:r>
      <w:r w:rsidR="00877EF7">
        <w:rPr>
          <w:rFonts w:ascii="宋体" w:hAnsi="宋体" w:hint="eastAsia"/>
          <w:color w:val="000000"/>
          <w:sz w:val="24"/>
          <w:szCs w:val="21"/>
        </w:rPr>
        <w:t>等</w:t>
      </w:r>
      <w:r w:rsidR="00912EE3">
        <w:rPr>
          <w:rFonts w:ascii="宋体" w:hAnsi="宋体" w:hint="eastAsia"/>
          <w:color w:val="000000"/>
          <w:sz w:val="24"/>
          <w:szCs w:val="21"/>
        </w:rPr>
        <w:t>的不同</w:t>
      </w:r>
      <w:r w:rsidR="00912EE3" w:rsidRPr="00E81515">
        <w:rPr>
          <w:rFonts w:hint="eastAsia"/>
          <w:bCs/>
          <w:sz w:val="24"/>
        </w:rPr>
        <w:t>将</w:t>
      </w:r>
      <w:r w:rsidR="00912EE3" w:rsidRPr="00E81515">
        <w:rPr>
          <w:rFonts w:hint="eastAsia"/>
          <w:bCs/>
          <w:sz w:val="24"/>
        </w:rPr>
        <w:lastRenderedPageBreak/>
        <w:t>基金份额分为不同的类别</w:t>
      </w:r>
      <w:r w:rsidR="00912EE3">
        <w:rPr>
          <w:rFonts w:ascii="宋体" w:hAnsi="宋体" w:hint="eastAsia"/>
          <w:color w:val="000000"/>
          <w:sz w:val="24"/>
          <w:szCs w:val="21"/>
        </w:rPr>
        <w:t>，各类基金份额单独设置基金代码，并分别公布每万份基金已实现收益和基金七日年化收益率</w:t>
      </w:r>
      <w:r>
        <w:rPr>
          <w:rFonts w:ascii="宋体" w:hAnsi="宋体"/>
          <w:sz w:val="24"/>
        </w:rPr>
        <w:t>；</w:t>
      </w:r>
    </w:p>
    <w:p w14:paraId="2B7FDE06" w14:textId="246B579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基金份额的升级：指当投资者在单个基金账户保留的</w:t>
      </w:r>
      <w:r w:rsidR="000F1C06">
        <w:rPr>
          <w:rFonts w:ascii="宋体" w:hAnsi="宋体" w:hint="eastAsia"/>
          <w:sz w:val="24"/>
        </w:rPr>
        <w:t>A类</w:t>
      </w:r>
      <w:r>
        <w:rPr>
          <w:rFonts w:ascii="宋体" w:hAnsi="宋体"/>
          <w:sz w:val="24"/>
        </w:rPr>
        <w:t>基金份额达到</w:t>
      </w:r>
      <w:r w:rsidR="000F1C06">
        <w:rPr>
          <w:rFonts w:ascii="宋体" w:hAnsi="宋体" w:hint="eastAsia"/>
          <w:sz w:val="24"/>
        </w:rPr>
        <w:t>B类</w:t>
      </w:r>
      <w:r>
        <w:rPr>
          <w:rFonts w:ascii="宋体" w:hAnsi="宋体"/>
          <w:sz w:val="24"/>
        </w:rPr>
        <w:t>基金份额的最低份额要求时，基金的注册登记机构自动将投资者在该基金账户保留的</w:t>
      </w:r>
      <w:r w:rsidR="000F1C06">
        <w:rPr>
          <w:rFonts w:ascii="宋体" w:hAnsi="宋体" w:hint="eastAsia"/>
          <w:sz w:val="24"/>
        </w:rPr>
        <w:t>A类</w:t>
      </w:r>
      <w:r>
        <w:rPr>
          <w:rFonts w:ascii="宋体" w:hAnsi="宋体"/>
          <w:sz w:val="24"/>
        </w:rPr>
        <w:t>基金份额全部升级为</w:t>
      </w:r>
      <w:r w:rsidR="000F1C06">
        <w:rPr>
          <w:rFonts w:ascii="宋体" w:hAnsi="宋体" w:hint="eastAsia"/>
          <w:sz w:val="24"/>
        </w:rPr>
        <w:t>B类</w:t>
      </w:r>
      <w:r>
        <w:rPr>
          <w:rFonts w:ascii="宋体" w:hAnsi="宋体"/>
          <w:sz w:val="24"/>
        </w:rPr>
        <w:t>基金份额；</w:t>
      </w:r>
    </w:p>
    <w:p w14:paraId="63754B31" w14:textId="74EF715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基金份额的降级：指当投资者在单个基金账户保留的</w:t>
      </w:r>
      <w:r w:rsidR="000F1C06">
        <w:rPr>
          <w:rFonts w:ascii="宋体" w:hAnsi="宋体" w:hint="eastAsia"/>
          <w:sz w:val="24"/>
        </w:rPr>
        <w:t>B类</w:t>
      </w:r>
      <w:r>
        <w:rPr>
          <w:rFonts w:ascii="宋体" w:hAnsi="宋体"/>
          <w:sz w:val="24"/>
        </w:rPr>
        <w:t>基金份额不能满足</w:t>
      </w:r>
      <w:r w:rsidR="000F1C06">
        <w:rPr>
          <w:rFonts w:ascii="宋体" w:hAnsi="宋体" w:hint="eastAsia"/>
          <w:sz w:val="24"/>
        </w:rPr>
        <w:t>B类</w:t>
      </w:r>
      <w:r>
        <w:rPr>
          <w:rFonts w:ascii="宋体" w:hAnsi="宋体"/>
          <w:sz w:val="24"/>
        </w:rPr>
        <w:t>基金份额最低份额要求时，基金的注册登记机构自动将投资者在该基金账户保留的</w:t>
      </w:r>
      <w:r w:rsidR="007F5C2A">
        <w:rPr>
          <w:rFonts w:ascii="宋体" w:hAnsi="宋体" w:hint="eastAsia"/>
          <w:sz w:val="24"/>
        </w:rPr>
        <w:t>B类</w:t>
      </w:r>
      <w:r>
        <w:rPr>
          <w:rFonts w:ascii="宋体" w:hAnsi="宋体"/>
          <w:sz w:val="24"/>
        </w:rPr>
        <w:t>基金份额全部降级为</w:t>
      </w:r>
      <w:r w:rsidR="007F5C2A">
        <w:rPr>
          <w:rFonts w:ascii="宋体" w:hAnsi="宋体" w:hint="eastAsia"/>
          <w:sz w:val="24"/>
        </w:rPr>
        <w:t>A类</w:t>
      </w:r>
      <w:r>
        <w:rPr>
          <w:rFonts w:ascii="宋体" w:hAnsi="宋体"/>
          <w:sz w:val="24"/>
        </w:rPr>
        <w:t>基金份额；</w:t>
      </w:r>
    </w:p>
    <w:p w14:paraId="25D28D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基金合同生效日：指本基金募集达到法律法规规定及基金合同规定的条件，基金管理人聘请法定机构验资并办理完毕基金合同备案手续并获得中国证监会书面确认之日；</w:t>
      </w:r>
    </w:p>
    <w:p w14:paraId="199642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开放日：指销售机构为投资者办理基金申购、赎回等业务的工作日；</w:t>
      </w:r>
    </w:p>
    <w:p w14:paraId="3492F9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募集期：指自基金份额发售之日起不超过3个月的期间；</w:t>
      </w:r>
    </w:p>
    <w:p w14:paraId="056B6D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基金存续期：指基金合同生效后合法存续的不定期之期间；</w:t>
      </w:r>
    </w:p>
    <w:p w14:paraId="055B83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日/天：指公历日；</w:t>
      </w:r>
    </w:p>
    <w:p w14:paraId="22C257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月：指公历月；</w:t>
      </w:r>
    </w:p>
    <w:p w14:paraId="14A144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工作日：指上海证券交易所和深圳证券交易所的正常交易日；</w:t>
      </w:r>
    </w:p>
    <w:p w14:paraId="09C7C9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T日：指销售机构确认的投资者有效申请工作日；</w:t>
      </w:r>
    </w:p>
    <w:p w14:paraId="509B2A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T+n日：指自T日起第n个工作日（不包含T日）；</w:t>
      </w:r>
    </w:p>
    <w:p w14:paraId="6BCA69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发售：指在本基金募集期内，销售机构向投资者销售本基金份额的行为；</w:t>
      </w:r>
    </w:p>
    <w:p w14:paraId="4F4569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认购：指在本基金募集期内，投资者购买本基金份额的行为；</w:t>
      </w:r>
    </w:p>
    <w:p w14:paraId="34ECD7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申购：指基金合同生效后，基金投资者根据基金销售网点规定的手续，向基金管理人提出申请购买基金份额的行为。本基金的申购自基金合同生效后不超过30日的时间开始办理；</w:t>
      </w:r>
    </w:p>
    <w:p w14:paraId="7D18C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赎回：指基金合同生效后，基金投资者根据基金销售网点规定的手续，向基金管理人提出申请卖出基金份额的行为。本基金的赎回自基金合同生效后不超过30日的时间开始办理；</w:t>
      </w:r>
    </w:p>
    <w:p w14:paraId="3AC62E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转托管：指投资者将其持有的同一基金账户下的基金份额从某一交易账户转入另一交易账户的业务；</w:t>
      </w:r>
    </w:p>
    <w:p w14:paraId="5FE9AE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投资指令：指基金管理人在运用基金财产进行投资时，向基金托管人发出的资</w:t>
      </w:r>
      <w:r>
        <w:rPr>
          <w:rFonts w:ascii="宋体" w:hAnsi="宋体"/>
          <w:sz w:val="24"/>
        </w:rPr>
        <w:lastRenderedPageBreak/>
        <w:t>金划拨及实物券调拨等指令；</w:t>
      </w:r>
    </w:p>
    <w:p w14:paraId="22D4C5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基金账户：指基金注册登记机构给投资者开立的用于记录投资者持有的由该注册登记机构登记注册的开放式基金份额变动及结余情况的账户；</w:t>
      </w:r>
    </w:p>
    <w:p w14:paraId="57A83F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交易账户：指各销售机构为投资者开立的记录投资者通过该销售机构办理基金交易所引起的基金份额的变动及结余情况的账户；</w:t>
      </w:r>
    </w:p>
    <w:p w14:paraId="6C97C5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定期定额投资计划：指投资者通过向有关销售机构提交申请，约定每期申购日、扣款金额及扣款方式，由指定的销售机构在投资者指定资金账户内自动扣款并于每期约定申购日提交基金申购申请的一种投资方式；</w:t>
      </w:r>
    </w:p>
    <w:p w14:paraId="1576D5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基金收益：指基金投资所得银行存款利息、债券利息、买卖债券差价以及其他合法收益；</w:t>
      </w:r>
    </w:p>
    <w:p w14:paraId="0AF80A68" w14:textId="4369563F" w:rsidR="00007225" w:rsidRDefault="00F8726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每万份基金已实现收益</w:t>
      </w:r>
      <w:r w:rsidR="00F07F0D">
        <w:rPr>
          <w:rFonts w:ascii="宋体" w:hAnsi="宋体"/>
          <w:sz w:val="24"/>
        </w:rPr>
        <w:t>：指</w:t>
      </w:r>
      <w:r w:rsidRPr="006A5B56">
        <w:rPr>
          <w:rFonts w:ascii="宋体" w:hAnsi="宋体" w:hint="eastAsia"/>
          <w:color w:val="000000"/>
          <w:sz w:val="24"/>
          <w:szCs w:val="21"/>
        </w:rPr>
        <w:t>按照相关法规计算的每万份基金份额的日已实现收益</w:t>
      </w:r>
      <w:r w:rsidR="00F07F0D">
        <w:rPr>
          <w:rFonts w:ascii="宋体" w:hAnsi="宋体"/>
          <w:sz w:val="24"/>
        </w:rPr>
        <w:t>；</w:t>
      </w:r>
    </w:p>
    <w:p w14:paraId="68B40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基金七日年化收益率（%）：指以最近七日（含节假日）收益折算的年资产收益率；</w:t>
      </w:r>
    </w:p>
    <w:p w14:paraId="5C7CD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基金资产总值：指基金所购买的各类证券及票据价值、银行存款本息和本基金应收的申购基金款以及其他投资所形成的价值总和；</w:t>
      </w:r>
    </w:p>
    <w:p w14:paraId="3B5038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基金资产净值：指基金资产总值扣除负债后的净资产值；</w:t>
      </w:r>
    </w:p>
    <w:p w14:paraId="0FA66C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基金份额净值：指计算日基金资产净值除以计算日发行在外的基金份额总数；</w:t>
      </w:r>
    </w:p>
    <w:p w14:paraId="7EAB54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基金资产估值：指计算评估基金资产和负债的价值，以确定基金资产净值的过程；</w:t>
      </w:r>
    </w:p>
    <w:p w14:paraId="0DCCA9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摊余成本法：即估值对象以买入成本列示， 按票面利率或协议利率并考虑其买入时的溢价与折价，在其剩余存续期限内平均摊销，每日计提损益；</w:t>
      </w:r>
    </w:p>
    <w:p w14:paraId="7F9B8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4AAD769F" w14:textId="77777777" w:rsidR="003B1250"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指定媒介：指中国证监会指定的用以进行信息披露的全国性报刊及指定互联网网站（包括基金管理人网站、基金托管人网站、中国证监会基金电子披露网站）等</w:t>
      </w:r>
      <w:r>
        <w:rPr>
          <w:rFonts w:ascii="宋体" w:hAnsi="宋体"/>
          <w:sz w:val="24"/>
        </w:rPr>
        <w:lastRenderedPageBreak/>
        <w:t>媒介；</w:t>
      </w:r>
    </w:p>
    <w:p w14:paraId="0D838716" w14:textId="05B6A39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不可抗力：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p w14:paraId="09E2102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92E570" w14:textId="77777777" w:rsidR="00007225" w:rsidRDefault="00F07F0D">
      <w:pPr>
        <w:pStyle w:val="1"/>
        <w:snapToGrid w:val="0"/>
        <w:spacing w:beforeLines="0" w:before="240" w:after="240"/>
        <w:rPr>
          <w:rFonts w:ascii="宋体" w:hAnsi="宋体"/>
          <w:szCs w:val="30"/>
        </w:rPr>
      </w:pPr>
      <w:bookmarkStart w:id="5" w:name="_Toc160021634"/>
      <w:r>
        <w:rPr>
          <w:rFonts w:ascii="Times New Roman" w:hAnsi="Times New Roman"/>
          <w:sz w:val="30"/>
        </w:rPr>
        <w:lastRenderedPageBreak/>
        <w:t>三、基金管理人</w:t>
      </w:r>
      <w:bookmarkEnd w:id="5"/>
    </w:p>
    <w:p w14:paraId="5E78CC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B54FF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6D512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73BA2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65E899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275D67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554D2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621D6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CC7E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C7CE2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1E15E7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4964E4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3E9781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007225" w14:paraId="0CB638F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54039C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BF4784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007225" w14:paraId="1A46929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B456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262FB1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007225" w14:paraId="16BB3E3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07390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C72448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007225" w14:paraId="4E46D0B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84DA7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46127CB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0DC10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40F122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19190658"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01525E6"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童洁萍女士，董事，硕士。现任交通银行总行个人金融业务部副总经理。历任交通银行南京分行个人金融业务部副高级经理、江苏省分行个人金融业务部副总经理、总经理、玄武支行行长。</w:t>
      </w:r>
    </w:p>
    <w:p w14:paraId="765BD0C7" w14:textId="77777777" w:rsidR="00C449E6" w:rsidRDefault="00C449E6" w:rsidP="00C449E6">
      <w:pPr>
        <w:autoSpaceDE w:val="0"/>
        <w:autoSpaceDN w:val="0"/>
        <w:adjustRightInd w:val="0"/>
        <w:snapToGrid w:val="0"/>
        <w:spacing w:line="360" w:lineRule="auto"/>
        <w:ind w:firstLineChars="200" w:firstLine="480"/>
        <w:jc w:val="left"/>
        <w:rPr>
          <w:rFonts w:ascii="宋体" w:hAnsi="宋体"/>
          <w:sz w:val="24"/>
        </w:rPr>
      </w:pPr>
      <w:r w:rsidRPr="00723197">
        <w:rPr>
          <w:rFonts w:ascii="宋体" w:hAnsi="宋体" w:hint="eastAsia"/>
          <w:sz w:val="24"/>
        </w:rPr>
        <w:t>王贤家先生，董事，学士。现任交银国际控股有限公司执行董事、副行政总裁、首席风险官。历任交通银行总行国际业务部外汇资金处交易员、澳门分行资金</w:t>
      </w:r>
      <w:r w:rsidRPr="00723197">
        <w:rPr>
          <w:rFonts w:ascii="宋体" w:hAnsi="宋体" w:hint="eastAsia"/>
          <w:sz w:val="24"/>
        </w:rPr>
        <w:lastRenderedPageBreak/>
        <w:t>部主管、总行金融市场部债券投资部副高级经理、外汇交易部高级经理、风险管理部/内控案防办副总经理。</w:t>
      </w:r>
    </w:p>
    <w:p w14:paraId="3B65559C" w14:textId="3513D334"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谢卫先生，董事，总经理，博士，高级经济师。现任交银施罗德基金管理有限公司总经理，兼任交银施罗德资产管理有限公司董事长。历任中央财经大学教师，中国</w:t>
      </w:r>
      <w:bookmarkStart w:id="6" w:name="_GoBack"/>
      <w:bookmarkEnd w:id="6"/>
      <w:r w:rsidRPr="00EB17D2">
        <w:rPr>
          <w:rFonts w:ascii="宋体" w:hAnsi="宋体" w:hint="eastAsia"/>
          <w:sz w:val="24"/>
        </w:rPr>
        <w:t>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9920A21"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329B6044"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DC8E719"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6F566E1D"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1CB4C0A"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4F30FF10"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2、基金管理人监事会成员</w:t>
      </w:r>
    </w:p>
    <w:p w14:paraId="25B5E414"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梅津芝女士，监事长，学士。高级经济师、审计师。现任交通银行工会办公室主任。历任交通银行山西省分行个人金融业务部高级经理，交通银行山西省分行副行长，交通银行个人金融业务部副总经理、私人银行部总经理。</w:t>
      </w:r>
    </w:p>
    <w:p w14:paraId="4DFB8FE2"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lastRenderedPageBreak/>
        <w:t>林凯珊女士，监事，硕士。现任施罗德投资管理（香港）有限公司中国内地及中国香港法律部主管。历任香港证券及期货事务监察委员会发牌科经理、的近律师行律师。</w:t>
      </w:r>
    </w:p>
    <w:p w14:paraId="46CBA8EB"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0E1C14B8"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黄伟峰先生，监事，硕士。现任交银施罗德基金管理有限公司高级专家、市场总监。历任平安人寿保险公司上海分公司行政督导、营销管理经理，交银施罗德基金管理有限公司行政部总经理助理、西部营销中心总经理、机构理财部（上海）总经理兼产品开发部总经理。</w:t>
      </w:r>
    </w:p>
    <w:p w14:paraId="6653860C"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3、基金管理人高级管理人员</w:t>
      </w:r>
    </w:p>
    <w:p w14:paraId="2D4A64D5"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谢卫先生，总经理。简历同上。</w:t>
      </w:r>
    </w:p>
    <w:p w14:paraId="1A0B1D7E"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377723A5" w14:textId="77777777" w:rsidR="00C449E6" w:rsidRPr="00EB17D2"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09F459C" w14:textId="77777777" w:rsidR="00C449E6" w:rsidRDefault="00C449E6" w:rsidP="00C449E6">
      <w:pPr>
        <w:autoSpaceDE w:val="0"/>
        <w:autoSpaceDN w:val="0"/>
        <w:adjustRightInd w:val="0"/>
        <w:snapToGrid w:val="0"/>
        <w:spacing w:line="360" w:lineRule="auto"/>
        <w:ind w:firstLineChars="200" w:firstLine="480"/>
        <w:jc w:val="left"/>
        <w:rPr>
          <w:rFonts w:ascii="宋体" w:hAnsi="宋体"/>
          <w:sz w:val="24"/>
        </w:rPr>
      </w:pPr>
      <w:r w:rsidRPr="00EB17D2">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33D085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679D6249" w14:textId="24940DEA" w:rsidR="00977547"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季参平先生:基金经理。美国密歇根大学金融工程硕士、对外经济贸易大学经济学学士，</w:t>
      </w:r>
      <w:r w:rsidR="00270F42">
        <w:rPr>
          <w:rFonts w:ascii="宋体" w:hAnsi="宋体"/>
          <w:sz w:val="24"/>
        </w:rPr>
        <w:t>12</w:t>
      </w:r>
      <w:r>
        <w:rPr>
          <w:rFonts w:ascii="宋体" w:hAnsi="宋体"/>
          <w:sz w:val="24"/>
        </w:rPr>
        <w:t>年金融行业从业经验。2012年至2017年任瑞士银行外汇和利率交易员、联席董事。2017年加入交银施罗德基金管理有限公司，现任固定收益部基金经理。曾任基金经理助理。</w:t>
      </w:r>
    </w:p>
    <w:p w14:paraId="61973AA2" w14:textId="1364521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曾任交银施罗德天运宝货币市场基金(2019年07月26日至2019年09月18日)</w:t>
      </w:r>
      <w:r w:rsidR="00750A4D">
        <w:rPr>
          <w:rFonts w:ascii="宋体" w:hAnsi="宋体" w:hint="eastAsia"/>
          <w:sz w:val="24"/>
        </w:rPr>
        <w:t>、</w:t>
      </w:r>
      <w:r w:rsidR="00750A4D">
        <w:rPr>
          <w:rFonts w:ascii="宋体" w:hAnsi="宋体"/>
          <w:sz w:val="24"/>
        </w:rPr>
        <w:t>交银施罗德中债1-3年政策性金融债指数证券投资基金(2020年08月20日</w:t>
      </w:r>
      <w:r w:rsidR="009B636E">
        <w:rPr>
          <w:rFonts w:ascii="宋体" w:hAnsi="宋体" w:hint="eastAsia"/>
          <w:sz w:val="24"/>
        </w:rPr>
        <w:t>至</w:t>
      </w:r>
      <w:r w:rsidR="00750A4D">
        <w:rPr>
          <w:rFonts w:ascii="宋体" w:hAnsi="宋体" w:hint="eastAsia"/>
          <w:sz w:val="24"/>
        </w:rPr>
        <w:t>2</w:t>
      </w:r>
      <w:r w:rsidR="00750A4D">
        <w:rPr>
          <w:rFonts w:ascii="宋体" w:hAnsi="宋体"/>
          <w:sz w:val="24"/>
        </w:rPr>
        <w:t>023</w:t>
      </w:r>
      <w:r w:rsidR="00750A4D">
        <w:rPr>
          <w:rFonts w:ascii="宋体" w:hAnsi="宋体" w:hint="eastAsia"/>
          <w:sz w:val="24"/>
        </w:rPr>
        <w:t>年8月</w:t>
      </w:r>
      <w:r w:rsidR="007D719C">
        <w:rPr>
          <w:rFonts w:ascii="宋体" w:hAnsi="宋体"/>
          <w:sz w:val="24"/>
        </w:rPr>
        <w:lastRenderedPageBreak/>
        <w:t>29</w:t>
      </w:r>
      <w:r w:rsidR="00750A4D">
        <w:rPr>
          <w:rFonts w:ascii="宋体" w:hAnsi="宋体" w:hint="eastAsia"/>
          <w:sz w:val="24"/>
        </w:rPr>
        <w:t>日</w:t>
      </w:r>
      <w:r w:rsidR="00750A4D">
        <w:rPr>
          <w:rFonts w:ascii="宋体" w:hAnsi="宋体"/>
          <w:sz w:val="24"/>
        </w:rPr>
        <w:t>)</w:t>
      </w:r>
      <w:r w:rsidR="00270F42" w:rsidRPr="00270F42">
        <w:rPr>
          <w:rFonts w:ascii="宋体" w:hAnsi="宋体"/>
          <w:sz w:val="24"/>
        </w:rPr>
        <w:t xml:space="preserve"> </w:t>
      </w:r>
      <w:r w:rsidR="00270F42">
        <w:rPr>
          <w:rFonts w:ascii="宋体" w:hAnsi="宋体"/>
          <w:sz w:val="24"/>
        </w:rPr>
        <w:t>、交银施罗德中债1-5年政策性金融债指数证券投资基金(2022年06月08日至</w:t>
      </w:r>
      <w:r w:rsidR="00270F42">
        <w:rPr>
          <w:rFonts w:ascii="宋体" w:hAnsi="宋体" w:hint="eastAsia"/>
          <w:sz w:val="24"/>
        </w:rPr>
        <w:t>2</w:t>
      </w:r>
      <w:r w:rsidR="00270F42">
        <w:rPr>
          <w:rFonts w:ascii="宋体" w:hAnsi="宋体"/>
          <w:sz w:val="24"/>
        </w:rPr>
        <w:t>023</w:t>
      </w:r>
      <w:r w:rsidR="00270F42">
        <w:rPr>
          <w:rFonts w:ascii="宋体" w:hAnsi="宋体" w:hint="eastAsia"/>
          <w:sz w:val="24"/>
        </w:rPr>
        <w:t>年</w:t>
      </w:r>
      <w:r w:rsidR="00513927" w:rsidRPr="00513927">
        <w:rPr>
          <w:rFonts w:ascii="宋体" w:hAnsi="宋体" w:hint="eastAsia"/>
          <w:sz w:val="24"/>
        </w:rPr>
        <w:t>11月15日</w:t>
      </w:r>
      <w:r w:rsidR="00270F42">
        <w:rPr>
          <w:rFonts w:ascii="宋体" w:hAnsi="宋体"/>
          <w:sz w:val="24"/>
        </w:rPr>
        <w:t>)</w:t>
      </w:r>
      <w:r w:rsidR="00977547">
        <w:rPr>
          <w:rFonts w:ascii="宋体" w:hAnsi="宋体"/>
          <w:sz w:val="24"/>
        </w:rPr>
        <w:t>、交银施罗德裕祥纯债债券型证券投资基金(2020年07月09日至</w:t>
      </w:r>
      <w:r w:rsidR="00977547" w:rsidRPr="00977547">
        <w:rPr>
          <w:rFonts w:ascii="宋体" w:hAnsi="宋体" w:hint="eastAsia"/>
          <w:sz w:val="24"/>
        </w:rPr>
        <w:t>2024年2月19日</w:t>
      </w:r>
      <w:r w:rsidR="00977547">
        <w:rPr>
          <w:rFonts w:ascii="宋体" w:hAnsi="宋体"/>
          <w:sz w:val="24"/>
        </w:rPr>
        <w:t>)</w:t>
      </w:r>
      <w:r>
        <w:rPr>
          <w:rFonts w:ascii="宋体" w:hAnsi="宋体"/>
          <w:sz w:val="24"/>
        </w:rPr>
        <w:t>的基金经理。现任交银施罗德现金宝货币市场基金(2019年07月26日至今)、交银施罗德天鑫宝货币市场基金(2019年07月26日至今)、交银施罗德货币市场证券投资基金(2019年07月26日至今)、交银施罗德裕通纯债债券型证券投资基金(2019年10月12日至今)、交银施罗德中债1-3年农发行债券指数证券投资基金(2021年08月19日至今)、交银施罗德丰润收益债券型证券投资基金(2021年08月19日至今)、交银施罗德裕景纯债一年定期开放债券型证券投资基金(2021年09月09日至今)、交银施罗德裕道纯债一年定期开放债券型发起式证券投资基金(2022年03月29日至今)</w:t>
      </w:r>
      <w:r w:rsidR="00270F42">
        <w:rPr>
          <w:rFonts w:ascii="宋体" w:hAnsi="宋体" w:hint="eastAsia"/>
          <w:sz w:val="24"/>
        </w:rPr>
        <w:t>、</w:t>
      </w:r>
      <w:r w:rsidR="00270F42" w:rsidRPr="00270F42">
        <w:rPr>
          <w:rFonts w:ascii="宋体" w:hAnsi="宋体" w:hint="eastAsia"/>
          <w:sz w:val="24"/>
        </w:rPr>
        <w:t>交银施罗德中证同业存单AAA指数7天持有期证券投资基金</w:t>
      </w:r>
      <w:r w:rsidR="00270F42">
        <w:rPr>
          <w:rFonts w:ascii="宋体" w:hAnsi="宋体"/>
          <w:sz w:val="24"/>
        </w:rPr>
        <w:t>(2023年12月</w:t>
      </w:r>
      <w:r w:rsidR="00270F42">
        <w:rPr>
          <w:rFonts w:ascii="宋体" w:hAnsi="宋体" w:hint="eastAsia"/>
          <w:sz w:val="24"/>
        </w:rPr>
        <w:t>1</w:t>
      </w:r>
      <w:r w:rsidR="00270F42">
        <w:rPr>
          <w:rFonts w:ascii="宋体" w:hAnsi="宋体"/>
          <w:sz w:val="24"/>
        </w:rPr>
        <w:t>9日至今)</w:t>
      </w:r>
      <w:r>
        <w:rPr>
          <w:rFonts w:ascii="宋体" w:hAnsi="宋体"/>
          <w:sz w:val="24"/>
        </w:rPr>
        <w:t>的基金经理。</w:t>
      </w:r>
    </w:p>
    <w:p w14:paraId="01B13A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0714D4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陈晓秋女士(2006年01月20日至2009年10月30日)；</w:t>
      </w:r>
    </w:p>
    <w:p w14:paraId="4538CD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李家春先生(2006年12月27日至2011年06月08日)；</w:t>
      </w:r>
    </w:p>
    <w:p w14:paraId="2F3C3C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林洪钧先生(2011年06月09日至2015年05月31日)；</w:t>
      </w:r>
    </w:p>
    <w:p w14:paraId="34EAFCC2" w14:textId="77777777" w:rsidR="00007225"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黄莹洁女士(2015年05月27日至2019年08月02日)</w:t>
      </w:r>
      <w:r w:rsidR="0028193D">
        <w:rPr>
          <w:rFonts w:ascii="宋体" w:hAnsi="宋体" w:hint="eastAsia"/>
          <w:sz w:val="24"/>
        </w:rPr>
        <w:t>；</w:t>
      </w:r>
    </w:p>
    <w:p w14:paraId="35EF5FAA" w14:textId="77777777" w:rsidR="0028193D" w:rsidRPr="0028193D" w:rsidRDefault="0028193D" w:rsidP="002819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连端清先生(2015年10月16日至2019年08月02日)。</w:t>
      </w:r>
    </w:p>
    <w:p w14:paraId="3B35D7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1B9EBB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3389CA79" w14:textId="0AAF2DC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482957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750BD7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6261A5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5710CF59" w14:textId="662CE0E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sidR="000A1A07">
        <w:rPr>
          <w:rFonts w:ascii="宋体" w:hAnsi="宋体"/>
          <w:sz w:val="24"/>
        </w:rPr>
        <w:t>202</w:t>
      </w:r>
      <w:r w:rsidR="00585DBE">
        <w:rPr>
          <w:rFonts w:ascii="宋体" w:hAnsi="宋体"/>
          <w:sz w:val="24"/>
        </w:rPr>
        <w:t>4</w:t>
      </w:r>
      <w:r w:rsidR="000A1A07">
        <w:rPr>
          <w:rFonts w:ascii="宋体" w:hAnsi="宋体"/>
          <w:sz w:val="24"/>
        </w:rPr>
        <w:t>年</w:t>
      </w:r>
      <w:r w:rsidR="008B4DCE">
        <w:rPr>
          <w:rFonts w:ascii="宋体" w:hAnsi="宋体"/>
          <w:sz w:val="24"/>
        </w:rPr>
        <w:t>02</w:t>
      </w:r>
      <w:r>
        <w:rPr>
          <w:rFonts w:ascii="宋体" w:hAnsi="宋体"/>
          <w:sz w:val="24"/>
        </w:rPr>
        <w:t>月</w:t>
      </w:r>
      <w:r w:rsidR="008B4DCE">
        <w:rPr>
          <w:rFonts w:ascii="宋体" w:hAnsi="宋体"/>
          <w:sz w:val="24"/>
        </w:rPr>
        <w:t>29</w:t>
      </w:r>
      <w:r>
        <w:rPr>
          <w:rFonts w:ascii="宋体" w:hAnsi="宋体"/>
          <w:sz w:val="24"/>
        </w:rPr>
        <w:t>日，期后变动（如有）敬请关注基金管理人发布的相关公告。</w:t>
      </w:r>
    </w:p>
    <w:p w14:paraId="3AEF73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0F3D63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14:paraId="412B2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F1268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704694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4、按照基金合同的约定确定基金收益分配方案，及时向基金份额持有人分配收益；</w:t>
      </w:r>
    </w:p>
    <w:p w14:paraId="5ECB5C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3AB6DA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13D865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6FC3D9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478B4F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46711B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C4345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BBF16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2CC619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46CC30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227E5C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64A7CC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44F56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42B902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4EA370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6F286E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（5）依照法律、行政法规有关规定，由中国证监会规定禁止的其他行为。</w:t>
      </w:r>
    </w:p>
    <w:p w14:paraId="7D214A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01268C1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3ED830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06BD43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25E2E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0E0AE1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527EDF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3、不泄露在任职期间知悉的有关证券、基金的商业秘密，尚未依法公开的基金投资内容、基金投资计划等信息；</w:t>
      </w:r>
    </w:p>
    <w:p w14:paraId="684DBD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97ECD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60980C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442CDC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81B3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1628C2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34AA85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CC32E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36CC0B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CD03A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6B63FF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6434E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0F277D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8FB4C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5BA225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767288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22FA00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6BF988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5EEED1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0AE552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1AA1E8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506A09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0F011C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38B2AD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39AEC0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02D3F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62D71E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71CA0C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6F4E0D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079E4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7F4164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0AA8A3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028844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40C125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4CB943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7A63E7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建立、健全了各项制度，做到基金经理分开，投资决策分开，基金交易集中，形成不同部门、不同岗位之间的制衡机制，从制度上减少和防范风险。</w:t>
      </w:r>
    </w:p>
    <w:p w14:paraId="65C18B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4D0905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E3514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055FCC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73593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6D7AEE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201FA1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787AB7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采取数量化、技术化的风险控制手段，建立数量化的风险管理模型，用以提示指数趋势、行业及个券的风险，以便公司及时采取有效的措施，对风险进行分散、控制和规避，尽可能地减少损失。</w:t>
      </w:r>
    </w:p>
    <w:p w14:paraId="16DE5E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6BD852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64D5BAD3"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6D2444" w14:textId="77777777" w:rsidR="00007225" w:rsidRDefault="00F07F0D">
      <w:pPr>
        <w:pStyle w:val="1"/>
        <w:snapToGrid w:val="0"/>
        <w:spacing w:beforeLines="0" w:before="240" w:after="240"/>
        <w:rPr>
          <w:rFonts w:ascii="宋体" w:hAnsi="宋体"/>
          <w:szCs w:val="30"/>
        </w:rPr>
      </w:pPr>
      <w:bookmarkStart w:id="7" w:name="_Toc160021635"/>
      <w:r>
        <w:rPr>
          <w:rFonts w:ascii="Times New Roman" w:hAnsi="Times New Roman"/>
          <w:sz w:val="30"/>
        </w:rPr>
        <w:lastRenderedPageBreak/>
        <w:t>四、基金托管人</w:t>
      </w:r>
      <w:bookmarkEnd w:id="7"/>
    </w:p>
    <w:p w14:paraId="541528F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AD11A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2EC65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5200CC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03A9BB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21995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11FBCF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0444F8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14:paraId="64FB61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14:paraId="1ADB98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756BAF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F3E77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A7D4C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13FF6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14:paraId="492861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D43A7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14:paraId="178F50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14:paraId="7016BB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3317FF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14:paraId="3AA13F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5704D2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截止到2023年3月31日，中国农业银行托管的封闭式证券投资基金和开放式证券投资基金共808只。</w:t>
      </w:r>
    </w:p>
    <w:p w14:paraId="6F0C0DD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14:paraId="3C7C5B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9CE5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4CFD75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14:paraId="32A399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494333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320AB5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FE463D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57D681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5B4326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3A2DDD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0CA6EA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7A8FFB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14:paraId="00A9FFA4"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4C0F18D" w14:textId="77777777" w:rsidR="00007225" w:rsidRDefault="00F07F0D">
      <w:pPr>
        <w:pStyle w:val="1"/>
        <w:snapToGrid w:val="0"/>
        <w:spacing w:beforeLines="0" w:before="240" w:after="240"/>
        <w:rPr>
          <w:rFonts w:ascii="宋体" w:hAnsi="宋体"/>
          <w:szCs w:val="30"/>
        </w:rPr>
      </w:pPr>
      <w:bookmarkStart w:id="8" w:name="_Toc160021636"/>
      <w:r>
        <w:rPr>
          <w:rFonts w:ascii="Times New Roman" w:hAnsi="Times New Roman"/>
          <w:sz w:val="30"/>
        </w:rPr>
        <w:lastRenderedPageBreak/>
        <w:t>五、相关服务机构</w:t>
      </w:r>
      <w:bookmarkEnd w:id="8"/>
    </w:p>
    <w:p w14:paraId="48FF5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080C1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51DF4E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ECD15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1CB25A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14D9E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9C488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23B2B7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A4808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5883E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6E227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CFF36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5D588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BDA7E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个人投资者可以通过本公司网上直销交易平台办理开户、本基金的赎回、转换及定期定额投资等业务，具体交易细则请参阅本公司网站。</w:t>
      </w:r>
    </w:p>
    <w:p w14:paraId="583061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14:paraId="5325DA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14:paraId="6E2E1534" w14:textId="0A55B29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78F057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37536A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16244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0A1703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2FF037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2D8941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059288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14:paraId="619E1A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14:paraId="097A73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14:paraId="39AE95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办公地址：北京市复兴门内大街55号</w:t>
      </w:r>
    </w:p>
    <w:p w14:paraId="799F9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14:paraId="7AB2F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14:paraId="3F8AA7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14:paraId="455A2B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14:paraId="2F32BC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14:paraId="486759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14:paraId="3FF2F9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14:paraId="67569F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14:paraId="012D70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14:paraId="47523D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14:paraId="39176F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14:paraId="5317A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14:paraId="4C62AE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14:paraId="00DB46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14:paraId="7725C9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14:paraId="7FB0FE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14:paraId="44275F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14:paraId="357E3F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14:paraId="474A26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14:paraId="02B1A4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73FBE3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2148C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14:paraId="011BC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22102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5FE41D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4D535A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1B302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14:paraId="1B79E7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14:paraId="2EC579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14:paraId="68C689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办公地址：北京市西城区金融大街甲17号首层</w:t>
      </w:r>
    </w:p>
    <w:p w14:paraId="23A4C1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14:paraId="02ABA4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14:paraId="0DCDB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14:paraId="2796DE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14:paraId="61E88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14:paraId="2FBF43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14:paraId="578AD6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0446BE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2910E6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0866B3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670240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5C7ABF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C03CD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68F07A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14:paraId="6CA2E9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14:paraId="40EE53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14:paraId="11FAAD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14:paraId="58DD4A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14:paraId="3C8D75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14:paraId="19EFBC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14:paraId="1D18FE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14:paraId="62E04E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14:paraId="52409F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14:paraId="1424B3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5F1306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77F526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12E2E5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257A22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5981CF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6406A1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95568</w:t>
      </w:r>
    </w:p>
    <w:p w14:paraId="6D6932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77CD7C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14:paraId="211D83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14:paraId="044C76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14:paraId="047BB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14:paraId="18274F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14:paraId="370F2C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14:paraId="5C2B72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14:paraId="09C851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64F293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4920928E" w14:textId="387DBF4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sidR="004E682D" w:rsidRPr="004E682D">
        <w:rPr>
          <w:rFonts w:ascii="宋体" w:hAnsi="宋体" w:hint="eastAsia"/>
          <w:sz w:val="24"/>
        </w:rPr>
        <w:t>谷澍</w:t>
      </w:r>
    </w:p>
    <w:p w14:paraId="01A32D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6C1C02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0994872E" w14:textId="4B20E04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w:t>
      </w:r>
      <w:r w:rsidR="004E682D" w:rsidRPr="00040D5C">
        <w:rPr>
          <w:rFonts w:ascii="Times New Roman" w:hAnsi="Times New Roman" w:hint="eastAsia"/>
          <w:kern w:val="0"/>
          <w:sz w:val="24"/>
        </w:rPr>
        <w:t>秦一楠</w:t>
      </w:r>
    </w:p>
    <w:p w14:paraId="2212AE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41BA66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27032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（12）名称：招商银行股份有限公司</w:t>
      </w:r>
    </w:p>
    <w:p w14:paraId="3F4EE9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51720A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1EFF7C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4A548F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2902B2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67928B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7BF65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33C4F0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25491E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（13）名称：交通银行股份有限公司</w:t>
      </w:r>
    </w:p>
    <w:p w14:paraId="013552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75B66C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72675F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02B6A7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电话：（021）58781234</w:t>
      </w:r>
    </w:p>
    <w:p w14:paraId="345140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2C2C78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4104D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720C04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521310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（14）名称：杭州银行股份有限公司</w:t>
      </w:r>
    </w:p>
    <w:p w14:paraId="407C74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018AE2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480FA5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1B3AEB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3E5F65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6CC46C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46724F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2A6173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779F0C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（15）名称：中信银行股份有限公司</w:t>
      </w:r>
    </w:p>
    <w:p w14:paraId="2BA16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6A748F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14:paraId="14A5B1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390A0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4E61CF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1971EA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424777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4AC817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7946AE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（16）名称：东莞农村商业银行股份有限公司</w:t>
      </w:r>
    </w:p>
    <w:p w14:paraId="27A33A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3BFCB4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68B038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4B8653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7B3FBF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57B4DA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5039A8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客户服务电话：（0769）961122</w:t>
      </w:r>
    </w:p>
    <w:p w14:paraId="4F072C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613DB9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（17）名称：江苏常熟农村商业银行股份有限公司</w:t>
      </w:r>
    </w:p>
    <w:p w14:paraId="180771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7099A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51F4F7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3DBF6B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738399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14:paraId="1A953C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6A31AF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0F364E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316571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（18）名称：江苏江南农村商业银行股份有限公司</w:t>
      </w:r>
    </w:p>
    <w:p w14:paraId="1BC4E8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6C1F48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071D24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040FDD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6FAA0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67DC89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12820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20544D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5D3286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（19）名称：光大证券股份有限公司</w:t>
      </w:r>
    </w:p>
    <w:p w14:paraId="766B6A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11DFAC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4CDBF6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2D9473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332CE3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5C127B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4C2BCE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478B23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3FED34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（20）名称：中信证券股份有限公司</w:t>
      </w:r>
    </w:p>
    <w:p w14:paraId="0A0210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住所：广东省深圳市福田区中心三路8号卓越时代广场（二期）北座</w:t>
      </w:r>
    </w:p>
    <w:p w14:paraId="0C38EC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7EE484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1FC779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427E93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0CF024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73C0A1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（21）名称：中国中金财富证券有限公司</w:t>
      </w:r>
    </w:p>
    <w:p w14:paraId="3FFB65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2A68E4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15224D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600EBF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30DB6D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6CFABB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6A05ED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00639E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（22）名称：东北证券股份有限公司</w:t>
      </w:r>
    </w:p>
    <w:p w14:paraId="08BA12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14:paraId="65555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14:paraId="155F04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14:paraId="79464D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14:paraId="1909F6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14:paraId="2E3715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14:paraId="1244F1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14:paraId="79DEFD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（23）名称：中银国际证券有限责任公司</w:t>
      </w:r>
    </w:p>
    <w:p w14:paraId="7AA254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14:paraId="408AC7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14:paraId="270EAC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14:paraId="79014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407FBE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14:paraId="7FB2C9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14:paraId="08E3B1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（24）名称：华福证券有限责任公司</w:t>
      </w:r>
    </w:p>
    <w:p w14:paraId="220B34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14:paraId="22F885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14:paraId="332D84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14:paraId="744610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14:paraId="3EF683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14:paraId="120FB8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14:paraId="00368F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14:paraId="48368E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（25）名称：东兴证券股份有限公司</w:t>
      </w:r>
    </w:p>
    <w:p w14:paraId="701109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589B7A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5FC282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14:paraId="440DC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6053D6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0B6067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0C807D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385639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（26）名称：东方证券股份有限公司</w:t>
      </w:r>
    </w:p>
    <w:p w14:paraId="5EE68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14:paraId="4D4A10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14:paraId="2D69BB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14:paraId="4C3E91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14:paraId="17701B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14:paraId="42E047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14:paraId="31342C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14:paraId="399D4A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（27）名称：方正证券股份有限公司</w:t>
      </w:r>
    </w:p>
    <w:p w14:paraId="6245BC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284C92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14:paraId="1C8AAC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0F02A6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73C20F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76CA0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联系人：徐锦福</w:t>
      </w:r>
    </w:p>
    <w:p w14:paraId="3F3E19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4C6B28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460775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（28）名称：中国民族证券有限责任公司</w:t>
      </w:r>
    </w:p>
    <w:p w14:paraId="273137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14:paraId="261DE1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14:paraId="636D7C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14:paraId="7A437A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14:paraId="09BA0B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14:paraId="415B76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（29）名称：安信证券股份有限公司</w:t>
      </w:r>
    </w:p>
    <w:p w14:paraId="6CDFB8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14:paraId="5DC024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14:paraId="2F3A83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14:paraId="72D8D1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14:paraId="02E5C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440154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02106F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14:paraId="4B918D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14:paraId="29F46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（30）名称：国元证券股份有限公司</w:t>
      </w:r>
    </w:p>
    <w:p w14:paraId="211128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14:paraId="2A4478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14:paraId="1FBC8A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14:paraId="1F112C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14:paraId="70E982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14:paraId="492E8E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14:paraId="1A2D02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14:paraId="4BCC30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14:paraId="73655C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（31）名称：中航证券有限公司</w:t>
      </w:r>
    </w:p>
    <w:p w14:paraId="1295B2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13E915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6FE97B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法定代表人：杜航</w:t>
      </w:r>
    </w:p>
    <w:p w14:paraId="6B31E9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74D133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18BC21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04564F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14:paraId="7E433A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7426A4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（32）名称：中信建投证券股份有限公司</w:t>
      </w:r>
    </w:p>
    <w:p w14:paraId="0990D1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13D1C7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71CE8E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1C3C93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5AFCCD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2F6443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46E03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7B929A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422C61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（33）名称：国信证券股份有限公司</w:t>
      </w:r>
    </w:p>
    <w:p w14:paraId="3BB0CC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089547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61D803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14:paraId="37029F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7AB369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4FE3A7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14:paraId="6BB0C0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76D880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6ABAF2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（34）名称：恒泰证券股份有限公司</w:t>
      </w:r>
    </w:p>
    <w:p w14:paraId="20F14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14:paraId="62945C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14:paraId="709BEC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14:paraId="28DB80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14:paraId="07E180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14:paraId="71066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联系人：王旭华</w:t>
      </w:r>
    </w:p>
    <w:p w14:paraId="1E0EB9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14:paraId="35F21A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14:paraId="23FE52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（35）名称：华泰证券股份有限公司</w:t>
      </w:r>
    </w:p>
    <w:p w14:paraId="6EA36E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0EDD87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639F92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7BBE08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4452F1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3D0DA4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4F6147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620076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46C0A3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（36）名称：湘财证券股份有限公司</w:t>
      </w:r>
    </w:p>
    <w:p w14:paraId="67402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232C98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00D24A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1E8860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70FB9B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7F8D1B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636CA5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5A227C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782136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（37）名称：兴业证券股份有限公司</w:t>
      </w:r>
    </w:p>
    <w:p w14:paraId="2D40F2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2F9F2F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08FBBC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3C7684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29BB2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0CDD2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C3F13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3AC912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（38）名称：广发证券股份有限公司</w:t>
      </w:r>
    </w:p>
    <w:p w14:paraId="4EE93C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住所：广州市黄埔区中新广州知识城腾飞一街2号618室</w:t>
      </w:r>
    </w:p>
    <w:p w14:paraId="64B108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76AD56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72CA4B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55C4D1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7AA916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43CFF5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1C0B0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14:paraId="6D1776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（39）名称：海通证券股份有限公司</w:t>
      </w:r>
    </w:p>
    <w:p w14:paraId="381774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76E8FE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14:paraId="637FAF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348854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6D0DEF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4A9804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44EFF4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448DCB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0EB6BF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（40）名称：华龙证券股份有限公司</w:t>
      </w:r>
    </w:p>
    <w:p w14:paraId="13E05D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14:paraId="217544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14:paraId="2ACC20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14:paraId="740735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14:paraId="539E29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14:paraId="75A743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14:paraId="2CE246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14:paraId="7FB3B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14:paraId="2CDAA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（41）名称：华宝证券股份有限公司</w:t>
      </w:r>
    </w:p>
    <w:p w14:paraId="5C2CBE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3B9FE5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002CDB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53F506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电话：（021）68777222</w:t>
      </w:r>
    </w:p>
    <w:p w14:paraId="7A1640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42BF11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371D3E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7802E1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219D9D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（42）名称：长城国瑞证券有限公司</w:t>
      </w:r>
    </w:p>
    <w:p w14:paraId="36ABBB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14:paraId="7533C4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14:paraId="5E0B25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14:paraId="6CA42D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14:paraId="717D2D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14:paraId="6A5394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14:paraId="238609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14:paraId="6814B7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14:paraId="7DBE09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（43）名称：爱建证券有限责任公司</w:t>
      </w:r>
    </w:p>
    <w:p w14:paraId="7E709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404F1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3596A3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6F1414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70729E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784445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6E1D68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7938D1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13DB83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（44）名称：长江证券股份有限公司</w:t>
      </w:r>
    </w:p>
    <w:p w14:paraId="6757CF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14:paraId="2EB1F6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14:paraId="7C564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14:paraId="1575E3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14:paraId="669350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14:paraId="3C7861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14:paraId="712F6C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客户服务电话：95579或4008-888-999</w:t>
      </w:r>
    </w:p>
    <w:p w14:paraId="43517A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14:paraId="27E1E8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（45）名称：招商证券股份有限公司</w:t>
      </w:r>
    </w:p>
    <w:p w14:paraId="20AB61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69BCAB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061131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5CB732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7B1E89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14:paraId="5D9B6C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2EAF90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2050F3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5CA81E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（46）名称：国泰君安证券股份有限公司</w:t>
      </w:r>
    </w:p>
    <w:p w14:paraId="3899B9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7C62BD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72FD9E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06A38D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4B76E6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2B83CE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7A8D6E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1EDED0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64F98D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（47）名称：中国银河证券股份有限公司</w:t>
      </w:r>
    </w:p>
    <w:p w14:paraId="54B5D7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5F0C4F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7653F6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0E158A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6B818D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642EDF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7553E8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2F1B4A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（48）名称：申万宏源证券有限公司</w:t>
      </w:r>
    </w:p>
    <w:p w14:paraId="4503F7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444AB9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办公地址：上海市徐汇区长乐路989号世纪商贸广场45层</w:t>
      </w:r>
    </w:p>
    <w:p w14:paraId="01BD45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551FC2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3E7566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38DD5C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1F420F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445CEF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（49）名称：国都证券股份有限公司</w:t>
      </w:r>
    </w:p>
    <w:p w14:paraId="3C5C94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46AF85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568E74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32292B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708500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14:paraId="3972E2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（50）名称：平安证券股份有限公司</w:t>
      </w:r>
    </w:p>
    <w:p w14:paraId="0761D1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4EA4DC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25A7A9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2C2D6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14:paraId="64DCBB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03011C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5CB88D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2F0F9D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050BD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（51）名称：中信证券（山东）有限责任公司</w:t>
      </w:r>
    </w:p>
    <w:p w14:paraId="31B9FD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47314F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49C00F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682E5F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561CB6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2680CE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366C39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70DD6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7A0EF3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（52）名称：申万宏源西部证券有限公司</w:t>
      </w:r>
    </w:p>
    <w:p w14:paraId="2A9336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6CA828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0A363F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5E2439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EC8AF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63FAF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2E525C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28A140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4D24EA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（53）名称：中泰证券股份有限公司</w:t>
      </w:r>
    </w:p>
    <w:p w14:paraId="1C51A8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03B9F6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1020B8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52596C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4BA68E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4FA75C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2893D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4604DA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34045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（54）名称：江海证券有限公司</w:t>
      </w:r>
    </w:p>
    <w:p w14:paraId="13B860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234B9C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26B78A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6A43F6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4C56D7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3AA611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0FFB93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414FE0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（55）名称：中国国际金融股份有限公司</w:t>
      </w:r>
    </w:p>
    <w:p w14:paraId="3058C0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57DCA1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462980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412C02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电话：（010）65051166</w:t>
      </w:r>
    </w:p>
    <w:p w14:paraId="5069F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0D7092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32ABA1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7D6AE8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（56）名称：瑞银证券有限责任公司</w:t>
      </w:r>
    </w:p>
    <w:p w14:paraId="0971C4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6C8106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2CF1FFF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14:paraId="5AF493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73CB4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592B8B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76918C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48DA10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70AEB2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（57）名称：长城证券有限责任公司</w:t>
      </w:r>
    </w:p>
    <w:p w14:paraId="78F29E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0EA466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53F1AA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792C0F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2A5E4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7D76FB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58987A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6C9BF0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（58）名称：国金证券股份有限公司</w:t>
      </w:r>
    </w:p>
    <w:p w14:paraId="3557AC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7F6F6F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71180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4171F2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4B799B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133CD3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F830B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015F5D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14:paraId="42A3BD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（59）名称：渤海证券股份有限公司</w:t>
      </w:r>
    </w:p>
    <w:p w14:paraId="1E9A13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17F247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44B420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14:paraId="4D5CE1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7F3EF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2CA5C2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6E2A15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14:paraId="5F943B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14:paraId="54BEAD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（60）名称：信达证券股份有限公司</w:t>
      </w:r>
    </w:p>
    <w:p w14:paraId="321C8A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0C058B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4BB639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28D6A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4F23F1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30F9FF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01BAE4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79DDCF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4D5F24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（61）名称：西南证券股份有限公司</w:t>
      </w:r>
    </w:p>
    <w:p w14:paraId="55FF0D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14:paraId="34A2EA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14:paraId="69085C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14:paraId="00D51C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14:paraId="0AC14E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14:paraId="34FA27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14:paraId="7BCD5B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14:paraId="102FBF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14:paraId="12E3B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（62）名称：国新证券股份有限公司</w:t>
      </w:r>
    </w:p>
    <w:p w14:paraId="44666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2771BF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51CC5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法定代表人：宋德清</w:t>
      </w:r>
    </w:p>
    <w:p w14:paraId="2636C8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1EBE90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0FB7D3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1A39EC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3B2965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3E19BC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（63）名称：中原证券股份有限公司</w:t>
      </w:r>
    </w:p>
    <w:p w14:paraId="7C5955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14:paraId="0A246C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14:paraId="326BA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14:paraId="670515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14:paraId="490F9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14:paraId="75883B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14:paraId="0669F8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14:paraId="2A7574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（64）名称：联讯证券股份有限公司</w:t>
      </w:r>
    </w:p>
    <w:p w14:paraId="77068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519E9F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4D6875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3B8389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4048B4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14:paraId="403A3C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15401E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57CF82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EC64F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（65）名称：华西证券股份有限公司</w:t>
      </w:r>
    </w:p>
    <w:p w14:paraId="28E80D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69512F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6A91BC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740B88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7977F4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09E1D0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联系人：周志茹</w:t>
      </w:r>
    </w:p>
    <w:p w14:paraId="3706DB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1D2212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F3E0D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（66）名称：东莞证券股份有限公司</w:t>
      </w:r>
    </w:p>
    <w:p w14:paraId="4A8D79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3081D0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7F237C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0F7C03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23ADDE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602D6B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497283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4918D7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（67）名称：中信证券华南股份有限公司</w:t>
      </w:r>
    </w:p>
    <w:p w14:paraId="59072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02BC51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0D84AC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35ECF8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5F0BAC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5DD848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4D692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55F167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291D39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（68）名称：第一创业证券股份有限公司</w:t>
      </w:r>
    </w:p>
    <w:p w14:paraId="61402B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75D90F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23365D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77AB0A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77B5D3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1582B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53DE26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0C694B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3E8ED2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（69）名称：德邦证券有限责任公司</w:t>
      </w:r>
    </w:p>
    <w:p w14:paraId="082740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住所：上海市普陀区曹杨路510号南半幢9楼</w:t>
      </w:r>
    </w:p>
    <w:p w14:paraId="64D4B9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4FE369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6258FC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0AE1E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18540A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6B30E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4F55D6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（70）名称：天相投资顾问有限公司</w:t>
      </w:r>
    </w:p>
    <w:p w14:paraId="2B0AAF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53FA7F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4BFD74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55594F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5E41C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1D4C2F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0EC0E9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19D85A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1C20B8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（71）名称：北京钱景财富投资管理有限公司</w:t>
      </w:r>
    </w:p>
    <w:p w14:paraId="2E5C79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2CB80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2B5BEC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00839F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548817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04012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3AD235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2D6BF8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2233B3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（72）名称：上海大智慧基金销售有限公司</w:t>
      </w:r>
    </w:p>
    <w:p w14:paraId="34857A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7FAE79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637454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00C9B6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555E46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传真：021-20219923</w:t>
      </w:r>
    </w:p>
    <w:p w14:paraId="1CC801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3FF52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3BC598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2684F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（73）名称：上海利得基金销售有限公司</w:t>
      </w:r>
    </w:p>
    <w:p w14:paraId="5646A6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6F78E4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0BDF21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0A1617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C87D3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51C839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0950B3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780768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4F4B4C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（74）名称：上海凯石财富基金销售有限公司</w:t>
      </w:r>
    </w:p>
    <w:p w14:paraId="16C27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3CB2C5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314228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522362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328CDD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612273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01BC5E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3275FC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73687D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（75）名称：北京虹点基金销售有限公司</w:t>
      </w:r>
    </w:p>
    <w:p w14:paraId="0A9EF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0F62E3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5FCA8A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83294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477D72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328E58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19D610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443AFD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网址：www.hongdianfund.com/</w:t>
      </w:r>
    </w:p>
    <w:p w14:paraId="261A5B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（76）名称：诺亚正行(上海)基金销售投资顾问有限公司</w:t>
      </w:r>
    </w:p>
    <w:p w14:paraId="5C4484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B8B16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31F6B1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5FF626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012017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473DC5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27E0CB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75F0D3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32F0AF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（77）名称：上海好买基金销售有限公司</w:t>
      </w:r>
    </w:p>
    <w:p w14:paraId="5699D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14:paraId="673C21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08D2DB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1C38B1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45EC17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0D4EB8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20045F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62D0411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（78）名称：上海长量基金销售投资顾问有限公司</w:t>
      </w:r>
    </w:p>
    <w:p w14:paraId="6A5DBA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28C645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596673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4A645B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0705D8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06467A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58DD0D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33653C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4DCE7B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（79）名称：深圳众禄基金销售有限公司</w:t>
      </w:r>
    </w:p>
    <w:p w14:paraId="055279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480972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2D7AE7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法定代表人：薛峰</w:t>
      </w:r>
    </w:p>
    <w:p w14:paraId="5F13DA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17C0E5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5E20BC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28F145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4AF8B8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42BC94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（80）名称：蚂蚁（杭州）基金销售有限公司</w:t>
      </w:r>
    </w:p>
    <w:p w14:paraId="579888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11ADE6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5779D5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77F3E4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283BC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72E168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4C6D70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（81）名称：深圳市新兰德证券投资咨询有限公司</w:t>
      </w:r>
    </w:p>
    <w:p w14:paraId="1D7F12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14:paraId="2EE5C5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3FE749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270AE1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67877E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540FBC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7ABD42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9B0B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A9A99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（82）名称：北京展恒基金销售股份有限公司</w:t>
      </w:r>
    </w:p>
    <w:p w14:paraId="37F3DF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21DB47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746329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1B2930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163F4B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1537B8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5A88B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7E0BAE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网址：www.myfund.com</w:t>
      </w:r>
    </w:p>
    <w:p w14:paraId="212A9F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（83）名称：一路财富（北京）信息科技有限公司</w:t>
      </w:r>
    </w:p>
    <w:p w14:paraId="7B2A88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29D689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2659B5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5A8D34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761196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1BD9FB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14A50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1AE9D4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1786D7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（84）名称：和讯信息科技有限公司</w:t>
      </w:r>
    </w:p>
    <w:p w14:paraId="2B08FF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134E81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45D8A4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231FF2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1BB068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59A1D0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2FD4D1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128419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70DBB3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（85）名称：上海天天基金销售有限公司</w:t>
      </w:r>
    </w:p>
    <w:p w14:paraId="378272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2265A3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3043B2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302C75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34B1A5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1E13E0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7B9546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28BFAB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5C1764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（86）名称：上海联泰基金销售有限公司</w:t>
      </w:r>
    </w:p>
    <w:p w14:paraId="086E93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151850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办公地址：上海市长宁区福泉北路518号8座3楼</w:t>
      </w:r>
    </w:p>
    <w:p w14:paraId="60E803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3FEB8B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14:paraId="4A4A865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280FD0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01C760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58D60A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266159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（87）名称：珠海盈米财富管理有限公司</w:t>
      </w:r>
    </w:p>
    <w:p w14:paraId="7FAC38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0D0898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1DCE4B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0E3801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5A45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5D9B3F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27CF33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52FAD5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7BCE88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（88）名称：上海基煜基金销售有限公司</w:t>
      </w:r>
    </w:p>
    <w:p w14:paraId="3D4F2E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21BEEB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34607E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74D691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668ED7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10E004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7D1971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54231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61AA6E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（89）名称：宜信普泽投资顾问（北京）有限公司</w:t>
      </w:r>
    </w:p>
    <w:p w14:paraId="624F13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0EB640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00C6605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5569DD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电话：010-52855713</w:t>
      </w:r>
    </w:p>
    <w:p w14:paraId="596B8A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0DB102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14:paraId="5AA95B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2E22A4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02153D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（90）名称：浙江同花顺基金销售有限公司</w:t>
      </w:r>
    </w:p>
    <w:p w14:paraId="03E21C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14635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42889D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0E12FF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09D890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541B18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2E7CD9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06B04C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346B1E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（91）名称：中信期货有限公司</w:t>
      </w:r>
    </w:p>
    <w:p w14:paraId="0C83C4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3623FD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1DCA4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746CC7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0C352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6EB473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1BBF67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18EF21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28EADC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（92）名称：上海陆金所资产管理有限公司</w:t>
      </w:r>
    </w:p>
    <w:p w14:paraId="5526B7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4949B8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2C484D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6CCAE1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3E3A24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传真：（021）22066653</w:t>
      </w:r>
    </w:p>
    <w:p w14:paraId="578B88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1F0542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14:paraId="27DA18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74F9CD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（93）名称：北京中植基金销售有限公司</w:t>
      </w:r>
    </w:p>
    <w:p w14:paraId="2E3D41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7F0584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11AFFF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27DECB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291EC0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1BB99E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AF49D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554B09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3AC595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（94）名称：北京汇成基金销售有限公司</w:t>
      </w:r>
    </w:p>
    <w:p w14:paraId="48FA08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3B1636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5E2356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0CC6C3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40565A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4BD2E6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4D750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03329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467C38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（95）名称：奕丰基金销售有限公司</w:t>
      </w:r>
    </w:p>
    <w:p w14:paraId="267F5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E10DB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67CBA0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09CCE4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4688E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0A3179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271BCC9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客户服务电话：400-684-0500</w:t>
      </w:r>
    </w:p>
    <w:p w14:paraId="708408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144072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（96）名称：北京唐鼎耀华投资咨询有限公司</w:t>
      </w:r>
    </w:p>
    <w:p w14:paraId="076460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30D7BB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5F4356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35623D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14EFE8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52C693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2725B2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6C495C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556143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（97）名称：北京创金启富基金销售有限公司</w:t>
      </w:r>
    </w:p>
    <w:p w14:paraId="0F71C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1A5DEF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20AEB1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68E4EE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319EC5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32FB2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681B72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00166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7708A1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（98）名称：上海云湾投资管理有限公司</w:t>
      </w:r>
    </w:p>
    <w:p w14:paraId="211787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1EABAE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3B4BF3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6BBC1E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2ADE53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2E2CB3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03E9CC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B6882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35535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（99）名称：中证金牛（北京）投资咨询有限公司</w:t>
      </w:r>
    </w:p>
    <w:p w14:paraId="66FFF4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 北京市丰台区东管头1号2号楼2-45室</w:t>
      </w:r>
    </w:p>
    <w:p w14:paraId="045EC8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4334CA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5B51A0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657F91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69F5FC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1CF60F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26BDB3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568F09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（100）名称：北京新浪仓石基金销售有限公司</w:t>
      </w:r>
    </w:p>
    <w:p w14:paraId="487CC7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760703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14:paraId="0618C3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7F15BD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0020F6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0BA96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7BE43D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7E0F2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2644A7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（101）名称：北京肯特瑞基金销售有限公司</w:t>
      </w:r>
    </w:p>
    <w:p w14:paraId="32E3A9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14:paraId="62F5AA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0589EF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17A555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3CCA8F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41E109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713935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3AC74F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B4DBB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（102）名称：北京雪球基金销售有限公司</w:t>
      </w:r>
    </w:p>
    <w:p w14:paraId="401B13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住所：北京市朝阳区阜通东大街1号院6号楼2单元21层222507</w:t>
      </w:r>
    </w:p>
    <w:p w14:paraId="69D7EC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1B93D5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117AF2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34B7C4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08FEC0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302B1B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00D58D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1B9379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（103）名称：凤凰金信（银川）投资管理有限公司</w:t>
      </w:r>
    </w:p>
    <w:p w14:paraId="03BB9A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14:paraId="4F1C6F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14:paraId="10EBA8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14:paraId="3B9F23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14:paraId="63195A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14:paraId="5EB93A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14:paraId="03129A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14:paraId="7BBEF9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14:paraId="6880D4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（104）名称：深圳市金斧子基金销售有限公司</w:t>
      </w:r>
    </w:p>
    <w:p w14:paraId="316182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04D692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6CB9E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14:paraId="3C7BBD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722F3F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19A682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23F021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4E3C79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01035F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（105）名称：格上富信投资顾问有限公司</w:t>
      </w:r>
    </w:p>
    <w:p w14:paraId="796F57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3F7A7B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58D7D6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法定代表人：李悦章</w:t>
      </w:r>
    </w:p>
    <w:p w14:paraId="6B56E8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002B2B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132BA2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0C04AF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ADF34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4FEC52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（106）名称：上海万得基金销售有限公司</w:t>
      </w:r>
    </w:p>
    <w:p w14:paraId="382462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66ECDF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2850A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387A4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46D6B06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353B60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41F3CC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410B5E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6C4098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（107）名称：天津万家财富资产管理有限公司</w:t>
      </w:r>
    </w:p>
    <w:p w14:paraId="053A1C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216F6D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4AC46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6AB34F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7C0818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5D9447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14:paraId="1C87A2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1A65D7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4FFA5E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（108）名称：上海挖财金融信息服务有限公司</w:t>
      </w:r>
    </w:p>
    <w:p w14:paraId="5317CF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5377F7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3C650D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0BD3F6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5DA13E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0DFA3A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李娟</w:t>
      </w:r>
    </w:p>
    <w:p w14:paraId="53AD36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37087A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5B5003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（109）名称：嘉实财富管理有限公司</w:t>
      </w:r>
    </w:p>
    <w:p w14:paraId="27AE82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6CD6F6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0DBA1D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7FB6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41DC7E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2ED02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197B91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48C0C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7BB5D2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（110）名称：南京苏宁基金销售有限公司</w:t>
      </w:r>
    </w:p>
    <w:p w14:paraId="096B1B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6D0DF2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4B1C19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10195B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37C6CF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611EA9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705150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7A7AD5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55606A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（111）名称：北京度小满基金销售有限公司</w:t>
      </w:r>
    </w:p>
    <w:p w14:paraId="6EDED0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7502EA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0BF74D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296653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558F71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7AF980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50BB8C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4604EB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45BE44C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（112）名称：上海华夏财富投资管理有限公司</w:t>
      </w:r>
    </w:p>
    <w:p w14:paraId="2F6192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4D2C33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33CF9C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3EBD53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0031C4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1040FC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2816F2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135F7B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510BEE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（113）名称：江苏汇林保大基金销售有限公司</w:t>
      </w:r>
    </w:p>
    <w:p w14:paraId="51C4F2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0B943A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508A90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14:paraId="6EDAFD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623CEE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569FF2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51390F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150BE1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03E7E1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（114）名称：玄元保险代理有限公司</w:t>
      </w:r>
    </w:p>
    <w:p w14:paraId="71D103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7A8017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1F000CA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5FF179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4DCAE9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7C72ED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60142A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00A14D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（115）名称：阳光人寿保险股份有限公司</w:t>
      </w:r>
    </w:p>
    <w:p w14:paraId="4738E0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6C1BFE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09085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2068D4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电话：（010）85632771</w:t>
      </w:r>
    </w:p>
    <w:p w14:paraId="70BD53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2A327F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6E41F9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74156D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751B3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（116）名称：大连网金基金销售有限公司</w:t>
      </w:r>
    </w:p>
    <w:p w14:paraId="2F28F9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51F6C5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0309BB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275DFA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5B6A40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163811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0002BB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14:paraId="03ED67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45B4C4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（117）名称：泛华普益基金销售有限公司</w:t>
      </w:r>
    </w:p>
    <w:p w14:paraId="42D0EE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645E2A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0B9E49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288ED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6A171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13AA44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060D51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47F0A1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757006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（118）名称：和耕传承基金销售有限公司</w:t>
      </w:r>
    </w:p>
    <w:p w14:paraId="65AFE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28505C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2DFCA6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508B9B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16CC9C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42964F4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联系人：胡静华</w:t>
      </w:r>
    </w:p>
    <w:p w14:paraId="1B6D48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4A8E44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4EF8EB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（119）名称：上海钜派钰茂基金销售有限公司</w:t>
      </w:r>
    </w:p>
    <w:p w14:paraId="3E6624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6FA2C1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51EB26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4523E9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0DC7A8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3F86C2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2FD809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0DF2D4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（120）名称：济安财富（北京）基金销售有限公司</w:t>
      </w:r>
    </w:p>
    <w:p w14:paraId="37D370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45A082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39B0B9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4BBBA4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78A73BF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2B4EC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31DABB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2F4734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59AD24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14:paraId="62637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1F75324" w14:textId="43E52DCA" w:rsidR="00585AF8" w:rsidRDefault="00585AF8">
      <w:pPr>
        <w:autoSpaceDE w:val="0"/>
        <w:autoSpaceDN w:val="0"/>
        <w:adjustRightInd w:val="0"/>
        <w:snapToGrid w:val="0"/>
        <w:spacing w:line="360" w:lineRule="auto"/>
        <w:ind w:firstLineChars="200" w:firstLine="480"/>
        <w:jc w:val="left"/>
        <w:rPr>
          <w:rFonts w:ascii="宋体" w:hAnsi="宋体"/>
          <w:sz w:val="24"/>
        </w:rPr>
      </w:pPr>
      <w:r w:rsidRPr="007D7D39">
        <w:rPr>
          <w:rFonts w:ascii="宋体" w:hAnsi="宋体" w:hint="eastAsia"/>
          <w:sz w:val="24"/>
        </w:rPr>
        <w:t>本基金A类基金份额和</w:t>
      </w:r>
      <w:r>
        <w:rPr>
          <w:rFonts w:ascii="宋体" w:hAnsi="宋体"/>
          <w:sz w:val="24"/>
        </w:rPr>
        <w:t>B</w:t>
      </w:r>
      <w:r w:rsidRPr="007D7D39">
        <w:rPr>
          <w:rFonts w:ascii="宋体" w:hAnsi="宋体" w:hint="eastAsia"/>
          <w:sz w:val="24"/>
        </w:rPr>
        <w:t>类基金份额</w:t>
      </w:r>
      <w:r>
        <w:rPr>
          <w:rFonts w:ascii="宋体" w:hAnsi="宋体" w:hint="eastAsia"/>
          <w:sz w:val="24"/>
        </w:rPr>
        <w:t>的登记机构：</w:t>
      </w:r>
    </w:p>
    <w:p w14:paraId="1E041C12" w14:textId="517EA11A"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EB5AE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3AFC63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7F8592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424433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4D7256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36680BBF" w14:textId="23C65DE5" w:rsidR="00007225"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联系人：赵亦清</w:t>
      </w:r>
    </w:p>
    <w:p w14:paraId="0C0CF1F0" w14:textId="6C3D2B3B" w:rsidR="00585AF8" w:rsidRDefault="00585AF8">
      <w:pPr>
        <w:autoSpaceDE w:val="0"/>
        <w:autoSpaceDN w:val="0"/>
        <w:adjustRightInd w:val="0"/>
        <w:snapToGrid w:val="0"/>
        <w:spacing w:line="360" w:lineRule="auto"/>
        <w:ind w:firstLineChars="200" w:firstLine="480"/>
        <w:jc w:val="left"/>
        <w:rPr>
          <w:rFonts w:ascii="宋体" w:hAnsi="宋体"/>
          <w:sz w:val="24"/>
        </w:rPr>
      </w:pPr>
      <w:r w:rsidRPr="007D7D39">
        <w:rPr>
          <w:rFonts w:ascii="宋体" w:hAnsi="宋体" w:hint="eastAsia"/>
          <w:sz w:val="24"/>
        </w:rPr>
        <w:t>本基金</w:t>
      </w:r>
      <w:r>
        <w:rPr>
          <w:rFonts w:ascii="宋体" w:hAnsi="宋体"/>
          <w:sz w:val="24"/>
        </w:rPr>
        <w:t>C</w:t>
      </w:r>
      <w:r w:rsidRPr="007D7D39">
        <w:rPr>
          <w:rFonts w:ascii="宋体" w:hAnsi="宋体" w:hint="eastAsia"/>
          <w:sz w:val="24"/>
        </w:rPr>
        <w:t>类基金份额和</w:t>
      </w:r>
      <w:r>
        <w:rPr>
          <w:rFonts w:ascii="宋体" w:hAnsi="宋体"/>
          <w:sz w:val="24"/>
        </w:rPr>
        <w:t>D</w:t>
      </w:r>
      <w:r w:rsidRPr="007D7D39">
        <w:rPr>
          <w:rFonts w:ascii="宋体" w:hAnsi="宋体" w:hint="eastAsia"/>
          <w:sz w:val="24"/>
        </w:rPr>
        <w:t>类基金份额</w:t>
      </w:r>
      <w:r>
        <w:rPr>
          <w:rFonts w:ascii="宋体" w:hAnsi="宋体" w:hint="eastAsia"/>
          <w:sz w:val="24"/>
        </w:rPr>
        <w:t>的登记机构：</w:t>
      </w:r>
    </w:p>
    <w:p w14:paraId="67E6F26D" w14:textId="77777777" w:rsidR="005E2ABC" w:rsidRDefault="005E2ABC" w:rsidP="005E2ABC">
      <w:pPr>
        <w:spacing w:line="360" w:lineRule="auto"/>
        <w:ind w:firstLineChars="200" w:firstLine="480"/>
        <w:rPr>
          <w:rFonts w:ascii="宋体" w:hAnsi="宋体"/>
          <w:color w:val="000000"/>
          <w:sz w:val="24"/>
          <w:szCs w:val="21"/>
        </w:rPr>
      </w:pPr>
      <w:r>
        <w:rPr>
          <w:rFonts w:ascii="宋体" w:hAnsi="宋体" w:hint="eastAsia"/>
          <w:color w:val="000000"/>
          <w:sz w:val="24"/>
          <w:szCs w:val="21"/>
        </w:rPr>
        <w:t>名称：交银施罗德基金管理有限公司</w:t>
      </w:r>
    </w:p>
    <w:p w14:paraId="21EF3FE1" w14:textId="37DC10EB" w:rsidR="005E2ABC" w:rsidRDefault="00920C1F" w:rsidP="005E2ABC">
      <w:pPr>
        <w:spacing w:line="360" w:lineRule="auto"/>
        <w:ind w:firstLineChars="200" w:firstLine="480"/>
        <w:rPr>
          <w:rFonts w:ascii="宋体" w:hAnsi="宋体"/>
          <w:color w:val="000000"/>
          <w:sz w:val="24"/>
          <w:szCs w:val="21"/>
        </w:rPr>
      </w:pPr>
      <w:r>
        <w:rPr>
          <w:rFonts w:ascii="宋体" w:hAnsi="宋体" w:hint="eastAsia"/>
          <w:color w:val="000000"/>
          <w:sz w:val="24"/>
          <w:szCs w:val="21"/>
        </w:rPr>
        <w:t>住所</w:t>
      </w:r>
      <w:r w:rsidR="005E2ABC">
        <w:rPr>
          <w:rFonts w:ascii="宋体" w:hAnsi="宋体" w:hint="eastAsia"/>
          <w:color w:val="000000"/>
          <w:sz w:val="24"/>
          <w:szCs w:val="21"/>
        </w:rPr>
        <w:t>：中国(上海)自由贸易试验区银城中路188号交通银行大楼二层（裙）</w:t>
      </w:r>
    </w:p>
    <w:p w14:paraId="72726404" w14:textId="77777777" w:rsidR="005E2ABC" w:rsidRDefault="005E2ABC" w:rsidP="005E2ABC">
      <w:pPr>
        <w:spacing w:line="360" w:lineRule="auto"/>
        <w:ind w:firstLineChars="200" w:firstLine="480"/>
        <w:rPr>
          <w:rFonts w:ascii="宋体" w:hAnsi="宋体"/>
          <w:color w:val="000000"/>
          <w:sz w:val="24"/>
          <w:szCs w:val="21"/>
        </w:rPr>
      </w:pPr>
      <w:r>
        <w:rPr>
          <w:rFonts w:ascii="宋体" w:hAnsi="宋体" w:hint="eastAsia"/>
          <w:color w:val="000000"/>
          <w:sz w:val="24"/>
          <w:szCs w:val="21"/>
        </w:rPr>
        <w:t>办公地址：</w:t>
      </w:r>
      <w:r>
        <w:rPr>
          <w:rFonts w:ascii="宋体" w:hAnsi="宋体"/>
          <w:sz w:val="24"/>
        </w:rPr>
        <w:t>上海市浦东新区世纪大道8号国金中心二期21-22楼</w:t>
      </w:r>
    </w:p>
    <w:p w14:paraId="01B06A34" w14:textId="35261DC3" w:rsidR="005E2ABC" w:rsidRDefault="005E2ABC" w:rsidP="005E2ABC">
      <w:pPr>
        <w:spacing w:line="360" w:lineRule="auto"/>
        <w:ind w:firstLineChars="200" w:firstLine="480"/>
        <w:rPr>
          <w:rFonts w:ascii="宋体" w:hAnsi="宋体"/>
          <w:color w:val="000000"/>
          <w:sz w:val="24"/>
          <w:szCs w:val="21"/>
        </w:rPr>
      </w:pPr>
      <w:r>
        <w:rPr>
          <w:rFonts w:ascii="宋体" w:hAnsi="宋体" w:hint="eastAsia"/>
          <w:color w:val="000000"/>
          <w:sz w:val="24"/>
          <w:szCs w:val="21"/>
        </w:rPr>
        <w:t>法定代表人：阮红</w:t>
      </w:r>
    </w:p>
    <w:p w14:paraId="298776F9" w14:textId="77777777" w:rsidR="005067A1" w:rsidRPr="005067A1" w:rsidRDefault="005067A1" w:rsidP="005067A1">
      <w:pPr>
        <w:spacing w:line="360" w:lineRule="auto"/>
        <w:ind w:firstLineChars="200" w:firstLine="480"/>
        <w:rPr>
          <w:rFonts w:ascii="宋体" w:hAnsi="宋体"/>
          <w:sz w:val="24"/>
        </w:rPr>
      </w:pPr>
      <w:r w:rsidRPr="005067A1">
        <w:rPr>
          <w:rFonts w:ascii="宋体" w:hAnsi="宋体" w:hint="eastAsia"/>
          <w:sz w:val="24"/>
        </w:rPr>
        <w:t>电话：（021）61055097</w:t>
      </w:r>
    </w:p>
    <w:p w14:paraId="4CEC0081" w14:textId="77777777" w:rsidR="005067A1" w:rsidRPr="005067A1" w:rsidRDefault="005067A1" w:rsidP="005067A1">
      <w:pPr>
        <w:spacing w:line="360" w:lineRule="auto"/>
        <w:ind w:firstLineChars="200" w:firstLine="480"/>
        <w:rPr>
          <w:rFonts w:ascii="宋体" w:hAnsi="宋体"/>
          <w:sz w:val="24"/>
        </w:rPr>
      </w:pPr>
      <w:r w:rsidRPr="005067A1">
        <w:rPr>
          <w:rFonts w:ascii="宋体" w:hAnsi="宋体" w:hint="eastAsia"/>
          <w:sz w:val="24"/>
        </w:rPr>
        <w:t>传真：（021）61055064</w:t>
      </w:r>
    </w:p>
    <w:p w14:paraId="46572861" w14:textId="77777777" w:rsidR="005067A1" w:rsidRDefault="005067A1">
      <w:pPr>
        <w:autoSpaceDE w:val="0"/>
        <w:autoSpaceDN w:val="0"/>
        <w:adjustRightInd w:val="0"/>
        <w:snapToGrid w:val="0"/>
        <w:spacing w:line="360" w:lineRule="auto"/>
        <w:ind w:firstLineChars="200" w:firstLine="480"/>
        <w:jc w:val="left"/>
        <w:rPr>
          <w:rFonts w:ascii="宋体" w:hAnsi="宋体"/>
          <w:sz w:val="24"/>
        </w:rPr>
      </w:pPr>
      <w:r w:rsidRPr="005067A1">
        <w:rPr>
          <w:rFonts w:ascii="宋体" w:hAnsi="宋体" w:hint="eastAsia"/>
          <w:sz w:val="24"/>
        </w:rPr>
        <w:t>联系人：单江</w:t>
      </w:r>
    </w:p>
    <w:p w14:paraId="50976FAF" w14:textId="6C97C03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5CA469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名称：上海源泰律师事务所</w:t>
      </w:r>
    </w:p>
    <w:p w14:paraId="2A6F9C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住所：上海浦东南路256号华夏银行大厦1405室</w:t>
      </w:r>
    </w:p>
    <w:p w14:paraId="16E22D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办公地址：上海浦东南路256号华夏银行大厦1405室</w:t>
      </w:r>
    </w:p>
    <w:p w14:paraId="7DFCE3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负责人：廖海</w:t>
      </w:r>
    </w:p>
    <w:p w14:paraId="69C30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电话：（021）51150298</w:t>
      </w:r>
    </w:p>
    <w:p w14:paraId="7B3154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传真：（021）51150398</w:t>
      </w:r>
    </w:p>
    <w:p w14:paraId="2E7BEE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联系人：廖海</w:t>
      </w:r>
    </w:p>
    <w:p w14:paraId="6389FC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经办律师：梁丽金、刘佳</w:t>
      </w:r>
    </w:p>
    <w:p w14:paraId="3F992A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7201D9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名称：德勤华永会计师事务所（特殊普通合伙）</w:t>
      </w:r>
    </w:p>
    <w:p w14:paraId="4C09CB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住所：上海市延安东路222号外滩中心30楼</w:t>
      </w:r>
    </w:p>
    <w:p w14:paraId="2EE2D3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办公地址：上海市延安东路222号外滩中心30楼</w:t>
      </w:r>
    </w:p>
    <w:p w14:paraId="4ED580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执行事务合伙人：曾顺福</w:t>
      </w:r>
    </w:p>
    <w:p w14:paraId="6F9E0D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电话：（010）85207788</w:t>
      </w:r>
    </w:p>
    <w:p w14:paraId="1D77AE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联系人：汪芳</w:t>
      </w:r>
    </w:p>
    <w:p w14:paraId="137CB2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经办注册会计师：汪芳、刘芳芳</w:t>
      </w:r>
    </w:p>
    <w:p w14:paraId="31C56FA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E5A6390" w14:textId="77777777" w:rsidR="00007225" w:rsidRDefault="00F07F0D">
      <w:pPr>
        <w:pStyle w:val="1"/>
        <w:snapToGrid w:val="0"/>
        <w:spacing w:beforeLines="0" w:before="240" w:after="240"/>
        <w:rPr>
          <w:rFonts w:ascii="宋体" w:hAnsi="宋体"/>
          <w:szCs w:val="30"/>
        </w:rPr>
      </w:pPr>
      <w:bookmarkStart w:id="9" w:name="_Toc160021637"/>
      <w:r>
        <w:rPr>
          <w:rFonts w:ascii="Times New Roman" w:hAnsi="Times New Roman"/>
          <w:sz w:val="30"/>
        </w:rPr>
        <w:lastRenderedPageBreak/>
        <w:t>六、基金的募集</w:t>
      </w:r>
      <w:bookmarkEnd w:id="9"/>
    </w:p>
    <w:p w14:paraId="6CAA87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本基金由基金管理人依照《基金法》、《运作办法》、《销售办法》、《暂行规定》、基金合同及其他有关规定，并经中国证监会证监基金字[2005]204号文批准募集发售。</w:t>
      </w:r>
    </w:p>
    <w:p w14:paraId="650D80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本基金为契约型开放式货币市场基金。基金存续期间为不定期。</w:t>
      </w:r>
    </w:p>
    <w:p w14:paraId="51FE2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本基金募集期间基金份额净值为人民币1.00元，按面值发售。本基金采用固定份额净值，基金帐面份额净值始终保持为1.00元。</w:t>
      </w:r>
    </w:p>
    <w:p w14:paraId="1DB979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本基金的募集期限不超过3个月，自基金份额开始发售之日起计算。</w:t>
      </w:r>
    </w:p>
    <w:p w14:paraId="6F6718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本基金自2005年12月27日至2006年1月16日进行发售。</w:t>
      </w:r>
    </w:p>
    <w:p w14:paraId="6126F2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本基金募集期共募集4,741,255,133.16份基金份额，有效认购户数为38,343户。</w:t>
      </w:r>
    </w:p>
    <w:p w14:paraId="2E42766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C4C3AD" w14:textId="77777777" w:rsidR="00007225" w:rsidRDefault="00F07F0D">
      <w:pPr>
        <w:pStyle w:val="1"/>
        <w:snapToGrid w:val="0"/>
        <w:spacing w:beforeLines="0" w:before="240" w:after="240"/>
        <w:rPr>
          <w:rFonts w:ascii="宋体" w:hAnsi="宋体"/>
          <w:szCs w:val="30"/>
        </w:rPr>
      </w:pPr>
      <w:bookmarkStart w:id="10" w:name="_Toc160021638"/>
      <w:r>
        <w:rPr>
          <w:rFonts w:ascii="Times New Roman" w:hAnsi="Times New Roman"/>
          <w:sz w:val="30"/>
        </w:rPr>
        <w:lastRenderedPageBreak/>
        <w:t>七、基金合同的生效</w:t>
      </w:r>
      <w:bookmarkEnd w:id="10"/>
    </w:p>
    <w:p w14:paraId="0593A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根据有关规定，本基金满足基金合同生效条件，基金合同已于2006年1月20日正式生效。自基金合同生效之日起，本基金管理人正式开始管理本基金。</w:t>
      </w:r>
    </w:p>
    <w:p w14:paraId="0D4E61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14:paraId="12EC326A"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56D830" w14:textId="1EDD69E9" w:rsidR="00007225" w:rsidRDefault="00F07F0D">
      <w:pPr>
        <w:pStyle w:val="1"/>
        <w:snapToGrid w:val="0"/>
        <w:spacing w:beforeLines="0" w:before="240" w:after="240"/>
        <w:rPr>
          <w:rFonts w:ascii="宋体" w:hAnsi="宋体"/>
          <w:szCs w:val="30"/>
        </w:rPr>
      </w:pPr>
      <w:bookmarkStart w:id="11" w:name="_Toc160021639"/>
      <w:r>
        <w:rPr>
          <w:rFonts w:ascii="Times New Roman" w:hAnsi="Times New Roman"/>
          <w:sz w:val="30"/>
        </w:rPr>
        <w:lastRenderedPageBreak/>
        <w:t>八、基金份额的分</w:t>
      </w:r>
      <w:r w:rsidR="00D1551B">
        <w:rPr>
          <w:rFonts w:ascii="Times New Roman" w:hAnsi="Times New Roman" w:hint="eastAsia"/>
          <w:sz w:val="30"/>
        </w:rPr>
        <w:t>类</w:t>
      </w:r>
      <w:r w:rsidR="003812D8">
        <w:rPr>
          <w:rFonts w:ascii="Times New Roman" w:hAnsi="Times New Roman" w:hint="eastAsia"/>
          <w:sz w:val="30"/>
        </w:rPr>
        <w:t>及</w:t>
      </w:r>
      <w:r w:rsidR="00E95AC2">
        <w:rPr>
          <w:rFonts w:ascii="Times New Roman" w:hAnsi="Times New Roman" w:hint="eastAsia"/>
          <w:sz w:val="30"/>
        </w:rPr>
        <w:t>升降级</w:t>
      </w:r>
      <w:r w:rsidR="003812D8">
        <w:rPr>
          <w:rFonts w:ascii="Times New Roman" w:hAnsi="Times New Roman" w:hint="eastAsia"/>
          <w:sz w:val="30"/>
        </w:rPr>
        <w:t>设置</w:t>
      </w:r>
      <w:bookmarkEnd w:id="11"/>
    </w:p>
    <w:p w14:paraId="3B6AA035" w14:textId="77777777" w:rsidR="001979BE" w:rsidRPr="00F410C6" w:rsidRDefault="001979BE">
      <w:pPr>
        <w:autoSpaceDE w:val="0"/>
        <w:autoSpaceDN w:val="0"/>
        <w:adjustRightInd w:val="0"/>
        <w:snapToGrid w:val="0"/>
        <w:spacing w:line="360" w:lineRule="auto"/>
        <w:ind w:firstLineChars="200" w:firstLine="482"/>
        <w:jc w:val="left"/>
        <w:rPr>
          <w:rFonts w:ascii="宋体" w:hAnsi="宋体"/>
          <w:b/>
          <w:sz w:val="24"/>
        </w:rPr>
      </w:pPr>
      <w:r w:rsidRPr="00F410C6">
        <w:rPr>
          <w:rFonts w:ascii="宋体" w:hAnsi="宋体" w:hint="eastAsia"/>
          <w:b/>
          <w:sz w:val="24"/>
        </w:rPr>
        <w:t>（一）基金份额的类别</w:t>
      </w:r>
    </w:p>
    <w:p w14:paraId="3BBFBCC3" w14:textId="6C508138" w:rsidR="002A02EC" w:rsidRPr="00226E1D" w:rsidRDefault="000C4028" w:rsidP="002A02EC">
      <w:pPr>
        <w:autoSpaceDE w:val="0"/>
        <w:autoSpaceDN w:val="0"/>
        <w:adjustRightInd w:val="0"/>
        <w:snapToGrid w:val="0"/>
        <w:spacing w:line="360" w:lineRule="auto"/>
        <w:ind w:firstLineChars="200" w:firstLine="480"/>
        <w:jc w:val="left"/>
        <w:rPr>
          <w:rFonts w:ascii="宋体" w:hAnsi="宋体"/>
          <w:sz w:val="24"/>
        </w:rPr>
      </w:pPr>
      <w:r w:rsidRPr="000C4028">
        <w:rPr>
          <w:rFonts w:ascii="宋体" w:hAnsi="宋体" w:hint="eastAsia"/>
          <w:sz w:val="24"/>
        </w:rPr>
        <w:t>本基金根据销售服务费收取费率或注册登记机构等的不同将基金份额分为不同的类别，</w:t>
      </w:r>
      <w:r w:rsidR="001979BE">
        <w:rPr>
          <w:rFonts w:ascii="宋体" w:hAnsi="宋体" w:hint="eastAsia"/>
          <w:sz w:val="24"/>
        </w:rPr>
        <w:t>本基金目前设置A类基金份额、</w:t>
      </w:r>
      <w:r w:rsidR="001979BE" w:rsidRPr="00785A2E">
        <w:rPr>
          <w:rFonts w:ascii="宋体" w:hAnsi="宋体" w:hint="eastAsia"/>
          <w:sz w:val="24"/>
        </w:rPr>
        <w:t>B类基金份额</w:t>
      </w:r>
      <w:r w:rsidR="001979BE">
        <w:rPr>
          <w:rFonts w:ascii="宋体" w:hAnsi="宋体" w:hint="eastAsia"/>
          <w:sz w:val="24"/>
        </w:rPr>
        <w:t>、C类基金份额和D类基金份额</w:t>
      </w:r>
      <w:r w:rsidR="00B006E2">
        <w:rPr>
          <w:rFonts w:ascii="宋体" w:hAnsi="宋体" w:hint="eastAsia"/>
          <w:sz w:val="24"/>
        </w:rPr>
        <w:t>四类不同的基金份额类别</w:t>
      </w:r>
      <w:r w:rsidR="001979BE">
        <w:rPr>
          <w:rFonts w:ascii="宋体" w:hAnsi="宋体" w:hint="eastAsia"/>
          <w:sz w:val="24"/>
        </w:rPr>
        <w:t>，</w:t>
      </w:r>
      <w:r w:rsidRPr="000C4028">
        <w:rPr>
          <w:rFonts w:ascii="宋体" w:hAnsi="宋体" w:hint="eastAsia"/>
          <w:sz w:val="24"/>
        </w:rPr>
        <w:t>各类基金份额单独设置基金代码，并分别公布每万份基金已实现收益和基金七日年化收益率</w:t>
      </w:r>
      <w:r>
        <w:rPr>
          <w:rFonts w:ascii="宋体" w:hAnsi="宋体" w:hint="eastAsia"/>
          <w:sz w:val="24"/>
        </w:rPr>
        <w:t>。</w:t>
      </w:r>
      <w:r w:rsidR="00FD6D03">
        <w:rPr>
          <w:rFonts w:ascii="宋体" w:hAnsi="宋体" w:hint="eastAsia"/>
          <w:sz w:val="24"/>
        </w:rPr>
        <w:t>其中A</w:t>
      </w:r>
      <w:r w:rsidR="00FD6D03" w:rsidRPr="00785A2E">
        <w:rPr>
          <w:rFonts w:ascii="宋体" w:hAnsi="宋体" w:hint="eastAsia"/>
          <w:sz w:val="24"/>
        </w:rPr>
        <w:t>类基金份额和B类基金份额</w:t>
      </w:r>
      <w:r w:rsidR="00FD6D03">
        <w:rPr>
          <w:rFonts w:ascii="宋体" w:hAnsi="宋体" w:hint="eastAsia"/>
          <w:sz w:val="24"/>
        </w:rPr>
        <w:t>的</w:t>
      </w:r>
      <w:r w:rsidR="00785A2E" w:rsidRPr="00785A2E">
        <w:rPr>
          <w:rFonts w:ascii="宋体" w:hAnsi="宋体" w:hint="eastAsia"/>
          <w:sz w:val="24"/>
        </w:rPr>
        <w:t>注册登记机构为中国证券登记结算有限责任公司</w:t>
      </w:r>
      <w:r w:rsidR="00FD6D03">
        <w:rPr>
          <w:rFonts w:ascii="宋体" w:hAnsi="宋体" w:hint="eastAsia"/>
          <w:sz w:val="24"/>
        </w:rPr>
        <w:t>，</w:t>
      </w:r>
      <w:r w:rsidR="00FD6D03">
        <w:rPr>
          <w:rFonts w:ascii="宋体" w:hAnsi="宋体"/>
          <w:sz w:val="24"/>
        </w:rPr>
        <w:t>C</w:t>
      </w:r>
      <w:r w:rsidR="00FD6D03" w:rsidRPr="00785A2E">
        <w:rPr>
          <w:rFonts w:ascii="宋体" w:hAnsi="宋体" w:hint="eastAsia"/>
          <w:sz w:val="24"/>
        </w:rPr>
        <w:t>类基金份额和</w:t>
      </w:r>
      <w:r w:rsidR="00FD6D03">
        <w:rPr>
          <w:rFonts w:ascii="宋体" w:hAnsi="宋体" w:hint="eastAsia"/>
          <w:sz w:val="24"/>
        </w:rPr>
        <w:t>D类基金份额的</w:t>
      </w:r>
      <w:r w:rsidR="00FD6D03" w:rsidRPr="00785A2E">
        <w:rPr>
          <w:rFonts w:ascii="宋体" w:hAnsi="宋体" w:hint="eastAsia"/>
          <w:sz w:val="24"/>
        </w:rPr>
        <w:t>注册登记机构为</w:t>
      </w:r>
      <w:r w:rsidR="00FD6D03">
        <w:rPr>
          <w:rFonts w:ascii="宋体" w:hAnsi="宋体"/>
          <w:sz w:val="24"/>
        </w:rPr>
        <w:t>交银施罗德基金管理有限公司</w:t>
      </w:r>
      <w:r w:rsidR="002A02EC">
        <w:rPr>
          <w:rFonts w:ascii="宋体" w:hAnsi="宋体" w:hint="eastAsia"/>
          <w:sz w:val="24"/>
        </w:rPr>
        <w:t>，四类基金份额</w:t>
      </w:r>
      <w:r w:rsidR="002A02EC">
        <w:rPr>
          <w:rFonts w:ascii="宋体" w:hAnsi="宋体"/>
          <w:sz w:val="24"/>
        </w:rPr>
        <w:t>适用的</w:t>
      </w:r>
      <w:r w:rsidR="002A02EC">
        <w:rPr>
          <w:rFonts w:ascii="宋体" w:hAnsi="宋体" w:hint="eastAsia"/>
          <w:sz w:val="24"/>
        </w:rPr>
        <w:t>销售服务</w:t>
      </w:r>
      <w:r w:rsidR="002A02EC">
        <w:rPr>
          <w:rFonts w:ascii="宋体" w:hAnsi="宋体"/>
          <w:sz w:val="24"/>
        </w:rPr>
        <w:t>费率如下</w:t>
      </w:r>
      <w:r w:rsidR="00A2464C">
        <w:rPr>
          <w:rFonts w:ascii="宋体" w:hAnsi="宋体" w:hint="eastAsia"/>
          <w:sz w:val="24"/>
        </w:rPr>
        <w:t>表</w:t>
      </w:r>
      <w:r w:rsidR="002A02EC">
        <w:rPr>
          <w:rFonts w:ascii="宋体" w:hAnsi="宋体"/>
          <w:sz w:val="24"/>
        </w:rPr>
        <w:t>：</w:t>
      </w:r>
    </w:p>
    <w:tbl>
      <w:tblPr>
        <w:tblW w:w="5228" w:type="pct"/>
        <w:jc w:val="center"/>
        <w:tblCellMar>
          <w:left w:w="0" w:type="dxa"/>
          <w:right w:w="0" w:type="dxa"/>
        </w:tblCellMar>
        <w:tblLook w:val="0000" w:firstRow="0" w:lastRow="0" w:firstColumn="0" w:lastColumn="0" w:noHBand="0" w:noVBand="0"/>
      </w:tblPr>
      <w:tblGrid>
        <w:gridCol w:w="2559"/>
        <w:gridCol w:w="1622"/>
        <w:gridCol w:w="1622"/>
        <w:gridCol w:w="1622"/>
        <w:gridCol w:w="1619"/>
      </w:tblGrid>
      <w:tr w:rsidR="009E6CAE" w:rsidRPr="00226E1D" w14:paraId="30F91648" w14:textId="77777777" w:rsidTr="00F410C6">
        <w:trPr>
          <w:cantSplit/>
          <w:trHeight w:val="375"/>
          <w:jc w:val="center"/>
        </w:trPr>
        <w:tc>
          <w:tcPr>
            <w:tcW w:w="1414" w:type="pct"/>
            <w:tcBorders>
              <w:top w:val="single" w:sz="4" w:space="0" w:color="auto"/>
              <w:left w:val="single" w:sz="4" w:space="0" w:color="auto"/>
              <w:bottom w:val="single" w:sz="4" w:space="0" w:color="auto"/>
              <w:right w:val="single" w:sz="4" w:space="0" w:color="auto"/>
            </w:tcBorders>
            <w:vAlign w:val="center"/>
          </w:tcPr>
          <w:p w14:paraId="7B2AA9F9" w14:textId="77777777" w:rsidR="002A02EC" w:rsidRPr="00226E1D" w:rsidRDefault="002A02EC" w:rsidP="00F410C6">
            <w:pPr>
              <w:widowControl/>
              <w:snapToGrid w:val="0"/>
              <w:jc w:val="center"/>
              <w:rPr>
                <w:rFonts w:ascii="宋体" w:hAnsi="宋体"/>
                <w:color w:val="000000"/>
                <w:kern w:val="0"/>
                <w:sz w:val="24"/>
                <w:szCs w:val="24"/>
              </w:rPr>
            </w:pPr>
          </w:p>
        </w:tc>
        <w:tc>
          <w:tcPr>
            <w:tcW w:w="897" w:type="pct"/>
            <w:tcBorders>
              <w:top w:val="single" w:sz="4" w:space="0" w:color="auto"/>
              <w:left w:val="single" w:sz="4" w:space="0" w:color="auto"/>
              <w:bottom w:val="single" w:sz="4" w:space="0" w:color="auto"/>
              <w:right w:val="single" w:sz="4" w:space="0" w:color="auto"/>
            </w:tcBorders>
            <w:vAlign w:val="center"/>
          </w:tcPr>
          <w:p w14:paraId="624093B9" w14:textId="33249572" w:rsidR="002A02EC" w:rsidRPr="00226E1D" w:rsidRDefault="002A02EC" w:rsidP="00F410C6">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A</w:t>
            </w:r>
            <w:r w:rsidRPr="00226E1D">
              <w:rPr>
                <w:rFonts w:ascii="Times New Roman" w:hAnsi="Times New Roman" w:hint="eastAsia"/>
                <w:color w:val="000000"/>
                <w:kern w:val="0"/>
                <w:sz w:val="24"/>
                <w:szCs w:val="24"/>
              </w:rPr>
              <w:t>类</w:t>
            </w:r>
            <w:r w:rsidRPr="00226E1D">
              <w:rPr>
                <w:rFonts w:ascii="Times New Roman" w:hAnsi="Times New Roman"/>
                <w:color w:val="000000"/>
                <w:kern w:val="0"/>
                <w:sz w:val="24"/>
                <w:szCs w:val="24"/>
              </w:rPr>
              <w:t>基金份额</w:t>
            </w:r>
          </w:p>
        </w:tc>
        <w:tc>
          <w:tcPr>
            <w:tcW w:w="897" w:type="pct"/>
            <w:tcBorders>
              <w:top w:val="single" w:sz="4" w:space="0" w:color="auto"/>
              <w:left w:val="single" w:sz="4" w:space="0" w:color="auto"/>
              <w:bottom w:val="single" w:sz="4" w:space="0" w:color="auto"/>
              <w:right w:val="single" w:sz="4" w:space="0" w:color="auto"/>
            </w:tcBorders>
            <w:vAlign w:val="center"/>
          </w:tcPr>
          <w:p w14:paraId="626FF938" w14:textId="183BAA53" w:rsidR="002A02EC" w:rsidRPr="00226E1D" w:rsidRDefault="002A02EC" w:rsidP="00F410C6">
            <w:pPr>
              <w:widowControl/>
              <w:snapToGrid w:val="0"/>
              <w:jc w:val="center"/>
              <w:rPr>
                <w:rFonts w:ascii="Times New Roman" w:hAnsi="Times New Roman"/>
                <w:color w:val="000000"/>
                <w:kern w:val="0"/>
                <w:sz w:val="24"/>
                <w:szCs w:val="24"/>
              </w:rPr>
            </w:pPr>
            <w:r>
              <w:rPr>
                <w:rFonts w:ascii="Times New Roman" w:hAnsi="Times New Roman"/>
                <w:color w:val="000000"/>
                <w:kern w:val="0"/>
                <w:sz w:val="24"/>
                <w:szCs w:val="24"/>
              </w:rPr>
              <w:t>B</w:t>
            </w:r>
            <w:r w:rsidRPr="00226E1D">
              <w:rPr>
                <w:rFonts w:ascii="Times New Roman" w:hAnsi="Times New Roman" w:hint="eastAsia"/>
                <w:color w:val="000000"/>
                <w:kern w:val="0"/>
                <w:sz w:val="24"/>
                <w:szCs w:val="24"/>
              </w:rPr>
              <w:t>类</w:t>
            </w:r>
            <w:r w:rsidRPr="00226E1D">
              <w:rPr>
                <w:rFonts w:ascii="Times New Roman" w:hAnsi="Times New Roman"/>
                <w:color w:val="000000"/>
                <w:kern w:val="0"/>
                <w:sz w:val="24"/>
                <w:szCs w:val="24"/>
              </w:rPr>
              <w:t>基金份额</w:t>
            </w:r>
          </w:p>
        </w:tc>
        <w:tc>
          <w:tcPr>
            <w:tcW w:w="897" w:type="pct"/>
            <w:tcBorders>
              <w:top w:val="single" w:sz="4" w:space="0" w:color="auto"/>
              <w:left w:val="single" w:sz="4" w:space="0" w:color="auto"/>
              <w:bottom w:val="single" w:sz="4" w:space="0" w:color="auto"/>
              <w:right w:val="single" w:sz="4" w:space="0" w:color="auto"/>
            </w:tcBorders>
            <w:vAlign w:val="center"/>
          </w:tcPr>
          <w:p w14:paraId="2EC7A1CE" w14:textId="67A93AC5" w:rsidR="002A02EC" w:rsidRPr="00226E1D" w:rsidRDefault="002A02EC" w:rsidP="00F410C6">
            <w:pPr>
              <w:widowControl/>
              <w:snapToGrid w:val="0"/>
              <w:jc w:val="center"/>
              <w:rPr>
                <w:rFonts w:ascii="宋体" w:hAnsi="宋体"/>
                <w:color w:val="000000"/>
                <w:kern w:val="0"/>
                <w:sz w:val="24"/>
                <w:szCs w:val="24"/>
              </w:rPr>
            </w:pPr>
            <w:r w:rsidRPr="00226E1D">
              <w:rPr>
                <w:rFonts w:ascii="Times New Roman" w:hAnsi="Times New Roman"/>
                <w:color w:val="000000"/>
                <w:kern w:val="0"/>
                <w:sz w:val="24"/>
                <w:szCs w:val="24"/>
              </w:rPr>
              <w:t>C</w:t>
            </w:r>
            <w:r w:rsidRPr="00226E1D">
              <w:rPr>
                <w:rFonts w:ascii="Times New Roman" w:hAnsi="Times New Roman" w:hint="eastAsia"/>
                <w:color w:val="000000"/>
                <w:kern w:val="0"/>
                <w:sz w:val="24"/>
                <w:szCs w:val="24"/>
              </w:rPr>
              <w:t>类</w:t>
            </w:r>
            <w:r w:rsidRPr="00226E1D">
              <w:rPr>
                <w:rFonts w:ascii="Times New Roman" w:hAnsi="Times New Roman"/>
                <w:color w:val="000000"/>
                <w:kern w:val="0"/>
                <w:sz w:val="24"/>
                <w:szCs w:val="24"/>
              </w:rPr>
              <w:t>基金份额</w:t>
            </w:r>
          </w:p>
        </w:tc>
        <w:tc>
          <w:tcPr>
            <w:tcW w:w="895" w:type="pct"/>
            <w:tcBorders>
              <w:top w:val="single" w:sz="4" w:space="0" w:color="auto"/>
              <w:left w:val="single" w:sz="4" w:space="0" w:color="auto"/>
              <w:bottom w:val="single" w:sz="4" w:space="0" w:color="auto"/>
              <w:right w:val="single" w:sz="4" w:space="0" w:color="auto"/>
            </w:tcBorders>
            <w:vAlign w:val="center"/>
          </w:tcPr>
          <w:p w14:paraId="3B97287D" w14:textId="77777777" w:rsidR="002A02EC" w:rsidRPr="00226E1D" w:rsidRDefault="002A02EC" w:rsidP="00F410C6">
            <w:pPr>
              <w:widowControl/>
              <w:snapToGrid w:val="0"/>
              <w:jc w:val="center"/>
              <w:rPr>
                <w:rFonts w:ascii="宋体" w:hAnsi="宋体"/>
                <w:color w:val="000000"/>
                <w:kern w:val="0"/>
                <w:sz w:val="24"/>
                <w:szCs w:val="24"/>
              </w:rPr>
            </w:pPr>
            <w:r w:rsidRPr="00226E1D">
              <w:rPr>
                <w:rFonts w:ascii="Times New Roman" w:hAnsi="Times New Roman"/>
                <w:color w:val="000000"/>
                <w:kern w:val="0"/>
                <w:sz w:val="24"/>
                <w:szCs w:val="24"/>
              </w:rPr>
              <w:t>D</w:t>
            </w:r>
            <w:r w:rsidRPr="00226E1D">
              <w:rPr>
                <w:rFonts w:ascii="Times New Roman" w:hAnsi="Times New Roman" w:hint="eastAsia"/>
                <w:color w:val="000000"/>
                <w:kern w:val="0"/>
                <w:sz w:val="24"/>
                <w:szCs w:val="24"/>
              </w:rPr>
              <w:t>类</w:t>
            </w:r>
            <w:r w:rsidRPr="00226E1D">
              <w:rPr>
                <w:rFonts w:ascii="Times New Roman" w:hAnsi="Times New Roman"/>
                <w:color w:val="000000"/>
                <w:kern w:val="0"/>
                <w:sz w:val="24"/>
                <w:szCs w:val="24"/>
              </w:rPr>
              <w:t>基金份额</w:t>
            </w:r>
          </w:p>
        </w:tc>
      </w:tr>
      <w:tr w:rsidR="009E6CAE" w:rsidRPr="00226E1D" w14:paraId="360BB2A2" w14:textId="77777777" w:rsidTr="00F410C6">
        <w:trPr>
          <w:cantSplit/>
          <w:trHeight w:val="375"/>
          <w:jc w:val="center"/>
        </w:trPr>
        <w:tc>
          <w:tcPr>
            <w:tcW w:w="1414" w:type="pct"/>
            <w:tcBorders>
              <w:top w:val="single" w:sz="4" w:space="0" w:color="auto"/>
              <w:left w:val="single" w:sz="4" w:space="0" w:color="auto"/>
              <w:bottom w:val="single" w:sz="4" w:space="0" w:color="auto"/>
              <w:right w:val="single" w:sz="4" w:space="0" w:color="auto"/>
            </w:tcBorders>
            <w:vAlign w:val="center"/>
          </w:tcPr>
          <w:p w14:paraId="5ED89DF3" w14:textId="77777777" w:rsidR="002A02EC" w:rsidRPr="00226E1D" w:rsidRDefault="002A02EC" w:rsidP="00F410C6">
            <w:pPr>
              <w:widowControl/>
              <w:snapToGrid w:val="0"/>
              <w:jc w:val="center"/>
              <w:rPr>
                <w:rFonts w:ascii="宋体" w:hAnsi="宋体"/>
                <w:color w:val="000000"/>
                <w:kern w:val="0"/>
                <w:sz w:val="24"/>
                <w:szCs w:val="24"/>
              </w:rPr>
            </w:pPr>
            <w:r w:rsidRPr="00226E1D">
              <w:rPr>
                <w:rFonts w:ascii="Times New Roman" w:hAnsi="Times New Roman"/>
                <w:color w:val="000000"/>
                <w:kern w:val="0"/>
                <w:sz w:val="24"/>
                <w:szCs w:val="24"/>
              </w:rPr>
              <w:t>销售服务费率</w:t>
            </w:r>
            <w:r w:rsidRPr="00226E1D">
              <w:rPr>
                <w:rFonts w:ascii="Times New Roman" w:hAnsi="Times New Roman"/>
                <w:color w:val="000000"/>
                <w:kern w:val="0"/>
                <w:sz w:val="24"/>
                <w:szCs w:val="24"/>
              </w:rPr>
              <w:t>(</w:t>
            </w:r>
            <w:r w:rsidRPr="00226E1D">
              <w:rPr>
                <w:rFonts w:ascii="Times New Roman" w:hAnsi="Times New Roman"/>
                <w:color w:val="000000"/>
                <w:kern w:val="0"/>
                <w:sz w:val="24"/>
                <w:szCs w:val="24"/>
              </w:rPr>
              <w:t>年费率</w:t>
            </w:r>
            <w:r w:rsidRPr="00226E1D">
              <w:rPr>
                <w:rFonts w:ascii="Times New Roman" w:hAnsi="Times New Roman"/>
                <w:color w:val="000000"/>
                <w:kern w:val="0"/>
                <w:sz w:val="24"/>
                <w:szCs w:val="24"/>
              </w:rPr>
              <w:t>)</w:t>
            </w:r>
          </w:p>
        </w:tc>
        <w:tc>
          <w:tcPr>
            <w:tcW w:w="897" w:type="pct"/>
            <w:tcBorders>
              <w:top w:val="single" w:sz="4" w:space="0" w:color="auto"/>
              <w:left w:val="single" w:sz="4" w:space="0" w:color="auto"/>
              <w:bottom w:val="single" w:sz="4" w:space="0" w:color="auto"/>
              <w:right w:val="single" w:sz="4" w:space="0" w:color="auto"/>
            </w:tcBorders>
            <w:vAlign w:val="center"/>
          </w:tcPr>
          <w:p w14:paraId="59482F7F" w14:textId="4693C93A" w:rsidR="002A02EC" w:rsidRPr="00226E1D" w:rsidRDefault="002A02EC" w:rsidP="00F410C6">
            <w:pPr>
              <w:widowControl/>
              <w:snapToGrid w:val="0"/>
              <w:jc w:val="center"/>
              <w:rPr>
                <w:rFonts w:ascii="Times New Roman" w:hAnsi="Times New Roman"/>
                <w:color w:val="000000"/>
                <w:kern w:val="0"/>
                <w:sz w:val="24"/>
                <w:szCs w:val="24"/>
              </w:rPr>
            </w:pPr>
            <w:r w:rsidRPr="00226E1D">
              <w:rPr>
                <w:rFonts w:ascii="Times New Roman" w:hAnsi="Times New Roman"/>
                <w:color w:val="000000"/>
                <w:kern w:val="0"/>
                <w:sz w:val="24"/>
                <w:szCs w:val="24"/>
              </w:rPr>
              <w:t>0.25%</w:t>
            </w:r>
          </w:p>
        </w:tc>
        <w:tc>
          <w:tcPr>
            <w:tcW w:w="897" w:type="pct"/>
            <w:tcBorders>
              <w:top w:val="single" w:sz="4" w:space="0" w:color="auto"/>
              <w:left w:val="single" w:sz="4" w:space="0" w:color="auto"/>
              <w:bottom w:val="single" w:sz="4" w:space="0" w:color="auto"/>
              <w:right w:val="single" w:sz="4" w:space="0" w:color="auto"/>
            </w:tcBorders>
            <w:vAlign w:val="center"/>
          </w:tcPr>
          <w:p w14:paraId="41530BC1" w14:textId="2E9B94DB" w:rsidR="002A02EC" w:rsidRPr="00226E1D" w:rsidRDefault="002A02EC" w:rsidP="00F410C6">
            <w:pPr>
              <w:widowControl/>
              <w:snapToGrid w:val="0"/>
              <w:jc w:val="center"/>
              <w:rPr>
                <w:rFonts w:ascii="Times New Roman" w:hAnsi="Times New Roman"/>
                <w:color w:val="000000"/>
                <w:kern w:val="0"/>
                <w:sz w:val="24"/>
                <w:szCs w:val="24"/>
              </w:rPr>
            </w:pPr>
            <w:r w:rsidRPr="00226E1D">
              <w:rPr>
                <w:rFonts w:ascii="Times New Roman" w:hAnsi="Times New Roman"/>
                <w:color w:val="000000"/>
                <w:kern w:val="0"/>
                <w:sz w:val="24"/>
                <w:szCs w:val="24"/>
              </w:rPr>
              <w:t>0.01%</w:t>
            </w:r>
          </w:p>
        </w:tc>
        <w:tc>
          <w:tcPr>
            <w:tcW w:w="897" w:type="pct"/>
            <w:tcBorders>
              <w:top w:val="single" w:sz="4" w:space="0" w:color="auto"/>
              <w:left w:val="single" w:sz="4" w:space="0" w:color="auto"/>
              <w:bottom w:val="single" w:sz="4" w:space="0" w:color="auto"/>
              <w:right w:val="single" w:sz="4" w:space="0" w:color="auto"/>
            </w:tcBorders>
            <w:vAlign w:val="center"/>
          </w:tcPr>
          <w:p w14:paraId="37304C4B" w14:textId="7CB8D173" w:rsidR="002A02EC" w:rsidRPr="00226E1D" w:rsidRDefault="002A02EC" w:rsidP="00F410C6">
            <w:pPr>
              <w:widowControl/>
              <w:snapToGrid w:val="0"/>
              <w:jc w:val="center"/>
              <w:rPr>
                <w:rFonts w:ascii="宋体" w:hAnsi="宋体"/>
                <w:color w:val="000000"/>
                <w:kern w:val="0"/>
                <w:sz w:val="24"/>
                <w:szCs w:val="24"/>
              </w:rPr>
            </w:pPr>
            <w:r w:rsidRPr="00226E1D">
              <w:rPr>
                <w:rFonts w:ascii="Times New Roman" w:hAnsi="Times New Roman"/>
                <w:color w:val="000000"/>
                <w:kern w:val="0"/>
                <w:sz w:val="24"/>
                <w:szCs w:val="24"/>
              </w:rPr>
              <w:t>0.25%</w:t>
            </w:r>
          </w:p>
        </w:tc>
        <w:tc>
          <w:tcPr>
            <w:tcW w:w="895" w:type="pct"/>
            <w:tcBorders>
              <w:top w:val="single" w:sz="4" w:space="0" w:color="auto"/>
              <w:left w:val="single" w:sz="4" w:space="0" w:color="auto"/>
              <w:bottom w:val="single" w:sz="4" w:space="0" w:color="auto"/>
              <w:right w:val="single" w:sz="4" w:space="0" w:color="auto"/>
            </w:tcBorders>
            <w:vAlign w:val="center"/>
          </w:tcPr>
          <w:p w14:paraId="52EBAAFE" w14:textId="77777777" w:rsidR="002A02EC" w:rsidRPr="00226E1D" w:rsidRDefault="002A02EC" w:rsidP="00F410C6">
            <w:pPr>
              <w:widowControl/>
              <w:snapToGrid w:val="0"/>
              <w:jc w:val="center"/>
              <w:rPr>
                <w:rFonts w:ascii="宋体" w:hAnsi="宋体"/>
                <w:color w:val="000000"/>
                <w:kern w:val="0"/>
                <w:sz w:val="24"/>
                <w:szCs w:val="24"/>
              </w:rPr>
            </w:pPr>
            <w:r w:rsidRPr="00226E1D">
              <w:rPr>
                <w:rFonts w:ascii="Times New Roman" w:hAnsi="Times New Roman"/>
                <w:color w:val="000000"/>
                <w:kern w:val="0"/>
                <w:sz w:val="24"/>
                <w:szCs w:val="24"/>
              </w:rPr>
              <w:t>0.01%</w:t>
            </w:r>
          </w:p>
        </w:tc>
      </w:tr>
    </w:tbl>
    <w:p w14:paraId="11269341" w14:textId="7F58293D" w:rsidR="00FD6D03" w:rsidRPr="002A02EC" w:rsidRDefault="00FD6D03" w:rsidP="00FD6D03">
      <w:pPr>
        <w:autoSpaceDE w:val="0"/>
        <w:autoSpaceDN w:val="0"/>
        <w:adjustRightInd w:val="0"/>
        <w:snapToGrid w:val="0"/>
        <w:spacing w:line="360" w:lineRule="auto"/>
        <w:ind w:firstLineChars="200" w:firstLine="480"/>
        <w:jc w:val="left"/>
        <w:rPr>
          <w:rFonts w:ascii="宋体" w:hAnsi="宋体"/>
          <w:sz w:val="24"/>
        </w:rPr>
      </w:pPr>
    </w:p>
    <w:p w14:paraId="7B7CD360" w14:textId="51B87FF3" w:rsidR="00FD6D03" w:rsidRPr="00F410C6" w:rsidRDefault="00A2464C" w:rsidP="00F410C6">
      <w:pPr>
        <w:autoSpaceDE w:val="0"/>
        <w:autoSpaceDN w:val="0"/>
        <w:adjustRightInd w:val="0"/>
        <w:snapToGrid w:val="0"/>
        <w:spacing w:line="360" w:lineRule="auto"/>
        <w:ind w:firstLineChars="200" w:firstLine="482"/>
        <w:jc w:val="left"/>
        <w:rPr>
          <w:rFonts w:ascii="宋体" w:hAnsi="宋体"/>
          <w:b/>
          <w:sz w:val="24"/>
        </w:rPr>
      </w:pPr>
      <w:r w:rsidRPr="00F410C6">
        <w:rPr>
          <w:rFonts w:ascii="宋体" w:hAnsi="宋体" w:hint="eastAsia"/>
          <w:b/>
          <w:sz w:val="24"/>
        </w:rPr>
        <w:t>（二）基金份额的自动升降级</w:t>
      </w:r>
    </w:p>
    <w:p w14:paraId="05899E78" w14:textId="4832D5F0" w:rsidR="00A2464C" w:rsidRDefault="00DF7D88" w:rsidP="00FD6D03">
      <w:pPr>
        <w:autoSpaceDE w:val="0"/>
        <w:autoSpaceDN w:val="0"/>
        <w:adjustRightInd w:val="0"/>
        <w:snapToGrid w:val="0"/>
        <w:spacing w:line="360" w:lineRule="auto"/>
        <w:ind w:firstLineChars="200" w:firstLine="480"/>
        <w:jc w:val="left"/>
        <w:rPr>
          <w:rFonts w:ascii="宋体" w:hAnsi="宋体"/>
          <w:sz w:val="24"/>
        </w:rPr>
      </w:pPr>
      <w:r w:rsidRPr="00DF7D88">
        <w:rPr>
          <w:rFonts w:ascii="宋体" w:hAnsi="宋体" w:hint="eastAsia"/>
          <w:sz w:val="24"/>
        </w:rPr>
        <w:t>当投资者在单个基金</w:t>
      </w:r>
      <w:r w:rsidR="004C603E">
        <w:rPr>
          <w:rFonts w:ascii="宋体" w:hAnsi="宋体" w:hint="eastAsia"/>
          <w:sz w:val="24"/>
        </w:rPr>
        <w:t>账户</w:t>
      </w:r>
      <w:r w:rsidRPr="00DF7D88">
        <w:rPr>
          <w:rFonts w:ascii="宋体" w:hAnsi="宋体" w:hint="eastAsia"/>
          <w:sz w:val="24"/>
        </w:rPr>
        <w:t>保留的A类基金份额</w:t>
      </w:r>
      <w:r w:rsidR="004107DA">
        <w:rPr>
          <w:rFonts w:ascii="宋体" w:hAnsi="宋体"/>
          <w:sz w:val="24"/>
        </w:rPr>
        <w:t>达到或超过500万份</w:t>
      </w:r>
      <w:r w:rsidR="004107DA">
        <w:rPr>
          <w:rFonts w:ascii="宋体" w:hAnsi="宋体" w:hint="eastAsia"/>
          <w:sz w:val="24"/>
        </w:rPr>
        <w:t>时，</w:t>
      </w:r>
      <w:r w:rsidRPr="00DF7D88">
        <w:rPr>
          <w:rFonts w:ascii="宋体" w:hAnsi="宋体" w:hint="eastAsia"/>
          <w:sz w:val="24"/>
        </w:rPr>
        <w:t>基金的注册登记机构自动将投资者在该基金</w:t>
      </w:r>
      <w:r w:rsidR="006A729B">
        <w:rPr>
          <w:rFonts w:ascii="宋体" w:hAnsi="宋体" w:hint="eastAsia"/>
          <w:sz w:val="24"/>
        </w:rPr>
        <w:t>账户</w:t>
      </w:r>
      <w:r w:rsidRPr="00DF7D88">
        <w:rPr>
          <w:rFonts w:ascii="宋体" w:hAnsi="宋体" w:hint="eastAsia"/>
          <w:sz w:val="24"/>
        </w:rPr>
        <w:t>保留的A类基金份额全部升级为B类基金份额；</w:t>
      </w:r>
      <w:r w:rsidR="004107DA" w:rsidRPr="004107DA">
        <w:rPr>
          <w:rFonts w:ascii="宋体" w:hAnsi="宋体" w:hint="eastAsia"/>
          <w:sz w:val="24"/>
        </w:rPr>
        <w:t>当投资者在单个基金</w:t>
      </w:r>
      <w:r w:rsidR="00AB7B42">
        <w:rPr>
          <w:rFonts w:ascii="宋体" w:hAnsi="宋体" w:hint="eastAsia"/>
          <w:sz w:val="24"/>
        </w:rPr>
        <w:t>账户</w:t>
      </w:r>
      <w:r w:rsidR="004107DA" w:rsidRPr="004107DA">
        <w:rPr>
          <w:rFonts w:ascii="宋体" w:hAnsi="宋体" w:hint="eastAsia"/>
          <w:sz w:val="24"/>
        </w:rPr>
        <w:t>保留的B类基金份额</w:t>
      </w:r>
      <w:r w:rsidR="004107DA">
        <w:rPr>
          <w:rFonts w:ascii="宋体" w:hAnsi="宋体"/>
          <w:sz w:val="24"/>
        </w:rPr>
        <w:t>低于500万份</w:t>
      </w:r>
      <w:r w:rsidR="004107DA" w:rsidRPr="004107DA">
        <w:rPr>
          <w:rFonts w:ascii="宋体" w:hAnsi="宋体" w:hint="eastAsia"/>
          <w:sz w:val="24"/>
        </w:rPr>
        <w:t>，基金的注册登记机构自动将投资者在该基金</w:t>
      </w:r>
      <w:r w:rsidR="00AB7B42">
        <w:rPr>
          <w:rFonts w:ascii="宋体" w:hAnsi="宋体" w:hint="eastAsia"/>
          <w:sz w:val="24"/>
        </w:rPr>
        <w:t>账户</w:t>
      </w:r>
      <w:r w:rsidR="004107DA" w:rsidRPr="004107DA">
        <w:rPr>
          <w:rFonts w:ascii="宋体" w:hAnsi="宋体" w:hint="eastAsia"/>
          <w:sz w:val="24"/>
        </w:rPr>
        <w:t>保留的B类基金份额全部降级为A</w:t>
      </w:r>
      <w:r w:rsidR="00FA400B">
        <w:rPr>
          <w:rFonts w:ascii="宋体" w:hAnsi="宋体" w:hint="eastAsia"/>
          <w:sz w:val="24"/>
        </w:rPr>
        <w:t>类基金份额。</w:t>
      </w:r>
    </w:p>
    <w:p w14:paraId="4B1298AA" w14:textId="2BF082CD" w:rsidR="00A2464C" w:rsidRDefault="00EF3F78" w:rsidP="00686049">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w:t>
      </w:r>
      <w:r w:rsidRPr="00785A2E">
        <w:rPr>
          <w:rFonts w:ascii="宋体" w:hAnsi="宋体" w:hint="eastAsia"/>
          <w:sz w:val="24"/>
        </w:rPr>
        <w:t>类基金份额和</w:t>
      </w:r>
      <w:r>
        <w:rPr>
          <w:rFonts w:ascii="宋体" w:hAnsi="宋体" w:hint="eastAsia"/>
          <w:sz w:val="24"/>
        </w:rPr>
        <w:t>D类基金份额</w:t>
      </w:r>
      <w:r w:rsidR="007C6314" w:rsidRPr="007C6314">
        <w:rPr>
          <w:rFonts w:ascii="宋体" w:hAnsi="宋体" w:hint="eastAsia"/>
          <w:sz w:val="24"/>
        </w:rPr>
        <w:t>不适用上述基金份额升降级机制</w:t>
      </w:r>
      <w:r w:rsidRPr="00EF3F78">
        <w:rPr>
          <w:rFonts w:ascii="宋体" w:hAnsi="宋体" w:hint="eastAsia"/>
          <w:sz w:val="24"/>
        </w:rPr>
        <w:t>。</w:t>
      </w:r>
    </w:p>
    <w:p w14:paraId="3053F9BD" w14:textId="0B73ED08" w:rsidR="00425064" w:rsidRDefault="00425064" w:rsidP="00F410C6">
      <w:pPr>
        <w:autoSpaceDE w:val="0"/>
        <w:autoSpaceDN w:val="0"/>
        <w:adjustRightInd w:val="0"/>
        <w:snapToGrid w:val="0"/>
        <w:spacing w:line="360" w:lineRule="auto"/>
        <w:jc w:val="left"/>
        <w:rPr>
          <w:rFonts w:ascii="宋体" w:hAnsi="宋体"/>
          <w:sz w:val="24"/>
        </w:rPr>
      </w:pPr>
    </w:p>
    <w:p w14:paraId="1FC6110A" w14:textId="7F672E7E" w:rsidR="00581FE5" w:rsidRPr="00A4713C" w:rsidRDefault="00686049" w:rsidP="00686049">
      <w:pPr>
        <w:adjustRightInd w:val="0"/>
        <w:spacing w:line="360" w:lineRule="auto"/>
        <w:ind w:firstLineChars="200" w:firstLine="482"/>
        <w:rPr>
          <w:bCs/>
          <w:sz w:val="24"/>
        </w:rPr>
      </w:pPr>
      <w:r w:rsidRPr="00F410C6">
        <w:rPr>
          <w:rFonts w:ascii="宋体" w:hAnsi="宋体" w:hint="eastAsia"/>
          <w:b/>
          <w:sz w:val="24"/>
        </w:rPr>
        <w:t>（三）</w:t>
      </w:r>
      <w:r w:rsidR="00581FE5" w:rsidRPr="00A4713C">
        <w:rPr>
          <w:rFonts w:hint="eastAsia"/>
          <w:bCs/>
          <w:sz w:val="24"/>
        </w:rPr>
        <w:t>在不违反法律法规、基金合同的约定以及对基金份额持有人利益无实质性不利影响的情况下，根据基金实际运作情况，基金管理人可增加、</w:t>
      </w:r>
      <w:r w:rsidR="00581FE5" w:rsidRPr="00A4713C">
        <w:rPr>
          <w:bCs/>
          <w:sz w:val="24"/>
        </w:rPr>
        <w:t>减少</w:t>
      </w:r>
      <w:r w:rsidR="00581FE5" w:rsidRPr="00A4713C">
        <w:rPr>
          <w:rFonts w:hint="eastAsia"/>
          <w:bCs/>
          <w:sz w:val="24"/>
        </w:rPr>
        <w:t>或</w:t>
      </w:r>
      <w:r w:rsidR="00581FE5" w:rsidRPr="00A4713C">
        <w:rPr>
          <w:bCs/>
          <w:sz w:val="24"/>
        </w:rPr>
        <w:t>调整</w:t>
      </w:r>
      <w:r w:rsidR="00581FE5" w:rsidRPr="00A4713C">
        <w:rPr>
          <w:rFonts w:hint="eastAsia"/>
          <w:bCs/>
          <w:sz w:val="24"/>
        </w:rPr>
        <w:t>基金份额类别设置、</w:t>
      </w:r>
      <w:r w:rsidRPr="00686049">
        <w:rPr>
          <w:rFonts w:hint="eastAsia"/>
          <w:bCs/>
          <w:sz w:val="24"/>
        </w:rPr>
        <w:t>停止基金份额类别的销售</w:t>
      </w:r>
      <w:r>
        <w:rPr>
          <w:rFonts w:hint="eastAsia"/>
          <w:bCs/>
          <w:sz w:val="24"/>
        </w:rPr>
        <w:t>、</w:t>
      </w:r>
      <w:r w:rsidR="00581FE5">
        <w:rPr>
          <w:rFonts w:ascii="宋体" w:hAnsi="宋体"/>
          <w:sz w:val="24"/>
        </w:rPr>
        <w:t>调整本</w:t>
      </w:r>
      <w:r w:rsidR="00CB27FE">
        <w:rPr>
          <w:rFonts w:ascii="宋体" w:hAnsi="宋体" w:hint="eastAsia"/>
          <w:sz w:val="24"/>
        </w:rPr>
        <w:t>基金</w:t>
      </w:r>
      <w:r w:rsidR="00581FE5">
        <w:rPr>
          <w:rFonts w:ascii="宋体" w:hAnsi="宋体"/>
          <w:sz w:val="24"/>
        </w:rPr>
        <w:t>基金</w:t>
      </w:r>
      <w:r w:rsidR="00581FE5" w:rsidRPr="005A06C5">
        <w:rPr>
          <w:rFonts w:ascii="宋体" w:hAnsi="宋体" w:hint="eastAsia"/>
          <w:sz w:val="24"/>
        </w:rPr>
        <w:t>份额升降</w:t>
      </w:r>
      <w:r w:rsidR="00581FE5">
        <w:rPr>
          <w:rFonts w:ascii="宋体" w:hAnsi="宋体" w:hint="eastAsia"/>
          <w:sz w:val="24"/>
        </w:rPr>
        <w:t>级的数量限制及规则</w:t>
      </w:r>
      <w:r w:rsidR="00581FE5" w:rsidRPr="00A4713C">
        <w:rPr>
          <w:rFonts w:hint="eastAsia"/>
          <w:bCs/>
          <w:sz w:val="24"/>
        </w:rPr>
        <w:t>并在调整实施前依照</w:t>
      </w:r>
      <w:r w:rsidR="00581FE5" w:rsidRPr="00A4713C">
        <w:rPr>
          <w:bCs/>
          <w:sz w:val="24"/>
        </w:rPr>
        <w:t>《</w:t>
      </w:r>
      <w:r w:rsidR="00581FE5" w:rsidRPr="00A4713C">
        <w:rPr>
          <w:rFonts w:hint="eastAsia"/>
          <w:bCs/>
          <w:sz w:val="24"/>
        </w:rPr>
        <w:t>信息</w:t>
      </w:r>
      <w:r w:rsidR="00581FE5" w:rsidRPr="00A4713C">
        <w:rPr>
          <w:bCs/>
          <w:sz w:val="24"/>
        </w:rPr>
        <w:t>披露办法》</w:t>
      </w:r>
      <w:r w:rsidR="00581FE5" w:rsidRPr="00A4713C">
        <w:rPr>
          <w:rFonts w:hint="eastAsia"/>
          <w:bCs/>
          <w:sz w:val="24"/>
        </w:rPr>
        <w:t>的</w:t>
      </w:r>
      <w:r w:rsidR="00581FE5" w:rsidRPr="00A4713C">
        <w:rPr>
          <w:bCs/>
          <w:sz w:val="24"/>
        </w:rPr>
        <w:t>有关规定</w:t>
      </w:r>
      <w:r w:rsidR="00581FE5" w:rsidRPr="00A4713C">
        <w:rPr>
          <w:rFonts w:hint="eastAsia"/>
          <w:bCs/>
          <w:sz w:val="24"/>
        </w:rPr>
        <w:t>在指定</w:t>
      </w:r>
      <w:r w:rsidR="00581FE5" w:rsidRPr="00A4713C">
        <w:rPr>
          <w:bCs/>
          <w:sz w:val="24"/>
        </w:rPr>
        <w:t>媒介上公告</w:t>
      </w:r>
      <w:r w:rsidR="00581FE5" w:rsidRPr="00A4713C">
        <w:rPr>
          <w:rFonts w:hint="eastAsia"/>
          <w:bCs/>
          <w:sz w:val="24"/>
        </w:rPr>
        <w:t>。</w:t>
      </w:r>
    </w:p>
    <w:p w14:paraId="512BB6A6" w14:textId="77777777" w:rsidR="00B61A49" w:rsidRPr="00165BC1" w:rsidRDefault="00B61A49">
      <w:pPr>
        <w:autoSpaceDE w:val="0"/>
        <w:autoSpaceDN w:val="0"/>
        <w:adjustRightInd w:val="0"/>
        <w:snapToGrid w:val="0"/>
        <w:spacing w:line="360" w:lineRule="auto"/>
        <w:ind w:firstLineChars="200" w:firstLine="420"/>
        <w:jc w:val="left"/>
        <w:rPr>
          <w:rFonts w:ascii="宋体" w:hAnsi="宋体"/>
          <w:szCs w:val="24"/>
        </w:rPr>
      </w:pPr>
    </w:p>
    <w:p w14:paraId="4B14D03C"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8856E87" w14:textId="77777777" w:rsidR="00007225" w:rsidRDefault="00F07F0D">
      <w:pPr>
        <w:pStyle w:val="1"/>
        <w:snapToGrid w:val="0"/>
        <w:spacing w:beforeLines="0" w:before="240" w:after="240"/>
        <w:rPr>
          <w:rFonts w:ascii="宋体" w:hAnsi="宋体"/>
          <w:szCs w:val="30"/>
        </w:rPr>
      </w:pPr>
      <w:bookmarkStart w:id="12" w:name="_Toc160021640"/>
      <w:r>
        <w:rPr>
          <w:rFonts w:ascii="Times New Roman" w:hAnsi="Times New Roman"/>
          <w:sz w:val="30"/>
        </w:rPr>
        <w:lastRenderedPageBreak/>
        <w:t>九、基金份额的申购、赎回及其他业务</w:t>
      </w:r>
      <w:bookmarkEnd w:id="12"/>
    </w:p>
    <w:p w14:paraId="31EE1DF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申购和赎回的场所</w:t>
      </w:r>
    </w:p>
    <w:p w14:paraId="170150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1、本基金管理人的直销网点</w:t>
      </w:r>
    </w:p>
    <w:p w14:paraId="288B2C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7E2AB9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481B46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97454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办公地址：上海市浦东新区世纪大道8号国金中心2期21-22楼</w:t>
      </w:r>
    </w:p>
    <w:p w14:paraId="5ECBA5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45998F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2F288C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41B04D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23A789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D417D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488F4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个人投资者可以通过本公司网上直销交易平台办理开户、本基金的赎回、转换及定期定额投资等业务，具体交易细则请参阅本公司网站。网上直销交易平台网址：www.fund001.com</w:t>
      </w:r>
    </w:p>
    <w:p w14:paraId="1526C7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2、办理本基金代销业务的各代销机构的代销网点</w:t>
      </w:r>
    </w:p>
    <w:p w14:paraId="0BC37E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本基金的代销机构的代销网点请见本招募说明书“五、相关服务机构”章节或拨打本公司客户服务电话进行咨询。</w:t>
      </w:r>
    </w:p>
    <w:p w14:paraId="65D0AA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投资者可通过上述场所按照规定的方式进行申购或赎回。本基金管理人可根据情况增减基金代销机构，并在管理人网站公示。</w:t>
      </w:r>
    </w:p>
    <w:p w14:paraId="112CFD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14:paraId="061296D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 申购和赎回的开放日及时间</w:t>
      </w:r>
    </w:p>
    <w:p w14:paraId="123194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1315A0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基金的开放日是指为投资者办理基金申购、赎回等业务的证券交易所交易日。销售机构在开放日的具体业务办理时间为上海证券交易所、深圳证券交易所交易日的交易时间。</w:t>
      </w:r>
    </w:p>
    <w:p w14:paraId="3FCCA3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w:t>
      </w:r>
      <w:r>
        <w:rPr>
          <w:rFonts w:ascii="宋体" w:hAnsi="宋体"/>
          <w:sz w:val="24"/>
        </w:rPr>
        <w:lastRenderedPageBreak/>
        <w:t>理人将视情况对前述开放日及具体业务办理时间进行相应的调整并公告。</w:t>
      </w:r>
    </w:p>
    <w:p w14:paraId="28A697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投资者在基金合同约定之外的日期和时间提出申购、赎回申请的，其基金份额申购、赎回价格为下次办理基金份额申购、赎回时间所在开放日的价格。</w:t>
      </w:r>
    </w:p>
    <w:p w14:paraId="1A06D4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13015B87" w14:textId="35F60C86" w:rsidR="00007225"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w:t>
      </w:r>
      <w:r w:rsidR="006F7DC1" w:rsidRPr="00944F9C">
        <w:rPr>
          <w:rFonts w:ascii="宋体" w:hAnsi="宋体" w:hint="eastAsia"/>
          <w:sz w:val="24"/>
        </w:rPr>
        <w:t>A类基金份额</w:t>
      </w:r>
      <w:r>
        <w:rPr>
          <w:rFonts w:ascii="宋体" w:hAnsi="宋体"/>
          <w:sz w:val="24"/>
        </w:rPr>
        <w:t>已于2006年1月23日起开始办理申购业务。</w:t>
      </w:r>
    </w:p>
    <w:p w14:paraId="3B4B4A85" w14:textId="794FC875" w:rsidR="00FA61F6" w:rsidRPr="00FA61F6" w:rsidRDefault="00FA61F6" w:rsidP="00FA61F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本基金B</w:t>
      </w:r>
      <w:r w:rsidRPr="00944F9C">
        <w:rPr>
          <w:rFonts w:ascii="宋体" w:hAnsi="宋体" w:hint="eastAsia"/>
          <w:sz w:val="24"/>
        </w:rPr>
        <w:t>类基金份额</w:t>
      </w:r>
      <w:r>
        <w:rPr>
          <w:rFonts w:ascii="宋体" w:hAnsi="宋体"/>
          <w:sz w:val="24"/>
        </w:rPr>
        <w:t>已于2007年6月25日起开始办理申购业务。</w:t>
      </w:r>
    </w:p>
    <w:p w14:paraId="3933C3DD" w14:textId="06BC25D2" w:rsidR="00E319F6" w:rsidRPr="00E319F6" w:rsidRDefault="00E319F6" w:rsidP="00E319F6">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hint="eastAsia"/>
          <w:sz w:val="24"/>
        </w:rPr>
        <w:t>C类基金份额和</w:t>
      </w:r>
      <w:r>
        <w:rPr>
          <w:rFonts w:ascii="宋体" w:hAnsi="宋体"/>
          <w:sz w:val="24"/>
        </w:rPr>
        <w:t>D</w:t>
      </w:r>
      <w:r w:rsidRPr="00A9408D">
        <w:rPr>
          <w:rFonts w:ascii="宋体" w:hAnsi="宋体" w:hint="eastAsia"/>
          <w:sz w:val="24"/>
        </w:rPr>
        <w:t>类基金份额于</w:t>
      </w:r>
      <w:r>
        <w:rPr>
          <w:rFonts w:ascii="宋体" w:hAnsi="宋体"/>
          <w:sz w:val="24"/>
        </w:rPr>
        <w:t>2024</w:t>
      </w:r>
      <w:r w:rsidRPr="00A9408D">
        <w:rPr>
          <w:rFonts w:ascii="宋体" w:hAnsi="宋体"/>
          <w:sz w:val="24"/>
        </w:rPr>
        <w:t>年</w:t>
      </w:r>
      <w:r w:rsidR="00780942">
        <w:rPr>
          <w:rFonts w:ascii="宋体" w:hAnsi="宋体"/>
          <w:sz w:val="24"/>
        </w:rPr>
        <w:t>3</w:t>
      </w:r>
      <w:r w:rsidRPr="00A9408D">
        <w:rPr>
          <w:rFonts w:ascii="宋体" w:hAnsi="宋体" w:hint="eastAsia"/>
          <w:sz w:val="24"/>
        </w:rPr>
        <w:t>月</w:t>
      </w:r>
      <w:r w:rsidR="00780942">
        <w:rPr>
          <w:rFonts w:ascii="宋体" w:hAnsi="宋体"/>
          <w:sz w:val="24"/>
        </w:rPr>
        <w:t>5</w:t>
      </w:r>
      <w:r>
        <w:rPr>
          <w:rFonts w:ascii="宋体" w:hAnsi="宋体" w:hint="eastAsia"/>
          <w:sz w:val="24"/>
        </w:rPr>
        <w:t>日起</w:t>
      </w:r>
      <w:r>
        <w:rPr>
          <w:rFonts w:ascii="宋体" w:hAnsi="宋体"/>
          <w:sz w:val="24"/>
        </w:rPr>
        <w:t>开始办理</w:t>
      </w:r>
      <w:r>
        <w:rPr>
          <w:rFonts w:ascii="宋体" w:hAnsi="宋体" w:hint="eastAsia"/>
          <w:sz w:val="24"/>
        </w:rPr>
        <w:t>申购</w:t>
      </w:r>
      <w:r w:rsidRPr="00A9408D">
        <w:rPr>
          <w:rFonts w:ascii="宋体" w:hAnsi="宋体" w:hint="eastAsia"/>
          <w:sz w:val="24"/>
        </w:rPr>
        <w:t>业务。</w:t>
      </w:r>
    </w:p>
    <w:p w14:paraId="3620FF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2B0984B9" w14:textId="7B038DC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sidR="006F7DC1" w:rsidRPr="00944F9C">
        <w:rPr>
          <w:rFonts w:ascii="宋体" w:hAnsi="宋体" w:hint="eastAsia"/>
          <w:sz w:val="24"/>
        </w:rPr>
        <w:t>A类基金份额</w:t>
      </w:r>
      <w:r>
        <w:rPr>
          <w:rFonts w:ascii="宋体" w:hAnsi="宋体"/>
          <w:sz w:val="24"/>
        </w:rPr>
        <w:t>已于2006年2月8日起开始办理赎回业务。</w:t>
      </w:r>
    </w:p>
    <w:p w14:paraId="6C7349F9" w14:textId="43E536C3" w:rsidR="00FA61F6" w:rsidRPr="00FA61F6" w:rsidRDefault="00FA61F6" w:rsidP="00FA61F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本基金B</w:t>
      </w:r>
      <w:r w:rsidRPr="00944F9C">
        <w:rPr>
          <w:rFonts w:ascii="宋体" w:hAnsi="宋体" w:hint="eastAsia"/>
          <w:sz w:val="24"/>
        </w:rPr>
        <w:t>类基金份额</w:t>
      </w:r>
      <w:r>
        <w:rPr>
          <w:rFonts w:ascii="宋体" w:hAnsi="宋体"/>
          <w:sz w:val="24"/>
        </w:rPr>
        <w:t>已于2007年6月25日起开始办理</w:t>
      </w:r>
      <w:r>
        <w:rPr>
          <w:rFonts w:ascii="宋体" w:hAnsi="宋体" w:hint="eastAsia"/>
          <w:sz w:val="24"/>
        </w:rPr>
        <w:t>赎回</w:t>
      </w:r>
      <w:r>
        <w:rPr>
          <w:rFonts w:ascii="宋体" w:hAnsi="宋体"/>
          <w:sz w:val="24"/>
        </w:rPr>
        <w:t>业务。</w:t>
      </w:r>
    </w:p>
    <w:p w14:paraId="0A4F64BB" w14:textId="39A09CC8" w:rsidR="00E319F6" w:rsidRPr="00E319F6" w:rsidRDefault="00E319F6" w:rsidP="00E319F6">
      <w:pPr>
        <w:autoSpaceDE w:val="0"/>
        <w:autoSpaceDN w:val="0"/>
        <w:adjustRightInd w:val="0"/>
        <w:snapToGrid w:val="0"/>
        <w:spacing w:line="360" w:lineRule="auto"/>
        <w:ind w:firstLineChars="200" w:firstLine="480"/>
        <w:jc w:val="left"/>
        <w:rPr>
          <w:rFonts w:ascii="宋体" w:hAnsi="宋体"/>
          <w:szCs w:val="24"/>
        </w:rPr>
      </w:pPr>
      <w:r w:rsidRPr="00A9408D">
        <w:rPr>
          <w:rFonts w:ascii="宋体" w:hAnsi="宋体" w:hint="eastAsia"/>
          <w:sz w:val="24"/>
        </w:rPr>
        <w:t>本基金</w:t>
      </w:r>
      <w:r>
        <w:rPr>
          <w:rFonts w:ascii="宋体" w:hAnsi="宋体" w:hint="eastAsia"/>
          <w:sz w:val="24"/>
        </w:rPr>
        <w:t>C类基金份额和</w:t>
      </w:r>
      <w:r>
        <w:rPr>
          <w:rFonts w:ascii="宋体" w:hAnsi="宋体"/>
          <w:sz w:val="24"/>
        </w:rPr>
        <w:t>D</w:t>
      </w:r>
      <w:r w:rsidRPr="00A9408D">
        <w:rPr>
          <w:rFonts w:ascii="宋体" w:hAnsi="宋体" w:hint="eastAsia"/>
          <w:sz w:val="24"/>
        </w:rPr>
        <w:t>类基金份额于</w:t>
      </w:r>
      <w:r>
        <w:rPr>
          <w:rFonts w:ascii="宋体" w:hAnsi="宋体"/>
          <w:sz w:val="24"/>
        </w:rPr>
        <w:t>2024</w:t>
      </w:r>
      <w:r w:rsidRPr="00A9408D">
        <w:rPr>
          <w:rFonts w:ascii="宋体" w:hAnsi="宋体"/>
          <w:sz w:val="24"/>
        </w:rPr>
        <w:t>年</w:t>
      </w:r>
      <w:r w:rsidR="00780942">
        <w:rPr>
          <w:rFonts w:ascii="宋体" w:hAnsi="宋体"/>
          <w:sz w:val="24"/>
        </w:rPr>
        <w:t>3</w:t>
      </w:r>
      <w:r w:rsidRPr="00A9408D">
        <w:rPr>
          <w:rFonts w:ascii="宋体" w:hAnsi="宋体" w:hint="eastAsia"/>
          <w:sz w:val="24"/>
        </w:rPr>
        <w:t>月</w:t>
      </w:r>
      <w:r w:rsidR="00780942">
        <w:rPr>
          <w:rFonts w:ascii="宋体" w:hAnsi="宋体"/>
          <w:sz w:val="24"/>
        </w:rPr>
        <w:t>5</w:t>
      </w:r>
      <w:r>
        <w:rPr>
          <w:rFonts w:ascii="宋体" w:hAnsi="宋体" w:hint="eastAsia"/>
          <w:sz w:val="24"/>
        </w:rPr>
        <w:t>日起</w:t>
      </w:r>
      <w:r>
        <w:rPr>
          <w:rFonts w:ascii="宋体" w:hAnsi="宋体"/>
          <w:sz w:val="24"/>
        </w:rPr>
        <w:t>开始办理</w:t>
      </w:r>
      <w:r w:rsidRPr="00A9408D">
        <w:rPr>
          <w:rFonts w:ascii="宋体" w:hAnsi="宋体" w:hint="eastAsia"/>
          <w:sz w:val="24"/>
        </w:rPr>
        <w:t>赎回业务。</w:t>
      </w:r>
    </w:p>
    <w:p w14:paraId="273571B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 申购和赎回的原则</w:t>
      </w:r>
    </w:p>
    <w:p w14:paraId="48576DE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1、“确定价”原则，即本基金的申购、赎回价格为每份基金份额1.00元。</w:t>
      </w:r>
    </w:p>
    <w:p w14:paraId="5D1F8E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EA8F5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3、投资者申购基金份额时，必须全额交付申购款项，投资者交付款项后，申购申请方为有效。</w:t>
      </w:r>
    </w:p>
    <w:p w14:paraId="35664EC8" w14:textId="040E7296" w:rsidR="00007225" w:rsidRDefault="009403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F07F0D">
        <w:rPr>
          <w:rFonts w:ascii="宋体" w:hAnsi="宋体"/>
          <w:sz w:val="24"/>
        </w:rPr>
        <w:t>、赎回遵循“先进先出”原则，即按照投资者认（申）购的先后次序进行顺序赎回。</w:t>
      </w:r>
    </w:p>
    <w:p w14:paraId="30E90C66" w14:textId="394EA6A8" w:rsidR="00007225" w:rsidRDefault="0094035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F07F0D">
        <w:rPr>
          <w:rFonts w:ascii="宋体" w:hAnsi="宋体"/>
          <w:sz w:val="24"/>
        </w:rPr>
        <w:t>、当日的申购和赎回申请可以在基金管理人规定的时间以前撤销。</w:t>
      </w:r>
    </w:p>
    <w:p w14:paraId="778D72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基金管理人在不损害基金份额持有人权益的情况下可更改上述原则。在变更上述原则时，基金管理人应在变更依照《信息披露办法》和《信息披露特别规定》的有关规定在指定媒介上公告。</w:t>
      </w:r>
    </w:p>
    <w:p w14:paraId="0866FE9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 申购和赎回的数额限定</w:t>
      </w:r>
    </w:p>
    <w:p w14:paraId="7241C2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5FC3BB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代销机构申购基金份额最低限额为单笔0.01元人民币；投资者通过直销网点申购基金份额最低限额为单笔100万元人民币，追加申购的最低金额为单笔10万元人民币；已在直销网点有认购或申购过本基金管理人管理的任一基金（包括本基金）记录的投资者不受首次申购最低金额的限制。本基金直销网点单笔申购最低金额可由基金管理人酌情调整。</w:t>
      </w:r>
    </w:p>
    <w:p w14:paraId="730688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投资者可多次申购，对单个投资者累计持有份额不设上限限制。法律法规、中</w:t>
      </w:r>
      <w:r>
        <w:rPr>
          <w:rFonts w:ascii="宋体" w:hAnsi="宋体"/>
          <w:sz w:val="24"/>
        </w:rPr>
        <w:lastRenderedPageBreak/>
        <w:t>国证监会另有规定的除外。</w:t>
      </w:r>
    </w:p>
    <w:p w14:paraId="5CB312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5CE7E55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投资者可将其全部或部分基金份额赎回。</w:t>
      </w:r>
    </w:p>
    <w:p w14:paraId="4755AC1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单笔赎回不得少于0.01份基金份额，如果销售机构业务规则规定的最低单笔赎回份额高于0.01份，以该销售机构的规定为准。</w:t>
      </w:r>
    </w:p>
    <w:p w14:paraId="3CB6FF3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36A92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每个工作日投资者在单个交易账户保留的本基金最低份额余额为0。</w:t>
      </w:r>
    </w:p>
    <w:p w14:paraId="3A8A47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65E0F4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赎回的份额以及最低保留余额的数量限制，基金管理人必须在调整前依照《信息披露办法》和《信息披露特别规定》的有关规定在指定媒介上公告。</w:t>
      </w:r>
    </w:p>
    <w:p w14:paraId="021A89E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 申购和赎回的程序</w:t>
      </w:r>
    </w:p>
    <w:p w14:paraId="4F2810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4F0316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2、申购和赎回的确认与通知</w:t>
      </w:r>
    </w:p>
    <w:p w14:paraId="44917A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正常情况下，T日规定时间受理的申请，基金注册登记机构在T＋1日内为投资者对该交易的有效性进行确认，在T＋2日后(包括该日)投资者可向销售机构查询申购、赎回的成交情况。</w:t>
      </w:r>
    </w:p>
    <w:p w14:paraId="1C1ED6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3、申购和赎回款项支付</w:t>
      </w:r>
    </w:p>
    <w:p w14:paraId="66138E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申购采用全额缴款方式，若申购资金在规定时间内未全额到账则申购不成功，若申购不成功或无效，申购款项将退回投资者账户。</w:t>
      </w:r>
    </w:p>
    <w:p w14:paraId="174D91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申请成功后，基金管理人将指示基金托管人在T＋2日（包括该日）内从托管账户将赎回款项划出，经销售机构划往基金份额持有人银行账户。在发生巨额赎回的情形时，款项的支付办法参照基金合同的有关条款处理。</w:t>
      </w:r>
    </w:p>
    <w:p w14:paraId="15C531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4、申购和赎回基金份额的注册登记</w:t>
      </w:r>
    </w:p>
    <w:p w14:paraId="4919E9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投资者申购申请受理后，注册登记机构在T+1日为投资者办理增加权益的登记手续，投资者自T+2日起可赎回该部分基金份额。</w:t>
      </w:r>
    </w:p>
    <w:p w14:paraId="020DA2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投资者赎回基金成功后，注册登记机构在T+1日为投资者办理扣除权益的登记</w:t>
      </w:r>
      <w:r>
        <w:rPr>
          <w:rFonts w:ascii="宋体" w:hAnsi="宋体"/>
          <w:sz w:val="24"/>
        </w:rPr>
        <w:lastRenderedPageBreak/>
        <w:t>手续。</w:t>
      </w:r>
    </w:p>
    <w:p w14:paraId="6029D7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注册登记办理时间进行调整，但不得实质影响投资者的合法权益，并最迟于开始实施前依照《信息披露办法》和《信息披露特别规定》的有关规定在指定媒介上公告。</w:t>
      </w:r>
    </w:p>
    <w:p w14:paraId="404D64B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 申购和赎回的数额和价格</w:t>
      </w:r>
    </w:p>
    <w:p w14:paraId="741D5A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1、申购份额的计算</w:t>
      </w:r>
    </w:p>
    <w:p w14:paraId="25307B2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4FF07E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申购份额＝申购总金额÷基金份额净值</w:t>
      </w:r>
    </w:p>
    <w:p w14:paraId="582362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例一：假定T日某投资者投资10,000元申购本基金，则其可得到的申购份额计算如下：</w:t>
      </w:r>
    </w:p>
    <w:p w14:paraId="6099B4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申购份额=10,000/1.00=10,000份</w:t>
      </w:r>
    </w:p>
    <w:p w14:paraId="03AF0A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申购份数保留至小数点后2位，小数点2位以后的部分四舍五入，四舍五入部分所代表的资产归基金所有。</w:t>
      </w:r>
    </w:p>
    <w:p w14:paraId="6D38E6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2、基金赎回金额的计算（不包含特殊情况）</w:t>
      </w:r>
    </w:p>
    <w:p w14:paraId="3ADCDB28" w14:textId="61D7484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赎回金额=赎回份额×基金份额净值+该份额对应的未付收益</w:t>
      </w:r>
    </w:p>
    <w:p w14:paraId="45D04DE5" w14:textId="530406A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例二：假定某投资者在T日赎回10,000份本基金，且假设该10,000份基金份额对应的未支付收益为15.00元，则其获得的赎回金额计算如下：</w:t>
      </w:r>
    </w:p>
    <w:p w14:paraId="63492527" w14:textId="5C804535"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赎回金额=10,000×1.00+15.00=10,015.00元</w:t>
      </w:r>
    </w:p>
    <w:p w14:paraId="082336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赎回总额以人民币元为单位，保留至小数点后2位，小数点2位以后的部分四舍五入，四舍五入部分所代表的资产归基金所有。</w:t>
      </w:r>
    </w:p>
    <w:p w14:paraId="49F3F384" w14:textId="61AB829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3、本基金每个工作日公告前一工作日各</w:t>
      </w:r>
      <w:r w:rsidR="0096419F">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和基金七日年化收益率。遇特殊情况，经中国证监会同意，可以适当延迟计算或公告。</w:t>
      </w:r>
    </w:p>
    <w:p w14:paraId="2ED1E2C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（七）基金的申购费和赎回费</w:t>
      </w:r>
    </w:p>
    <w:p w14:paraId="44F68F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另有规定或基金合同另有约定外，本基金的申购和赎回费率为零。当本基金前10名基金份额持有人的持有份额合计超过基金总份额50%，且本基金投资组合中现金、国债、中央银行票据、政策性金融债券以及5个交易日内到期的其他金融工具占基金资产净值的比例合计低于10%且偏离度为负时，基金管理人应当对当日单个基金份额持有人超过基金总份额1%以上的赎回申请征收1%的强制赎回费用，并将上述赎回费用全额计入基金财产。</w:t>
      </w:r>
    </w:p>
    <w:p w14:paraId="41F61C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2、网上直销的有关费率</w:t>
      </w:r>
    </w:p>
    <w:p w14:paraId="199D4F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公司网站的“交银施罗德基金管理有限公司网上直销交易平台”（以下简称“网上直销交易平台”）办理开户和本基金的赎回、定期定额投资和转换等业务。通过网上直销交易平台办理本基金转换出业务的个人投资者将享受转换费中相应申购补差费率的优惠，其他费率标准不变。具体优惠费率请参见公司网站列示的网上直销定期定额投资及转换费率表或相关公告。</w:t>
      </w:r>
    </w:p>
    <w:p w14:paraId="42F9BB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01AAA46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（八）暂停申购的情形及处理方式</w:t>
      </w:r>
    </w:p>
    <w:p w14:paraId="0A72A7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发生下列情况时，基金管理人可暂停接受基金投资者的申购申请：</w:t>
      </w:r>
    </w:p>
    <w:p w14:paraId="6B98E1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14:paraId="6304BB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2、证券交易场所在交易时间非正常停市；</w:t>
      </w:r>
    </w:p>
    <w:p w14:paraId="4790BE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3、基金财产规模过大，使基金管理人无法找到合适的投资品种，或可能对基金业绩产生负面影响，从而损害现有基金份额持有人的利益；</w:t>
      </w:r>
    </w:p>
    <w:p w14:paraId="16DD81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4、基金管理人认为会有损于现有基金份额持有人利益的某笔申购；</w:t>
      </w:r>
    </w:p>
    <w:p w14:paraId="4AC180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5、法律法规规定或中国证监会认定的其他可暂停申购的情形；</w:t>
      </w:r>
    </w:p>
    <w:p w14:paraId="7C6F92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14:paraId="5F5CA9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7、基金管理人接受某笔或者某些申购申请有可能导致单一投资者持有基金份额的比例超过50%，或者变相规避50%集中度的情形时。出现上述情形时，基金管理人有权将上述申购申请全部或部分确认失败。</w:t>
      </w:r>
    </w:p>
    <w:p w14:paraId="00F010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发生上述1到6项暂停申购情形时，申购款项将全额退还投资者。基金管理人依照《信息披露办法》和《信息披露特别规定》的有关规定在指定媒介上公告。</w:t>
      </w:r>
    </w:p>
    <w:p w14:paraId="14C3BC5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（九）暂停赎回或延缓支付赎回款项的情形及处理方式</w:t>
      </w:r>
    </w:p>
    <w:p w14:paraId="341DF9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发生下列情形时，基金管理人可暂停接受基金份额持有人的赎回申请：</w:t>
      </w:r>
    </w:p>
    <w:p w14:paraId="7CFD68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14:paraId="20A530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2、证券交易场所交易时间非正常停市；</w:t>
      </w:r>
    </w:p>
    <w:p w14:paraId="7C43F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3、因市场剧烈波动或其他原因而出现连续两个或两个以上开放日巨额赎回，</w:t>
      </w:r>
      <w:r>
        <w:rPr>
          <w:rFonts w:ascii="宋体" w:hAnsi="宋体"/>
          <w:sz w:val="24"/>
        </w:rPr>
        <w:lastRenderedPageBreak/>
        <w:t>导致本基金的现金支付出现困难；</w:t>
      </w:r>
    </w:p>
    <w:p w14:paraId="56E319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4、基金管理人认为会有损于现有基金份额持有人利益的某笔赎回；</w:t>
      </w:r>
    </w:p>
    <w:p w14:paraId="614C7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4E6801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07102D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3项的情形时，对已接受的赎回申请可延期支付赎回款项，最长不超过正常支付时间20个工作日，并在中国证监会指定媒介上公告。投资者在申请赎回时可事先选择将当日可能未获受理部分予以撤销。</w:t>
      </w:r>
    </w:p>
    <w:p w14:paraId="129D39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暂停基金的赎回，基金管理人应及时在中国证监会指定媒介上刊登暂停赎回公告。</w:t>
      </w:r>
    </w:p>
    <w:p w14:paraId="34BC14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在暂停赎回的情况消除时，基金管理人应及时恢复赎回业务的办理，并依照《信息披露办法》和《信息披露特别规定》的有关规定在指定媒介上公告。</w:t>
      </w:r>
    </w:p>
    <w:p w14:paraId="2E5F9F8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14:paraId="2577BD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7DBF37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份额总份额扣除申购申请总份额及基金转换中转入申请份额总份额后的余额）超过上一日基金总份额的10%时，即认为发生了巨额赎回。</w:t>
      </w:r>
    </w:p>
    <w:p w14:paraId="2BC1C9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444E9C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14:paraId="16E746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14:paraId="4184C5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予以延</w:t>
      </w:r>
      <w:r>
        <w:rPr>
          <w:rFonts w:ascii="宋体" w:hAnsi="宋体"/>
          <w:sz w:val="24"/>
        </w:rPr>
        <w:lastRenderedPageBreak/>
        <w:t>期办理。对于当日的赎回申请，应当按单个账户赎回申请量占当日赎回申请总量的比例，确定当日单个帐户受理的赎回份额。未受理部分，除投资者在提交赎回申请时明确作出不参加顺延下一个开放日赎回的表示外，顺延至下一个开放日赎回处理。依照上述规定转入下一个开放日的赎回不享有赎回优先权并将按该下一个开放日赎回申请总量计算赎回金额，以此类推，直到全部赎回为止。</w:t>
      </w:r>
    </w:p>
    <w:p w14:paraId="1D995814" w14:textId="256C273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14:paraId="1ED4C0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（3）巨额赎回的公告：当发生巨额赎回并顺延赎回时，基金管理人应通过邮寄、传真或者招募说明书规定的其他方式，在两日内通知基金份额持有人，说明有关处理方法，并在2日内在指定媒介上刊登公告。</w:t>
      </w:r>
    </w:p>
    <w:p w14:paraId="62F9E6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2个开放日以上发生巨额赎回，如基金管理人认为有必要，可暂停接受赎回申请；已经接受的赎回申请可以延缓支付赎回款项，但不得超过正常支付时间20个工作日，并应当在中国证监会指定媒体上公告。</w:t>
      </w:r>
    </w:p>
    <w:p w14:paraId="280951B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（十一）重新开放申购或赎回的公告</w:t>
      </w:r>
    </w:p>
    <w:p w14:paraId="088FBD55" w14:textId="4129F2A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如果发生暂停申购或赎回的时间为一日，第二个工作日基金管理人应在中国证监会指定媒介上刊登基金重新开放申购或赎回公告并公布最近一个开放日各</w:t>
      </w:r>
      <w:r w:rsidR="00A41A0E">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和基金七日年化收益率。</w:t>
      </w:r>
    </w:p>
    <w:p w14:paraId="0D5F2B0B" w14:textId="014FB47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一日但少于两周，基金重新开放申购或赎回时，基金管理人应提前一个工作日在中国证监会指定媒介上刊登基金重新开放申购或赎回公告，并在重新开放申购或赎回日公告最近一个工作日各</w:t>
      </w:r>
      <w:r w:rsidR="00A41A0E">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和基金七日年化收益率。</w:t>
      </w:r>
    </w:p>
    <w:p w14:paraId="1702EB36" w14:textId="69C9DB2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发生暂停的时间超过两周，暂停期间，基金管理人应至少每两周重复刊登暂停公告一次。基金重新开放申购或赎回时，基金管理人依照《信息披露办法》和《信息披露特别规定》的有关规定在指定媒介上连续刊登基金重新开放申购或赎回公告并在重新开放申购或赎回日公告最近一个开放日各</w:t>
      </w:r>
      <w:r w:rsidR="00382A41">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和基金七日年化收益率。</w:t>
      </w:r>
    </w:p>
    <w:p w14:paraId="6606428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（十二）转托管</w:t>
      </w:r>
    </w:p>
    <w:p w14:paraId="1932C2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w:t>
      </w:r>
    </w:p>
    <w:p w14:paraId="4B522A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14:paraId="2A24F02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14:paraId="661E9695" w14:textId="6D950267" w:rsidR="00007225" w:rsidRPr="00F410C6" w:rsidRDefault="00F07F0D" w:rsidP="00BC533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2006年2月20日刊登公告自2006年2月23日起开通</w:t>
      </w:r>
      <w:r w:rsidR="007D5055">
        <w:rPr>
          <w:rFonts w:ascii="宋体" w:hAnsi="宋体" w:hint="eastAsia"/>
          <w:sz w:val="24"/>
        </w:rPr>
        <w:t>A类基金份额的</w:t>
      </w:r>
      <w:r>
        <w:rPr>
          <w:rFonts w:ascii="宋体" w:hAnsi="宋体"/>
          <w:sz w:val="24"/>
        </w:rPr>
        <w:t>定期定额投资计划业务，</w:t>
      </w:r>
      <w:r w:rsidR="007D5055" w:rsidRPr="007D5055">
        <w:rPr>
          <w:rFonts w:ascii="宋体" w:hAnsi="宋体" w:hint="eastAsia"/>
          <w:sz w:val="24"/>
        </w:rPr>
        <w:t>本基金</w:t>
      </w:r>
      <w:r w:rsidR="007D5055">
        <w:rPr>
          <w:rFonts w:ascii="宋体" w:hAnsi="宋体" w:hint="eastAsia"/>
          <w:sz w:val="24"/>
        </w:rPr>
        <w:t>202</w:t>
      </w:r>
      <w:r w:rsidR="007D5055">
        <w:rPr>
          <w:rFonts w:ascii="宋体" w:hAnsi="宋体"/>
          <w:sz w:val="24"/>
        </w:rPr>
        <w:t>4</w:t>
      </w:r>
      <w:r w:rsidR="007D5055" w:rsidRPr="007D5055">
        <w:rPr>
          <w:rFonts w:ascii="宋体" w:hAnsi="宋体" w:hint="eastAsia"/>
          <w:sz w:val="24"/>
        </w:rPr>
        <w:t>年</w:t>
      </w:r>
      <w:r w:rsidR="00780942">
        <w:rPr>
          <w:rFonts w:ascii="宋体" w:hAnsi="宋体"/>
          <w:sz w:val="24"/>
        </w:rPr>
        <w:t>2</w:t>
      </w:r>
      <w:r w:rsidR="007D5055" w:rsidRPr="007D5055">
        <w:rPr>
          <w:rFonts w:ascii="宋体" w:hAnsi="宋体" w:hint="eastAsia"/>
          <w:sz w:val="24"/>
        </w:rPr>
        <w:t>月</w:t>
      </w:r>
      <w:r w:rsidR="00780942">
        <w:rPr>
          <w:rFonts w:ascii="宋体" w:hAnsi="宋体"/>
          <w:sz w:val="24"/>
        </w:rPr>
        <w:t>29</w:t>
      </w:r>
      <w:r w:rsidR="007D5055" w:rsidRPr="007D5055">
        <w:rPr>
          <w:rFonts w:ascii="宋体" w:hAnsi="宋体" w:hint="eastAsia"/>
          <w:sz w:val="24"/>
        </w:rPr>
        <w:t>日刊登公告自</w:t>
      </w:r>
      <w:r w:rsidR="007D5055">
        <w:rPr>
          <w:rFonts w:ascii="宋体" w:hAnsi="宋体" w:hint="eastAsia"/>
          <w:sz w:val="24"/>
        </w:rPr>
        <w:t>202</w:t>
      </w:r>
      <w:r w:rsidR="007D5055">
        <w:rPr>
          <w:rFonts w:ascii="宋体" w:hAnsi="宋体"/>
          <w:sz w:val="24"/>
        </w:rPr>
        <w:t>4</w:t>
      </w:r>
      <w:r w:rsidR="007D5055" w:rsidRPr="007D5055">
        <w:rPr>
          <w:rFonts w:ascii="宋体" w:hAnsi="宋体" w:hint="eastAsia"/>
          <w:sz w:val="24"/>
        </w:rPr>
        <w:t>年</w:t>
      </w:r>
      <w:r w:rsidR="00780942">
        <w:rPr>
          <w:rFonts w:ascii="宋体" w:hAnsi="宋体" w:hint="eastAsia"/>
          <w:sz w:val="24"/>
        </w:rPr>
        <w:t>3</w:t>
      </w:r>
      <w:r w:rsidR="007D5055" w:rsidRPr="007D5055">
        <w:rPr>
          <w:rFonts w:ascii="宋体" w:hAnsi="宋体" w:hint="eastAsia"/>
          <w:sz w:val="24"/>
        </w:rPr>
        <w:t>月</w:t>
      </w:r>
      <w:r w:rsidR="00780942">
        <w:rPr>
          <w:rFonts w:ascii="宋体" w:hAnsi="宋体" w:hint="eastAsia"/>
          <w:sz w:val="24"/>
        </w:rPr>
        <w:t>5</w:t>
      </w:r>
      <w:r w:rsidR="007D5055" w:rsidRPr="007D5055">
        <w:rPr>
          <w:rFonts w:ascii="宋体" w:hAnsi="宋体" w:hint="eastAsia"/>
          <w:sz w:val="24"/>
        </w:rPr>
        <w:t>日起增设</w:t>
      </w:r>
      <w:r w:rsidR="007D5055">
        <w:rPr>
          <w:rFonts w:ascii="宋体" w:hAnsi="宋体"/>
          <w:sz w:val="24"/>
        </w:rPr>
        <w:t>C</w:t>
      </w:r>
      <w:r w:rsidR="007D5055">
        <w:rPr>
          <w:rFonts w:ascii="宋体" w:hAnsi="宋体" w:hint="eastAsia"/>
          <w:sz w:val="24"/>
        </w:rPr>
        <w:t>类基金份额和</w:t>
      </w:r>
      <w:r w:rsidR="007D5055" w:rsidRPr="007D5055">
        <w:rPr>
          <w:rFonts w:ascii="宋体" w:hAnsi="宋体" w:hint="eastAsia"/>
          <w:sz w:val="24"/>
        </w:rPr>
        <w:t>D类基金份额并开通</w:t>
      </w:r>
      <w:r w:rsidR="002415F1">
        <w:rPr>
          <w:rFonts w:ascii="宋体" w:hAnsi="宋体"/>
          <w:sz w:val="24"/>
        </w:rPr>
        <w:t>C</w:t>
      </w:r>
      <w:r w:rsidR="002415F1">
        <w:rPr>
          <w:rFonts w:ascii="宋体" w:hAnsi="宋体" w:hint="eastAsia"/>
          <w:sz w:val="24"/>
        </w:rPr>
        <w:t>类基金份额和</w:t>
      </w:r>
      <w:r w:rsidR="007D5055" w:rsidRPr="007D5055">
        <w:rPr>
          <w:rFonts w:ascii="宋体" w:hAnsi="宋体" w:hint="eastAsia"/>
          <w:sz w:val="24"/>
        </w:rPr>
        <w:t>D类基金份额的定期定额投资计划业务，</w:t>
      </w:r>
      <w:r>
        <w:rPr>
          <w:rFonts w:ascii="宋体" w:hAnsi="宋体"/>
          <w:sz w:val="24"/>
        </w:rPr>
        <w:t>具体开通销售机构名单和业务规则参见相关公告。</w:t>
      </w:r>
    </w:p>
    <w:p w14:paraId="3E83C0B9"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（十四）定期定额赎回业务</w:t>
      </w:r>
    </w:p>
    <w:p w14:paraId="5F8556F1" w14:textId="3806C65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月18日刊登公告自即日起在中国农业银行股份有限公司下属各代销网点开通</w:t>
      </w:r>
      <w:r w:rsidR="00D104D4">
        <w:rPr>
          <w:rFonts w:ascii="宋体" w:hAnsi="宋体" w:hint="eastAsia"/>
          <w:sz w:val="24"/>
        </w:rPr>
        <w:t>A类基金份额的</w:t>
      </w:r>
      <w:r>
        <w:rPr>
          <w:rFonts w:ascii="宋体" w:hAnsi="宋体"/>
          <w:sz w:val="24"/>
        </w:rPr>
        <w:t>定期定额赎回业务。</w:t>
      </w:r>
    </w:p>
    <w:p w14:paraId="19653E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5C141F9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（十五）基金的非交易过户</w:t>
      </w:r>
    </w:p>
    <w:p w14:paraId="0B0D85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基金注册登记机构只受理继承、捐赠、司法强制执行和经注册登记机构认可的其他情况下的非交易过户。无论在上述何种情况下，接受划转的主体必须是依法可投资于本基金的个人投资者或机构投资者。</w:t>
      </w:r>
    </w:p>
    <w:p w14:paraId="20C2AE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按基金注册登记机构的规定办理，并按基金注册登记机构规定的标准收费。</w:t>
      </w:r>
    </w:p>
    <w:p w14:paraId="67B43E3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（十六）基金份额的升级和降级</w:t>
      </w:r>
    </w:p>
    <w:p w14:paraId="08C4EC74" w14:textId="53924DA9" w:rsidR="00007225" w:rsidRDefault="00D104D4">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自2</w:t>
      </w:r>
      <w:r>
        <w:rPr>
          <w:rFonts w:ascii="宋体" w:hAnsi="宋体"/>
          <w:sz w:val="24"/>
        </w:rPr>
        <w:t>007</w:t>
      </w:r>
      <w:r>
        <w:rPr>
          <w:rFonts w:ascii="宋体" w:hAnsi="宋体" w:hint="eastAsia"/>
          <w:sz w:val="24"/>
        </w:rPr>
        <w:t>年6月2</w:t>
      </w:r>
      <w:r>
        <w:rPr>
          <w:rFonts w:ascii="宋体" w:hAnsi="宋体"/>
          <w:sz w:val="24"/>
        </w:rPr>
        <w:t>2</w:t>
      </w:r>
      <w:r>
        <w:rPr>
          <w:rFonts w:ascii="宋体" w:hAnsi="宋体" w:hint="eastAsia"/>
          <w:sz w:val="24"/>
        </w:rPr>
        <w:t>日起</w:t>
      </w:r>
      <w:r w:rsidR="00F07F0D">
        <w:rPr>
          <w:rFonts w:ascii="宋体" w:hAnsi="宋体"/>
          <w:sz w:val="24"/>
        </w:rPr>
        <w:t>，在基金存续期内的任何一个工作日，若基金份额持有人在单个基金账户内保留的A</w:t>
      </w:r>
      <w:r w:rsidR="00AD7C35">
        <w:rPr>
          <w:rFonts w:ascii="宋体" w:hAnsi="宋体" w:hint="eastAsia"/>
          <w:sz w:val="24"/>
        </w:rPr>
        <w:t>类</w:t>
      </w:r>
      <w:r w:rsidR="00F07F0D">
        <w:rPr>
          <w:rFonts w:ascii="宋体" w:hAnsi="宋体"/>
          <w:sz w:val="24"/>
        </w:rPr>
        <w:t>基金份额达到或超过500万份，本基金的注册登记机构自动将其单个基金账户内持有的A</w:t>
      </w:r>
      <w:r w:rsidR="00AD7C35">
        <w:rPr>
          <w:rFonts w:ascii="宋体" w:hAnsi="宋体" w:hint="eastAsia"/>
          <w:sz w:val="24"/>
        </w:rPr>
        <w:t>类</w:t>
      </w:r>
      <w:r w:rsidR="00F07F0D">
        <w:rPr>
          <w:rFonts w:ascii="宋体" w:hAnsi="宋体"/>
          <w:sz w:val="24"/>
        </w:rPr>
        <w:t>基金份额升级为B</w:t>
      </w:r>
      <w:r w:rsidR="00AD7C35">
        <w:rPr>
          <w:rFonts w:ascii="宋体" w:hAnsi="宋体" w:hint="eastAsia"/>
          <w:sz w:val="24"/>
        </w:rPr>
        <w:t>类</w:t>
      </w:r>
      <w:r w:rsidR="00F07F0D">
        <w:rPr>
          <w:rFonts w:ascii="宋体" w:hAnsi="宋体"/>
          <w:sz w:val="24"/>
        </w:rPr>
        <w:t>基金份额，并于升级当日起享受B</w:t>
      </w:r>
      <w:r w:rsidR="00AD7C35">
        <w:rPr>
          <w:rFonts w:ascii="宋体" w:hAnsi="宋体" w:hint="eastAsia"/>
          <w:sz w:val="24"/>
        </w:rPr>
        <w:t>类</w:t>
      </w:r>
      <w:r w:rsidR="00F07F0D">
        <w:rPr>
          <w:rFonts w:ascii="宋体" w:hAnsi="宋体"/>
          <w:sz w:val="24"/>
        </w:rPr>
        <w:t>基金份额的收益。投资者可于升级日后的第一个工作日起对升级后的基金份额提交赎回、转换出及转托管申请。</w:t>
      </w:r>
    </w:p>
    <w:p w14:paraId="05AFD165" w14:textId="019B58E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基金份额持有人在单个基金账户内保留的B</w:t>
      </w:r>
      <w:r w:rsidR="00E61574">
        <w:rPr>
          <w:rFonts w:ascii="宋体" w:hAnsi="宋体" w:hint="eastAsia"/>
          <w:sz w:val="24"/>
        </w:rPr>
        <w:t>类</w:t>
      </w:r>
      <w:r>
        <w:rPr>
          <w:rFonts w:ascii="宋体" w:hAnsi="宋体"/>
          <w:sz w:val="24"/>
        </w:rPr>
        <w:t>基金份额的最低余额为500万份(包含500万份)。若基金份额持有人在单个基金账户内保留的B</w:t>
      </w:r>
      <w:r w:rsidR="00E61574">
        <w:rPr>
          <w:rFonts w:ascii="宋体" w:hAnsi="宋体" w:hint="eastAsia"/>
          <w:sz w:val="24"/>
        </w:rPr>
        <w:t>类</w:t>
      </w:r>
      <w:r>
        <w:rPr>
          <w:rFonts w:ascii="宋体" w:hAnsi="宋体"/>
          <w:sz w:val="24"/>
        </w:rPr>
        <w:t>基金份额低于500万份，本基金的注册登记机构自动将其在单个基金账户内持有的B</w:t>
      </w:r>
      <w:r w:rsidR="001B1F8C">
        <w:rPr>
          <w:rFonts w:ascii="宋体" w:hAnsi="宋体" w:hint="eastAsia"/>
          <w:sz w:val="24"/>
        </w:rPr>
        <w:t>类</w:t>
      </w:r>
      <w:r>
        <w:rPr>
          <w:rFonts w:ascii="宋体" w:hAnsi="宋体"/>
          <w:sz w:val="24"/>
        </w:rPr>
        <w:t>基金份额降级为A</w:t>
      </w:r>
      <w:r w:rsidR="00286EE9">
        <w:rPr>
          <w:rFonts w:ascii="宋体" w:hAnsi="宋体" w:hint="eastAsia"/>
          <w:sz w:val="24"/>
        </w:rPr>
        <w:t>类</w:t>
      </w:r>
      <w:r>
        <w:rPr>
          <w:rFonts w:ascii="宋体" w:hAnsi="宋体"/>
          <w:sz w:val="24"/>
        </w:rPr>
        <w:t>基金份额，并于降级当日起享受A</w:t>
      </w:r>
      <w:r w:rsidR="001B1F8C">
        <w:rPr>
          <w:rFonts w:ascii="宋体" w:hAnsi="宋体" w:hint="eastAsia"/>
          <w:sz w:val="24"/>
        </w:rPr>
        <w:t>类</w:t>
      </w:r>
      <w:r>
        <w:rPr>
          <w:rFonts w:ascii="宋体" w:hAnsi="宋体"/>
          <w:sz w:val="24"/>
        </w:rPr>
        <w:t>基金份额的收益。投资者可于降级日后的第一个工作日起对降级后的基金份额提交赎回、转换出及转托管申请。</w:t>
      </w:r>
    </w:p>
    <w:p w14:paraId="4500CC75" w14:textId="26F97BAD" w:rsidR="00007225"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如果注册登记机构在T日对投资者持有的基金份额进行了升降级处理，那么投资者在该日对升降级前的基金份额提交的赎回、转换出和转托管等交易申请将被确认失败，基金管理人不承担由此造成的一切损失。从T＋1日起，投资者可以正常提交上述交易申请。基金份额升降级的相关规则由基金管理人制定。</w:t>
      </w:r>
    </w:p>
    <w:p w14:paraId="4C0A7024" w14:textId="62D855F2" w:rsidR="00D95875" w:rsidRPr="00F410C6" w:rsidRDefault="00D95875" w:rsidP="00D95875">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C</w:t>
      </w:r>
      <w:r w:rsidRPr="00785A2E">
        <w:rPr>
          <w:rFonts w:ascii="宋体" w:hAnsi="宋体" w:hint="eastAsia"/>
          <w:sz w:val="24"/>
        </w:rPr>
        <w:t>类基金份额和</w:t>
      </w:r>
      <w:r>
        <w:rPr>
          <w:rFonts w:ascii="宋体" w:hAnsi="宋体" w:hint="eastAsia"/>
          <w:sz w:val="24"/>
        </w:rPr>
        <w:t>D类基金份额</w:t>
      </w:r>
      <w:r w:rsidRPr="00EF3F78">
        <w:rPr>
          <w:rFonts w:ascii="宋体" w:hAnsi="宋体" w:hint="eastAsia"/>
          <w:sz w:val="24"/>
        </w:rPr>
        <w:t>不</w:t>
      </w:r>
      <w:r w:rsidR="005C67B6" w:rsidRPr="004E4281">
        <w:rPr>
          <w:rFonts w:ascii="宋体" w:hAnsi="宋体" w:hint="eastAsia"/>
          <w:sz w:val="24"/>
        </w:rPr>
        <w:t>适用上述</w:t>
      </w:r>
      <w:r w:rsidR="005C67B6">
        <w:rPr>
          <w:rFonts w:ascii="宋体" w:hAnsi="宋体" w:hint="eastAsia"/>
          <w:sz w:val="24"/>
        </w:rPr>
        <w:t>基金</w:t>
      </w:r>
      <w:r w:rsidR="005C67B6" w:rsidRPr="004E4281">
        <w:rPr>
          <w:rFonts w:ascii="宋体" w:hAnsi="宋体" w:hint="eastAsia"/>
          <w:sz w:val="24"/>
        </w:rPr>
        <w:t>份额升降级机制</w:t>
      </w:r>
      <w:r w:rsidRPr="00EF3F78">
        <w:rPr>
          <w:rFonts w:ascii="宋体" w:hAnsi="宋体" w:hint="eastAsia"/>
          <w:sz w:val="24"/>
        </w:rPr>
        <w:t>。</w:t>
      </w:r>
    </w:p>
    <w:p w14:paraId="4AB08A4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（十七）基金的冻结与解冻</w:t>
      </w:r>
    </w:p>
    <w:p w14:paraId="71B4D3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基金注册登记机构只受理国家有权机关依法要求的基金份额的冻结与解冻，以及注册登记机构认可的其他情况下的冻结与解冻。</w:t>
      </w:r>
    </w:p>
    <w:p w14:paraId="41127C9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42438E" w14:textId="77777777" w:rsidR="00007225" w:rsidRDefault="00F07F0D">
      <w:pPr>
        <w:pStyle w:val="1"/>
        <w:snapToGrid w:val="0"/>
        <w:spacing w:beforeLines="0" w:before="240" w:after="240"/>
        <w:rPr>
          <w:rFonts w:ascii="宋体" w:hAnsi="宋体"/>
          <w:szCs w:val="30"/>
        </w:rPr>
      </w:pPr>
      <w:bookmarkStart w:id="13" w:name="_Toc160021641"/>
      <w:r>
        <w:rPr>
          <w:rFonts w:ascii="Times New Roman" w:hAnsi="Times New Roman"/>
          <w:sz w:val="30"/>
        </w:rPr>
        <w:lastRenderedPageBreak/>
        <w:t>十、基金的转换</w:t>
      </w:r>
      <w:bookmarkEnd w:id="13"/>
    </w:p>
    <w:p w14:paraId="7226A03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14:paraId="4EDD1ABF" w14:textId="60B11E4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r w:rsidR="00ED6D7A">
        <w:rPr>
          <w:rFonts w:ascii="宋体" w:hAnsi="宋体"/>
          <w:sz w:val="24"/>
        </w:rPr>
        <w:t>转换的两只基金必须都是该销售机构代理的同一基金管理人管理的、在同一注册登记机构处注册登记的、同一收费模式的开放式基金。</w:t>
      </w:r>
    </w:p>
    <w:p w14:paraId="1357F73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14:paraId="30B3CD0D" w14:textId="51766E1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本基金2006年2月20日刊登公告自2006年2月23日起开放</w:t>
      </w:r>
      <w:r w:rsidR="00A56515">
        <w:rPr>
          <w:rFonts w:ascii="宋体" w:hAnsi="宋体" w:hint="eastAsia"/>
          <w:sz w:val="24"/>
        </w:rPr>
        <w:t>A类基金份额的</w:t>
      </w:r>
      <w:r>
        <w:rPr>
          <w:rFonts w:ascii="宋体" w:hAnsi="宋体"/>
          <w:sz w:val="24"/>
        </w:rPr>
        <w:t>日常转换业务</w:t>
      </w:r>
      <w:r w:rsidR="00E16421" w:rsidRPr="00CA5D95">
        <w:rPr>
          <w:rFonts w:ascii="宋体" w:hAnsi="宋体" w:hint="eastAsia"/>
          <w:sz w:val="24"/>
        </w:rPr>
        <w:t>，</w:t>
      </w:r>
      <w:r w:rsidR="00BC5336" w:rsidRPr="007D5055">
        <w:rPr>
          <w:rFonts w:ascii="宋体" w:hAnsi="宋体" w:hint="eastAsia"/>
          <w:sz w:val="24"/>
        </w:rPr>
        <w:t>本基金</w:t>
      </w:r>
      <w:r w:rsidR="00BC5336">
        <w:rPr>
          <w:rFonts w:ascii="宋体" w:hAnsi="宋体" w:hint="eastAsia"/>
          <w:sz w:val="24"/>
        </w:rPr>
        <w:t>20</w:t>
      </w:r>
      <w:r w:rsidR="00BC5336">
        <w:rPr>
          <w:rFonts w:ascii="宋体" w:hAnsi="宋体"/>
          <w:sz w:val="24"/>
        </w:rPr>
        <w:t>07</w:t>
      </w:r>
      <w:r w:rsidR="00BC5336" w:rsidRPr="007D5055">
        <w:rPr>
          <w:rFonts w:ascii="宋体" w:hAnsi="宋体" w:hint="eastAsia"/>
          <w:sz w:val="24"/>
        </w:rPr>
        <w:t>年</w:t>
      </w:r>
      <w:r w:rsidR="00BC5336">
        <w:rPr>
          <w:rFonts w:ascii="宋体" w:hAnsi="宋体"/>
          <w:sz w:val="24"/>
        </w:rPr>
        <w:t>6</w:t>
      </w:r>
      <w:r w:rsidR="00BC5336" w:rsidRPr="007D5055">
        <w:rPr>
          <w:rFonts w:ascii="宋体" w:hAnsi="宋体" w:hint="eastAsia"/>
          <w:sz w:val="24"/>
        </w:rPr>
        <w:t>月</w:t>
      </w:r>
      <w:r w:rsidR="00BC5336">
        <w:rPr>
          <w:rFonts w:ascii="宋体" w:hAnsi="宋体"/>
          <w:sz w:val="24"/>
        </w:rPr>
        <w:t>15</w:t>
      </w:r>
      <w:r w:rsidR="00BC5336" w:rsidRPr="007D5055">
        <w:rPr>
          <w:rFonts w:ascii="宋体" w:hAnsi="宋体" w:hint="eastAsia"/>
          <w:sz w:val="24"/>
        </w:rPr>
        <w:t>日刊登公告自</w:t>
      </w:r>
      <w:r w:rsidR="00BC5336">
        <w:rPr>
          <w:rFonts w:ascii="宋体" w:hAnsi="宋体" w:hint="eastAsia"/>
          <w:sz w:val="24"/>
        </w:rPr>
        <w:t>20</w:t>
      </w:r>
      <w:r w:rsidR="00BC5336">
        <w:rPr>
          <w:rFonts w:ascii="宋体" w:hAnsi="宋体"/>
          <w:sz w:val="24"/>
        </w:rPr>
        <w:t>07</w:t>
      </w:r>
      <w:r w:rsidR="00BC5336" w:rsidRPr="007D5055">
        <w:rPr>
          <w:rFonts w:ascii="宋体" w:hAnsi="宋体" w:hint="eastAsia"/>
          <w:sz w:val="24"/>
        </w:rPr>
        <w:t>年</w:t>
      </w:r>
      <w:r w:rsidR="00BC5336">
        <w:rPr>
          <w:rFonts w:ascii="宋体" w:hAnsi="宋体" w:hint="eastAsia"/>
          <w:sz w:val="24"/>
        </w:rPr>
        <w:t>6</w:t>
      </w:r>
      <w:r w:rsidR="00BC5336" w:rsidRPr="007D5055">
        <w:rPr>
          <w:rFonts w:ascii="宋体" w:hAnsi="宋体" w:hint="eastAsia"/>
          <w:sz w:val="24"/>
        </w:rPr>
        <w:t>月</w:t>
      </w:r>
      <w:r w:rsidR="00BC5336">
        <w:rPr>
          <w:rFonts w:ascii="宋体" w:hAnsi="宋体" w:hint="eastAsia"/>
          <w:sz w:val="24"/>
        </w:rPr>
        <w:t>2</w:t>
      </w:r>
      <w:r w:rsidR="00BC5336">
        <w:rPr>
          <w:rFonts w:ascii="宋体" w:hAnsi="宋体"/>
          <w:sz w:val="24"/>
        </w:rPr>
        <w:t>2</w:t>
      </w:r>
      <w:r w:rsidR="00BC5336" w:rsidRPr="007D5055">
        <w:rPr>
          <w:rFonts w:ascii="宋体" w:hAnsi="宋体" w:hint="eastAsia"/>
          <w:sz w:val="24"/>
        </w:rPr>
        <w:t>日起</w:t>
      </w:r>
      <w:r w:rsidR="00BC5336">
        <w:rPr>
          <w:rFonts w:ascii="宋体" w:hAnsi="宋体" w:hint="eastAsia"/>
          <w:sz w:val="24"/>
        </w:rPr>
        <w:t>实行销售服务费分级收费方式并于2</w:t>
      </w:r>
      <w:r w:rsidR="00BC5336">
        <w:rPr>
          <w:rFonts w:ascii="宋体" w:hAnsi="宋体"/>
          <w:sz w:val="24"/>
        </w:rPr>
        <w:t>007</w:t>
      </w:r>
      <w:r w:rsidR="00BC5336">
        <w:rPr>
          <w:rFonts w:ascii="宋体" w:hAnsi="宋体" w:hint="eastAsia"/>
          <w:sz w:val="24"/>
        </w:rPr>
        <w:t>年6月2</w:t>
      </w:r>
      <w:r w:rsidR="00BC5336">
        <w:rPr>
          <w:rFonts w:ascii="宋体" w:hAnsi="宋体"/>
          <w:sz w:val="24"/>
        </w:rPr>
        <w:t>5</w:t>
      </w:r>
      <w:r w:rsidR="00BC5336">
        <w:rPr>
          <w:rFonts w:ascii="宋体" w:hAnsi="宋体" w:hint="eastAsia"/>
          <w:sz w:val="24"/>
        </w:rPr>
        <w:t>日起</w:t>
      </w:r>
      <w:r w:rsidR="00BC5336" w:rsidRPr="007D5055">
        <w:rPr>
          <w:rFonts w:ascii="宋体" w:hAnsi="宋体" w:hint="eastAsia"/>
          <w:sz w:val="24"/>
        </w:rPr>
        <w:t>开通</w:t>
      </w:r>
      <w:r w:rsidR="00BC5336">
        <w:rPr>
          <w:rFonts w:ascii="宋体" w:hAnsi="宋体"/>
          <w:sz w:val="24"/>
        </w:rPr>
        <w:t>B</w:t>
      </w:r>
      <w:r w:rsidR="00BC5336">
        <w:rPr>
          <w:rFonts w:ascii="宋体" w:hAnsi="宋体" w:hint="eastAsia"/>
          <w:sz w:val="24"/>
        </w:rPr>
        <w:t>类基金份额</w:t>
      </w:r>
      <w:r w:rsidR="00FF1813">
        <w:rPr>
          <w:rFonts w:ascii="宋体" w:hAnsi="宋体" w:hint="eastAsia"/>
          <w:sz w:val="24"/>
        </w:rPr>
        <w:t>的</w:t>
      </w:r>
      <w:r w:rsidR="00FF1813">
        <w:rPr>
          <w:rFonts w:ascii="宋体" w:hAnsi="宋体"/>
          <w:sz w:val="24"/>
        </w:rPr>
        <w:t>日常转换业务</w:t>
      </w:r>
      <w:r w:rsidR="00BC5336" w:rsidRPr="007D5055">
        <w:rPr>
          <w:rFonts w:ascii="宋体" w:hAnsi="宋体" w:hint="eastAsia"/>
          <w:sz w:val="24"/>
        </w:rPr>
        <w:t>，</w:t>
      </w:r>
      <w:r w:rsidR="00E16421" w:rsidRPr="00CA5D95">
        <w:rPr>
          <w:rFonts w:ascii="宋体" w:hAnsi="宋体" w:hint="eastAsia"/>
          <w:sz w:val="24"/>
        </w:rPr>
        <w:t>本基金</w:t>
      </w:r>
      <w:r w:rsidR="00E16421">
        <w:rPr>
          <w:rFonts w:ascii="宋体" w:hAnsi="宋体" w:hint="eastAsia"/>
          <w:sz w:val="24"/>
        </w:rPr>
        <w:t>202</w:t>
      </w:r>
      <w:r w:rsidR="00E16421">
        <w:rPr>
          <w:rFonts w:ascii="宋体" w:hAnsi="宋体"/>
          <w:sz w:val="24"/>
        </w:rPr>
        <w:t>4</w:t>
      </w:r>
      <w:r w:rsidR="00E16421" w:rsidRPr="00CA5D95">
        <w:rPr>
          <w:rFonts w:ascii="宋体" w:hAnsi="宋体" w:hint="eastAsia"/>
          <w:sz w:val="24"/>
        </w:rPr>
        <w:t>年</w:t>
      </w:r>
      <w:r w:rsidR="00780942">
        <w:rPr>
          <w:rFonts w:ascii="宋体" w:hAnsi="宋体"/>
          <w:sz w:val="24"/>
        </w:rPr>
        <w:t>2</w:t>
      </w:r>
      <w:r w:rsidR="00E16421" w:rsidRPr="00CA5D95">
        <w:rPr>
          <w:rFonts w:ascii="宋体" w:hAnsi="宋体" w:hint="eastAsia"/>
          <w:sz w:val="24"/>
        </w:rPr>
        <w:t>月</w:t>
      </w:r>
      <w:r w:rsidR="00780942">
        <w:rPr>
          <w:rFonts w:ascii="宋体" w:hAnsi="宋体"/>
          <w:sz w:val="24"/>
        </w:rPr>
        <w:t>29</w:t>
      </w:r>
      <w:r w:rsidR="00E16421" w:rsidRPr="00CA5D95">
        <w:rPr>
          <w:rFonts w:ascii="宋体" w:hAnsi="宋体" w:hint="eastAsia"/>
          <w:sz w:val="24"/>
        </w:rPr>
        <w:t>日刊登公告自</w:t>
      </w:r>
      <w:r w:rsidR="00E16421">
        <w:rPr>
          <w:rFonts w:ascii="宋体" w:hAnsi="宋体" w:hint="eastAsia"/>
          <w:sz w:val="24"/>
        </w:rPr>
        <w:t>202</w:t>
      </w:r>
      <w:r w:rsidR="00E16421">
        <w:rPr>
          <w:rFonts w:ascii="宋体" w:hAnsi="宋体"/>
          <w:sz w:val="24"/>
        </w:rPr>
        <w:t>4</w:t>
      </w:r>
      <w:r w:rsidR="00E16421" w:rsidRPr="00CA5D95">
        <w:rPr>
          <w:rFonts w:ascii="宋体" w:hAnsi="宋体" w:hint="eastAsia"/>
          <w:sz w:val="24"/>
        </w:rPr>
        <w:t>年</w:t>
      </w:r>
      <w:r w:rsidR="00780942">
        <w:rPr>
          <w:rFonts w:ascii="宋体" w:hAnsi="宋体" w:hint="eastAsia"/>
          <w:sz w:val="24"/>
        </w:rPr>
        <w:t>3</w:t>
      </w:r>
      <w:r w:rsidR="00E16421" w:rsidRPr="00CA5D95">
        <w:rPr>
          <w:rFonts w:ascii="宋体" w:hAnsi="宋体" w:hint="eastAsia"/>
          <w:sz w:val="24"/>
        </w:rPr>
        <w:t>月</w:t>
      </w:r>
      <w:r w:rsidR="00780942">
        <w:rPr>
          <w:rFonts w:ascii="宋体" w:hAnsi="宋体" w:hint="eastAsia"/>
          <w:sz w:val="24"/>
        </w:rPr>
        <w:t>5</w:t>
      </w:r>
      <w:r w:rsidR="00E16421" w:rsidRPr="00CA5D95">
        <w:rPr>
          <w:rFonts w:ascii="宋体" w:hAnsi="宋体" w:hint="eastAsia"/>
          <w:sz w:val="24"/>
        </w:rPr>
        <w:t>日起增设</w:t>
      </w:r>
      <w:r w:rsidR="00E16421">
        <w:rPr>
          <w:rFonts w:ascii="宋体" w:hAnsi="宋体"/>
          <w:sz w:val="24"/>
        </w:rPr>
        <w:t>C</w:t>
      </w:r>
      <w:r w:rsidR="00E16421">
        <w:rPr>
          <w:rFonts w:ascii="宋体" w:hAnsi="宋体" w:hint="eastAsia"/>
          <w:sz w:val="24"/>
        </w:rPr>
        <w:t>类基金份额和</w:t>
      </w:r>
      <w:r w:rsidR="00E16421" w:rsidRPr="00CA5D95">
        <w:rPr>
          <w:rFonts w:ascii="宋体" w:hAnsi="宋体" w:hint="eastAsia"/>
          <w:sz w:val="24"/>
        </w:rPr>
        <w:t>D类基金份额并开通</w:t>
      </w:r>
      <w:r w:rsidR="00E16421">
        <w:rPr>
          <w:rFonts w:ascii="宋体" w:hAnsi="宋体"/>
          <w:sz w:val="24"/>
        </w:rPr>
        <w:t>C</w:t>
      </w:r>
      <w:r w:rsidR="00E16421">
        <w:rPr>
          <w:rFonts w:ascii="宋体" w:hAnsi="宋体" w:hint="eastAsia"/>
          <w:sz w:val="24"/>
        </w:rPr>
        <w:t>类基金份额和</w:t>
      </w:r>
      <w:r w:rsidR="00E16421" w:rsidRPr="00CA5D95">
        <w:rPr>
          <w:rFonts w:ascii="宋体" w:hAnsi="宋体" w:hint="eastAsia"/>
          <w:sz w:val="24"/>
        </w:rPr>
        <w:t>D类基金份额的日常转换业务</w:t>
      </w:r>
      <w:r>
        <w:rPr>
          <w:rFonts w:ascii="宋体" w:hAnsi="宋体"/>
          <w:sz w:val="24"/>
        </w:rPr>
        <w:t>。</w:t>
      </w:r>
    </w:p>
    <w:p w14:paraId="7CCE3D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0F2A44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63864A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31D522B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14:paraId="58A239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628972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4E0843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2E146C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608274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w:t>
      </w:r>
      <w:r>
        <w:rPr>
          <w:rFonts w:ascii="宋体" w:hAnsi="宋体"/>
          <w:sz w:val="24"/>
        </w:rPr>
        <w:lastRenderedPageBreak/>
        <w:t>日）投资人可向销售机构查询基金转换的成交情况，并有权转换或赎回该部分基金份额。</w:t>
      </w:r>
    </w:p>
    <w:p w14:paraId="07C0538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14:paraId="78500C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31F3AA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6BEC5E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65F2412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14:paraId="19BA10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1229BC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663091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7AFE95AE" w14:textId="0586E82A" w:rsidR="00ED6D7A" w:rsidRDefault="00F07F0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sidR="00ED6D7A">
        <w:rPr>
          <w:rFonts w:ascii="宋体" w:hAnsi="宋体"/>
          <w:sz w:val="24"/>
        </w:rPr>
        <w:t>转出与转入基金</w:t>
      </w:r>
      <w:r w:rsidR="00ED6D7A">
        <w:rPr>
          <w:rFonts w:ascii="宋体" w:hAnsi="宋体" w:hint="eastAsia"/>
          <w:sz w:val="24"/>
        </w:rPr>
        <w:t>的</w:t>
      </w:r>
      <w:r w:rsidR="00ED6D7A">
        <w:rPr>
          <w:rFonts w:ascii="宋体" w:hAnsi="宋体"/>
          <w:sz w:val="24"/>
        </w:rPr>
        <w:t>申购补差费用</w:t>
      </w:r>
    </w:p>
    <w:p w14:paraId="62B8E081" w14:textId="286C47C9" w:rsidR="00ED6D7A" w:rsidRDefault="00ED6D7A">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（1）对于</w:t>
      </w:r>
      <w:r w:rsidRPr="00785A2E">
        <w:rPr>
          <w:rFonts w:ascii="宋体" w:hAnsi="宋体" w:hint="eastAsia"/>
          <w:sz w:val="24"/>
        </w:rPr>
        <w:t>注册登记机构为中国证券登记结算有限责任公司</w:t>
      </w:r>
      <w:r>
        <w:rPr>
          <w:rFonts w:ascii="宋体" w:hAnsi="宋体" w:hint="eastAsia"/>
          <w:sz w:val="24"/>
        </w:rPr>
        <w:t>的A类基金份额和B类基金份额：</w:t>
      </w:r>
    </w:p>
    <w:p w14:paraId="705CEEBF" w14:textId="3BE0CD46" w:rsidR="00007225" w:rsidRDefault="00ED6D7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F07F0D">
        <w:rPr>
          <w:rFonts w:ascii="宋体" w:hAnsi="宋体"/>
          <w:sz w:val="24"/>
        </w:rPr>
        <w:t>前端收费模式下转出与转入基金的申购补差费用</w:t>
      </w:r>
    </w:p>
    <w:p w14:paraId="384007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w:t>
      </w:r>
      <w:r>
        <w:rPr>
          <w:rFonts w:ascii="宋体" w:hAnsi="宋体"/>
          <w:sz w:val="24"/>
        </w:rPr>
        <w:lastRenderedPageBreak/>
        <w:t>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0B782B67" w14:textId="5197340D" w:rsidR="00007225" w:rsidRDefault="00ED6D7A">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2）</w:t>
      </w:r>
      <w:r w:rsidR="00F07F0D">
        <w:rPr>
          <w:rFonts w:ascii="宋体" w:hAnsi="宋体"/>
          <w:sz w:val="24"/>
        </w:rPr>
        <w:t>后端收费模式下转出与转入基金的申购补差费用</w:t>
      </w:r>
    </w:p>
    <w:p w14:paraId="1C25BF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6630646" w14:textId="147EC3D5" w:rsidR="00ED6D7A" w:rsidRDefault="00ED6D7A" w:rsidP="00ED6D7A">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（2）对于</w:t>
      </w:r>
      <w:r w:rsidRPr="00785A2E">
        <w:rPr>
          <w:rFonts w:ascii="宋体" w:hAnsi="宋体" w:hint="eastAsia"/>
          <w:sz w:val="24"/>
        </w:rPr>
        <w:t>注册登记机构为</w:t>
      </w:r>
      <w:r>
        <w:rPr>
          <w:rFonts w:ascii="宋体" w:hAnsi="宋体"/>
          <w:sz w:val="24"/>
        </w:rPr>
        <w:t>交银施罗德基金管理有限公司</w:t>
      </w:r>
      <w:r>
        <w:rPr>
          <w:rFonts w:ascii="宋体" w:hAnsi="宋体" w:hint="eastAsia"/>
          <w:sz w:val="24"/>
        </w:rPr>
        <w:t>的</w:t>
      </w:r>
      <w:r>
        <w:rPr>
          <w:rFonts w:ascii="宋体" w:hAnsi="宋体"/>
          <w:sz w:val="24"/>
        </w:rPr>
        <w:t>C</w:t>
      </w:r>
      <w:r w:rsidRPr="00785A2E">
        <w:rPr>
          <w:rFonts w:ascii="宋体" w:hAnsi="宋体" w:hint="eastAsia"/>
          <w:sz w:val="24"/>
        </w:rPr>
        <w:t>类基金份额和</w:t>
      </w:r>
      <w:r>
        <w:rPr>
          <w:rFonts w:ascii="宋体" w:hAnsi="宋体" w:hint="eastAsia"/>
          <w:sz w:val="24"/>
        </w:rPr>
        <w:t>D类基金份额：</w:t>
      </w:r>
    </w:p>
    <w:p w14:paraId="19BE9E29" w14:textId="77777777" w:rsidR="00ED6D7A" w:rsidRDefault="00ED6D7A" w:rsidP="00ED6D7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申购费用低的基金向申购费用高的基金转换，收取申购补差费用；从申购费用高的基金向申购费用低的基金或不收取申购费用的基金转换，不收取申购补差费用。申购补差费用原则上按照转出确认金额对应的转入基金申购费减去转出基金申购费差额进行计算补差。</w:t>
      </w:r>
    </w:p>
    <w:p w14:paraId="6F2D6421" w14:textId="30B4C2C5" w:rsidR="00007225" w:rsidRDefault="00ED6D7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sidR="00F07F0D">
        <w:rPr>
          <w:rFonts w:ascii="宋体" w:hAnsi="宋体"/>
          <w:sz w:val="24"/>
        </w:rPr>
        <w:t>、网上直销的申购补差费率优惠</w:t>
      </w:r>
    </w:p>
    <w:p w14:paraId="3B6734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14D9663" w14:textId="21A0D68F" w:rsidR="00007225" w:rsidRDefault="00ED6D7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F07F0D">
        <w:rPr>
          <w:rFonts w:ascii="宋体" w:hAnsi="宋体"/>
          <w:sz w:val="24"/>
        </w:rPr>
        <w:t>、基金管理人可以根据法律法规及基金合同的规定对上述收费方式和费率进行调整，并应于调整后的收费方式和费率在实施前依照《信息披露办法》的有关规定在中国证监会指定媒介上公告。</w:t>
      </w:r>
    </w:p>
    <w:p w14:paraId="188EFA7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14:paraId="7835068C" w14:textId="2F2D0DE0" w:rsidR="00A46ED8" w:rsidRDefault="00F07F0D" w:rsidP="00A46ED8">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1、</w:t>
      </w:r>
      <w:r w:rsidR="00A46ED8">
        <w:rPr>
          <w:rFonts w:ascii="宋体" w:hAnsi="宋体" w:hint="eastAsia"/>
          <w:sz w:val="24"/>
        </w:rPr>
        <w:t>对于</w:t>
      </w:r>
      <w:r w:rsidR="00A46ED8" w:rsidRPr="00785A2E">
        <w:rPr>
          <w:rFonts w:ascii="宋体" w:hAnsi="宋体" w:hint="eastAsia"/>
          <w:sz w:val="24"/>
        </w:rPr>
        <w:t>注册登记机构为中国证券登记结算有限责任公司</w:t>
      </w:r>
      <w:r w:rsidR="00A46ED8">
        <w:rPr>
          <w:rFonts w:ascii="宋体" w:hAnsi="宋体" w:hint="eastAsia"/>
          <w:sz w:val="24"/>
        </w:rPr>
        <w:t>的A类基金份额和B类基金份额：</w:t>
      </w:r>
    </w:p>
    <w:p w14:paraId="402C0219" w14:textId="1F1427FA" w:rsidR="00007225" w:rsidRDefault="00A46ED8">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（1）</w:t>
      </w:r>
      <w:r w:rsidR="00F07F0D">
        <w:rPr>
          <w:rFonts w:ascii="宋体" w:hAnsi="宋体"/>
          <w:sz w:val="24"/>
        </w:rPr>
        <w:t>前端收费模式下基金转换份额的计算公式及举例</w:t>
      </w:r>
    </w:p>
    <w:p w14:paraId="73594E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412B1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转出基金的赎回费=转出确认金额×对应的转出基金的赎回费率</w:t>
      </w:r>
    </w:p>
    <w:p w14:paraId="1C3D5C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79143F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18DD86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05791F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12CA24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6FE09F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176439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7AF0DF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5B0F3BE" w14:textId="7826A2E2"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708365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7BE1DE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2333A0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0EA697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81301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7C3ED6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11A532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09863A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7D7500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转入确认金额=1,020,000-510=1,019,490元</w:t>
      </w:r>
    </w:p>
    <w:p w14:paraId="0C9ADC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2C11A9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3CABF1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B4CF4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24B75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63F18F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451493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4166F8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2664E23D" w14:textId="5BC54FA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w:t>
      </w:r>
      <w:r w:rsidR="006E4DF2">
        <w:rPr>
          <w:rFonts w:ascii="宋体" w:hAnsi="宋体" w:hint="eastAsia"/>
          <w:sz w:val="24"/>
        </w:rPr>
        <w:t>类</w:t>
      </w:r>
      <w:r>
        <w:rPr>
          <w:rFonts w:ascii="宋体" w:hAnsi="宋体"/>
          <w:sz w:val="24"/>
        </w:rPr>
        <w:t>基金份额100,000份，该100,000份基金份额未结转的待支付收益为61.52元，转换申请当日交银增利A类基金份额净值为1.2700元，交银货币的基金份额净值为1.00元。若该投资者将100,000份交银货币A</w:t>
      </w:r>
      <w:r w:rsidR="006E4DF2">
        <w:rPr>
          <w:rFonts w:ascii="宋体" w:hAnsi="宋体" w:hint="eastAsia"/>
          <w:sz w:val="24"/>
        </w:rPr>
        <w:t>类</w:t>
      </w:r>
      <w:r>
        <w:rPr>
          <w:rFonts w:ascii="宋体" w:hAnsi="宋体"/>
          <w:sz w:val="24"/>
        </w:rPr>
        <w:t>基金份额转换为交银增利A类基金份额，则转入确认的交银增利A类基金份额为：</w:t>
      </w:r>
    </w:p>
    <w:p w14:paraId="074816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38E4C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51A4B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4CC6CF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020844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1236D6F5" w14:textId="713EAC94" w:rsidR="00007225" w:rsidRDefault="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w:t>
      </w:r>
      <w:r>
        <w:rPr>
          <w:rFonts w:ascii="宋体" w:hAnsi="宋体"/>
          <w:sz w:val="24"/>
        </w:rPr>
        <w:t>2</w:t>
      </w:r>
      <w:r>
        <w:rPr>
          <w:rFonts w:ascii="宋体" w:hAnsi="宋体" w:hint="eastAsia"/>
          <w:sz w:val="24"/>
        </w:rPr>
        <w:t>）</w:t>
      </w:r>
      <w:r w:rsidR="00F07F0D">
        <w:rPr>
          <w:rFonts w:ascii="宋体" w:hAnsi="宋体"/>
          <w:sz w:val="24"/>
        </w:rPr>
        <w:t>后端收费模式下基金转换份额的计算公式及举例</w:t>
      </w:r>
    </w:p>
    <w:p w14:paraId="5CE12D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58A37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27ED8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73436C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692757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562FA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12EF1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A为货币市场基金转出的基金份额按比例结转的账户当前累计待支付收益（仅限转出基金为货币市场基金的情形，否则A为0）。</w:t>
      </w:r>
    </w:p>
    <w:p w14:paraId="61051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1B7F22D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77686D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7C4411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5A647B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5BE07B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DFF70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5B8C58FC" w14:textId="74C3D90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w:t>
      </w:r>
      <w:r w:rsidR="006530A1">
        <w:rPr>
          <w:rFonts w:ascii="宋体" w:hAnsi="宋体" w:hint="eastAsia"/>
          <w:sz w:val="24"/>
        </w:rPr>
        <w:t>A</w:t>
      </w:r>
      <w:r w:rsidR="006530A1">
        <w:rPr>
          <w:rFonts w:ascii="宋体" w:hAnsi="宋体"/>
          <w:sz w:val="24"/>
        </w:rPr>
        <w:t>/B</w:t>
      </w:r>
      <w:r>
        <w:rPr>
          <w:rFonts w:ascii="宋体" w:hAnsi="宋体"/>
          <w:sz w:val="24"/>
        </w:rPr>
        <w:t>，则转入交银货币</w:t>
      </w:r>
      <w:r w:rsidR="006530A1">
        <w:rPr>
          <w:rFonts w:ascii="宋体" w:hAnsi="宋体" w:hint="eastAsia"/>
          <w:sz w:val="24"/>
        </w:rPr>
        <w:t>A</w:t>
      </w:r>
      <w:r w:rsidR="006530A1">
        <w:rPr>
          <w:rFonts w:ascii="宋体" w:hAnsi="宋体"/>
          <w:sz w:val="24"/>
        </w:rPr>
        <w:t>/B</w:t>
      </w:r>
      <w:r>
        <w:rPr>
          <w:rFonts w:ascii="宋体" w:hAnsi="宋体"/>
          <w:sz w:val="24"/>
        </w:rPr>
        <w:t>的基金份额为：</w:t>
      </w:r>
    </w:p>
    <w:p w14:paraId="323E9E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274059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AC080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75FC85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73A7D8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093B04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381720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6A465D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287784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0C2BE7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B61E2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转入基金确认份额=（85,000-170）/1.0500=80,790.48份</w:t>
      </w:r>
    </w:p>
    <w:p w14:paraId="45349E5C" w14:textId="33203D8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w:t>
      </w:r>
      <w:r w:rsidR="006E4DF2">
        <w:rPr>
          <w:rFonts w:ascii="宋体" w:hAnsi="宋体" w:hint="eastAsia"/>
          <w:sz w:val="24"/>
        </w:rPr>
        <w:t>类</w:t>
      </w:r>
      <w:r>
        <w:rPr>
          <w:rFonts w:ascii="宋体" w:hAnsi="宋体"/>
          <w:sz w:val="24"/>
        </w:rPr>
        <w:t>基金份额100,000份，该100,000份基金份额未结转的待支付收益为61.52元，转换申请当日交银增利B类基金份额净值为1.2700元，交银货币的基金份额净值为1.00元。若该投资者将100,000份交银货币A</w:t>
      </w:r>
      <w:r w:rsidR="006E4DF2">
        <w:rPr>
          <w:rFonts w:ascii="宋体" w:hAnsi="宋体" w:hint="eastAsia"/>
          <w:sz w:val="24"/>
        </w:rPr>
        <w:t>类</w:t>
      </w:r>
      <w:r>
        <w:rPr>
          <w:rFonts w:ascii="宋体" w:hAnsi="宋体"/>
          <w:sz w:val="24"/>
        </w:rPr>
        <w:t>基金份额转换为交银增利B类基金份额，则转入确认的交银增利B类基金份额为：</w:t>
      </w:r>
    </w:p>
    <w:p w14:paraId="0EAC14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7A8FCE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9E3AD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2E847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2C1F87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23738D88" w14:textId="1D67BDB7" w:rsidR="009E646D" w:rsidRDefault="009E646D" w:rsidP="009E646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对于</w:t>
      </w:r>
      <w:r w:rsidRPr="00785A2E">
        <w:rPr>
          <w:rFonts w:ascii="宋体" w:hAnsi="宋体" w:hint="eastAsia"/>
          <w:sz w:val="24"/>
        </w:rPr>
        <w:t>注册登记机构为</w:t>
      </w:r>
      <w:r>
        <w:rPr>
          <w:rFonts w:ascii="宋体" w:hAnsi="宋体"/>
          <w:sz w:val="24"/>
        </w:rPr>
        <w:t>交银施罗德基金管理有限公司</w:t>
      </w:r>
      <w:r>
        <w:rPr>
          <w:rFonts w:ascii="宋体" w:hAnsi="宋体" w:hint="eastAsia"/>
          <w:sz w:val="24"/>
        </w:rPr>
        <w:t>的</w:t>
      </w:r>
      <w:r>
        <w:rPr>
          <w:rFonts w:ascii="宋体" w:hAnsi="宋体"/>
          <w:sz w:val="24"/>
        </w:rPr>
        <w:t>C</w:t>
      </w:r>
      <w:r w:rsidRPr="00785A2E">
        <w:rPr>
          <w:rFonts w:ascii="宋体" w:hAnsi="宋体" w:hint="eastAsia"/>
          <w:sz w:val="24"/>
        </w:rPr>
        <w:t>类基金份额和</w:t>
      </w:r>
      <w:r>
        <w:rPr>
          <w:rFonts w:ascii="宋体" w:hAnsi="宋体" w:hint="eastAsia"/>
          <w:sz w:val="24"/>
        </w:rPr>
        <w:t>D类基金份额：</w:t>
      </w:r>
    </w:p>
    <w:p w14:paraId="271AC78C"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96608C5"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6A6B4F45"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31CD04E0"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转出基金申购费用=转入确认金额×转出基金申购费率/（1+转出基金申购费率）</w:t>
      </w:r>
    </w:p>
    <w:p w14:paraId="2140D40D"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转入基金申购费用=转入确认金额×转入基金申购费率/（1+转入基金申购费率）</w:t>
      </w:r>
    </w:p>
    <w:p w14:paraId="4F13C5EC"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转出与转入基金的申购补差费=MAX（0，转入基金申购费用-转出基金申购费用）</w:t>
      </w:r>
    </w:p>
    <w:p w14:paraId="449CC859"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4DBEE176"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EDC519F"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55340DDD"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4904AD9A" w14:textId="1C855852"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九</w:t>
      </w:r>
      <w:r>
        <w:rPr>
          <w:rFonts w:ascii="宋体" w:hAnsi="宋体"/>
          <w:sz w:val="24"/>
        </w:rPr>
        <w:t>：某投资者持有交银稳利A类基金份额100,000份，持有期半年，转换申请当日交银稳利的A类基金份额净值为1.0100元，交银现金宝A类基金份额的基金份额</w:t>
      </w:r>
      <w:r>
        <w:rPr>
          <w:rFonts w:ascii="宋体" w:hAnsi="宋体"/>
          <w:sz w:val="24"/>
        </w:rPr>
        <w:lastRenderedPageBreak/>
        <w:t>净值为1.00元。若该投资者将100,000份交银稳利A类基金份额转换为交银现金宝A类基金份额，则转入交银现金宝确认的A类基金份额为：</w:t>
      </w:r>
    </w:p>
    <w:p w14:paraId="5384D060"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293ACE24"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转出基金的赎回费=101,000×0%=0元</w:t>
      </w:r>
    </w:p>
    <w:p w14:paraId="5002F7B2"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转入确认金额=101,000-0=101,000元</w:t>
      </w:r>
    </w:p>
    <w:p w14:paraId="1CE53F7C"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转出基金申购费用=101,000×0.30%/（1+0.30%）=302.09元</w:t>
      </w:r>
    </w:p>
    <w:p w14:paraId="21C12707" w14:textId="002E0DF3"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转入基金申购费用=0</w:t>
      </w:r>
      <w:r w:rsidR="006C4741">
        <w:rPr>
          <w:rFonts w:ascii="宋体" w:hAnsi="宋体"/>
          <w:sz w:val="24"/>
        </w:rPr>
        <w:t>元</w:t>
      </w:r>
    </w:p>
    <w:p w14:paraId="0A030D1D"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转出与转入基金的申购补差费=0元</w:t>
      </w:r>
    </w:p>
    <w:p w14:paraId="321AD5A5"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转入基金确认份额=（101,000-0）/1.00=101,000份</w:t>
      </w:r>
    </w:p>
    <w:p w14:paraId="4A82F90D" w14:textId="5E01AFFA"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十</w:t>
      </w:r>
      <w:r>
        <w:rPr>
          <w:rFonts w:ascii="宋体" w:hAnsi="宋体"/>
          <w:sz w:val="24"/>
        </w:rPr>
        <w:t>：某投资者持有交银现金宝A类基金份额100,000份，该100,000份基金份额未结转的待支付收益为61.52元，转换申请当日交银现金宝的A类基金份额净值为1.00元，交银稳利的A类基金份额净值为1.0100元。若该投资者将100,000份交银现金宝A类基金份额转换为交银稳利A类基金份额，则转入交银稳利确认的A类基金份额为：</w:t>
      </w:r>
    </w:p>
    <w:p w14:paraId="1D9946F5"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1C43F9AD"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76CE1F10"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C8A9203"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转出基金申购费用=0元</w:t>
      </w:r>
    </w:p>
    <w:p w14:paraId="4B1057D4"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转入基金申购费用=100,000×0.30%/（1+0.30%）=299.10元</w:t>
      </w:r>
    </w:p>
    <w:p w14:paraId="4D063895" w14:textId="77777777" w:rsidR="009E646D" w:rsidRDefault="009E646D" w:rsidP="009E646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转出与转入基金的申购补差费=299.10-0=299.10元</w:t>
      </w:r>
    </w:p>
    <w:p w14:paraId="58585898" w14:textId="6C593581" w:rsidR="009E646D" w:rsidRPr="00F410C6" w:rsidRDefault="009E646D" w:rsidP="007966F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转入基金确认份额=（100,000-299.10+61.52）/1.0100=98,774.67份</w:t>
      </w:r>
    </w:p>
    <w:p w14:paraId="50932E22" w14:textId="4348BBC5"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14:paraId="395DB06F" w14:textId="1BE7252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A4663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14:paraId="595A48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3、基金转换采取未知价法，即基金的转换价格以申请受理当日各转出、转入基金的基金份额净值为基础进行计算。（货币市场基金的基金份额净值为固定价1.00元）。</w:t>
      </w:r>
    </w:p>
    <w:p w14:paraId="779542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3432E0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1ED3662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14:paraId="2F02B5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608CF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B1AF134"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3A44045" w14:textId="77777777" w:rsidR="00007225" w:rsidRDefault="00F07F0D">
      <w:pPr>
        <w:pStyle w:val="1"/>
        <w:snapToGrid w:val="0"/>
        <w:spacing w:beforeLines="0" w:before="240" w:after="240"/>
        <w:rPr>
          <w:rFonts w:ascii="宋体" w:hAnsi="宋体"/>
          <w:szCs w:val="30"/>
        </w:rPr>
      </w:pPr>
      <w:bookmarkStart w:id="14" w:name="_Toc160021642"/>
      <w:r>
        <w:rPr>
          <w:rFonts w:ascii="Times New Roman" w:hAnsi="Times New Roman"/>
          <w:sz w:val="30"/>
        </w:rPr>
        <w:lastRenderedPageBreak/>
        <w:t>十一、基金的投资</w:t>
      </w:r>
      <w:bookmarkEnd w:id="14"/>
    </w:p>
    <w:p w14:paraId="4F424B9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（一）投资理念</w:t>
      </w:r>
    </w:p>
    <w:p w14:paraId="3D5AC6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在严格控制流动性风险的前提下，通过合理安排组合期限结构、积极选择投资工具，获取高于业绩比较基准的投资收益。</w:t>
      </w:r>
    </w:p>
    <w:p w14:paraId="5E787D7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（二）投资目标</w:t>
      </w:r>
    </w:p>
    <w:p w14:paraId="4F72AB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本基金属于货币市场基金，投资目标是在力求本金稳妥和资产充分流动性的前提下，追求超过业绩比较基准的投资收益。</w:t>
      </w:r>
    </w:p>
    <w:p w14:paraId="7D1CDE5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（三）投资范围</w:t>
      </w:r>
    </w:p>
    <w:p w14:paraId="578AB4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1、现金；</w:t>
      </w:r>
    </w:p>
    <w:p w14:paraId="7F36C1F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2、通知存款；</w:t>
      </w:r>
    </w:p>
    <w:p w14:paraId="72BCA4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3、一年以内（含一年）的银行定期存款、大额存单；</w:t>
      </w:r>
    </w:p>
    <w:p w14:paraId="4A087F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4、剩余期限在397天以内（含397天）的债券；</w:t>
      </w:r>
    </w:p>
    <w:p w14:paraId="430331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5、期限在一年以内（含一年）的中央银行票据；</w:t>
      </w:r>
    </w:p>
    <w:p w14:paraId="6C7C60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6、期限在一年以内（含一年）的债券回购；</w:t>
      </w:r>
    </w:p>
    <w:p w14:paraId="7A9237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7、剩余期限在397天以内（含397天）的资产支持证券；</w:t>
      </w:r>
    </w:p>
    <w:p w14:paraId="565BAD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8、中国证监会、中国人民银行认可的其他具有良好流动性的货币市场工具。</w:t>
      </w:r>
    </w:p>
    <w:p w14:paraId="1623FC6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7D96DA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本基金业绩比较基准为六个月银行定期存款利率（税后）。</w:t>
      </w:r>
    </w:p>
    <w:p w14:paraId="1F51ED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本基金管理人认为，业绩的选择标准需要合理、透明，为广大投资者所接受。本业绩比较基准是投资者最熟知、最容易获得的低风险收益率。</w:t>
      </w:r>
    </w:p>
    <w:p w14:paraId="2505E9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若未来市场发生变化导致此业绩基准不再适用，基金管理人可根据市场发展状况及本基金的投资范围和投资策略，调整本基金的业绩比较基准。业绩基准的变更须经基金管理人和基金托管人协商一致。</w:t>
      </w:r>
    </w:p>
    <w:p w14:paraId="6EE6B4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（五）投资策略</w:t>
      </w:r>
    </w:p>
    <w:p w14:paraId="23A9CB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1、短期利率水平预期策略</w:t>
      </w:r>
    </w:p>
    <w:p w14:paraId="43ED3F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深入分析国家货币政策、短期资金市场利率波动、资本市场资金面的情况和流动性的变化，对短期利率走势形成合理预期，并据此调整基金货币资产的配置策略。</w:t>
      </w:r>
    </w:p>
    <w:p w14:paraId="7FABFE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2、收益率曲线分析策略</w:t>
      </w:r>
    </w:p>
    <w:p w14:paraId="044406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根据收益率曲线的变化趋势，采取相应的投资管理策略。货币市场收益率曲线的形状反映当时短期利率水平之间的关系，反映市场对较短期限经济状况的判断及对未来短期经济走势的预期。</w:t>
      </w:r>
    </w:p>
    <w:p w14:paraId="40A72A9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3、组合剩余期限策略、期限配置策略</w:t>
      </w:r>
    </w:p>
    <w:p w14:paraId="681A58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 稳定收益，锁定风险，满足组合目标期限。</w:t>
      </w:r>
    </w:p>
    <w:p w14:paraId="55CC5C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4、类别品种配置策略</w:t>
      </w:r>
    </w:p>
    <w:p w14:paraId="1C16B8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2EBF917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5、流动性管理策略</w:t>
      </w:r>
    </w:p>
    <w:p w14:paraId="063B5F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在满足基金投资者申购、赎回的资金需求前提下，通过基金资产安排（包括现金库存、资产变现、剩余期限管理或以其他措施），在保持基金资产高流动性的前提下，确保基金的稳定收益。</w:t>
      </w:r>
    </w:p>
    <w:p w14:paraId="2ED0C3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6、无风险套利策略</w:t>
      </w:r>
    </w:p>
    <w:p w14:paraId="19F897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无风险套利策略包括：</w:t>
      </w:r>
    </w:p>
    <w:p w14:paraId="70D39C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01346D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跨品种套利策略：根据各细分市场中不同品种的风险参数、流动性补偿和收益特征，动态调整不同期限结构品种的配置比例。</w:t>
      </w:r>
    </w:p>
    <w:p w14:paraId="534FEA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7、滚动配置策略</w:t>
      </w:r>
    </w:p>
    <w:p w14:paraId="3BD19D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具体投资品种的市场特性，采用持续滚动投资的方法，以提高基金资产的整体持续的变现能力。如，对N天期回购协议进行每天等量配置，提高基金资产的流动性；在公开市场操作中，跟随人民银行每周的滚动发行，持续同品种投资，达到剩余期限的直线分布。</w:t>
      </w:r>
    </w:p>
    <w:p w14:paraId="738F76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8、信用利差策略</w:t>
      </w:r>
    </w:p>
    <w:p w14:paraId="61B61B7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通过对资产支持证券的信用评估，分析预期违约率和违约损失率的变化趋势，评估其信用利差是否合理，并预测其变化趋势，通过其信用质量的改善和信用利差的缩小获利。</w:t>
      </w:r>
    </w:p>
    <w:p w14:paraId="224903E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（六）投资程序</w:t>
      </w:r>
    </w:p>
    <w:p w14:paraId="6627233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本基金采用投资决策委员会下的基金经理负责制。</w:t>
      </w:r>
    </w:p>
    <w:p w14:paraId="067F93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投资决策委员会负责确定本基金的大类资产配置比例、组合基准剩余期限、回购最高比例等重大投资决策。</w:t>
      </w:r>
    </w:p>
    <w:p w14:paraId="67534C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基金经理在投资决策委员会确定的投资范围内制定并实施具体的投资策略，向中央交易室下达投资指令。</w:t>
      </w:r>
    </w:p>
    <w:p w14:paraId="019B02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设立债券交易员，负责执行投资指令，就指令执行过程中的问题及市场面的变化对指令执行的影响等问题及时向基金经理反馈，并可提出基于市场面的具体建议。中央交易室同时负责各项投资限制的实现监控以及本基金资产与公司其他基金之间的公平交易控制。</w:t>
      </w:r>
    </w:p>
    <w:p w14:paraId="32B8AA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具体的投资管理程序如下：</w:t>
      </w:r>
    </w:p>
    <w:p w14:paraId="71748B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1、决策依据</w:t>
      </w:r>
    </w:p>
    <w:p w14:paraId="1F2687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（1）国家有关法律、法规和基金合同的有关规定。依法决策是本基金进行投资的前提；</w:t>
      </w:r>
    </w:p>
    <w:p w14:paraId="2417ACD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（2）宏观经济发展态势、微观经济运行环境和证券市场走势。这是本基金投资决策的基础；</w:t>
      </w:r>
    </w:p>
    <w:p w14:paraId="3B4F0A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（3）投资品种的风险—收益特征。在充分权衡投资对象的收益和风险的前提下作出投资决策，是本基金维护投资者利益的重要保障。</w:t>
      </w:r>
    </w:p>
    <w:p w14:paraId="625A57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2、决策程序</w:t>
      </w:r>
    </w:p>
    <w:p w14:paraId="3ED25D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（1）投资部策略分析师、固定收益产品分析师、定量分析师各自独立完成相应的研究报告，为投资策略提供依据；</w:t>
      </w:r>
    </w:p>
    <w:p w14:paraId="2766B2E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（2）投资决策委员会每月召开投资策略会议，决定基金的资产配置比例和投资重点等；</w:t>
      </w:r>
    </w:p>
    <w:p w14:paraId="29EB4C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（3）投资总监定期召集投资例会，根据投资决策委员会的决定，结合市场和公司基本面的变化，决定具体的投资策略；</w:t>
      </w:r>
    </w:p>
    <w:p w14:paraId="42E83D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（4）基金经理依据策略分析师的宏观经济分析和策略建议、固定收益产品分析师的债券市场研究和券种选择、定量分析师的定量投资策略研究，结合本基金产</w:t>
      </w:r>
      <w:r>
        <w:rPr>
          <w:rFonts w:ascii="宋体" w:hAnsi="宋体"/>
          <w:sz w:val="24"/>
        </w:rPr>
        <w:lastRenderedPageBreak/>
        <w:t>品定位及风险控制的要求，在权限范围内制定具体的投资组合方案；</w:t>
      </w:r>
    </w:p>
    <w:p w14:paraId="628346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61232D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1D8ACF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14:paraId="713437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14:paraId="7B3E1C5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（七）投资组合限制</w:t>
      </w:r>
    </w:p>
    <w:p w14:paraId="18D14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1、本基金不得投资于以下金融工具：</w:t>
      </w:r>
    </w:p>
    <w:p w14:paraId="30C626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w:t>
      </w:r>
    </w:p>
    <w:p w14:paraId="3CCAD8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（2）可转换债券；</w:t>
      </w:r>
    </w:p>
    <w:p w14:paraId="4CDF39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（3）剩余期限超过397天的债券；</w:t>
      </w:r>
    </w:p>
    <w:p w14:paraId="2AA24FE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（4）信用等级在AAA级以下的企业债券；</w:t>
      </w:r>
    </w:p>
    <w:p w14:paraId="2FE09D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（5）投资于以定期存款利率为基准利率的浮动利率债券，但市场条件发生变化后另有规定的，从其规定；</w:t>
      </w:r>
    </w:p>
    <w:p w14:paraId="5708E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（6）在有关法律法规允许交易所债券可以采用摊余成本法前，本基金暂不投资于交易所债券；</w:t>
      </w:r>
    </w:p>
    <w:p w14:paraId="0A8709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（7）中国证监会、中国人民银行禁止投资的其他金融工具。</w:t>
      </w:r>
    </w:p>
    <w:p w14:paraId="798B98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本基金拟投资于主体信用评级低于AA+的商业银行的银行存款与同业存单的，应当经基金管理人董事会审议批准，相关交易应当事先征得基金托管人的同意，并作为重大事项履行信息披露程序。</w:t>
      </w:r>
    </w:p>
    <w:p w14:paraId="7B541E6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2、本基金投资组合遵循如下投资限制：</w:t>
      </w:r>
    </w:p>
    <w:p w14:paraId="651E67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（1）本基金投资组合的平均剩余期限，在每个交易日均不超过180天；</w:t>
      </w:r>
    </w:p>
    <w:p w14:paraId="5A6FA1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（2）本基金不得与基金管理人的股东进行交易，不得通过交易上的安排人为降低投资组合的平均剩余期限的真实天数；</w:t>
      </w:r>
    </w:p>
    <w:p w14:paraId="079DAD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发生巨额赎回的情形外，本基金的投资组合中，债券正回购的资金余额在每个交易日均不得超过基金资产净值的20%；因发生巨额赎回致使本基金债券正回购的资金余额超过基金资产净值20%的，基金管理人应当在5个交易日内进行调整；</w:t>
      </w:r>
    </w:p>
    <w:p w14:paraId="470D44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（4）基金持有的剩余期限不超过397天，但剩余存续期超过397天的浮动利率债券的摊余成本总计不得超过当日基金资产净值的20%；</w:t>
      </w:r>
    </w:p>
    <w:p w14:paraId="6315354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（5）买断式回购融入基础债券的剩余期限不得超过397天；</w:t>
      </w:r>
    </w:p>
    <w:p w14:paraId="3FAABA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（6）存放在具有基金托管资格的同一商业银行的存款，不得超过基金资产净值的30%；存放在不具有基金托管资格的同一商业银行的存款，不得超过基金资产净值的5%；</w:t>
      </w:r>
    </w:p>
    <w:p w14:paraId="13B1EC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（7）在全国银行间债券市场债券正回购的资金余额不得超过基金资产净值的40%；</w:t>
      </w:r>
    </w:p>
    <w:p w14:paraId="2BCAFD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投资于同一公司发行的短期企业债券及短期融资券的比例，合计不得超过基金资产净值的10%；因市场波动、基金规模变动等基金管理人之外的因素致使基金投资不符合上述比例的，基金管理人应当在10个交易日内调整完毕；</w:t>
      </w:r>
    </w:p>
    <w:p w14:paraId="255DED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（9）本基金投资于定期存款的比例不得超过基金资产净值的30%；</w:t>
      </w:r>
    </w:p>
    <w:p w14:paraId="1F6379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（10）本基金投资于资产支持证券的比例，不得超过该资产支持证券总规模的10%；</w:t>
      </w:r>
    </w:p>
    <w:p w14:paraId="463182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（11）本基金持有的同一（指同一信用级别）资产支持证券的比例，不得超过该资产支持证券规模的10%；</w:t>
      </w:r>
    </w:p>
    <w:p w14:paraId="747B4C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（12）本基金投资于同一原始权益人的各类资产支持证券的比例，不得超过基金资产净值的10%；</w:t>
      </w:r>
    </w:p>
    <w:p w14:paraId="392FB8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（13）同一基金管理公司管理的全部证券投资基金投资于同一原始权益人的各类资产支持证券，不得超过其各类资产支持证券合计规模的10%；</w:t>
      </w:r>
    </w:p>
    <w:p w14:paraId="76CAD9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（14）本基金持有的全部资产支持证券，其市值不得超过基金资产净值的20%；</w:t>
      </w:r>
    </w:p>
    <w:p w14:paraId="5F1325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（15）本基金管理人管理的全部货币市场基金投资于同一商业银行的银行存款及其发行的同业存单与债券，不得超过该商业银行最近一个季度末净资产的10%；</w:t>
      </w:r>
    </w:p>
    <w:p w14:paraId="7C891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当本基金前10名份额持有人的持有份额合计超过基金总份额的50%时，本基金投资组合的平均剩余期限不得超过60天，平均剩余存续期不得超过120天；投资组合中现金、国债、中央银行票据、政策性金融债券以及5个交易日内到期的其他金融工具占基金资产净值的比例合计不得低于30%；</w:t>
      </w:r>
    </w:p>
    <w:p w14:paraId="31860B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当本基金前10名份额持有人的持有份额合计超过基金总份额的20%时，本基金投资组合的平均剩余期限不得超过90天，平均剩余存续期不得超过180天；投资组合中现金、国债、中央银行票据、政策性金融债券以及5个交易日内到期的其他金融工具占基金资产净值的比例合计不得低于20%；</w:t>
      </w:r>
    </w:p>
    <w:p w14:paraId="7E6AC6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18）本基金投资于主体信用评级低于AAA的机构发行的金融工具占基金资产净值的比例合计不得超过10%，其中单一机构发行的金融工具占基金资产净值的比例合计不得超过2%；前述金融工具包括债券、非金融企业债务融资工具、银行存款、同业存单、相关机构作为原始权益人的资产支持证券及中国证监会认定的其他品种；</w:t>
      </w:r>
    </w:p>
    <w:p w14:paraId="613EDF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主动投资于流动性受限资产的市值合计不得超过基金资产净值的10%；因证券市场波动、基金规模变动等基金管理人之外的因素致使基金不符合前款所规定比例限制的，基金管理人不得主动新增流动性受限资产的投资；</w:t>
      </w:r>
    </w:p>
    <w:p w14:paraId="441364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（20）本基金与私募类证券资管产品及中国证监会认定的其他主体为交易对手开展逆回购交易的，可接受质押品的资质要求应当与本基金合同约定的投资范围保持一致；</w:t>
      </w:r>
    </w:p>
    <w:p w14:paraId="3705CC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（21）中国证监会、中国人民银行规定的其他比例限制。</w:t>
      </w:r>
    </w:p>
    <w:p w14:paraId="7485B1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除上述第（19）项、第（20）项外，因基金规模或市场变化导致投资组合超过以上比例限制的，基金管理人应在10个交易日内进行调整，以达到上述标准。法律法规和监管机关另有规定时，从其规定。</w:t>
      </w:r>
    </w:p>
    <w:p w14:paraId="480547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3、本基金投资的短期融资券的信用评级，应不低于以下标准：</w:t>
      </w:r>
    </w:p>
    <w:p w14:paraId="0D8D0A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（1）国内信用评级机构评定的A-1级或相当于A-1级的短期信用级别；</w:t>
      </w:r>
    </w:p>
    <w:p w14:paraId="76DA71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（2）根据有关规定予以豁免信用评级的短期融资券，其发行人最近三年的信用评级和跟踪评级具备下列条件之一：</w:t>
      </w:r>
    </w:p>
    <w:p w14:paraId="354DAB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①国内信用评级机构评定的AAA级或相当于AAA级的长期信用级别；</w:t>
      </w:r>
    </w:p>
    <w:p w14:paraId="7FAA03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②国际信用评级机构评定的低于中国主权评级一个级别的信用级别（例如，若中国主权评级为A-级，则低于中国主权评级一个级别的为BBB+级）；</w:t>
      </w:r>
    </w:p>
    <w:p w14:paraId="3858E7C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同一发行人同时具有国内信用评级和国际信用评级的，以国内信用级别为准。</w:t>
      </w:r>
    </w:p>
    <w:p w14:paraId="45C0F6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本基金持有短期融资券期间，如果其信用等级下降、不再符合投资标准，应在评级报告发布之日起20个交易日内予以全部减持。</w:t>
      </w:r>
    </w:p>
    <w:p w14:paraId="16C6A0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4、本基金投资的资产支持证券须具有评级资质的资信评级机构进行持续信用评级，且应不低于国内信用评级机构评定的AAA级或相当于AAA级的信用级别。　　本基金持有资产支持证券期间，如果其信用等级下降、不再符合投资标准，应在评级报告发布之日起3个月内予以全部卖出。</w:t>
      </w:r>
    </w:p>
    <w:p w14:paraId="5CF51D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5、禁止行为</w:t>
      </w:r>
    </w:p>
    <w:p w14:paraId="426881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为维护基金份额持有人的合法权益，本基金禁止从事下列行为：</w:t>
      </w:r>
    </w:p>
    <w:p w14:paraId="3E4FDA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876541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（2）将基金财产用于向他人贷款或者提供担保；</w:t>
      </w:r>
    </w:p>
    <w:p w14:paraId="0E852F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（3）从事可能使基金承担无限责任的投资；</w:t>
      </w:r>
    </w:p>
    <w:p w14:paraId="2681FB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（4）买卖其他基金份额，但国务院另有规定的除外；</w:t>
      </w:r>
    </w:p>
    <w:p w14:paraId="6389E6D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（5）向基金管理人、基金托管人出资或者买卖基金托管人、基金管理人发行的股票或债券；</w:t>
      </w:r>
    </w:p>
    <w:p w14:paraId="3C697E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（6）买卖与基金管理人、基金托管人有控股关系的股东或者与基金管理人、基金托管人有其他重大利害关系的公司发行的证券或承销期内承销的证券；</w:t>
      </w:r>
    </w:p>
    <w:p w14:paraId="363631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581A62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（8）法律法规、中国证监会及基金合同规定禁止的其他活动。</w:t>
      </w:r>
    </w:p>
    <w:p w14:paraId="073241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对上述事项，法律法规另有规定时从其规定。</w:t>
      </w:r>
    </w:p>
    <w:p w14:paraId="2E173F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如果法律法规和相关规定发生变动，基金管理人有权依据新的规定相应修改本第（七）部分“投资组合限制”中的相关条款，并依法在指定媒介公告，但不需要召开基金份额持有人大会。</w:t>
      </w:r>
    </w:p>
    <w:p w14:paraId="4CED7E4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（八）各种资产和负债的剩余期限的确定</w:t>
      </w:r>
    </w:p>
    <w:p w14:paraId="4E1342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1、平均剩余期限的计算公式如下：</w:t>
      </w:r>
    </w:p>
    <w:p w14:paraId="53F5172B" w14:textId="4B89D48A"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04625FE7" wp14:editId="6EB5B266">
            <wp:extent cx="5588000" cy="368300"/>
            <wp:effectExtent l="0" t="0" r="0" b="0"/>
            <wp:docPr id="8"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8000" cy="368300"/>
                    </a:xfrm>
                    <a:prstGeom prst="rect">
                      <a:avLst/>
                    </a:prstGeom>
                    <a:noFill/>
                    <a:ln>
                      <a:noFill/>
                    </a:ln>
                  </pic:spPr>
                </pic:pic>
              </a:graphicData>
            </a:graphic>
          </wp:inline>
        </w:drawing>
      </w:r>
    </w:p>
    <w:p w14:paraId="7C86AE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投资于金融工具产生的资产包括现金类资产（含银行存款、清算备付金、交易保证金、证券清算款、买断式回购履约金）、一年以内（含一年）的银行定期存款、大额存单、剩余期限在397天以内（含397天）的债券、期限在一年以内（含一年）的逆回购、期限在一年以内（含一年）的中央银行票据、买断式回购产生的待回购债券、剩余期限在397天以内（含397天）的资产支持证券，以及中国证监会、中国人民银行认可的其他具有良好流动性的货币市场工具。</w:t>
      </w:r>
    </w:p>
    <w:p w14:paraId="55EBE0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投资于金融工具产生的负债包括期限在一年以内（含一年）的正回购、买断式回购产生的待返售债券等。</w:t>
      </w:r>
    </w:p>
    <w:p w14:paraId="550447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采用“摊余成本法”计算的附息债券成本包括债券的面值和折溢价；贴现债券成本包括债券投资成本和内在应收利息。</w:t>
      </w:r>
    </w:p>
    <w:p w14:paraId="203652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2、各类资产和负债剩余期限的确定</w:t>
      </w:r>
    </w:p>
    <w:p w14:paraId="5EFF7A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（1）银行存款、清算备付金、交易保证金的剩余期限为0天；证券清算款的剩余期限以计算日至交收日的剩余交易日天数计算；买断式回购履约金的剩余期限以计算日至协议到期日的实际剩余天数计算。</w:t>
      </w:r>
    </w:p>
    <w:p w14:paraId="0A1A0B1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（2）一年以内（含一年）银行定期存款、通知存款、大额存单的剩余期限以计算日至协议到期日的实际剩余天数计算。</w:t>
      </w:r>
    </w:p>
    <w:p w14:paraId="242752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（3）组合中债券的剩余期限是指计算日至债券到期日为止所剩余的天数，以下情况除外：允许投资的浮动利率债券的剩余期限以计算日至下一个利率调整日的实际剩余天数计算。</w:t>
      </w:r>
    </w:p>
    <w:p w14:paraId="138C7C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（4）回购（包括正回购和逆回购）的剩余期限以计算日至回购协议到期日的实际剩余天数计算。</w:t>
      </w:r>
    </w:p>
    <w:p w14:paraId="0F8F68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（5）中央银行票据的剩余期限以计算日至中央银行票据到期日的实际剩余天数计算。</w:t>
      </w:r>
    </w:p>
    <w:p w14:paraId="0BA301F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（6）买断式回购产生的待回购债券的剩余期限为该基础债券的剩余期限。</w:t>
      </w:r>
    </w:p>
    <w:p w14:paraId="079010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（7）买断式回购产生的待返售债券的剩余期限以计算日至回购协议到期日的实际剩余天数计算。</w:t>
      </w:r>
    </w:p>
    <w:p w14:paraId="3CDE13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（8）短期融资券的剩余期限以计算日至短期融资券到期日所剩余的天数计算。</w:t>
      </w:r>
    </w:p>
    <w:p w14:paraId="2E8F7F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（9）组合中资产支持证券的剩余期限是指计算日距法定最终到期日所剩余的天数，以下情况除外：允许投资的浮动利率资产支持证券的剩余期限以计算日至下一个利率调整日的实际剩余天数计算。</w:t>
      </w:r>
    </w:p>
    <w:p w14:paraId="5208D3F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（10）其他情况根据法律法规或中国证监会的规定确定。</w:t>
      </w:r>
    </w:p>
    <w:p w14:paraId="37B8427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（九）投资组合比例调整</w:t>
      </w:r>
    </w:p>
    <w:p w14:paraId="32DB58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约定。因证券市场波动、基金规模变动等基金管理人之外的因素致使基金投资不符合基金合同约定的投资比例规定的，基金管理人应当在10个交易日内进行调整。法律法规另有规定的，从其规定。</w:t>
      </w:r>
    </w:p>
    <w:p w14:paraId="23E999F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（十）风险收益特征</w:t>
      </w:r>
    </w:p>
    <w:p w14:paraId="53C38F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货币市场基金是具有较低风险、中低收益、流动性强的证券投资基金品种。根据2017年7月1日施行的《证券期货投资者适当性管理办法》，基金管理人和销售机构已对本基金重新进行风险评级。风险评级行为不改变本基金的实质性风险收益</w:t>
      </w:r>
      <w:r>
        <w:rPr>
          <w:rFonts w:ascii="宋体" w:hAnsi="宋体"/>
          <w:sz w:val="24"/>
        </w:rPr>
        <w:lastRenderedPageBreak/>
        <w:t>特征。但由于风险等级分类标准的变化，本基金的风险等级表述可能有相应变化，具体风险评级结果应以基金管理人和销售机构提供的评级结果为准。</w:t>
      </w:r>
    </w:p>
    <w:p w14:paraId="1069447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（十一）基金管理人代表基金行使债权人权利的处理原则及方法</w:t>
      </w:r>
    </w:p>
    <w:p w14:paraId="317364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1、基金管理人按照国家有关规定代表基金独立行使债权人或其他权利人的权利，保护基金份额持有人的利益；</w:t>
      </w:r>
    </w:p>
    <w:p w14:paraId="32EA92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2、有利于基金财产的安全与增值；</w:t>
      </w:r>
    </w:p>
    <w:p w14:paraId="6BFA55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7DA39A8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14:paraId="086D44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62F279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本基金托管人中国农业银行根据本基金合同规定，于2023年04月20日复核了本报告中的财务指标、净值表现和投资组合报告等内容，保证复核内容不存在虚假记载、误导性陈述或者重大遗漏。</w:t>
      </w:r>
    </w:p>
    <w:p w14:paraId="0B2252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本投资组合报告期为2023年01月01日起至03月31日，所载财务数据未经审计师审计。</w:t>
      </w:r>
    </w:p>
    <w:p w14:paraId="3EBF54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20C347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D07E6B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329CCB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59FA66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8C09FE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41038F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A8FF8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45F4C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6F5C4E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5D8E8EA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35.66</w:t>
            </w:r>
          </w:p>
        </w:tc>
      </w:tr>
      <w:tr w:rsidR="00007225" w14:paraId="7AC6627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9AC03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BCD12D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55597F0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656BFC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35.66</w:t>
            </w:r>
          </w:p>
        </w:tc>
      </w:tr>
      <w:tr w:rsidR="00007225" w14:paraId="273958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BCEDE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15FFECC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62B155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DDE60E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4F8CE2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00A43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9A861B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BB988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110,230,477.62</w:t>
            </w:r>
          </w:p>
        </w:tc>
        <w:tc>
          <w:tcPr>
            <w:tcW w:w="400" w:type="pct"/>
            <w:tcBorders>
              <w:top w:val="single" w:sz="4" w:space="0" w:color="auto"/>
              <w:left w:val="single" w:sz="4" w:space="0" w:color="auto"/>
              <w:bottom w:val="single" w:sz="4" w:space="0" w:color="auto"/>
              <w:right w:val="single" w:sz="4" w:space="0" w:color="auto"/>
            </w:tcBorders>
            <w:vAlign w:val="center"/>
          </w:tcPr>
          <w:p w14:paraId="07C468E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21.95</w:t>
            </w:r>
          </w:p>
        </w:tc>
      </w:tr>
      <w:tr w:rsidR="00007225" w14:paraId="2D363D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0A0B35"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45CC3F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5D6170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3D06A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38361F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DFF80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F3B3EE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4EE8B7E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212,372,359.11</w:t>
            </w:r>
          </w:p>
        </w:tc>
        <w:tc>
          <w:tcPr>
            <w:tcW w:w="400" w:type="pct"/>
            <w:tcBorders>
              <w:top w:val="single" w:sz="4" w:space="0" w:color="auto"/>
              <w:left w:val="single" w:sz="4" w:space="0" w:color="auto"/>
              <w:bottom w:val="single" w:sz="4" w:space="0" w:color="auto"/>
              <w:right w:val="single" w:sz="4" w:space="0" w:color="auto"/>
            </w:tcBorders>
            <w:vAlign w:val="center"/>
          </w:tcPr>
          <w:p w14:paraId="50E4C5C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42.28</w:t>
            </w:r>
          </w:p>
        </w:tc>
      </w:tr>
      <w:tr w:rsidR="00007225" w14:paraId="65AB60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522D4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A0C4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339D7C0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c>
          <w:tcPr>
            <w:tcW w:w="400" w:type="pct"/>
            <w:tcBorders>
              <w:top w:val="single" w:sz="4" w:space="0" w:color="auto"/>
              <w:left w:val="single" w:sz="4" w:space="0" w:color="auto"/>
              <w:bottom w:val="single" w:sz="4" w:space="0" w:color="auto"/>
              <w:right w:val="single" w:sz="4" w:space="0" w:color="auto"/>
            </w:tcBorders>
            <w:vAlign w:val="center"/>
          </w:tcPr>
          <w:p w14:paraId="3BAC8D0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007225" w14:paraId="10C492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9BF42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BF22A0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2443085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502,255,331.26</w:t>
            </w:r>
          </w:p>
        </w:tc>
        <w:tc>
          <w:tcPr>
            <w:tcW w:w="400" w:type="pct"/>
            <w:tcBorders>
              <w:top w:val="single" w:sz="4" w:space="0" w:color="auto"/>
              <w:left w:val="single" w:sz="4" w:space="0" w:color="auto"/>
              <w:bottom w:val="single" w:sz="4" w:space="0" w:color="auto"/>
              <w:right w:val="single" w:sz="4" w:space="0" w:color="auto"/>
            </w:tcBorders>
            <w:vAlign w:val="center"/>
          </w:tcPr>
          <w:p w14:paraId="3AA2C0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60397E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2、报告期债券回购融资情况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71B3A0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8BFA2C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AD473C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400" w:type="pct"/>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36A57B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52A445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1BA89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71F612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报告期内债券回购融资余额</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79DDF24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5.21</w:t>
            </w:r>
          </w:p>
        </w:tc>
      </w:tr>
      <w:tr w:rsidR="00007225" w14:paraId="758D8D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0F7E5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46D9A9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400" w:type="pct"/>
            <w:gridSpan w:val="2"/>
            <w:tcBorders>
              <w:top w:val="single" w:sz="4" w:space="0" w:color="auto"/>
              <w:left w:val="single" w:sz="4" w:space="0" w:color="auto"/>
              <w:bottom w:val="single" w:sz="4" w:space="0" w:color="auto"/>
              <w:right w:val="single" w:sz="4" w:space="0" w:color="auto"/>
            </w:tcBorders>
            <w:vAlign w:val="center"/>
          </w:tcPr>
          <w:p w14:paraId="7BCFFF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6F9AF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7F2A2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vAlign w:val="center"/>
          </w:tcPr>
          <w:p w14:paraId="73823F0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66B9470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vAlign w:val="center"/>
          </w:tcPr>
          <w:p w14:paraId="6CE70D6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767BB76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CD1EB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F1FBB5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报告期末债券回购融资余额</w:t>
            </w:r>
          </w:p>
        </w:tc>
        <w:tc>
          <w:tcPr>
            <w:tcW w:w="750" w:type="pct"/>
            <w:tcBorders>
              <w:top w:val="single" w:sz="4" w:space="0" w:color="auto"/>
              <w:left w:val="single" w:sz="4" w:space="0" w:color="auto"/>
              <w:bottom w:val="single" w:sz="4" w:space="0" w:color="auto"/>
              <w:right w:val="single" w:sz="4" w:space="0" w:color="auto"/>
            </w:tcBorders>
            <w:vAlign w:val="center"/>
          </w:tcPr>
          <w:p w14:paraId="0F625A7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32,132,936.91</w:t>
            </w:r>
          </w:p>
        </w:tc>
        <w:tc>
          <w:tcPr>
            <w:tcW w:w="400" w:type="pct"/>
            <w:tcBorders>
              <w:top w:val="single" w:sz="4" w:space="0" w:color="auto"/>
              <w:left w:val="single" w:sz="4" w:space="0" w:color="auto"/>
              <w:bottom w:val="single" w:sz="4" w:space="0" w:color="auto"/>
              <w:right w:val="single" w:sz="4" w:space="0" w:color="auto"/>
            </w:tcBorders>
            <w:vAlign w:val="center"/>
          </w:tcPr>
          <w:p w14:paraId="4B36202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r w:rsidR="00007225" w14:paraId="30B2F55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338D33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0B161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其中：买断式回购融资</w:t>
            </w:r>
          </w:p>
        </w:tc>
        <w:tc>
          <w:tcPr>
            <w:tcW w:w="750" w:type="pct"/>
            <w:tcBorders>
              <w:top w:val="single" w:sz="4" w:space="0" w:color="auto"/>
              <w:left w:val="single" w:sz="4" w:space="0" w:color="auto"/>
              <w:bottom w:val="single" w:sz="4" w:space="0" w:color="auto"/>
              <w:right w:val="single" w:sz="4" w:space="0" w:color="auto"/>
            </w:tcBorders>
            <w:vAlign w:val="center"/>
          </w:tcPr>
          <w:p w14:paraId="625AF33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630FEF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5C7BFF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注：报告期内债券回购融资余额占基金资产净值的比例为报告期内每个银行间市场交易日融资余额占资产净值比例的简单平均值。</w:t>
      </w:r>
    </w:p>
    <w:p w14:paraId="1C0972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债券正回购的资金余额超过基金资产净值的20%的说明</w:t>
      </w:r>
    </w:p>
    <w:p w14:paraId="31753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886B01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3、基金投资组合平均剩余期限</w:t>
      </w:r>
    </w:p>
    <w:p w14:paraId="621DE5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投资组合平均剩余期限基本情况</w:t>
      </w:r>
    </w:p>
    <w:tbl>
      <w:tblPr>
        <w:tblW w:w="5000" w:type="pct"/>
        <w:tblCellMar>
          <w:left w:w="0" w:type="dxa"/>
          <w:right w:w="0" w:type="dxa"/>
        </w:tblCellMar>
        <w:tblLook w:val="0000" w:firstRow="0" w:lastRow="0" w:firstColumn="0" w:lastColumn="0" w:noHBand="0" w:noVBand="0"/>
      </w:tblPr>
      <w:tblGrid>
        <w:gridCol w:w="4325"/>
        <w:gridCol w:w="4325"/>
      </w:tblGrid>
      <w:tr w:rsidR="00007225" w14:paraId="3C7690F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EED2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8003EC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天数</w:t>
            </w:r>
          </w:p>
        </w:tc>
      </w:tr>
      <w:tr w:rsidR="00007225" w14:paraId="3DA1058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BA3769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报告期末投资组合平均剩余期限</w:t>
            </w:r>
          </w:p>
        </w:tc>
        <w:tc>
          <w:tcPr>
            <w:tcW w:w="750" w:type="pct"/>
            <w:tcBorders>
              <w:top w:val="single" w:sz="4" w:space="0" w:color="auto"/>
              <w:left w:val="single" w:sz="4" w:space="0" w:color="auto"/>
              <w:bottom w:val="single" w:sz="4" w:space="0" w:color="auto"/>
              <w:right w:val="single" w:sz="4" w:space="0" w:color="auto"/>
            </w:tcBorders>
            <w:vAlign w:val="center"/>
          </w:tcPr>
          <w:p w14:paraId="3909878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89</w:t>
            </w:r>
          </w:p>
        </w:tc>
      </w:tr>
      <w:tr w:rsidR="00007225" w14:paraId="419323A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55D20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报告期内投资组合平均剩余期限最高值</w:t>
            </w:r>
          </w:p>
        </w:tc>
        <w:tc>
          <w:tcPr>
            <w:tcW w:w="750" w:type="pct"/>
            <w:tcBorders>
              <w:top w:val="single" w:sz="4" w:space="0" w:color="auto"/>
              <w:left w:val="single" w:sz="4" w:space="0" w:color="auto"/>
              <w:bottom w:val="single" w:sz="4" w:space="0" w:color="auto"/>
              <w:right w:val="single" w:sz="4" w:space="0" w:color="auto"/>
            </w:tcBorders>
            <w:vAlign w:val="center"/>
          </w:tcPr>
          <w:p w14:paraId="40ACD5C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98</w:t>
            </w:r>
          </w:p>
        </w:tc>
      </w:tr>
      <w:tr w:rsidR="00007225" w14:paraId="06588EF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4CB225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报告期内投资组合平均剩余期限最低值</w:t>
            </w:r>
          </w:p>
        </w:tc>
        <w:tc>
          <w:tcPr>
            <w:tcW w:w="750" w:type="pct"/>
            <w:tcBorders>
              <w:top w:val="single" w:sz="4" w:space="0" w:color="auto"/>
              <w:left w:val="single" w:sz="4" w:space="0" w:color="auto"/>
              <w:bottom w:val="single" w:sz="4" w:space="0" w:color="auto"/>
              <w:right w:val="single" w:sz="4" w:space="0" w:color="auto"/>
            </w:tcBorders>
            <w:vAlign w:val="center"/>
          </w:tcPr>
          <w:p w14:paraId="3FF0722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69</w:t>
            </w:r>
          </w:p>
        </w:tc>
      </w:tr>
    </w:tbl>
    <w:p w14:paraId="0E70C4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报告期内投资组合平均剩余期限超过120天情况说明</w:t>
      </w:r>
    </w:p>
    <w:p w14:paraId="171C88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CB5EE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 报告期末投资组合平均剩余期限分布比例</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3A710F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A92825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1A0455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平均剩余期限</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90D16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各期限资产占基金资产净值的比例（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ABD479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各期限负债占基金资产净值的比例（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5F9B48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6E72E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E3C051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14:paraId="2F9BAA5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26.85</w:t>
            </w:r>
          </w:p>
        </w:tc>
        <w:tc>
          <w:tcPr>
            <w:tcW w:w="400" w:type="pct"/>
            <w:tcBorders>
              <w:top w:val="single" w:sz="4" w:space="0" w:color="auto"/>
              <w:left w:val="single" w:sz="4" w:space="0" w:color="auto"/>
              <w:bottom w:val="single" w:sz="4" w:space="0" w:color="auto"/>
              <w:right w:val="single" w:sz="4" w:space="0" w:color="auto"/>
            </w:tcBorders>
            <w:vAlign w:val="center"/>
          </w:tcPr>
          <w:p w14:paraId="01E23F1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r w:rsidR="00007225" w14:paraId="0166ABA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4296B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C9DA8D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1763850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FF2D1C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BA888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AD37F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EBF0D9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天（含）</w:t>
            </w:r>
            <w:r>
              <w:rPr>
                <w:rFonts w:ascii="Times New Roman" w:hAnsi="Times New Roman"/>
                <w:color w:val="000000"/>
                <w:kern w:val="0"/>
                <w:sz w:val="25"/>
                <w:szCs w:val="24"/>
              </w:rPr>
              <w:t>—60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027836D1"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12.79</w:t>
            </w:r>
          </w:p>
        </w:tc>
        <w:tc>
          <w:tcPr>
            <w:tcW w:w="400" w:type="pct"/>
            <w:tcBorders>
              <w:top w:val="single" w:sz="4" w:space="0" w:color="auto"/>
              <w:left w:val="single" w:sz="4" w:space="0" w:color="auto"/>
              <w:bottom w:val="single" w:sz="4" w:space="0" w:color="auto"/>
              <w:right w:val="single" w:sz="4" w:space="0" w:color="auto"/>
            </w:tcBorders>
            <w:vAlign w:val="center"/>
          </w:tcPr>
          <w:p w14:paraId="58DB99C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F0EDF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8F08B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94F42F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40C873F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516999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38F33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AD23F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549F9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60</w:t>
            </w:r>
            <w:r>
              <w:rPr>
                <w:rFonts w:ascii="Times New Roman" w:hAnsi="Times New Roman"/>
                <w:color w:val="000000"/>
                <w:kern w:val="0"/>
                <w:sz w:val="25"/>
                <w:szCs w:val="24"/>
              </w:rPr>
              <w:t>天（含）</w:t>
            </w:r>
            <w:r>
              <w:rPr>
                <w:rFonts w:ascii="Times New Roman" w:hAnsi="Times New Roman"/>
                <w:color w:val="000000"/>
                <w:kern w:val="0"/>
                <w:sz w:val="25"/>
                <w:szCs w:val="24"/>
              </w:rPr>
              <w:t>—90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11F5688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33.06</w:t>
            </w:r>
          </w:p>
        </w:tc>
        <w:tc>
          <w:tcPr>
            <w:tcW w:w="400" w:type="pct"/>
            <w:tcBorders>
              <w:top w:val="single" w:sz="4" w:space="0" w:color="auto"/>
              <w:left w:val="single" w:sz="4" w:space="0" w:color="auto"/>
              <w:bottom w:val="single" w:sz="4" w:space="0" w:color="auto"/>
              <w:right w:val="single" w:sz="4" w:space="0" w:color="auto"/>
            </w:tcBorders>
            <w:vAlign w:val="center"/>
          </w:tcPr>
          <w:p w14:paraId="0EB7283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C3B85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BA8DE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AE3C32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6EC23A8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C4D4AC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9EC692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90543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5FB8DE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90</w:t>
            </w:r>
            <w:r>
              <w:rPr>
                <w:rFonts w:ascii="Times New Roman" w:hAnsi="Times New Roman"/>
                <w:color w:val="000000"/>
                <w:kern w:val="0"/>
                <w:sz w:val="25"/>
                <w:szCs w:val="24"/>
              </w:rPr>
              <w:t>天（含）</w:t>
            </w:r>
            <w:r>
              <w:rPr>
                <w:rFonts w:ascii="Times New Roman" w:hAnsi="Times New Roman"/>
                <w:color w:val="000000"/>
                <w:kern w:val="0"/>
                <w:sz w:val="25"/>
                <w:szCs w:val="24"/>
              </w:rPr>
              <w:t>—120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14:paraId="4E7EF1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c>
          <w:tcPr>
            <w:tcW w:w="400" w:type="pct"/>
            <w:tcBorders>
              <w:top w:val="single" w:sz="4" w:space="0" w:color="auto"/>
              <w:left w:val="single" w:sz="4" w:space="0" w:color="auto"/>
              <w:bottom w:val="single" w:sz="4" w:space="0" w:color="auto"/>
              <w:right w:val="single" w:sz="4" w:space="0" w:color="auto"/>
            </w:tcBorders>
            <w:vAlign w:val="center"/>
          </w:tcPr>
          <w:p w14:paraId="76F1162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57FBB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8AEEF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5FF100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5516347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FE73F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4C49292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4085C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65A292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r>
              <w:rPr>
                <w:rFonts w:ascii="Times New Roman" w:hAnsi="Times New Roman"/>
                <w:color w:val="000000"/>
                <w:kern w:val="0"/>
                <w:sz w:val="25"/>
                <w:szCs w:val="24"/>
              </w:rPr>
              <w:t>天（含）</w:t>
            </w:r>
            <w:r>
              <w:rPr>
                <w:rFonts w:ascii="Times New Roman" w:hAnsi="Times New Roman"/>
                <w:color w:val="000000"/>
                <w:kern w:val="0"/>
                <w:sz w:val="25"/>
                <w:szCs w:val="24"/>
              </w:rPr>
              <w:t>—397</w:t>
            </w:r>
            <w:r>
              <w:rPr>
                <w:rFonts w:ascii="Times New Roman" w:hAnsi="Times New Roman"/>
                <w:color w:val="000000"/>
                <w:kern w:val="0"/>
                <w:sz w:val="25"/>
                <w:szCs w:val="24"/>
              </w:rPr>
              <w:t>天（含）</w:t>
            </w:r>
          </w:p>
        </w:tc>
        <w:tc>
          <w:tcPr>
            <w:tcW w:w="750" w:type="pct"/>
            <w:tcBorders>
              <w:top w:val="single" w:sz="4" w:space="0" w:color="auto"/>
              <w:left w:val="single" w:sz="4" w:space="0" w:color="auto"/>
              <w:bottom w:val="single" w:sz="4" w:space="0" w:color="auto"/>
              <w:right w:val="single" w:sz="4" w:space="0" w:color="auto"/>
            </w:tcBorders>
            <w:vAlign w:val="center"/>
          </w:tcPr>
          <w:p w14:paraId="4BE94D3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27.56</w:t>
            </w:r>
          </w:p>
        </w:tc>
        <w:tc>
          <w:tcPr>
            <w:tcW w:w="400" w:type="pct"/>
            <w:tcBorders>
              <w:top w:val="single" w:sz="4" w:space="0" w:color="auto"/>
              <w:left w:val="single" w:sz="4" w:space="0" w:color="auto"/>
              <w:bottom w:val="single" w:sz="4" w:space="0" w:color="auto"/>
              <w:right w:val="single" w:sz="4" w:space="0" w:color="auto"/>
            </w:tcBorders>
            <w:vAlign w:val="center"/>
          </w:tcPr>
          <w:p w14:paraId="504398C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D62D55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BC26E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62DBA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w:t>
            </w:r>
          </w:p>
        </w:tc>
        <w:tc>
          <w:tcPr>
            <w:tcW w:w="750" w:type="pct"/>
            <w:tcBorders>
              <w:top w:val="single" w:sz="4" w:space="0" w:color="auto"/>
              <w:left w:val="single" w:sz="4" w:space="0" w:color="auto"/>
              <w:bottom w:val="single" w:sz="4" w:space="0" w:color="auto"/>
              <w:right w:val="single" w:sz="4" w:space="0" w:color="auto"/>
            </w:tcBorders>
            <w:vAlign w:val="center"/>
          </w:tcPr>
          <w:p w14:paraId="4366CB0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870F4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2FE28B22" w14:textId="77777777">
        <w:trPr>
          <w:cantSplit/>
          <w:trHeight w:val="375"/>
        </w:trPr>
        <w:tc>
          <w:tcPr>
            <w:tcW w:w="250" w:type="pct"/>
            <w:gridSpan w:val="2"/>
            <w:tcBorders>
              <w:top w:val="single" w:sz="4" w:space="0" w:color="auto"/>
              <w:left w:val="single" w:sz="4" w:space="0" w:color="auto"/>
              <w:bottom w:val="single" w:sz="4" w:space="0" w:color="auto"/>
              <w:right w:val="single" w:sz="4" w:space="0" w:color="auto"/>
            </w:tcBorders>
            <w:vAlign w:val="center"/>
          </w:tcPr>
          <w:p w14:paraId="439E3DD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合计</w:t>
            </w:r>
          </w:p>
        </w:tc>
        <w:tc>
          <w:tcPr>
            <w:tcW w:w="750" w:type="pct"/>
            <w:tcBorders>
              <w:top w:val="single" w:sz="4" w:space="0" w:color="auto"/>
              <w:left w:val="single" w:sz="4" w:space="0" w:color="auto"/>
              <w:bottom w:val="single" w:sz="4" w:space="0" w:color="auto"/>
              <w:right w:val="single" w:sz="4" w:space="0" w:color="auto"/>
            </w:tcBorders>
            <w:vAlign w:val="center"/>
          </w:tcPr>
          <w:p w14:paraId="28B6806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106.67</w:t>
            </w:r>
          </w:p>
        </w:tc>
        <w:tc>
          <w:tcPr>
            <w:tcW w:w="400" w:type="pct"/>
            <w:tcBorders>
              <w:top w:val="single" w:sz="4" w:space="0" w:color="auto"/>
              <w:left w:val="single" w:sz="4" w:space="0" w:color="auto"/>
              <w:bottom w:val="single" w:sz="4" w:space="0" w:color="auto"/>
              <w:right w:val="single" w:sz="4" w:space="0" w:color="auto"/>
            </w:tcBorders>
            <w:vAlign w:val="center"/>
          </w:tcPr>
          <w:p w14:paraId="7C67A99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6.86</w:t>
            </w:r>
          </w:p>
        </w:tc>
      </w:tr>
    </w:tbl>
    <w:p w14:paraId="210059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报告期内投资组合平均剩余存续期超过240天情况说明</w:t>
      </w:r>
    </w:p>
    <w:p w14:paraId="2576DF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注：本基金本报告期内投资组合平均剩余存续期限未超过240天。</w:t>
      </w:r>
    </w:p>
    <w:p w14:paraId="5C62E3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7C0E21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8CDB97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6751961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FF824E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DADB53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422243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30A42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6154B7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9FC3C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B7CC3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4A831F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7DD63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18EE61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121F28A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068409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04249A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6C819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4B55EE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0D0733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30,006,855.57</w:t>
            </w:r>
          </w:p>
        </w:tc>
        <w:tc>
          <w:tcPr>
            <w:tcW w:w="400" w:type="pct"/>
            <w:tcBorders>
              <w:top w:val="single" w:sz="4" w:space="0" w:color="auto"/>
              <w:left w:val="single" w:sz="4" w:space="0" w:color="auto"/>
              <w:bottom w:val="single" w:sz="4" w:space="0" w:color="auto"/>
              <w:right w:val="single" w:sz="4" w:space="0" w:color="auto"/>
            </w:tcBorders>
            <w:vAlign w:val="center"/>
          </w:tcPr>
          <w:p w14:paraId="683CEB8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r>
      <w:tr w:rsidR="00007225" w14:paraId="7B238B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43F44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8FFFF1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FEB173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30,006,855.57</w:t>
            </w:r>
          </w:p>
        </w:tc>
        <w:tc>
          <w:tcPr>
            <w:tcW w:w="400" w:type="pct"/>
            <w:tcBorders>
              <w:top w:val="single" w:sz="4" w:space="0" w:color="auto"/>
              <w:left w:val="single" w:sz="4" w:space="0" w:color="auto"/>
              <w:bottom w:val="single" w:sz="4" w:space="0" w:color="auto"/>
              <w:right w:val="single" w:sz="4" w:space="0" w:color="auto"/>
            </w:tcBorders>
            <w:vAlign w:val="center"/>
          </w:tcPr>
          <w:p w14:paraId="18E743D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6.41</w:t>
            </w:r>
          </w:p>
        </w:tc>
      </w:tr>
      <w:tr w:rsidR="00007225" w14:paraId="3E2B5D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DC8B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9299F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5CD8998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86104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D4082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BDD57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DB2DD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41E24BC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40,102,732.81</w:t>
            </w:r>
          </w:p>
        </w:tc>
        <w:tc>
          <w:tcPr>
            <w:tcW w:w="400" w:type="pct"/>
            <w:tcBorders>
              <w:top w:val="single" w:sz="4" w:space="0" w:color="auto"/>
              <w:left w:val="single" w:sz="4" w:space="0" w:color="auto"/>
              <w:bottom w:val="single" w:sz="4" w:space="0" w:color="auto"/>
              <w:right w:val="single" w:sz="4" w:space="0" w:color="auto"/>
            </w:tcBorders>
            <w:vAlign w:val="center"/>
          </w:tcPr>
          <w:p w14:paraId="21816D0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8.56</w:t>
            </w:r>
          </w:p>
        </w:tc>
      </w:tr>
      <w:tr w:rsidR="00007225" w14:paraId="1E65FB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EE21E9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3BC1E2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2DDD12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2AE93B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12BEA7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5BCE5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081C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C48907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108,977,777.84</w:t>
            </w:r>
          </w:p>
        </w:tc>
        <w:tc>
          <w:tcPr>
            <w:tcW w:w="400" w:type="pct"/>
            <w:tcBorders>
              <w:top w:val="single" w:sz="4" w:space="0" w:color="auto"/>
              <w:left w:val="single" w:sz="4" w:space="0" w:color="auto"/>
              <w:bottom w:val="single" w:sz="4" w:space="0" w:color="auto"/>
              <w:right w:val="single" w:sz="4" w:space="0" w:color="auto"/>
            </w:tcBorders>
            <w:vAlign w:val="center"/>
          </w:tcPr>
          <w:p w14:paraId="36DB364B"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23.27</w:t>
            </w:r>
          </w:p>
        </w:tc>
      </w:tr>
      <w:tr w:rsidR="00007225" w14:paraId="298BC2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BF56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2432C6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60AD1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80DEEB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5E8241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BE7C3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3AFEFB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F8D3AD7"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179,087,366.22</w:t>
            </w:r>
          </w:p>
        </w:tc>
        <w:tc>
          <w:tcPr>
            <w:tcW w:w="400" w:type="pct"/>
            <w:tcBorders>
              <w:top w:val="single" w:sz="4" w:space="0" w:color="auto"/>
              <w:left w:val="single" w:sz="4" w:space="0" w:color="auto"/>
              <w:bottom w:val="single" w:sz="4" w:space="0" w:color="auto"/>
              <w:right w:val="single" w:sz="4" w:space="0" w:color="auto"/>
            </w:tcBorders>
            <w:vAlign w:val="center"/>
          </w:tcPr>
          <w:p w14:paraId="68173CB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38.24</w:t>
            </w:r>
          </w:p>
        </w:tc>
      </w:tr>
      <w:tr w:rsidR="00007225" w14:paraId="5CA523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28196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B6486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剩余存续期超过</w:t>
            </w:r>
            <w:r>
              <w:rPr>
                <w:rFonts w:ascii="Times New Roman" w:hAnsi="Times New Roman"/>
                <w:color w:val="000000"/>
                <w:kern w:val="0"/>
                <w:sz w:val="25"/>
                <w:szCs w:val="24"/>
              </w:rPr>
              <w:t>397</w:t>
            </w:r>
            <w:r>
              <w:rPr>
                <w:rFonts w:ascii="Times New Roman" w:hAnsi="Times New Roman"/>
                <w:color w:val="000000"/>
                <w:kern w:val="0"/>
                <w:sz w:val="25"/>
                <w:szCs w:val="24"/>
              </w:rPr>
              <w:t>天的浮动利率债券</w:t>
            </w:r>
          </w:p>
        </w:tc>
        <w:tc>
          <w:tcPr>
            <w:tcW w:w="750" w:type="pct"/>
            <w:tcBorders>
              <w:top w:val="single" w:sz="4" w:space="0" w:color="auto"/>
              <w:left w:val="single" w:sz="4" w:space="0" w:color="auto"/>
              <w:bottom w:val="single" w:sz="4" w:space="0" w:color="auto"/>
              <w:right w:val="single" w:sz="4" w:space="0" w:color="auto"/>
            </w:tcBorders>
            <w:vAlign w:val="center"/>
          </w:tcPr>
          <w:p w14:paraId="2A7E1CD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2424D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bl>
    <w:p w14:paraId="465BE4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6、报告期末按摊余成本占基金资产净值比例大小排名的前十名债券投资明细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07225" w14:paraId="078E6C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E4B088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F93BEC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20B6D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B6471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5D88C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摊余成本（元）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A54F02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07225" w14:paraId="1E38764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D8C9E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C738D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220404</w:t>
            </w:r>
          </w:p>
        </w:tc>
        <w:tc>
          <w:tcPr>
            <w:tcW w:w="750" w:type="pct"/>
            <w:tcBorders>
              <w:top w:val="single" w:sz="4" w:space="0" w:color="auto"/>
              <w:left w:val="single" w:sz="4" w:space="0" w:color="auto"/>
              <w:bottom w:val="single" w:sz="4" w:space="0" w:color="auto"/>
              <w:right w:val="single" w:sz="4" w:space="0" w:color="auto"/>
            </w:tcBorders>
            <w:vAlign w:val="center"/>
          </w:tcPr>
          <w:p w14:paraId="75DBEB9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10EAD4A2"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1BEC0DC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10,141,731.80</w:t>
            </w:r>
          </w:p>
        </w:tc>
        <w:tc>
          <w:tcPr>
            <w:tcW w:w="750" w:type="pct"/>
            <w:tcBorders>
              <w:top w:val="single" w:sz="4" w:space="0" w:color="auto"/>
              <w:left w:val="single" w:sz="4" w:space="0" w:color="auto"/>
              <w:bottom w:val="single" w:sz="4" w:space="0" w:color="auto"/>
              <w:right w:val="single" w:sz="4" w:space="0" w:color="auto"/>
            </w:tcBorders>
            <w:vAlign w:val="center"/>
          </w:tcPr>
          <w:p w14:paraId="49D8D38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2.17</w:t>
            </w:r>
          </w:p>
        </w:tc>
      </w:tr>
      <w:tr w:rsidR="00007225" w14:paraId="3176C4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1F5D0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9400B4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012283618</w:t>
            </w:r>
          </w:p>
        </w:tc>
        <w:tc>
          <w:tcPr>
            <w:tcW w:w="750" w:type="pct"/>
            <w:tcBorders>
              <w:top w:val="single" w:sz="4" w:space="0" w:color="auto"/>
              <w:left w:val="single" w:sz="4" w:space="0" w:color="auto"/>
              <w:bottom w:val="single" w:sz="4" w:space="0" w:color="auto"/>
              <w:right w:val="single" w:sz="4" w:space="0" w:color="auto"/>
            </w:tcBorders>
            <w:vAlign w:val="center"/>
          </w:tcPr>
          <w:p w14:paraId="78FDEF9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武金控</w:t>
            </w:r>
            <w:r>
              <w:rPr>
                <w:rFonts w:ascii="Times New Roman" w:hAnsi="Times New Roman"/>
                <w:color w:val="000000"/>
                <w:kern w:val="0"/>
                <w:sz w:val="25"/>
                <w:szCs w:val="24"/>
              </w:rPr>
              <w:t>SCP005</w:t>
            </w:r>
          </w:p>
        </w:tc>
        <w:tc>
          <w:tcPr>
            <w:tcW w:w="750" w:type="pct"/>
            <w:tcBorders>
              <w:top w:val="single" w:sz="4" w:space="0" w:color="auto"/>
              <w:left w:val="single" w:sz="4" w:space="0" w:color="auto"/>
              <w:bottom w:val="single" w:sz="4" w:space="0" w:color="auto"/>
              <w:right w:val="single" w:sz="4" w:space="0" w:color="auto"/>
            </w:tcBorders>
            <w:vAlign w:val="center"/>
          </w:tcPr>
          <w:p w14:paraId="40DC9E2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AAB86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10,083,255.65</w:t>
            </w:r>
          </w:p>
        </w:tc>
        <w:tc>
          <w:tcPr>
            <w:tcW w:w="750" w:type="pct"/>
            <w:tcBorders>
              <w:top w:val="single" w:sz="4" w:space="0" w:color="auto"/>
              <w:left w:val="single" w:sz="4" w:space="0" w:color="auto"/>
              <w:bottom w:val="single" w:sz="4" w:space="0" w:color="auto"/>
              <w:right w:val="single" w:sz="4" w:space="0" w:color="auto"/>
            </w:tcBorders>
            <w:vAlign w:val="center"/>
          </w:tcPr>
          <w:p w14:paraId="514DD1C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r>
      <w:tr w:rsidR="00007225" w14:paraId="20E481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70397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059410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012380836</w:t>
            </w:r>
          </w:p>
        </w:tc>
        <w:tc>
          <w:tcPr>
            <w:tcW w:w="750" w:type="pct"/>
            <w:tcBorders>
              <w:top w:val="single" w:sz="4" w:space="0" w:color="auto"/>
              <w:left w:val="single" w:sz="4" w:space="0" w:color="auto"/>
              <w:bottom w:val="single" w:sz="4" w:space="0" w:color="auto"/>
              <w:right w:val="single" w:sz="4" w:space="0" w:color="auto"/>
            </w:tcBorders>
            <w:vAlign w:val="center"/>
          </w:tcPr>
          <w:p w14:paraId="0B1F94B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环球租赁</w:t>
            </w:r>
            <w:r>
              <w:rPr>
                <w:rFonts w:ascii="Times New Roman" w:hAnsi="Times New Roman"/>
                <w:color w:val="000000"/>
                <w:kern w:val="0"/>
                <w:sz w:val="25"/>
                <w:szCs w:val="24"/>
              </w:rPr>
              <w:t>SCP006</w:t>
            </w:r>
          </w:p>
        </w:tc>
        <w:tc>
          <w:tcPr>
            <w:tcW w:w="750" w:type="pct"/>
            <w:tcBorders>
              <w:top w:val="single" w:sz="4" w:space="0" w:color="auto"/>
              <w:left w:val="single" w:sz="4" w:space="0" w:color="auto"/>
              <w:bottom w:val="single" w:sz="4" w:space="0" w:color="auto"/>
              <w:right w:val="single" w:sz="4" w:space="0" w:color="auto"/>
            </w:tcBorders>
            <w:vAlign w:val="center"/>
          </w:tcPr>
          <w:p w14:paraId="5599D42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96DA11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10,008,783.47</w:t>
            </w:r>
          </w:p>
        </w:tc>
        <w:tc>
          <w:tcPr>
            <w:tcW w:w="750" w:type="pct"/>
            <w:tcBorders>
              <w:top w:val="single" w:sz="4" w:space="0" w:color="auto"/>
              <w:left w:val="single" w:sz="4" w:space="0" w:color="auto"/>
              <w:bottom w:val="single" w:sz="4" w:space="0" w:color="auto"/>
              <w:right w:val="single" w:sz="4" w:space="0" w:color="auto"/>
            </w:tcBorders>
            <w:vAlign w:val="center"/>
          </w:tcPr>
          <w:p w14:paraId="4DC886B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023F03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4725B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97ED0D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012380968</w:t>
            </w:r>
          </w:p>
        </w:tc>
        <w:tc>
          <w:tcPr>
            <w:tcW w:w="750" w:type="pct"/>
            <w:tcBorders>
              <w:top w:val="single" w:sz="4" w:space="0" w:color="auto"/>
              <w:left w:val="single" w:sz="4" w:space="0" w:color="auto"/>
              <w:bottom w:val="single" w:sz="4" w:space="0" w:color="auto"/>
              <w:right w:val="single" w:sz="4" w:space="0" w:color="auto"/>
            </w:tcBorders>
            <w:vAlign w:val="center"/>
          </w:tcPr>
          <w:p w14:paraId="511FCA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鄂文旅</w:t>
            </w:r>
            <w:r>
              <w:rPr>
                <w:rFonts w:ascii="Times New Roman" w:hAnsi="Times New Roman"/>
                <w:color w:val="000000"/>
                <w:kern w:val="0"/>
                <w:sz w:val="25"/>
                <w:szCs w:val="24"/>
              </w:rPr>
              <w:t>SCP003</w:t>
            </w:r>
          </w:p>
        </w:tc>
        <w:tc>
          <w:tcPr>
            <w:tcW w:w="750" w:type="pct"/>
            <w:tcBorders>
              <w:top w:val="single" w:sz="4" w:space="0" w:color="auto"/>
              <w:left w:val="single" w:sz="4" w:space="0" w:color="auto"/>
              <w:bottom w:val="single" w:sz="4" w:space="0" w:color="auto"/>
              <w:right w:val="single" w:sz="4" w:space="0" w:color="auto"/>
            </w:tcBorders>
            <w:vAlign w:val="center"/>
          </w:tcPr>
          <w:p w14:paraId="4BA312F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4A1BB5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10,006,324.17</w:t>
            </w:r>
          </w:p>
        </w:tc>
        <w:tc>
          <w:tcPr>
            <w:tcW w:w="750" w:type="pct"/>
            <w:tcBorders>
              <w:top w:val="single" w:sz="4" w:space="0" w:color="auto"/>
              <w:left w:val="single" w:sz="4" w:space="0" w:color="auto"/>
              <w:bottom w:val="single" w:sz="4" w:space="0" w:color="auto"/>
              <w:right w:val="single" w:sz="4" w:space="0" w:color="auto"/>
            </w:tcBorders>
            <w:vAlign w:val="center"/>
          </w:tcPr>
          <w:p w14:paraId="2408D77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212A42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6383E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2C8DBE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012380936</w:t>
            </w:r>
          </w:p>
        </w:tc>
        <w:tc>
          <w:tcPr>
            <w:tcW w:w="750" w:type="pct"/>
            <w:tcBorders>
              <w:top w:val="single" w:sz="4" w:space="0" w:color="auto"/>
              <w:left w:val="single" w:sz="4" w:space="0" w:color="auto"/>
              <w:bottom w:val="single" w:sz="4" w:space="0" w:color="auto"/>
              <w:right w:val="single" w:sz="4" w:space="0" w:color="auto"/>
            </w:tcBorders>
            <w:vAlign w:val="center"/>
          </w:tcPr>
          <w:p w14:paraId="1EA96F0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环球租赁</w:t>
            </w:r>
            <w:r>
              <w:rPr>
                <w:rFonts w:ascii="Times New Roman" w:hAnsi="Times New Roman"/>
                <w:color w:val="000000"/>
                <w:kern w:val="0"/>
                <w:sz w:val="25"/>
                <w:szCs w:val="24"/>
              </w:rPr>
              <w:t>SCP007</w:t>
            </w:r>
          </w:p>
        </w:tc>
        <w:tc>
          <w:tcPr>
            <w:tcW w:w="750" w:type="pct"/>
            <w:tcBorders>
              <w:top w:val="single" w:sz="4" w:space="0" w:color="auto"/>
              <w:left w:val="single" w:sz="4" w:space="0" w:color="auto"/>
              <w:bottom w:val="single" w:sz="4" w:space="0" w:color="auto"/>
              <w:right w:val="single" w:sz="4" w:space="0" w:color="auto"/>
            </w:tcBorders>
            <w:vAlign w:val="center"/>
          </w:tcPr>
          <w:p w14:paraId="65165E3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628BCD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10,004,369.52</w:t>
            </w:r>
          </w:p>
        </w:tc>
        <w:tc>
          <w:tcPr>
            <w:tcW w:w="750" w:type="pct"/>
            <w:tcBorders>
              <w:top w:val="single" w:sz="4" w:space="0" w:color="auto"/>
              <w:left w:val="single" w:sz="4" w:space="0" w:color="auto"/>
              <w:bottom w:val="single" w:sz="4" w:space="0" w:color="auto"/>
              <w:right w:val="single" w:sz="4" w:space="0" w:color="auto"/>
            </w:tcBorders>
            <w:vAlign w:val="center"/>
          </w:tcPr>
          <w:p w14:paraId="03E2718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rsidR="00007225" w14:paraId="111F24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5653B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3D76B1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112283508</w:t>
            </w:r>
          </w:p>
        </w:tc>
        <w:tc>
          <w:tcPr>
            <w:tcW w:w="750" w:type="pct"/>
            <w:tcBorders>
              <w:top w:val="single" w:sz="4" w:space="0" w:color="auto"/>
              <w:left w:val="single" w:sz="4" w:space="0" w:color="auto"/>
              <w:bottom w:val="single" w:sz="4" w:space="0" w:color="auto"/>
              <w:right w:val="single" w:sz="4" w:space="0" w:color="auto"/>
            </w:tcBorders>
            <w:vAlign w:val="center"/>
          </w:tcPr>
          <w:p w14:paraId="1A349E9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成都农商银行</w:t>
            </w:r>
            <w:r>
              <w:rPr>
                <w:rFonts w:ascii="Times New Roman" w:hAnsi="Times New Roman"/>
                <w:color w:val="000000"/>
                <w:kern w:val="0"/>
                <w:sz w:val="25"/>
                <w:szCs w:val="24"/>
              </w:rPr>
              <w:t>CD129</w:t>
            </w:r>
          </w:p>
        </w:tc>
        <w:tc>
          <w:tcPr>
            <w:tcW w:w="750" w:type="pct"/>
            <w:tcBorders>
              <w:top w:val="single" w:sz="4" w:space="0" w:color="auto"/>
              <w:left w:val="single" w:sz="4" w:space="0" w:color="auto"/>
              <w:bottom w:val="single" w:sz="4" w:space="0" w:color="auto"/>
              <w:right w:val="single" w:sz="4" w:space="0" w:color="auto"/>
            </w:tcBorders>
            <w:vAlign w:val="center"/>
          </w:tcPr>
          <w:p w14:paraId="6FB4A7A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09160C2"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9,988,647.75</w:t>
            </w:r>
          </w:p>
        </w:tc>
        <w:tc>
          <w:tcPr>
            <w:tcW w:w="750" w:type="pct"/>
            <w:tcBorders>
              <w:top w:val="single" w:sz="4" w:space="0" w:color="auto"/>
              <w:left w:val="single" w:sz="4" w:space="0" w:color="auto"/>
              <w:bottom w:val="single" w:sz="4" w:space="0" w:color="auto"/>
              <w:right w:val="single" w:sz="4" w:space="0" w:color="auto"/>
            </w:tcBorders>
            <w:vAlign w:val="center"/>
          </w:tcPr>
          <w:p w14:paraId="64399BE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2D8D68F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CD9B9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4D5EA6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112285586</w:t>
            </w:r>
          </w:p>
        </w:tc>
        <w:tc>
          <w:tcPr>
            <w:tcW w:w="750" w:type="pct"/>
            <w:tcBorders>
              <w:top w:val="single" w:sz="4" w:space="0" w:color="auto"/>
              <w:left w:val="single" w:sz="4" w:space="0" w:color="auto"/>
              <w:bottom w:val="single" w:sz="4" w:space="0" w:color="auto"/>
              <w:right w:val="single" w:sz="4" w:space="0" w:color="auto"/>
            </w:tcBorders>
            <w:vAlign w:val="center"/>
          </w:tcPr>
          <w:p w14:paraId="2D8E84C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中原银行</w:t>
            </w:r>
            <w:r>
              <w:rPr>
                <w:rFonts w:ascii="Times New Roman" w:hAnsi="Times New Roman"/>
                <w:color w:val="000000"/>
                <w:kern w:val="0"/>
                <w:sz w:val="25"/>
                <w:szCs w:val="24"/>
              </w:rPr>
              <w:t>CD240</w:t>
            </w:r>
          </w:p>
        </w:tc>
        <w:tc>
          <w:tcPr>
            <w:tcW w:w="750" w:type="pct"/>
            <w:tcBorders>
              <w:top w:val="single" w:sz="4" w:space="0" w:color="auto"/>
              <w:left w:val="single" w:sz="4" w:space="0" w:color="auto"/>
              <w:bottom w:val="single" w:sz="4" w:space="0" w:color="auto"/>
              <w:right w:val="single" w:sz="4" w:space="0" w:color="auto"/>
            </w:tcBorders>
            <w:vAlign w:val="center"/>
          </w:tcPr>
          <w:p w14:paraId="4F89915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6B9909B9"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9,974,314.42</w:t>
            </w:r>
          </w:p>
        </w:tc>
        <w:tc>
          <w:tcPr>
            <w:tcW w:w="750" w:type="pct"/>
            <w:tcBorders>
              <w:top w:val="single" w:sz="4" w:space="0" w:color="auto"/>
              <w:left w:val="single" w:sz="4" w:space="0" w:color="auto"/>
              <w:bottom w:val="single" w:sz="4" w:space="0" w:color="auto"/>
              <w:right w:val="single" w:sz="4" w:space="0" w:color="auto"/>
            </w:tcBorders>
            <w:vAlign w:val="center"/>
          </w:tcPr>
          <w:p w14:paraId="6916DF9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78856D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00D14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B68785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112285656</w:t>
            </w:r>
          </w:p>
        </w:tc>
        <w:tc>
          <w:tcPr>
            <w:tcW w:w="750" w:type="pct"/>
            <w:tcBorders>
              <w:top w:val="single" w:sz="4" w:space="0" w:color="auto"/>
              <w:left w:val="single" w:sz="4" w:space="0" w:color="auto"/>
              <w:bottom w:val="single" w:sz="4" w:space="0" w:color="auto"/>
              <w:right w:val="single" w:sz="4" w:space="0" w:color="auto"/>
            </w:tcBorders>
            <w:vAlign w:val="center"/>
          </w:tcPr>
          <w:p w14:paraId="61DC7CC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德意志银行</w:t>
            </w:r>
            <w:r>
              <w:rPr>
                <w:rFonts w:ascii="Times New Roman" w:hAnsi="Times New Roman"/>
                <w:color w:val="000000"/>
                <w:kern w:val="0"/>
                <w:sz w:val="25"/>
                <w:szCs w:val="24"/>
              </w:rPr>
              <w:t>CD008</w:t>
            </w:r>
          </w:p>
        </w:tc>
        <w:tc>
          <w:tcPr>
            <w:tcW w:w="750" w:type="pct"/>
            <w:tcBorders>
              <w:top w:val="single" w:sz="4" w:space="0" w:color="auto"/>
              <w:left w:val="single" w:sz="4" w:space="0" w:color="auto"/>
              <w:bottom w:val="single" w:sz="4" w:space="0" w:color="auto"/>
              <w:right w:val="single" w:sz="4" w:space="0" w:color="auto"/>
            </w:tcBorders>
            <w:vAlign w:val="center"/>
          </w:tcPr>
          <w:p w14:paraId="62AB2DA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5C03B1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9,972,333.09</w:t>
            </w:r>
          </w:p>
        </w:tc>
        <w:tc>
          <w:tcPr>
            <w:tcW w:w="750" w:type="pct"/>
            <w:tcBorders>
              <w:top w:val="single" w:sz="4" w:space="0" w:color="auto"/>
              <w:left w:val="single" w:sz="4" w:space="0" w:color="auto"/>
              <w:bottom w:val="single" w:sz="4" w:space="0" w:color="auto"/>
              <w:right w:val="single" w:sz="4" w:space="0" w:color="auto"/>
            </w:tcBorders>
            <w:vAlign w:val="center"/>
          </w:tcPr>
          <w:p w14:paraId="14AAD3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4B5E76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C89E8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877697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2204111</w:t>
            </w:r>
          </w:p>
        </w:tc>
        <w:tc>
          <w:tcPr>
            <w:tcW w:w="750" w:type="pct"/>
            <w:tcBorders>
              <w:top w:val="single" w:sz="4" w:space="0" w:color="auto"/>
              <w:left w:val="single" w:sz="4" w:space="0" w:color="auto"/>
              <w:bottom w:val="single" w:sz="4" w:space="0" w:color="auto"/>
              <w:right w:val="single" w:sz="4" w:space="0" w:color="auto"/>
            </w:tcBorders>
            <w:vAlign w:val="center"/>
          </w:tcPr>
          <w:p w14:paraId="1815660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农发贴现</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7F6E65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25EF775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9,967,434.21</w:t>
            </w:r>
          </w:p>
        </w:tc>
        <w:tc>
          <w:tcPr>
            <w:tcW w:w="750" w:type="pct"/>
            <w:tcBorders>
              <w:top w:val="single" w:sz="4" w:space="0" w:color="auto"/>
              <w:left w:val="single" w:sz="4" w:space="0" w:color="auto"/>
              <w:bottom w:val="single" w:sz="4" w:space="0" w:color="auto"/>
              <w:right w:val="single" w:sz="4" w:space="0" w:color="auto"/>
            </w:tcBorders>
            <w:vAlign w:val="center"/>
          </w:tcPr>
          <w:p w14:paraId="6EC309DE"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rsidR="00007225" w14:paraId="3C22B1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FE42D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25740E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112219371</w:t>
            </w:r>
          </w:p>
        </w:tc>
        <w:tc>
          <w:tcPr>
            <w:tcW w:w="750" w:type="pct"/>
            <w:tcBorders>
              <w:top w:val="single" w:sz="4" w:space="0" w:color="auto"/>
              <w:left w:val="single" w:sz="4" w:space="0" w:color="auto"/>
              <w:bottom w:val="single" w:sz="4" w:space="0" w:color="auto"/>
              <w:right w:val="single" w:sz="4" w:space="0" w:color="auto"/>
            </w:tcBorders>
            <w:vAlign w:val="center"/>
          </w:tcPr>
          <w:p w14:paraId="3862592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恒丰银行</w:t>
            </w:r>
            <w:r>
              <w:rPr>
                <w:rFonts w:ascii="Times New Roman" w:hAnsi="Times New Roman"/>
                <w:color w:val="000000"/>
                <w:kern w:val="0"/>
                <w:sz w:val="25"/>
                <w:szCs w:val="24"/>
              </w:rPr>
              <w:t>CD371</w:t>
            </w:r>
          </w:p>
        </w:tc>
        <w:tc>
          <w:tcPr>
            <w:tcW w:w="750" w:type="pct"/>
            <w:tcBorders>
              <w:top w:val="single" w:sz="4" w:space="0" w:color="auto"/>
              <w:left w:val="single" w:sz="4" w:space="0" w:color="auto"/>
              <w:bottom w:val="single" w:sz="4" w:space="0" w:color="auto"/>
              <w:right w:val="single" w:sz="4" w:space="0" w:color="auto"/>
            </w:tcBorders>
            <w:vAlign w:val="center"/>
          </w:tcPr>
          <w:p w14:paraId="30031F96"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14:paraId="02DF7EF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9,955,175.72</w:t>
            </w:r>
          </w:p>
        </w:tc>
        <w:tc>
          <w:tcPr>
            <w:tcW w:w="750" w:type="pct"/>
            <w:tcBorders>
              <w:top w:val="single" w:sz="4" w:space="0" w:color="auto"/>
              <w:left w:val="single" w:sz="4" w:space="0" w:color="auto"/>
              <w:bottom w:val="single" w:sz="4" w:space="0" w:color="auto"/>
              <w:right w:val="single" w:sz="4" w:space="0" w:color="auto"/>
            </w:tcBorders>
            <w:vAlign w:val="center"/>
          </w:tcPr>
          <w:p w14:paraId="5317339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bl>
    <w:p w14:paraId="19F2DD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“影子定价”与“摊余成本法”确定的基金资产净值的偏离</w:t>
      </w:r>
    </w:p>
    <w:tbl>
      <w:tblPr>
        <w:tblW w:w="5000" w:type="pct"/>
        <w:tblCellMar>
          <w:left w:w="0" w:type="dxa"/>
          <w:right w:w="0" w:type="dxa"/>
        </w:tblCellMar>
        <w:tblLook w:val="0000" w:firstRow="0" w:lastRow="0" w:firstColumn="0" w:lastColumn="0" w:noHBand="0" w:noVBand="0"/>
      </w:tblPr>
      <w:tblGrid>
        <w:gridCol w:w="4325"/>
        <w:gridCol w:w="4325"/>
      </w:tblGrid>
      <w:tr w:rsidR="00007225" w14:paraId="2CF31B9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5231B7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E1868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偏离情况</w:t>
            </w:r>
          </w:p>
        </w:tc>
      </w:tr>
      <w:tr w:rsidR="00007225" w14:paraId="46AAF3F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57690B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报告期内偏离度的绝对值在</w:t>
            </w:r>
            <w:r>
              <w:rPr>
                <w:rFonts w:ascii="Times New Roman" w:hAnsi="Times New Roman"/>
                <w:color w:val="000000"/>
                <w:kern w:val="0"/>
                <w:sz w:val="25"/>
                <w:szCs w:val="24"/>
              </w:rPr>
              <w:t>0.25</w:t>
            </w:r>
            <w:r>
              <w:rPr>
                <w:rFonts w:ascii="Times New Roman" w:hAnsi="Times New Roman"/>
                <w:color w:val="000000"/>
                <w:kern w:val="0"/>
                <w:sz w:val="25"/>
                <w:szCs w:val="24"/>
              </w:rPr>
              <w:t>（含）</w:t>
            </w:r>
            <w:r>
              <w:rPr>
                <w:rFonts w:ascii="Times New Roman" w:hAnsi="Times New Roman"/>
                <w:color w:val="000000"/>
                <w:kern w:val="0"/>
                <w:sz w:val="25"/>
                <w:szCs w:val="24"/>
              </w:rPr>
              <w:t>-0.5%</w:t>
            </w:r>
            <w:r>
              <w:rPr>
                <w:rFonts w:ascii="Times New Roman" w:hAnsi="Times New Roman"/>
                <w:color w:val="000000"/>
                <w:kern w:val="0"/>
                <w:sz w:val="25"/>
                <w:szCs w:val="24"/>
              </w:rPr>
              <w:t>间的次数</w:t>
            </w:r>
          </w:p>
        </w:tc>
        <w:tc>
          <w:tcPr>
            <w:tcW w:w="750" w:type="pct"/>
            <w:tcBorders>
              <w:top w:val="single" w:sz="4" w:space="0" w:color="auto"/>
              <w:left w:val="single" w:sz="4" w:space="0" w:color="auto"/>
              <w:bottom w:val="single" w:sz="4" w:space="0" w:color="auto"/>
              <w:right w:val="single" w:sz="4" w:space="0" w:color="auto"/>
            </w:tcBorders>
            <w:vAlign w:val="center"/>
          </w:tcPr>
          <w:p w14:paraId="309B08BC"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w:t>
            </w:r>
          </w:p>
        </w:tc>
      </w:tr>
      <w:tr w:rsidR="00007225" w14:paraId="2DA8AA1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75EBC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报告期内偏离度的最高值</w:t>
            </w:r>
          </w:p>
        </w:tc>
        <w:tc>
          <w:tcPr>
            <w:tcW w:w="750" w:type="pct"/>
            <w:tcBorders>
              <w:top w:val="single" w:sz="4" w:space="0" w:color="auto"/>
              <w:left w:val="single" w:sz="4" w:space="0" w:color="auto"/>
              <w:bottom w:val="single" w:sz="4" w:space="0" w:color="auto"/>
              <w:right w:val="single" w:sz="4" w:space="0" w:color="auto"/>
            </w:tcBorders>
            <w:vAlign w:val="center"/>
          </w:tcPr>
          <w:p w14:paraId="786AA0D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0.0155%</w:t>
            </w:r>
          </w:p>
        </w:tc>
      </w:tr>
      <w:tr w:rsidR="00007225" w14:paraId="6D0F197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A926D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报告期内偏离度的最低值</w:t>
            </w:r>
          </w:p>
        </w:tc>
        <w:tc>
          <w:tcPr>
            <w:tcW w:w="750" w:type="pct"/>
            <w:tcBorders>
              <w:top w:val="single" w:sz="4" w:space="0" w:color="auto"/>
              <w:left w:val="single" w:sz="4" w:space="0" w:color="auto"/>
              <w:bottom w:val="single" w:sz="4" w:space="0" w:color="auto"/>
              <w:right w:val="single" w:sz="4" w:space="0" w:color="auto"/>
            </w:tcBorders>
            <w:vAlign w:val="center"/>
          </w:tcPr>
          <w:p w14:paraId="1E7441DA"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-0.0236%</w:t>
            </w:r>
          </w:p>
        </w:tc>
      </w:tr>
      <w:tr w:rsidR="00007225" w14:paraId="4B7F36B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751D3A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报告期内每个工作日偏离度的绝对值的简单平均值</w:t>
            </w:r>
          </w:p>
        </w:tc>
        <w:tc>
          <w:tcPr>
            <w:tcW w:w="750" w:type="pct"/>
            <w:tcBorders>
              <w:top w:val="single" w:sz="4" w:space="0" w:color="auto"/>
              <w:left w:val="single" w:sz="4" w:space="0" w:color="auto"/>
              <w:bottom w:val="single" w:sz="4" w:space="0" w:color="auto"/>
              <w:right w:val="single" w:sz="4" w:space="0" w:color="auto"/>
            </w:tcBorders>
            <w:vAlign w:val="center"/>
          </w:tcPr>
          <w:p w14:paraId="1932C368"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0.0090%</w:t>
            </w:r>
          </w:p>
        </w:tc>
      </w:tr>
    </w:tbl>
    <w:p w14:paraId="6A63AE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报告期内负偏离度的绝对值达到0.25%情况说明</w:t>
      </w:r>
    </w:p>
    <w:p w14:paraId="0D37B1E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B069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报告期内正偏离度的绝对值达到0.5%情况说明</w:t>
      </w:r>
    </w:p>
    <w:p w14:paraId="06D495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6FB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8、报告期末按摊余成本占基金资产净值比例大小排名的前十名资产支持证券投资明细</w:t>
      </w:r>
    </w:p>
    <w:p w14:paraId="6C0DF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FB0D5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9、投资组合报告附注</w:t>
      </w:r>
    </w:p>
    <w:p w14:paraId="6E0509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基金计价方法说明</w:t>
      </w:r>
    </w:p>
    <w:p w14:paraId="5241E3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本基金采用摊余成本法计价，即计价对象以买入成本列示，按票面利率或商定利率并考虑其买入时的溢价与折价，在其剩余期限内按照实际利率和摊余成本逐日摊销计算损益。</w:t>
      </w:r>
    </w:p>
    <w:p w14:paraId="44C559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本基金投资的前十名证券的发行主体本期是否出现被监管部门立案调查，或在报告编制日前一年内受到公开谴责、处罚的情形</w:t>
      </w:r>
    </w:p>
    <w:p w14:paraId="620ED7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6E7ADB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2022年5月25日，国家外汇管理局山东省分局公示鲁汇罚〔2022〕5号行政处罚决定书，给予恒丰银行股份有限公司罚款95.39万元人民币罚款的行政处罚。</w:t>
      </w:r>
    </w:p>
    <w:p w14:paraId="7A51DD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2022年5月16日，央行成都分行公示成银罚字〔2022〕17号行政处罚决定书，给予成都农村商业银行股份有限公司7.5万元人民币罚款的行政处罚。</w:t>
      </w:r>
    </w:p>
    <w:p w14:paraId="31ABF3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w:t>
      </w:r>
      <w:r>
        <w:rPr>
          <w:rFonts w:ascii="宋体" w:hAnsi="宋体"/>
          <w:sz w:val="24"/>
        </w:rPr>
        <w:lastRenderedPageBreak/>
        <w:t>策程序符合公司投资制度的规定。</w:t>
      </w:r>
    </w:p>
    <w:p w14:paraId="2C9D31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256DF8E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007225" w14:paraId="15533A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6F1EA2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9B134F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6E4983D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007225" w14:paraId="4278A6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EF7CC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291AC1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984B0A0"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7E7BBB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9EBEF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A11098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0AA88825"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639BB9A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C4944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F785F0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77E33CA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325DA87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2DF86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6A0A0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1B29EC5F"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r>
      <w:tr w:rsidR="00007225" w14:paraId="6D98F8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14C0A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D2FEEA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02E38604"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5769327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091B1A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05833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2C41513"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07225" w14:paraId="05D076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22B1D"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8FCEB9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09E7345D" w14:textId="77777777" w:rsidR="00007225" w:rsidRDefault="00F07F0D">
            <w:pPr>
              <w:widowControl/>
              <w:snapToGrid w:val="0"/>
              <w:jc w:val="right"/>
              <w:rPr>
                <w:rFonts w:ascii="宋体" w:hAnsi="宋体"/>
                <w:color w:val="000000"/>
                <w:kern w:val="0"/>
                <w:sz w:val="25"/>
                <w:szCs w:val="24"/>
              </w:rPr>
            </w:pPr>
            <w:r>
              <w:rPr>
                <w:rFonts w:ascii="Times New Roman" w:hAnsi="Times New Roman"/>
                <w:color w:val="000000"/>
                <w:kern w:val="0"/>
                <w:sz w:val="25"/>
                <w:szCs w:val="24"/>
              </w:rPr>
              <w:t>565,128.31</w:t>
            </w:r>
          </w:p>
        </w:tc>
      </w:tr>
    </w:tbl>
    <w:p w14:paraId="296C63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 投资组合报告附注的其他文字描述部分</w:t>
      </w:r>
    </w:p>
    <w:p w14:paraId="3E2BA1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ADC9B81"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467396" w14:textId="77777777" w:rsidR="00007225" w:rsidRDefault="00F07F0D">
      <w:pPr>
        <w:pStyle w:val="1"/>
        <w:snapToGrid w:val="0"/>
        <w:spacing w:beforeLines="0" w:before="240" w:after="240"/>
        <w:rPr>
          <w:rFonts w:ascii="宋体" w:hAnsi="宋体"/>
          <w:szCs w:val="30"/>
        </w:rPr>
      </w:pPr>
      <w:bookmarkStart w:id="15" w:name="_Toc160021643"/>
      <w:r>
        <w:rPr>
          <w:rFonts w:ascii="Times New Roman" w:hAnsi="Times New Roman"/>
          <w:sz w:val="30"/>
        </w:rPr>
        <w:lastRenderedPageBreak/>
        <w:t>十二、基金的业绩</w:t>
      </w:r>
      <w:bookmarkEnd w:id="15"/>
    </w:p>
    <w:p w14:paraId="65CD25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基金业绩截止日为2023年03月31日，所载财务数据未经审计师审计。</w:t>
      </w:r>
    </w:p>
    <w:p w14:paraId="0A254C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14:paraId="53E2E4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（一）基金份额净值收益率及其与同期业绩比较基准收益率的比较</w:t>
      </w:r>
    </w:p>
    <w:tbl>
      <w:tblPr>
        <w:tblW w:w="5000" w:type="pct"/>
        <w:tblCellMar>
          <w:left w:w="0" w:type="dxa"/>
          <w:right w:w="0" w:type="dxa"/>
        </w:tblCellMar>
        <w:tblLook w:val="0000" w:firstRow="0" w:lastRow="0" w:firstColumn="0" w:lastColumn="0" w:noHBand="0" w:noVBand="0"/>
      </w:tblPr>
      <w:tblGrid>
        <w:gridCol w:w="1139"/>
        <w:gridCol w:w="1139"/>
        <w:gridCol w:w="1140"/>
        <w:gridCol w:w="1140"/>
        <w:gridCol w:w="1140"/>
        <w:gridCol w:w="1140"/>
        <w:gridCol w:w="906"/>
        <w:gridCol w:w="906"/>
      </w:tblGrid>
      <w:tr w:rsidR="00007225" w14:paraId="797451C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6931B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8A58C7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620B115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DA51B7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净值收益率标准差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21B4414"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0B0F6E5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A07ABA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4350450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007225" w14:paraId="5AB92D3A"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7E729A15" w14:textId="76E56FDB"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sidR="006E4DF2">
              <w:rPr>
                <w:rFonts w:ascii="Times New Roman" w:hAnsi="Times New Roman" w:hint="eastAsia"/>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0D8E007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BB4407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0.4599%</w:t>
            </w:r>
          </w:p>
        </w:tc>
        <w:tc>
          <w:tcPr>
            <w:tcW w:w="750" w:type="pct"/>
            <w:tcBorders>
              <w:top w:val="single" w:sz="4" w:space="0" w:color="auto"/>
              <w:left w:val="single" w:sz="4" w:space="0" w:color="auto"/>
              <w:bottom w:val="single" w:sz="4" w:space="0" w:color="auto"/>
              <w:right w:val="single" w:sz="4" w:space="0" w:color="auto"/>
            </w:tcBorders>
            <w:vAlign w:val="center"/>
          </w:tcPr>
          <w:p w14:paraId="6D1A561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c>
          <w:tcPr>
            <w:tcW w:w="750" w:type="pct"/>
            <w:tcBorders>
              <w:top w:val="single" w:sz="4" w:space="0" w:color="auto"/>
              <w:left w:val="single" w:sz="4" w:space="0" w:color="auto"/>
              <w:bottom w:val="single" w:sz="4" w:space="0" w:color="auto"/>
              <w:right w:val="single" w:sz="4" w:space="0" w:color="auto"/>
            </w:tcBorders>
            <w:vAlign w:val="center"/>
          </w:tcPr>
          <w:p w14:paraId="2665C56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0.3205%</w:t>
            </w:r>
          </w:p>
        </w:tc>
        <w:tc>
          <w:tcPr>
            <w:tcW w:w="750" w:type="pct"/>
            <w:tcBorders>
              <w:top w:val="single" w:sz="4" w:space="0" w:color="auto"/>
              <w:left w:val="single" w:sz="4" w:space="0" w:color="auto"/>
              <w:bottom w:val="single" w:sz="4" w:space="0" w:color="auto"/>
              <w:right w:val="single" w:sz="4" w:space="0" w:color="auto"/>
            </w:tcBorders>
            <w:vAlign w:val="center"/>
          </w:tcPr>
          <w:p w14:paraId="29524BB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5309D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0.1394%</w:t>
            </w:r>
          </w:p>
        </w:tc>
        <w:tc>
          <w:tcPr>
            <w:tcW w:w="750" w:type="pct"/>
            <w:tcBorders>
              <w:top w:val="single" w:sz="4" w:space="0" w:color="auto"/>
              <w:left w:val="single" w:sz="4" w:space="0" w:color="auto"/>
              <w:bottom w:val="single" w:sz="4" w:space="0" w:color="auto"/>
              <w:right w:val="single" w:sz="4" w:space="0" w:color="auto"/>
            </w:tcBorders>
            <w:vAlign w:val="center"/>
          </w:tcPr>
          <w:p w14:paraId="451BE8A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r>
      <w:tr w:rsidR="00007225" w14:paraId="4EC19E4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D08ECC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A6F64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E5E52E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1.8415%</w:t>
            </w:r>
          </w:p>
        </w:tc>
        <w:tc>
          <w:tcPr>
            <w:tcW w:w="750" w:type="pct"/>
            <w:tcBorders>
              <w:top w:val="single" w:sz="4" w:space="0" w:color="auto"/>
              <w:left w:val="single" w:sz="4" w:space="0" w:color="auto"/>
              <w:bottom w:val="single" w:sz="4" w:space="0" w:color="auto"/>
              <w:right w:val="single" w:sz="4" w:space="0" w:color="auto"/>
            </w:tcBorders>
            <w:vAlign w:val="center"/>
          </w:tcPr>
          <w:p w14:paraId="539FAF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300C647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6676E6A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A7C2C3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0.5415%</w:t>
            </w:r>
          </w:p>
        </w:tc>
        <w:tc>
          <w:tcPr>
            <w:tcW w:w="750" w:type="pct"/>
            <w:tcBorders>
              <w:top w:val="single" w:sz="4" w:space="0" w:color="auto"/>
              <w:left w:val="single" w:sz="4" w:space="0" w:color="auto"/>
              <w:bottom w:val="single" w:sz="4" w:space="0" w:color="auto"/>
              <w:right w:val="single" w:sz="4" w:space="0" w:color="auto"/>
            </w:tcBorders>
            <w:vAlign w:val="center"/>
          </w:tcPr>
          <w:p w14:paraId="08B97B7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40EB9F5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4E0F548"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2ECAE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F2B1AF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2.0843%</w:t>
            </w:r>
          </w:p>
        </w:tc>
        <w:tc>
          <w:tcPr>
            <w:tcW w:w="750" w:type="pct"/>
            <w:tcBorders>
              <w:top w:val="single" w:sz="4" w:space="0" w:color="auto"/>
              <w:left w:val="single" w:sz="4" w:space="0" w:color="auto"/>
              <w:bottom w:val="single" w:sz="4" w:space="0" w:color="auto"/>
              <w:right w:val="single" w:sz="4" w:space="0" w:color="auto"/>
            </w:tcBorders>
            <w:vAlign w:val="center"/>
          </w:tcPr>
          <w:p w14:paraId="53B588B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764A7CF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2A806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23155F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0.7843%</w:t>
            </w:r>
          </w:p>
        </w:tc>
        <w:tc>
          <w:tcPr>
            <w:tcW w:w="750" w:type="pct"/>
            <w:tcBorders>
              <w:top w:val="single" w:sz="4" w:space="0" w:color="auto"/>
              <w:left w:val="single" w:sz="4" w:space="0" w:color="auto"/>
              <w:bottom w:val="single" w:sz="4" w:space="0" w:color="auto"/>
              <w:right w:val="single" w:sz="4" w:space="0" w:color="auto"/>
            </w:tcBorders>
            <w:vAlign w:val="center"/>
          </w:tcPr>
          <w:p w14:paraId="05F91D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007225" w14:paraId="3AA8D1A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A4DA3C7"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F90DFD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E7E6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1.7473%</w:t>
            </w:r>
          </w:p>
        </w:tc>
        <w:tc>
          <w:tcPr>
            <w:tcW w:w="750" w:type="pct"/>
            <w:tcBorders>
              <w:top w:val="single" w:sz="4" w:space="0" w:color="auto"/>
              <w:left w:val="single" w:sz="4" w:space="0" w:color="auto"/>
              <w:bottom w:val="single" w:sz="4" w:space="0" w:color="auto"/>
              <w:right w:val="single" w:sz="4" w:space="0" w:color="auto"/>
            </w:tcBorders>
            <w:vAlign w:val="center"/>
          </w:tcPr>
          <w:p w14:paraId="228AC9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4162322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6F2B1A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3B2BDE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0.4437%</w:t>
            </w:r>
          </w:p>
        </w:tc>
        <w:tc>
          <w:tcPr>
            <w:tcW w:w="750" w:type="pct"/>
            <w:tcBorders>
              <w:top w:val="single" w:sz="4" w:space="0" w:color="auto"/>
              <w:left w:val="single" w:sz="4" w:space="0" w:color="auto"/>
              <w:bottom w:val="single" w:sz="4" w:space="0" w:color="auto"/>
              <w:right w:val="single" w:sz="4" w:space="0" w:color="auto"/>
            </w:tcBorders>
            <w:vAlign w:val="center"/>
          </w:tcPr>
          <w:p w14:paraId="5B2BCE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36C003F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7EFAC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68B1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670BD8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2.1564%</w:t>
            </w:r>
          </w:p>
        </w:tc>
        <w:tc>
          <w:tcPr>
            <w:tcW w:w="750" w:type="pct"/>
            <w:tcBorders>
              <w:top w:val="single" w:sz="4" w:space="0" w:color="auto"/>
              <w:left w:val="single" w:sz="4" w:space="0" w:color="auto"/>
              <w:bottom w:val="single" w:sz="4" w:space="0" w:color="auto"/>
              <w:right w:val="single" w:sz="4" w:space="0" w:color="auto"/>
            </w:tcBorders>
            <w:vAlign w:val="center"/>
          </w:tcPr>
          <w:p w14:paraId="4E2494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6C6985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74661D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224B6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0.8564%</w:t>
            </w:r>
          </w:p>
        </w:tc>
        <w:tc>
          <w:tcPr>
            <w:tcW w:w="750" w:type="pct"/>
            <w:tcBorders>
              <w:top w:val="single" w:sz="4" w:space="0" w:color="auto"/>
              <w:left w:val="single" w:sz="4" w:space="0" w:color="auto"/>
              <w:bottom w:val="single" w:sz="4" w:space="0" w:color="auto"/>
              <w:right w:val="single" w:sz="4" w:space="0" w:color="auto"/>
            </w:tcBorders>
            <w:vAlign w:val="center"/>
          </w:tcPr>
          <w:p w14:paraId="6574391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r>
      <w:tr w:rsidR="00007225" w14:paraId="3EA4DB0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F662E2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05197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4AF6E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2.9844%</w:t>
            </w:r>
          </w:p>
        </w:tc>
        <w:tc>
          <w:tcPr>
            <w:tcW w:w="750" w:type="pct"/>
            <w:tcBorders>
              <w:top w:val="single" w:sz="4" w:space="0" w:color="auto"/>
              <w:left w:val="single" w:sz="4" w:space="0" w:color="auto"/>
              <w:bottom w:val="single" w:sz="4" w:space="0" w:color="auto"/>
              <w:right w:val="single" w:sz="4" w:space="0" w:color="auto"/>
            </w:tcBorders>
            <w:vAlign w:val="center"/>
          </w:tcPr>
          <w:p w14:paraId="091C12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150DE92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51B76B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4A67C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1.6844%</w:t>
            </w:r>
          </w:p>
        </w:tc>
        <w:tc>
          <w:tcPr>
            <w:tcW w:w="750" w:type="pct"/>
            <w:tcBorders>
              <w:top w:val="single" w:sz="4" w:space="0" w:color="auto"/>
              <w:left w:val="single" w:sz="4" w:space="0" w:color="auto"/>
              <w:bottom w:val="single" w:sz="4" w:space="0" w:color="auto"/>
              <w:right w:val="single" w:sz="4" w:space="0" w:color="auto"/>
            </w:tcBorders>
            <w:vAlign w:val="center"/>
          </w:tcPr>
          <w:p w14:paraId="01F211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007225" w14:paraId="2F8969E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574544C"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AD2B8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FE19D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3.3324%</w:t>
            </w:r>
          </w:p>
        </w:tc>
        <w:tc>
          <w:tcPr>
            <w:tcW w:w="750" w:type="pct"/>
            <w:tcBorders>
              <w:top w:val="single" w:sz="4" w:space="0" w:color="auto"/>
              <w:left w:val="single" w:sz="4" w:space="0" w:color="auto"/>
              <w:bottom w:val="single" w:sz="4" w:space="0" w:color="auto"/>
              <w:right w:val="single" w:sz="4" w:space="0" w:color="auto"/>
            </w:tcBorders>
            <w:vAlign w:val="center"/>
          </w:tcPr>
          <w:p w14:paraId="1F321E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c>
          <w:tcPr>
            <w:tcW w:w="750" w:type="pct"/>
            <w:tcBorders>
              <w:top w:val="single" w:sz="4" w:space="0" w:color="auto"/>
              <w:left w:val="single" w:sz="4" w:space="0" w:color="auto"/>
              <w:bottom w:val="single" w:sz="4" w:space="0" w:color="auto"/>
              <w:right w:val="single" w:sz="4" w:space="0" w:color="auto"/>
            </w:tcBorders>
            <w:vAlign w:val="center"/>
          </w:tcPr>
          <w:p w14:paraId="60BF729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2B9BCF9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1376B6C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2.0324%</w:t>
            </w:r>
          </w:p>
        </w:tc>
        <w:tc>
          <w:tcPr>
            <w:tcW w:w="750" w:type="pct"/>
            <w:tcBorders>
              <w:top w:val="single" w:sz="4" w:space="0" w:color="auto"/>
              <w:left w:val="single" w:sz="4" w:space="0" w:color="auto"/>
              <w:bottom w:val="single" w:sz="4" w:space="0" w:color="auto"/>
              <w:right w:val="single" w:sz="4" w:space="0" w:color="auto"/>
            </w:tcBorders>
            <w:vAlign w:val="center"/>
          </w:tcPr>
          <w:p w14:paraId="4C4FE17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20C29FA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5B063F6"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F7B22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B7B521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2.4728%</w:t>
            </w:r>
          </w:p>
        </w:tc>
        <w:tc>
          <w:tcPr>
            <w:tcW w:w="750" w:type="pct"/>
            <w:tcBorders>
              <w:top w:val="single" w:sz="4" w:space="0" w:color="auto"/>
              <w:left w:val="single" w:sz="4" w:space="0" w:color="auto"/>
              <w:bottom w:val="single" w:sz="4" w:space="0" w:color="auto"/>
              <w:right w:val="single" w:sz="4" w:space="0" w:color="auto"/>
            </w:tcBorders>
            <w:vAlign w:val="center"/>
          </w:tcPr>
          <w:p w14:paraId="350861B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c>
          <w:tcPr>
            <w:tcW w:w="750" w:type="pct"/>
            <w:tcBorders>
              <w:top w:val="single" w:sz="4" w:space="0" w:color="auto"/>
              <w:left w:val="single" w:sz="4" w:space="0" w:color="auto"/>
              <w:bottom w:val="single" w:sz="4" w:space="0" w:color="auto"/>
              <w:right w:val="single" w:sz="4" w:space="0" w:color="auto"/>
            </w:tcBorders>
            <w:vAlign w:val="center"/>
          </w:tcPr>
          <w:p w14:paraId="1D98A56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040D718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12C9021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1.1692%</w:t>
            </w:r>
          </w:p>
        </w:tc>
        <w:tc>
          <w:tcPr>
            <w:tcW w:w="750" w:type="pct"/>
            <w:tcBorders>
              <w:top w:val="single" w:sz="4" w:space="0" w:color="auto"/>
              <w:left w:val="single" w:sz="4" w:space="0" w:color="auto"/>
              <w:bottom w:val="single" w:sz="4" w:space="0" w:color="auto"/>
              <w:right w:val="single" w:sz="4" w:space="0" w:color="auto"/>
            </w:tcBorders>
            <w:vAlign w:val="center"/>
          </w:tcPr>
          <w:p w14:paraId="4462E39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r>
      <w:tr w:rsidR="00007225" w14:paraId="64BE87D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749F0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0631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AF7AE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3.1470%</w:t>
            </w:r>
          </w:p>
        </w:tc>
        <w:tc>
          <w:tcPr>
            <w:tcW w:w="750" w:type="pct"/>
            <w:tcBorders>
              <w:top w:val="single" w:sz="4" w:space="0" w:color="auto"/>
              <w:left w:val="single" w:sz="4" w:space="0" w:color="auto"/>
              <w:bottom w:val="single" w:sz="4" w:space="0" w:color="auto"/>
              <w:right w:val="single" w:sz="4" w:space="0" w:color="auto"/>
            </w:tcBorders>
            <w:vAlign w:val="center"/>
          </w:tcPr>
          <w:p w14:paraId="450AB5D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0.0045%</w:t>
            </w:r>
          </w:p>
        </w:tc>
        <w:tc>
          <w:tcPr>
            <w:tcW w:w="750" w:type="pct"/>
            <w:tcBorders>
              <w:top w:val="single" w:sz="4" w:space="0" w:color="auto"/>
              <w:left w:val="single" w:sz="4" w:space="0" w:color="auto"/>
              <w:bottom w:val="single" w:sz="4" w:space="0" w:color="auto"/>
              <w:right w:val="single" w:sz="4" w:space="0" w:color="auto"/>
            </w:tcBorders>
            <w:vAlign w:val="center"/>
          </w:tcPr>
          <w:p w14:paraId="46EE4B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1.9164%</w:t>
            </w:r>
          </w:p>
        </w:tc>
        <w:tc>
          <w:tcPr>
            <w:tcW w:w="750" w:type="pct"/>
            <w:tcBorders>
              <w:top w:val="single" w:sz="4" w:space="0" w:color="auto"/>
              <w:left w:val="single" w:sz="4" w:space="0" w:color="auto"/>
              <w:bottom w:val="single" w:sz="4" w:space="0" w:color="auto"/>
              <w:right w:val="single" w:sz="4" w:space="0" w:color="auto"/>
            </w:tcBorders>
            <w:vAlign w:val="center"/>
          </w:tcPr>
          <w:p w14:paraId="3ED8092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0.0012%</w:t>
            </w:r>
          </w:p>
        </w:tc>
        <w:tc>
          <w:tcPr>
            <w:tcW w:w="750" w:type="pct"/>
            <w:tcBorders>
              <w:top w:val="single" w:sz="4" w:space="0" w:color="auto"/>
              <w:left w:val="single" w:sz="4" w:space="0" w:color="auto"/>
              <w:bottom w:val="single" w:sz="4" w:space="0" w:color="auto"/>
              <w:right w:val="single" w:sz="4" w:space="0" w:color="auto"/>
            </w:tcBorders>
            <w:vAlign w:val="center"/>
          </w:tcPr>
          <w:p w14:paraId="00E3D05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1.2306%</w:t>
            </w:r>
          </w:p>
        </w:tc>
        <w:tc>
          <w:tcPr>
            <w:tcW w:w="750" w:type="pct"/>
            <w:tcBorders>
              <w:top w:val="single" w:sz="4" w:space="0" w:color="auto"/>
              <w:left w:val="single" w:sz="4" w:space="0" w:color="auto"/>
              <w:bottom w:val="single" w:sz="4" w:space="0" w:color="auto"/>
              <w:right w:val="single" w:sz="4" w:space="0" w:color="auto"/>
            </w:tcBorders>
            <w:vAlign w:val="center"/>
          </w:tcPr>
          <w:p w14:paraId="3EBC9C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0.0033%</w:t>
            </w:r>
          </w:p>
        </w:tc>
      </w:tr>
      <w:tr w:rsidR="00007225" w14:paraId="45E4AA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6F017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998772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91F876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4.4725%</w:t>
            </w:r>
          </w:p>
        </w:tc>
        <w:tc>
          <w:tcPr>
            <w:tcW w:w="750" w:type="pct"/>
            <w:tcBorders>
              <w:top w:val="single" w:sz="4" w:space="0" w:color="auto"/>
              <w:left w:val="single" w:sz="4" w:space="0" w:color="auto"/>
              <w:bottom w:val="single" w:sz="4" w:space="0" w:color="auto"/>
              <w:right w:val="single" w:sz="4" w:space="0" w:color="auto"/>
            </w:tcBorders>
            <w:vAlign w:val="center"/>
          </w:tcPr>
          <w:p w14:paraId="499A66C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0.0055%</w:t>
            </w:r>
          </w:p>
        </w:tc>
        <w:tc>
          <w:tcPr>
            <w:tcW w:w="750" w:type="pct"/>
            <w:tcBorders>
              <w:top w:val="single" w:sz="4" w:space="0" w:color="auto"/>
              <w:left w:val="single" w:sz="4" w:space="0" w:color="auto"/>
              <w:bottom w:val="single" w:sz="4" w:space="0" w:color="auto"/>
              <w:right w:val="single" w:sz="4" w:space="0" w:color="auto"/>
            </w:tcBorders>
            <w:vAlign w:val="center"/>
          </w:tcPr>
          <w:p w14:paraId="436539D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2.7726%</w:t>
            </w:r>
          </w:p>
        </w:tc>
        <w:tc>
          <w:tcPr>
            <w:tcW w:w="750" w:type="pct"/>
            <w:tcBorders>
              <w:top w:val="single" w:sz="4" w:space="0" w:color="auto"/>
              <w:left w:val="single" w:sz="4" w:space="0" w:color="auto"/>
              <w:bottom w:val="single" w:sz="4" w:space="0" w:color="auto"/>
              <w:right w:val="single" w:sz="4" w:space="0" w:color="auto"/>
            </w:tcBorders>
            <w:vAlign w:val="center"/>
          </w:tcPr>
          <w:p w14:paraId="1D69596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6D98A6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1.6999%</w:t>
            </w:r>
          </w:p>
        </w:tc>
        <w:tc>
          <w:tcPr>
            <w:tcW w:w="750" w:type="pct"/>
            <w:tcBorders>
              <w:top w:val="single" w:sz="4" w:space="0" w:color="auto"/>
              <w:left w:val="single" w:sz="4" w:space="0" w:color="auto"/>
              <w:bottom w:val="single" w:sz="4" w:space="0" w:color="auto"/>
              <w:right w:val="single" w:sz="4" w:space="0" w:color="auto"/>
            </w:tcBorders>
            <w:vAlign w:val="center"/>
          </w:tcPr>
          <w:p w14:paraId="144213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0.0053%</w:t>
            </w:r>
          </w:p>
        </w:tc>
      </w:tr>
      <w:tr w:rsidR="00007225" w14:paraId="756E03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076CEA7"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E2CD2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E483E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3.5646%</w:t>
            </w:r>
          </w:p>
        </w:tc>
        <w:tc>
          <w:tcPr>
            <w:tcW w:w="750" w:type="pct"/>
            <w:tcBorders>
              <w:top w:val="single" w:sz="4" w:space="0" w:color="auto"/>
              <w:left w:val="single" w:sz="4" w:space="0" w:color="auto"/>
              <w:bottom w:val="single" w:sz="4" w:space="0" w:color="auto"/>
              <w:right w:val="single" w:sz="4" w:space="0" w:color="auto"/>
            </w:tcBorders>
            <w:vAlign w:val="center"/>
          </w:tcPr>
          <w:p w14:paraId="0CA59DC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c>
          <w:tcPr>
            <w:tcW w:w="750" w:type="pct"/>
            <w:tcBorders>
              <w:top w:val="single" w:sz="4" w:space="0" w:color="auto"/>
              <w:left w:val="single" w:sz="4" w:space="0" w:color="auto"/>
              <w:bottom w:val="single" w:sz="4" w:space="0" w:color="auto"/>
              <w:right w:val="single" w:sz="4" w:space="0" w:color="auto"/>
            </w:tcBorders>
            <w:vAlign w:val="center"/>
          </w:tcPr>
          <w:p w14:paraId="48A363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2.8000%</w:t>
            </w:r>
          </w:p>
        </w:tc>
        <w:tc>
          <w:tcPr>
            <w:tcW w:w="750" w:type="pct"/>
            <w:tcBorders>
              <w:top w:val="single" w:sz="4" w:space="0" w:color="auto"/>
              <w:left w:val="single" w:sz="4" w:space="0" w:color="auto"/>
              <w:bottom w:val="single" w:sz="4" w:space="0" w:color="auto"/>
              <w:right w:val="single" w:sz="4" w:space="0" w:color="auto"/>
            </w:tcBorders>
            <w:vAlign w:val="center"/>
          </w:tcPr>
          <w:p w14:paraId="3F23FE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2E628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0.7646%</w:t>
            </w:r>
          </w:p>
        </w:tc>
        <w:tc>
          <w:tcPr>
            <w:tcW w:w="750" w:type="pct"/>
            <w:tcBorders>
              <w:top w:val="single" w:sz="4" w:space="0" w:color="auto"/>
              <w:left w:val="single" w:sz="4" w:space="0" w:color="auto"/>
              <w:bottom w:val="single" w:sz="4" w:space="0" w:color="auto"/>
              <w:right w:val="single" w:sz="4" w:space="0" w:color="auto"/>
            </w:tcBorders>
            <w:vAlign w:val="center"/>
          </w:tcPr>
          <w:p w14:paraId="32AB6C7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r>
      <w:tr w:rsidR="00007225" w14:paraId="7549F50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876000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1ECBFA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8218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3.7384%</w:t>
            </w:r>
          </w:p>
        </w:tc>
        <w:tc>
          <w:tcPr>
            <w:tcW w:w="750" w:type="pct"/>
            <w:tcBorders>
              <w:top w:val="single" w:sz="4" w:space="0" w:color="auto"/>
              <w:left w:val="single" w:sz="4" w:space="0" w:color="auto"/>
              <w:bottom w:val="single" w:sz="4" w:space="0" w:color="auto"/>
              <w:right w:val="single" w:sz="4" w:space="0" w:color="auto"/>
            </w:tcBorders>
            <w:vAlign w:val="center"/>
          </w:tcPr>
          <w:p w14:paraId="03E854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0.0030%</w:t>
            </w:r>
          </w:p>
        </w:tc>
        <w:tc>
          <w:tcPr>
            <w:tcW w:w="750" w:type="pct"/>
            <w:tcBorders>
              <w:top w:val="single" w:sz="4" w:space="0" w:color="auto"/>
              <w:left w:val="single" w:sz="4" w:space="0" w:color="auto"/>
              <w:bottom w:val="single" w:sz="4" w:space="0" w:color="auto"/>
              <w:right w:val="single" w:sz="4" w:space="0" w:color="auto"/>
            </w:tcBorders>
            <w:vAlign w:val="center"/>
          </w:tcPr>
          <w:p w14:paraId="0307EE8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3.0447%</w:t>
            </w:r>
          </w:p>
        </w:tc>
        <w:tc>
          <w:tcPr>
            <w:tcW w:w="750" w:type="pct"/>
            <w:tcBorders>
              <w:top w:val="single" w:sz="4" w:space="0" w:color="auto"/>
              <w:left w:val="single" w:sz="4" w:space="0" w:color="auto"/>
              <w:bottom w:val="single" w:sz="4" w:space="0" w:color="auto"/>
              <w:right w:val="single" w:sz="4" w:space="0" w:color="auto"/>
            </w:tcBorders>
            <w:vAlign w:val="center"/>
          </w:tcPr>
          <w:p w14:paraId="6257051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3F6B1E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0.6937%</w:t>
            </w:r>
          </w:p>
        </w:tc>
        <w:tc>
          <w:tcPr>
            <w:tcW w:w="750" w:type="pct"/>
            <w:tcBorders>
              <w:top w:val="single" w:sz="4" w:space="0" w:color="auto"/>
              <w:left w:val="single" w:sz="4" w:space="0" w:color="auto"/>
              <w:bottom w:val="single" w:sz="4" w:space="0" w:color="auto"/>
              <w:right w:val="single" w:sz="4" w:space="0" w:color="auto"/>
            </w:tcBorders>
            <w:vAlign w:val="center"/>
          </w:tcPr>
          <w:p w14:paraId="0B8B2CF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r>
      <w:tr w:rsidR="00007225" w14:paraId="73605FB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49BE7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51CF2F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2A19A6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3.2554%</w:t>
            </w:r>
          </w:p>
        </w:tc>
        <w:tc>
          <w:tcPr>
            <w:tcW w:w="750" w:type="pct"/>
            <w:tcBorders>
              <w:top w:val="single" w:sz="4" w:space="0" w:color="auto"/>
              <w:left w:val="single" w:sz="4" w:space="0" w:color="auto"/>
              <w:bottom w:val="single" w:sz="4" w:space="0" w:color="auto"/>
              <w:right w:val="single" w:sz="4" w:space="0" w:color="auto"/>
            </w:tcBorders>
            <w:vAlign w:val="center"/>
          </w:tcPr>
          <w:p w14:paraId="3CACAB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0.0036%</w:t>
            </w:r>
          </w:p>
        </w:tc>
        <w:tc>
          <w:tcPr>
            <w:tcW w:w="750" w:type="pct"/>
            <w:tcBorders>
              <w:top w:val="single" w:sz="4" w:space="0" w:color="auto"/>
              <w:left w:val="single" w:sz="4" w:space="0" w:color="auto"/>
              <w:bottom w:val="single" w:sz="4" w:space="0" w:color="auto"/>
              <w:right w:val="single" w:sz="4" w:space="0" w:color="auto"/>
            </w:tcBorders>
            <w:vAlign w:val="center"/>
          </w:tcPr>
          <w:p w14:paraId="47439C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3.0748%</w:t>
            </w:r>
          </w:p>
        </w:tc>
        <w:tc>
          <w:tcPr>
            <w:tcW w:w="750" w:type="pct"/>
            <w:tcBorders>
              <w:top w:val="single" w:sz="4" w:space="0" w:color="auto"/>
              <w:left w:val="single" w:sz="4" w:space="0" w:color="auto"/>
              <w:bottom w:val="single" w:sz="4" w:space="0" w:color="auto"/>
              <w:right w:val="single" w:sz="4" w:space="0" w:color="auto"/>
            </w:tcBorders>
            <w:vAlign w:val="center"/>
          </w:tcPr>
          <w:p w14:paraId="07D827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0A5F19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0.1806%</w:t>
            </w:r>
          </w:p>
        </w:tc>
        <w:tc>
          <w:tcPr>
            <w:tcW w:w="750" w:type="pct"/>
            <w:tcBorders>
              <w:top w:val="single" w:sz="4" w:space="0" w:color="auto"/>
              <w:left w:val="single" w:sz="4" w:space="0" w:color="auto"/>
              <w:bottom w:val="single" w:sz="4" w:space="0" w:color="auto"/>
              <w:right w:val="single" w:sz="4" w:space="0" w:color="auto"/>
            </w:tcBorders>
            <w:vAlign w:val="center"/>
          </w:tcPr>
          <w:p w14:paraId="7D59A6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0.0029%</w:t>
            </w:r>
          </w:p>
        </w:tc>
      </w:tr>
      <w:tr w:rsidR="00007225" w14:paraId="7D924B1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3458CBB"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34CF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FFCAF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1.5968%</w:t>
            </w:r>
          </w:p>
        </w:tc>
        <w:tc>
          <w:tcPr>
            <w:tcW w:w="750" w:type="pct"/>
            <w:tcBorders>
              <w:top w:val="single" w:sz="4" w:space="0" w:color="auto"/>
              <w:left w:val="single" w:sz="4" w:space="0" w:color="auto"/>
              <w:bottom w:val="single" w:sz="4" w:space="0" w:color="auto"/>
              <w:right w:val="single" w:sz="4" w:space="0" w:color="auto"/>
            </w:tcBorders>
            <w:vAlign w:val="center"/>
          </w:tcPr>
          <w:p w14:paraId="021AB4E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c>
          <w:tcPr>
            <w:tcW w:w="750" w:type="pct"/>
            <w:tcBorders>
              <w:top w:val="single" w:sz="4" w:space="0" w:color="auto"/>
              <w:left w:val="single" w:sz="4" w:space="0" w:color="auto"/>
              <w:bottom w:val="single" w:sz="4" w:space="0" w:color="auto"/>
              <w:right w:val="single" w:sz="4" w:space="0" w:color="auto"/>
            </w:tcBorders>
            <w:vAlign w:val="center"/>
          </w:tcPr>
          <w:p w14:paraId="559B0B3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2.0289%</w:t>
            </w:r>
          </w:p>
        </w:tc>
        <w:tc>
          <w:tcPr>
            <w:tcW w:w="750" w:type="pct"/>
            <w:tcBorders>
              <w:top w:val="single" w:sz="4" w:space="0" w:color="auto"/>
              <w:left w:val="single" w:sz="4" w:space="0" w:color="auto"/>
              <w:bottom w:val="single" w:sz="4" w:space="0" w:color="auto"/>
              <w:right w:val="single" w:sz="4" w:space="0" w:color="auto"/>
            </w:tcBorders>
            <w:vAlign w:val="center"/>
          </w:tcPr>
          <w:p w14:paraId="3809014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0.0003%</w:t>
            </w:r>
          </w:p>
        </w:tc>
        <w:tc>
          <w:tcPr>
            <w:tcW w:w="750" w:type="pct"/>
            <w:tcBorders>
              <w:top w:val="single" w:sz="4" w:space="0" w:color="auto"/>
              <w:left w:val="single" w:sz="4" w:space="0" w:color="auto"/>
              <w:bottom w:val="single" w:sz="4" w:space="0" w:color="auto"/>
              <w:right w:val="single" w:sz="4" w:space="0" w:color="auto"/>
            </w:tcBorders>
            <w:vAlign w:val="center"/>
          </w:tcPr>
          <w:p w14:paraId="4C833DF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-0.4321%</w:t>
            </w:r>
          </w:p>
        </w:tc>
        <w:tc>
          <w:tcPr>
            <w:tcW w:w="750" w:type="pct"/>
            <w:tcBorders>
              <w:top w:val="single" w:sz="4" w:space="0" w:color="auto"/>
              <w:left w:val="single" w:sz="4" w:space="0" w:color="auto"/>
              <w:bottom w:val="single" w:sz="4" w:space="0" w:color="auto"/>
              <w:right w:val="single" w:sz="4" w:space="0" w:color="auto"/>
            </w:tcBorders>
            <w:vAlign w:val="center"/>
          </w:tcPr>
          <w:p w14:paraId="61EDDF0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3C731F7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0577DA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77B866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8DFA2B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1.3396%</w:t>
            </w:r>
          </w:p>
        </w:tc>
        <w:tc>
          <w:tcPr>
            <w:tcW w:w="750" w:type="pct"/>
            <w:tcBorders>
              <w:top w:val="single" w:sz="4" w:space="0" w:color="auto"/>
              <w:left w:val="single" w:sz="4" w:space="0" w:color="auto"/>
              <w:bottom w:val="single" w:sz="4" w:space="0" w:color="auto"/>
              <w:right w:val="single" w:sz="4" w:space="0" w:color="auto"/>
            </w:tcBorders>
            <w:vAlign w:val="center"/>
          </w:tcPr>
          <w:p w14:paraId="0673028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0.0049%</w:t>
            </w:r>
          </w:p>
        </w:tc>
        <w:tc>
          <w:tcPr>
            <w:tcW w:w="750" w:type="pct"/>
            <w:tcBorders>
              <w:top w:val="single" w:sz="4" w:space="0" w:color="auto"/>
              <w:left w:val="single" w:sz="4" w:space="0" w:color="auto"/>
              <w:bottom w:val="single" w:sz="4" w:space="0" w:color="auto"/>
              <w:right w:val="single" w:sz="4" w:space="0" w:color="auto"/>
            </w:tcBorders>
            <w:vAlign w:val="center"/>
          </w:tcPr>
          <w:p w14:paraId="0534D5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1.9800%</w:t>
            </w:r>
          </w:p>
        </w:tc>
        <w:tc>
          <w:tcPr>
            <w:tcW w:w="750" w:type="pct"/>
            <w:tcBorders>
              <w:top w:val="single" w:sz="4" w:space="0" w:color="auto"/>
              <w:left w:val="single" w:sz="4" w:space="0" w:color="auto"/>
              <w:bottom w:val="single" w:sz="4" w:space="0" w:color="auto"/>
              <w:right w:val="single" w:sz="4" w:space="0" w:color="auto"/>
            </w:tcBorders>
            <w:vAlign w:val="center"/>
          </w:tcPr>
          <w:p w14:paraId="56DD3B2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033C15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-0.6404%</w:t>
            </w:r>
          </w:p>
        </w:tc>
        <w:tc>
          <w:tcPr>
            <w:tcW w:w="750" w:type="pct"/>
            <w:tcBorders>
              <w:top w:val="single" w:sz="4" w:space="0" w:color="auto"/>
              <w:left w:val="single" w:sz="4" w:space="0" w:color="auto"/>
              <w:bottom w:val="single" w:sz="4" w:space="0" w:color="auto"/>
              <w:right w:val="single" w:sz="4" w:space="0" w:color="auto"/>
            </w:tcBorders>
            <w:vAlign w:val="center"/>
          </w:tcPr>
          <w:p w14:paraId="5C8D86A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0.0049%</w:t>
            </w:r>
          </w:p>
        </w:tc>
      </w:tr>
      <w:tr w:rsidR="00007225" w14:paraId="781D922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8AF0F3"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4A50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F1B2A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3.3151%</w:t>
            </w:r>
          </w:p>
        </w:tc>
        <w:tc>
          <w:tcPr>
            <w:tcW w:w="750" w:type="pct"/>
            <w:tcBorders>
              <w:top w:val="single" w:sz="4" w:space="0" w:color="auto"/>
              <w:left w:val="single" w:sz="4" w:space="0" w:color="auto"/>
              <w:bottom w:val="single" w:sz="4" w:space="0" w:color="auto"/>
              <w:right w:val="single" w:sz="4" w:space="0" w:color="auto"/>
            </w:tcBorders>
            <w:vAlign w:val="center"/>
          </w:tcPr>
          <w:p w14:paraId="545F52E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0.0083%</w:t>
            </w:r>
          </w:p>
        </w:tc>
        <w:tc>
          <w:tcPr>
            <w:tcW w:w="750" w:type="pct"/>
            <w:tcBorders>
              <w:top w:val="single" w:sz="4" w:space="0" w:color="auto"/>
              <w:left w:val="single" w:sz="4" w:space="0" w:color="auto"/>
              <w:bottom w:val="single" w:sz="4" w:space="0" w:color="auto"/>
              <w:right w:val="single" w:sz="4" w:space="0" w:color="auto"/>
            </w:tcBorders>
            <w:vAlign w:val="center"/>
          </w:tcPr>
          <w:p w14:paraId="67FC8EE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3.4340%</w:t>
            </w:r>
          </w:p>
        </w:tc>
        <w:tc>
          <w:tcPr>
            <w:tcW w:w="750" w:type="pct"/>
            <w:tcBorders>
              <w:top w:val="single" w:sz="4" w:space="0" w:color="auto"/>
              <w:left w:val="single" w:sz="4" w:space="0" w:color="auto"/>
              <w:bottom w:val="single" w:sz="4" w:space="0" w:color="auto"/>
              <w:right w:val="single" w:sz="4" w:space="0" w:color="auto"/>
            </w:tcBorders>
            <w:vAlign w:val="center"/>
          </w:tcPr>
          <w:p w14:paraId="5F043BF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0.0011%</w:t>
            </w:r>
          </w:p>
        </w:tc>
        <w:tc>
          <w:tcPr>
            <w:tcW w:w="750" w:type="pct"/>
            <w:tcBorders>
              <w:top w:val="single" w:sz="4" w:space="0" w:color="auto"/>
              <w:left w:val="single" w:sz="4" w:space="0" w:color="auto"/>
              <w:bottom w:val="single" w:sz="4" w:space="0" w:color="auto"/>
              <w:right w:val="single" w:sz="4" w:space="0" w:color="auto"/>
            </w:tcBorders>
            <w:vAlign w:val="center"/>
          </w:tcPr>
          <w:p w14:paraId="407C739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-0.1189%</w:t>
            </w:r>
          </w:p>
        </w:tc>
        <w:tc>
          <w:tcPr>
            <w:tcW w:w="750" w:type="pct"/>
            <w:tcBorders>
              <w:top w:val="single" w:sz="4" w:space="0" w:color="auto"/>
              <w:left w:val="single" w:sz="4" w:space="0" w:color="auto"/>
              <w:bottom w:val="single" w:sz="4" w:space="0" w:color="auto"/>
              <w:right w:val="single" w:sz="4" w:space="0" w:color="auto"/>
            </w:tcBorders>
            <w:vAlign w:val="center"/>
          </w:tcPr>
          <w:p w14:paraId="016AC53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0.0072%</w:t>
            </w:r>
          </w:p>
        </w:tc>
      </w:tr>
      <w:tr w:rsidR="00007225" w14:paraId="4FF2B9C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17C7F3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02A3ED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FB8DB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3.2219%</w:t>
            </w:r>
          </w:p>
        </w:tc>
        <w:tc>
          <w:tcPr>
            <w:tcW w:w="750" w:type="pct"/>
            <w:tcBorders>
              <w:top w:val="single" w:sz="4" w:space="0" w:color="auto"/>
              <w:left w:val="single" w:sz="4" w:space="0" w:color="auto"/>
              <w:bottom w:val="single" w:sz="4" w:space="0" w:color="auto"/>
              <w:right w:val="single" w:sz="4" w:space="0" w:color="auto"/>
            </w:tcBorders>
            <w:vAlign w:val="center"/>
          </w:tcPr>
          <w:p w14:paraId="61BE165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0.0063%</w:t>
            </w:r>
          </w:p>
        </w:tc>
        <w:tc>
          <w:tcPr>
            <w:tcW w:w="750" w:type="pct"/>
            <w:tcBorders>
              <w:top w:val="single" w:sz="4" w:space="0" w:color="auto"/>
              <w:left w:val="single" w:sz="4" w:space="0" w:color="auto"/>
              <w:bottom w:val="single" w:sz="4" w:space="0" w:color="auto"/>
              <w:right w:val="single" w:sz="4" w:space="0" w:color="auto"/>
            </w:tcBorders>
            <w:vAlign w:val="center"/>
          </w:tcPr>
          <w:p w14:paraId="546C91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2.4441%</w:t>
            </w:r>
          </w:p>
        </w:tc>
        <w:tc>
          <w:tcPr>
            <w:tcW w:w="750" w:type="pct"/>
            <w:tcBorders>
              <w:top w:val="single" w:sz="4" w:space="0" w:color="auto"/>
              <w:left w:val="single" w:sz="4" w:space="0" w:color="auto"/>
              <w:bottom w:val="single" w:sz="4" w:space="0" w:color="auto"/>
              <w:right w:val="single" w:sz="4" w:space="0" w:color="auto"/>
            </w:tcBorders>
            <w:vAlign w:val="center"/>
          </w:tcPr>
          <w:p w14:paraId="640F148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0.0017%</w:t>
            </w:r>
          </w:p>
        </w:tc>
        <w:tc>
          <w:tcPr>
            <w:tcW w:w="750" w:type="pct"/>
            <w:tcBorders>
              <w:top w:val="single" w:sz="4" w:space="0" w:color="auto"/>
              <w:left w:val="single" w:sz="4" w:space="0" w:color="auto"/>
              <w:bottom w:val="single" w:sz="4" w:space="0" w:color="auto"/>
              <w:right w:val="single" w:sz="4" w:space="0" w:color="auto"/>
            </w:tcBorders>
            <w:vAlign w:val="center"/>
          </w:tcPr>
          <w:p w14:paraId="319486C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0.7778%</w:t>
            </w:r>
          </w:p>
        </w:tc>
        <w:tc>
          <w:tcPr>
            <w:tcW w:w="750" w:type="pct"/>
            <w:tcBorders>
              <w:top w:val="single" w:sz="4" w:space="0" w:color="auto"/>
              <w:left w:val="single" w:sz="4" w:space="0" w:color="auto"/>
              <w:bottom w:val="single" w:sz="4" w:space="0" w:color="auto"/>
              <w:right w:val="single" w:sz="4" w:space="0" w:color="auto"/>
            </w:tcBorders>
            <w:vAlign w:val="center"/>
          </w:tcPr>
          <w:p w14:paraId="2A02FEB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0.0046%</w:t>
            </w:r>
          </w:p>
        </w:tc>
      </w:tr>
      <w:tr w:rsidR="00007225" w14:paraId="1073A03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CEC8F6"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0056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2006</w:t>
            </w:r>
            <w:r>
              <w:rPr>
                <w:rFonts w:ascii="Times New Roman" w:hAnsi="Times New Roman"/>
                <w:color w:val="000000"/>
                <w:kern w:val="0"/>
                <w:sz w:val="25"/>
                <w:szCs w:val="24"/>
              </w:rPr>
              <w:t>年度（自基金合同生效日至</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51234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1.6718%</w:t>
            </w:r>
          </w:p>
        </w:tc>
        <w:tc>
          <w:tcPr>
            <w:tcW w:w="750" w:type="pct"/>
            <w:tcBorders>
              <w:top w:val="single" w:sz="4" w:space="0" w:color="auto"/>
              <w:left w:val="single" w:sz="4" w:space="0" w:color="auto"/>
              <w:bottom w:val="single" w:sz="4" w:space="0" w:color="auto"/>
              <w:right w:val="single" w:sz="4" w:space="0" w:color="auto"/>
            </w:tcBorders>
            <w:vAlign w:val="center"/>
          </w:tcPr>
          <w:p w14:paraId="166C84B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0.0022%</w:t>
            </w:r>
          </w:p>
        </w:tc>
        <w:tc>
          <w:tcPr>
            <w:tcW w:w="750" w:type="pct"/>
            <w:tcBorders>
              <w:top w:val="single" w:sz="4" w:space="0" w:color="auto"/>
              <w:left w:val="single" w:sz="4" w:space="0" w:color="auto"/>
              <w:bottom w:val="single" w:sz="4" w:space="0" w:color="auto"/>
              <w:right w:val="single" w:sz="4" w:space="0" w:color="auto"/>
            </w:tcBorders>
            <w:vAlign w:val="center"/>
          </w:tcPr>
          <w:p w14:paraId="5C2B98F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1.6231%</w:t>
            </w:r>
          </w:p>
        </w:tc>
        <w:tc>
          <w:tcPr>
            <w:tcW w:w="750" w:type="pct"/>
            <w:tcBorders>
              <w:top w:val="single" w:sz="4" w:space="0" w:color="auto"/>
              <w:left w:val="single" w:sz="4" w:space="0" w:color="auto"/>
              <w:bottom w:val="single" w:sz="4" w:space="0" w:color="auto"/>
              <w:right w:val="single" w:sz="4" w:space="0" w:color="auto"/>
            </w:tcBorders>
            <w:vAlign w:val="center"/>
          </w:tcPr>
          <w:p w14:paraId="0F9963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0A9A52A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0.0487%</w:t>
            </w:r>
          </w:p>
        </w:tc>
        <w:tc>
          <w:tcPr>
            <w:tcW w:w="750" w:type="pct"/>
            <w:tcBorders>
              <w:top w:val="single" w:sz="4" w:space="0" w:color="auto"/>
              <w:left w:val="single" w:sz="4" w:space="0" w:color="auto"/>
              <w:bottom w:val="single" w:sz="4" w:space="0" w:color="auto"/>
              <w:right w:val="single" w:sz="4" w:space="0" w:color="auto"/>
            </w:tcBorders>
            <w:vAlign w:val="center"/>
          </w:tcPr>
          <w:p w14:paraId="5D61EAA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1D6D3D6B"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3ED5795A" w14:textId="5B012283"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B</w:t>
            </w:r>
            <w:r w:rsidR="006E4DF2">
              <w:rPr>
                <w:rFonts w:ascii="Times New Roman" w:hAnsi="Times New Roman" w:hint="eastAsia"/>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1E9D4D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3BAF4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0.5193%</w:t>
            </w:r>
          </w:p>
        </w:tc>
        <w:tc>
          <w:tcPr>
            <w:tcW w:w="750" w:type="pct"/>
            <w:tcBorders>
              <w:top w:val="single" w:sz="4" w:space="0" w:color="auto"/>
              <w:left w:val="single" w:sz="4" w:space="0" w:color="auto"/>
              <w:bottom w:val="single" w:sz="4" w:space="0" w:color="auto"/>
              <w:right w:val="single" w:sz="4" w:space="0" w:color="auto"/>
            </w:tcBorders>
            <w:vAlign w:val="center"/>
          </w:tcPr>
          <w:p w14:paraId="0649FF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c>
          <w:tcPr>
            <w:tcW w:w="750" w:type="pct"/>
            <w:tcBorders>
              <w:top w:val="single" w:sz="4" w:space="0" w:color="auto"/>
              <w:left w:val="single" w:sz="4" w:space="0" w:color="auto"/>
              <w:bottom w:val="single" w:sz="4" w:space="0" w:color="auto"/>
              <w:right w:val="single" w:sz="4" w:space="0" w:color="auto"/>
            </w:tcBorders>
            <w:vAlign w:val="center"/>
          </w:tcPr>
          <w:p w14:paraId="5FD2D3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0.3205%</w:t>
            </w:r>
          </w:p>
        </w:tc>
        <w:tc>
          <w:tcPr>
            <w:tcW w:w="750" w:type="pct"/>
            <w:tcBorders>
              <w:top w:val="single" w:sz="4" w:space="0" w:color="auto"/>
              <w:left w:val="single" w:sz="4" w:space="0" w:color="auto"/>
              <w:bottom w:val="single" w:sz="4" w:space="0" w:color="auto"/>
              <w:right w:val="single" w:sz="4" w:space="0" w:color="auto"/>
            </w:tcBorders>
            <w:vAlign w:val="center"/>
          </w:tcPr>
          <w:p w14:paraId="35FB7E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C27132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0.1988%</w:t>
            </w:r>
          </w:p>
        </w:tc>
        <w:tc>
          <w:tcPr>
            <w:tcW w:w="750" w:type="pct"/>
            <w:tcBorders>
              <w:top w:val="single" w:sz="4" w:space="0" w:color="auto"/>
              <w:left w:val="single" w:sz="4" w:space="0" w:color="auto"/>
              <w:bottom w:val="single" w:sz="4" w:space="0" w:color="auto"/>
              <w:right w:val="single" w:sz="4" w:space="0" w:color="auto"/>
            </w:tcBorders>
            <w:vAlign w:val="center"/>
          </w:tcPr>
          <w:p w14:paraId="52157D1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0.0004%</w:t>
            </w:r>
          </w:p>
        </w:tc>
      </w:tr>
      <w:tr w:rsidR="00007225" w14:paraId="3101ECF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D9E5B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C4EB85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303663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2.0855%</w:t>
            </w:r>
          </w:p>
        </w:tc>
        <w:tc>
          <w:tcPr>
            <w:tcW w:w="750" w:type="pct"/>
            <w:tcBorders>
              <w:top w:val="single" w:sz="4" w:space="0" w:color="auto"/>
              <w:left w:val="single" w:sz="4" w:space="0" w:color="auto"/>
              <w:bottom w:val="single" w:sz="4" w:space="0" w:color="auto"/>
              <w:right w:val="single" w:sz="4" w:space="0" w:color="auto"/>
            </w:tcBorders>
            <w:vAlign w:val="center"/>
          </w:tcPr>
          <w:p w14:paraId="6474E66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73B8E8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7BA392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E2E670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0.7855%</w:t>
            </w:r>
          </w:p>
        </w:tc>
        <w:tc>
          <w:tcPr>
            <w:tcW w:w="750" w:type="pct"/>
            <w:tcBorders>
              <w:top w:val="single" w:sz="4" w:space="0" w:color="auto"/>
              <w:left w:val="single" w:sz="4" w:space="0" w:color="auto"/>
              <w:bottom w:val="single" w:sz="4" w:space="0" w:color="auto"/>
              <w:right w:val="single" w:sz="4" w:space="0" w:color="auto"/>
            </w:tcBorders>
            <w:vAlign w:val="center"/>
          </w:tcPr>
          <w:p w14:paraId="3534432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57A912E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EB99F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7F60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B301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2.3292%</w:t>
            </w:r>
          </w:p>
        </w:tc>
        <w:tc>
          <w:tcPr>
            <w:tcW w:w="750" w:type="pct"/>
            <w:tcBorders>
              <w:top w:val="single" w:sz="4" w:space="0" w:color="auto"/>
              <w:left w:val="single" w:sz="4" w:space="0" w:color="auto"/>
              <w:bottom w:val="single" w:sz="4" w:space="0" w:color="auto"/>
              <w:right w:val="single" w:sz="4" w:space="0" w:color="auto"/>
            </w:tcBorders>
            <w:vAlign w:val="center"/>
          </w:tcPr>
          <w:p w14:paraId="214BA7D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c>
          <w:tcPr>
            <w:tcW w:w="750" w:type="pct"/>
            <w:tcBorders>
              <w:top w:val="single" w:sz="4" w:space="0" w:color="auto"/>
              <w:left w:val="single" w:sz="4" w:space="0" w:color="auto"/>
              <w:bottom w:val="single" w:sz="4" w:space="0" w:color="auto"/>
              <w:right w:val="single" w:sz="4" w:space="0" w:color="auto"/>
            </w:tcBorders>
            <w:vAlign w:val="center"/>
          </w:tcPr>
          <w:p w14:paraId="6E71CD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EDBDF4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41258B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1.0292%</w:t>
            </w:r>
          </w:p>
        </w:tc>
        <w:tc>
          <w:tcPr>
            <w:tcW w:w="750" w:type="pct"/>
            <w:tcBorders>
              <w:top w:val="single" w:sz="4" w:space="0" w:color="auto"/>
              <w:left w:val="single" w:sz="4" w:space="0" w:color="auto"/>
              <w:bottom w:val="single" w:sz="4" w:space="0" w:color="auto"/>
              <w:right w:val="single" w:sz="4" w:space="0" w:color="auto"/>
            </w:tcBorders>
            <w:vAlign w:val="center"/>
          </w:tcPr>
          <w:p w14:paraId="7EE2A38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0.0006%</w:t>
            </w:r>
          </w:p>
        </w:tc>
      </w:tr>
      <w:tr w:rsidR="00007225" w14:paraId="0755E68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C4697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B2978C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10BCB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1.9914%</w:t>
            </w:r>
          </w:p>
        </w:tc>
        <w:tc>
          <w:tcPr>
            <w:tcW w:w="750" w:type="pct"/>
            <w:tcBorders>
              <w:top w:val="single" w:sz="4" w:space="0" w:color="auto"/>
              <w:left w:val="single" w:sz="4" w:space="0" w:color="auto"/>
              <w:bottom w:val="single" w:sz="4" w:space="0" w:color="auto"/>
              <w:right w:val="single" w:sz="4" w:space="0" w:color="auto"/>
            </w:tcBorders>
            <w:vAlign w:val="center"/>
          </w:tcPr>
          <w:p w14:paraId="4C88F47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c>
          <w:tcPr>
            <w:tcW w:w="750" w:type="pct"/>
            <w:tcBorders>
              <w:top w:val="single" w:sz="4" w:space="0" w:color="auto"/>
              <w:left w:val="single" w:sz="4" w:space="0" w:color="auto"/>
              <w:bottom w:val="single" w:sz="4" w:space="0" w:color="auto"/>
              <w:right w:val="single" w:sz="4" w:space="0" w:color="auto"/>
            </w:tcBorders>
            <w:vAlign w:val="center"/>
          </w:tcPr>
          <w:p w14:paraId="3D172C1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3D03EE7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5ADFF8D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0.6878%</w:t>
            </w:r>
          </w:p>
        </w:tc>
        <w:tc>
          <w:tcPr>
            <w:tcW w:w="750" w:type="pct"/>
            <w:tcBorders>
              <w:top w:val="single" w:sz="4" w:space="0" w:color="auto"/>
              <w:left w:val="single" w:sz="4" w:space="0" w:color="auto"/>
              <w:bottom w:val="single" w:sz="4" w:space="0" w:color="auto"/>
              <w:right w:val="single" w:sz="4" w:space="0" w:color="auto"/>
            </w:tcBorders>
            <w:vAlign w:val="center"/>
          </w:tcPr>
          <w:p w14:paraId="5D5B01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0.0010%</w:t>
            </w:r>
          </w:p>
        </w:tc>
      </w:tr>
      <w:tr w:rsidR="00007225" w14:paraId="22B2AA0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792D53"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CC74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2A54BD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2.4016%</w:t>
            </w:r>
          </w:p>
        </w:tc>
        <w:tc>
          <w:tcPr>
            <w:tcW w:w="750" w:type="pct"/>
            <w:tcBorders>
              <w:top w:val="single" w:sz="4" w:space="0" w:color="auto"/>
              <w:left w:val="single" w:sz="4" w:space="0" w:color="auto"/>
              <w:bottom w:val="single" w:sz="4" w:space="0" w:color="auto"/>
              <w:right w:val="single" w:sz="4" w:space="0" w:color="auto"/>
            </w:tcBorders>
            <w:vAlign w:val="center"/>
          </w:tcPr>
          <w:p w14:paraId="1A5C6BE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66A33D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1F71BF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9BA564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1.1016%</w:t>
            </w:r>
          </w:p>
        </w:tc>
        <w:tc>
          <w:tcPr>
            <w:tcW w:w="750" w:type="pct"/>
            <w:tcBorders>
              <w:top w:val="single" w:sz="4" w:space="0" w:color="auto"/>
              <w:left w:val="single" w:sz="4" w:space="0" w:color="auto"/>
              <w:bottom w:val="single" w:sz="4" w:space="0" w:color="auto"/>
              <w:right w:val="single" w:sz="4" w:space="0" w:color="auto"/>
            </w:tcBorders>
            <w:vAlign w:val="center"/>
          </w:tcPr>
          <w:p w14:paraId="2C8C70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r>
      <w:tr w:rsidR="00007225" w14:paraId="73E60E9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B311D6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641592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406D0A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3.2314%</w:t>
            </w:r>
          </w:p>
        </w:tc>
        <w:tc>
          <w:tcPr>
            <w:tcW w:w="750" w:type="pct"/>
            <w:tcBorders>
              <w:top w:val="single" w:sz="4" w:space="0" w:color="auto"/>
              <w:left w:val="single" w:sz="4" w:space="0" w:color="auto"/>
              <w:bottom w:val="single" w:sz="4" w:space="0" w:color="auto"/>
              <w:right w:val="single" w:sz="4" w:space="0" w:color="auto"/>
            </w:tcBorders>
            <w:vAlign w:val="center"/>
          </w:tcPr>
          <w:p w14:paraId="447EED6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c>
          <w:tcPr>
            <w:tcW w:w="750" w:type="pct"/>
            <w:tcBorders>
              <w:top w:val="single" w:sz="4" w:space="0" w:color="auto"/>
              <w:left w:val="single" w:sz="4" w:space="0" w:color="auto"/>
              <w:bottom w:val="single" w:sz="4" w:space="0" w:color="auto"/>
              <w:right w:val="single" w:sz="4" w:space="0" w:color="auto"/>
            </w:tcBorders>
            <w:vAlign w:val="center"/>
          </w:tcPr>
          <w:p w14:paraId="54659F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599CE0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7250253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1.9314%</w:t>
            </w:r>
          </w:p>
        </w:tc>
        <w:tc>
          <w:tcPr>
            <w:tcW w:w="750" w:type="pct"/>
            <w:tcBorders>
              <w:top w:val="single" w:sz="4" w:space="0" w:color="auto"/>
              <w:left w:val="single" w:sz="4" w:space="0" w:color="auto"/>
              <w:bottom w:val="single" w:sz="4" w:space="0" w:color="auto"/>
              <w:right w:val="single" w:sz="4" w:space="0" w:color="auto"/>
            </w:tcBorders>
            <w:vAlign w:val="center"/>
          </w:tcPr>
          <w:p w14:paraId="07AF874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0.0032%</w:t>
            </w:r>
          </w:p>
        </w:tc>
      </w:tr>
      <w:tr w:rsidR="00007225" w14:paraId="020FB7A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BCB194A"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99602B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AF3610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3.5804%</w:t>
            </w:r>
          </w:p>
        </w:tc>
        <w:tc>
          <w:tcPr>
            <w:tcW w:w="750" w:type="pct"/>
            <w:tcBorders>
              <w:top w:val="single" w:sz="4" w:space="0" w:color="auto"/>
              <w:left w:val="single" w:sz="4" w:space="0" w:color="auto"/>
              <w:bottom w:val="single" w:sz="4" w:space="0" w:color="auto"/>
              <w:right w:val="single" w:sz="4" w:space="0" w:color="auto"/>
            </w:tcBorders>
            <w:vAlign w:val="center"/>
          </w:tcPr>
          <w:p w14:paraId="55DF148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c>
          <w:tcPr>
            <w:tcW w:w="750" w:type="pct"/>
            <w:tcBorders>
              <w:top w:val="single" w:sz="4" w:space="0" w:color="auto"/>
              <w:left w:val="single" w:sz="4" w:space="0" w:color="auto"/>
              <w:bottom w:val="single" w:sz="4" w:space="0" w:color="auto"/>
              <w:right w:val="single" w:sz="4" w:space="0" w:color="auto"/>
            </w:tcBorders>
            <w:vAlign w:val="center"/>
          </w:tcPr>
          <w:p w14:paraId="6A22581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1.3000%</w:t>
            </w:r>
          </w:p>
        </w:tc>
        <w:tc>
          <w:tcPr>
            <w:tcW w:w="750" w:type="pct"/>
            <w:tcBorders>
              <w:top w:val="single" w:sz="4" w:space="0" w:color="auto"/>
              <w:left w:val="single" w:sz="4" w:space="0" w:color="auto"/>
              <w:bottom w:val="single" w:sz="4" w:space="0" w:color="auto"/>
              <w:right w:val="single" w:sz="4" w:space="0" w:color="auto"/>
            </w:tcBorders>
            <w:vAlign w:val="center"/>
          </w:tcPr>
          <w:p w14:paraId="429AC2F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4636A90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2.2804%</w:t>
            </w:r>
          </w:p>
        </w:tc>
        <w:tc>
          <w:tcPr>
            <w:tcW w:w="750" w:type="pct"/>
            <w:tcBorders>
              <w:top w:val="single" w:sz="4" w:space="0" w:color="auto"/>
              <w:left w:val="single" w:sz="4" w:space="0" w:color="auto"/>
              <w:bottom w:val="single" w:sz="4" w:space="0" w:color="auto"/>
              <w:right w:val="single" w:sz="4" w:space="0" w:color="auto"/>
            </w:tcBorders>
            <w:vAlign w:val="center"/>
          </w:tcPr>
          <w:p w14:paraId="39FEE12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460400E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0058DDC"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2004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6C6D7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2.7187%</w:t>
            </w:r>
          </w:p>
        </w:tc>
        <w:tc>
          <w:tcPr>
            <w:tcW w:w="750" w:type="pct"/>
            <w:tcBorders>
              <w:top w:val="single" w:sz="4" w:space="0" w:color="auto"/>
              <w:left w:val="single" w:sz="4" w:space="0" w:color="auto"/>
              <w:bottom w:val="single" w:sz="4" w:space="0" w:color="auto"/>
              <w:right w:val="single" w:sz="4" w:space="0" w:color="auto"/>
            </w:tcBorders>
            <w:vAlign w:val="center"/>
          </w:tcPr>
          <w:p w14:paraId="25B095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c>
          <w:tcPr>
            <w:tcW w:w="750" w:type="pct"/>
            <w:tcBorders>
              <w:top w:val="single" w:sz="4" w:space="0" w:color="auto"/>
              <w:left w:val="single" w:sz="4" w:space="0" w:color="auto"/>
              <w:bottom w:val="single" w:sz="4" w:space="0" w:color="auto"/>
              <w:right w:val="single" w:sz="4" w:space="0" w:color="auto"/>
            </w:tcBorders>
            <w:vAlign w:val="center"/>
          </w:tcPr>
          <w:p w14:paraId="026BA63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1.3036%</w:t>
            </w:r>
          </w:p>
        </w:tc>
        <w:tc>
          <w:tcPr>
            <w:tcW w:w="750" w:type="pct"/>
            <w:tcBorders>
              <w:top w:val="single" w:sz="4" w:space="0" w:color="auto"/>
              <w:left w:val="single" w:sz="4" w:space="0" w:color="auto"/>
              <w:bottom w:val="single" w:sz="4" w:space="0" w:color="auto"/>
              <w:right w:val="single" w:sz="4" w:space="0" w:color="auto"/>
            </w:tcBorders>
            <w:vAlign w:val="center"/>
          </w:tcPr>
          <w:p w14:paraId="76D4F3B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297460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1.4151%</w:t>
            </w:r>
          </w:p>
        </w:tc>
        <w:tc>
          <w:tcPr>
            <w:tcW w:w="750" w:type="pct"/>
            <w:tcBorders>
              <w:top w:val="single" w:sz="4" w:space="0" w:color="auto"/>
              <w:left w:val="single" w:sz="4" w:space="0" w:color="auto"/>
              <w:bottom w:val="single" w:sz="4" w:space="0" w:color="auto"/>
              <w:right w:val="single" w:sz="4" w:space="0" w:color="auto"/>
            </w:tcBorders>
            <w:vAlign w:val="center"/>
          </w:tcPr>
          <w:p w14:paraId="60660CC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0.0015%</w:t>
            </w:r>
          </w:p>
        </w:tc>
      </w:tr>
      <w:tr w:rsidR="00007225" w14:paraId="158ACE1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2A3B859"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DE3EFA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C6E5BF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3.3943%</w:t>
            </w:r>
          </w:p>
        </w:tc>
        <w:tc>
          <w:tcPr>
            <w:tcW w:w="750" w:type="pct"/>
            <w:tcBorders>
              <w:top w:val="single" w:sz="4" w:space="0" w:color="auto"/>
              <w:left w:val="single" w:sz="4" w:space="0" w:color="auto"/>
              <w:bottom w:val="single" w:sz="4" w:space="0" w:color="auto"/>
              <w:right w:val="single" w:sz="4" w:space="0" w:color="auto"/>
            </w:tcBorders>
            <w:vAlign w:val="center"/>
          </w:tcPr>
          <w:p w14:paraId="20CA31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0.0045%</w:t>
            </w:r>
          </w:p>
        </w:tc>
        <w:tc>
          <w:tcPr>
            <w:tcW w:w="750" w:type="pct"/>
            <w:tcBorders>
              <w:top w:val="single" w:sz="4" w:space="0" w:color="auto"/>
              <w:left w:val="single" w:sz="4" w:space="0" w:color="auto"/>
              <w:bottom w:val="single" w:sz="4" w:space="0" w:color="auto"/>
              <w:right w:val="single" w:sz="4" w:space="0" w:color="auto"/>
            </w:tcBorders>
            <w:vAlign w:val="center"/>
          </w:tcPr>
          <w:p w14:paraId="07D032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1.9164%</w:t>
            </w:r>
          </w:p>
        </w:tc>
        <w:tc>
          <w:tcPr>
            <w:tcW w:w="750" w:type="pct"/>
            <w:tcBorders>
              <w:top w:val="single" w:sz="4" w:space="0" w:color="auto"/>
              <w:left w:val="single" w:sz="4" w:space="0" w:color="auto"/>
              <w:bottom w:val="single" w:sz="4" w:space="0" w:color="auto"/>
              <w:right w:val="single" w:sz="4" w:space="0" w:color="auto"/>
            </w:tcBorders>
            <w:vAlign w:val="center"/>
          </w:tcPr>
          <w:p w14:paraId="591BFED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0.0012%</w:t>
            </w:r>
          </w:p>
        </w:tc>
        <w:tc>
          <w:tcPr>
            <w:tcW w:w="750" w:type="pct"/>
            <w:tcBorders>
              <w:top w:val="single" w:sz="4" w:space="0" w:color="auto"/>
              <w:left w:val="single" w:sz="4" w:space="0" w:color="auto"/>
              <w:bottom w:val="single" w:sz="4" w:space="0" w:color="auto"/>
              <w:right w:val="single" w:sz="4" w:space="0" w:color="auto"/>
            </w:tcBorders>
            <w:vAlign w:val="center"/>
          </w:tcPr>
          <w:p w14:paraId="220CAF8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1.4779%</w:t>
            </w:r>
          </w:p>
        </w:tc>
        <w:tc>
          <w:tcPr>
            <w:tcW w:w="750" w:type="pct"/>
            <w:tcBorders>
              <w:top w:val="single" w:sz="4" w:space="0" w:color="auto"/>
              <w:left w:val="single" w:sz="4" w:space="0" w:color="auto"/>
              <w:bottom w:val="single" w:sz="4" w:space="0" w:color="auto"/>
              <w:right w:val="single" w:sz="4" w:space="0" w:color="auto"/>
            </w:tcBorders>
            <w:vAlign w:val="center"/>
          </w:tcPr>
          <w:p w14:paraId="5BB6F96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0.0033%</w:t>
            </w:r>
          </w:p>
        </w:tc>
      </w:tr>
      <w:tr w:rsidR="00007225" w14:paraId="3253F35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91040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81EFA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6D29DA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4.7230%</w:t>
            </w:r>
          </w:p>
        </w:tc>
        <w:tc>
          <w:tcPr>
            <w:tcW w:w="750" w:type="pct"/>
            <w:tcBorders>
              <w:top w:val="single" w:sz="4" w:space="0" w:color="auto"/>
              <w:left w:val="single" w:sz="4" w:space="0" w:color="auto"/>
              <w:bottom w:val="single" w:sz="4" w:space="0" w:color="auto"/>
              <w:right w:val="single" w:sz="4" w:space="0" w:color="auto"/>
            </w:tcBorders>
            <w:vAlign w:val="center"/>
          </w:tcPr>
          <w:p w14:paraId="18F7B3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0.0055%</w:t>
            </w:r>
          </w:p>
        </w:tc>
        <w:tc>
          <w:tcPr>
            <w:tcW w:w="750" w:type="pct"/>
            <w:tcBorders>
              <w:top w:val="single" w:sz="4" w:space="0" w:color="auto"/>
              <w:left w:val="single" w:sz="4" w:space="0" w:color="auto"/>
              <w:bottom w:val="single" w:sz="4" w:space="0" w:color="auto"/>
              <w:right w:val="single" w:sz="4" w:space="0" w:color="auto"/>
            </w:tcBorders>
            <w:vAlign w:val="center"/>
          </w:tcPr>
          <w:p w14:paraId="71ABB55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2.7726%</w:t>
            </w:r>
          </w:p>
        </w:tc>
        <w:tc>
          <w:tcPr>
            <w:tcW w:w="750" w:type="pct"/>
            <w:tcBorders>
              <w:top w:val="single" w:sz="4" w:space="0" w:color="auto"/>
              <w:left w:val="single" w:sz="4" w:space="0" w:color="auto"/>
              <w:bottom w:val="single" w:sz="4" w:space="0" w:color="auto"/>
              <w:right w:val="single" w:sz="4" w:space="0" w:color="auto"/>
            </w:tcBorders>
            <w:vAlign w:val="center"/>
          </w:tcPr>
          <w:p w14:paraId="63599D4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0.0002%</w:t>
            </w:r>
          </w:p>
        </w:tc>
        <w:tc>
          <w:tcPr>
            <w:tcW w:w="750" w:type="pct"/>
            <w:tcBorders>
              <w:top w:val="single" w:sz="4" w:space="0" w:color="auto"/>
              <w:left w:val="single" w:sz="4" w:space="0" w:color="auto"/>
              <w:bottom w:val="single" w:sz="4" w:space="0" w:color="auto"/>
              <w:right w:val="single" w:sz="4" w:space="0" w:color="auto"/>
            </w:tcBorders>
            <w:vAlign w:val="center"/>
          </w:tcPr>
          <w:p w14:paraId="7FF3AD9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1.9504%</w:t>
            </w:r>
          </w:p>
        </w:tc>
        <w:tc>
          <w:tcPr>
            <w:tcW w:w="750" w:type="pct"/>
            <w:tcBorders>
              <w:top w:val="single" w:sz="4" w:space="0" w:color="auto"/>
              <w:left w:val="single" w:sz="4" w:space="0" w:color="auto"/>
              <w:bottom w:val="single" w:sz="4" w:space="0" w:color="auto"/>
              <w:right w:val="single" w:sz="4" w:space="0" w:color="auto"/>
            </w:tcBorders>
            <w:vAlign w:val="center"/>
          </w:tcPr>
          <w:p w14:paraId="425783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0.0053%</w:t>
            </w:r>
          </w:p>
        </w:tc>
      </w:tr>
      <w:tr w:rsidR="00007225" w14:paraId="6AABF4B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9AC15F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9D2B29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1B18B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3.8128%</w:t>
            </w:r>
          </w:p>
        </w:tc>
        <w:tc>
          <w:tcPr>
            <w:tcW w:w="750" w:type="pct"/>
            <w:tcBorders>
              <w:top w:val="single" w:sz="4" w:space="0" w:color="auto"/>
              <w:left w:val="single" w:sz="4" w:space="0" w:color="auto"/>
              <w:bottom w:val="single" w:sz="4" w:space="0" w:color="auto"/>
              <w:right w:val="single" w:sz="4" w:space="0" w:color="auto"/>
            </w:tcBorders>
            <w:vAlign w:val="center"/>
          </w:tcPr>
          <w:p w14:paraId="2190CD2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c>
          <w:tcPr>
            <w:tcW w:w="750" w:type="pct"/>
            <w:tcBorders>
              <w:top w:val="single" w:sz="4" w:space="0" w:color="auto"/>
              <w:left w:val="single" w:sz="4" w:space="0" w:color="auto"/>
              <w:bottom w:val="single" w:sz="4" w:space="0" w:color="auto"/>
              <w:right w:val="single" w:sz="4" w:space="0" w:color="auto"/>
            </w:tcBorders>
            <w:vAlign w:val="center"/>
          </w:tcPr>
          <w:p w14:paraId="4B19FC8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2.8000%</w:t>
            </w:r>
          </w:p>
        </w:tc>
        <w:tc>
          <w:tcPr>
            <w:tcW w:w="750" w:type="pct"/>
            <w:tcBorders>
              <w:top w:val="single" w:sz="4" w:space="0" w:color="auto"/>
              <w:left w:val="single" w:sz="4" w:space="0" w:color="auto"/>
              <w:bottom w:val="single" w:sz="4" w:space="0" w:color="auto"/>
              <w:right w:val="single" w:sz="4" w:space="0" w:color="auto"/>
            </w:tcBorders>
            <w:vAlign w:val="center"/>
          </w:tcPr>
          <w:p w14:paraId="3EF9677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0103F2D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1.0128%</w:t>
            </w:r>
          </w:p>
        </w:tc>
        <w:tc>
          <w:tcPr>
            <w:tcW w:w="750" w:type="pct"/>
            <w:tcBorders>
              <w:top w:val="single" w:sz="4" w:space="0" w:color="auto"/>
              <w:left w:val="single" w:sz="4" w:space="0" w:color="auto"/>
              <w:bottom w:val="single" w:sz="4" w:space="0" w:color="auto"/>
              <w:right w:val="single" w:sz="4" w:space="0" w:color="auto"/>
            </w:tcBorders>
            <w:vAlign w:val="center"/>
          </w:tcPr>
          <w:p w14:paraId="0F87E01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0.0034%</w:t>
            </w:r>
          </w:p>
        </w:tc>
      </w:tr>
      <w:tr w:rsidR="00007225" w14:paraId="6FDEA13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D7340E"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7F4E81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97856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3.9871%</w:t>
            </w:r>
          </w:p>
        </w:tc>
        <w:tc>
          <w:tcPr>
            <w:tcW w:w="750" w:type="pct"/>
            <w:tcBorders>
              <w:top w:val="single" w:sz="4" w:space="0" w:color="auto"/>
              <w:left w:val="single" w:sz="4" w:space="0" w:color="auto"/>
              <w:bottom w:val="single" w:sz="4" w:space="0" w:color="auto"/>
              <w:right w:val="single" w:sz="4" w:space="0" w:color="auto"/>
            </w:tcBorders>
            <w:vAlign w:val="center"/>
          </w:tcPr>
          <w:p w14:paraId="088DFEE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0.0030%</w:t>
            </w:r>
          </w:p>
        </w:tc>
        <w:tc>
          <w:tcPr>
            <w:tcW w:w="750" w:type="pct"/>
            <w:tcBorders>
              <w:top w:val="single" w:sz="4" w:space="0" w:color="auto"/>
              <w:left w:val="single" w:sz="4" w:space="0" w:color="auto"/>
              <w:bottom w:val="single" w:sz="4" w:space="0" w:color="auto"/>
              <w:right w:val="single" w:sz="4" w:space="0" w:color="auto"/>
            </w:tcBorders>
            <w:vAlign w:val="center"/>
          </w:tcPr>
          <w:p w14:paraId="4A7954A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3.0447%</w:t>
            </w:r>
          </w:p>
        </w:tc>
        <w:tc>
          <w:tcPr>
            <w:tcW w:w="750" w:type="pct"/>
            <w:tcBorders>
              <w:top w:val="single" w:sz="4" w:space="0" w:color="auto"/>
              <w:left w:val="single" w:sz="4" w:space="0" w:color="auto"/>
              <w:bottom w:val="single" w:sz="4" w:space="0" w:color="auto"/>
              <w:right w:val="single" w:sz="4" w:space="0" w:color="auto"/>
            </w:tcBorders>
            <w:vAlign w:val="center"/>
          </w:tcPr>
          <w:p w14:paraId="2BB1C8B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5E6CD3FD"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0.9424%</w:t>
            </w:r>
          </w:p>
        </w:tc>
        <w:tc>
          <w:tcPr>
            <w:tcW w:w="750" w:type="pct"/>
            <w:tcBorders>
              <w:top w:val="single" w:sz="4" w:space="0" w:color="auto"/>
              <w:left w:val="single" w:sz="4" w:space="0" w:color="auto"/>
              <w:bottom w:val="single" w:sz="4" w:space="0" w:color="auto"/>
              <w:right w:val="single" w:sz="4" w:space="0" w:color="auto"/>
            </w:tcBorders>
            <w:vAlign w:val="center"/>
          </w:tcPr>
          <w:p w14:paraId="100D78C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r>
      <w:tr w:rsidR="00007225" w14:paraId="766CD00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ADC772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6D4E74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B9077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3.5014%</w:t>
            </w:r>
          </w:p>
        </w:tc>
        <w:tc>
          <w:tcPr>
            <w:tcW w:w="750" w:type="pct"/>
            <w:tcBorders>
              <w:top w:val="single" w:sz="4" w:space="0" w:color="auto"/>
              <w:left w:val="single" w:sz="4" w:space="0" w:color="auto"/>
              <w:bottom w:val="single" w:sz="4" w:space="0" w:color="auto"/>
              <w:right w:val="single" w:sz="4" w:space="0" w:color="auto"/>
            </w:tcBorders>
            <w:vAlign w:val="center"/>
          </w:tcPr>
          <w:p w14:paraId="455FA84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0.0036%</w:t>
            </w:r>
          </w:p>
        </w:tc>
        <w:tc>
          <w:tcPr>
            <w:tcW w:w="750" w:type="pct"/>
            <w:tcBorders>
              <w:top w:val="single" w:sz="4" w:space="0" w:color="auto"/>
              <w:left w:val="single" w:sz="4" w:space="0" w:color="auto"/>
              <w:bottom w:val="single" w:sz="4" w:space="0" w:color="auto"/>
              <w:right w:val="single" w:sz="4" w:space="0" w:color="auto"/>
            </w:tcBorders>
            <w:vAlign w:val="center"/>
          </w:tcPr>
          <w:p w14:paraId="01C6D1E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3.0748%</w:t>
            </w:r>
          </w:p>
        </w:tc>
        <w:tc>
          <w:tcPr>
            <w:tcW w:w="750" w:type="pct"/>
            <w:tcBorders>
              <w:top w:val="single" w:sz="4" w:space="0" w:color="auto"/>
              <w:left w:val="single" w:sz="4" w:space="0" w:color="auto"/>
              <w:bottom w:val="single" w:sz="4" w:space="0" w:color="auto"/>
              <w:right w:val="single" w:sz="4" w:space="0" w:color="auto"/>
            </w:tcBorders>
            <w:vAlign w:val="center"/>
          </w:tcPr>
          <w:p w14:paraId="436E7FC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0.0007%</w:t>
            </w:r>
          </w:p>
        </w:tc>
        <w:tc>
          <w:tcPr>
            <w:tcW w:w="750" w:type="pct"/>
            <w:tcBorders>
              <w:top w:val="single" w:sz="4" w:space="0" w:color="auto"/>
              <w:left w:val="single" w:sz="4" w:space="0" w:color="auto"/>
              <w:bottom w:val="single" w:sz="4" w:space="0" w:color="auto"/>
              <w:right w:val="single" w:sz="4" w:space="0" w:color="auto"/>
            </w:tcBorders>
            <w:vAlign w:val="center"/>
          </w:tcPr>
          <w:p w14:paraId="0128C36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0.4266%</w:t>
            </w:r>
          </w:p>
        </w:tc>
        <w:tc>
          <w:tcPr>
            <w:tcW w:w="750" w:type="pct"/>
            <w:tcBorders>
              <w:top w:val="single" w:sz="4" w:space="0" w:color="auto"/>
              <w:left w:val="single" w:sz="4" w:space="0" w:color="auto"/>
              <w:bottom w:val="single" w:sz="4" w:space="0" w:color="auto"/>
              <w:right w:val="single" w:sz="4" w:space="0" w:color="auto"/>
            </w:tcBorders>
            <w:vAlign w:val="center"/>
          </w:tcPr>
          <w:p w14:paraId="13DBE85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0.0029%</w:t>
            </w:r>
          </w:p>
        </w:tc>
      </w:tr>
      <w:tr w:rsidR="00007225" w14:paraId="504C8F5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75AF5D"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8D56CF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C1DB9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1.8421%</w:t>
            </w:r>
          </w:p>
        </w:tc>
        <w:tc>
          <w:tcPr>
            <w:tcW w:w="750" w:type="pct"/>
            <w:tcBorders>
              <w:top w:val="single" w:sz="4" w:space="0" w:color="auto"/>
              <w:left w:val="single" w:sz="4" w:space="0" w:color="auto"/>
              <w:bottom w:val="single" w:sz="4" w:space="0" w:color="auto"/>
              <w:right w:val="single" w:sz="4" w:space="0" w:color="auto"/>
            </w:tcBorders>
            <w:vAlign w:val="center"/>
          </w:tcPr>
          <w:p w14:paraId="6E1292A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0.0023%</w:t>
            </w:r>
          </w:p>
        </w:tc>
        <w:tc>
          <w:tcPr>
            <w:tcW w:w="750" w:type="pct"/>
            <w:tcBorders>
              <w:top w:val="single" w:sz="4" w:space="0" w:color="auto"/>
              <w:left w:val="single" w:sz="4" w:space="0" w:color="auto"/>
              <w:bottom w:val="single" w:sz="4" w:space="0" w:color="auto"/>
              <w:right w:val="single" w:sz="4" w:space="0" w:color="auto"/>
            </w:tcBorders>
            <w:vAlign w:val="center"/>
          </w:tcPr>
          <w:p w14:paraId="5991570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2.0289%</w:t>
            </w:r>
          </w:p>
        </w:tc>
        <w:tc>
          <w:tcPr>
            <w:tcW w:w="750" w:type="pct"/>
            <w:tcBorders>
              <w:top w:val="single" w:sz="4" w:space="0" w:color="auto"/>
              <w:left w:val="single" w:sz="4" w:space="0" w:color="auto"/>
              <w:bottom w:val="single" w:sz="4" w:space="0" w:color="auto"/>
              <w:right w:val="single" w:sz="4" w:space="0" w:color="auto"/>
            </w:tcBorders>
            <w:vAlign w:val="center"/>
          </w:tcPr>
          <w:p w14:paraId="37C393B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0.0003%</w:t>
            </w:r>
          </w:p>
        </w:tc>
        <w:tc>
          <w:tcPr>
            <w:tcW w:w="750" w:type="pct"/>
            <w:tcBorders>
              <w:top w:val="single" w:sz="4" w:space="0" w:color="auto"/>
              <w:left w:val="single" w:sz="4" w:space="0" w:color="auto"/>
              <w:bottom w:val="single" w:sz="4" w:space="0" w:color="auto"/>
              <w:right w:val="single" w:sz="4" w:space="0" w:color="auto"/>
            </w:tcBorders>
            <w:vAlign w:val="center"/>
          </w:tcPr>
          <w:p w14:paraId="6506787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-0.1868%</w:t>
            </w:r>
          </w:p>
        </w:tc>
        <w:tc>
          <w:tcPr>
            <w:tcW w:w="750" w:type="pct"/>
            <w:tcBorders>
              <w:top w:val="single" w:sz="4" w:space="0" w:color="auto"/>
              <w:left w:val="single" w:sz="4" w:space="0" w:color="auto"/>
              <w:bottom w:val="single" w:sz="4" w:space="0" w:color="auto"/>
              <w:right w:val="single" w:sz="4" w:space="0" w:color="auto"/>
            </w:tcBorders>
            <w:vAlign w:val="center"/>
          </w:tcPr>
          <w:p w14:paraId="44496FA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0.0020%</w:t>
            </w:r>
          </w:p>
        </w:tc>
      </w:tr>
      <w:tr w:rsidR="00007225" w14:paraId="1E50A58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423CF41"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D2B18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9F060E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1.5829%</w:t>
            </w:r>
          </w:p>
        </w:tc>
        <w:tc>
          <w:tcPr>
            <w:tcW w:w="750" w:type="pct"/>
            <w:tcBorders>
              <w:top w:val="single" w:sz="4" w:space="0" w:color="auto"/>
              <w:left w:val="single" w:sz="4" w:space="0" w:color="auto"/>
              <w:bottom w:val="single" w:sz="4" w:space="0" w:color="auto"/>
              <w:right w:val="single" w:sz="4" w:space="0" w:color="auto"/>
            </w:tcBorders>
            <w:vAlign w:val="center"/>
          </w:tcPr>
          <w:p w14:paraId="65C1685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0.0048%</w:t>
            </w:r>
          </w:p>
        </w:tc>
        <w:tc>
          <w:tcPr>
            <w:tcW w:w="750" w:type="pct"/>
            <w:tcBorders>
              <w:top w:val="single" w:sz="4" w:space="0" w:color="auto"/>
              <w:left w:val="single" w:sz="4" w:space="0" w:color="auto"/>
              <w:bottom w:val="single" w:sz="4" w:space="0" w:color="auto"/>
              <w:right w:val="single" w:sz="4" w:space="0" w:color="auto"/>
            </w:tcBorders>
            <w:vAlign w:val="center"/>
          </w:tcPr>
          <w:p w14:paraId="47CD7C5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1.9800%</w:t>
            </w:r>
          </w:p>
        </w:tc>
        <w:tc>
          <w:tcPr>
            <w:tcW w:w="750" w:type="pct"/>
            <w:tcBorders>
              <w:top w:val="single" w:sz="4" w:space="0" w:color="auto"/>
              <w:left w:val="single" w:sz="4" w:space="0" w:color="auto"/>
              <w:bottom w:val="single" w:sz="4" w:space="0" w:color="auto"/>
              <w:right w:val="single" w:sz="4" w:space="0" w:color="auto"/>
            </w:tcBorders>
            <w:vAlign w:val="center"/>
          </w:tcPr>
          <w:p w14:paraId="31281D8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0.0000%</w:t>
            </w:r>
          </w:p>
        </w:tc>
        <w:tc>
          <w:tcPr>
            <w:tcW w:w="750" w:type="pct"/>
            <w:tcBorders>
              <w:top w:val="single" w:sz="4" w:space="0" w:color="auto"/>
              <w:left w:val="single" w:sz="4" w:space="0" w:color="auto"/>
              <w:bottom w:val="single" w:sz="4" w:space="0" w:color="auto"/>
              <w:right w:val="single" w:sz="4" w:space="0" w:color="auto"/>
            </w:tcBorders>
            <w:vAlign w:val="center"/>
          </w:tcPr>
          <w:p w14:paraId="6B018A8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-0.3971%</w:t>
            </w:r>
          </w:p>
        </w:tc>
        <w:tc>
          <w:tcPr>
            <w:tcW w:w="750" w:type="pct"/>
            <w:tcBorders>
              <w:top w:val="single" w:sz="4" w:space="0" w:color="auto"/>
              <w:left w:val="single" w:sz="4" w:space="0" w:color="auto"/>
              <w:bottom w:val="single" w:sz="4" w:space="0" w:color="auto"/>
              <w:right w:val="single" w:sz="4" w:space="0" w:color="auto"/>
            </w:tcBorders>
            <w:vAlign w:val="center"/>
          </w:tcPr>
          <w:p w14:paraId="352D1A2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0.0048%</w:t>
            </w:r>
          </w:p>
        </w:tc>
      </w:tr>
      <w:tr w:rsidR="00007225" w14:paraId="75D8D3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6EB0CB4"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25315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859A95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3.5615%</w:t>
            </w:r>
          </w:p>
        </w:tc>
        <w:tc>
          <w:tcPr>
            <w:tcW w:w="750" w:type="pct"/>
            <w:tcBorders>
              <w:top w:val="single" w:sz="4" w:space="0" w:color="auto"/>
              <w:left w:val="single" w:sz="4" w:space="0" w:color="auto"/>
              <w:bottom w:val="single" w:sz="4" w:space="0" w:color="auto"/>
              <w:right w:val="single" w:sz="4" w:space="0" w:color="auto"/>
            </w:tcBorders>
            <w:vAlign w:val="center"/>
          </w:tcPr>
          <w:p w14:paraId="02C36B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0.0083%</w:t>
            </w:r>
          </w:p>
        </w:tc>
        <w:tc>
          <w:tcPr>
            <w:tcW w:w="750" w:type="pct"/>
            <w:tcBorders>
              <w:top w:val="single" w:sz="4" w:space="0" w:color="auto"/>
              <w:left w:val="single" w:sz="4" w:space="0" w:color="auto"/>
              <w:bottom w:val="single" w:sz="4" w:space="0" w:color="auto"/>
              <w:right w:val="single" w:sz="4" w:space="0" w:color="auto"/>
            </w:tcBorders>
            <w:vAlign w:val="center"/>
          </w:tcPr>
          <w:p w14:paraId="1DFE98C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3.4340%</w:t>
            </w:r>
          </w:p>
        </w:tc>
        <w:tc>
          <w:tcPr>
            <w:tcW w:w="750" w:type="pct"/>
            <w:tcBorders>
              <w:top w:val="single" w:sz="4" w:space="0" w:color="auto"/>
              <w:left w:val="single" w:sz="4" w:space="0" w:color="auto"/>
              <w:bottom w:val="single" w:sz="4" w:space="0" w:color="auto"/>
              <w:right w:val="single" w:sz="4" w:space="0" w:color="auto"/>
            </w:tcBorders>
            <w:vAlign w:val="center"/>
          </w:tcPr>
          <w:p w14:paraId="4B3827B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0.0011%</w:t>
            </w:r>
          </w:p>
        </w:tc>
        <w:tc>
          <w:tcPr>
            <w:tcW w:w="750" w:type="pct"/>
            <w:tcBorders>
              <w:top w:val="single" w:sz="4" w:space="0" w:color="auto"/>
              <w:left w:val="single" w:sz="4" w:space="0" w:color="auto"/>
              <w:bottom w:val="single" w:sz="4" w:space="0" w:color="auto"/>
              <w:right w:val="single" w:sz="4" w:space="0" w:color="auto"/>
            </w:tcBorders>
            <w:vAlign w:val="center"/>
          </w:tcPr>
          <w:p w14:paraId="4458A06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0.1275%</w:t>
            </w:r>
          </w:p>
        </w:tc>
        <w:tc>
          <w:tcPr>
            <w:tcW w:w="750" w:type="pct"/>
            <w:tcBorders>
              <w:top w:val="single" w:sz="4" w:space="0" w:color="auto"/>
              <w:left w:val="single" w:sz="4" w:space="0" w:color="auto"/>
              <w:bottom w:val="single" w:sz="4" w:space="0" w:color="auto"/>
              <w:right w:val="single" w:sz="4" w:space="0" w:color="auto"/>
            </w:tcBorders>
            <w:vAlign w:val="center"/>
          </w:tcPr>
          <w:p w14:paraId="170D573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0.0072%</w:t>
            </w:r>
          </w:p>
        </w:tc>
      </w:tr>
      <w:tr w:rsidR="00007225" w14:paraId="3023A57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A3A418B" w14:textId="77777777" w:rsidR="00007225" w:rsidRDefault="00007225">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7F1245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年度（自基金分级日起至</w:t>
            </w:r>
            <w:r>
              <w:rPr>
                <w:rFonts w:ascii="Times New Roman" w:hAnsi="Times New Roman"/>
                <w:color w:val="000000"/>
                <w:kern w:val="0"/>
                <w:sz w:val="25"/>
                <w:szCs w:val="24"/>
              </w:rPr>
              <w:t>2007</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90D372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2.1597%</w:t>
            </w:r>
          </w:p>
        </w:tc>
        <w:tc>
          <w:tcPr>
            <w:tcW w:w="750" w:type="pct"/>
            <w:tcBorders>
              <w:top w:val="single" w:sz="4" w:space="0" w:color="auto"/>
              <w:left w:val="single" w:sz="4" w:space="0" w:color="auto"/>
              <w:bottom w:val="single" w:sz="4" w:space="0" w:color="auto"/>
              <w:right w:val="single" w:sz="4" w:space="0" w:color="auto"/>
            </w:tcBorders>
            <w:vAlign w:val="center"/>
          </w:tcPr>
          <w:p w14:paraId="5B0A1A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0.0080%</w:t>
            </w:r>
          </w:p>
        </w:tc>
        <w:tc>
          <w:tcPr>
            <w:tcW w:w="750" w:type="pct"/>
            <w:tcBorders>
              <w:top w:val="single" w:sz="4" w:space="0" w:color="auto"/>
              <w:left w:val="single" w:sz="4" w:space="0" w:color="auto"/>
              <w:bottom w:val="single" w:sz="4" w:space="0" w:color="auto"/>
              <w:right w:val="single" w:sz="4" w:space="0" w:color="auto"/>
            </w:tcBorders>
            <w:vAlign w:val="center"/>
          </w:tcPr>
          <w:p w14:paraId="2D9DFAD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1.5446%</w:t>
            </w:r>
          </w:p>
        </w:tc>
        <w:tc>
          <w:tcPr>
            <w:tcW w:w="750" w:type="pct"/>
            <w:tcBorders>
              <w:top w:val="single" w:sz="4" w:space="0" w:color="auto"/>
              <w:left w:val="single" w:sz="4" w:space="0" w:color="auto"/>
              <w:bottom w:val="single" w:sz="4" w:space="0" w:color="auto"/>
              <w:right w:val="single" w:sz="4" w:space="0" w:color="auto"/>
            </w:tcBorders>
            <w:vAlign w:val="center"/>
          </w:tcPr>
          <w:p w14:paraId="20ACF20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0.0013%</w:t>
            </w:r>
          </w:p>
        </w:tc>
        <w:tc>
          <w:tcPr>
            <w:tcW w:w="750" w:type="pct"/>
            <w:tcBorders>
              <w:top w:val="single" w:sz="4" w:space="0" w:color="auto"/>
              <w:left w:val="single" w:sz="4" w:space="0" w:color="auto"/>
              <w:bottom w:val="single" w:sz="4" w:space="0" w:color="auto"/>
              <w:right w:val="single" w:sz="4" w:space="0" w:color="auto"/>
            </w:tcBorders>
            <w:vAlign w:val="center"/>
          </w:tcPr>
          <w:p w14:paraId="25CDF4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0.6151%</w:t>
            </w:r>
          </w:p>
        </w:tc>
        <w:tc>
          <w:tcPr>
            <w:tcW w:w="750" w:type="pct"/>
            <w:tcBorders>
              <w:top w:val="single" w:sz="4" w:space="0" w:color="auto"/>
              <w:left w:val="single" w:sz="4" w:space="0" w:color="auto"/>
              <w:bottom w:val="single" w:sz="4" w:space="0" w:color="auto"/>
              <w:right w:val="single" w:sz="4" w:space="0" w:color="auto"/>
            </w:tcBorders>
            <w:vAlign w:val="center"/>
          </w:tcPr>
          <w:p w14:paraId="6920F35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0.0067%</w:t>
            </w:r>
          </w:p>
        </w:tc>
      </w:tr>
    </w:tbl>
    <w:p w14:paraId="628EEEA3" w14:textId="297BA6E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注：本基金收益分配</w:t>
      </w:r>
      <w:r w:rsidR="00765E6B">
        <w:rPr>
          <w:rFonts w:ascii="宋体" w:hAnsi="宋体" w:hint="eastAsia"/>
          <w:sz w:val="24"/>
        </w:rPr>
        <w:t>自2</w:t>
      </w:r>
      <w:r w:rsidR="00765E6B">
        <w:rPr>
          <w:rFonts w:ascii="宋体" w:hAnsi="宋体"/>
          <w:sz w:val="24"/>
        </w:rPr>
        <w:t>023</w:t>
      </w:r>
      <w:r w:rsidR="00765E6B">
        <w:rPr>
          <w:rFonts w:ascii="宋体" w:hAnsi="宋体" w:hint="eastAsia"/>
          <w:sz w:val="24"/>
        </w:rPr>
        <w:t>年</w:t>
      </w:r>
      <w:r w:rsidR="006C084B">
        <w:rPr>
          <w:rFonts w:ascii="宋体" w:hAnsi="宋体"/>
          <w:sz w:val="24"/>
        </w:rPr>
        <w:t>9</w:t>
      </w:r>
      <w:r w:rsidR="00765E6B">
        <w:rPr>
          <w:rFonts w:ascii="宋体" w:hAnsi="宋体" w:hint="eastAsia"/>
          <w:sz w:val="24"/>
        </w:rPr>
        <w:t>月</w:t>
      </w:r>
      <w:r w:rsidR="006C084B">
        <w:rPr>
          <w:rFonts w:ascii="宋体" w:hAnsi="宋体"/>
          <w:sz w:val="24"/>
        </w:rPr>
        <w:t>22</w:t>
      </w:r>
      <w:r w:rsidR="00765E6B">
        <w:rPr>
          <w:rFonts w:ascii="宋体" w:hAnsi="宋体" w:hint="eastAsia"/>
          <w:sz w:val="24"/>
        </w:rPr>
        <w:t>日起由</w:t>
      </w:r>
      <w:r>
        <w:rPr>
          <w:rFonts w:ascii="宋体" w:hAnsi="宋体"/>
          <w:sz w:val="24"/>
        </w:rPr>
        <w:t>按月结转份额</w:t>
      </w:r>
      <w:r w:rsidR="00765E6B">
        <w:rPr>
          <w:rFonts w:ascii="宋体" w:hAnsi="宋体" w:hint="eastAsia"/>
          <w:sz w:val="24"/>
        </w:rPr>
        <w:t>调整为按日结转份额</w:t>
      </w:r>
      <w:r>
        <w:rPr>
          <w:rFonts w:ascii="宋体" w:hAnsi="宋体"/>
          <w:sz w:val="24"/>
        </w:rPr>
        <w:t>。</w:t>
      </w:r>
    </w:p>
    <w:p w14:paraId="2065D6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（二）自基金合同生效以来基金份额累计净值收益率变动及其与同期业绩比较基准收益率变动的比较</w:t>
      </w:r>
    </w:p>
    <w:p w14:paraId="7DE107EA"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交银施罗德货币市场证券投资基金</w:t>
      </w:r>
    </w:p>
    <w:p w14:paraId="3CF98BCD"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份额累计净值收益率与业绩比较基准收益率历史走势对比图</w:t>
      </w:r>
    </w:p>
    <w:p w14:paraId="4C75119C" w14:textId="77777777" w:rsidR="00007225" w:rsidRDefault="00F07F0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（2006年1月20日至2023年03月31日）</w:t>
      </w:r>
    </w:p>
    <w:p w14:paraId="42317B3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1、交银货币A</w:t>
      </w:r>
    </w:p>
    <w:p w14:paraId="7F50DC3F" w14:textId="535A1446"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4D05E660" wp14:editId="6CF6CE6D">
            <wp:extent cx="5581650" cy="34036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650" cy="3403600"/>
                    </a:xfrm>
                    <a:prstGeom prst="rect">
                      <a:avLst/>
                    </a:prstGeom>
                    <a:noFill/>
                    <a:ln>
                      <a:noFill/>
                    </a:ln>
                  </pic:spPr>
                </pic:pic>
              </a:graphicData>
            </a:graphic>
          </wp:inline>
        </w:drawing>
      </w:r>
    </w:p>
    <w:p w14:paraId="5C1E52F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2、交银货币B</w:t>
      </w:r>
    </w:p>
    <w:p w14:paraId="1261FE7D" w14:textId="701FE44F" w:rsidR="00007225" w:rsidRDefault="00F931F3">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7663D952" wp14:editId="45307C5D">
            <wp:extent cx="5581650" cy="34036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650" cy="3403600"/>
                    </a:xfrm>
                    <a:prstGeom prst="rect">
                      <a:avLst/>
                    </a:prstGeom>
                    <a:noFill/>
                    <a:ln>
                      <a:noFill/>
                    </a:ln>
                  </pic:spPr>
                </pic:pic>
              </a:graphicData>
            </a:graphic>
          </wp:inline>
        </w:drawing>
      </w:r>
    </w:p>
    <w:p w14:paraId="546CC7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6C35B9AC"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420FCA9" w14:textId="77777777" w:rsidR="00007225" w:rsidRDefault="00F07F0D">
      <w:pPr>
        <w:pStyle w:val="1"/>
        <w:snapToGrid w:val="0"/>
        <w:spacing w:beforeLines="0" w:before="240" w:after="240"/>
        <w:rPr>
          <w:rFonts w:ascii="宋体" w:hAnsi="宋体"/>
          <w:szCs w:val="30"/>
        </w:rPr>
      </w:pPr>
      <w:bookmarkStart w:id="16" w:name="_Toc160021644"/>
      <w:r>
        <w:rPr>
          <w:rFonts w:ascii="Times New Roman" w:hAnsi="Times New Roman"/>
          <w:sz w:val="30"/>
        </w:rPr>
        <w:lastRenderedPageBreak/>
        <w:t>十三、基金的财产</w:t>
      </w:r>
      <w:bookmarkEnd w:id="16"/>
    </w:p>
    <w:p w14:paraId="6089BEE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（一）基金资产的总值</w:t>
      </w:r>
    </w:p>
    <w:p w14:paraId="1F6E7A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14:paraId="6C63B8A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14:paraId="48B0892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基金资产净值是指基金资产总值扣除基金负债后的价值。其构成主要有：</w:t>
      </w:r>
    </w:p>
    <w:p w14:paraId="378B9C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1、基金份额持有人申购基金份额所支付的款项；</w:t>
      </w:r>
    </w:p>
    <w:p w14:paraId="02085E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2、运用基金财产所获得收益（亏损）；</w:t>
      </w:r>
    </w:p>
    <w:p w14:paraId="161BEAD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3、以前年度实现的尚未分配的收益或尚未弥补的亏损。</w:t>
      </w:r>
    </w:p>
    <w:p w14:paraId="480D397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14:paraId="3E6332C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户用于基金的资金结算业务，并以基金托管人和“交银施罗德货币市场证券投资基金”联名的方式开立基金证券账户、以“交银施罗德货币市场证券投资基金”的名义开立银行间债券托管账户并报中国人民银行备案。开立的基金专用账户与基金管理人、基金托管人、基金代销机构和基金注册登记机构自有的财产账户以及其他基金财产账户相独立。</w:t>
      </w:r>
    </w:p>
    <w:p w14:paraId="7EA0936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（四）基金财产的保管与处分</w:t>
      </w:r>
    </w:p>
    <w:p w14:paraId="7143A1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1、基金财产应独立于基金管理人、基金托管人的固有财产。基金管理人、基金托管人不得将基金财产归入其固有财产。</w:t>
      </w:r>
    </w:p>
    <w:p w14:paraId="4A919F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2、基金管理人、基金托管人因基金财产的管理、运用或者其他情形而取得的财产和收益，归入基金财产。</w:t>
      </w:r>
    </w:p>
    <w:p w14:paraId="4F9C5A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3、基金管理人、基金托管人因依法解散、被依法撤销或者被依法宣告破产等原因进行清算的，基金财产不属于其清算财产。</w:t>
      </w:r>
    </w:p>
    <w:p w14:paraId="3C49C46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4、基金财产的债权，不得与基金管理人、基金托管人固有财产的债务相抵销；不同基金财产的债权债务，不得相互抵销。</w:t>
      </w:r>
    </w:p>
    <w:p w14:paraId="7500C2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5、非因基金财产本身承担的债务，不得对基金财产强制执行。</w:t>
      </w:r>
    </w:p>
    <w:p w14:paraId="3920E7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6、基金管理人、基金托管人可以按基金合同的规定，收取管理费、托管费及其他费用。</w:t>
      </w:r>
    </w:p>
    <w:p w14:paraId="3E6E57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7、除依法律法规和基金合同的规定处分外，基金财产不得被处分。</w:t>
      </w:r>
    </w:p>
    <w:p w14:paraId="2A18D808"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246C52" w14:textId="77777777" w:rsidR="00007225" w:rsidRDefault="00F07F0D">
      <w:pPr>
        <w:pStyle w:val="1"/>
        <w:snapToGrid w:val="0"/>
        <w:spacing w:beforeLines="0" w:before="240" w:after="240"/>
        <w:rPr>
          <w:rFonts w:ascii="宋体" w:hAnsi="宋体"/>
          <w:szCs w:val="30"/>
        </w:rPr>
      </w:pPr>
      <w:bookmarkStart w:id="17" w:name="_Toc160021645"/>
      <w:r>
        <w:rPr>
          <w:rFonts w:ascii="Times New Roman" w:hAnsi="Times New Roman"/>
          <w:sz w:val="30"/>
        </w:rPr>
        <w:lastRenderedPageBreak/>
        <w:t>十四、基金资产的估值</w:t>
      </w:r>
      <w:bookmarkEnd w:id="17"/>
    </w:p>
    <w:p w14:paraId="0E5C4F39"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（一）估值目的</w:t>
      </w:r>
    </w:p>
    <w:p w14:paraId="0657F1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基金资产估值的目的是客观、准确地反映基金财产的价值，依据经基金资产估值后确定的基金资产净值计算出的基金份额收益。本基金采用固定份额净值，基金账面份额净值始终保持为1.00元。</w:t>
      </w:r>
    </w:p>
    <w:p w14:paraId="76D7E93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（二）估值日</w:t>
      </w:r>
    </w:p>
    <w:p w14:paraId="541B45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本基金的估值日为相关的证券交易场所的正常营业日以及国家法律法规规定需要对外披露基金净值的非营业日。</w:t>
      </w:r>
    </w:p>
    <w:p w14:paraId="353FEA6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14:paraId="70105C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1、本基金目前投资工具的估值方法如下：</w:t>
      </w:r>
    </w:p>
    <w:p w14:paraId="3EB63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（1）基金持有的银行存款以本金列示，按银行实际协议利率逐日计提利息；</w:t>
      </w:r>
    </w:p>
    <w:p w14:paraId="6F6A16B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（2）基金持有的回购协议（封闭式回购）以成本列示，按实际利率在实际持有期间内逐日计提利息，合同利率与实际利率差异较小的，也可采用合同利率计算确定利息收入；</w:t>
      </w:r>
    </w:p>
    <w:p w14:paraId="53F6E2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（3）基金持有的附息债券、贴现券购买时采用实际支付价款（包含交易费用）确定初始成本，每日按摊余成本和实际利率计算确定利息收入；</w:t>
      </w:r>
    </w:p>
    <w:p w14:paraId="41505F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14:paraId="435E02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（5）基金持有的资产支持证券视同债券，购买时采用实际支付价款（包含交易费用）确定初始成本，每日按摊余成本和实际利率计算确定利息收入。</w:t>
      </w:r>
    </w:p>
    <w:p w14:paraId="089790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有确凿证据表明按上述方法进行估值不能客观反映其公允价值的，基金管理人可根据具体情况与基金托管人商定后，按最能反映公允价值的价格估值。即使存在上述情况，基金管理人若采用上述(1)-(5)规定的方法为基金财产进行了估值，仍应被认为采用了适当的估值方法。</w:t>
      </w:r>
    </w:p>
    <w:p w14:paraId="39844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货币市场基金存续期间，基金管理人应定期计算货币市场基金投资组合摊余成本与其他可参考公允价值指标之间的偏离程度，并定期测试其他可参考公允价值指标确定方法的有效性。投资组合的摊余成本与其他可参考公允价值指标产生重</w:t>
      </w:r>
      <w:r>
        <w:rPr>
          <w:rFonts w:ascii="宋体" w:hAnsi="宋体"/>
          <w:sz w:val="24"/>
        </w:rPr>
        <w:lastRenderedPageBreak/>
        <w:t>大偏离的（偏离度超过0.5%），应按其他公允价值指标对组合的账面价值进行调整，调整差额确认为“公允价值变动损益”，并按其他公允价值指标进行后续计量。如基金份额净值恢复至1元，可恢复使用摊余成本法估算公允价值。</w:t>
      </w:r>
    </w:p>
    <w:p w14:paraId="232BC7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4、如有新增事项，按国家有关法律法规的最新规定估值。</w:t>
      </w:r>
    </w:p>
    <w:p w14:paraId="61925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5、采用本估值方法可能对基金资产净值波动带来的影响：适用影子定价法对估值对象进行调整时，调整差额于当日计入基金资产净值，基金资产净值可能产生相应的波动。</w:t>
      </w:r>
    </w:p>
    <w:p w14:paraId="4766D36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4EC99D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27BA1A0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（四）估值对象</w:t>
      </w:r>
    </w:p>
    <w:p w14:paraId="29844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本基金依法持有的银行存款、各类有价证券和应收款项以及其他投资等资产。</w:t>
      </w:r>
    </w:p>
    <w:p w14:paraId="53E562B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（五）估值程序</w:t>
      </w:r>
    </w:p>
    <w:p w14:paraId="220844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资产净值由基金管理人完成估值后，将估值结果加盖业务公章以书面形式传真至基金托管人，基金托管人按法律法规、基金合同规定的估值方法、时间、程序进行复核；基金托管人复核无误后加盖业务公章返回给基金管理人；月末、年中和年末估值复核与基金会计账目的核对同时进行。</w:t>
      </w:r>
    </w:p>
    <w:p w14:paraId="323A6855" w14:textId="53941643"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w:t>
      </w:r>
      <w:r w:rsidR="00F87260">
        <w:rPr>
          <w:rFonts w:ascii="宋体" w:hAnsi="宋体" w:hint="eastAsia"/>
          <w:b/>
          <w:kern w:val="0"/>
          <w:sz w:val="24"/>
        </w:rPr>
        <w:t>每万份基金已实现收益</w:t>
      </w:r>
      <w:r w:rsidRPr="00BB248E">
        <w:rPr>
          <w:rFonts w:ascii="宋体" w:hAnsi="宋体" w:hint="eastAsia"/>
          <w:b/>
          <w:kern w:val="0"/>
          <w:sz w:val="24"/>
        </w:rPr>
        <w:t>的确认和估值错误的处理</w:t>
      </w:r>
    </w:p>
    <w:p w14:paraId="05C14492" w14:textId="7326F60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本基金的估值采用四舍五入方式，</w:t>
      </w:r>
      <w:r w:rsidR="00F87260">
        <w:rPr>
          <w:rFonts w:ascii="宋体" w:hAnsi="宋体"/>
          <w:sz w:val="24"/>
        </w:rPr>
        <w:t>每万份基金已实现收益</w:t>
      </w:r>
      <w:r>
        <w:rPr>
          <w:rFonts w:ascii="宋体" w:hAnsi="宋体"/>
          <w:sz w:val="24"/>
        </w:rPr>
        <w:t>的计算保留到小数点后4位，基金七日年化收益率保留到小数点后3位，国家另有规定的从其规定。</w:t>
      </w:r>
    </w:p>
    <w:p w14:paraId="627057A6" w14:textId="38B98E1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当基金资产的估值导致</w:t>
      </w:r>
      <w:r w:rsidR="00F87260">
        <w:rPr>
          <w:rFonts w:ascii="宋体" w:hAnsi="宋体"/>
          <w:sz w:val="24"/>
        </w:rPr>
        <w:t>每万份基金已实现收益</w:t>
      </w:r>
      <w:r>
        <w:rPr>
          <w:rFonts w:ascii="宋体" w:hAnsi="宋体"/>
          <w:sz w:val="24"/>
        </w:rPr>
        <w:t>小数点后4位或基金七日年化收益率小数点后3位以内发生差错时，视为估值错误。国家另有规定的，从其规定。</w:t>
      </w:r>
    </w:p>
    <w:p w14:paraId="0ADF6781" w14:textId="748F7C1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当基金管理人确认已经发生估值错误情形时，基金管理人应当立即公告并予以纠正，并采取合理的措施防止损失进一步扩大；当错误偏差达到或超过基金</w:t>
      </w:r>
      <w:r w:rsidR="00291931">
        <w:rPr>
          <w:rFonts w:ascii="宋体" w:hAnsi="宋体" w:hint="eastAsia"/>
          <w:sz w:val="24"/>
        </w:rPr>
        <w:t>资产</w:t>
      </w:r>
      <w:r>
        <w:rPr>
          <w:rFonts w:ascii="宋体" w:hAnsi="宋体"/>
          <w:sz w:val="24"/>
        </w:rPr>
        <w:t>净值的0.25%时，基金管理人应当及时通知基金托管人并报中国证监会；错误偏差达到基金</w:t>
      </w:r>
      <w:r w:rsidR="00291931">
        <w:rPr>
          <w:rFonts w:ascii="宋体" w:hAnsi="宋体" w:hint="eastAsia"/>
          <w:sz w:val="24"/>
        </w:rPr>
        <w:t>资产</w:t>
      </w:r>
      <w:r>
        <w:rPr>
          <w:rFonts w:ascii="宋体" w:hAnsi="宋体"/>
          <w:sz w:val="24"/>
        </w:rPr>
        <w:t>净值的0.5%时，基金管理人应当公告、通报基金托管人并报中国证监会</w:t>
      </w:r>
      <w:r>
        <w:rPr>
          <w:rFonts w:ascii="宋体" w:hAnsi="宋体"/>
          <w:sz w:val="24"/>
        </w:rPr>
        <w:lastRenderedPageBreak/>
        <w:t>备案。</w:t>
      </w:r>
    </w:p>
    <w:p w14:paraId="37927E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因基金估值错误给投资者造成损失的应先由基金管理人承担，基金管理人对不应由其承担的责任，有权向过错人追偿。基金合同的当事人应将按照以下约定处理：</w:t>
      </w:r>
    </w:p>
    <w:p w14:paraId="0A090F2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14:paraId="18968F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14:paraId="62F8D2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EA8FC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33E54E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14:paraId="7F0912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A2134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14:paraId="06F764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w:t>
      </w:r>
      <w:r>
        <w:rPr>
          <w:rFonts w:ascii="宋体" w:hAnsi="宋体"/>
          <w:sz w:val="24"/>
        </w:rPr>
        <w:lastRenderedPageBreak/>
        <w:t>损方应当将其已经获得的赔偿额加上已经获得的不当得利返还的总和超过其实际损失的差额部分支付给差错责任方。</w:t>
      </w:r>
    </w:p>
    <w:p w14:paraId="5BC9E4A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（4）差错调整采用尽量恢复至假设未发生差错的正确情形的方式。</w:t>
      </w:r>
    </w:p>
    <w:p w14:paraId="6B562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差错责任方拒绝进行赔偿时，如果因基金管理人过错造成基金财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62FAAD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45CF7F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（7）按法律法规规定的其他原则处理差错。</w:t>
      </w:r>
    </w:p>
    <w:p w14:paraId="4457A5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14:paraId="7166AF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14:paraId="0B6739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（1）查明差错发生的原因，列明所有的当事人，并根据差错发生的原因确定差错的责任方；</w:t>
      </w:r>
    </w:p>
    <w:p w14:paraId="121DB2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（2）根据差错处理原则或当事人协商的方法对因差错造成的损失进行评估；</w:t>
      </w:r>
    </w:p>
    <w:p w14:paraId="1860C7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（3）根据差错处理原则或当事人协商的方法由差错的责任方进行更正和赔偿损失；</w:t>
      </w:r>
    </w:p>
    <w:p w14:paraId="53D804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（4）根据差错处理的方法，需要修改基金注册登记机构的交易数据的，由基金注册登记机构进行更正，并就差错的更正向有关当事人进行确认；</w:t>
      </w:r>
    </w:p>
    <w:p w14:paraId="2121EFED" w14:textId="1B691EE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（5）基金管理人及基金托管人基金</w:t>
      </w:r>
      <w:r w:rsidR="007B4EBD">
        <w:rPr>
          <w:rFonts w:ascii="宋体" w:hAnsi="宋体" w:hint="eastAsia"/>
          <w:sz w:val="24"/>
        </w:rPr>
        <w:t>资产</w:t>
      </w:r>
      <w:r>
        <w:rPr>
          <w:rFonts w:ascii="宋体" w:hAnsi="宋体"/>
          <w:sz w:val="24"/>
        </w:rPr>
        <w:t>净值计算错误偏差达到或超过基金</w:t>
      </w:r>
      <w:r w:rsidR="00A54BE2">
        <w:rPr>
          <w:rFonts w:ascii="宋体" w:hAnsi="宋体" w:hint="eastAsia"/>
          <w:sz w:val="24"/>
        </w:rPr>
        <w:t>资产</w:t>
      </w:r>
      <w:r>
        <w:rPr>
          <w:rFonts w:ascii="宋体" w:hAnsi="宋体"/>
          <w:sz w:val="24"/>
        </w:rPr>
        <w:t>净值的0.25%时，基金管理人应当及时通知基金托管人并报中国证监会；错误偏差达到基金</w:t>
      </w:r>
      <w:r w:rsidR="00A54BE2">
        <w:rPr>
          <w:rFonts w:ascii="宋体" w:hAnsi="宋体" w:hint="eastAsia"/>
          <w:sz w:val="24"/>
        </w:rPr>
        <w:t>资产</w:t>
      </w:r>
      <w:r>
        <w:rPr>
          <w:rFonts w:ascii="宋体" w:hAnsi="宋体"/>
          <w:sz w:val="24"/>
        </w:rPr>
        <w:t>净值的0.5%时，基金管理人应当公告、通报基金托管人并报中国证监会备案。</w:t>
      </w:r>
    </w:p>
    <w:p w14:paraId="2DFE1D7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（七）暂停估值的情形</w:t>
      </w:r>
    </w:p>
    <w:p w14:paraId="08BCDA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14:paraId="50169D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2、因不可抗力或其他情形致使基金管理人无法准确评估基金财产价值时；</w:t>
      </w:r>
    </w:p>
    <w:p w14:paraId="0EAE3B9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3、当前一估值日基金资产净值50%以上的资产出现无可参考的活跃市场价格且采用估值技术仍导致公允价值存在重大不确定性时，经与基金托管人协商确认后，基金管理人应当暂停估值；</w:t>
      </w:r>
    </w:p>
    <w:p w14:paraId="4D3016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4、中国证监会认定的其他情形。</w:t>
      </w:r>
    </w:p>
    <w:p w14:paraId="48E38F8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14:paraId="5D05A7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1、基金管理人按估值方法的第2、3项进行估值时，所造成的误差不作为基金资产估值错误处理；</w:t>
      </w:r>
    </w:p>
    <w:p w14:paraId="3CF8A1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2948A7EE"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35F0E41" w14:textId="77777777" w:rsidR="00007225" w:rsidRDefault="00F07F0D">
      <w:pPr>
        <w:pStyle w:val="1"/>
        <w:snapToGrid w:val="0"/>
        <w:spacing w:beforeLines="0" w:before="240" w:after="240"/>
        <w:rPr>
          <w:rFonts w:ascii="宋体" w:hAnsi="宋体"/>
          <w:szCs w:val="30"/>
        </w:rPr>
      </w:pPr>
      <w:bookmarkStart w:id="18" w:name="_Toc160021646"/>
      <w:r>
        <w:rPr>
          <w:rFonts w:ascii="Times New Roman" w:hAnsi="Times New Roman"/>
          <w:sz w:val="30"/>
        </w:rPr>
        <w:lastRenderedPageBreak/>
        <w:t>十五、基金收益与分配</w:t>
      </w:r>
      <w:bookmarkEnd w:id="18"/>
    </w:p>
    <w:p w14:paraId="50B2C7A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（一）基金收益的构成</w:t>
      </w:r>
    </w:p>
    <w:p w14:paraId="75A31F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基金收益包括：基金投资所得利息收入、买卖证券差价收入、银行存款利息以及其他收入。因运用基金资产带来的成本或费用的节约计入基金收益。</w:t>
      </w:r>
    </w:p>
    <w:p w14:paraId="0DFE26B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（二）基金净收益</w:t>
      </w:r>
    </w:p>
    <w:p w14:paraId="6A1EE5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基金净收益为基金收益扣除按照有关规定可以在基金收益中扣除的费用后的余额。</w:t>
      </w:r>
    </w:p>
    <w:p w14:paraId="3E66E96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14:paraId="0D159C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1、基金收益分配原则遵循国家有关法律规定并符合基金合同的有关规定。</w:t>
      </w:r>
    </w:p>
    <w:p w14:paraId="11233ED7" w14:textId="4CA3E522" w:rsidR="00007225" w:rsidRDefault="00F07F0D" w:rsidP="000265DF">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2、“每日分配、按</w:t>
      </w:r>
      <w:r w:rsidR="00C84DD9">
        <w:rPr>
          <w:rFonts w:ascii="宋体" w:hAnsi="宋体" w:hint="eastAsia"/>
          <w:sz w:val="24"/>
        </w:rPr>
        <w:t>日</w:t>
      </w:r>
      <w:r>
        <w:rPr>
          <w:rFonts w:ascii="宋体" w:hAnsi="宋体"/>
          <w:sz w:val="24"/>
        </w:rPr>
        <w:t>支付”。</w:t>
      </w:r>
      <w:r w:rsidR="00BC33C2" w:rsidRPr="00BC33C2">
        <w:rPr>
          <w:rFonts w:hint="eastAsia"/>
        </w:rPr>
        <w:t xml:space="preserve"> </w:t>
      </w:r>
      <w:r w:rsidR="00BC33C2" w:rsidRPr="00BC33C2">
        <w:rPr>
          <w:rFonts w:ascii="宋体" w:hAnsi="宋体" w:hint="eastAsia"/>
          <w:sz w:val="24"/>
        </w:rPr>
        <w:t>本基金根据每日基金收益情况，以每万份基金已实现收益为基准，为投资人每日计算当日收益并分配，且每日进行支付。投资人当日收益分配的计算保留到小数点后2位，</w:t>
      </w:r>
      <w:r>
        <w:rPr>
          <w:rFonts w:ascii="宋体" w:hAnsi="宋体"/>
          <w:sz w:val="24"/>
        </w:rPr>
        <w:t>如</w:t>
      </w:r>
      <w:r w:rsidR="000265DF">
        <w:rPr>
          <w:rFonts w:ascii="宋体" w:hAnsi="宋体" w:hint="eastAsia"/>
          <w:sz w:val="24"/>
        </w:rPr>
        <w:t>当日</w:t>
      </w:r>
      <w:r>
        <w:rPr>
          <w:rFonts w:ascii="宋体" w:hAnsi="宋体"/>
          <w:sz w:val="24"/>
        </w:rPr>
        <w:t>收益计算结果为正，则小数点后第3位采用截位的方式，如</w:t>
      </w:r>
      <w:r w:rsidR="000265DF">
        <w:rPr>
          <w:rFonts w:ascii="宋体" w:hAnsi="宋体" w:hint="eastAsia"/>
          <w:sz w:val="24"/>
        </w:rPr>
        <w:t>当日</w:t>
      </w:r>
      <w:r>
        <w:rPr>
          <w:rFonts w:ascii="宋体" w:hAnsi="宋体"/>
          <w:sz w:val="24"/>
        </w:rPr>
        <w:t>收益计算结果为负，则小数点后第3位采用非零即入的方式，因截位或用非零即入形成的余额归入基金财产，参与第二个工作日的分配。</w:t>
      </w:r>
    </w:p>
    <w:p w14:paraId="102E7661" w14:textId="7711DE9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3、本基金每日</w:t>
      </w:r>
      <w:r w:rsidR="0022791F">
        <w:rPr>
          <w:rFonts w:ascii="宋体" w:hAnsi="宋体" w:hint="eastAsia"/>
          <w:sz w:val="24"/>
        </w:rPr>
        <w:t>进行收益支付</w:t>
      </w:r>
      <w:r>
        <w:rPr>
          <w:rFonts w:ascii="宋体" w:hAnsi="宋体"/>
          <w:sz w:val="24"/>
        </w:rPr>
        <w:t>，以人民币元方式簿记，收益支付方式只采用红利再投资（即红利转基金份额）方式；</w:t>
      </w:r>
      <w:r w:rsidR="0081587E" w:rsidRPr="0081587E">
        <w:rPr>
          <w:rFonts w:ascii="宋体" w:hAnsi="宋体" w:hint="eastAsia"/>
          <w:sz w:val="24"/>
        </w:rPr>
        <w:t>若当日净收益大于零时，则增加投资人基金份额，若当日净收益等于零时，则保持投资人基金份额不变；基金管理人将采取必要措施尽量避免基金净收益小于零，若当日净收益小于零时，缩减投资人基金份额</w:t>
      </w:r>
      <w:r w:rsidR="00064752">
        <w:rPr>
          <w:rFonts w:ascii="宋体" w:hAnsi="宋体" w:hint="eastAsia"/>
          <w:sz w:val="24"/>
        </w:rPr>
        <w:t>。</w:t>
      </w:r>
    </w:p>
    <w:p w14:paraId="61802A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4、当日申购的基金份额自下一个工作日起享有基金的分配权益；当日赎回的基金份额自下一个工作日起不享有基金的分配权益。</w:t>
      </w:r>
    </w:p>
    <w:p w14:paraId="5CB4E87C" w14:textId="16AD8D18" w:rsidR="00007225" w:rsidRDefault="00F07F0D" w:rsidP="00F047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w:t>
      </w:r>
      <w:r w:rsidR="003D0481" w:rsidRPr="00732679">
        <w:rPr>
          <w:rFonts w:ascii="宋体" w:hAnsi="宋体" w:hint="eastAsia"/>
          <w:color w:val="000000"/>
          <w:sz w:val="24"/>
        </w:rPr>
        <w:t>本基金同一类别的</w:t>
      </w:r>
      <w:r>
        <w:rPr>
          <w:rFonts w:ascii="宋体" w:hAnsi="宋体"/>
          <w:sz w:val="24"/>
        </w:rPr>
        <w:t>每一基金份额享有同等分配权。</w:t>
      </w:r>
    </w:p>
    <w:p w14:paraId="2347D3F6" w14:textId="7D0A5C44" w:rsidR="00007225" w:rsidRDefault="00F047A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w:t>
      </w:r>
      <w:r w:rsidR="00F07F0D">
        <w:rPr>
          <w:rFonts w:ascii="宋体" w:hAnsi="宋体"/>
          <w:sz w:val="24"/>
        </w:rPr>
        <w:t>、在符合相关法律法规及规范性文件的规定，且不影响基金份额持有人利益的情况下，基金管理人可酌情调整基金收益分配方式，此项调整不需要基金份额持有人大会决议通过，基金管理人应于实施更改前依照《信息披露办法》和《信息披露特别规定》的有关规定在指定媒介上公告。</w:t>
      </w:r>
    </w:p>
    <w:p w14:paraId="159B41F6" w14:textId="118297F7" w:rsidR="00007225" w:rsidRDefault="00F34FD5">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w:t>
      </w:r>
      <w:r w:rsidR="00F07F0D">
        <w:rPr>
          <w:rFonts w:ascii="宋体" w:hAnsi="宋体"/>
          <w:sz w:val="24"/>
        </w:rPr>
        <w:t>、法律法规或监管机关另有规定的，从其规定。</w:t>
      </w:r>
    </w:p>
    <w:p w14:paraId="003E39B0" w14:textId="2E2C9A1E" w:rsidR="00007225" w:rsidRPr="005C6F03" w:rsidRDefault="00F07F0D" w:rsidP="00E652CD">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本基金于2006年2月13日将投资者所拥有的自2006年1月20日至2006年2月13日</w:t>
      </w:r>
      <w:r>
        <w:rPr>
          <w:rFonts w:ascii="宋体" w:hAnsi="宋体"/>
          <w:sz w:val="24"/>
        </w:rPr>
        <w:lastRenderedPageBreak/>
        <w:t>的累计收益进行首次集中支付，并按1元面值直接结转为基金份额，不进行现金支付。2006年3月</w:t>
      </w:r>
      <w:r w:rsidR="000D65D2">
        <w:rPr>
          <w:rFonts w:ascii="宋体" w:hAnsi="宋体" w:hint="eastAsia"/>
          <w:sz w:val="24"/>
        </w:rPr>
        <w:t>至2</w:t>
      </w:r>
      <w:r w:rsidR="000D65D2">
        <w:rPr>
          <w:rFonts w:ascii="宋体" w:hAnsi="宋体"/>
          <w:sz w:val="24"/>
        </w:rPr>
        <w:t>023</w:t>
      </w:r>
      <w:r w:rsidR="000D65D2">
        <w:rPr>
          <w:rFonts w:ascii="宋体" w:hAnsi="宋体" w:hint="eastAsia"/>
          <w:sz w:val="24"/>
        </w:rPr>
        <w:t>年</w:t>
      </w:r>
      <w:r w:rsidR="00442BB9">
        <w:rPr>
          <w:rFonts w:ascii="宋体" w:hAnsi="宋体"/>
          <w:sz w:val="24"/>
        </w:rPr>
        <w:t>9</w:t>
      </w:r>
      <w:r w:rsidR="000D65D2">
        <w:rPr>
          <w:rFonts w:ascii="宋体" w:hAnsi="宋体" w:hint="eastAsia"/>
          <w:sz w:val="24"/>
        </w:rPr>
        <w:t>月</w:t>
      </w:r>
      <w:r>
        <w:rPr>
          <w:rFonts w:ascii="宋体" w:hAnsi="宋体"/>
          <w:sz w:val="24"/>
        </w:rPr>
        <w:t>，本基金投资者的累计收益定于每月第一个工作日集中支付并按1元面值自动转为基金份额。</w:t>
      </w:r>
      <w:r w:rsidR="00D90D32" w:rsidRPr="00D90D32">
        <w:rPr>
          <w:rFonts w:ascii="宋体" w:hAnsi="宋体" w:hint="eastAsia"/>
          <w:sz w:val="24"/>
        </w:rPr>
        <w:t>从2023年9月22日起，本基金每日例行按照基金合同的约定对当天实现的收益进行收益结转(如遇节假日可顺延)，</w:t>
      </w:r>
      <w:r w:rsidR="00D90D32">
        <w:rPr>
          <w:rFonts w:ascii="宋体" w:hAnsi="宋体" w:hint="eastAsia"/>
          <w:sz w:val="24"/>
        </w:rPr>
        <w:t>截至</w:t>
      </w:r>
      <w:r w:rsidR="00093482">
        <w:rPr>
          <w:rFonts w:ascii="宋体" w:hAnsi="宋体" w:hint="eastAsia"/>
          <w:sz w:val="24"/>
        </w:rPr>
        <w:t>该</w:t>
      </w:r>
      <w:r w:rsidR="00D90D32">
        <w:rPr>
          <w:rFonts w:ascii="宋体" w:hAnsi="宋体" w:hint="eastAsia"/>
          <w:sz w:val="24"/>
        </w:rPr>
        <w:t>日的累计</w:t>
      </w:r>
      <w:r w:rsidR="00DC2A23">
        <w:rPr>
          <w:rFonts w:ascii="宋体" w:hAnsi="宋体" w:hint="eastAsia"/>
          <w:sz w:val="24"/>
        </w:rPr>
        <w:t>未支付收益</w:t>
      </w:r>
      <w:r w:rsidR="00D90D32" w:rsidRPr="00442BB9">
        <w:rPr>
          <w:rFonts w:ascii="宋体" w:hAnsi="宋体" w:hint="eastAsia"/>
          <w:sz w:val="24"/>
        </w:rPr>
        <w:t>于</w:t>
      </w:r>
      <w:r w:rsidR="0092048B">
        <w:rPr>
          <w:rFonts w:ascii="宋体" w:hAnsi="宋体" w:hint="eastAsia"/>
          <w:sz w:val="24"/>
        </w:rPr>
        <w:t>该</w:t>
      </w:r>
      <w:r w:rsidR="00D90D32" w:rsidRPr="00442BB9">
        <w:rPr>
          <w:rFonts w:ascii="宋体" w:hAnsi="宋体" w:hint="eastAsia"/>
          <w:sz w:val="24"/>
        </w:rPr>
        <w:t>日</w:t>
      </w:r>
      <w:r w:rsidR="0064250F">
        <w:rPr>
          <w:rFonts w:ascii="宋体" w:hAnsi="宋体" w:hint="eastAsia"/>
          <w:sz w:val="24"/>
        </w:rPr>
        <w:t>进行结转</w:t>
      </w:r>
      <w:r w:rsidR="00D90D32" w:rsidRPr="00D90D32">
        <w:rPr>
          <w:rFonts w:ascii="宋体" w:hAnsi="宋体" w:hint="eastAsia"/>
          <w:sz w:val="24"/>
        </w:rPr>
        <w:t>。</w:t>
      </w:r>
      <w:r w:rsidR="009D673D" w:rsidRPr="00D90D32">
        <w:rPr>
          <w:rFonts w:ascii="宋体" w:hAnsi="宋体" w:hint="eastAsia"/>
          <w:sz w:val="24"/>
        </w:rPr>
        <w:t>每日例行的收益结转不再另行公告</w:t>
      </w:r>
      <w:r w:rsidR="009D673D">
        <w:rPr>
          <w:rFonts w:ascii="宋体" w:hAnsi="宋体" w:hint="eastAsia"/>
          <w:sz w:val="24"/>
        </w:rPr>
        <w:t>，</w:t>
      </w:r>
      <w:r>
        <w:rPr>
          <w:rFonts w:ascii="宋体" w:hAnsi="宋体"/>
          <w:sz w:val="24"/>
        </w:rPr>
        <w:t>如遇特殊情况，将另行公告。</w:t>
      </w:r>
    </w:p>
    <w:p w14:paraId="6E37B4B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（四）基金收益公告</w:t>
      </w:r>
    </w:p>
    <w:p w14:paraId="6A1C5E31" w14:textId="721DD82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本基金的基金合同生效后,将于开始办理基金份额申购或者赎回当日,公告截止前一日各</w:t>
      </w:r>
      <w:r w:rsidR="007966F0">
        <w:rPr>
          <w:rFonts w:ascii="宋体" w:hAnsi="宋体" w:hint="eastAsia"/>
          <w:sz w:val="24"/>
        </w:rPr>
        <w:t>类</w:t>
      </w:r>
      <w:r>
        <w:rPr>
          <w:rFonts w:ascii="宋体" w:hAnsi="宋体"/>
          <w:sz w:val="24"/>
        </w:rPr>
        <w:t>基金份额的基金资产净值、基金合同生效至前一日期间各</w:t>
      </w:r>
      <w:r w:rsidR="00076DFD">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、前一日的七日年化收益率。</w:t>
      </w:r>
    </w:p>
    <w:p w14:paraId="5D566F51" w14:textId="7DF94F3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本基金每一工作日公告截止前一工作日（含节假日）的各</w:t>
      </w:r>
      <w:r w:rsidR="00F8187C">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和基金七日年化收益率。基金收益公告由基金管理人编制，并由基金托管人复核后公告。遇特殊情况，可以适当延迟计算或公告。</w:t>
      </w:r>
    </w:p>
    <w:p w14:paraId="57F95762" w14:textId="445E175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w:t>
      </w:r>
      <w:r w:rsidR="00F8187C">
        <w:rPr>
          <w:rFonts w:ascii="宋体" w:hAnsi="宋体" w:hint="eastAsia"/>
          <w:sz w:val="24"/>
        </w:rPr>
        <w:t>类</w:t>
      </w:r>
      <w:r>
        <w:rPr>
          <w:rFonts w:ascii="宋体" w:hAnsi="宋体"/>
          <w:sz w:val="24"/>
        </w:rPr>
        <w:t>基金份额的日</w:t>
      </w:r>
      <w:r w:rsidR="00F87260">
        <w:rPr>
          <w:rFonts w:ascii="宋体" w:hAnsi="宋体"/>
          <w:sz w:val="24"/>
        </w:rPr>
        <w:t>每万份基金已实现收益</w:t>
      </w:r>
      <w:r>
        <w:rPr>
          <w:rFonts w:ascii="宋体" w:hAnsi="宋体"/>
          <w:sz w:val="24"/>
        </w:rPr>
        <w:t>=[当日该</w:t>
      </w:r>
      <w:r w:rsidR="00F8187C">
        <w:rPr>
          <w:rFonts w:ascii="宋体" w:hAnsi="宋体" w:hint="eastAsia"/>
          <w:sz w:val="24"/>
        </w:rPr>
        <w:t>类</w:t>
      </w:r>
      <w:r>
        <w:rPr>
          <w:rFonts w:ascii="宋体" w:hAnsi="宋体"/>
          <w:sz w:val="24"/>
        </w:rPr>
        <w:t>基金份额的基金</w:t>
      </w:r>
      <w:r w:rsidR="00684495">
        <w:rPr>
          <w:rFonts w:ascii="宋体" w:hAnsi="宋体" w:hint="eastAsia"/>
          <w:color w:val="000000"/>
          <w:sz w:val="24"/>
        </w:rPr>
        <w:t>已实现收益</w:t>
      </w:r>
      <w:r>
        <w:rPr>
          <w:rFonts w:ascii="宋体" w:hAnsi="宋体"/>
          <w:sz w:val="24"/>
        </w:rPr>
        <w:t>/当日该</w:t>
      </w:r>
      <w:r w:rsidR="00F8187C">
        <w:rPr>
          <w:rFonts w:ascii="宋体" w:hAnsi="宋体" w:hint="eastAsia"/>
          <w:sz w:val="24"/>
        </w:rPr>
        <w:t>类</w:t>
      </w:r>
      <w:r>
        <w:rPr>
          <w:rFonts w:ascii="宋体" w:hAnsi="宋体"/>
          <w:sz w:val="24"/>
        </w:rPr>
        <w:t>基金份额的总额]×10000</w:t>
      </w:r>
    </w:p>
    <w:p w14:paraId="139A2618" w14:textId="68B1951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期间某</w:t>
      </w:r>
      <w:r w:rsidR="00F8187C">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w:t>
      </w:r>
      <w:r w:rsidR="00F931F3">
        <w:rPr>
          <w:rFonts w:ascii="宋体" w:hAnsi="宋体"/>
          <w:noProof/>
          <w:kern w:val="0"/>
          <w:sz w:val="24"/>
        </w:rPr>
        <w:drawing>
          <wp:inline distT="0" distB="0" distL="0" distR="0" wp14:anchorId="6F9526EE" wp14:editId="49B60479">
            <wp:extent cx="1460500" cy="53975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00" cy="539750"/>
                    </a:xfrm>
                    <a:prstGeom prst="rect">
                      <a:avLst/>
                    </a:prstGeom>
                    <a:noFill/>
                    <a:ln>
                      <a:noFill/>
                    </a:ln>
                  </pic:spPr>
                </pic:pic>
              </a:graphicData>
            </a:graphic>
          </wp:inline>
        </w:drawing>
      </w:r>
    </w:p>
    <w:p w14:paraId="1BB411E1" w14:textId="5F941E6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其中,r1为期间首日</w:t>
      </w:r>
      <w:r w:rsidR="00F8187C">
        <w:rPr>
          <w:rFonts w:ascii="宋体" w:hAnsi="宋体"/>
          <w:sz w:val="24"/>
        </w:rPr>
        <w:t>该类</w:t>
      </w:r>
      <w:r>
        <w:rPr>
          <w:rFonts w:ascii="宋体" w:hAnsi="宋体"/>
          <w:sz w:val="24"/>
        </w:rPr>
        <w:t>基金份额的基金</w:t>
      </w:r>
      <w:r w:rsidR="003728D4">
        <w:rPr>
          <w:rFonts w:ascii="宋体" w:hAnsi="宋体" w:hint="eastAsia"/>
          <w:color w:val="000000"/>
          <w:sz w:val="24"/>
        </w:rPr>
        <w:t>已实现收益</w:t>
      </w:r>
      <w:r>
        <w:rPr>
          <w:rFonts w:ascii="宋体" w:hAnsi="宋体"/>
          <w:sz w:val="24"/>
        </w:rPr>
        <w:t>,s1为期间首日</w:t>
      </w:r>
      <w:r w:rsidR="00F8187C">
        <w:rPr>
          <w:rFonts w:ascii="宋体" w:hAnsi="宋体"/>
          <w:sz w:val="24"/>
        </w:rPr>
        <w:t>该类</w:t>
      </w:r>
      <w:r>
        <w:rPr>
          <w:rFonts w:ascii="宋体" w:hAnsi="宋体"/>
          <w:sz w:val="24"/>
        </w:rPr>
        <w:t>基金份额的总额,r</w:t>
      </w:r>
      <w:r w:rsidRPr="00F410C6">
        <w:rPr>
          <w:rFonts w:ascii="宋体" w:hAnsi="宋体"/>
          <w:sz w:val="24"/>
          <w:vertAlign w:val="subscript"/>
        </w:rPr>
        <w:t>w</w:t>
      </w:r>
      <w:r>
        <w:rPr>
          <w:rFonts w:ascii="宋体" w:hAnsi="宋体"/>
          <w:sz w:val="24"/>
        </w:rPr>
        <w:t>为第w日</w:t>
      </w:r>
      <w:r w:rsidR="00F8187C">
        <w:rPr>
          <w:rFonts w:ascii="宋体" w:hAnsi="宋体"/>
          <w:sz w:val="24"/>
        </w:rPr>
        <w:t>该类</w:t>
      </w:r>
      <w:r>
        <w:rPr>
          <w:rFonts w:ascii="宋体" w:hAnsi="宋体"/>
          <w:sz w:val="24"/>
        </w:rPr>
        <w:t>基金份额的基金</w:t>
      </w:r>
      <w:r w:rsidR="003728D4">
        <w:rPr>
          <w:rFonts w:ascii="宋体" w:hAnsi="宋体" w:hint="eastAsia"/>
          <w:color w:val="000000"/>
          <w:sz w:val="24"/>
        </w:rPr>
        <w:t>已实现收益</w:t>
      </w:r>
      <w:r>
        <w:rPr>
          <w:rFonts w:ascii="宋体" w:hAnsi="宋体"/>
          <w:sz w:val="24"/>
        </w:rPr>
        <w:t>,s</w:t>
      </w:r>
      <w:r w:rsidRPr="00F410C6">
        <w:rPr>
          <w:rFonts w:ascii="宋体" w:hAnsi="宋体"/>
          <w:sz w:val="24"/>
          <w:vertAlign w:val="subscript"/>
        </w:rPr>
        <w:t>w</w:t>
      </w:r>
      <w:r>
        <w:rPr>
          <w:rFonts w:ascii="宋体" w:hAnsi="宋体"/>
          <w:sz w:val="24"/>
        </w:rPr>
        <w:t>为第w日</w:t>
      </w:r>
      <w:r w:rsidR="00F8187C">
        <w:rPr>
          <w:rFonts w:ascii="宋体" w:hAnsi="宋体"/>
          <w:sz w:val="24"/>
        </w:rPr>
        <w:t>该类</w:t>
      </w:r>
      <w:r>
        <w:rPr>
          <w:rFonts w:ascii="宋体" w:hAnsi="宋体"/>
          <w:sz w:val="24"/>
        </w:rPr>
        <w:t>基金份额的总额,r</w:t>
      </w:r>
      <w:r w:rsidRPr="00F410C6">
        <w:rPr>
          <w:rFonts w:ascii="宋体" w:hAnsi="宋体"/>
          <w:sz w:val="24"/>
          <w:vertAlign w:val="subscript"/>
        </w:rPr>
        <w:t>n</w:t>
      </w:r>
      <w:r>
        <w:rPr>
          <w:rFonts w:ascii="宋体" w:hAnsi="宋体"/>
          <w:sz w:val="24"/>
        </w:rPr>
        <w:t>为期间最后一日</w:t>
      </w:r>
      <w:r w:rsidR="00F8187C">
        <w:rPr>
          <w:rFonts w:ascii="宋体" w:hAnsi="宋体"/>
          <w:sz w:val="24"/>
        </w:rPr>
        <w:t>该类</w:t>
      </w:r>
      <w:r>
        <w:rPr>
          <w:rFonts w:ascii="宋体" w:hAnsi="宋体"/>
          <w:sz w:val="24"/>
        </w:rPr>
        <w:t>基金份额的基金</w:t>
      </w:r>
      <w:r w:rsidR="003728D4">
        <w:rPr>
          <w:rFonts w:ascii="宋体" w:hAnsi="宋体" w:hint="eastAsia"/>
          <w:color w:val="000000"/>
          <w:sz w:val="24"/>
        </w:rPr>
        <w:t>已实现收益</w:t>
      </w:r>
      <w:r>
        <w:rPr>
          <w:rFonts w:ascii="宋体" w:hAnsi="宋体"/>
          <w:sz w:val="24"/>
        </w:rPr>
        <w:t>,s</w:t>
      </w:r>
      <w:r w:rsidRPr="00F410C6">
        <w:rPr>
          <w:rFonts w:ascii="宋体" w:hAnsi="宋体"/>
          <w:sz w:val="24"/>
          <w:vertAlign w:val="subscript"/>
        </w:rPr>
        <w:t>n</w:t>
      </w:r>
      <w:r>
        <w:rPr>
          <w:rFonts w:ascii="宋体" w:hAnsi="宋体"/>
          <w:sz w:val="24"/>
        </w:rPr>
        <w:t>为期间最后一日</w:t>
      </w:r>
      <w:r w:rsidR="00F8187C">
        <w:rPr>
          <w:rFonts w:ascii="宋体" w:hAnsi="宋体"/>
          <w:sz w:val="24"/>
        </w:rPr>
        <w:t>该类</w:t>
      </w:r>
      <w:r>
        <w:rPr>
          <w:rFonts w:ascii="宋体" w:hAnsi="宋体"/>
          <w:sz w:val="24"/>
        </w:rPr>
        <w:t>基金份额的总额。</w:t>
      </w:r>
    </w:p>
    <w:p w14:paraId="661EB0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上述收益的精度为0.0001元，第5位采用四舍五入的方式。</w:t>
      </w:r>
    </w:p>
    <w:p w14:paraId="425A1E45" w14:textId="505F0C1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某</w:t>
      </w:r>
      <w:r w:rsidR="00F8187C">
        <w:rPr>
          <w:rFonts w:ascii="宋体" w:hAnsi="宋体"/>
          <w:sz w:val="24"/>
        </w:rPr>
        <w:t>类</w:t>
      </w:r>
      <w:r>
        <w:rPr>
          <w:rFonts w:ascii="宋体" w:hAnsi="宋体"/>
          <w:sz w:val="24"/>
        </w:rPr>
        <w:t>基金份额的七日年化收益率=</w:t>
      </w:r>
      <w:r w:rsidR="00F931F3">
        <w:rPr>
          <w:rFonts w:ascii="宋体" w:hAnsi="宋体"/>
          <w:noProof/>
          <w:kern w:val="0"/>
          <w:sz w:val="24"/>
        </w:rPr>
        <w:drawing>
          <wp:inline distT="0" distB="0" distL="0" distR="0" wp14:anchorId="745A6AB6" wp14:editId="44B1D31F">
            <wp:extent cx="2222500" cy="577850"/>
            <wp:effectExtent l="0" t="0" r="0" b="0"/>
            <wp:docPr id="6" name="图片 6"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15212566102420208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577850"/>
                    </a:xfrm>
                    <a:prstGeom prst="rect">
                      <a:avLst/>
                    </a:prstGeom>
                    <a:noFill/>
                    <a:ln>
                      <a:noFill/>
                    </a:ln>
                  </pic:spPr>
                </pic:pic>
              </a:graphicData>
            </a:graphic>
          </wp:inline>
        </w:drawing>
      </w:r>
    </w:p>
    <w:p w14:paraId="16480813" w14:textId="6960A54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其中Ri为最近第i个公历日（包括计算当日，i=1，2，…，7）</w:t>
      </w:r>
      <w:r w:rsidR="00F8187C">
        <w:rPr>
          <w:rFonts w:ascii="宋体" w:hAnsi="宋体"/>
          <w:sz w:val="24"/>
        </w:rPr>
        <w:t>该类</w:t>
      </w:r>
      <w:r>
        <w:rPr>
          <w:rFonts w:ascii="宋体" w:hAnsi="宋体"/>
          <w:sz w:val="24"/>
        </w:rPr>
        <w:t>基金份额的</w:t>
      </w:r>
      <w:r w:rsidR="00F87260">
        <w:rPr>
          <w:rFonts w:ascii="宋体" w:hAnsi="宋体"/>
          <w:sz w:val="24"/>
        </w:rPr>
        <w:t>每万份基金已实现收益</w:t>
      </w:r>
      <w:r>
        <w:rPr>
          <w:rFonts w:ascii="宋体" w:hAnsi="宋体"/>
          <w:sz w:val="24"/>
        </w:rPr>
        <w:t>，基金七日年化收益率采用四舍五入方式保留小数点后3位。</w:t>
      </w:r>
    </w:p>
    <w:p w14:paraId="646A6D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14:paraId="61F9EAAD" w14:textId="731253C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基金收益分配方案由基金管理人拟定，并由基金托管人核实后确定。本基金按</w:t>
      </w:r>
      <w:r>
        <w:rPr>
          <w:rFonts w:ascii="宋体" w:hAnsi="宋体"/>
          <w:sz w:val="24"/>
        </w:rPr>
        <w:lastRenderedPageBreak/>
        <w:t>日计算</w:t>
      </w:r>
      <w:r w:rsidR="000D119F">
        <w:rPr>
          <w:rFonts w:ascii="宋体" w:hAnsi="宋体" w:hint="eastAsia"/>
          <w:sz w:val="24"/>
        </w:rPr>
        <w:t>并分配</w:t>
      </w:r>
      <w:r>
        <w:rPr>
          <w:rFonts w:ascii="宋体" w:hAnsi="宋体"/>
          <w:sz w:val="24"/>
        </w:rPr>
        <w:t>收益，基金管理人不另行公告基金收益分配方案。</w:t>
      </w:r>
    </w:p>
    <w:p w14:paraId="4BACE5F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14:paraId="42FFC7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收益分配采用红利再投资方式，免收再投资费用。</w:t>
      </w:r>
    </w:p>
    <w:p w14:paraId="7ACBE7A9"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833082" w14:textId="77777777" w:rsidR="00007225" w:rsidRDefault="00F07F0D">
      <w:pPr>
        <w:pStyle w:val="1"/>
        <w:snapToGrid w:val="0"/>
        <w:spacing w:beforeLines="0" w:before="240" w:after="240"/>
        <w:rPr>
          <w:rFonts w:ascii="宋体" w:hAnsi="宋体"/>
          <w:szCs w:val="30"/>
        </w:rPr>
      </w:pPr>
      <w:bookmarkStart w:id="19" w:name="_Toc160021647"/>
      <w:r>
        <w:rPr>
          <w:rFonts w:ascii="Times New Roman" w:hAnsi="Times New Roman"/>
          <w:sz w:val="30"/>
        </w:rPr>
        <w:lastRenderedPageBreak/>
        <w:t>十六、基金的费用与税收</w:t>
      </w:r>
      <w:bookmarkEnd w:id="19"/>
    </w:p>
    <w:p w14:paraId="72E8DDA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 基金费用的种类</w:t>
      </w:r>
    </w:p>
    <w:p w14:paraId="6A8BC48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0EFE6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FC169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3、基金销售服务费；</w:t>
      </w:r>
    </w:p>
    <w:p w14:paraId="49EDB3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4、基金合同生效后的基金信息披露费用；</w:t>
      </w:r>
    </w:p>
    <w:p w14:paraId="3F13C2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5、基金合同生效后与基金相关的会计师费、律师费；</w:t>
      </w:r>
    </w:p>
    <w:p w14:paraId="741E63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6、基金份额持有人大会费用；</w:t>
      </w:r>
    </w:p>
    <w:p w14:paraId="4CE928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7、基金的证券交易费用；</w:t>
      </w:r>
    </w:p>
    <w:p w14:paraId="27C8E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8、按照国家有关规定和基金合同约定可以在基金财产中列支的其他费用。</w:t>
      </w:r>
    </w:p>
    <w:p w14:paraId="6153F4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本基金基金合同终止清算时所发生费用，按实际支出额从基金财产总值中扣除。</w:t>
      </w:r>
    </w:p>
    <w:p w14:paraId="6CD2D1E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 基金费用计提方法、计提标准和支付方式</w:t>
      </w:r>
    </w:p>
    <w:p w14:paraId="6ECA77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686131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3A98F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本基金的管理费按基金资产净值的0.15%年费率计提。管理费的计算方法如下：</w:t>
      </w:r>
    </w:p>
    <w:p w14:paraId="4AE3B1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H=E×0.15%÷当年天数</w:t>
      </w:r>
    </w:p>
    <w:p w14:paraId="1C2D0C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H为每日应付的基金管理费</w:t>
      </w:r>
    </w:p>
    <w:p w14:paraId="07581B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5A2301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款指令，基金托管人复核后于次月前2个工作日内从基金财产中一次性支付给基金管理人。若遇法定节假日、公休假等，支付日期顺延。</w:t>
      </w:r>
    </w:p>
    <w:p w14:paraId="0C08A6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42F5FE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本基金的托管费按基金资产净值的0.05%的年费率计提。托管费的计算方法如下：</w:t>
      </w:r>
    </w:p>
    <w:p w14:paraId="723C86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16FD74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H为每日应支付的基金托管费</w:t>
      </w:r>
    </w:p>
    <w:p w14:paraId="145B59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0F7C67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基金托管费每日计提，按月支付，由基金管理人向基金托管人发送基金托管费划款指令，基金托管人复核后于次月前2个工作日内从基金财产中一次性支取。若遇法定节假日、公休假等，支付日期顺延。</w:t>
      </w:r>
    </w:p>
    <w:p w14:paraId="3297FB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与基金销售有关的费用</w:t>
      </w:r>
    </w:p>
    <w:p w14:paraId="0B9B9E8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6C1D96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本基金申购费的费率为零，详见“基金份额的申购、赎回及其他业务”一章。</w:t>
      </w:r>
    </w:p>
    <w:p w14:paraId="462791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7715ED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本基金赎回费的费率为零，详见“基金份额的申购、赎回及其他业务”一章。</w:t>
      </w:r>
    </w:p>
    <w:p w14:paraId="1F531D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14:paraId="528DD5E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265323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（4）销售服务费</w:t>
      </w:r>
    </w:p>
    <w:p w14:paraId="5E80353F" w14:textId="69B299F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w:t>
      </w:r>
      <w:r w:rsidR="00F8187C">
        <w:rPr>
          <w:rFonts w:ascii="宋体" w:hAnsi="宋体"/>
          <w:sz w:val="24"/>
        </w:rPr>
        <w:t>类</w:t>
      </w:r>
      <w:r>
        <w:rPr>
          <w:rFonts w:ascii="宋体" w:hAnsi="宋体"/>
          <w:sz w:val="24"/>
        </w:rPr>
        <w:t>基金份额按照不同的费率计提销售服务费，在通常情况下，本基金A</w:t>
      </w:r>
      <w:r w:rsidR="00F8187C">
        <w:rPr>
          <w:rFonts w:ascii="宋体" w:hAnsi="宋体"/>
          <w:sz w:val="24"/>
        </w:rPr>
        <w:t>类</w:t>
      </w:r>
      <w:r>
        <w:rPr>
          <w:rFonts w:ascii="宋体" w:hAnsi="宋体"/>
          <w:sz w:val="24"/>
        </w:rPr>
        <w:t>基金份额的销售服务费年费率为0.25%，B</w:t>
      </w:r>
      <w:r w:rsidR="00F8187C">
        <w:rPr>
          <w:rFonts w:ascii="宋体" w:hAnsi="宋体"/>
          <w:sz w:val="24"/>
        </w:rPr>
        <w:t>类</w:t>
      </w:r>
      <w:r>
        <w:rPr>
          <w:rFonts w:ascii="宋体" w:hAnsi="宋体"/>
          <w:sz w:val="24"/>
        </w:rPr>
        <w:t>基金份额的年费率为0.01%</w:t>
      </w:r>
      <w:r w:rsidR="00F8187C">
        <w:rPr>
          <w:rFonts w:ascii="宋体" w:hAnsi="宋体" w:hint="eastAsia"/>
          <w:sz w:val="24"/>
        </w:rPr>
        <w:t>，</w:t>
      </w:r>
      <w:r w:rsidR="00F8187C">
        <w:rPr>
          <w:rFonts w:ascii="宋体" w:hAnsi="宋体"/>
          <w:sz w:val="24"/>
        </w:rPr>
        <w:t>C类基金份额的销售服务费年费率为0.25%，D类基金份额的</w:t>
      </w:r>
      <w:r w:rsidR="00C1556E">
        <w:rPr>
          <w:rFonts w:ascii="宋体" w:hAnsi="宋体"/>
          <w:sz w:val="24"/>
        </w:rPr>
        <w:t>销售服务费</w:t>
      </w:r>
      <w:r w:rsidR="00F8187C">
        <w:rPr>
          <w:rFonts w:ascii="宋体" w:hAnsi="宋体"/>
          <w:sz w:val="24"/>
        </w:rPr>
        <w:t>年费率为0.01%</w:t>
      </w:r>
      <w:r>
        <w:rPr>
          <w:rFonts w:ascii="宋体" w:hAnsi="宋体"/>
          <w:sz w:val="24"/>
        </w:rPr>
        <w:t>。</w:t>
      </w:r>
      <w:r w:rsidR="00F83B1A">
        <w:rPr>
          <w:rFonts w:ascii="宋体" w:hAnsi="宋体"/>
          <w:sz w:val="24"/>
        </w:rPr>
        <w:t>各</w:t>
      </w:r>
      <w:r w:rsidR="00F83B1A">
        <w:rPr>
          <w:rFonts w:ascii="宋体" w:hAnsi="宋体" w:hint="eastAsia"/>
          <w:sz w:val="24"/>
        </w:rPr>
        <w:t>类</w:t>
      </w:r>
      <w:r>
        <w:rPr>
          <w:rFonts w:ascii="宋体" w:hAnsi="宋体"/>
          <w:sz w:val="24"/>
        </w:rPr>
        <w:t>基金份额的销售服务费计提的计算公式如下：</w:t>
      </w:r>
    </w:p>
    <w:p w14:paraId="77878D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H＝E×R÷当年天数</w:t>
      </w:r>
    </w:p>
    <w:p w14:paraId="265B8C7E" w14:textId="03CA3D4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w:t>
      </w:r>
      <w:r w:rsidR="00910559">
        <w:rPr>
          <w:rFonts w:ascii="宋体" w:hAnsi="宋体"/>
          <w:sz w:val="24"/>
        </w:rPr>
        <w:t>类</w:t>
      </w:r>
      <w:r>
        <w:rPr>
          <w:rFonts w:ascii="宋体" w:hAnsi="宋体"/>
          <w:sz w:val="24"/>
        </w:rPr>
        <w:t>基金份额每日应计提的销售服务费</w:t>
      </w:r>
    </w:p>
    <w:p w14:paraId="212992D2" w14:textId="009C9EE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E为前一日该</w:t>
      </w:r>
      <w:r w:rsidR="00910559">
        <w:rPr>
          <w:rFonts w:ascii="宋体" w:hAnsi="宋体"/>
          <w:sz w:val="24"/>
        </w:rPr>
        <w:t>类</w:t>
      </w:r>
      <w:r>
        <w:rPr>
          <w:rFonts w:ascii="宋体" w:hAnsi="宋体"/>
          <w:sz w:val="24"/>
        </w:rPr>
        <w:t>基金份额的基金资产净值</w:t>
      </w:r>
    </w:p>
    <w:p w14:paraId="52F23BFC" w14:textId="13882DC1"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R为该</w:t>
      </w:r>
      <w:r w:rsidR="00910559">
        <w:rPr>
          <w:rFonts w:ascii="宋体" w:hAnsi="宋体"/>
          <w:sz w:val="24"/>
        </w:rPr>
        <w:t>类</w:t>
      </w:r>
      <w:r>
        <w:rPr>
          <w:rFonts w:ascii="宋体" w:hAnsi="宋体"/>
          <w:sz w:val="24"/>
        </w:rPr>
        <w:t>基金份额的销售服务费率</w:t>
      </w:r>
    </w:p>
    <w:p w14:paraId="31F40724" w14:textId="6A4FFCE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基金管理人可以调整对各</w:t>
      </w:r>
      <w:r w:rsidR="00910559">
        <w:rPr>
          <w:rFonts w:ascii="宋体" w:hAnsi="宋体"/>
          <w:sz w:val="24"/>
        </w:rPr>
        <w:t>类</w:t>
      </w:r>
      <w:r>
        <w:rPr>
          <w:rFonts w:ascii="宋体" w:hAnsi="宋体"/>
          <w:sz w:val="24"/>
        </w:rPr>
        <w:t>基金份额计提的销售服务费率，但销售服务费年费率最高不超过0.25%。基金管理人应在调整前依照《信息披露办法》和《信息披露特别规定》的有关规定在中国证监会指定媒介上公告并报中国证监会备案。</w:t>
      </w:r>
    </w:p>
    <w:p w14:paraId="79C2CCB0" w14:textId="19A74E8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w:t>
      </w:r>
      <w:r w:rsidR="00C72852">
        <w:rPr>
          <w:rFonts w:ascii="宋体" w:hAnsi="宋体"/>
          <w:sz w:val="24"/>
        </w:rPr>
        <w:t>类</w:t>
      </w:r>
      <w:r>
        <w:rPr>
          <w:rFonts w:ascii="宋体" w:hAnsi="宋体"/>
          <w:sz w:val="24"/>
        </w:rPr>
        <w:t>基金份额的基金销售服务费每日计提，按月支付。由基金管理人向基金托管人发送基金销售管理费划付指令，基金托管人复核后于次月前2个工作日内从基金财产中一次性支付给基金管理人，若遇法定节假日、休息日等，支付日期顺延。</w:t>
      </w:r>
    </w:p>
    <w:p w14:paraId="413369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基金销售服务费主要用于支付销售机构佣金，以及基金管理人的基金营销广告费、促销活动费、持有人服务费等。</w:t>
      </w:r>
    </w:p>
    <w:p w14:paraId="6C59E36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上述（一）基金费用的种类中4－8项费用由基金托管人根据有关法规及相应协议规定，按费用实际支出金额列入当期费用，从基金财产中支付。</w:t>
      </w:r>
    </w:p>
    <w:p w14:paraId="4F763C9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 不列入基金费用的项目</w:t>
      </w:r>
    </w:p>
    <w:p w14:paraId="05FE3F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基金管理人和基金托管人因未履行或未完全履行义务导致的费用支出或基金财产的损失，以及处理与基金运作无关的事项发生的费用等不列入基金费用。</w:t>
      </w:r>
    </w:p>
    <w:p w14:paraId="05CD33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基金募集期间的信息披露费、会计师费、律师费及其他费用，不得从基金财产中列支。其他具体不列入基金费用的项目依据中国证监会有关规定执行。</w:t>
      </w:r>
    </w:p>
    <w:p w14:paraId="2C2C2110"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（四）基金管理费、托管费、销售服务费率的调整</w:t>
      </w:r>
    </w:p>
    <w:p w14:paraId="33FD24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和销售服务费率。调高基金管理费率、基金托管费率、销售服务费率，须召开基金份额持有人大会审议；调低基金管理费率、基金托管费率、销售服务费率，无须召开基金份额持有人大会。基金管理人必须最迟于新的费率实施日前依照《信息披露办法》和《信息披露特别规定》的有关规定在指定媒介上公告。</w:t>
      </w:r>
    </w:p>
    <w:p w14:paraId="1160AEA2"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 基金税收</w:t>
      </w:r>
    </w:p>
    <w:p w14:paraId="451834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基金运作过程中涉及的各类纳税主体，其纳税义务按国家税收法律法规执行。</w:t>
      </w:r>
    </w:p>
    <w:p w14:paraId="4CAC708F"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E66EA61" w14:textId="77777777" w:rsidR="00007225" w:rsidRDefault="00F07F0D">
      <w:pPr>
        <w:pStyle w:val="1"/>
        <w:snapToGrid w:val="0"/>
        <w:spacing w:beforeLines="0" w:before="240" w:after="240"/>
        <w:rPr>
          <w:rFonts w:ascii="宋体" w:hAnsi="宋体"/>
          <w:szCs w:val="30"/>
        </w:rPr>
      </w:pPr>
      <w:bookmarkStart w:id="20" w:name="_Toc160021648"/>
      <w:r>
        <w:rPr>
          <w:rFonts w:ascii="Times New Roman" w:hAnsi="Times New Roman"/>
          <w:sz w:val="30"/>
        </w:rPr>
        <w:lastRenderedPageBreak/>
        <w:t>十七、基金的会计与审计</w:t>
      </w:r>
      <w:bookmarkEnd w:id="20"/>
    </w:p>
    <w:p w14:paraId="1D3A493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14:paraId="601732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74E7CE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2、基金的会计年度为公历年度的1月1日至12月31日；基金募集所在会计年度按如下原则：如果基金合同生效少于2个月，可以并入下一个会计年度；</w:t>
      </w:r>
    </w:p>
    <w:p w14:paraId="7BE049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6672EA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61A4FF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11E6CD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5E6AC6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14:paraId="414F996A"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（二）基金审计</w:t>
      </w:r>
    </w:p>
    <w:p w14:paraId="25BD45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1、本基金管理人聘请与基金管理人、基金托管人相互独立的具有证券、期货相关从业资格的会计师事务所及其注册会计师对本基金的年度财务报表进行审计。</w:t>
      </w:r>
    </w:p>
    <w:p w14:paraId="6931A8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2、会计师事务所更换经办注册会计师，应事先征得基金管理人和基金托管人同意，并报中国证监会备案。</w:t>
      </w:r>
    </w:p>
    <w:p w14:paraId="3120416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须经基金托管人（或基金管理人）同意，并报中国证监会备案。更换会计师事务所应由基金管理人按照《信息披露办法》的有关规定在中国证监会指定媒介上公告。</w:t>
      </w:r>
    </w:p>
    <w:p w14:paraId="3D78BB85"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BEA745" w14:textId="77777777" w:rsidR="00007225" w:rsidRDefault="00F07F0D">
      <w:pPr>
        <w:pStyle w:val="1"/>
        <w:snapToGrid w:val="0"/>
        <w:spacing w:beforeLines="0" w:before="240" w:after="240"/>
        <w:rPr>
          <w:rFonts w:ascii="宋体" w:hAnsi="宋体"/>
          <w:szCs w:val="30"/>
        </w:rPr>
      </w:pPr>
      <w:bookmarkStart w:id="21" w:name="_Toc160021649"/>
      <w:r>
        <w:rPr>
          <w:rFonts w:ascii="Times New Roman" w:hAnsi="Times New Roman"/>
          <w:sz w:val="30"/>
        </w:rPr>
        <w:lastRenderedPageBreak/>
        <w:t>十八、基金的信息披露</w:t>
      </w:r>
      <w:bookmarkEnd w:id="21"/>
    </w:p>
    <w:p w14:paraId="3C23E69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14:paraId="4853327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3AC3A4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7E8694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BED7C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14:paraId="30DC4A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E2517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400C3B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3048CE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74335B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7150F2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497B00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14:paraId="0ED717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6CAFDA2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（一）公开披露的基金信息</w:t>
      </w:r>
    </w:p>
    <w:p w14:paraId="315131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12E42C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56959F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基金募集申请经中国证监会核准后，基金管理人在基金份额发售前，依照《信息披露办法》和《信息披露特别规定》的有关规定将基金招募说明书、基金合同摘</w:t>
      </w:r>
      <w:r>
        <w:rPr>
          <w:rFonts w:ascii="宋体" w:hAnsi="宋体"/>
          <w:sz w:val="24"/>
        </w:rPr>
        <w:lastRenderedPageBreak/>
        <w:t>要登载在指定报刊和网站上；基金管理人、基金托管人应当将基金合同、基金托管协议登载在网站上。</w:t>
      </w:r>
    </w:p>
    <w:p w14:paraId="450B9B3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694D761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BB797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2D3B4F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754B23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14:paraId="6745B1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14:paraId="77B9A3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27B002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基金管理人应当在本基金合同生效的次日在指定报刊和网站上登载基金合同生效公告。</w:t>
      </w:r>
    </w:p>
    <w:p w14:paraId="265C18B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362C7A12" w14:textId="427C703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本基金合同生效后，在开始办理基金份额申购或者赎回前，基金管理人应当至少每周公告一次各</w:t>
      </w:r>
      <w:r w:rsidR="000C3013">
        <w:rPr>
          <w:rFonts w:ascii="宋体" w:hAnsi="宋体" w:hint="eastAsia"/>
          <w:sz w:val="24"/>
        </w:rPr>
        <w:t>类</w:t>
      </w:r>
      <w:r>
        <w:rPr>
          <w:rFonts w:ascii="宋体" w:hAnsi="宋体"/>
          <w:sz w:val="24"/>
        </w:rPr>
        <w:t>基金份额的基金资产净值、</w:t>
      </w:r>
      <w:r w:rsidR="00F87260">
        <w:rPr>
          <w:rFonts w:ascii="宋体" w:hAnsi="宋体"/>
          <w:sz w:val="24"/>
        </w:rPr>
        <w:t>每万份基金已实现收益</w:t>
      </w:r>
      <w:r>
        <w:rPr>
          <w:rFonts w:ascii="宋体" w:hAnsi="宋体"/>
          <w:sz w:val="24"/>
        </w:rPr>
        <w:t>和基金七日年化收益率。</w:t>
      </w:r>
    </w:p>
    <w:p w14:paraId="6353E5B8" w14:textId="2292B08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基金管理人应于开始办理基金份额申购或者赎回当日，在指定报刊和网站上披</w:t>
      </w:r>
      <w:r>
        <w:rPr>
          <w:rFonts w:ascii="宋体" w:hAnsi="宋体"/>
          <w:sz w:val="24"/>
        </w:rPr>
        <w:lastRenderedPageBreak/>
        <w:t>露截止前一日各</w:t>
      </w:r>
      <w:r w:rsidR="005F7183">
        <w:rPr>
          <w:rFonts w:ascii="宋体" w:hAnsi="宋体" w:hint="eastAsia"/>
          <w:sz w:val="24"/>
        </w:rPr>
        <w:t>类</w:t>
      </w:r>
      <w:r>
        <w:rPr>
          <w:rFonts w:ascii="宋体" w:hAnsi="宋体"/>
          <w:sz w:val="24"/>
        </w:rPr>
        <w:t>基金份额的基金资产净值、基金合同生效至前一日期间各</w:t>
      </w:r>
      <w:r w:rsidR="00346BA0">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、前一日的基金七日年化收益率。</w:t>
      </w:r>
    </w:p>
    <w:p w14:paraId="24A0B43D" w14:textId="4AC43A6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基金管理人应当至少于每个开放日的次日，通过指定网站、基金销售机构网站或者营业网点披露截止开放日各</w:t>
      </w:r>
      <w:r w:rsidR="00346BA0">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和七日年化收益率。若遇法定节假日，应于节假日结束后第二个自然日披露节假日期间各</w:t>
      </w:r>
      <w:r w:rsidR="00346BA0">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、节假日最后一日的七日年化收益率，以及节假日后首个开放日的</w:t>
      </w:r>
      <w:r w:rsidR="00F87260">
        <w:rPr>
          <w:rFonts w:ascii="宋体" w:hAnsi="宋体"/>
          <w:sz w:val="24"/>
        </w:rPr>
        <w:t>每万份基金已实现收益</w:t>
      </w:r>
      <w:r>
        <w:rPr>
          <w:rFonts w:ascii="宋体" w:hAnsi="宋体"/>
          <w:sz w:val="24"/>
        </w:rPr>
        <w:t>和七日年化收益率。</w:t>
      </w:r>
    </w:p>
    <w:p w14:paraId="442F4D52" w14:textId="65016EB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基金管理人应当在不晚于半年度和年度最后一日的次日，在指定网站披露半年度和年度最后一日的各</w:t>
      </w:r>
      <w:r w:rsidR="00346BA0">
        <w:rPr>
          <w:rFonts w:ascii="宋体" w:hAnsi="宋体" w:hint="eastAsia"/>
          <w:sz w:val="24"/>
        </w:rPr>
        <w:t>类</w:t>
      </w:r>
      <w:r>
        <w:rPr>
          <w:rFonts w:ascii="宋体" w:hAnsi="宋体"/>
          <w:sz w:val="24"/>
        </w:rPr>
        <w:t>基金份额的</w:t>
      </w:r>
      <w:r w:rsidR="00F87260">
        <w:rPr>
          <w:rFonts w:ascii="宋体" w:hAnsi="宋体"/>
          <w:sz w:val="24"/>
        </w:rPr>
        <w:t>每万份基金已实现收益</w:t>
      </w:r>
      <w:r>
        <w:rPr>
          <w:rFonts w:ascii="宋体" w:hAnsi="宋体"/>
          <w:sz w:val="24"/>
        </w:rPr>
        <w:t>和7日年化收益率。</w:t>
      </w:r>
    </w:p>
    <w:p w14:paraId="65B60F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5、基金定期报告，包括基金年度报告、基金中期报告和基金季度报告</w:t>
      </w:r>
    </w:p>
    <w:p w14:paraId="147855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763AD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76091E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56F18C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0BB46F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43088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74EC7A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6、临时报告</w:t>
      </w:r>
    </w:p>
    <w:p w14:paraId="2F115B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14:paraId="47FE35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7E65D7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14:paraId="240CE0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1D17DDD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37A5D5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700D8D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2EC6A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52CFFA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0FCC64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2F26CB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E68D8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173805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5B37595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756C0D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4D41EF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759E58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14:paraId="56A4B55A" w14:textId="785BE72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w:t>
      </w:r>
      <w:r w:rsidR="007B4EBD">
        <w:rPr>
          <w:rFonts w:ascii="宋体" w:hAnsi="宋体" w:hint="eastAsia"/>
          <w:sz w:val="24"/>
        </w:rPr>
        <w:t>资产</w:t>
      </w:r>
      <w:r>
        <w:rPr>
          <w:rFonts w:ascii="宋体" w:hAnsi="宋体"/>
          <w:sz w:val="24"/>
        </w:rPr>
        <w:t>净值计价错误达基金</w:t>
      </w:r>
      <w:r w:rsidR="007B4EBD">
        <w:rPr>
          <w:rFonts w:ascii="宋体" w:hAnsi="宋体" w:hint="eastAsia"/>
          <w:sz w:val="24"/>
        </w:rPr>
        <w:t>资产</w:t>
      </w:r>
      <w:r>
        <w:rPr>
          <w:rFonts w:ascii="宋体" w:hAnsi="宋体"/>
          <w:sz w:val="24"/>
        </w:rPr>
        <w:t>净值百分之零点五；</w:t>
      </w:r>
    </w:p>
    <w:p w14:paraId="07CE143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17）影子定价确定的基金资产净值与摊余成本法计算的基金资产净值的偏离度的绝对值达到或超过基金资产净值的0.5%；</w:t>
      </w:r>
    </w:p>
    <w:p w14:paraId="07EB3A2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18）本基金开始办理申购、赎回；</w:t>
      </w:r>
    </w:p>
    <w:p w14:paraId="6621F94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19）本基金发生巨额赎回并延期办理；</w:t>
      </w:r>
    </w:p>
    <w:p w14:paraId="4063F05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20）本基金连续发生巨额赎回并暂停接受赎回申请或延缓支付赎回款项；</w:t>
      </w:r>
    </w:p>
    <w:p w14:paraId="5508A04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21）本基金暂停接受申购、赎回申请或重新接受申购、赎回申请；</w:t>
      </w:r>
    </w:p>
    <w:p w14:paraId="46FADAF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20AE9D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23）本基金投资于主体信用评级低于AA+的商业银行的银行存款与同业存单；</w:t>
      </w:r>
    </w:p>
    <w:p w14:paraId="65E9AA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24）基金信息披露义务人认为可能对基金份额持有人权益或者基金份额的价格产生重大影响的其他事项或中国证监会规定的其他事项。</w:t>
      </w:r>
    </w:p>
    <w:p w14:paraId="502CAA7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7、澄清公告</w:t>
      </w:r>
    </w:p>
    <w:p w14:paraId="5C9505A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C06B0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8、基金份额持有人大会决议</w:t>
      </w:r>
    </w:p>
    <w:p w14:paraId="07B7DB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3360C30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基金份额持有人依法自行召集基金份额持有人大会，基金管理人、本基金托管人对基金份额持有人大会决定的事项不依法履行信息披露义务的，召集人应当履行相关信息披露义务。</w:t>
      </w:r>
    </w:p>
    <w:p w14:paraId="222721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9、中国证监会规定的其他信息。</w:t>
      </w:r>
    </w:p>
    <w:p w14:paraId="522E1E2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（二）信息披露事务管理</w:t>
      </w:r>
    </w:p>
    <w:p w14:paraId="4E4725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1A6E7C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14:paraId="1BA719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4971D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644834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w:t>
      </w:r>
      <w:r>
        <w:rPr>
          <w:rFonts w:ascii="宋体" w:hAnsi="宋体"/>
          <w:sz w:val="24"/>
        </w:rPr>
        <w:lastRenderedPageBreak/>
        <w:t>其他公共媒介披露信息，但是其他公共媒介不得早于指定媒介披露信息，并且在不同媒介上披露同一信息的内容应当一致。</w:t>
      </w:r>
    </w:p>
    <w:p w14:paraId="410F05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784353F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9F91A4C"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（三）信息披露文件的存放与查阅</w:t>
      </w:r>
    </w:p>
    <w:p w14:paraId="7472C14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716DC1A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w:t>
      </w:r>
      <w:r w:rsidRPr="00BB248E">
        <w:rPr>
          <w:rFonts w:ascii="宋体" w:hAnsi="宋体" w:hint="eastAsia"/>
          <w:kern w:val="0"/>
          <w:sz w:val="24"/>
        </w:rPr>
        <w:t>本基金信息披露事项以法律法规规定及本章节约定的内容为准。</w:t>
      </w:r>
    </w:p>
    <w:p w14:paraId="1AABA726"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638112E" w14:textId="77777777" w:rsidR="00007225" w:rsidRDefault="00F07F0D">
      <w:pPr>
        <w:pStyle w:val="1"/>
        <w:snapToGrid w:val="0"/>
        <w:spacing w:beforeLines="0" w:before="240" w:after="240"/>
        <w:rPr>
          <w:rFonts w:ascii="宋体" w:hAnsi="宋体"/>
          <w:szCs w:val="30"/>
        </w:rPr>
      </w:pPr>
      <w:bookmarkStart w:id="22" w:name="_Toc160021650"/>
      <w:r>
        <w:rPr>
          <w:rFonts w:ascii="Times New Roman" w:hAnsi="Times New Roman"/>
          <w:sz w:val="30"/>
        </w:rPr>
        <w:lastRenderedPageBreak/>
        <w:t>十九、风险揭示</w:t>
      </w:r>
      <w:bookmarkEnd w:id="22"/>
    </w:p>
    <w:p w14:paraId="6FF7EA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14E374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4E98F8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3F3389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373974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323471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20ECAD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w:t>
      </w:r>
      <w:r>
        <w:rPr>
          <w:rFonts w:ascii="宋体" w:hAnsi="宋体"/>
          <w:sz w:val="24"/>
        </w:rPr>
        <w:lastRenderedPageBreak/>
        <w:t>担。</w:t>
      </w:r>
    </w:p>
    <w:p w14:paraId="32D2CA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本基金面临的主要风险是利率风险、经济周期风险、再投资风险、流动性风险、信用风险、交易对手违约风险、政策风险等。</w:t>
      </w:r>
    </w:p>
    <w:p w14:paraId="5BA35DB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利率风险</w:t>
      </w:r>
    </w:p>
    <w:p w14:paraId="254E29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由于中央银行的利率的调整和短期利率的波动产生本基金的利率风险。由于利率的波动基金持有人会面临投资收益率低于或高于业绩基准的风险。</w:t>
      </w:r>
    </w:p>
    <w:p w14:paraId="4295BB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 经济周期风险</w:t>
      </w:r>
    </w:p>
    <w:p w14:paraId="0541AB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随着经济的周期性变化，国家经济和各个行业也呈周期性变化，从而影响到证券市场和短期资金市场的走势，给本基金的投资收益带来风险。</w:t>
      </w:r>
    </w:p>
    <w:p w14:paraId="43691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 再投资风险</w:t>
      </w:r>
    </w:p>
    <w:p w14:paraId="3213E7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债券偿付本息后以及回购到期后的再投资获得的收益取决于再投资时的利率水平和再投资的策略。因未来市场利率的变化而引起再投资收益率的不确定性为再投资风险。</w:t>
      </w:r>
    </w:p>
    <w:p w14:paraId="4099440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 流动性风险</w:t>
      </w:r>
    </w:p>
    <w:p w14:paraId="52D48D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流动性风险主要是指因基金资产变现的难易程度所导致基金收益变动的风险。本基金投资对象的流动性相对较好，但是在特殊市场情况下（加息或是市场资金紧张的情况下）也会出现部分品种的交易不活跃、成交量不足的情形，此时如果基金赎回金额较大，可能因流动性风险的存在导致基金收益出现波动。</w:t>
      </w:r>
    </w:p>
    <w:p w14:paraId="3F3AB0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4983B57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5CD530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79B961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57E2E5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68B707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w:t>
      </w:r>
      <w:r>
        <w:rPr>
          <w:rFonts w:ascii="宋体" w:hAnsi="宋体"/>
          <w:sz w:val="24"/>
        </w:rPr>
        <w:lastRenderedPageBreak/>
        <w:t>换中转出申请份额总份额扣除申购申请总份额及基金转换中转入申请份额总份额后的余额）超过上一日基金总份额的10%时，即认为发生了巨额赎回。</w:t>
      </w:r>
    </w:p>
    <w:p w14:paraId="1E6731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14:paraId="77D33CB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（1）全额赎回：当基金管理人认为有能力支付投资者的全部赎回申请时，按正常赎回程序执行。</w:t>
      </w:r>
    </w:p>
    <w:p w14:paraId="7DCCE7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予以延期办理。对于当日的赎回申请，应当按单个账户赎回申请量占当日赎回申请总量的比例，确定当日单个帐户受理的赎回份额。未受理部分，除投资者在提交赎回申请时明确作出不参加顺延下一个开放日赎回的表示外，顺延至下一个开放日赎回处理。依照上述规定转入下一个开放日的赎回不享有赎回优先权并将按该下一个开放日赎回申请总量计算赎回金额，以此类推，直到全部赎回为止。</w:t>
      </w:r>
    </w:p>
    <w:p w14:paraId="38DB4F4F" w14:textId="0767089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顺延赎回”的约定方式与其他基金份额持有人的赎回申请一并办理。但是，如基金份额持有人在当日选择取消赎回，则其当日未获受理的部分赎回申请将被撤销。</w:t>
      </w:r>
    </w:p>
    <w:p w14:paraId="507E49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开放日以上发生巨额赎回，如基金管理人认为有必要，可暂停接受赎回申请；已经接受的赎回申请可以延缓支付赎回款项，但不得超过正常支付时间20个工作日，并应当在中国证监会指定媒介上公告。</w:t>
      </w:r>
    </w:p>
    <w:p w14:paraId="17E0A3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1FE54B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3A9B37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暂停基金估值等，作为特定情形下基金管理人流动性风险管理的辅助措施，同时基金管理人应时刻防范可能产生的流动性风险，对流动性风险进行日常监控，保护持有人的利益。当实施备用的流</w:t>
      </w:r>
      <w:r>
        <w:rPr>
          <w:rFonts w:ascii="宋体" w:hAnsi="宋体"/>
          <w:sz w:val="24"/>
        </w:rPr>
        <w:lastRenderedPageBreak/>
        <w:t>动性风险管理工具时，有可能无法按合同约定的时限支付赎回款项。</w:t>
      </w:r>
    </w:p>
    <w:p w14:paraId="6FAEB1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 信用风险</w:t>
      </w:r>
    </w:p>
    <w:p w14:paraId="1BD98BF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当基金持有的债券、票据的发行人违约，不按时偿付本金或利息时，将直接导致基金资产的损失，产生信用风险。</w:t>
      </w:r>
    </w:p>
    <w:p w14:paraId="03DAAB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 交易对手违约风险</w:t>
      </w:r>
    </w:p>
    <w:p w14:paraId="76FB4FE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2235D78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 政策风险</w:t>
      </w:r>
    </w:p>
    <w:p w14:paraId="069ABC0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政策风险主要指由于国家财政政策或货币政策的变动导致货币市场波动所引发本基金收益产生损失的风险。</w:t>
      </w:r>
    </w:p>
    <w:p w14:paraId="792B10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 其他风险</w:t>
      </w:r>
    </w:p>
    <w:p w14:paraId="04357E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除上面提到的风险外，本基金还存在其他风险，如投资操作风险、技术风险、不可抗力风险等等。</w:t>
      </w:r>
    </w:p>
    <w:p w14:paraId="135096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取红利再投资的分配方式，且每日计算收益并分配。但本基金的收益有正有负。当本基金的收益为正时，投资者的基金份额相应增加；当本基金的收益为负时，投资者的基金份额会相应减少；当本基金的收益为零时，投资者的基金份额保持不变。</w:t>
      </w:r>
    </w:p>
    <w:p w14:paraId="15A1681A"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C23662A" w14:textId="77777777" w:rsidR="00007225" w:rsidRDefault="00F07F0D">
      <w:pPr>
        <w:pStyle w:val="1"/>
        <w:snapToGrid w:val="0"/>
        <w:spacing w:beforeLines="0" w:before="240" w:after="240"/>
        <w:rPr>
          <w:rFonts w:ascii="宋体" w:hAnsi="宋体"/>
          <w:szCs w:val="30"/>
        </w:rPr>
      </w:pPr>
      <w:bookmarkStart w:id="23" w:name="_Toc160021651"/>
      <w:r>
        <w:rPr>
          <w:rFonts w:ascii="Times New Roman" w:hAnsi="Times New Roman"/>
          <w:sz w:val="30"/>
        </w:rPr>
        <w:lastRenderedPageBreak/>
        <w:t>二十、基金合同的终止与基金财产的清算</w:t>
      </w:r>
      <w:bookmarkEnd w:id="23"/>
    </w:p>
    <w:p w14:paraId="2513465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（一）基金合同的终止</w:t>
      </w:r>
    </w:p>
    <w:p w14:paraId="6F7ED6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出现下列情况之一的，基金合同终止：</w:t>
      </w:r>
    </w:p>
    <w:p w14:paraId="6FF86E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28B047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2、基金管理人职责终止，而在6个月内没有新基金管理人承接其原有职责的；</w:t>
      </w:r>
    </w:p>
    <w:p w14:paraId="0DAE0AC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3、基金托管人职责终止，而在6个月内没有新基金托管人承接其原有职责的；</w:t>
      </w:r>
    </w:p>
    <w:p w14:paraId="68DF7D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4、基金合同规定的其他情况或中国证监会允许的其它情况。</w:t>
      </w:r>
    </w:p>
    <w:p w14:paraId="60E847A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（二）基金财产清算小组</w:t>
      </w:r>
    </w:p>
    <w:p w14:paraId="4A12AD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自基金合同终止之日起30个工作日内成立基金财产清算小组，清算财产小组必须在中国证监会的监督下进行基金清算。</w:t>
      </w:r>
    </w:p>
    <w:p w14:paraId="499C0E5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基金财产清算小组成员由基金管理人、基金托管人、具有从事证券相关业务资格的注册会计师、律师以及中国证监会指定的人员组成。基金清算小组可以聘请必要的工作人员。</w:t>
      </w:r>
    </w:p>
    <w:p w14:paraId="02E029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基金财产清算小组接管基金资产后，负责基金财产的保管、清理、估价、变现和分配。基金财产清算小组可以依法进行必要的民事活动。</w:t>
      </w:r>
    </w:p>
    <w:p w14:paraId="6C9C6FA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（三）清算程序</w:t>
      </w:r>
    </w:p>
    <w:p w14:paraId="4874DC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1、基金合同终止后，由基金财产清算小组统一接管基金资产；</w:t>
      </w:r>
    </w:p>
    <w:p w14:paraId="4629A8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14:paraId="472394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3、对基金资产进行估值和变现；</w:t>
      </w:r>
    </w:p>
    <w:p w14:paraId="3AF9CB7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4、对基金财产进行分配；</w:t>
      </w:r>
    </w:p>
    <w:p w14:paraId="1C00352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5、制作清算报告；</w:t>
      </w:r>
    </w:p>
    <w:p w14:paraId="4F0402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6、聘请会计师事务所对清算报告进行外部审计，聘请律师事务所对清算报告出具法律意见书；</w:t>
      </w:r>
    </w:p>
    <w:p w14:paraId="67E44A7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7、将清算报告报中国证监会备案并公告。</w:t>
      </w:r>
    </w:p>
    <w:p w14:paraId="3C0ADCB4"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14:paraId="07C1B4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清算费用是指基金财产清算小组在进行基金清算过程中发生的所有合理费用，清算费用由清算小组优先从基金财产中支付。</w:t>
      </w:r>
    </w:p>
    <w:p w14:paraId="2D427E15"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（五）基金资产按下列顺序清偿</w:t>
      </w:r>
    </w:p>
    <w:p w14:paraId="6AEBC2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718D839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2、交纳所欠税款；</w:t>
      </w:r>
    </w:p>
    <w:p w14:paraId="5CFD3A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79BFDE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50CA994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基金财产按前款1-4项规定依顺序清偿，在上一顺序权利人未得以清偿前，不进行对下一顺序权利人的分配。</w:t>
      </w:r>
    </w:p>
    <w:p w14:paraId="0767E80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（六）基金清算的公告</w:t>
      </w:r>
    </w:p>
    <w:p w14:paraId="383D32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清算过程中的有关重大事项将及时公告；基金财产清算报告经会计师事务所审计并由律师事务所出具法律意见书后报中国证监会备案并公告。</w:t>
      </w:r>
    </w:p>
    <w:p w14:paraId="1EBBD0A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（七）基金清算账册及文件的保存</w:t>
      </w:r>
    </w:p>
    <w:p w14:paraId="26416A3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基金清算账册及有关文件由基金托管人保存15年以上。</w:t>
      </w:r>
    </w:p>
    <w:p w14:paraId="3695ADD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3B8287" w14:textId="77777777" w:rsidR="00007225" w:rsidRDefault="00F07F0D">
      <w:pPr>
        <w:pStyle w:val="1"/>
        <w:snapToGrid w:val="0"/>
        <w:spacing w:beforeLines="0" w:before="240" w:after="240"/>
        <w:rPr>
          <w:rFonts w:ascii="宋体" w:hAnsi="宋体"/>
          <w:szCs w:val="30"/>
        </w:rPr>
      </w:pPr>
      <w:bookmarkStart w:id="24" w:name="_Toc160021652"/>
      <w:r>
        <w:rPr>
          <w:rFonts w:ascii="Times New Roman" w:hAnsi="Times New Roman"/>
          <w:sz w:val="30"/>
        </w:rPr>
        <w:lastRenderedPageBreak/>
        <w:t>二十一、基金合同内容摘要</w:t>
      </w:r>
      <w:bookmarkEnd w:id="24"/>
    </w:p>
    <w:p w14:paraId="310B31F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（一）基金合同当事人及权利义务</w:t>
      </w:r>
    </w:p>
    <w:p w14:paraId="158877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2F64AC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443B67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3607E6C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682D1258" w14:textId="78C011B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w:t>
      </w:r>
      <w:r w:rsidR="00113815">
        <w:rPr>
          <w:rFonts w:ascii="宋体" w:hAnsi="宋体" w:hint="eastAsia"/>
          <w:sz w:val="24"/>
        </w:rPr>
        <w:t>管理费</w:t>
      </w:r>
      <w:r>
        <w:rPr>
          <w:rFonts w:ascii="宋体" w:hAnsi="宋体"/>
          <w:sz w:val="24"/>
        </w:rPr>
        <w:t>以及法律法规规定或监管部门批准的其他收入；</w:t>
      </w:r>
    </w:p>
    <w:p w14:paraId="2425A0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5292A7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14:paraId="5F3592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2545B9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7EEAF728" w14:textId="7E362D7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（8）选择、委托、更换基金代销机构，对代销机构的相关行为进行监督和处理。如认为基金代销机构违反</w:t>
      </w:r>
      <w:r w:rsidR="00590DBE">
        <w:rPr>
          <w:rFonts w:ascii="宋体" w:hAnsi="宋体" w:hint="eastAsia"/>
          <w:sz w:val="24"/>
        </w:rPr>
        <w:t>本</w:t>
      </w:r>
      <w:r>
        <w:rPr>
          <w:rFonts w:ascii="宋体" w:hAnsi="宋体"/>
          <w:sz w:val="24"/>
        </w:rPr>
        <w:t>基金合同、代销协议及法律法规的规定，应呈报中国证监会和其他监管部门，并采取必要措施保护基金份额持有人的利益；</w:t>
      </w:r>
    </w:p>
    <w:p w14:paraId="1718C38D" w14:textId="20E31998"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（9）依据</w:t>
      </w:r>
      <w:r w:rsidR="00590DBE">
        <w:rPr>
          <w:rFonts w:ascii="宋体" w:hAnsi="宋体" w:hint="eastAsia"/>
          <w:sz w:val="24"/>
        </w:rPr>
        <w:t>本</w:t>
      </w:r>
      <w:r>
        <w:rPr>
          <w:rFonts w:ascii="宋体" w:hAnsi="宋体"/>
          <w:sz w:val="24"/>
        </w:rPr>
        <w:t>基金合同及有关法律法规规定决定基金收益的分配方案；</w:t>
      </w:r>
    </w:p>
    <w:p w14:paraId="2C12C2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（10）在基金合同约定的范围内，拒绝或暂停受理申购与赎回申请；</w:t>
      </w:r>
    </w:p>
    <w:p w14:paraId="66B01CE6" w14:textId="65F44262"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（11）在符合有关法律法规和基金合同的前提下，制订和调整业务规则，决定和调整除调高托管费率</w:t>
      </w:r>
      <w:r w:rsidR="00590DBE">
        <w:rPr>
          <w:rFonts w:ascii="宋体" w:hAnsi="宋体" w:hint="eastAsia"/>
          <w:sz w:val="24"/>
        </w:rPr>
        <w:t>、</w:t>
      </w:r>
      <w:r>
        <w:rPr>
          <w:rFonts w:ascii="宋体" w:hAnsi="宋体"/>
          <w:sz w:val="24"/>
        </w:rPr>
        <w:t>管理费率</w:t>
      </w:r>
      <w:r w:rsidR="00590DBE">
        <w:rPr>
          <w:rFonts w:ascii="宋体" w:hAnsi="宋体" w:hint="eastAsia"/>
          <w:sz w:val="24"/>
        </w:rPr>
        <w:t>、销售服务费率</w:t>
      </w:r>
      <w:r>
        <w:rPr>
          <w:rFonts w:ascii="宋体" w:hAnsi="宋体"/>
          <w:sz w:val="24"/>
        </w:rPr>
        <w:t>之外的相关费率结构和收费方式；</w:t>
      </w:r>
    </w:p>
    <w:p w14:paraId="0D519A9F" w14:textId="66A39E3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（12）依照法律法规为基金的利益行使因基金财产投资所产生的权利；</w:t>
      </w:r>
    </w:p>
    <w:p w14:paraId="0EA56A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7B03E38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5F3CC5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（15）选择、更换律师、审计师、证券经纪商或其他为基金提供服务的外部机</w:t>
      </w:r>
      <w:r>
        <w:rPr>
          <w:rFonts w:ascii="宋体" w:hAnsi="宋体"/>
          <w:sz w:val="24"/>
        </w:rPr>
        <w:lastRenderedPageBreak/>
        <w:t>构；</w:t>
      </w:r>
    </w:p>
    <w:p w14:paraId="39776B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（16）法律法规和基金合同规定的其他权利。</w:t>
      </w:r>
    </w:p>
    <w:p w14:paraId="3558E4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2E4CE72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（1）办理基金备案手续；</w:t>
      </w:r>
    </w:p>
    <w:p w14:paraId="574BB2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（2）自基金合同生效之日起,以诚实信用、勤勉尽责的原则管理和运用基金财产；</w:t>
      </w:r>
    </w:p>
    <w:p w14:paraId="0DFC9CD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（3）配备足够的具有专业资格的人员进行基金投资分析、决策，以专业化的经营方式管理和运作基金财产；</w:t>
      </w:r>
    </w:p>
    <w:p w14:paraId="2F198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（4）办理或者委托经中国证监会认定的其他机构代为办理基金份额的发售、申购、赎回和登记事宜；</w:t>
      </w:r>
    </w:p>
    <w:p w14:paraId="0271B0F8" w14:textId="2DF8898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（5）建立健全内部风险控制、监察与稽核、财务管理及人事管理等制度，保证所管理的基金财产和基金管理人的财产相互独立,对所管理的不同基金分别管理，分别记账，进行投资；</w:t>
      </w:r>
    </w:p>
    <w:p w14:paraId="5E9EDD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0FA5702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58CCF038" w14:textId="32C1D89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w:t>
      </w:r>
    </w:p>
    <w:p w14:paraId="492882F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32340E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22D567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705BE2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（12）保守基金商业秘密，不泄露基金投资计划、投资意向等。除《基金法》、基金合同及其他有关规定另有规定外，在基金信息公开披露前应予保密，不得向他人泄露；</w:t>
      </w:r>
    </w:p>
    <w:p w14:paraId="1014354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（13）按照基金合同的约定确定基金收益分配方案，及时向基金份额持有人分配收益；</w:t>
      </w:r>
    </w:p>
    <w:p w14:paraId="724CDF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0A2AE5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2AB7D4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w:t>
      </w:r>
    </w:p>
    <w:p w14:paraId="69511D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EE1D1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34DF08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B4B38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3FCD8A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（21）基金托管人因违反基金合同造成基金财产损失时，应为基金份额持有人利益向基金托管人追偿；</w:t>
      </w:r>
    </w:p>
    <w:p w14:paraId="4B4DCF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（22）以基金管理人名义，代表基金份额持有人利益行使诉讼权利或实施其他法律行为；</w:t>
      </w:r>
    </w:p>
    <w:p w14:paraId="032A24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（23）基金管理人在募集期间未能达到基金的备案条件，基金合同不能生效，基金管理人承担全部募集费用，将已募集资金并加计募集期内产生的利息在募集期结束后30天内退还基金认购人；</w:t>
      </w:r>
    </w:p>
    <w:p w14:paraId="02C8DB5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（24）执行生效的基金份额持有人大会的决定；</w:t>
      </w:r>
    </w:p>
    <w:p w14:paraId="6E9443B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（25）不从事任何有损基金及其他基金当事人利益的活动；</w:t>
      </w:r>
    </w:p>
    <w:p w14:paraId="48F6DE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（26）法律法规和基金合同规定的其他义务。</w:t>
      </w:r>
    </w:p>
    <w:p w14:paraId="41D1257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0F9659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15FD5A8A" w14:textId="55C5C4D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w:t>
      </w:r>
      <w:r w:rsidR="003D1624">
        <w:rPr>
          <w:rFonts w:ascii="宋体" w:hAnsi="宋体" w:hint="eastAsia"/>
          <w:sz w:val="24"/>
        </w:rPr>
        <w:t>本</w:t>
      </w:r>
      <w:r>
        <w:rPr>
          <w:rFonts w:ascii="宋体" w:hAnsi="宋体"/>
          <w:sz w:val="24"/>
        </w:rPr>
        <w:t>基金合同生效之日起，依法律法规和基金合同的规定安全保管基金财产；</w:t>
      </w:r>
    </w:p>
    <w:p w14:paraId="338720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（2）依基金合同约定获得基金托管费以及法律法规规定或监管部门批准的其他收入；</w:t>
      </w:r>
    </w:p>
    <w:p w14:paraId="61F3A33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w:t>
      </w:r>
      <w:r>
        <w:rPr>
          <w:rFonts w:ascii="宋体" w:hAnsi="宋体"/>
          <w:sz w:val="24"/>
        </w:rPr>
        <w:lastRenderedPageBreak/>
        <w:t>同及国家法律法规行为，应呈报中国证监会，并采取必要措施保护基金份额持有人的利益；</w:t>
      </w:r>
    </w:p>
    <w:p w14:paraId="5AC9D9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（4）以基金托管人和基金联名的方式在中国证券登记结算有限责任公司上海分公司和深圳分公司开设证券账户；</w:t>
      </w:r>
    </w:p>
    <w:p w14:paraId="0CB010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（5）以基金托管人名义开立证券交易资金账户，用于证券交易资金清算；</w:t>
      </w:r>
    </w:p>
    <w:p w14:paraId="596EF1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（6）以基金的名义在中央国债登记结算有限公司开设银行间债券托管账户，负责基金的债券及资金的清算；</w:t>
      </w:r>
    </w:p>
    <w:p w14:paraId="10265D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（7）提议召开基金份额持有人大会；</w:t>
      </w:r>
    </w:p>
    <w:p w14:paraId="2ADB0C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（8）在基金管理人更换时，提名新的基金管理人；</w:t>
      </w:r>
    </w:p>
    <w:p w14:paraId="308A6F0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49D338F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473D1D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E93DD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（2）设立专门的资产托管部，具有符合要求的营业场所，配备足够的、合格的熟悉基金托管业务的专职人员，负责基金财产托管事宜；</w:t>
      </w:r>
    </w:p>
    <w:p w14:paraId="59B38E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14:paraId="586135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244886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0D6091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14:paraId="4CC131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2A876B74" w14:textId="16C2308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w:t>
      </w:r>
      <w:r w:rsidR="00117BCE" w:rsidRPr="00117BCE">
        <w:rPr>
          <w:rFonts w:ascii="宋体" w:hAnsi="宋体" w:hint="eastAsia"/>
          <w:sz w:val="24"/>
        </w:rPr>
        <w:t>每万份基金已实现收益和七日年化收益率</w:t>
      </w:r>
      <w:r>
        <w:rPr>
          <w:rFonts w:ascii="宋体" w:hAnsi="宋体"/>
          <w:sz w:val="24"/>
        </w:rPr>
        <w:t>；</w:t>
      </w:r>
    </w:p>
    <w:p w14:paraId="2832032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21AFC9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w:t>
      </w:r>
      <w:r>
        <w:rPr>
          <w:rFonts w:ascii="宋体" w:hAnsi="宋体"/>
          <w:sz w:val="24"/>
        </w:rPr>
        <w:lastRenderedPageBreak/>
        <w:t>基金管理人在各重要方面的运作是否严格按照基金合同的规定进行；如果基金管理人有未执行基金合同规定的行为，还应当说明基金托管人是否采取了适当的措施；</w:t>
      </w:r>
    </w:p>
    <w:p w14:paraId="6FE481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（11）按有关规定，保存基金托管业务活动的记录、账册、报表和其他相关资料；</w:t>
      </w:r>
    </w:p>
    <w:p w14:paraId="2C513A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14:paraId="432BCB6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0227E6D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4FD0BD6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（15）按照规定召集基金份额持有人大会或配合基金份额持有人依法自行召集基金份额持有人大会；</w:t>
      </w:r>
    </w:p>
    <w:p w14:paraId="15FFABD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（16）按照规定监督基金管理人的投资运作；</w:t>
      </w:r>
    </w:p>
    <w:p w14:paraId="0C70D6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5FDA882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（18）面临解散、依法被撤销或者被依法宣告破产时，及时报告中国证监会和银行监管机构，并通知基金管理人；</w:t>
      </w:r>
    </w:p>
    <w:p w14:paraId="5DA689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58F8AF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（20）基金管理人因违反基金合同造成基金财产损失时，应为基金份额持有人的利益向基金管理人追偿；</w:t>
      </w:r>
    </w:p>
    <w:p w14:paraId="577E59A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（21）执行生效的基金份额持有人大会的决定；</w:t>
      </w:r>
    </w:p>
    <w:p w14:paraId="2541CB8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（22）不从事任何有损基金及其他基金当事人利益的活动；</w:t>
      </w:r>
    </w:p>
    <w:p w14:paraId="682B04C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（23）法律法规和基金合同规定的其他义务。</w:t>
      </w:r>
    </w:p>
    <w:p w14:paraId="5562A8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33C3B812" w14:textId="32A16BAF" w:rsidR="00007225" w:rsidRDefault="00F07F0D" w:rsidP="00F9754C">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14:paraId="767968A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AB087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514C8DE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（3）依法转让或者申请赎回其持有的基金份额；</w:t>
      </w:r>
    </w:p>
    <w:p w14:paraId="00EBB4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6D88A6C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w:t>
      </w:r>
      <w:r>
        <w:rPr>
          <w:rFonts w:ascii="宋体" w:hAnsi="宋体"/>
          <w:sz w:val="24"/>
        </w:rPr>
        <w:lastRenderedPageBreak/>
        <w:t>议事项行使表决权；</w:t>
      </w:r>
    </w:p>
    <w:p w14:paraId="2E7454A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3FE151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41FDC7F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（8）对基金管理人、基金托管人、基金份额发售机构损害其合法权益的行为依法提起诉讼；</w:t>
      </w:r>
    </w:p>
    <w:p w14:paraId="3FED5B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0FD1634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14:paraId="6EDACF9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（1）遵守基金合同；</w:t>
      </w:r>
    </w:p>
    <w:p w14:paraId="5B5ADF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（2）缴纳基金认购、申购款项及法律法规和基金合同所规定的费用；</w:t>
      </w:r>
    </w:p>
    <w:p w14:paraId="483DE1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（3）在持有的基金份额范围内，承担基金亏损或者基金合同终止的有限责任；</w:t>
      </w:r>
    </w:p>
    <w:p w14:paraId="08FA68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（4）不从事任何有损基金及基金份额持有人合法权益的活动；</w:t>
      </w:r>
    </w:p>
    <w:p w14:paraId="099806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（5）返还在基金交易过程中因任何原因，自基金管理人、基金托管人及基金管理人的代理人处获得的不当得利；</w:t>
      </w:r>
    </w:p>
    <w:p w14:paraId="284E2F6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（6）执行生效的基金份额持有人大会的决定；</w:t>
      </w:r>
    </w:p>
    <w:p w14:paraId="5A7D47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（7）法律法规和基金合同规定的其他义务。</w:t>
      </w:r>
    </w:p>
    <w:p w14:paraId="132FC55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基金合同当事各方的权利和义务以基金合同为依据，不因基金财产账户名称的改变而有所改变。</w:t>
      </w:r>
    </w:p>
    <w:p w14:paraId="2AB28CD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14:paraId="1ED320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基金份额持有人大会由基金份额持有人或基金份额持有人的合法授权代表共同组成。</w:t>
      </w:r>
    </w:p>
    <w:p w14:paraId="24A2FC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一、召开事由</w:t>
      </w:r>
    </w:p>
    <w:p w14:paraId="1BC6B3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14:paraId="30F1801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3BCAAE0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6983B9B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7D791D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14:paraId="2A74D2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p>
    <w:p w14:paraId="5EB143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（6）提高销售服务费费率；</w:t>
      </w:r>
    </w:p>
    <w:p w14:paraId="51737B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（7）变更基金类别；</w:t>
      </w:r>
    </w:p>
    <w:p w14:paraId="5654752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011F02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1DAB195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（10）对基金当事人权利和义务产生重大影响的事项；</w:t>
      </w:r>
    </w:p>
    <w:p w14:paraId="47F7A0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（11）法律法规、基金合同或中国证监会规定的其他应当召开基金份额持有人大会的事项。</w:t>
      </w:r>
    </w:p>
    <w:p w14:paraId="01D1828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14:paraId="5D89FF0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（1）调低基金管理费、基金托管费、基金销售服务费；</w:t>
      </w:r>
    </w:p>
    <w:p w14:paraId="1209F5BC" w14:textId="75ACEE3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（2）在基金合同规定范围内变更本基金的申购费率、赎回费率或收费方式；</w:t>
      </w:r>
    </w:p>
    <w:p w14:paraId="2324E2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（3）因相应的法律法规发生变动而应当对基金合同进行修改；</w:t>
      </w:r>
    </w:p>
    <w:p w14:paraId="59095B0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（4）对基金合同的修改对基金份额持有人利益无实质性不利影响或修改不涉及基金合同当事人权利义务关系发生变化；</w:t>
      </w:r>
    </w:p>
    <w:p w14:paraId="56F57C2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（5）除按照法律法规和基金合同规定应当召开基金份额持有人大会的以外的其他情形。</w:t>
      </w:r>
    </w:p>
    <w:p w14:paraId="22A8938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二、会议召集人及召集方式</w:t>
      </w:r>
    </w:p>
    <w:p w14:paraId="38304DBA" w14:textId="063BA56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r w:rsidR="00E80A46">
        <w:rPr>
          <w:rFonts w:ascii="宋体" w:hAnsi="宋体" w:hint="eastAsia"/>
          <w:sz w:val="24"/>
        </w:rPr>
        <w:t>；</w:t>
      </w:r>
    </w:p>
    <w:p w14:paraId="3022AE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3D8ADEA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138D3A1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w:t>
      </w:r>
    </w:p>
    <w:p w14:paraId="2BFB24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基金管理人决定召集的，应当自出具书面决定之日起60日内召开；基金管理人决定不召集，代表基金份额10%以上（含10%）的基金份额持有人仍认为有必要召开</w:t>
      </w:r>
      <w:r>
        <w:rPr>
          <w:rFonts w:ascii="宋体" w:hAnsi="宋体"/>
          <w:sz w:val="24"/>
        </w:rPr>
        <w:lastRenderedPageBreak/>
        <w:t>的，应当向基金托管人提出书面提议。</w:t>
      </w:r>
    </w:p>
    <w:p w14:paraId="5CC39ED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基金托管人应当自收到书面提议之日起10日内决定是否召集，并书面告知提出提议的基金份额持有人代表和基金管理人；基金托管人决定召集的，应当自出具书面决定之日起60日内召开。</w:t>
      </w:r>
    </w:p>
    <w:p w14:paraId="57B2622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5、如在上述第4条情况下，基金管理人、基金托管人都不召集的，代表基金份额10%以上（含10%）的基金份额持有人有权自行召集，并至少提前30日报中国证监会备案。</w:t>
      </w:r>
    </w:p>
    <w:p w14:paraId="716CFC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7D186A1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三、召开基金份额持有人大会的通知时间、通知内容、通知方式</w:t>
      </w:r>
    </w:p>
    <w:p w14:paraId="2CAAFD40" w14:textId="3945FA6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1、召开基金份额持有人大会，召集人应于会议召开前30天，在中国证监会指定媒介上公告。基金份额持有人大会通知应至少载明以下内容：</w:t>
      </w:r>
    </w:p>
    <w:p w14:paraId="36C254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14:paraId="5837FF5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w:t>
      </w:r>
    </w:p>
    <w:p w14:paraId="774B7B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（3）有权出席基金份额持有人大会的基金份额持有人的权利登记日；</w:t>
      </w:r>
    </w:p>
    <w:p w14:paraId="25D967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（4）代理投票授权委托书送达时间和地点；</w:t>
      </w:r>
    </w:p>
    <w:p w14:paraId="206289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7F516F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14:paraId="721D795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四、基金份额持有人出席会议的方式</w:t>
      </w:r>
    </w:p>
    <w:p w14:paraId="6FC607E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基金份额持有人大会可通过现场开会方式或通讯开会方式召开。</w:t>
      </w:r>
    </w:p>
    <w:p w14:paraId="1B2A136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会议的召开方式由会议召集人确定，但更换基金管理人和基金托管人必须以现场开会方式召开。</w:t>
      </w:r>
    </w:p>
    <w:p w14:paraId="3836C18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14:paraId="27AAA4C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w:t>
      </w:r>
      <w:r>
        <w:rPr>
          <w:rFonts w:ascii="宋体" w:hAnsi="宋体"/>
          <w:sz w:val="24"/>
        </w:rPr>
        <w:lastRenderedPageBreak/>
        <w:t>有基金份额的凭证及委托人出具的代理投票授权委托书符合法律法规、基金合同和会议通知的规定；</w:t>
      </w:r>
    </w:p>
    <w:p w14:paraId="5880D04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（2）经核对，汇总到会者出示的在权利登记日持有基金份额的凭证显示，有效的基金份额不少于在权利登记日本基金总份额的50%（含50%）。</w:t>
      </w:r>
    </w:p>
    <w:p w14:paraId="60C3B13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2、通讯开会。通讯开会应以书面方式进行表决。在同时符合以下条件时，通讯开会的方式视为有效：</w:t>
      </w:r>
    </w:p>
    <w:p w14:paraId="4E71D73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14:paraId="0059D2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在基金托管人（如果基金托管人为召集人，则为基金管理人）和公证机关的监督下按照会议通知规定的方式收取基金份额持有人的书面表决意见；基金托管人或基金管理人经通知拒不参加收取书面表决意见的，不影响表决效力；</w:t>
      </w:r>
    </w:p>
    <w:p w14:paraId="10E8FA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本人直接出具书面意见或授权他人代为出具书面意见的基金份额持有人所持有的基金份额不少于在权利登记日基金总份额的50%（含50%）；</w:t>
      </w:r>
    </w:p>
    <w:p w14:paraId="54DB247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提交的持有基金份额的凭证、受托出具书面意见的代理人出具的委托人持有基金份额的凭证及委托人出具的代理投票授权委托书符合法律法规、基金合同和会议通知的规定；</w:t>
      </w:r>
    </w:p>
    <w:p w14:paraId="7613231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14:paraId="5736BD7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五、议事内容与程序</w:t>
      </w:r>
    </w:p>
    <w:p w14:paraId="6A0F65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6BB2253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修改基金合同、终止基金合同、转换基金运作方式、更换基金管理人、更换基金托管人、与其他基金合并、变更基金类别、变更基金投资目标、范围或策略；变更基金份额持有人大会程序以及法律法规及基金合同规定的其他事项。</w:t>
      </w:r>
    </w:p>
    <w:p w14:paraId="2C499D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基金管理人、基金托管人、单独或合并持有权利登记日基金总份额10%以上（含10%）的基金份额持有人可以在大会召集人发出会议通知前向大会召集人提交需由基金份额持有人大会审议表决的提案。</w:t>
      </w:r>
    </w:p>
    <w:p w14:paraId="1F2DC8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大会召集人应当按照以下原则对提案进行审核：</w:t>
      </w:r>
    </w:p>
    <w:p w14:paraId="3A6312F2" w14:textId="5239A91A"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（1）关联性。对于涉及事项与本基金有直接关系，并且不超出法律法规和基金合同规定的基金份额持有人大会职权范围的提案，大会召集人应将提案提交大会</w:t>
      </w:r>
      <w:r>
        <w:rPr>
          <w:rFonts w:ascii="宋体" w:hAnsi="宋体"/>
          <w:sz w:val="24"/>
        </w:rPr>
        <w:lastRenderedPageBreak/>
        <w:t>审议；对于不符合上述要求的，不提交基金份额持有人大会审议。如果召集人决定不将基金份额持有人提案提交大会表决，应当在</w:t>
      </w:r>
      <w:r w:rsidR="00406E30">
        <w:rPr>
          <w:rFonts w:ascii="宋体" w:hAnsi="宋体" w:hint="eastAsia"/>
          <w:sz w:val="24"/>
        </w:rPr>
        <w:t>该次</w:t>
      </w:r>
      <w:r>
        <w:rPr>
          <w:rFonts w:ascii="宋体" w:hAnsi="宋体"/>
          <w:sz w:val="24"/>
        </w:rPr>
        <w:t>基金份额持有人大会上进行解释和说明。</w:t>
      </w:r>
    </w:p>
    <w:p w14:paraId="05DAA4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2FF52D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14:paraId="6BE708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194062A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5615F26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300CFFB" w14:textId="4CA2FC0E"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出席或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14:paraId="713788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7A6974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在通讯开会的情况下，公告会议通知时应当同时公布提案，在所通知的表决截止日期后2个工作日内统计全部有效表决，在公证机关监督下形成决议。</w:t>
      </w:r>
    </w:p>
    <w:p w14:paraId="3AA9AF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六、表决</w:t>
      </w:r>
    </w:p>
    <w:p w14:paraId="1AB401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06B375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2DC086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1、一般决议，一般决议须经参加大会的基金份额持有人所持表决权的50%以上</w:t>
      </w:r>
      <w:r>
        <w:rPr>
          <w:rFonts w:ascii="宋体" w:hAnsi="宋体"/>
          <w:sz w:val="24"/>
        </w:rPr>
        <w:lastRenderedPageBreak/>
        <w:t>（含50%）通过方为有效；除下列第2项所规定的须以特别决议通过事项以外的其他事项均以一般决议的方式通过。</w:t>
      </w:r>
    </w:p>
    <w:p w14:paraId="4E050CE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所持表决权的三分之二以上（含三分之二）通过方可为有效。转换基金运作方式、更换基金管理人或者基金托管人、终止基金合同以特别决议通过方为有效。</w:t>
      </w:r>
    </w:p>
    <w:p w14:paraId="32CD262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033E7C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0F4A09E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266B8D7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七、计票</w:t>
      </w:r>
    </w:p>
    <w:p w14:paraId="071DBE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1B346CFE" w14:textId="23AC945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14:paraId="4545FC8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28F59FF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14:paraId="7207515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14:paraId="1DC7C1A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135C2D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w:t>
      </w:r>
      <w:r>
        <w:rPr>
          <w:rFonts w:ascii="宋体" w:hAnsi="宋体"/>
          <w:sz w:val="24"/>
        </w:rPr>
        <w:lastRenderedPageBreak/>
        <w:t>票，并由公证机关对其计票过程予以公证。基金管理人或托管人拒不派代表监督计票的，不影响计票效力。</w:t>
      </w:r>
    </w:p>
    <w:p w14:paraId="52505CA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八、生效与公告</w:t>
      </w:r>
    </w:p>
    <w:p w14:paraId="6FFF253E" w14:textId="4B21E5CD"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基金份额持有人大会表决通过的事项，召集人应当自通过之日起5日内报中国证监会核准或</w:t>
      </w:r>
      <w:r w:rsidR="009C7779">
        <w:rPr>
          <w:rFonts w:ascii="宋体" w:hAnsi="宋体" w:hint="eastAsia"/>
          <w:sz w:val="24"/>
        </w:rPr>
        <w:t>者</w:t>
      </w:r>
      <w:r>
        <w:rPr>
          <w:rFonts w:ascii="宋体" w:hAnsi="宋体"/>
          <w:sz w:val="24"/>
        </w:rPr>
        <w:t>备案。</w:t>
      </w:r>
    </w:p>
    <w:p w14:paraId="2A44ACAB" w14:textId="5B17BC3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基金份额持有人大会决定的事项自中国证监会依法核准或</w:t>
      </w:r>
      <w:r w:rsidR="009C7779">
        <w:rPr>
          <w:rFonts w:ascii="宋体" w:hAnsi="宋体" w:hint="eastAsia"/>
          <w:sz w:val="24"/>
        </w:rPr>
        <w:t>者</w:t>
      </w:r>
      <w:r>
        <w:rPr>
          <w:rFonts w:ascii="宋体" w:hAnsi="宋体"/>
          <w:sz w:val="24"/>
        </w:rPr>
        <w:t>出具无异议意见之日起生效。</w:t>
      </w:r>
    </w:p>
    <w:p w14:paraId="27A0DA6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基金份额持有人大会决议自生效之日起两日内在中国证监会指定媒介上公告。</w:t>
      </w:r>
    </w:p>
    <w:p w14:paraId="60E6DFA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如果采用通讯方式进行表决，在公告基金份额持有人大会决议时，必须将公证书全文、公证机关、公证员姓名等一同公告。</w:t>
      </w:r>
    </w:p>
    <w:p w14:paraId="141E114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基金管理人、基金托管人和基金份额持有人应当执行生效的基金份额持有人大会的决定。</w:t>
      </w:r>
    </w:p>
    <w:p w14:paraId="6088EE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基金份额持有人大会决议对全体基金份额持有人、基金管理人、基金托管人均有约束力。</w:t>
      </w:r>
    </w:p>
    <w:p w14:paraId="003D7EB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14:paraId="5234242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一、基金合同的变更</w:t>
      </w:r>
    </w:p>
    <w:p w14:paraId="355CB46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1、下列涉及到基金合同内容变更的事项须召开基金份额持有人大会：</w:t>
      </w:r>
    </w:p>
    <w:p w14:paraId="4082BF4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14:paraId="72F095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14:paraId="12ABF9D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14:paraId="6A9CE38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（4）提高基金管理人、基金托管人的报酬标准；</w:t>
      </w:r>
    </w:p>
    <w:p w14:paraId="1FD2A3B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14:paraId="6EE06B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w:t>
      </w:r>
    </w:p>
    <w:p w14:paraId="329228F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（7）变更基金份额持有人大会程序；</w:t>
      </w:r>
    </w:p>
    <w:p w14:paraId="2C39AC5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（8）对基金当事人权利和义务产生重大影响的事项；</w:t>
      </w:r>
    </w:p>
    <w:p w14:paraId="3B95A36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（9）法律法规、基金合同或中国证监会规定的其他事项。</w:t>
      </w:r>
    </w:p>
    <w:p w14:paraId="76AA94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2、除非法律法规和基金合同另有规定，对基金合同的变更应当召开基金份额持有人大会的，基金合同变更的内容应经基金份额持有人大会决议通过，并报中国证监会核准或备案。</w:t>
      </w:r>
    </w:p>
    <w:p w14:paraId="091AD2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3、依现行有效的有关法律法规，对基金合同的变更自中国证监会核准或出具</w:t>
      </w:r>
      <w:r>
        <w:rPr>
          <w:rFonts w:ascii="宋体" w:hAnsi="宋体"/>
          <w:sz w:val="24"/>
        </w:rPr>
        <w:lastRenderedPageBreak/>
        <w:t>无异议意见之日起生效。</w:t>
      </w:r>
    </w:p>
    <w:p w14:paraId="64FF50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14:paraId="31C9247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二、基金合同的终止</w:t>
      </w:r>
    </w:p>
    <w:p w14:paraId="0C8815B0" w14:textId="38767AB0" w:rsidR="00007225" w:rsidRDefault="001537E1">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有</w:t>
      </w:r>
      <w:r w:rsidR="00F07F0D">
        <w:rPr>
          <w:rFonts w:ascii="宋体" w:hAnsi="宋体"/>
          <w:sz w:val="24"/>
        </w:rPr>
        <w:t>下列</w:t>
      </w:r>
      <w:r>
        <w:rPr>
          <w:rFonts w:ascii="宋体" w:hAnsi="宋体" w:hint="eastAsia"/>
          <w:sz w:val="24"/>
        </w:rPr>
        <w:t>情形</w:t>
      </w:r>
      <w:r w:rsidR="00F07F0D">
        <w:rPr>
          <w:rFonts w:ascii="宋体" w:hAnsi="宋体"/>
          <w:sz w:val="24"/>
        </w:rPr>
        <w:t>之一的，基金合同</w:t>
      </w:r>
      <w:r>
        <w:rPr>
          <w:rFonts w:ascii="宋体" w:hAnsi="宋体" w:hint="eastAsia"/>
          <w:sz w:val="24"/>
        </w:rPr>
        <w:t>应当</w:t>
      </w:r>
      <w:r w:rsidR="00F07F0D">
        <w:rPr>
          <w:rFonts w:ascii="宋体" w:hAnsi="宋体"/>
          <w:sz w:val="24"/>
        </w:rPr>
        <w:t>终止：</w:t>
      </w:r>
    </w:p>
    <w:p w14:paraId="5BB4C67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基金份额持有人大会决定终止的；</w:t>
      </w:r>
    </w:p>
    <w:p w14:paraId="412ED90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3D4825C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14:paraId="13DD12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14:paraId="231CFF2B"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（四）争议的处理和适用的法律</w:t>
      </w:r>
    </w:p>
    <w:p w14:paraId="2A75CF9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的地点在上海分会，仲裁裁决是终局性的并对各方当事人具有约束力，仲裁费由败诉方承担。</w:t>
      </w:r>
    </w:p>
    <w:p w14:paraId="04A9AB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14:paraId="7C317A9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（五）基金合同存放地及投资者取得基金合同的方式</w:t>
      </w:r>
    </w:p>
    <w:p w14:paraId="1138005E" w14:textId="2695736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基金合同可印制成册，供投资者在基金管理人、基金托管人、代销机构的办公场所和营业场所查阅；投资者也可按工本费购买基金合同复制件或复印件，但内容应以</w:t>
      </w:r>
      <w:r w:rsidR="00821C25">
        <w:rPr>
          <w:rFonts w:ascii="宋体" w:hAnsi="宋体" w:hint="eastAsia"/>
          <w:sz w:val="24"/>
        </w:rPr>
        <w:t>本</w:t>
      </w:r>
      <w:r>
        <w:rPr>
          <w:rFonts w:ascii="宋体" w:hAnsi="宋体"/>
          <w:sz w:val="24"/>
        </w:rPr>
        <w:t>基金合同正本为准。</w:t>
      </w:r>
    </w:p>
    <w:p w14:paraId="2C72DB02"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D48B2CB" w14:textId="77777777" w:rsidR="00007225" w:rsidRDefault="00F07F0D">
      <w:pPr>
        <w:pStyle w:val="1"/>
        <w:snapToGrid w:val="0"/>
        <w:spacing w:beforeLines="0" w:before="240" w:after="240"/>
        <w:rPr>
          <w:rFonts w:ascii="宋体" w:hAnsi="宋体"/>
          <w:szCs w:val="30"/>
        </w:rPr>
      </w:pPr>
      <w:bookmarkStart w:id="25" w:name="_Toc160021653"/>
      <w:r>
        <w:rPr>
          <w:rFonts w:ascii="Times New Roman" w:hAnsi="Times New Roman"/>
          <w:sz w:val="30"/>
        </w:rPr>
        <w:lastRenderedPageBreak/>
        <w:t>二十二、托管协议的内容摘要</w:t>
      </w:r>
      <w:bookmarkEnd w:id="25"/>
    </w:p>
    <w:p w14:paraId="78FFF221"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0DF8DAC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w:t>
      </w:r>
    </w:p>
    <w:p w14:paraId="1EED77EF" w14:textId="05E633C5"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71EC06D" w14:textId="344D7839" w:rsidR="00007225" w:rsidRDefault="00F9754C"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注册地址</w:t>
      </w:r>
      <w:r w:rsidR="00F07F0D">
        <w:rPr>
          <w:rFonts w:ascii="宋体" w:hAnsi="宋体"/>
          <w:sz w:val="24"/>
        </w:rPr>
        <w:t>：中国(上海)自由贸易试验区银城中路188号交通银行大楼二层（裙）</w:t>
      </w:r>
    </w:p>
    <w:p w14:paraId="11C8DCB5" w14:textId="1B09E4B9"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w:t>
      </w:r>
      <w:r w:rsidR="00F9754C">
        <w:rPr>
          <w:rFonts w:ascii="宋体" w:hAnsi="宋体" w:hint="eastAsia"/>
          <w:sz w:val="24"/>
        </w:rPr>
        <w:t>二</w:t>
      </w:r>
      <w:r>
        <w:rPr>
          <w:rFonts w:ascii="宋体" w:hAnsi="宋体"/>
          <w:sz w:val="24"/>
        </w:rPr>
        <w:t>期21-22楼</w:t>
      </w:r>
    </w:p>
    <w:p w14:paraId="492AD325" w14:textId="3FD77380" w:rsidR="00007225" w:rsidRDefault="00F07F0D" w:rsidP="000F33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70F9137"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u w:val="single"/>
        </w:rPr>
      </w:pPr>
      <w:r w:rsidRPr="00F9754C">
        <w:rPr>
          <w:rFonts w:ascii="宋体" w:hAnsi="宋体" w:hint="eastAsia"/>
          <w:sz w:val="24"/>
        </w:rPr>
        <w:t>经营范围：基金募集、基金销售、资产管理和中国证监会许可的其它业务</w:t>
      </w:r>
    </w:p>
    <w:p w14:paraId="2B42E50A"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组织形式：</w:t>
      </w:r>
      <w:r w:rsidRPr="00F9754C">
        <w:rPr>
          <w:rFonts w:ascii="宋体" w:hAnsi="宋体" w:hint="eastAsia"/>
          <w:sz w:val="24"/>
        </w:rPr>
        <w:tab/>
        <w:t>有限公司</w:t>
      </w:r>
    </w:p>
    <w:p w14:paraId="4059866D"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营业期限：持续经营</w:t>
      </w:r>
    </w:p>
    <w:p w14:paraId="4586DC9D"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电话：021-61055050</w:t>
      </w:r>
    </w:p>
    <w:p w14:paraId="61CA44C8"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传真：021-61055034</w:t>
      </w:r>
    </w:p>
    <w:p w14:paraId="27BD8D04" w14:textId="77777777" w:rsidR="00F9754C" w:rsidRPr="00F9754C" w:rsidRDefault="00F9754C" w:rsidP="00F9754C">
      <w:pPr>
        <w:autoSpaceDE w:val="0"/>
        <w:autoSpaceDN w:val="0"/>
        <w:adjustRightInd w:val="0"/>
        <w:snapToGrid w:val="0"/>
        <w:spacing w:line="360" w:lineRule="auto"/>
        <w:ind w:firstLineChars="200" w:firstLine="480"/>
        <w:jc w:val="left"/>
        <w:rPr>
          <w:rFonts w:ascii="宋体" w:hAnsi="宋体"/>
          <w:sz w:val="24"/>
        </w:rPr>
      </w:pPr>
      <w:r w:rsidRPr="00F9754C">
        <w:rPr>
          <w:rFonts w:ascii="宋体" w:hAnsi="宋体" w:hint="eastAsia"/>
          <w:sz w:val="24"/>
        </w:rPr>
        <w:t>成立日期：</w:t>
      </w:r>
      <w:r w:rsidRPr="00F9754C">
        <w:rPr>
          <w:rFonts w:ascii="宋体" w:hAnsi="宋体"/>
          <w:sz w:val="24"/>
        </w:rPr>
        <w:t>2005年</w:t>
      </w:r>
      <w:r w:rsidRPr="00F9754C">
        <w:rPr>
          <w:rFonts w:ascii="宋体" w:hAnsi="宋体" w:hint="eastAsia"/>
          <w:sz w:val="24"/>
        </w:rPr>
        <w:t>8</w:t>
      </w:r>
      <w:r w:rsidRPr="00F9754C">
        <w:rPr>
          <w:rFonts w:ascii="宋体" w:hAnsi="宋体"/>
          <w:sz w:val="24"/>
        </w:rPr>
        <w:t>月</w:t>
      </w:r>
      <w:r w:rsidRPr="00F9754C">
        <w:rPr>
          <w:rFonts w:ascii="宋体" w:hAnsi="宋体" w:hint="eastAsia"/>
          <w:sz w:val="24"/>
        </w:rPr>
        <w:t xml:space="preserve">4日 </w:t>
      </w:r>
    </w:p>
    <w:p w14:paraId="2AA77068" w14:textId="40745F59" w:rsidR="00007225" w:rsidRDefault="00F9754C" w:rsidP="000F331D">
      <w:pPr>
        <w:autoSpaceDE w:val="0"/>
        <w:autoSpaceDN w:val="0"/>
        <w:adjustRightInd w:val="0"/>
        <w:snapToGrid w:val="0"/>
        <w:spacing w:line="360" w:lineRule="auto"/>
        <w:ind w:firstLineChars="200" w:firstLine="480"/>
        <w:jc w:val="left"/>
        <w:rPr>
          <w:rFonts w:ascii="宋体" w:hAnsi="宋体"/>
          <w:szCs w:val="24"/>
        </w:rPr>
      </w:pPr>
      <w:r w:rsidRPr="00F9754C">
        <w:rPr>
          <w:rFonts w:ascii="宋体" w:hAnsi="宋体" w:hint="eastAsia"/>
          <w:sz w:val="24"/>
        </w:rPr>
        <w:t>注册资本：2亿元人民币</w:t>
      </w:r>
    </w:p>
    <w:p w14:paraId="74900F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w:t>
      </w:r>
    </w:p>
    <w:p w14:paraId="20CB9E05"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名称：中国农业银行股份有限公司</w:t>
      </w:r>
    </w:p>
    <w:p w14:paraId="3E79D8FE"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注册地址：北京市东城区建国门内大街69号</w:t>
      </w:r>
    </w:p>
    <w:p w14:paraId="6386646F"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办公地址：北京市西城区复兴门内大街28号凯晨世贸中心东座九层</w:t>
      </w:r>
    </w:p>
    <w:p w14:paraId="35C7E033"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邮政编码：100031</w:t>
      </w:r>
    </w:p>
    <w:p w14:paraId="4FF0D141"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法定代表人：</w:t>
      </w:r>
      <w:r w:rsidRPr="003E397A">
        <w:rPr>
          <w:rFonts w:ascii="宋体" w:hAnsi="宋体" w:hint="eastAsia"/>
          <w:color w:val="000000"/>
          <w:sz w:val="24"/>
          <w:szCs w:val="21"/>
        </w:rPr>
        <w:t>谷</w:t>
      </w:r>
      <w:r w:rsidRPr="00381198">
        <w:rPr>
          <w:rFonts w:ascii="宋体" w:hAnsi="宋体" w:hint="eastAsia"/>
          <w:color w:val="000000"/>
          <w:sz w:val="24"/>
          <w:szCs w:val="21"/>
        </w:rPr>
        <w:t>澍</w:t>
      </w:r>
    </w:p>
    <w:p w14:paraId="64988473"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成立时间：2009年1月15日</w:t>
      </w:r>
    </w:p>
    <w:p w14:paraId="4A1E27D0"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基金托管资格批文及文号：中国证监会证监基字[1998]23号</w:t>
      </w:r>
    </w:p>
    <w:p w14:paraId="01EA2FF5"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注册资本：</w:t>
      </w:r>
      <w:r w:rsidRPr="003E397A">
        <w:rPr>
          <w:rFonts w:ascii="宋体" w:hAnsi="宋体"/>
          <w:color w:val="000000"/>
          <w:sz w:val="24"/>
          <w:szCs w:val="21"/>
        </w:rPr>
        <w:t>34,998,303.4</w:t>
      </w:r>
      <w:r>
        <w:rPr>
          <w:rFonts w:ascii="宋体" w:hAnsi="宋体" w:hint="eastAsia"/>
          <w:color w:val="000000"/>
          <w:sz w:val="24"/>
          <w:szCs w:val="21"/>
        </w:rPr>
        <w:t>万元人民币</w:t>
      </w:r>
    </w:p>
    <w:p w14:paraId="103E71DE"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存续期间：持续经营</w:t>
      </w:r>
    </w:p>
    <w:p w14:paraId="46A31D67" w14:textId="77777777" w:rsidR="00E24FF9" w:rsidRDefault="00E24FF9" w:rsidP="00E24FF9">
      <w:pPr>
        <w:spacing w:line="360" w:lineRule="auto"/>
        <w:ind w:right="28" w:firstLineChars="200" w:firstLine="480"/>
        <w:rPr>
          <w:rFonts w:ascii="宋体" w:hAnsi="宋体"/>
          <w:color w:val="000000"/>
          <w:sz w:val="24"/>
          <w:szCs w:val="21"/>
        </w:rPr>
      </w:pPr>
      <w:r>
        <w:rPr>
          <w:rFonts w:ascii="宋体" w:hAnsi="宋体" w:hint="eastAsia"/>
          <w:color w:val="000000"/>
          <w:sz w:val="24"/>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w:t>
      </w:r>
      <w:r>
        <w:rPr>
          <w:rFonts w:ascii="宋体" w:hAnsi="宋体" w:hint="eastAsia"/>
          <w:color w:val="000000"/>
          <w:sz w:val="24"/>
          <w:szCs w:val="21"/>
        </w:rPr>
        <w:lastRenderedPageBreak/>
        <w:t>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BB000F">
        <w:rPr>
          <w:rFonts w:ascii="宋体" w:hAnsi="宋体" w:hint="eastAsia"/>
          <w:color w:val="000000"/>
          <w:sz w:val="24"/>
          <w:szCs w:val="21"/>
        </w:rPr>
        <w:t>；保险兼业代理业务</w:t>
      </w:r>
      <w:r>
        <w:rPr>
          <w:rFonts w:ascii="宋体" w:hAnsi="宋体" w:hint="eastAsia"/>
          <w:color w:val="000000"/>
          <w:sz w:val="24"/>
          <w:szCs w:val="21"/>
        </w:rPr>
        <w:t>。</w:t>
      </w:r>
    </w:p>
    <w:p w14:paraId="4C160253"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（二）基金托管人和基金管理人之间的业务监督、核查</w:t>
      </w:r>
    </w:p>
    <w:p w14:paraId="036413F5" w14:textId="320B07E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w:t>
      </w:r>
      <w:r w:rsidR="00F77CAF">
        <w:rPr>
          <w:rFonts w:ascii="宋体" w:hAnsi="宋体" w:hint="eastAsia"/>
          <w:sz w:val="24"/>
        </w:rPr>
        <w:t>《</w:t>
      </w:r>
      <w:r>
        <w:rPr>
          <w:rFonts w:ascii="宋体" w:hAnsi="宋体"/>
          <w:sz w:val="24"/>
        </w:rPr>
        <w:t>基金合同</w:t>
      </w:r>
      <w:r w:rsidR="00F77CAF">
        <w:rPr>
          <w:rFonts w:ascii="宋体" w:hAnsi="宋体" w:hint="eastAsia"/>
          <w:sz w:val="24"/>
        </w:rPr>
        <w:t>》</w:t>
      </w:r>
      <w:r>
        <w:rPr>
          <w:rFonts w:ascii="宋体" w:hAnsi="宋体"/>
          <w:sz w:val="24"/>
        </w:rPr>
        <w:t>、本协议和有关基金法规的规定，基金托管人对基金的投资对象、基金财产的投资组合比例、基金财产的核算、基金资产净值的计算、基金管理人报酬的计提和支付、基金费用的支付、基金申购资金的到账和赎回资金的划付、基金收益分配、基金的融资条件等行为的合法性、合规性进行监督和核查，其中对基金的投资比例的监督和检查自</w:t>
      </w:r>
      <w:r w:rsidR="00F77CAF">
        <w:rPr>
          <w:rFonts w:ascii="宋体" w:hAnsi="宋体" w:hint="eastAsia"/>
          <w:sz w:val="24"/>
        </w:rPr>
        <w:t>《</w:t>
      </w:r>
      <w:r>
        <w:rPr>
          <w:rFonts w:ascii="宋体" w:hAnsi="宋体"/>
          <w:sz w:val="24"/>
        </w:rPr>
        <w:t>基金合同</w:t>
      </w:r>
      <w:r w:rsidR="00F77CAF">
        <w:rPr>
          <w:rFonts w:ascii="宋体" w:hAnsi="宋体" w:hint="eastAsia"/>
          <w:sz w:val="24"/>
        </w:rPr>
        <w:t>》</w:t>
      </w:r>
      <w:r>
        <w:rPr>
          <w:rFonts w:ascii="宋体" w:hAnsi="宋体"/>
          <w:sz w:val="24"/>
        </w:rPr>
        <w:t>生效六个月</w:t>
      </w:r>
      <w:r w:rsidR="00F77CAF">
        <w:rPr>
          <w:rFonts w:ascii="宋体" w:hAnsi="宋体" w:hint="eastAsia"/>
          <w:sz w:val="24"/>
        </w:rPr>
        <w:t>之后</w:t>
      </w:r>
      <w:r>
        <w:rPr>
          <w:rFonts w:ascii="宋体" w:hAnsi="宋体"/>
          <w:sz w:val="24"/>
        </w:rPr>
        <w:t>开始。</w:t>
      </w:r>
    </w:p>
    <w:p w14:paraId="315E3D66" w14:textId="74B1B60C"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基金托管人发现基金管理人违反《基金法》、</w:t>
      </w:r>
      <w:r w:rsidR="00FB7472">
        <w:rPr>
          <w:rFonts w:ascii="宋体" w:hAnsi="宋体" w:hint="eastAsia"/>
          <w:sz w:val="24"/>
        </w:rPr>
        <w:t>《</w:t>
      </w:r>
      <w:r>
        <w:rPr>
          <w:rFonts w:ascii="宋体" w:hAnsi="宋体"/>
          <w:sz w:val="24"/>
        </w:rPr>
        <w:t>基金合同</w:t>
      </w:r>
      <w:r w:rsidR="00FB7472">
        <w:rPr>
          <w:rFonts w:ascii="宋体" w:hAnsi="宋体" w:hint="eastAsia"/>
          <w:sz w:val="24"/>
        </w:rPr>
        <w:t>》</w:t>
      </w:r>
      <w:r>
        <w:rPr>
          <w:rFonts w:ascii="宋体" w:hAnsi="宋体"/>
          <w:sz w:val="24"/>
        </w:rPr>
        <w:t>、本协议或有关基金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基金托管人有义务要求基金管理人赔偿因其过失致使投资者遭受的损失。</w:t>
      </w:r>
    </w:p>
    <w:p w14:paraId="076650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基金托管人发现基金管理人有重大违规行为，应立即报告中国证监会，同时通知基金管理人限期纠正。</w:t>
      </w:r>
    </w:p>
    <w:p w14:paraId="7B187AB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基金合同》、本协议及其他有关规定，基金管理人就基金托管人是否及时执行基金管理人的划款指令、是否擅自动用基金财产、是否按时将分配给基金份额持有人的收益划入分红派息账户等事项，对基金托管人进行监督和核查。</w:t>
      </w:r>
    </w:p>
    <w:p w14:paraId="7529F4A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基金管理人定期对基金托管人保管的基金财产进行核查。基金管理人发现基金托管人未对基金财产实行分账管理、擅自挪用基金财产、因基金托管人的过错导致</w:t>
      </w:r>
      <w:r>
        <w:rPr>
          <w:rFonts w:ascii="宋体" w:hAnsi="宋体"/>
          <w:sz w:val="24"/>
        </w:rPr>
        <w:lastRenderedPageBreak/>
        <w:t>基金财产灭失、减损或处于危险状态的，基金管理人应立即以书面的方式要求基金托管人予以纠正并采取必要的补救措施。基金管理人有义务要求基金托管人赔偿基金因此所遭受的损失。</w:t>
      </w:r>
    </w:p>
    <w:p w14:paraId="659BDA39" w14:textId="3F6B3F9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基金管理人发现基金托管人的行为违反《基金法》、</w:t>
      </w:r>
      <w:r w:rsidR="00FB7472">
        <w:rPr>
          <w:rFonts w:ascii="宋体" w:hAnsi="宋体" w:hint="eastAsia"/>
          <w:sz w:val="24"/>
        </w:rPr>
        <w:t>《</w:t>
      </w:r>
      <w:r>
        <w:rPr>
          <w:rFonts w:ascii="宋体" w:hAnsi="宋体"/>
          <w:sz w:val="24"/>
        </w:rPr>
        <w:t>基金合同</w:t>
      </w:r>
      <w:r w:rsidR="00FB7472">
        <w:rPr>
          <w:rFonts w:ascii="宋体" w:hAnsi="宋体" w:hint="eastAsia"/>
          <w:sz w:val="24"/>
        </w:rPr>
        <w:t>》</w:t>
      </w:r>
      <w:r>
        <w:rPr>
          <w:rFonts w:ascii="宋体" w:hAnsi="宋体"/>
          <w:sz w:val="24"/>
        </w:rPr>
        <w:t>、本协议或有关基金法规的规定，应及时以书面形式通知基金托管人限期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w:t>
      </w:r>
    </w:p>
    <w:p w14:paraId="270FAD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基金管理人发现基金托管人有重大违规行为，应立即报告中国证监会，同时通知基金托管人限期纠正。</w:t>
      </w:r>
    </w:p>
    <w:p w14:paraId="1F6DA3B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有义务配合和协助对方依照本协议对基金业务执行监督、核查。基金管理人或基金托管人无正当理由，拒绝、阻挠对方根据本协议规定行使监督权，或采取拖延、欺诈等手段妨碍对方进行有效监督，情节严重或经监督方提出警告仍不改正的，监督方应报告中国证监会。</w:t>
      </w:r>
    </w:p>
    <w:p w14:paraId="4C2F33F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（三）基金财产保管</w:t>
      </w:r>
    </w:p>
    <w:p w14:paraId="49EA892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一、基金财产保管的原则</w:t>
      </w:r>
    </w:p>
    <w:p w14:paraId="459CED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1、基金托管人应依法持有并安全、完整地保管基金财产。未经基金管理人的正当指令，不得自行运用、处分、分配基金的任何财产。</w:t>
      </w:r>
    </w:p>
    <w:p w14:paraId="30578C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2、基金财产应独立于基金管理人、基金托管人的固有财产。</w:t>
      </w:r>
    </w:p>
    <w:p w14:paraId="29B7AA4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3、基金托管人按照规定开立基金财产的资金账户和证券账户，对所托管的基金财产分别设置账户，与基金托管人的其他业务和其他基金的托管业务实行严格的分账管理，确保基金财产的完整与独立。</w:t>
      </w:r>
    </w:p>
    <w:p w14:paraId="060B5F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于因基金投资、基金申（认）购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的损失。</w:t>
      </w:r>
    </w:p>
    <w:p w14:paraId="7D67DDD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二、募集资金的验证</w:t>
      </w:r>
    </w:p>
    <w:p w14:paraId="14B595A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满，由基金管理人聘请具有从事证券业务资格的会计师事务所进行验资，出具验资报告，出具的验资报告应由参加验资的2名以上（含2名）中国注册会计师签字方为有效。验资完成，基金管理人应将募集到的全部资金存入基金托管</w:t>
      </w:r>
      <w:r>
        <w:rPr>
          <w:rFonts w:ascii="宋体" w:hAnsi="宋体"/>
          <w:sz w:val="24"/>
        </w:rPr>
        <w:lastRenderedPageBreak/>
        <w:t>人为基金开立的基金托管专户中，基金托管人在收到资金当日出具基金财产接收报告。</w:t>
      </w:r>
    </w:p>
    <w:p w14:paraId="153B3C4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三、基金的银行账户的开设和管理</w:t>
      </w:r>
    </w:p>
    <w:p w14:paraId="1C83448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其营业机构开设基金托管专户，保管基金的银行存款。该基金托管专户是指基金托管人在集中托管模式下，代表所托管的基金与中国证券登记结算有限责任公司进行一级结算的专用账户。该账户的开设和管理由基金托管人承担。本基金的一切货币收支活动，均需通过基金托管人的基金托管专户进行。</w:t>
      </w:r>
    </w:p>
    <w:p w14:paraId="72E8003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基金托管专户的开立和使用，限于满足开展本基金业务的需要。基金托管人和基金管理人不得假借本基金的名义开立其他任何银行账户；亦不得使用基金的任何银行账户进行本基金业务以外的活动。</w:t>
      </w:r>
    </w:p>
    <w:p w14:paraId="495D721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基金托管专户的管理应符合《银行账户管理办法》、《现金管理条例》、《中国人民银行利率管理的有关规定》、《关于大额现金支付管理的通知》、《支付结算办法》以及中国人民银行的其他规定。</w:t>
      </w:r>
    </w:p>
    <w:p w14:paraId="20EF692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四、基金证券账户和证券交易资金账户的开设和管理</w:t>
      </w:r>
    </w:p>
    <w:p w14:paraId="1BA0B90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基金托管人以基金托管人和本基金联名的方式在中国证券登记结算有限责任公司上海分公司/深圳分公司开设证券账户。</w:t>
      </w:r>
    </w:p>
    <w:p w14:paraId="7FE6470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403FFE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基金托管人以基金托管人的名义在中国证券登记结算有限责任公司上海分公司/深圳分公司开立基金证券交易资金账户，用于证券清算。</w:t>
      </w:r>
    </w:p>
    <w:p w14:paraId="721E28AD" w14:textId="55A7ABC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在本托管协议订立日之后，本基金被允许从事其他投资品种的投资业务的，涉及相关账户的开设、使用的，除非</w:t>
      </w:r>
      <w:r w:rsidR="00FB7472">
        <w:rPr>
          <w:rFonts w:ascii="宋体" w:hAnsi="宋体" w:hint="eastAsia"/>
          <w:sz w:val="24"/>
        </w:rPr>
        <w:t>法律</w:t>
      </w:r>
      <w:r>
        <w:rPr>
          <w:rFonts w:ascii="宋体" w:hAnsi="宋体"/>
          <w:sz w:val="24"/>
        </w:rPr>
        <w:t>法规另有规定，基金托管人应当比照并遵守上述关于账户开设、使用的规定；</w:t>
      </w:r>
      <w:r w:rsidR="00FB7472">
        <w:rPr>
          <w:rFonts w:ascii="宋体" w:hAnsi="宋体" w:hint="eastAsia"/>
          <w:sz w:val="24"/>
        </w:rPr>
        <w:t>法律</w:t>
      </w:r>
      <w:r>
        <w:rPr>
          <w:rFonts w:ascii="宋体" w:hAnsi="宋体"/>
          <w:sz w:val="24"/>
        </w:rPr>
        <w:t>法规另有规定的从其规定。</w:t>
      </w:r>
    </w:p>
    <w:p w14:paraId="0A0B75E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五、债券托管自营账户的开设和管理</w:t>
      </w:r>
    </w:p>
    <w:p w14:paraId="74B5E41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基金的名义申请并取得进入全国银行间同业拆借市场的交易资格，并代表基金进行交易；由基金管理人在中国外汇交易中心开设同业拆借市场交易账户，由基金托管人负责以基金的名义在中央国债登记结算有限责任公司开设银行间债券市场债券托管自营账户，并由基金托管人负责基</w:t>
      </w:r>
      <w:r>
        <w:rPr>
          <w:rFonts w:ascii="宋体" w:hAnsi="宋体"/>
          <w:sz w:val="24"/>
        </w:rPr>
        <w:lastRenderedPageBreak/>
        <w:t>金的债券的后台匹配及资金的清算。在上述手续办理完毕之后，由基金托管人负责向中国人民银行进行报备。</w:t>
      </w:r>
    </w:p>
    <w:p w14:paraId="00FD59A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同业拆借市场交易账户和债券托管账户根据中国人民银行、中国外汇交易中心和中央国债登记结算有限责任公司的有关规定，由基金管理人和基金托管人签订补充协议，进行使用和管理。基金管理人和基金托管人应一起负责为基金对外签订全国银行间国债市场回购主协议，正本由基金托管人保管，基金管理人保存副本。</w:t>
      </w:r>
    </w:p>
    <w:p w14:paraId="1263F30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六、基金财产投资的有关实物证券的保管</w:t>
      </w:r>
    </w:p>
    <w:p w14:paraId="1F6EBA85" w14:textId="6C3AEEC0"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实物证券由基金托管人存放于托管银行的保管库</w:t>
      </w:r>
      <w:r w:rsidR="00510C89">
        <w:rPr>
          <w:rFonts w:ascii="宋体" w:hAnsi="宋体" w:hint="eastAsia"/>
          <w:sz w:val="24"/>
        </w:rPr>
        <w:t>，</w:t>
      </w:r>
      <w:r>
        <w:rPr>
          <w:rFonts w:ascii="宋体" w:hAnsi="宋体"/>
          <w:sz w:val="24"/>
        </w:rPr>
        <w:t>也可存入中央国债登记结算有限责任公司或中国证券登记结算有限责任公司上海分公司/深圳分公司或票据营业中心的代保管库。保管凭证由基金托管人持有。实物证券的购买和转让，由基金托管人根据基金管理人的指令办理。托管人对托管人以外机构实际有效控制的证券不承担责任。</w:t>
      </w:r>
    </w:p>
    <w:p w14:paraId="75F64C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属于基金托管人实际有效控制下的实物证券在基金托管人保管期间的损坏、灭失，由此产生的责任应由基金托管人承担。</w:t>
      </w:r>
    </w:p>
    <w:p w14:paraId="04CFAA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七、与基金财产有关的重大合同的保管</w:t>
      </w:r>
    </w:p>
    <w:p w14:paraId="2DCFE5E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由基金管理人代表基金签署的与基金有关的重大合同的原件分别由基金托管人、基金管理人保管。</w:t>
      </w:r>
    </w:p>
    <w:p w14:paraId="1BB4A019" w14:textId="5B1A6AC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除本协议另有规定外，基金管理人在代表基金签署与基金有关的重大合同时应保证</w:t>
      </w:r>
      <w:r w:rsidR="00923891">
        <w:rPr>
          <w:rFonts w:ascii="宋体" w:hAnsi="宋体" w:hint="eastAsia"/>
          <w:sz w:val="24"/>
        </w:rPr>
        <w:t>基金一方</w:t>
      </w:r>
      <w:r>
        <w:rPr>
          <w:rFonts w:ascii="宋体" w:hAnsi="宋体"/>
          <w:sz w:val="24"/>
        </w:rPr>
        <w:t>持有两份以上的正本，以便基金管理人和基金托管人</w:t>
      </w:r>
      <w:r w:rsidR="00923891">
        <w:rPr>
          <w:rFonts w:ascii="宋体" w:hAnsi="宋体" w:hint="eastAsia"/>
          <w:sz w:val="24"/>
        </w:rPr>
        <w:t>至少</w:t>
      </w:r>
      <w:r>
        <w:rPr>
          <w:rFonts w:ascii="宋体" w:hAnsi="宋体"/>
          <w:sz w:val="24"/>
        </w:rPr>
        <w:t>各持</w:t>
      </w:r>
      <w:r w:rsidR="00923891">
        <w:rPr>
          <w:rFonts w:ascii="宋体" w:hAnsi="宋体" w:hint="eastAsia"/>
          <w:sz w:val="24"/>
        </w:rPr>
        <w:t>有</w:t>
      </w:r>
      <w:r>
        <w:rPr>
          <w:rFonts w:ascii="宋体" w:hAnsi="宋体"/>
          <w:sz w:val="24"/>
        </w:rPr>
        <w:t>一份正本的原件。如上述合同只有一份正本先由基金管理人取得，</w:t>
      </w:r>
      <w:r w:rsidR="00923891">
        <w:rPr>
          <w:rFonts w:ascii="宋体" w:hAnsi="宋体" w:hint="eastAsia"/>
          <w:sz w:val="24"/>
        </w:rPr>
        <w:t>则</w:t>
      </w:r>
      <w:r>
        <w:rPr>
          <w:rFonts w:ascii="宋体" w:hAnsi="宋体"/>
          <w:sz w:val="24"/>
        </w:rPr>
        <w:t>基金管理人应及时将正本送达基金托管人处保管。</w:t>
      </w:r>
    </w:p>
    <w:p w14:paraId="7B6EA13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（四）资产净值计算和会计核算</w:t>
      </w:r>
    </w:p>
    <w:p w14:paraId="5E2CB04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一、基金资产净值的计算和复核</w:t>
      </w:r>
    </w:p>
    <w:p w14:paraId="737344D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指计算日基金资产净值除以计算日基金份额总份额后的价值。本基金通过每日计算收益并分配的方式，使基金份额净值保持为人民币1.00元。国家另有规定的，从其规定。</w:t>
      </w:r>
    </w:p>
    <w:p w14:paraId="2825F7E1" w14:textId="13DAE67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2、基金管理人应每工作日对基金资产估值。估值原则应符合</w:t>
      </w:r>
      <w:r w:rsidR="00F2596C">
        <w:rPr>
          <w:rFonts w:ascii="宋体" w:hAnsi="宋体" w:hint="eastAsia"/>
          <w:sz w:val="24"/>
        </w:rPr>
        <w:t>《</w:t>
      </w:r>
      <w:r>
        <w:rPr>
          <w:rFonts w:ascii="宋体" w:hAnsi="宋体"/>
          <w:sz w:val="24"/>
        </w:rPr>
        <w:t>基金合同</w:t>
      </w:r>
      <w:r w:rsidR="00F2596C">
        <w:rPr>
          <w:rFonts w:ascii="宋体" w:hAnsi="宋体" w:hint="eastAsia"/>
          <w:sz w:val="24"/>
        </w:rPr>
        <w:t>》、《暂行规定》</w:t>
      </w:r>
      <w:r>
        <w:rPr>
          <w:rFonts w:ascii="宋体" w:hAnsi="宋体"/>
          <w:sz w:val="24"/>
        </w:rPr>
        <w:t>、《证券投资基金会计核算办法》及其他法律法规的规定。用于基金信</w:t>
      </w:r>
      <w:r>
        <w:rPr>
          <w:rFonts w:ascii="宋体" w:hAnsi="宋体"/>
          <w:sz w:val="24"/>
        </w:rPr>
        <w:lastRenderedPageBreak/>
        <w:t>息披露的</w:t>
      </w:r>
      <w:r w:rsidR="00F87260">
        <w:rPr>
          <w:rFonts w:ascii="宋体" w:hAnsi="宋体"/>
          <w:sz w:val="24"/>
        </w:rPr>
        <w:t>基金</w:t>
      </w:r>
      <w:r w:rsidR="00FA3E1C">
        <w:rPr>
          <w:rFonts w:ascii="宋体" w:hAnsi="宋体" w:hint="eastAsia"/>
          <w:sz w:val="24"/>
        </w:rPr>
        <w:t>日</w:t>
      </w:r>
      <w:r w:rsidR="00F87260">
        <w:rPr>
          <w:rFonts w:ascii="宋体" w:hAnsi="宋体"/>
          <w:sz w:val="24"/>
        </w:rPr>
        <w:t>收益</w:t>
      </w:r>
      <w:r>
        <w:rPr>
          <w:rFonts w:ascii="宋体" w:hAnsi="宋体"/>
          <w:sz w:val="24"/>
        </w:rPr>
        <w:t>和基金七日年化收益率由基金管理人负责计算，基金托管人复核。基金管理人应于每个工作日交易结束后计算当日的基金资产净值、</w:t>
      </w:r>
      <w:r w:rsidR="00F87260">
        <w:rPr>
          <w:rFonts w:ascii="宋体" w:hAnsi="宋体"/>
          <w:sz w:val="24"/>
        </w:rPr>
        <w:t>基金</w:t>
      </w:r>
      <w:r w:rsidR="00FA3E1C">
        <w:rPr>
          <w:rFonts w:ascii="宋体" w:hAnsi="宋体" w:hint="eastAsia"/>
          <w:sz w:val="24"/>
        </w:rPr>
        <w:t>日</w:t>
      </w:r>
      <w:r w:rsidR="00F87260">
        <w:rPr>
          <w:rFonts w:ascii="宋体" w:hAnsi="宋体"/>
          <w:sz w:val="24"/>
        </w:rPr>
        <w:t>收益</w:t>
      </w:r>
      <w:r>
        <w:rPr>
          <w:rFonts w:ascii="宋体" w:hAnsi="宋体"/>
          <w:sz w:val="24"/>
        </w:rPr>
        <w:t>和最近一日的七日年化收益率并以加密传真方式发送给基金托管人。基金托管人对净值计算结果复核后，签名、盖章并以加密传真方式传送给基金管理人，由基金管理人公布</w:t>
      </w:r>
      <w:r w:rsidR="00F87260">
        <w:rPr>
          <w:rFonts w:ascii="宋体" w:hAnsi="宋体"/>
          <w:sz w:val="24"/>
        </w:rPr>
        <w:t>基金</w:t>
      </w:r>
      <w:r w:rsidR="00FA3E1C">
        <w:rPr>
          <w:rFonts w:ascii="宋体" w:hAnsi="宋体" w:hint="eastAsia"/>
          <w:sz w:val="24"/>
        </w:rPr>
        <w:t>日</w:t>
      </w:r>
      <w:r w:rsidR="00F87260">
        <w:rPr>
          <w:rFonts w:ascii="宋体" w:hAnsi="宋体"/>
          <w:sz w:val="24"/>
        </w:rPr>
        <w:t>收益</w:t>
      </w:r>
      <w:r>
        <w:rPr>
          <w:rFonts w:ascii="宋体" w:hAnsi="宋体"/>
          <w:sz w:val="24"/>
        </w:rPr>
        <w:t>和基金七日年化收益率。</w:t>
      </w:r>
    </w:p>
    <w:p w14:paraId="53A336B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3、估值对象</w:t>
      </w:r>
    </w:p>
    <w:p w14:paraId="37764134" w14:textId="623AE816"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w:t>
      </w:r>
      <w:r w:rsidR="00E60917">
        <w:rPr>
          <w:rFonts w:ascii="宋体" w:hAnsi="宋体" w:hint="eastAsia"/>
          <w:sz w:val="24"/>
        </w:rPr>
        <w:t>依法持有</w:t>
      </w:r>
      <w:r>
        <w:rPr>
          <w:rFonts w:ascii="宋体" w:hAnsi="宋体"/>
          <w:sz w:val="24"/>
        </w:rPr>
        <w:t>的银行存款</w:t>
      </w:r>
      <w:r w:rsidR="00E60917">
        <w:rPr>
          <w:rFonts w:ascii="宋体" w:hAnsi="宋体" w:hint="eastAsia"/>
          <w:sz w:val="24"/>
        </w:rPr>
        <w:t>、各类有价证券和</w:t>
      </w:r>
      <w:r>
        <w:rPr>
          <w:rFonts w:ascii="宋体" w:hAnsi="宋体"/>
          <w:sz w:val="24"/>
        </w:rPr>
        <w:t>应收款项</w:t>
      </w:r>
      <w:r w:rsidR="00E60917">
        <w:rPr>
          <w:rFonts w:ascii="宋体" w:hAnsi="宋体" w:hint="eastAsia"/>
          <w:sz w:val="24"/>
        </w:rPr>
        <w:t>以及</w:t>
      </w:r>
      <w:r>
        <w:rPr>
          <w:rFonts w:ascii="宋体" w:hAnsi="宋体"/>
          <w:sz w:val="24"/>
        </w:rPr>
        <w:t>其他投资等资产。</w:t>
      </w:r>
    </w:p>
    <w:p w14:paraId="4EB0290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4、估值方法</w:t>
      </w:r>
    </w:p>
    <w:p w14:paraId="5721DF4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（1）本基金目前投资工具的估值方法如下：</w:t>
      </w:r>
    </w:p>
    <w:p w14:paraId="497FB7C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1）基金持有的银行存款以本金列示，按银行实际协议利率逐日计提利息；</w:t>
      </w:r>
    </w:p>
    <w:p w14:paraId="43BA395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2）基金持有的回购协议（封闭式回购）以成本列示，按实际利率在实际持有期间内逐日计提利息，合同利率与实际利率差异较小的，也可采用合同利率计算确定利息收入；</w:t>
      </w:r>
    </w:p>
    <w:p w14:paraId="5A36959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3）基金持有的附息债券、贴现券购买时采用实际支付价款（包含交易费用）确定初始成本，每日按摊余成本和实际利率计算确定利息收入；</w:t>
      </w:r>
    </w:p>
    <w:p w14:paraId="7B15E3F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持有的买断式回购以协议成本列示，所产生的利息在实际持有期间内逐日计提。回购期间对涉及的金融资产根据其资产的性质进行相应的估值。回购期满时，若双方都能履约，则按协议进行交割。若融资业务到期无法履约，则继续持有现金资产，实际持有的相关资产按其性质进行估值；</w:t>
      </w:r>
    </w:p>
    <w:p w14:paraId="11D8B08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5）基金持有的资产支持证券视同债券，购买时采用实际支付价款（包含交易费用）确定初始成本，每日按摊余成本和实际利率计算确定利息收入。</w:t>
      </w:r>
    </w:p>
    <w:p w14:paraId="40F95E3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有确凿证据表明按上述方法进行估值不能客观反映其公允价值的，基金管理人可根据具体情况与基金托管人商定后，按最能反映公允价值的价格估值。即使存在上述情况，管理人若采用上述1)-5)规定的方法为基金财产进行了估值，仍应被认为采用了适当的估值方法；</w:t>
      </w:r>
    </w:p>
    <w:p w14:paraId="399F899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货币市场基金存续期间，基金管理人应定期计算货币市场基金投资组合摊余成本与其他可参考公允价值指标之间的偏离程度，并定期测试其他可参考公允价值指标确定方法的有效性。投资组合的摊余成本与其他可参考公允价值指标产生重大偏离的（偏离度超过0.5%），应按其他公允价值指标对组合的账面价值进行调整，调整差额确认为"公允价值变动损益"，并按其他公允价值指标进行后续计量。</w:t>
      </w:r>
      <w:r>
        <w:rPr>
          <w:rFonts w:ascii="宋体" w:hAnsi="宋体"/>
          <w:sz w:val="24"/>
        </w:rPr>
        <w:lastRenderedPageBreak/>
        <w:t>如基金份额净值恢复至1元，可恢复使用摊余成本法估算公允价值。</w:t>
      </w:r>
    </w:p>
    <w:p w14:paraId="386F49FE"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（4）如有新增事项，按国家有关法律法规的最新规定估值。</w:t>
      </w:r>
    </w:p>
    <w:p w14:paraId="207655B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（5）采用本估值方法可能对基金资产净值波动带来的影响：适用影子定价法对估值对象进行调整时，调整差额于当日计入基金资产净值，基金资产净值可能产生相应的波动。</w:t>
      </w:r>
    </w:p>
    <w:p w14:paraId="76C3090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（6）如基金管理人或基金托管人发现基金估值违反基金合同订明的估值方法、程序及相关法律法规的规定或者未能充分维护基金份额持有人利益时，应立即通知对方，共同查明原因，双方协商解决。</w:t>
      </w:r>
    </w:p>
    <w:p w14:paraId="333EFAB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224DA9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5、暂停估值的情形</w:t>
      </w:r>
    </w:p>
    <w:p w14:paraId="2AE23E0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14:paraId="447259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（2）因不可抗力或其他情形致使基金管理人、基金托管人无法准确评估基金财产价值时；</w:t>
      </w:r>
    </w:p>
    <w:p w14:paraId="71DA9E1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（3）当前一估值日基金资产净值50%以上的资产出现无可参考的活跃市场价格且采用估值技术仍导致公允价值存在重大不确定性时，经与基金托管人协商确认后，基金管理人应当暂停基金估值；</w:t>
      </w:r>
    </w:p>
    <w:p w14:paraId="6AF0EF97" w14:textId="680330E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w:t>
      </w:r>
      <w:r w:rsidR="00272E40">
        <w:rPr>
          <w:rFonts w:ascii="宋体" w:hAnsi="宋体" w:hint="eastAsia"/>
          <w:sz w:val="24"/>
        </w:rPr>
        <w:t>《</w:t>
      </w:r>
      <w:r>
        <w:rPr>
          <w:rFonts w:ascii="宋体" w:hAnsi="宋体"/>
          <w:sz w:val="24"/>
        </w:rPr>
        <w:t>基金合同</w:t>
      </w:r>
      <w:r w:rsidR="00272E40">
        <w:rPr>
          <w:rFonts w:ascii="宋体" w:hAnsi="宋体" w:hint="eastAsia"/>
          <w:sz w:val="24"/>
        </w:rPr>
        <w:t>》</w:t>
      </w:r>
      <w:r>
        <w:rPr>
          <w:rFonts w:ascii="宋体" w:hAnsi="宋体"/>
          <w:sz w:val="24"/>
        </w:rPr>
        <w:t>认定的其他情形。</w:t>
      </w:r>
    </w:p>
    <w:p w14:paraId="3824561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二、净值差错处理</w:t>
      </w:r>
    </w:p>
    <w:p w14:paraId="650768ED" w14:textId="390A0E5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本基金采用四舍五入的方法，</w:t>
      </w:r>
      <w:r w:rsidR="00F87260">
        <w:rPr>
          <w:rFonts w:ascii="宋体" w:hAnsi="宋体"/>
          <w:sz w:val="24"/>
        </w:rPr>
        <w:t>基金</w:t>
      </w:r>
      <w:r w:rsidR="00272E40">
        <w:rPr>
          <w:rFonts w:ascii="宋体" w:hAnsi="宋体" w:hint="eastAsia"/>
          <w:sz w:val="24"/>
        </w:rPr>
        <w:t>日</w:t>
      </w:r>
      <w:r w:rsidR="00F87260">
        <w:rPr>
          <w:rFonts w:ascii="宋体" w:hAnsi="宋体"/>
          <w:sz w:val="24"/>
        </w:rPr>
        <w:t>收益</w:t>
      </w:r>
      <w:r>
        <w:rPr>
          <w:rFonts w:ascii="宋体" w:hAnsi="宋体"/>
          <w:sz w:val="24"/>
        </w:rPr>
        <w:t>保留至小数点后</w:t>
      </w:r>
      <w:r w:rsidR="00A0208B">
        <w:rPr>
          <w:rFonts w:ascii="宋体" w:hAnsi="宋体" w:hint="eastAsia"/>
          <w:sz w:val="24"/>
        </w:rPr>
        <w:t>四</w:t>
      </w:r>
      <w:r>
        <w:rPr>
          <w:rFonts w:ascii="宋体" w:hAnsi="宋体"/>
          <w:sz w:val="24"/>
        </w:rPr>
        <w:t>位，基金七日收益率保留至小数点后</w:t>
      </w:r>
      <w:r w:rsidR="00A0208B">
        <w:rPr>
          <w:rFonts w:ascii="宋体" w:hAnsi="宋体" w:hint="eastAsia"/>
          <w:sz w:val="24"/>
        </w:rPr>
        <w:t>三</w:t>
      </w:r>
      <w:r>
        <w:rPr>
          <w:rFonts w:ascii="宋体" w:hAnsi="宋体"/>
          <w:sz w:val="24"/>
        </w:rPr>
        <w:t>位，</w:t>
      </w:r>
      <w:r w:rsidR="00A0208B">
        <w:rPr>
          <w:rFonts w:ascii="宋体" w:hAnsi="宋体" w:hint="eastAsia"/>
          <w:sz w:val="24"/>
        </w:rPr>
        <w:t>法律法规</w:t>
      </w:r>
      <w:r>
        <w:rPr>
          <w:rFonts w:ascii="宋体" w:hAnsi="宋体"/>
          <w:sz w:val="24"/>
        </w:rPr>
        <w:t>另有规定的从其规定。当基金的估值导致</w:t>
      </w:r>
      <w:r w:rsidR="00F87260">
        <w:rPr>
          <w:rFonts w:ascii="宋体" w:hAnsi="宋体"/>
          <w:sz w:val="24"/>
        </w:rPr>
        <w:t>基金</w:t>
      </w:r>
      <w:r w:rsidR="00AC101D">
        <w:rPr>
          <w:rFonts w:ascii="宋体" w:hAnsi="宋体" w:hint="eastAsia"/>
          <w:sz w:val="24"/>
        </w:rPr>
        <w:t>日</w:t>
      </w:r>
      <w:r w:rsidR="00F87260">
        <w:rPr>
          <w:rFonts w:ascii="宋体" w:hAnsi="宋体"/>
          <w:sz w:val="24"/>
        </w:rPr>
        <w:t>收益</w:t>
      </w:r>
      <w:r>
        <w:rPr>
          <w:rFonts w:ascii="宋体" w:hAnsi="宋体"/>
          <w:sz w:val="24"/>
        </w:rPr>
        <w:t>小数点后</w:t>
      </w:r>
      <w:r w:rsidR="00AC101D">
        <w:rPr>
          <w:rFonts w:ascii="宋体" w:hAnsi="宋体" w:hint="eastAsia"/>
          <w:sz w:val="24"/>
        </w:rPr>
        <w:t>四</w:t>
      </w:r>
      <w:r>
        <w:rPr>
          <w:rFonts w:ascii="宋体" w:hAnsi="宋体"/>
          <w:sz w:val="24"/>
        </w:rPr>
        <w:t>位以内或基金七日收益率小数点后</w:t>
      </w:r>
      <w:r w:rsidR="00AC101D">
        <w:rPr>
          <w:rFonts w:ascii="宋体" w:hAnsi="宋体" w:hint="eastAsia"/>
          <w:sz w:val="24"/>
        </w:rPr>
        <w:t>三</w:t>
      </w:r>
      <w:r>
        <w:rPr>
          <w:rFonts w:ascii="宋体" w:hAnsi="宋体"/>
          <w:sz w:val="24"/>
        </w:rPr>
        <w:t>位以内发生差错时，视为估值错误。基金管理人和基金托管人应采取必要、适当、合理的措施确保基金资产估值的准确性和及时性。当基金管理人确认已经发生估值错误情形时，基金管理人应立即公告、予以纠正，并采取合理的措施防止损失进一步扩大。当错误偏差达到或超过基金</w:t>
      </w:r>
      <w:r w:rsidR="0014245F">
        <w:rPr>
          <w:rFonts w:ascii="宋体" w:hAnsi="宋体" w:hint="eastAsia"/>
          <w:sz w:val="24"/>
        </w:rPr>
        <w:t>资产</w:t>
      </w:r>
      <w:r>
        <w:rPr>
          <w:rFonts w:ascii="宋体" w:hAnsi="宋体"/>
          <w:sz w:val="24"/>
        </w:rPr>
        <w:t>净值的0.25%时，基金管理人应当及时通知基金托管人并报中国证监会；错误偏差达到基金</w:t>
      </w:r>
      <w:r w:rsidR="0014245F">
        <w:rPr>
          <w:rFonts w:ascii="宋体" w:hAnsi="宋体" w:hint="eastAsia"/>
          <w:sz w:val="24"/>
        </w:rPr>
        <w:t>资产</w:t>
      </w:r>
      <w:r>
        <w:rPr>
          <w:rFonts w:ascii="宋体" w:hAnsi="宋体"/>
          <w:sz w:val="24"/>
        </w:rPr>
        <w:t>净值的0.5%时，基金管理人应当公告、通报基金托管人并报中国证监会备案。</w:t>
      </w:r>
    </w:p>
    <w:p w14:paraId="68512B41" w14:textId="51D4F459"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因基金估值错误给投资者造成损失的应先由基金管理人承担，基金管理人对不</w:t>
      </w:r>
      <w:r>
        <w:rPr>
          <w:rFonts w:ascii="宋体" w:hAnsi="宋体"/>
          <w:sz w:val="24"/>
        </w:rPr>
        <w:lastRenderedPageBreak/>
        <w:t>应由其承担的责任，有权向过错人追偿。</w:t>
      </w:r>
    </w:p>
    <w:p w14:paraId="0CF550AE" w14:textId="741A7D8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基金管理人计算的</w:t>
      </w:r>
      <w:r w:rsidR="00F87260">
        <w:rPr>
          <w:rFonts w:ascii="宋体" w:hAnsi="宋体"/>
          <w:sz w:val="24"/>
        </w:rPr>
        <w:t>基金</w:t>
      </w:r>
      <w:r w:rsidR="00AC101D">
        <w:rPr>
          <w:rFonts w:ascii="宋体" w:hAnsi="宋体" w:hint="eastAsia"/>
          <w:sz w:val="24"/>
        </w:rPr>
        <w:t>日</w:t>
      </w:r>
      <w:r w:rsidR="00F87260">
        <w:rPr>
          <w:rFonts w:ascii="宋体" w:hAnsi="宋体"/>
          <w:sz w:val="24"/>
        </w:rPr>
        <w:t>收益</w:t>
      </w:r>
      <w:r>
        <w:rPr>
          <w:rFonts w:ascii="宋体" w:hAnsi="宋体"/>
          <w:sz w:val="24"/>
        </w:rPr>
        <w:t>和七日年化收益率已由基金托管人复核确认后公告的，由此造成的投资者或基金的损失，应根据法律法规的规定对投资者或基金支付赔偿金，就实际向投资者或基金支付的赔偿金额，按照差错发生的具体情况，由基金管理人与基金托管人各自承担相应的责任。</w:t>
      </w:r>
    </w:p>
    <w:p w14:paraId="3A24E48D" w14:textId="740E843F"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w:t>
      </w:r>
      <w:r w:rsidR="00F87260">
        <w:rPr>
          <w:rFonts w:ascii="宋体" w:hAnsi="宋体"/>
          <w:sz w:val="24"/>
        </w:rPr>
        <w:t>基金</w:t>
      </w:r>
      <w:r w:rsidR="00FF42A9">
        <w:rPr>
          <w:rFonts w:ascii="宋体" w:hAnsi="宋体" w:hint="eastAsia"/>
          <w:sz w:val="24"/>
        </w:rPr>
        <w:t>日</w:t>
      </w:r>
      <w:r w:rsidR="00F87260">
        <w:rPr>
          <w:rFonts w:ascii="宋体" w:hAnsi="宋体"/>
          <w:sz w:val="24"/>
        </w:rPr>
        <w:t>收益</w:t>
      </w:r>
      <w:r>
        <w:rPr>
          <w:rFonts w:ascii="宋体" w:hAnsi="宋体"/>
          <w:sz w:val="24"/>
        </w:rPr>
        <w:t>和七日年化收益率计算错误造成投资者或基金的损失，以及由此造成以后交易日</w:t>
      </w:r>
      <w:r w:rsidR="00F87260">
        <w:rPr>
          <w:rFonts w:ascii="宋体" w:hAnsi="宋体"/>
          <w:sz w:val="24"/>
        </w:rPr>
        <w:t>基金</w:t>
      </w:r>
      <w:r w:rsidR="00FF42A9">
        <w:rPr>
          <w:rFonts w:ascii="宋体" w:hAnsi="宋体" w:hint="eastAsia"/>
          <w:sz w:val="24"/>
        </w:rPr>
        <w:t>日</w:t>
      </w:r>
      <w:r w:rsidR="00F87260">
        <w:rPr>
          <w:rFonts w:ascii="宋体" w:hAnsi="宋体"/>
          <w:sz w:val="24"/>
        </w:rPr>
        <w:t>收益</w:t>
      </w:r>
      <w:r>
        <w:rPr>
          <w:rFonts w:ascii="宋体" w:hAnsi="宋体"/>
          <w:sz w:val="24"/>
        </w:rPr>
        <w:t>和七日年化收益率计算顺延错误而引起的投资者或基金的损失，由提供错误信息的当事人一方负责赔偿。由于证券交易所及其登记结算公司发送的数据错误，或由于其他不可抗力原因，基金管理人和基金托管人虽然已经采取必要、适当、合理的措施进行检查，但是未能发现该错误的，由此造成的基金财产估值错误，基金管理人和基金托管人可以免除赔偿责任。但基金管理人和基金托管人应当积极采取必要的措施消除由此造成的影响。</w:t>
      </w:r>
    </w:p>
    <w:p w14:paraId="3460B7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针对净值差错处理，如果法律法规或证监会有新的规定，则按新的规定执行；如果行业有通行做法，在不违背法律法规且不损害投资者利益的前提下，相关各方当事人应本着平等互利的原则重新协商确定处理原则。</w:t>
      </w:r>
    </w:p>
    <w:p w14:paraId="7D7392D5" w14:textId="54CB115B"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当基金管理人计算的</w:t>
      </w:r>
      <w:r w:rsidR="00F87260">
        <w:rPr>
          <w:rFonts w:ascii="宋体" w:hAnsi="宋体"/>
          <w:sz w:val="24"/>
        </w:rPr>
        <w:t>基金</w:t>
      </w:r>
      <w:r w:rsidR="00FE728E">
        <w:rPr>
          <w:rFonts w:ascii="宋体" w:hAnsi="宋体" w:hint="eastAsia"/>
          <w:sz w:val="24"/>
        </w:rPr>
        <w:t>日</w:t>
      </w:r>
      <w:r w:rsidR="00F87260">
        <w:rPr>
          <w:rFonts w:ascii="宋体" w:hAnsi="宋体"/>
          <w:sz w:val="24"/>
        </w:rPr>
        <w:t>收益</w:t>
      </w:r>
      <w:r>
        <w:rPr>
          <w:rFonts w:ascii="宋体" w:hAnsi="宋体"/>
          <w:sz w:val="24"/>
        </w:rPr>
        <w:t>和七日年化收益率与基金托管人的计算结果不一致时，相关各方应本着勤勉尽责的态度重新计算核对，如果最后仍无法达成一致，应以基金管理人的计算结果为准对外公布，如基金管理人</w:t>
      </w:r>
      <w:r w:rsidR="00FE728E">
        <w:rPr>
          <w:rFonts w:ascii="宋体" w:hAnsi="宋体" w:hint="eastAsia"/>
          <w:sz w:val="24"/>
        </w:rPr>
        <w:t>净值</w:t>
      </w:r>
      <w:r>
        <w:rPr>
          <w:rFonts w:ascii="宋体" w:hAnsi="宋体"/>
          <w:sz w:val="24"/>
        </w:rPr>
        <w:t>计算错误造成的损失以及因该交易日基金</w:t>
      </w:r>
      <w:r w:rsidR="00FE728E">
        <w:rPr>
          <w:rFonts w:ascii="宋体" w:hAnsi="宋体" w:hint="eastAsia"/>
          <w:sz w:val="24"/>
        </w:rPr>
        <w:t>日收益和七日年化收益率</w:t>
      </w:r>
      <w:r>
        <w:rPr>
          <w:rFonts w:ascii="宋体" w:hAnsi="宋体"/>
          <w:sz w:val="24"/>
        </w:rPr>
        <w:t>计算顺延错误而引起的损失由基金管理人承担赔偿责任，但有权向相关责任方追偿。</w:t>
      </w:r>
    </w:p>
    <w:p w14:paraId="55D4E28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三、基金账册的建账和对账</w:t>
      </w:r>
    </w:p>
    <w:p w14:paraId="630407B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14:paraId="2CA92F8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9045E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四、基金财务报表与报告的编制和复核</w:t>
      </w:r>
    </w:p>
    <w:p w14:paraId="46D660D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基金财务报表由基金管理人和基金托管人每月分别独立编制。月度报表的编制，应于每月终了后5日内完成。</w:t>
      </w:r>
    </w:p>
    <w:p w14:paraId="294D31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会计年度半年终了后两个月内完成中期报告编制并公告；在会计年度结束后三个月内完成年度报告编制并公告。</w:t>
      </w:r>
    </w:p>
    <w:p w14:paraId="11666F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对报表盖章后，以加密传真方式或双方商定的其他方式将有关报表提供基金托管人复核；基金托管人在5日内立即进行复核，并将复核结果及时书面通知基金管理人。基金管理人在季度报告完成当日，将有关报告提供基金托管人复核，基金托管人在收到后10日内进行复核，并将复核结果书面通知基金管理人。基金管理人在中期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公章或者出具加盖托管业务部门公章的复核意见书，相关各方各自留存一份。</w:t>
      </w:r>
    </w:p>
    <w:p w14:paraId="21C54F1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基金托管人在对财务会计报告、中期报告或年度报告复核完毕后，需盖章确认或出具相应的复核确认书，以备有权机构对相关文件审核时提示。</w:t>
      </w:r>
    </w:p>
    <w:p w14:paraId="29783BD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五、基金份额持有人名册的登记与保管</w:t>
      </w:r>
    </w:p>
    <w:p w14:paraId="049B6A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包括基金设立募集期结束时的基金份额持有人名册、基金权益登记日的基金份额持有人名册、基金份额持有人大会登记日的基金份额持有人名册、每月最后一个交易日的基金份额持有人名册，由基金注册登记机构负责编制和保管。</w:t>
      </w:r>
    </w:p>
    <w:p w14:paraId="594676A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六、争议的处理和适用法律</w:t>
      </w:r>
    </w:p>
    <w:p w14:paraId="7F43BB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相关各方当事人同意，因本协议而产生的或与本协议有关的一切争议，除经友</w:t>
      </w:r>
      <w:r>
        <w:rPr>
          <w:rFonts w:ascii="宋体" w:hAnsi="宋体"/>
          <w:sz w:val="24"/>
        </w:rPr>
        <w:lastRenderedPageBreak/>
        <w:t>好协商可以解决的，应提交中国国际经济贸易仲裁委员会根据提交争议时该会当时有效的仲裁规则进行仲裁，仲裁的地点在上海，仲裁裁决是终局性的并对相关各方均具有约束力，仲裁费用按仲裁裁决决定。</w:t>
      </w:r>
    </w:p>
    <w:p w14:paraId="64815E09" w14:textId="1F0B6DD4"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争议处理期间，相关各方当事人应恪守基金管理人和基金托管人职责，继续忠实、勤勉、尽责地履行</w:t>
      </w:r>
      <w:r w:rsidR="00317F44">
        <w:rPr>
          <w:rFonts w:ascii="宋体" w:hAnsi="宋体" w:hint="eastAsia"/>
          <w:sz w:val="24"/>
        </w:rPr>
        <w:t>《</w:t>
      </w:r>
      <w:r>
        <w:rPr>
          <w:rFonts w:ascii="宋体" w:hAnsi="宋体"/>
          <w:sz w:val="24"/>
        </w:rPr>
        <w:t>基金合同</w:t>
      </w:r>
      <w:r w:rsidR="00317F44">
        <w:rPr>
          <w:rFonts w:ascii="宋体" w:hAnsi="宋体" w:hint="eastAsia"/>
          <w:sz w:val="24"/>
        </w:rPr>
        <w:t>》</w:t>
      </w:r>
      <w:r>
        <w:rPr>
          <w:rFonts w:ascii="宋体" w:hAnsi="宋体"/>
          <w:sz w:val="24"/>
        </w:rPr>
        <w:t>和托管协议规定的义务，维护基金份额持有人的合法权益。</w:t>
      </w:r>
    </w:p>
    <w:p w14:paraId="52015D9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14:paraId="1970D116"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（五）托管协议的修改和终止</w:t>
      </w:r>
    </w:p>
    <w:p w14:paraId="1812014D" w14:textId="372CB913"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1、本协议相关各方当事人经协商一致，可以对协议进行修改。修改后的新协议，其内容不得与</w:t>
      </w:r>
      <w:r w:rsidR="00317F44">
        <w:rPr>
          <w:rFonts w:ascii="宋体" w:hAnsi="宋体" w:hint="eastAsia"/>
          <w:sz w:val="24"/>
        </w:rPr>
        <w:t>《</w:t>
      </w:r>
      <w:r>
        <w:rPr>
          <w:rFonts w:ascii="宋体" w:hAnsi="宋体"/>
          <w:sz w:val="24"/>
        </w:rPr>
        <w:t>基金合同</w:t>
      </w:r>
      <w:r w:rsidR="00317F44">
        <w:rPr>
          <w:rFonts w:ascii="宋体" w:hAnsi="宋体" w:hint="eastAsia"/>
          <w:sz w:val="24"/>
        </w:rPr>
        <w:t>》</w:t>
      </w:r>
      <w:r>
        <w:rPr>
          <w:rFonts w:ascii="宋体" w:hAnsi="宋体"/>
          <w:sz w:val="24"/>
        </w:rPr>
        <w:t>的规定有任何冲突。修改后的新协议向中国证监会办理完必要的核准或备案手续后生效。</w:t>
      </w:r>
    </w:p>
    <w:p w14:paraId="05C8A55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2、发生以下情况，本托管协议终止：</w:t>
      </w:r>
    </w:p>
    <w:p w14:paraId="7D7ACCB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6B0BB25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（2）因基金托管人解散、依法被撤销、破产或其他事由造成本基金更换基金托管人；</w:t>
      </w:r>
    </w:p>
    <w:p w14:paraId="3AC4856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（3）因基金管理人解散、依法被撤销、破产或其他事由造成本基金更换基金管理人；</w:t>
      </w:r>
    </w:p>
    <w:p w14:paraId="203E67E8"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（4）发生《基金法》或其他法律法规规定的终止事项。</w:t>
      </w:r>
    </w:p>
    <w:p w14:paraId="1524FE8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根据《基金法》、《关于货币市场基金提前支取定期存款有关问题的通知》等法律法规的规定，本基金管理人和基金托管人于2006年7月签订了《关于货币市场基金提前支取定期存款有关问题的协议》，作为托管协议的补充。</w:t>
      </w:r>
    </w:p>
    <w:p w14:paraId="47466E2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FD46A1" w14:textId="77777777" w:rsidR="00007225" w:rsidRDefault="00F07F0D">
      <w:pPr>
        <w:pStyle w:val="1"/>
        <w:snapToGrid w:val="0"/>
        <w:spacing w:beforeLines="0" w:before="240" w:after="240"/>
        <w:rPr>
          <w:rFonts w:ascii="宋体" w:hAnsi="宋体"/>
          <w:szCs w:val="30"/>
        </w:rPr>
      </w:pPr>
      <w:bookmarkStart w:id="26" w:name="_Toc160021654"/>
      <w:r>
        <w:rPr>
          <w:rFonts w:ascii="Times New Roman" w:hAnsi="Times New Roman"/>
          <w:sz w:val="30"/>
        </w:rPr>
        <w:lastRenderedPageBreak/>
        <w:t>二十三、对基金份额持有人的服务</w:t>
      </w:r>
      <w:bookmarkEnd w:id="26"/>
    </w:p>
    <w:p w14:paraId="568B749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3F059B0E"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14:paraId="551A30C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1、每次交易结束后，投资者可在T+2个工作日后通过销售机构的网点查询和打印确认单。</w:t>
      </w:r>
    </w:p>
    <w:p w14:paraId="68CDB062"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35F48FFF"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0244EEC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人可以直接通过本基金管理人网站的网上直销交易平台办理开户和本基金的赎回、定期定额投资和转换等业务。通过网上直销交易平台办理本基金转换出业务的个人投资者将享受转换费中相应申购补差费率的优惠，其他费率标准不变。具体优惠费率请参见公司网站列示的网上直销定期定额投资及转换费率表或相关公告。本公司基金网上直销业务已开通的银行卡及各银行卡交易金额限额请参阅本公司网站。</w:t>
      </w:r>
    </w:p>
    <w:p w14:paraId="2989D4B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在条件成熟的时候，本基金管理人将根据基金网上直销交易业务的发展状况，适时调整可用于基金网上直销交易平台的银行卡种类，敬请个人投资者留意相关公告。</w:t>
      </w:r>
    </w:p>
    <w:p w14:paraId="27B12FD8"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53853C0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认购、申购和赎回等交易情况、分红方式状态、基金账户余额、基金产品与服务等信息，请拨打本基金管理人客户服务电话（400-700-5000，021-61055000）或登录本基金管理人网站（www.fund001.com）进行咨询、查询。</w:t>
      </w:r>
    </w:p>
    <w:p w14:paraId="395C81C1"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或收到账户通知书后，及时拨打本基金管理人客户服务电话修改基金查询密码。</w:t>
      </w:r>
    </w:p>
    <w:p w14:paraId="2CEA9F3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14:paraId="3FEA82C7"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（四）定期定额投资计划和转换业务</w:t>
      </w:r>
    </w:p>
    <w:p w14:paraId="22A7F3E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本基金已开通定期定额投资计划和转换业务，具体实施方法请参见相关公告。</w:t>
      </w:r>
    </w:p>
    <w:p w14:paraId="2045603B"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2089737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541EEF9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41D9AA5A"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56691144"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17C83DFD" w14:textId="77777777" w:rsidR="00007225" w:rsidRDefault="00F07F0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（五）如本招募说明书存在任何您/贵机构无法理解的内容，请通过上述方式联系基金管理人。请确保投资前，您/贵机构已经全面理解了本招募说明书。</w:t>
      </w:r>
    </w:p>
    <w:p w14:paraId="77FED60B"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665A9D" w14:textId="77777777" w:rsidR="00007225" w:rsidRDefault="00F07F0D">
      <w:pPr>
        <w:pStyle w:val="1"/>
        <w:snapToGrid w:val="0"/>
        <w:spacing w:beforeLines="0" w:before="240" w:after="240"/>
        <w:rPr>
          <w:rFonts w:ascii="宋体" w:hAnsi="宋体"/>
          <w:szCs w:val="30"/>
        </w:rPr>
      </w:pPr>
      <w:bookmarkStart w:id="27" w:name="_Toc160021655"/>
      <w:r>
        <w:rPr>
          <w:rFonts w:ascii="Times New Roman" w:hAnsi="Times New Roman"/>
          <w:sz w:val="30"/>
        </w:rPr>
        <w:lastRenderedPageBreak/>
        <w:t>二十四、其他应披露事项</w:t>
      </w:r>
      <w:bookmarkEnd w:id="27"/>
    </w:p>
    <w:p w14:paraId="1FAEDAD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120DCDC9"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07225" w14:paraId="31006C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9C588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6FD424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5CE58F90"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6DC1705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007225" w14:paraId="2FFD6B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52975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386126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交银施罗德基金管理有限公司关于交银施罗德货币市场证券投资基金调整非直销销售机构大额申购（转换转入、定期定额投资）业务限额的公告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197C825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A0E85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2022-05-30</w:t>
            </w:r>
          </w:p>
        </w:tc>
      </w:tr>
      <w:tr w:rsidR="00007225" w14:paraId="7F431A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C90E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6AEFBF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A81BE27"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68A307"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5F32C5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60AF0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428AAF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732A6E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3902F2"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322F66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CB987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2A5193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B</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2C478B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656FCDC"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2022-06-24</w:t>
            </w:r>
          </w:p>
        </w:tc>
      </w:tr>
      <w:tr w:rsidR="00007225" w14:paraId="38BDCD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8004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D2FF11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340605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BC9571"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007225" w14:paraId="0A83DF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81328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B7BC05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658E303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DC24FE"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007225" w14:paraId="3C0EC7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23A4F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27CB7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358F077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1D3F3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007225" w14:paraId="68F12E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FC951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DEF871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14:paraId="691E55F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D5ECFB"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007225" w14:paraId="3B7293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9B663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6FAD76D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6CB40F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B66CA3"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2022-09-29</w:t>
            </w:r>
          </w:p>
        </w:tc>
      </w:tr>
      <w:tr w:rsidR="00007225" w14:paraId="799C1C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9E64CA"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14:paraId="188D706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51CE84C"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10861C8"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r w:rsidR="00007225" w14:paraId="01D1F10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EB5735"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037D8E69"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2CCF2E4"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8ED6C5"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007225" w14:paraId="30F6CA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19540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CB8A892"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327DCCE"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4E96AA"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007225" w14:paraId="3E0650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CB382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3D36051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5C6D08EF"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FC95A9"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007225" w14:paraId="7637810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1C1FB"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5CBB7108"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交银施罗德货币市场证券投资基金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DEC1840"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6B08A6"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007225" w14:paraId="4386B8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5DB046"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7405941"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交银施罗德基金管理有限公司关于交银施罗德货币市场证券投资基金于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AACD4B3" w14:textId="77777777" w:rsidR="00007225" w:rsidRDefault="00F07F0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68B8CF" w14:textId="77777777" w:rsidR="00007225" w:rsidRDefault="00F07F0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bl>
    <w:p w14:paraId="22652997"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DF9556F" w14:textId="77777777" w:rsidR="00007225" w:rsidRDefault="00F07F0D">
      <w:pPr>
        <w:pStyle w:val="1"/>
        <w:snapToGrid w:val="0"/>
        <w:spacing w:beforeLines="0" w:before="240" w:after="240"/>
        <w:rPr>
          <w:rFonts w:ascii="宋体" w:hAnsi="宋体"/>
          <w:szCs w:val="30"/>
        </w:rPr>
      </w:pPr>
      <w:bookmarkStart w:id="28" w:name="_Toc160021656"/>
      <w:r>
        <w:rPr>
          <w:rFonts w:ascii="Times New Roman" w:hAnsi="Times New Roman"/>
          <w:sz w:val="30"/>
        </w:rPr>
        <w:lastRenderedPageBreak/>
        <w:t>二十五、招募说明书的存放及查阅方式</w:t>
      </w:r>
      <w:bookmarkEnd w:id="28"/>
    </w:p>
    <w:p w14:paraId="014F330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56666E9C"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32AE3E4D" w14:textId="77777777" w:rsidR="0041517B" w:rsidRDefault="00F07F0D" w:rsidP="0041517B">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198D6EE" w14:textId="77777777" w:rsidR="00007225" w:rsidRDefault="00F07F0D">
      <w:pPr>
        <w:pStyle w:val="1"/>
        <w:snapToGrid w:val="0"/>
        <w:spacing w:beforeLines="0" w:before="240" w:after="240"/>
        <w:rPr>
          <w:rFonts w:ascii="宋体" w:hAnsi="宋体"/>
          <w:szCs w:val="30"/>
        </w:rPr>
      </w:pPr>
      <w:bookmarkStart w:id="29" w:name="_Toc160021657"/>
      <w:r>
        <w:rPr>
          <w:rFonts w:ascii="Times New Roman" w:hAnsi="Times New Roman"/>
          <w:sz w:val="30"/>
        </w:rPr>
        <w:lastRenderedPageBreak/>
        <w:t>二十六、备查文件</w:t>
      </w:r>
      <w:bookmarkEnd w:id="29"/>
    </w:p>
    <w:p w14:paraId="3F7A42D3"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506274BD"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（一）中国证监会批准交银施罗德货币市场证券投资基金募集的文件；</w:t>
      </w:r>
    </w:p>
    <w:p w14:paraId="6C255990"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（二）《交银施罗德货币市场证券投资基金基金合同》；</w:t>
      </w:r>
    </w:p>
    <w:p w14:paraId="6FE9E085"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（三）《交银施罗德货币市场证券投资基金托管协议》；</w:t>
      </w:r>
    </w:p>
    <w:p w14:paraId="7A574E37"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2609696"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4E7D9CAF" w14:textId="77777777" w:rsidR="00007225" w:rsidRDefault="00F07F0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（六）关于募集交银施罗德货币市场证券投资基金之法律意见书。</w:t>
      </w:r>
    </w:p>
    <w:sectPr w:rsidR="00007225">
      <w:footerReference w:type="default" r:id="rId19"/>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D10036" w16cid:durableId="297EFB00"/>
  <w16cid:commentId w16cid:paraId="49B6399C" w16cid:durableId="297EFB01"/>
  <w16cid:commentId w16cid:paraId="7B4D56FA" w16cid:durableId="297EFB02"/>
  <w16cid:commentId w16cid:paraId="52990879" w16cid:durableId="297EFEFC"/>
  <w16cid:commentId w16cid:paraId="383CDBAF" w16cid:durableId="297F007B"/>
  <w16cid:commentId w16cid:paraId="5CE4B923" w16cid:durableId="297F95DB"/>
  <w16cid:commentId w16cid:paraId="6D182A9C" w16cid:durableId="297F96ED"/>
  <w16cid:commentId w16cid:paraId="055E15E0" w16cid:durableId="297F97C9"/>
  <w16cid:commentId w16cid:paraId="1EB7CE2D" w16cid:durableId="297FA62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A77AE" w14:textId="77777777" w:rsidR="00062517" w:rsidRDefault="00062517">
      <w:r>
        <w:separator/>
      </w:r>
    </w:p>
  </w:endnote>
  <w:endnote w:type="continuationSeparator" w:id="0">
    <w:p w14:paraId="20185FFF" w14:textId="77777777" w:rsidR="00062517" w:rsidRDefault="0006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A122" w14:textId="0003C837" w:rsidR="003B1250" w:rsidRDefault="003B125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646670F4" wp14:editId="242D7C3C">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0F121" w14:textId="25A4FF78" w:rsidR="003B1250" w:rsidRDefault="003B125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A5013">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670F4"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43D0F121" w14:textId="25A4FF78" w:rsidR="003B1250" w:rsidRDefault="003B125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A5013">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69CE9" w14:textId="3F63C25E" w:rsidR="003B1250" w:rsidRDefault="003B1250">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33E3C387" wp14:editId="1B81032E">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28FAA" w14:textId="4178280E" w:rsidR="003B1250" w:rsidRDefault="003B125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A5013">
                            <w:rPr>
                              <w:rFonts w:ascii="Times New Roman" w:hAnsi="Times New Roman"/>
                              <w:noProof/>
                              <w:kern w:val="0"/>
                              <w:sz w:val="18"/>
                              <w:szCs w:val="18"/>
                            </w:rPr>
                            <w:t>11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E3C387"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1E28FAA" w14:textId="4178280E" w:rsidR="003B1250" w:rsidRDefault="003B1250">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A5013">
                      <w:rPr>
                        <w:rFonts w:ascii="Times New Roman" w:hAnsi="Times New Roman"/>
                        <w:noProof/>
                        <w:kern w:val="0"/>
                        <w:sz w:val="18"/>
                        <w:szCs w:val="18"/>
                      </w:rPr>
                      <w:t>11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01C" w14:textId="77777777" w:rsidR="00062517" w:rsidRDefault="00062517">
      <w:r>
        <w:separator/>
      </w:r>
    </w:p>
  </w:footnote>
  <w:footnote w:type="continuationSeparator" w:id="0">
    <w:p w14:paraId="441B0EAC" w14:textId="77777777" w:rsidR="00062517" w:rsidRDefault="0006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7CF" w14:textId="4F771004" w:rsidR="003B1250" w:rsidRDefault="003B1250">
    <w:pPr>
      <w:pStyle w:val="a3"/>
      <w:jc w:val="right"/>
    </w:pPr>
    <w:r>
      <w:rPr>
        <w:noProof/>
      </w:rPr>
      <w:drawing>
        <wp:anchor distT="0" distB="0" distL="114300" distR="114300" simplePos="0" relativeHeight="251655680" behindDoc="0" locked="0" layoutInCell="1" allowOverlap="1" wp14:anchorId="68E99783" wp14:editId="4A162ADC">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6523E760" w14:textId="77777777" w:rsidR="003B1250" w:rsidRDefault="003B1250">
    <w:pPr>
      <w:pStyle w:val="a3"/>
      <w:jc w:val="right"/>
      <w:rPr>
        <w:rFonts w:ascii="宋体" w:hAnsi="宋体"/>
      </w:rPr>
    </w:pPr>
    <w:r>
      <w:rPr>
        <w:rFonts w:ascii="宋体" w:hAnsi="宋体" w:hint="eastAsia"/>
      </w:rPr>
      <w:t>交银施罗德货币市场证券投资基金(更新)招募说明书(2023年第1号)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566BE" w14:textId="77777777" w:rsidR="003B1250" w:rsidRDefault="003B1250">
    <w:pPr>
      <w:pStyle w:val="11"/>
      <w:jc w:val="right"/>
    </w:pPr>
  </w:p>
  <w:p w14:paraId="6E3384FA" w14:textId="77777777" w:rsidR="003B1250" w:rsidRDefault="003B1250">
    <w:pPr>
      <w:pStyle w:val="11"/>
      <w:jc w:val="right"/>
    </w:pPr>
  </w:p>
  <w:p w14:paraId="498151B2" w14:textId="77777777" w:rsidR="003B1250" w:rsidRDefault="003B1250">
    <w:pPr>
      <w:pStyle w:val="a3"/>
      <w:jc w:val="right"/>
    </w:pPr>
  </w:p>
  <w:p w14:paraId="012802A5" w14:textId="4EB96405" w:rsidR="003B1250" w:rsidRDefault="003B1250">
    <w:pPr>
      <w:pStyle w:val="a3"/>
      <w:jc w:val="right"/>
    </w:pPr>
    <w:r>
      <w:rPr>
        <w:noProof/>
      </w:rPr>
      <w:drawing>
        <wp:anchor distT="0" distB="0" distL="114300" distR="114300" simplePos="0" relativeHeight="251656704" behindDoc="0" locked="0" layoutInCell="1" allowOverlap="1" wp14:anchorId="49081DDA" wp14:editId="43C098F9">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6FA1369" w14:textId="2F0734F7" w:rsidR="003B1250" w:rsidRDefault="003B1250">
    <w:pPr>
      <w:pStyle w:val="a3"/>
      <w:jc w:val="right"/>
      <w:rPr>
        <w:rFonts w:ascii="宋体" w:hAnsi="宋体"/>
      </w:rPr>
    </w:pPr>
    <w:r>
      <w:rPr>
        <w:rFonts w:ascii="宋体" w:hAnsi="宋体" w:hint="eastAsia"/>
      </w:rPr>
      <w:t>交银施罗德货币市场证券投资基金(更新)招募说明书(202</w:t>
    </w:r>
    <w:r>
      <w:rPr>
        <w:rFonts w:ascii="宋体" w:hAnsi="宋体"/>
      </w:rPr>
      <w:t>4</w:t>
    </w:r>
    <w:r>
      <w:rPr>
        <w:rFonts w:ascii="宋体" w:hAnsi="宋体" w:hint="eastAsia"/>
      </w:rPr>
      <w:t>年第</w:t>
    </w:r>
    <w:r w:rsidR="00EA59C4">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C19B1" w14:textId="77777777" w:rsidR="003B1250" w:rsidRDefault="003B1250">
    <w:pPr>
      <w:pStyle w:val="a3"/>
      <w:jc w:val="right"/>
    </w:pPr>
  </w:p>
  <w:p w14:paraId="2A327E95" w14:textId="77777777" w:rsidR="003B1250" w:rsidRDefault="003B1250">
    <w:pPr>
      <w:pStyle w:val="a3"/>
      <w:jc w:val="right"/>
    </w:pPr>
  </w:p>
  <w:p w14:paraId="6E2EE787" w14:textId="77777777" w:rsidR="003B1250" w:rsidRDefault="003B1250">
    <w:pPr>
      <w:pStyle w:val="a3"/>
      <w:jc w:val="right"/>
    </w:pPr>
  </w:p>
  <w:p w14:paraId="1875183D" w14:textId="5875B661" w:rsidR="003B1250" w:rsidRDefault="003B1250">
    <w:pPr>
      <w:pStyle w:val="a3"/>
      <w:jc w:val="right"/>
    </w:pPr>
    <w:r>
      <w:rPr>
        <w:noProof/>
      </w:rPr>
      <w:drawing>
        <wp:anchor distT="0" distB="0" distL="114300" distR="114300" simplePos="0" relativeHeight="251657728" behindDoc="0" locked="0" layoutInCell="1" allowOverlap="1" wp14:anchorId="576E0C89" wp14:editId="1B0CE339">
          <wp:simplePos x="0" y="0"/>
          <wp:positionH relativeFrom="column">
            <wp:posOffset>19050</wp:posOffset>
          </wp:positionH>
          <wp:positionV relativeFrom="paragraph">
            <wp:posOffset>-152400</wp:posOffset>
          </wp:positionV>
          <wp:extent cx="1714500" cy="238125"/>
          <wp:effectExtent l="0" t="0" r="0" b="0"/>
          <wp:wrapNone/>
          <wp:docPr id="10"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F2F88BE" w14:textId="61219285" w:rsidR="003B1250" w:rsidRDefault="003B1250">
    <w:pPr>
      <w:pStyle w:val="a3"/>
      <w:jc w:val="right"/>
      <w:rPr>
        <w:rFonts w:ascii="宋体" w:hAnsi="宋体"/>
      </w:rPr>
    </w:pPr>
    <w:r>
      <w:rPr>
        <w:rFonts w:ascii="宋体" w:hAnsi="宋体" w:hint="eastAsia"/>
      </w:rPr>
      <w:t>交银施罗德货币市场证券投资基金(更新)招募说明书(202</w:t>
    </w:r>
    <w:r>
      <w:rPr>
        <w:rFonts w:ascii="宋体" w:hAnsi="宋体"/>
      </w:rPr>
      <w:t>4</w:t>
    </w:r>
    <w:r>
      <w:rPr>
        <w:rFonts w:ascii="宋体" w:hAnsi="宋体" w:hint="eastAsia"/>
      </w:rPr>
      <w:t>年第</w:t>
    </w:r>
    <w:r w:rsidR="00EA59C4">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2A9D"/>
    <w:rsid w:val="00003EC9"/>
    <w:rsid w:val="0000560A"/>
    <w:rsid w:val="00005BDF"/>
    <w:rsid w:val="00007225"/>
    <w:rsid w:val="00011B0C"/>
    <w:rsid w:val="0001266E"/>
    <w:rsid w:val="000265DF"/>
    <w:rsid w:val="00026A29"/>
    <w:rsid w:val="00026D00"/>
    <w:rsid w:val="00027C73"/>
    <w:rsid w:val="000307C3"/>
    <w:rsid w:val="00030964"/>
    <w:rsid w:val="00030F3E"/>
    <w:rsid w:val="000368A2"/>
    <w:rsid w:val="00044AFD"/>
    <w:rsid w:val="00044E2C"/>
    <w:rsid w:val="000457B7"/>
    <w:rsid w:val="0004614E"/>
    <w:rsid w:val="00046212"/>
    <w:rsid w:val="00047C67"/>
    <w:rsid w:val="000500B8"/>
    <w:rsid w:val="000506ED"/>
    <w:rsid w:val="000543D5"/>
    <w:rsid w:val="00055792"/>
    <w:rsid w:val="00055F52"/>
    <w:rsid w:val="00061C0D"/>
    <w:rsid w:val="0006212F"/>
    <w:rsid w:val="0006220F"/>
    <w:rsid w:val="00062517"/>
    <w:rsid w:val="00064752"/>
    <w:rsid w:val="000647B8"/>
    <w:rsid w:val="0006506B"/>
    <w:rsid w:val="0006551A"/>
    <w:rsid w:val="000700AC"/>
    <w:rsid w:val="000705A6"/>
    <w:rsid w:val="00073D5A"/>
    <w:rsid w:val="000758EF"/>
    <w:rsid w:val="0007638A"/>
    <w:rsid w:val="00076B6E"/>
    <w:rsid w:val="00076DFD"/>
    <w:rsid w:val="000816EA"/>
    <w:rsid w:val="00081744"/>
    <w:rsid w:val="0008288E"/>
    <w:rsid w:val="000828CE"/>
    <w:rsid w:val="000833CB"/>
    <w:rsid w:val="00083491"/>
    <w:rsid w:val="00084078"/>
    <w:rsid w:val="000843B3"/>
    <w:rsid w:val="000869C2"/>
    <w:rsid w:val="00087F4C"/>
    <w:rsid w:val="00090648"/>
    <w:rsid w:val="00093482"/>
    <w:rsid w:val="00094253"/>
    <w:rsid w:val="00095030"/>
    <w:rsid w:val="00097CD3"/>
    <w:rsid w:val="000A01A0"/>
    <w:rsid w:val="000A1A07"/>
    <w:rsid w:val="000A352B"/>
    <w:rsid w:val="000B0F8B"/>
    <w:rsid w:val="000B3566"/>
    <w:rsid w:val="000B359E"/>
    <w:rsid w:val="000B3894"/>
    <w:rsid w:val="000B4E04"/>
    <w:rsid w:val="000B5317"/>
    <w:rsid w:val="000B74AB"/>
    <w:rsid w:val="000C1E1E"/>
    <w:rsid w:val="000C3013"/>
    <w:rsid w:val="000C38F1"/>
    <w:rsid w:val="000C4028"/>
    <w:rsid w:val="000C45C9"/>
    <w:rsid w:val="000C5E77"/>
    <w:rsid w:val="000C68E9"/>
    <w:rsid w:val="000D0ADE"/>
    <w:rsid w:val="000D119F"/>
    <w:rsid w:val="000D179E"/>
    <w:rsid w:val="000D554C"/>
    <w:rsid w:val="000D65D2"/>
    <w:rsid w:val="000D66DC"/>
    <w:rsid w:val="000E1306"/>
    <w:rsid w:val="000E1F3B"/>
    <w:rsid w:val="000E3AB4"/>
    <w:rsid w:val="000E7544"/>
    <w:rsid w:val="000F0C17"/>
    <w:rsid w:val="000F1998"/>
    <w:rsid w:val="000F1C06"/>
    <w:rsid w:val="000F2904"/>
    <w:rsid w:val="000F331D"/>
    <w:rsid w:val="000F34A1"/>
    <w:rsid w:val="000F5226"/>
    <w:rsid w:val="000F5583"/>
    <w:rsid w:val="000F6050"/>
    <w:rsid w:val="000F66FF"/>
    <w:rsid w:val="000F698D"/>
    <w:rsid w:val="000F7D42"/>
    <w:rsid w:val="001008A5"/>
    <w:rsid w:val="00100C86"/>
    <w:rsid w:val="0011339C"/>
    <w:rsid w:val="001135B0"/>
    <w:rsid w:val="00113815"/>
    <w:rsid w:val="00113FAA"/>
    <w:rsid w:val="00115AE5"/>
    <w:rsid w:val="00116489"/>
    <w:rsid w:val="0011648B"/>
    <w:rsid w:val="001166C1"/>
    <w:rsid w:val="00116874"/>
    <w:rsid w:val="001177A3"/>
    <w:rsid w:val="00117BCE"/>
    <w:rsid w:val="001237E7"/>
    <w:rsid w:val="001240EB"/>
    <w:rsid w:val="0012443D"/>
    <w:rsid w:val="00127053"/>
    <w:rsid w:val="001304D1"/>
    <w:rsid w:val="0013182D"/>
    <w:rsid w:val="00131CEE"/>
    <w:rsid w:val="0013315B"/>
    <w:rsid w:val="00134FCF"/>
    <w:rsid w:val="00135AD8"/>
    <w:rsid w:val="0013630D"/>
    <w:rsid w:val="001367F2"/>
    <w:rsid w:val="00140523"/>
    <w:rsid w:val="001412E8"/>
    <w:rsid w:val="00141A60"/>
    <w:rsid w:val="0014245F"/>
    <w:rsid w:val="0014250F"/>
    <w:rsid w:val="00143D22"/>
    <w:rsid w:val="00144B52"/>
    <w:rsid w:val="001537E1"/>
    <w:rsid w:val="00153D66"/>
    <w:rsid w:val="0015725E"/>
    <w:rsid w:val="00162149"/>
    <w:rsid w:val="001622C1"/>
    <w:rsid w:val="00162F69"/>
    <w:rsid w:val="00164946"/>
    <w:rsid w:val="00165756"/>
    <w:rsid w:val="00165BC1"/>
    <w:rsid w:val="0017362C"/>
    <w:rsid w:val="0017392F"/>
    <w:rsid w:val="00177B09"/>
    <w:rsid w:val="0018184C"/>
    <w:rsid w:val="0018198F"/>
    <w:rsid w:val="00181C62"/>
    <w:rsid w:val="00181FD5"/>
    <w:rsid w:val="00183642"/>
    <w:rsid w:val="001860C4"/>
    <w:rsid w:val="00186FAE"/>
    <w:rsid w:val="001917D4"/>
    <w:rsid w:val="001917FC"/>
    <w:rsid w:val="00191D7F"/>
    <w:rsid w:val="001925A2"/>
    <w:rsid w:val="00192C60"/>
    <w:rsid w:val="00195218"/>
    <w:rsid w:val="00197098"/>
    <w:rsid w:val="001979BE"/>
    <w:rsid w:val="00197A55"/>
    <w:rsid w:val="00197F7E"/>
    <w:rsid w:val="001A1623"/>
    <w:rsid w:val="001A2263"/>
    <w:rsid w:val="001B1535"/>
    <w:rsid w:val="001B1F8C"/>
    <w:rsid w:val="001B4531"/>
    <w:rsid w:val="001B5BDB"/>
    <w:rsid w:val="001B5BEF"/>
    <w:rsid w:val="001B75F9"/>
    <w:rsid w:val="001C2B9E"/>
    <w:rsid w:val="001C38DA"/>
    <w:rsid w:val="001C7A48"/>
    <w:rsid w:val="001C7B62"/>
    <w:rsid w:val="001C7C12"/>
    <w:rsid w:val="001D2797"/>
    <w:rsid w:val="001D2B67"/>
    <w:rsid w:val="001D3730"/>
    <w:rsid w:val="001D4727"/>
    <w:rsid w:val="001D5665"/>
    <w:rsid w:val="001D61DC"/>
    <w:rsid w:val="001D6377"/>
    <w:rsid w:val="001D68A8"/>
    <w:rsid w:val="001D6B88"/>
    <w:rsid w:val="001D6C5F"/>
    <w:rsid w:val="001D72AB"/>
    <w:rsid w:val="001D7ECC"/>
    <w:rsid w:val="001E144C"/>
    <w:rsid w:val="001E25FD"/>
    <w:rsid w:val="001E2A4F"/>
    <w:rsid w:val="001E3F8F"/>
    <w:rsid w:val="001E5250"/>
    <w:rsid w:val="001F05AF"/>
    <w:rsid w:val="001F33EB"/>
    <w:rsid w:val="001F4DEA"/>
    <w:rsid w:val="001F4ECB"/>
    <w:rsid w:val="001F7353"/>
    <w:rsid w:val="001F7E98"/>
    <w:rsid w:val="00201F27"/>
    <w:rsid w:val="00201F9B"/>
    <w:rsid w:val="00203597"/>
    <w:rsid w:val="0020546F"/>
    <w:rsid w:val="002076AC"/>
    <w:rsid w:val="00212B27"/>
    <w:rsid w:val="00212BBA"/>
    <w:rsid w:val="0021469C"/>
    <w:rsid w:val="00215523"/>
    <w:rsid w:val="00216962"/>
    <w:rsid w:val="00217CA4"/>
    <w:rsid w:val="00221112"/>
    <w:rsid w:val="00221A1B"/>
    <w:rsid w:val="00221DD4"/>
    <w:rsid w:val="002220A4"/>
    <w:rsid w:val="00223C19"/>
    <w:rsid w:val="00224421"/>
    <w:rsid w:val="00226503"/>
    <w:rsid w:val="00226A60"/>
    <w:rsid w:val="0022791F"/>
    <w:rsid w:val="00232334"/>
    <w:rsid w:val="0023578C"/>
    <w:rsid w:val="00235AC5"/>
    <w:rsid w:val="002377E0"/>
    <w:rsid w:val="00240BB6"/>
    <w:rsid w:val="002415F1"/>
    <w:rsid w:val="002432CA"/>
    <w:rsid w:val="00243D40"/>
    <w:rsid w:val="00243E65"/>
    <w:rsid w:val="00245250"/>
    <w:rsid w:val="00245870"/>
    <w:rsid w:val="002477CB"/>
    <w:rsid w:val="00247BF6"/>
    <w:rsid w:val="00250A33"/>
    <w:rsid w:val="00251126"/>
    <w:rsid w:val="002524D2"/>
    <w:rsid w:val="00252802"/>
    <w:rsid w:val="00261A50"/>
    <w:rsid w:val="002634C3"/>
    <w:rsid w:val="00265B3A"/>
    <w:rsid w:val="0027052E"/>
    <w:rsid w:val="00270F42"/>
    <w:rsid w:val="00271E9D"/>
    <w:rsid w:val="00271F7D"/>
    <w:rsid w:val="00272186"/>
    <w:rsid w:val="00272229"/>
    <w:rsid w:val="00272E40"/>
    <w:rsid w:val="00274E85"/>
    <w:rsid w:val="002777F6"/>
    <w:rsid w:val="00277907"/>
    <w:rsid w:val="00280C42"/>
    <w:rsid w:val="0028193D"/>
    <w:rsid w:val="00281B73"/>
    <w:rsid w:val="00283258"/>
    <w:rsid w:val="002833C9"/>
    <w:rsid w:val="00285E5C"/>
    <w:rsid w:val="00286EE9"/>
    <w:rsid w:val="00290B63"/>
    <w:rsid w:val="00290E73"/>
    <w:rsid w:val="00291931"/>
    <w:rsid w:val="00293415"/>
    <w:rsid w:val="00294689"/>
    <w:rsid w:val="0029539A"/>
    <w:rsid w:val="002A02EC"/>
    <w:rsid w:val="002A1A82"/>
    <w:rsid w:val="002A2FB0"/>
    <w:rsid w:val="002A36C8"/>
    <w:rsid w:val="002A4D32"/>
    <w:rsid w:val="002A5F87"/>
    <w:rsid w:val="002B017B"/>
    <w:rsid w:val="002B0DC0"/>
    <w:rsid w:val="002B2664"/>
    <w:rsid w:val="002B4E21"/>
    <w:rsid w:val="002B5000"/>
    <w:rsid w:val="002B78AA"/>
    <w:rsid w:val="002C383C"/>
    <w:rsid w:val="002D15BB"/>
    <w:rsid w:val="002D1C13"/>
    <w:rsid w:val="002D208E"/>
    <w:rsid w:val="002D3109"/>
    <w:rsid w:val="002D32F8"/>
    <w:rsid w:val="002D378C"/>
    <w:rsid w:val="002D6413"/>
    <w:rsid w:val="002D6F14"/>
    <w:rsid w:val="002D74D5"/>
    <w:rsid w:val="002E1051"/>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06B90"/>
    <w:rsid w:val="003117B9"/>
    <w:rsid w:val="00311C71"/>
    <w:rsid w:val="00313073"/>
    <w:rsid w:val="0031336C"/>
    <w:rsid w:val="0031339F"/>
    <w:rsid w:val="00313F3E"/>
    <w:rsid w:val="00316BB0"/>
    <w:rsid w:val="0031793E"/>
    <w:rsid w:val="00317F44"/>
    <w:rsid w:val="00323F65"/>
    <w:rsid w:val="00326147"/>
    <w:rsid w:val="0033051E"/>
    <w:rsid w:val="0033401D"/>
    <w:rsid w:val="00334456"/>
    <w:rsid w:val="00336150"/>
    <w:rsid w:val="00336E99"/>
    <w:rsid w:val="003377A7"/>
    <w:rsid w:val="00342417"/>
    <w:rsid w:val="003454EC"/>
    <w:rsid w:val="00346537"/>
    <w:rsid w:val="00346BA0"/>
    <w:rsid w:val="00347B94"/>
    <w:rsid w:val="003527DD"/>
    <w:rsid w:val="003547A2"/>
    <w:rsid w:val="00355171"/>
    <w:rsid w:val="00362702"/>
    <w:rsid w:val="00362A37"/>
    <w:rsid w:val="00362CF0"/>
    <w:rsid w:val="00362D5D"/>
    <w:rsid w:val="00364AC5"/>
    <w:rsid w:val="00365D15"/>
    <w:rsid w:val="00366507"/>
    <w:rsid w:val="0036702F"/>
    <w:rsid w:val="00367F3A"/>
    <w:rsid w:val="00370BDF"/>
    <w:rsid w:val="003728D4"/>
    <w:rsid w:val="00372FA2"/>
    <w:rsid w:val="003735E9"/>
    <w:rsid w:val="003739FE"/>
    <w:rsid w:val="003749D5"/>
    <w:rsid w:val="003812D8"/>
    <w:rsid w:val="0038254F"/>
    <w:rsid w:val="003828EC"/>
    <w:rsid w:val="00382A41"/>
    <w:rsid w:val="00383488"/>
    <w:rsid w:val="003843BB"/>
    <w:rsid w:val="003859DA"/>
    <w:rsid w:val="00386153"/>
    <w:rsid w:val="00386BA7"/>
    <w:rsid w:val="00390B48"/>
    <w:rsid w:val="0039213A"/>
    <w:rsid w:val="00393BF6"/>
    <w:rsid w:val="00395D4D"/>
    <w:rsid w:val="00396D64"/>
    <w:rsid w:val="00397774"/>
    <w:rsid w:val="00397A06"/>
    <w:rsid w:val="003A0FAF"/>
    <w:rsid w:val="003A38BD"/>
    <w:rsid w:val="003A38C8"/>
    <w:rsid w:val="003A6045"/>
    <w:rsid w:val="003A72D0"/>
    <w:rsid w:val="003B1250"/>
    <w:rsid w:val="003B16B4"/>
    <w:rsid w:val="003B22FD"/>
    <w:rsid w:val="003B3004"/>
    <w:rsid w:val="003B3A47"/>
    <w:rsid w:val="003B4168"/>
    <w:rsid w:val="003B42FF"/>
    <w:rsid w:val="003B62D2"/>
    <w:rsid w:val="003B66A3"/>
    <w:rsid w:val="003C27F7"/>
    <w:rsid w:val="003C62C1"/>
    <w:rsid w:val="003C6FA4"/>
    <w:rsid w:val="003D0481"/>
    <w:rsid w:val="003D05B2"/>
    <w:rsid w:val="003D0B3E"/>
    <w:rsid w:val="003D1624"/>
    <w:rsid w:val="003D2352"/>
    <w:rsid w:val="003D24D2"/>
    <w:rsid w:val="003D3863"/>
    <w:rsid w:val="003D3D0A"/>
    <w:rsid w:val="003E0493"/>
    <w:rsid w:val="003E0800"/>
    <w:rsid w:val="003E1584"/>
    <w:rsid w:val="003E33DE"/>
    <w:rsid w:val="003E3593"/>
    <w:rsid w:val="003E4C58"/>
    <w:rsid w:val="003E585F"/>
    <w:rsid w:val="003E6049"/>
    <w:rsid w:val="003E67F9"/>
    <w:rsid w:val="003F0D27"/>
    <w:rsid w:val="003F1C98"/>
    <w:rsid w:val="003F2D08"/>
    <w:rsid w:val="003F317C"/>
    <w:rsid w:val="003F4813"/>
    <w:rsid w:val="003F62A2"/>
    <w:rsid w:val="00406654"/>
    <w:rsid w:val="00406E30"/>
    <w:rsid w:val="004107DA"/>
    <w:rsid w:val="0041100B"/>
    <w:rsid w:val="004114F3"/>
    <w:rsid w:val="00412894"/>
    <w:rsid w:val="004130C3"/>
    <w:rsid w:val="00413E71"/>
    <w:rsid w:val="0041517B"/>
    <w:rsid w:val="00421363"/>
    <w:rsid w:val="00421921"/>
    <w:rsid w:val="00422100"/>
    <w:rsid w:val="00425064"/>
    <w:rsid w:val="004254D3"/>
    <w:rsid w:val="00425529"/>
    <w:rsid w:val="0042746B"/>
    <w:rsid w:val="004305FD"/>
    <w:rsid w:val="0043258F"/>
    <w:rsid w:val="00433B69"/>
    <w:rsid w:val="00435F58"/>
    <w:rsid w:val="004369AD"/>
    <w:rsid w:val="00436DD6"/>
    <w:rsid w:val="00442BB9"/>
    <w:rsid w:val="00442E04"/>
    <w:rsid w:val="00444FB7"/>
    <w:rsid w:val="00450674"/>
    <w:rsid w:val="00450B1C"/>
    <w:rsid w:val="00451A96"/>
    <w:rsid w:val="004533FE"/>
    <w:rsid w:val="00454715"/>
    <w:rsid w:val="00454D80"/>
    <w:rsid w:val="00456785"/>
    <w:rsid w:val="00462EB0"/>
    <w:rsid w:val="00463933"/>
    <w:rsid w:val="00464346"/>
    <w:rsid w:val="00464848"/>
    <w:rsid w:val="00470325"/>
    <w:rsid w:val="00470F42"/>
    <w:rsid w:val="00471605"/>
    <w:rsid w:val="0047297A"/>
    <w:rsid w:val="00474709"/>
    <w:rsid w:val="00477867"/>
    <w:rsid w:val="00480184"/>
    <w:rsid w:val="00480516"/>
    <w:rsid w:val="00480658"/>
    <w:rsid w:val="00480D3C"/>
    <w:rsid w:val="0048170B"/>
    <w:rsid w:val="00481BD4"/>
    <w:rsid w:val="00482AA2"/>
    <w:rsid w:val="0048578F"/>
    <w:rsid w:val="0048579F"/>
    <w:rsid w:val="00487005"/>
    <w:rsid w:val="004901A7"/>
    <w:rsid w:val="00491776"/>
    <w:rsid w:val="004A084F"/>
    <w:rsid w:val="004A1FA1"/>
    <w:rsid w:val="004A20F3"/>
    <w:rsid w:val="004A2126"/>
    <w:rsid w:val="004A3225"/>
    <w:rsid w:val="004A3F90"/>
    <w:rsid w:val="004A5F59"/>
    <w:rsid w:val="004A6F1F"/>
    <w:rsid w:val="004B0471"/>
    <w:rsid w:val="004B17D8"/>
    <w:rsid w:val="004B2323"/>
    <w:rsid w:val="004B62C3"/>
    <w:rsid w:val="004B7466"/>
    <w:rsid w:val="004C0BC8"/>
    <w:rsid w:val="004C461A"/>
    <w:rsid w:val="004C603E"/>
    <w:rsid w:val="004C7D23"/>
    <w:rsid w:val="004D0783"/>
    <w:rsid w:val="004D11CB"/>
    <w:rsid w:val="004D29B2"/>
    <w:rsid w:val="004D49E3"/>
    <w:rsid w:val="004D7163"/>
    <w:rsid w:val="004E0366"/>
    <w:rsid w:val="004E1C30"/>
    <w:rsid w:val="004E3342"/>
    <w:rsid w:val="004E45AC"/>
    <w:rsid w:val="004E4672"/>
    <w:rsid w:val="004E4E8A"/>
    <w:rsid w:val="004E5593"/>
    <w:rsid w:val="004E682D"/>
    <w:rsid w:val="004E7A1E"/>
    <w:rsid w:val="004E7F1A"/>
    <w:rsid w:val="004F0352"/>
    <w:rsid w:val="004F0740"/>
    <w:rsid w:val="004F399D"/>
    <w:rsid w:val="004F415D"/>
    <w:rsid w:val="004F4980"/>
    <w:rsid w:val="004F66F4"/>
    <w:rsid w:val="004F7710"/>
    <w:rsid w:val="00502A45"/>
    <w:rsid w:val="0050542C"/>
    <w:rsid w:val="005067A1"/>
    <w:rsid w:val="005071FA"/>
    <w:rsid w:val="00510C89"/>
    <w:rsid w:val="00512DC1"/>
    <w:rsid w:val="00513927"/>
    <w:rsid w:val="00514C6B"/>
    <w:rsid w:val="005161EC"/>
    <w:rsid w:val="0051709F"/>
    <w:rsid w:val="005175EB"/>
    <w:rsid w:val="00521A18"/>
    <w:rsid w:val="00522079"/>
    <w:rsid w:val="00522622"/>
    <w:rsid w:val="0052450E"/>
    <w:rsid w:val="00525410"/>
    <w:rsid w:val="00530703"/>
    <w:rsid w:val="00530763"/>
    <w:rsid w:val="00534EFD"/>
    <w:rsid w:val="0053558B"/>
    <w:rsid w:val="005362F2"/>
    <w:rsid w:val="00542106"/>
    <w:rsid w:val="005439F8"/>
    <w:rsid w:val="00543B42"/>
    <w:rsid w:val="005449BF"/>
    <w:rsid w:val="0054651A"/>
    <w:rsid w:val="00546EA9"/>
    <w:rsid w:val="005474CD"/>
    <w:rsid w:val="005501B7"/>
    <w:rsid w:val="00550EB5"/>
    <w:rsid w:val="0055152E"/>
    <w:rsid w:val="00552094"/>
    <w:rsid w:val="00553D73"/>
    <w:rsid w:val="00554314"/>
    <w:rsid w:val="00554BAF"/>
    <w:rsid w:val="00555700"/>
    <w:rsid w:val="00555A15"/>
    <w:rsid w:val="00556291"/>
    <w:rsid w:val="005569E4"/>
    <w:rsid w:val="00560E11"/>
    <w:rsid w:val="00561147"/>
    <w:rsid w:val="00561463"/>
    <w:rsid w:val="00561F8F"/>
    <w:rsid w:val="0056223F"/>
    <w:rsid w:val="00563A0E"/>
    <w:rsid w:val="00563ED4"/>
    <w:rsid w:val="005647D0"/>
    <w:rsid w:val="00574C59"/>
    <w:rsid w:val="00576CE2"/>
    <w:rsid w:val="005770AC"/>
    <w:rsid w:val="00577C1A"/>
    <w:rsid w:val="00577FAA"/>
    <w:rsid w:val="0058041D"/>
    <w:rsid w:val="00581FE5"/>
    <w:rsid w:val="005826AA"/>
    <w:rsid w:val="00583CE7"/>
    <w:rsid w:val="005856E9"/>
    <w:rsid w:val="00585AF8"/>
    <w:rsid w:val="00585DBE"/>
    <w:rsid w:val="005867BB"/>
    <w:rsid w:val="00587452"/>
    <w:rsid w:val="005904C2"/>
    <w:rsid w:val="00590DBE"/>
    <w:rsid w:val="00591C2A"/>
    <w:rsid w:val="00592461"/>
    <w:rsid w:val="00592539"/>
    <w:rsid w:val="0059455F"/>
    <w:rsid w:val="00596A05"/>
    <w:rsid w:val="00596D6D"/>
    <w:rsid w:val="00597284"/>
    <w:rsid w:val="00597F8F"/>
    <w:rsid w:val="005A06C5"/>
    <w:rsid w:val="005A1EA2"/>
    <w:rsid w:val="005A2467"/>
    <w:rsid w:val="005A321F"/>
    <w:rsid w:val="005A5013"/>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C661C"/>
    <w:rsid w:val="005C67B6"/>
    <w:rsid w:val="005C6F03"/>
    <w:rsid w:val="005D0AA6"/>
    <w:rsid w:val="005D165F"/>
    <w:rsid w:val="005D21F3"/>
    <w:rsid w:val="005D3CF8"/>
    <w:rsid w:val="005D5531"/>
    <w:rsid w:val="005D5D89"/>
    <w:rsid w:val="005E0D2D"/>
    <w:rsid w:val="005E2ABC"/>
    <w:rsid w:val="005E3FB6"/>
    <w:rsid w:val="005F4583"/>
    <w:rsid w:val="005F4ABB"/>
    <w:rsid w:val="005F5A6D"/>
    <w:rsid w:val="005F6066"/>
    <w:rsid w:val="005F6562"/>
    <w:rsid w:val="005F6C6D"/>
    <w:rsid w:val="005F6F09"/>
    <w:rsid w:val="005F7183"/>
    <w:rsid w:val="005F787A"/>
    <w:rsid w:val="006019C7"/>
    <w:rsid w:val="00601E7B"/>
    <w:rsid w:val="00601EBC"/>
    <w:rsid w:val="00602D32"/>
    <w:rsid w:val="00603A84"/>
    <w:rsid w:val="00603B1A"/>
    <w:rsid w:val="006067DC"/>
    <w:rsid w:val="006104E9"/>
    <w:rsid w:val="00610629"/>
    <w:rsid w:val="00611BCD"/>
    <w:rsid w:val="0061258D"/>
    <w:rsid w:val="006142EC"/>
    <w:rsid w:val="006155A5"/>
    <w:rsid w:val="00617824"/>
    <w:rsid w:val="00623CE7"/>
    <w:rsid w:val="00624214"/>
    <w:rsid w:val="00625419"/>
    <w:rsid w:val="00626D1A"/>
    <w:rsid w:val="00627429"/>
    <w:rsid w:val="00627D0B"/>
    <w:rsid w:val="0063089C"/>
    <w:rsid w:val="00632A91"/>
    <w:rsid w:val="006345E8"/>
    <w:rsid w:val="0063765C"/>
    <w:rsid w:val="006403CB"/>
    <w:rsid w:val="006410B0"/>
    <w:rsid w:val="0064139F"/>
    <w:rsid w:val="00641404"/>
    <w:rsid w:val="00641EDA"/>
    <w:rsid w:val="0064250F"/>
    <w:rsid w:val="00642B97"/>
    <w:rsid w:val="00643680"/>
    <w:rsid w:val="006440D6"/>
    <w:rsid w:val="00644453"/>
    <w:rsid w:val="00644B32"/>
    <w:rsid w:val="0064639A"/>
    <w:rsid w:val="0064646F"/>
    <w:rsid w:val="00646523"/>
    <w:rsid w:val="00647BDD"/>
    <w:rsid w:val="0065273C"/>
    <w:rsid w:val="006530A1"/>
    <w:rsid w:val="00656A74"/>
    <w:rsid w:val="00657221"/>
    <w:rsid w:val="00657A9C"/>
    <w:rsid w:val="00661FC1"/>
    <w:rsid w:val="00663FED"/>
    <w:rsid w:val="00664B64"/>
    <w:rsid w:val="006678E3"/>
    <w:rsid w:val="00667A9C"/>
    <w:rsid w:val="006712E8"/>
    <w:rsid w:val="00671946"/>
    <w:rsid w:val="00677DA7"/>
    <w:rsid w:val="00680212"/>
    <w:rsid w:val="00680C90"/>
    <w:rsid w:val="00681036"/>
    <w:rsid w:val="006823AD"/>
    <w:rsid w:val="00682C29"/>
    <w:rsid w:val="00684495"/>
    <w:rsid w:val="00685872"/>
    <w:rsid w:val="00685AD7"/>
    <w:rsid w:val="00686049"/>
    <w:rsid w:val="00691963"/>
    <w:rsid w:val="00692124"/>
    <w:rsid w:val="00692D96"/>
    <w:rsid w:val="00693C96"/>
    <w:rsid w:val="00696339"/>
    <w:rsid w:val="00696982"/>
    <w:rsid w:val="006A2AAF"/>
    <w:rsid w:val="006A3C88"/>
    <w:rsid w:val="006A3F85"/>
    <w:rsid w:val="006A48FA"/>
    <w:rsid w:val="006A56F1"/>
    <w:rsid w:val="006A6E5C"/>
    <w:rsid w:val="006A729B"/>
    <w:rsid w:val="006B0486"/>
    <w:rsid w:val="006B0972"/>
    <w:rsid w:val="006B3153"/>
    <w:rsid w:val="006B5871"/>
    <w:rsid w:val="006B5F8E"/>
    <w:rsid w:val="006B6BB1"/>
    <w:rsid w:val="006B7212"/>
    <w:rsid w:val="006C084B"/>
    <w:rsid w:val="006C14C3"/>
    <w:rsid w:val="006C2DEE"/>
    <w:rsid w:val="006C4741"/>
    <w:rsid w:val="006C4B6F"/>
    <w:rsid w:val="006C589D"/>
    <w:rsid w:val="006C6DF7"/>
    <w:rsid w:val="006C769C"/>
    <w:rsid w:val="006C7A95"/>
    <w:rsid w:val="006D11E8"/>
    <w:rsid w:val="006D218F"/>
    <w:rsid w:val="006D4B0E"/>
    <w:rsid w:val="006D753C"/>
    <w:rsid w:val="006E0A00"/>
    <w:rsid w:val="006E1A48"/>
    <w:rsid w:val="006E306D"/>
    <w:rsid w:val="006E39F5"/>
    <w:rsid w:val="006E4BEC"/>
    <w:rsid w:val="006E4DF2"/>
    <w:rsid w:val="006E6968"/>
    <w:rsid w:val="006F04C6"/>
    <w:rsid w:val="006F08A0"/>
    <w:rsid w:val="006F2A97"/>
    <w:rsid w:val="006F6CE4"/>
    <w:rsid w:val="006F7AD7"/>
    <w:rsid w:val="006F7DC1"/>
    <w:rsid w:val="00702627"/>
    <w:rsid w:val="0070359F"/>
    <w:rsid w:val="0070464C"/>
    <w:rsid w:val="00705474"/>
    <w:rsid w:val="00705B46"/>
    <w:rsid w:val="007076B2"/>
    <w:rsid w:val="0071106D"/>
    <w:rsid w:val="00711BBB"/>
    <w:rsid w:val="0071340A"/>
    <w:rsid w:val="00713FC7"/>
    <w:rsid w:val="00716FD1"/>
    <w:rsid w:val="00720D0F"/>
    <w:rsid w:val="00720D81"/>
    <w:rsid w:val="007218A9"/>
    <w:rsid w:val="0072241C"/>
    <w:rsid w:val="007245A5"/>
    <w:rsid w:val="00725056"/>
    <w:rsid w:val="00725A55"/>
    <w:rsid w:val="00731628"/>
    <w:rsid w:val="00734108"/>
    <w:rsid w:val="007343AD"/>
    <w:rsid w:val="0073448D"/>
    <w:rsid w:val="00735087"/>
    <w:rsid w:val="00736FA0"/>
    <w:rsid w:val="0074053E"/>
    <w:rsid w:val="0075000E"/>
    <w:rsid w:val="00750A4D"/>
    <w:rsid w:val="00752156"/>
    <w:rsid w:val="00753A7A"/>
    <w:rsid w:val="00756E77"/>
    <w:rsid w:val="007577C2"/>
    <w:rsid w:val="0076038F"/>
    <w:rsid w:val="00760D77"/>
    <w:rsid w:val="007617E5"/>
    <w:rsid w:val="00765E6B"/>
    <w:rsid w:val="0077124E"/>
    <w:rsid w:val="00772FA7"/>
    <w:rsid w:val="00775444"/>
    <w:rsid w:val="0077578C"/>
    <w:rsid w:val="00780942"/>
    <w:rsid w:val="00781ACA"/>
    <w:rsid w:val="007820B5"/>
    <w:rsid w:val="007823CF"/>
    <w:rsid w:val="00783241"/>
    <w:rsid w:val="00783E35"/>
    <w:rsid w:val="00784F67"/>
    <w:rsid w:val="00785A2E"/>
    <w:rsid w:val="00786754"/>
    <w:rsid w:val="00786D49"/>
    <w:rsid w:val="00787061"/>
    <w:rsid w:val="00790C34"/>
    <w:rsid w:val="00790F0A"/>
    <w:rsid w:val="00790F5E"/>
    <w:rsid w:val="007921ED"/>
    <w:rsid w:val="007927A6"/>
    <w:rsid w:val="00795EF4"/>
    <w:rsid w:val="007966F0"/>
    <w:rsid w:val="00797F6E"/>
    <w:rsid w:val="007A07BB"/>
    <w:rsid w:val="007A1F4C"/>
    <w:rsid w:val="007A53F8"/>
    <w:rsid w:val="007B05BD"/>
    <w:rsid w:val="007B1E75"/>
    <w:rsid w:val="007B31A5"/>
    <w:rsid w:val="007B3327"/>
    <w:rsid w:val="007B3533"/>
    <w:rsid w:val="007B4996"/>
    <w:rsid w:val="007B4EBD"/>
    <w:rsid w:val="007B6926"/>
    <w:rsid w:val="007B6FA3"/>
    <w:rsid w:val="007B705D"/>
    <w:rsid w:val="007C09A5"/>
    <w:rsid w:val="007C3F99"/>
    <w:rsid w:val="007C5764"/>
    <w:rsid w:val="007C61D0"/>
    <w:rsid w:val="007C6314"/>
    <w:rsid w:val="007C6FAA"/>
    <w:rsid w:val="007C768F"/>
    <w:rsid w:val="007D0DA0"/>
    <w:rsid w:val="007D251F"/>
    <w:rsid w:val="007D4FA2"/>
    <w:rsid w:val="007D5055"/>
    <w:rsid w:val="007D719C"/>
    <w:rsid w:val="007D7D39"/>
    <w:rsid w:val="007E0874"/>
    <w:rsid w:val="007E0FAD"/>
    <w:rsid w:val="007E60E9"/>
    <w:rsid w:val="007E63F3"/>
    <w:rsid w:val="007E6F5A"/>
    <w:rsid w:val="007E7751"/>
    <w:rsid w:val="007F0916"/>
    <w:rsid w:val="007F1E7D"/>
    <w:rsid w:val="007F2A79"/>
    <w:rsid w:val="007F3026"/>
    <w:rsid w:val="007F42DD"/>
    <w:rsid w:val="007F4E0F"/>
    <w:rsid w:val="007F5C2A"/>
    <w:rsid w:val="007F6EE5"/>
    <w:rsid w:val="007F77CA"/>
    <w:rsid w:val="00800866"/>
    <w:rsid w:val="00800DC0"/>
    <w:rsid w:val="008011ED"/>
    <w:rsid w:val="00801636"/>
    <w:rsid w:val="00803227"/>
    <w:rsid w:val="00803935"/>
    <w:rsid w:val="008045D0"/>
    <w:rsid w:val="008059B8"/>
    <w:rsid w:val="00810333"/>
    <w:rsid w:val="00810D0D"/>
    <w:rsid w:val="0081415C"/>
    <w:rsid w:val="0081587E"/>
    <w:rsid w:val="0081590D"/>
    <w:rsid w:val="00815E57"/>
    <w:rsid w:val="008166F5"/>
    <w:rsid w:val="0081677E"/>
    <w:rsid w:val="00817467"/>
    <w:rsid w:val="0082043E"/>
    <w:rsid w:val="00821C25"/>
    <w:rsid w:val="00822905"/>
    <w:rsid w:val="0082299E"/>
    <w:rsid w:val="00827CD1"/>
    <w:rsid w:val="00827DCB"/>
    <w:rsid w:val="008300FC"/>
    <w:rsid w:val="00832164"/>
    <w:rsid w:val="00832F53"/>
    <w:rsid w:val="00834003"/>
    <w:rsid w:val="0083455F"/>
    <w:rsid w:val="00834EA0"/>
    <w:rsid w:val="008353D5"/>
    <w:rsid w:val="008379C2"/>
    <w:rsid w:val="00843042"/>
    <w:rsid w:val="00843C37"/>
    <w:rsid w:val="00844886"/>
    <w:rsid w:val="00844C2D"/>
    <w:rsid w:val="00846D68"/>
    <w:rsid w:val="008518E5"/>
    <w:rsid w:val="00852B15"/>
    <w:rsid w:val="00856135"/>
    <w:rsid w:val="00857A96"/>
    <w:rsid w:val="00857C46"/>
    <w:rsid w:val="00861FE5"/>
    <w:rsid w:val="00862721"/>
    <w:rsid w:val="0086376D"/>
    <w:rsid w:val="0086777B"/>
    <w:rsid w:val="008703C2"/>
    <w:rsid w:val="0087209F"/>
    <w:rsid w:val="00877EF7"/>
    <w:rsid w:val="00880221"/>
    <w:rsid w:val="008806CC"/>
    <w:rsid w:val="00880C4B"/>
    <w:rsid w:val="008849E6"/>
    <w:rsid w:val="0088513E"/>
    <w:rsid w:val="00886300"/>
    <w:rsid w:val="0089099F"/>
    <w:rsid w:val="00890AAF"/>
    <w:rsid w:val="00891DC5"/>
    <w:rsid w:val="00892F7A"/>
    <w:rsid w:val="00893F30"/>
    <w:rsid w:val="00894CEB"/>
    <w:rsid w:val="00896A62"/>
    <w:rsid w:val="00897B88"/>
    <w:rsid w:val="008A113D"/>
    <w:rsid w:val="008A678B"/>
    <w:rsid w:val="008A6D96"/>
    <w:rsid w:val="008B0034"/>
    <w:rsid w:val="008B0255"/>
    <w:rsid w:val="008B0702"/>
    <w:rsid w:val="008B2397"/>
    <w:rsid w:val="008B33B5"/>
    <w:rsid w:val="008B3CD6"/>
    <w:rsid w:val="008B43AD"/>
    <w:rsid w:val="008B4DCE"/>
    <w:rsid w:val="008B6003"/>
    <w:rsid w:val="008B691D"/>
    <w:rsid w:val="008C13B6"/>
    <w:rsid w:val="008C20B8"/>
    <w:rsid w:val="008C4AA2"/>
    <w:rsid w:val="008C4D11"/>
    <w:rsid w:val="008D33A4"/>
    <w:rsid w:val="008D54FA"/>
    <w:rsid w:val="008D5C05"/>
    <w:rsid w:val="008D6490"/>
    <w:rsid w:val="008D6FFD"/>
    <w:rsid w:val="008E1191"/>
    <w:rsid w:val="008E342E"/>
    <w:rsid w:val="008E4D9C"/>
    <w:rsid w:val="008E566D"/>
    <w:rsid w:val="008E588C"/>
    <w:rsid w:val="008F52D9"/>
    <w:rsid w:val="008F6BC6"/>
    <w:rsid w:val="00901DCC"/>
    <w:rsid w:val="009026A8"/>
    <w:rsid w:val="00902B4C"/>
    <w:rsid w:val="00903FC5"/>
    <w:rsid w:val="0090403F"/>
    <w:rsid w:val="009071FF"/>
    <w:rsid w:val="00910559"/>
    <w:rsid w:val="009108DB"/>
    <w:rsid w:val="009112EB"/>
    <w:rsid w:val="00912EE3"/>
    <w:rsid w:val="00913191"/>
    <w:rsid w:val="009131F2"/>
    <w:rsid w:val="00916431"/>
    <w:rsid w:val="00917DBE"/>
    <w:rsid w:val="0092048B"/>
    <w:rsid w:val="00920C1F"/>
    <w:rsid w:val="00922B65"/>
    <w:rsid w:val="00923891"/>
    <w:rsid w:val="0092605A"/>
    <w:rsid w:val="0092689A"/>
    <w:rsid w:val="0093228E"/>
    <w:rsid w:val="009325E1"/>
    <w:rsid w:val="009334F0"/>
    <w:rsid w:val="00933602"/>
    <w:rsid w:val="009338B2"/>
    <w:rsid w:val="009351EF"/>
    <w:rsid w:val="0093698F"/>
    <w:rsid w:val="0094035A"/>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33B8"/>
    <w:rsid w:val="0096419F"/>
    <w:rsid w:val="009649DC"/>
    <w:rsid w:val="00966EB2"/>
    <w:rsid w:val="00970C67"/>
    <w:rsid w:val="00971922"/>
    <w:rsid w:val="0097360B"/>
    <w:rsid w:val="00974456"/>
    <w:rsid w:val="00977547"/>
    <w:rsid w:val="009858E4"/>
    <w:rsid w:val="00990DCA"/>
    <w:rsid w:val="00991483"/>
    <w:rsid w:val="0099296D"/>
    <w:rsid w:val="009935AA"/>
    <w:rsid w:val="00993F94"/>
    <w:rsid w:val="009951B2"/>
    <w:rsid w:val="0099698C"/>
    <w:rsid w:val="00997567"/>
    <w:rsid w:val="009A039C"/>
    <w:rsid w:val="009A2859"/>
    <w:rsid w:val="009A4E90"/>
    <w:rsid w:val="009A50B8"/>
    <w:rsid w:val="009A737B"/>
    <w:rsid w:val="009B1823"/>
    <w:rsid w:val="009B406F"/>
    <w:rsid w:val="009B443A"/>
    <w:rsid w:val="009B4D09"/>
    <w:rsid w:val="009B636E"/>
    <w:rsid w:val="009B6DD1"/>
    <w:rsid w:val="009C1332"/>
    <w:rsid w:val="009C4A4F"/>
    <w:rsid w:val="009C55DB"/>
    <w:rsid w:val="009C6D34"/>
    <w:rsid w:val="009C7779"/>
    <w:rsid w:val="009D0DDD"/>
    <w:rsid w:val="009D2E97"/>
    <w:rsid w:val="009D328E"/>
    <w:rsid w:val="009D3438"/>
    <w:rsid w:val="009D3B88"/>
    <w:rsid w:val="009D40B6"/>
    <w:rsid w:val="009D4A0D"/>
    <w:rsid w:val="009D4D3A"/>
    <w:rsid w:val="009D673D"/>
    <w:rsid w:val="009D7AD4"/>
    <w:rsid w:val="009E1231"/>
    <w:rsid w:val="009E1A57"/>
    <w:rsid w:val="009E36CA"/>
    <w:rsid w:val="009E4B6B"/>
    <w:rsid w:val="009E5CC5"/>
    <w:rsid w:val="009E646D"/>
    <w:rsid w:val="009E6470"/>
    <w:rsid w:val="009E6CAE"/>
    <w:rsid w:val="009E7175"/>
    <w:rsid w:val="009F08CB"/>
    <w:rsid w:val="009F1E5E"/>
    <w:rsid w:val="009F497B"/>
    <w:rsid w:val="009F5331"/>
    <w:rsid w:val="009F6453"/>
    <w:rsid w:val="009F6AD6"/>
    <w:rsid w:val="009F6F30"/>
    <w:rsid w:val="009F7BFB"/>
    <w:rsid w:val="00A0081F"/>
    <w:rsid w:val="00A01B61"/>
    <w:rsid w:val="00A0208B"/>
    <w:rsid w:val="00A03BCB"/>
    <w:rsid w:val="00A048F3"/>
    <w:rsid w:val="00A04CA6"/>
    <w:rsid w:val="00A052DD"/>
    <w:rsid w:val="00A06E6F"/>
    <w:rsid w:val="00A12A49"/>
    <w:rsid w:val="00A135C4"/>
    <w:rsid w:val="00A13A3E"/>
    <w:rsid w:val="00A13CB5"/>
    <w:rsid w:val="00A13FEC"/>
    <w:rsid w:val="00A200C3"/>
    <w:rsid w:val="00A2101C"/>
    <w:rsid w:val="00A21103"/>
    <w:rsid w:val="00A21E3C"/>
    <w:rsid w:val="00A23419"/>
    <w:rsid w:val="00A2464C"/>
    <w:rsid w:val="00A24BBD"/>
    <w:rsid w:val="00A26D62"/>
    <w:rsid w:val="00A27D2E"/>
    <w:rsid w:val="00A30D78"/>
    <w:rsid w:val="00A31032"/>
    <w:rsid w:val="00A31CCF"/>
    <w:rsid w:val="00A32598"/>
    <w:rsid w:val="00A33EF8"/>
    <w:rsid w:val="00A3432E"/>
    <w:rsid w:val="00A40DFB"/>
    <w:rsid w:val="00A41A0E"/>
    <w:rsid w:val="00A435BF"/>
    <w:rsid w:val="00A448B0"/>
    <w:rsid w:val="00A46981"/>
    <w:rsid w:val="00A46ED8"/>
    <w:rsid w:val="00A50CCF"/>
    <w:rsid w:val="00A5210B"/>
    <w:rsid w:val="00A524EC"/>
    <w:rsid w:val="00A52F4A"/>
    <w:rsid w:val="00A531D6"/>
    <w:rsid w:val="00A54346"/>
    <w:rsid w:val="00A54BE2"/>
    <w:rsid w:val="00A55211"/>
    <w:rsid w:val="00A559DD"/>
    <w:rsid w:val="00A55E3E"/>
    <w:rsid w:val="00A56515"/>
    <w:rsid w:val="00A569C9"/>
    <w:rsid w:val="00A57E0C"/>
    <w:rsid w:val="00A6039D"/>
    <w:rsid w:val="00A631B5"/>
    <w:rsid w:val="00A63351"/>
    <w:rsid w:val="00A6487D"/>
    <w:rsid w:val="00A65DF5"/>
    <w:rsid w:val="00A66D3E"/>
    <w:rsid w:val="00A676CE"/>
    <w:rsid w:val="00A7001C"/>
    <w:rsid w:val="00A70A43"/>
    <w:rsid w:val="00A74E3D"/>
    <w:rsid w:val="00A75807"/>
    <w:rsid w:val="00A77913"/>
    <w:rsid w:val="00A8209D"/>
    <w:rsid w:val="00A82740"/>
    <w:rsid w:val="00A8478D"/>
    <w:rsid w:val="00A860C9"/>
    <w:rsid w:val="00A9137F"/>
    <w:rsid w:val="00A9483B"/>
    <w:rsid w:val="00A94F2C"/>
    <w:rsid w:val="00A972E1"/>
    <w:rsid w:val="00AA3F8C"/>
    <w:rsid w:val="00AA6E6B"/>
    <w:rsid w:val="00AB26A7"/>
    <w:rsid w:val="00AB3052"/>
    <w:rsid w:val="00AB4248"/>
    <w:rsid w:val="00AB4520"/>
    <w:rsid w:val="00AB572D"/>
    <w:rsid w:val="00AB5A86"/>
    <w:rsid w:val="00AB6170"/>
    <w:rsid w:val="00AB707C"/>
    <w:rsid w:val="00AB7B42"/>
    <w:rsid w:val="00AC0B37"/>
    <w:rsid w:val="00AC101D"/>
    <w:rsid w:val="00AC2185"/>
    <w:rsid w:val="00AC3068"/>
    <w:rsid w:val="00AC3531"/>
    <w:rsid w:val="00AC3C48"/>
    <w:rsid w:val="00AC402B"/>
    <w:rsid w:val="00AC4067"/>
    <w:rsid w:val="00AC5020"/>
    <w:rsid w:val="00AC53DF"/>
    <w:rsid w:val="00AC54F8"/>
    <w:rsid w:val="00AC5902"/>
    <w:rsid w:val="00AC692A"/>
    <w:rsid w:val="00AD0F08"/>
    <w:rsid w:val="00AD1585"/>
    <w:rsid w:val="00AD1747"/>
    <w:rsid w:val="00AD235B"/>
    <w:rsid w:val="00AD560B"/>
    <w:rsid w:val="00AD5BBB"/>
    <w:rsid w:val="00AD7C35"/>
    <w:rsid w:val="00AE02B5"/>
    <w:rsid w:val="00AE0494"/>
    <w:rsid w:val="00AE0B28"/>
    <w:rsid w:val="00AE0C8D"/>
    <w:rsid w:val="00AE0D50"/>
    <w:rsid w:val="00AE1947"/>
    <w:rsid w:val="00AE242E"/>
    <w:rsid w:val="00AE2D61"/>
    <w:rsid w:val="00AE2D8E"/>
    <w:rsid w:val="00AE3A4C"/>
    <w:rsid w:val="00AE4C9F"/>
    <w:rsid w:val="00AE58CC"/>
    <w:rsid w:val="00AE7A40"/>
    <w:rsid w:val="00AE7EF9"/>
    <w:rsid w:val="00AF4A88"/>
    <w:rsid w:val="00AF60FC"/>
    <w:rsid w:val="00AF619D"/>
    <w:rsid w:val="00B006E2"/>
    <w:rsid w:val="00B01A75"/>
    <w:rsid w:val="00B02D39"/>
    <w:rsid w:val="00B03711"/>
    <w:rsid w:val="00B03B6B"/>
    <w:rsid w:val="00B04CC3"/>
    <w:rsid w:val="00B12774"/>
    <w:rsid w:val="00B17DE2"/>
    <w:rsid w:val="00B2096A"/>
    <w:rsid w:val="00B20E8D"/>
    <w:rsid w:val="00B32541"/>
    <w:rsid w:val="00B3267F"/>
    <w:rsid w:val="00B35F87"/>
    <w:rsid w:val="00B379DA"/>
    <w:rsid w:val="00B37A67"/>
    <w:rsid w:val="00B41203"/>
    <w:rsid w:val="00B41500"/>
    <w:rsid w:val="00B44125"/>
    <w:rsid w:val="00B4592D"/>
    <w:rsid w:val="00B47131"/>
    <w:rsid w:val="00B5297F"/>
    <w:rsid w:val="00B52E16"/>
    <w:rsid w:val="00B53812"/>
    <w:rsid w:val="00B53C36"/>
    <w:rsid w:val="00B54EB2"/>
    <w:rsid w:val="00B57856"/>
    <w:rsid w:val="00B61A49"/>
    <w:rsid w:val="00B623DA"/>
    <w:rsid w:val="00B62736"/>
    <w:rsid w:val="00B62A71"/>
    <w:rsid w:val="00B62EF9"/>
    <w:rsid w:val="00B630C6"/>
    <w:rsid w:val="00B65DC0"/>
    <w:rsid w:val="00B669E7"/>
    <w:rsid w:val="00B67C2D"/>
    <w:rsid w:val="00B70937"/>
    <w:rsid w:val="00B70D91"/>
    <w:rsid w:val="00B72FA0"/>
    <w:rsid w:val="00B73209"/>
    <w:rsid w:val="00B763A0"/>
    <w:rsid w:val="00B7708B"/>
    <w:rsid w:val="00B7721B"/>
    <w:rsid w:val="00B80069"/>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3C2"/>
    <w:rsid w:val="00BC3F55"/>
    <w:rsid w:val="00BC481A"/>
    <w:rsid w:val="00BC4D26"/>
    <w:rsid w:val="00BC5336"/>
    <w:rsid w:val="00BC555D"/>
    <w:rsid w:val="00BC5B8C"/>
    <w:rsid w:val="00BC658E"/>
    <w:rsid w:val="00BD0218"/>
    <w:rsid w:val="00BD1869"/>
    <w:rsid w:val="00BD200B"/>
    <w:rsid w:val="00BD254E"/>
    <w:rsid w:val="00BD63DF"/>
    <w:rsid w:val="00BD64D4"/>
    <w:rsid w:val="00BD7C4B"/>
    <w:rsid w:val="00BE33E8"/>
    <w:rsid w:val="00BF0CD8"/>
    <w:rsid w:val="00BF2BEB"/>
    <w:rsid w:val="00BF3197"/>
    <w:rsid w:val="00BF3CCB"/>
    <w:rsid w:val="00BF5E23"/>
    <w:rsid w:val="00BF6AD1"/>
    <w:rsid w:val="00BF6D4D"/>
    <w:rsid w:val="00C01DB8"/>
    <w:rsid w:val="00C02464"/>
    <w:rsid w:val="00C0300F"/>
    <w:rsid w:val="00C04C13"/>
    <w:rsid w:val="00C0523E"/>
    <w:rsid w:val="00C06C3C"/>
    <w:rsid w:val="00C071F3"/>
    <w:rsid w:val="00C0751C"/>
    <w:rsid w:val="00C07D81"/>
    <w:rsid w:val="00C07F14"/>
    <w:rsid w:val="00C11773"/>
    <w:rsid w:val="00C11B64"/>
    <w:rsid w:val="00C1218B"/>
    <w:rsid w:val="00C12B6B"/>
    <w:rsid w:val="00C135F1"/>
    <w:rsid w:val="00C140D0"/>
    <w:rsid w:val="00C14775"/>
    <w:rsid w:val="00C150A5"/>
    <w:rsid w:val="00C1556E"/>
    <w:rsid w:val="00C21089"/>
    <w:rsid w:val="00C22B21"/>
    <w:rsid w:val="00C23593"/>
    <w:rsid w:val="00C23845"/>
    <w:rsid w:val="00C23D12"/>
    <w:rsid w:val="00C31846"/>
    <w:rsid w:val="00C322AD"/>
    <w:rsid w:val="00C32A33"/>
    <w:rsid w:val="00C367FB"/>
    <w:rsid w:val="00C41389"/>
    <w:rsid w:val="00C41BB7"/>
    <w:rsid w:val="00C42379"/>
    <w:rsid w:val="00C42E4A"/>
    <w:rsid w:val="00C44004"/>
    <w:rsid w:val="00C445F4"/>
    <w:rsid w:val="00C449E6"/>
    <w:rsid w:val="00C44AE6"/>
    <w:rsid w:val="00C54DF3"/>
    <w:rsid w:val="00C604C4"/>
    <w:rsid w:val="00C610B6"/>
    <w:rsid w:val="00C6257F"/>
    <w:rsid w:val="00C63117"/>
    <w:rsid w:val="00C640C7"/>
    <w:rsid w:val="00C65784"/>
    <w:rsid w:val="00C670A5"/>
    <w:rsid w:val="00C67BDD"/>
    <w:rsid w:val="00C70F24"/>
    <w:rsid w:val="00C717F6"/>
    <w:rsid w:val="00C72852"/>
    <w:rsid w:val="00C72FD7"/>
    <w:rsid w:val="00C8155C"/>
    <w:rsid w:val="00C841CA"/>
    <w:rsid w:val="00C84DD9"/>
    <w:rsid w:val="00C907F0"/>
    <w:rsid w:val="00C93A91"/>
    <w:rsid w:val="00C95601"/>
    <w:rsid w:val="00CA1947"/>
    <w:rsid w:val="00CA1C91"/>
    <w:rsid w:val="00CA323D"/>
    <w:rsid w:val="00CA54A0"/>
    <w:rsid w:val="00CA58B6"/>
    <w:rsid w:val="00CA6675"/>
    <w:rsid w:val="00CB27FE"/>
    <w:rsid w:val="00CB50F2"/>
    <w:rsid w:val="00CB5515"/>
    <w:rsid w:val="00CB76EF"/>
    <w:rsid w:val="00CB7840"/>
    <w:rsid w:val="00CC0E24"/>
    <w:rsid w:val="00CC2390"/>
    <w:rsid w:val="00CC34E2"/>
    <w:rsid w:val="00CC4A5C"/>
    <w:rsid w:val="00CC5BB7"/>
    <w:rsid w:val="00CC5F62"/>
    <w:rsid w:val="00CC66A0"/>
    <w:rsid w:val="00CC69B4"/>
    <w:rsid w:val="00CC6D17"/>
    <w:rsid w:val="00CC7102"/>
    <w:rsid w:val="00CC7CF3"/>
    <w:rsid w:val="00CD0461"/>
    <w:rsid w:val="00CD1E85"/>
    <w:rsid w:val="00CD3AEA"/>
    <w:rsid w:val="00CD3C32"/>
    <w:rsid w:val="00CD4235"/>
    <w:rsid w:val="00CD4674"/>
    <w:rsid w:val="00CD4C0F"/>
    <w:rsid w:val="00CD56D7"/>
    <w:rsid w:val="00CD57FC"/>
    <w:rsid w:val="00CD632A"/>
    <w:rsid w:val="00CD764B"/>
    <w:rsid w:val="00CE0B6D"/>
    <w:rsid w:val="00CE127E"/>
    <w:rsid w:val="00CE136A"/>
    <w:rsid w:val="00CE1C10"/>
    <w:rsid w:val="00CE217C"/>
    <w:rsid w:val="00CE4AE9"/>
    <w:rsid w:val="00CE5DF0"/>
    <w:rsid w:val="00CF41D0"/>
    <w:rsid w:val="00CF6D54"/>
    <w:rsid w:val="00D00313"/>
    <w:rsid w:val="00D00A1A"/>
    <w:rsid w:val="00D00CF9"/>
    <w:rsid w:val="00D012FF"/>
    <w:rsid w:val="00D04CD8"/>
    <w:rsid w:val="00D04DEC"/>
    <w:rsid w:val="00D104D4"/>
    <w:rsid w:val="00D114ED"/>
    <w:rsid w:val="00D1261E"/>
    <w:rsid w:val="00D13F32"/>
    <w:rsid w:val="00D14B5E"/>
    <w:rsid w:val="00D1551B"/>
    <w:rsid w:val="00D1685E"/>
    <w:rsid w:val="00D171BA"/>
    <w:rsid w:val="00D214FA"/>
    <w:rsid w:val="00D25B74"/>
    <w:rsid w:val="00D25CA1"/>
    <w:rsid w:val="00D31474"/>
    <w:rsid w:val="00D32933"/>
    <w:rsid w:val="00D3579F"/>
    <w:rsid w:val="00D36B62"/>
    <w:rsid w:val="00D37BF5"/>
    <w:rsid w:val="00D421A7"/>
    <w:rsid w:val="00D42987"/>
    <w:rsid w:val="00D42C18"/>
    <w:rsid w:val="00D43F5E"/>
    <w:rsid w:val="00D44623"/>
    <w:rsid w:val="00D46ECC"/>
    <w:rsid w:val="00D47CF6"/>
    <w:rsid w:val="00D50820"/>
    <w:rsid w:val="00D511C3"/>
    <w:rsid w:val="00D5481D"/>
    <w:rsid w:val="00D55B2D"/>
    <w:rsid w:val="00D60045"/>
    <w:rsid w:val="00D614F7"/>
    <w:rsid w:val="00D628AE"/>
    <w:rsid w:val="00D647C9"/>
    <w:rsid w:val="00D6536E"/>
    <w:rsid w:val="00D6632B"/>
    <w:rsid w:val="00D67995"/>
    <w:rsid w:val="00D7163F"/>
    <w:rsid w:val="00D7298C"/>
    <w:rsid w:val="00D732AC"/>
    <w:rsid w:val="00D73998"/>
    <w:rsid w:val="00D76FD9"/>
    <w:rsid w:val="00D800BD"/>
    <w:rsid w:val="00D816C8"/>
    <w:rsid w:val="00D81BC5"/>
    <w:rsid w:val="00D827CE"/>
    <w:rsid w:val="00D84DEB"/>
    <w:rsid w:val="00D877A6"/>
    <w:rsid w:val="00D904D9"/>
    <w:rsid w:val="00D90D32"/>
    <w:rsid w:val="00D946F0"/>
    <w:rsid w:val="00D95156"/>
    <w:rsid w:val="00D951F4"/>
    <w:rsid w:val="00D95875"/>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0D8D"/>
    <w:rsid w:val="00DB3CAF"/>
    <w:rsid w:val="00DB4966"/>
    <w:rsid w:val="00DC1386"/>
    <w:rsid w:val="00DC2A23"/>
    <w:rsid w:val="00DC4FA8"/>
    <w:rsid w:val="00DC7A46"/>
    <w:rsid w:val="00DD0F54"/>
    <w:rsid w:val="00DD4F7A"/>
    <w:rsid w:val="00DD5050"/>
    <w:rsid w:val="00DD5306"/>
    <w:rsid w:val="00DD5903"/>
    <w:rsid w:val="00DD5E1E"/>
    <w:rsid w:val="00DE004A"/>
    <w:rsid w:val="00DE1407"/>
    <w:rsid w:val="00DE14E1"/>
    <w:rsid w:val="00DE229B"/>
    <w:rsid w:val="00DE2D26"/>
    <w:rsid w:val="00DE3A2B"/>
    <w:rsid w:val="00DE4A81"/>
    <w:rsid w:val="00DE7AB8"/>
    <w:rsid w:val="00DF3188"/>
    <w:rsid w:val="00DF5529"/>
    <w:rsid w:val="00DF6DE8"/>
    <w:rsid w:val="00DF6FB0"/>
    <w:rsid w:val="00DF76B3"/>
    <w:rsid w:val="00DF76F2"/>
    <w:rsid w:val="00DF7D88"/>
    <w:rsid w:val="00E00083"/>
    <w:rsid w:val="00E009E2"/>
    <w:rsid w:val="00E01DE7"/>
    <w:rsid w:val="00E0411F"/>
    <w:rsid w:val="00E0572E"/>
    <w:rsid w:val="00E10005"/>
    <w:rsid w:val="00E1238E"/>
    <w:rsid w:val="00E124B9"/>
    <w:rsid w:val="00E13F21"/>
    <w:rsid w:val="00E1612B"/>
    <w:rsid w:val="00E16421"/>
    <w:rsid w:val="00E17515"/>
    <w:rsid w:val="00E20591"/>
    <w:rsid w:val="00E22766"/>
    <w:rsid w:val="00E23AD2"/>
    <w:rsid w:val="00E23D4F"/>
    <w:rsid w:val="00E24FF9"/>
    <w:rsid w:val="00E2572E"/>
    <w:rsid w:val="00E2692D"/>
    <w:rsid w:val="00E26D8B"/>
    <w:rsid w:val="00E271C2"/>
    <w:rsid w:val="00E27AC2"/>
    <w:rsid w:val="00E30031"/>
    <w:rsid w:val="00E319F6"/>
    <w:rsid w:val="00E329A6"/>
    <w:rsid w:val="00E32F50"/>
    <w:rsid w:val="00E34CB5"/>
    <w:rsid w:val="00E36419"/>
    <w:rsid w:val="00E36BD7"/>
    <w:rsid w:val="00E37789"/>
    <w:rsid w:val="00E42265"/>
    <w:rsid w:val="00E45DAA"/>
    <w:rsid w:val="00E46560"/>
    <w:rsid w:val="00E46D7C"/>
    <w:rsid w:val="00E47307"/>
    <w:rsid w:val="00E47601"/>
    <w:rsid w:val="00E50DB1"/>
    <w:rsid w:val="00E51053"/>
    <w:rsid w:val="00E51A6B"/>
    <w:rsid w:val="00E51A9F"/>
    <w:rsid w:val="00E52CA8"/>
    <w:rsid w:val="00E550CE"/>
    <w:rsid w:val="00E60917"/>
    <w:rsid w:val="00E60B86"/>
    <w:rsid w:val="00E61574"/>
    <w:rsid w:val="00E62E45"/>
    <w:rsid w:val="00E62F7D"/>
    <w:rsid w:val="00E648C5"/>
    <w:rsid w:val="00E652CD"/>
    <w:rsid w:val="00E67353"/>
    <w:rsid w:val="00E700B8"/>
    <w:rsid w:val="00E702B9"/>
    <w:rsid w:val="00E70588"/>
    <w:rsid w:val="00E7240F"/>
    <w:rsid w:val="00E7404B"/>
    <w:rsid w:val="00E75FA1"/>
    <w:rsid w:val="00E76419"/>
    <w:rsid w:val="00E77787"/>
    <w:rsid w:val="00E77CD7"/>
    <w:rsid w:val="00E80A46"/>
    <w:rsid w:val="00E82017"/>
    <w:rsid w:val="00E82792"/>
    <w:rsid w:val="00E844D7"/>
    <w:rsid w:val="00E87660"/>
    <w:rsid w:val="00E91E42"/>
    <w:rsid w:val="00E92E9D"/>
    <w:rsid w:val="00E93B3C"/>
    <w:rsid w:val="00E95AC2"/>
    <w:rsid w:val="00E96A7F"/>
    <w:rsid w:val="00EA031A"/>
    <w:rsid w:val="00EA0CE9"/>
    <w:rsid w:val="00EA10E6"/>
    <w:rsid w:val="00EA1A40"/>
    <w:rsid w:val="00EA330D"/>
    <w:rsid w:val="00EA5190"/>
    <w:rsid w:val="00EA59C4"/>
    <w:rsid w:val="00EA5F4C"/>
    <w:rsid w:val="00EA6109"/>
    <w:rsid w:val="00EB0207"/>
    <w:rsid w:val="00EB2688"/>
    <w:rsid w:val="00EB44A0"/>
    <w:rsid w:val="00EB6181"/>
    <w:rsid w:val="00EB63AD"/>
    <w:rsid w:val="00EB664F"/>
    <w:rsid w:val="00EB66A9"/>
    <w:rsid w:val="00EB7E37"/>
    <w:rsid w:val="00EC12E8"/>
    <w:rsid w:val="00EC1357"/>
    <w:rsid w:val="00EC2801"/>
    <w:rsid w:val="00EC5ACF"/>
    <w:rsid w:val="00EC63B0"/>
    <w:rsid w:val="00ED22A8"/>
    <w:rsid w:val="00ED2479"/>
    <w:rsid w:val="00ED4EB4"/>
    <w:rsid w:val="00ED5D09"/>
    <w:rsid w:val="00ED68A5"/>
    <w:rsid w:val="00ED6D7A"/>
    <w:rsid w:val="00ED7107"/>
    <w:rsid w:val="00EE2221"/>
    <w:rsid w:val="00EE276F"/>
    <w:rsid w:val="00EE2982"/>
    <w:rsid w:val="00EE634F"/>
    <w:rsid w:val="00EE78DB"/>
    <w:rsid w:val="00EF369D"/>
    <w:rsid w:val="00EF38A7"/>
    <w:rsid w:val="00EF3F78"/>
    <w:rsid w:val="00EF6A39"/>
    <w:rsid w:val="00F00B38"/>
    <w:rsid w:val="00F0376E"/>
    <w:rsid w:val="00F044B3"/>
    <w:rsid w:val="00F047A3"/>
    <w:rsid w:val="00F05E83"/>
    <w:rsid w:val="00F06D59"/>
    <w:rsid w:val="00F07DC4"/>
    <w:rsid w:val="00F07E05"/>
    <w:rsid w:val="00F07F0D"/>
    <w:rsid w:val="00F10842"/>
    <w:rsid w:val="00F13C42"/>
    <w:rsid w:val="00F141C2"/>
    <w:rsid w:val="00F161F7"/>
    <w:rsid w:val="00F206E8"/>
    <w:rsid w:val="00F21755"/>
    <w:rsid w:val="00F21F2E"/>
    <w:rsid w:val="00F23947"/>
    <w:rsid w:val="00F23B61"/>
    <w:rsid w:val="00F2596C"/>
    <w:rsid w:val="00F276F1"/>
    <w:rsid w:val="00F30F53"/>
    <w:rsid w:val="00F32680"/>
    <w:rsid w:val="00F33A66"/>
    <w:rsid w:val="00F34368"/>
    <w:rsid w:val="00F34E5A"/>
    <w:rsid w:val="00F34FD5"/>
    <w:rsid w:val="00F35452"/>
    <w:rsid w:val="00F36BB5"/>
    <w:rsid w:val="00F410C6"/>
    <w:rsid w:val="00F45532"/>
    <w:rsid w:val="00F45ED2"/>
    <w:rsid w:val="00F53C4F"/>
    <w:rsid w:val="00F54CB5"/>
    <w:rsid w:val="00F56A51"/>
    <w:rsid w:val="00F61899"/>
    <w:rsid w:val="00F66CD4"/>
    <w:rsid w:val="00F66E01"/>
    <w:rsid w:val="00F70BE8"/>
    <w:rsid w:val="00F7129A"/>
    <w:rsid w:val="00F7180D"/>
    <w:rsid w:val="00F727A7"/>
    <w:rsid w:val="00F729D7"/>
    <w:rsid w:val="00F73EE4"/>
    <w:rsid w:val="00F76A4F"/>
    <w:rsid w:val="00F774CD"/>
    <w:rsid w:val="00F7752E"/>
    <w:rsid w:val="00F77CAF"/>
    <w:rsid w:val="00F80F59"/>
    <w:rsid w:val="00F8187C"/>
    <w:rsid w:val="00F81C97"/>
    <w:rsid w:val="00F82E69"/>
    <w:rsid w:val="00F83B1A"/>
    <w:rsid w:val="00F8414D"/>
    <w:rsid w:val="00F84181"/>
    <w:rsid w:val="00F84C5D"/>
    <w:rsid w:val="00F85231"/>
    <w:rsid w:val="00F86271"/>
    <w:rsid w:val="00F87176"/>
    <w:rsid w:val="00F87260"/>
    <w:rsid w:val="00F87303"/>
    <w:rsid w:val="00F90DB4"/>
    <w:rsid w:val="00F91287"/>
    <w:rsid w:val="00F917FA"/>
    <w:rsid w:val="00F91B28"/>
    <w:rsid w:val="00F91DA0"/>
    <w:rsid w:val="00F9306F"/>
    <w:rsid w:val="00F931F3"/>
    <w:rsid w:val="00F94B4E"/>
    <w:rsid w:val="00F9754C"/>
    <w:rsid w:val="00F978B7"/>
    <w:rsid w:val="00FA2FCD"/>
    <w:rsid w:val="00FA3E1C"/>
    <w:rsid w:val="00FA3FA8"/>
    <w:rsid w:val="00FA400B"/>
    <w:rsid w:val="00FA4718"/>
    <w:rsid w:val="00FA61F6"/>
    <w:rsid w:val="00FA6E64"/>
    <w:rsid w:val="00FB1DCD"/>
    <w:rsid w:val="00FB2F0E"/>
    <w:rsid w:val="00FB31CC"/>
    <w:rsid w:val="00FB7472"/>
    <w:rsid w:val="00FC05EE"/>
    <w:rsid w:val="00FC2EC6"/>
    <w:rsid w:val="00FC339A"/>
    <w:rsid w:val="00FC36E0"/>
    <w:rsid w:val="00FC546F"/>
    <w:rsid w:val="00FC6F5E"/>
    <w:rsid w:val="00FC711A"/>
    <w:rsid w:val="00FC7D31"/>
    <w:rsid w:val="00FD13AC"/>
    <w:rsid w:val="00FD2D28"/>
    <w:rsid w:val="00FD450B"/>
    <w:rsid w:val="00FD472C"/>
    <w:rsid w:val="00FD6BFE"/>
    <w:rsid w:val="00FD6D03"/>
    <w:rsid w:val="00FE02E3"/>
    <w:rsid w:val="00FE32FD"/>
    <w:rsid w:val="00FE3FF3"/>
    <w:rsid w:val="00FE4BFA"/>
    <w:rsid w:val="00FE6D8B"/>
    <w:rsid w:val="00FE728E"/>
    <w:rsid w:val="00FF1813"/>
    <w:rsid w:val="00FF42A9"/>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78D91"/>
  <w15:docId w15:val="{C43AE224-4CD8-4B66-8894-03106B2C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ED8"/>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064752"/>
    <w:rPr>
      <w:kern w:val="2"/>
      <w:sz w:val="21"/>
      <w:szCs w:val="22"/>
    </w:rPr>
  </w:style>
  <w:style w:type="paragraph" w:customStyle="1" w:styleId="ParaCharCharCharCharCharChar">
    <w:name w:val="默认段落字体 Para Char Char Char Char Char Char"/>
    <w:basedOn w:val="a"/>
    <w:rsid w:val="002E1051"/>
    <w:pPr>
      <w:tabs>
        <w:tab w:val="left" w:pos="840"/>
      </w:tabs>
      <w:ind w:left="840" w:hanging="36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1793">
      <w:bodyDiv w:val="1"/>
      <w:marLeft w:val="0"/>
      <w:marRight w:val="0"/>
      <w:marTop w:val="0"/>
      <w:marBottom w:val="0"/>
      <w:divBdr>
        <w:top w:val="none" w:sz="0" w:space="0" w:color="auto"/>
        <w:left w:val="none" w:sz="0" w:space="0" w:color="auto"/>
        <w:bottom w:val="none" w:sz="0" w:space="0" w:color="auto"/>
        <w:right w:val="none" w:sz="0" w:space="0" w:color="auto"/>
      </w:divBdr>
      <w:divsChild>
        <w:div w:id="310987558">
          <w:marLeft w:val="0"/>
          <w:marRight w:val="0"/>
          <w:marTop w:val="0"/>
          <w:marBottom w:val="0"/>
          <w:divBdr>
            <w:top w:val="none" w:sz="0" w:space="0" w:color="auto"/>
            <w:left w:val="none" w:sz="0" w:space="0" w:color="auto"/>
            <w:bottom w:val="none" w:sz="0" w:space="0" w:color="auto"/>
            <w:right w:val="none" w:sz="0" w:space="0" w:color="auto"/>
          </w:divBdr>
        </w:div>
      </w:divsChild>
    </w:div>
    <w:div w:id="124666460">
      <w:bodyDiv w:val="1"/>
      <w:marLeft w:val="0"/>
      <w:marRight w:val="0"/>
      <w:marTop w:val="0"/>
      <w:marBottom w:val="0"/>
      <w:divBdr>
        <w:top w:val="none" w:sz="0" w:space="0" w:color="auto"/>
        <w:left w:val="none" w:sz="0" w:space="0" w:color="auto"/>
        <w:bottom w:val="none" w:sz="0" w:space="0" w:color="auto"/>
        <w:right w:val="none" w:sz="0" w:space="0" w:color="auto"/>
      </w:divBdr>
      <w:divsChild>
        <w:div w:id="1410469769">
          <w:marLeft w:val="0"/>
          <w:marRight w:val="0"/>
          <w:marTop w:val="0"/>
          <w:marBottom w:val="0"/>
          <w:divBdr>
            <w:top w:val="none" w:sz="0" w:space="0" w:color="auto"/>
            <w:left w:val="none" w:sz="0" w:space="0" w:color="auto"/>
            <w:bottom w:val="none" w:sz="0" w:space="0" w:color="auto"/>
            <w:right w:val="none" w:sz="0" w:space="0" w:color="auto"/>
          </w:divBdr>
        </w:div>
      </w:divsChild>
    </w:div>
    <w:div w:id="1131940825">
      <w:bodyDiv w:val="1"/>
      <w:marLeft w:val="0"/>
      <w:marRight w:val="0"/>
      <w:marTop w:val="0"/>
      <w:marBottom w:val="0"/>
      <w:divBdr>
        <w:top w:val="none" w:sz="0" w:space="0" w:color="auto"/>
        <w:left w:val="none" w:sz="0" w:space="0" w:color="auto"/>
        <w:bottom w:val="none" w:sz="0" w:space="0" w:color="auto"/>
        <w:right w:val="none" w:sz="0" w:space="0" w:color="auto"/>
      </w:divBdr>
      <w:divsChild>
        <w:div w:id="2142531281">
          <w:marLeft w:val="0"/>
          <w:marRight w:val="0"/>
          <w:marTop w:val="0"/>
          <w:marBottom w:val="0"/>
          <w:divBdr>
            <w:top w:val="none" w:sz="0" w:space="0" w:color="auto"/>
            <w:left w:val="none" w:sz="0" w:space="0" w:color="auto"/>
            <w:bottom w:val="none" w:sz="0" w:space="0" w:color="auto"/>
            <w:right w:val="none" w:sz="0" w:space="0" w:color="auto"/>
          </w:divBdr>
        </w:div>
        <w:div w:id="1852068114">
          <w:marLeft w:val="0"/>
          <w:marRight w:val="0"/>
          <w:marTop w:val="0"/>
          <w:marBottom w:val="0"/>
          <w:divBdr>
            <w:top w:val="none" w:sz="0" w:space="0" w:color="auto"/>
            <w:left w:val="none" w:sz="0" w:space="0" w:color="auto"/>
            <w:bottom w:val="none" w:sz="0" w:space="0" w:color="auto"/>
            <w:right w:val="none" w:sz="0" w:space="0" w:color="auto"/>
          </w:divBdr>
        </w:div>
        <w:div w:id="795879992">
          <w:marLeft w:val="0"/>
          <w:marRight w:val="0"/>
          <w:marTop w:val="0"/>
          <w:marBottom w:val="0"/>
          <w:divBdr>
            <w:top w:val="none" w:sz="0" w:space="0" w:color="auto"/>
            <w:left w:val="none" w:sz="0" w:space="0" w:color="auto"/>
            <w:bottom w:val="none" w:sz="0" w:space="0" w:color="auto"/>
            <w:right w:val="none" w:sz="0" w:space="0" w:color="auto"/>
          </w:divBdr>
        </w:div>
        <w:div w:id="783960810">
          <w:marLeft w:val="0"/>
          <w:marRight w:val="0"/>
          <w:marTop w:val="0"/>
          <w:marBottom w:val="0"/>
          <w:divBdr>
            <w:top w:val="none" w:sz="0" w:space="0" w:color="auto"/>
            <w:left w:val="none" w:sz="0" w:space="0" w:color="auto"/>
            <w:bottom w:val="none" w:sz="0" w:space="0" w:color="auto"/>
            <w:right w:val="none" w:sz="0" w:space="0" w:color="auto"/>
          </w:divBdr>
        </w:div>
        <w:div w:id="371999292">
          <w:marLeft w:val="0"/>
          <w:marRight w:val="0"/>
          <w:marTop w:val="0"/>
          <w:marBottom w:val="0"/>
          <w:divBdr>
            <w:top w:val="none" w:sz="0" w:space="0" w:color="auto"/>
            <w:left w:val="none" w:sz="0" w:space="0" w:color="auto"/>
            <w:bottom w:val="none" w:sz="0" w:space="0" w:color="auto"/>
            <w:right w:val="none" w:sz="0" w:space="0" w:color="auto"/>
          </w:divBdr>
        </w:div>
      </w:divsChild>
    </w:div>
    <w:div w:id="1720855936">
      <w:bodyDiv w:val="1"/>
      <w:marLeft w:val="0"/>
      <w:marRight w:val="0"/>
      <w:marTop w:val="0"/>
      <w:marBottom w:val="0"/>
      <w:divBdr>
        <w:top w:val="none" w:sz="0" w:space="0" w:color="auto"/>
        <w:left w:val="none" w:sz="0" w:space="0" w:color="auto"/>
        <w:bottom w:val="none" w:sz="0" w:space="0" w:color="auto"/>
        <w:right w:val="none" w:sz="0" w:space="0" w:color="auto"/>
      </w:divBdr>
      <w:divsChild>
        <w:div w:id="1280143371">
          <w:marLeft w:val="0"/>
          <w:marRight w:val="0"/>
          <w:marTop w:val="0"/>
          <w:marBottom w:val="0"/>
          <w:divBdr>
            <w:top w:val="none" w:sz="0" w:space="0" w:color="auto"/>
            <w:left w:val="none" w:sz="0" w:space="0" w:color="auto"/>
            <w:bottom w:val="none" w:sz="0" w:space="0" w:color="auto"/>
            <w:right w:val="none" w:sz="0" w:space="0" w:color="auto"/>
          </w:divBdr>
        </w:div>
      </w:divsChild>
    </w:div>
    <w:div w:id="1937863766">
      <w:bodyDiv w:val="1"/>
      <w:marLeft w:val="0"/>
      <w:marRight w:val="0"/>
      <w:marTop w:val="0"/>
      <w:marBottom w:val="0"/>
      <w:divBdr>
        <w:top w:val="none" w:sz="0" w:space="0" w:color="auto"/>
        <w:left w:val="none" w:sz="0" w:space="0" w:color="auto"/>
        <w:bottom w:val="none" w:sz="0" w:space="0" w:color="auto"/>
        <w:right w:val="none" w:sz="0" w:space="0" w:color="auto"/>
      </w:divBdr>
      <w:divsChild>
        <w:div w:id="105006077">
          <w:marLeft w:val="0"/>
          <w:marRight w:val="0"/>
          <w:marTop w:val="0"/>
          <w:marBottom w:val="0"/>
          <w:divBdr>
            <w:top w:val="none" w:sz="0" w:space="0" w:color="auto"/>
            <w:left w:val="none" w:sz="0" w:space="0" w:color="auto"/>
            <w:bottom w:val="none" w:sz="0" w:space="0" w:color="auto"/>
            <w:right w:val="none" w:sz="0" w:space="0" w:color="auto"/>
          </w:divBdr>
        </w:div>
        <w:div w:id="1606964887">
          <w:marLeft w:val="0"/>
          <w:marRight w:val="0"/>
          <w:marTop w:val="0"/>
          <w:marBottom w:val="0"/>
          <w:divBdr>
            <w:top w:val="none" w:sz="0" w:space="0" w:color="auto"/>
            <w:left w:val="none" w:sz="0" w:space="0" w:color="auto"/>
            <w:bottom w:val="none" w:sz="0" w:space="0" w:color="auto"/>
            <w:right w:val="none" w:sz="0" w:space="0" w:color="auto"/>
          </w:divBdr>
        </w:div>
        <w:div w:id="197201931">
          <w:marLeft w:val="0"/>
          <w:marRight w:val="0"/>
          <w:marTop w:val="0"/>
          <w:marBottom w:val="0"/>
          <w:divBdr>
            <w:top w:val="none" w:sz="0" w:space="0" w:color="auto"/>
            <w:left w:val="none" w:sz="0" w:space="0" w:color="auto"/>
            <w:bottom w:val="none" w:sz="0" w:space="0" w:color="auto"/>
            <w:right w:val="none" w:sz="0" w:space="0" w:color="auto"/>
          </w:divBdr>
        </w:div>
        <w:div w:id="25910177">
          <w:marLeft w:val="0"/>
          <w:marRight w:val="0"/>
          <w:marTop w:val="0"/>
          <w:marBottom w:val="0"/>
          <w:divBdr>
            <w:top w:val="none" w:sz="0" w:space="0" w:color="auto"/>
            <w:left w:val="none" w:sz="0" w:space="0" w:color="auto"/>
            <w:bottom w:val="none" w:sz="0" w:space="0" w:color="auto"/>
            <w:right w:val="none" w:sz="0" w:space="0" w:color="auto"/>
          </w:divBdr>
        </w:div>
        <w:div w:id="16750661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png"/><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66A6BC-C4AA-4BA8-860F-4DD22FE7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148</Pages>
  <Words>14882</Words>
  <Characters>84828</Characters>
  <Application>Microsoft Office Word</Application>
  <DocSecurity>0</DocSecurity>
  <Lines>706</Lines>
  <Paragraphs>199</Paragraphs>
  <ScaleCrop>false</ScaleCrop>
  <Company>Microsoft</Company>
  <LinksUpToDate>false</LinksUpToDate>
  <CharactersWithSpaces>99511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31</cp:revision>
  <cp:lastPrinted>2023-09-20T06:34:00Z</cp:lastPrinted>
  <dcterms:created xsi:type="dcterms:W3CDTF">2024-02-20T14:21:00Z</dcterms:created>
  <dcterms:modified xsi:type="dcterms:W3CDTF">2024-02-28T06:15:00Z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