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9BEA0" w14:textId="77777777" w:rsidR="00435AFE" w:rsidRPr="00EB07BC" w:rsidRDefault="00435AFE">
      <w:pPr>
        <w:rPr>
          <w:sz w:val="32"/>
        </w:rPr>
      </w:pPr>
    </w:p>
    <w:p w14:paraId="4242BC4B" w14:textId="77777777" w:rsidR="00435AFE" w:rsidRPr="00EB07BC" w:rsidRDefault="00435AFE">
      <w:pPr>
        <w:rPr>
          <w:sz w:val="32"/>
        </w:rPr>
      </w:pPr>
    </w:p>
    <w:p w14:paraId="153E5D9E" w14:textId="77777777" w:rsidR="00435AFE" w:rsidRPr="00EB07BC" w:rsidRDefault="00435AFE">
      <w:pPr>
        <w:rPr>
          <w:sz w:val="32"/>
        </w:rPr>
      </w:pPr>
    </w:p>
    <w:p w14:paraId="149A3E1C" w14:textId="0EE14DB1" w:rsidR="00435AFE" w:rsidRPr="00EB07BC" w:rsidRDefault="002370F2">
      <w:pPr>
        <w:jc w:val="center"/>
        <w:rPr>
          <w:sz w:val="32"/>
        </w:rPr>
      </w:pPr>
      <w:r>
        <w:rPr>
          <w:noProof/>
        </w:rPr>
        <w:drawing>
          <wp:inline distT="0" distB="0" distL="0" distR="0" wp14:anchorId="62F30F77" wp14:editId="25A6E664">
            <wp:extent cx="4343400" cy="577850"/>
            <wp:effectExtent l="0" t="0" r="0" b="0"/>
            <wp:docPr id="4"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577850"/>
                    </a:xfrm>
                    <a:prstGeom prst="rect">
                      <a:avLst/>
                    </a:prstGeom>
                    <a:noFill/>
                    <a:ln>
                      <a:noFill/>
                    </a:ln>
                  </pic:spPr>
                </pic:pic>
              </a:graphicData>
            </a:graphic>
          </wp:inline>
        </w:drawing>
      </w:r>
    </w:p>
    <w:p w14:paraId="7C4D6520" w14:textId="77777777" w:rsidR="001430E9" w:rsidRDefault="001430E9">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14:paraId="402D7C3A" w14:textId="77777777" w:rsidR="001430E9" w:rsidRDefault="001430E9">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14:paraId="2C03A3CC" w14:textId="77777777" w:rsidR="001430E9" w:rsidRDefault="00C86CDB">
      <w:pPr>
        <w:autoSpaceDE w:val="0"/>
        <w:autoSpaceDN w:val="0"/>
        <w:adjustRightInd w:val="0"/>
        <w:snapToGrid w:val="0"/>
        <w:spacing w:before="63" w:line="360" w:lineRule="auto"/>
        <w:ind w:rightChars="6" w:right="13"/>
        <w:jc w:val="center"/>
        <w:rPr>
          <w:rFonts w:ascii="黑体" w:hAnsi="黑体"/>
          <w:b/>
          <w:spacing w:val="2"/>
          <w:w w:val="99"/>
          <w:kern w:val="0"/>
          <w:position w:val="-4"/>
          <w:sz w:val="44"/>
          <w:szCs w:val="44"/>
        </w:rPr>
      </w:pPr>
      <w:r>
        <w:rPr>
          <w:rFonts w:ascii="Times New Roman" w:hAnsi="Times New Roman"/>
          <w:b/>
          <w:spacing w:val="2"/>
          <w:w w:val="99"/>
          <w:kern w:val="0"/>
          <w:position w:val="-4"/>
          <w:sz w:val="44"/>
          <w:szCs w:val="44"/>
        </w:rPr>
        <w:t>交银施罗德核心资产混合型证券投资基金</w:t>
      </w:r>
    </w:p>
    <w:p w14:paraId="22AFA413" w14:textId="77777777" w:rsidR="001430E9" w:rsidRDefault="00C86CDB">
      <w:pPr>
        <w:autoSpaceDE w:val="0"/>
        <w:autoSpaceDN w:val="0"/>
        <w:adjustRightInd w:val="0"/>
        <w:snapToGrid w:val="0"/>
        <w:spacing w:before="63" w:line="360" w:lineRule="auto"/>
        <w:ind w:rightChars="6" w:right="13"/>
        <w:jc w:val="center"/>
        <w:rPr>
          <w:rFonts w:ascii="宋体" w:hAnsi="宋体"/>
          <w:b/>
          <w:kern w:val="0"/>
          <w:sz w:val="44"/>
          <w:szCs w:val="44"/>
        </w:rPr>
      </w:pPr>
      <w:r>
        <w:rPr>
          <w:rFonts w:ascii="宋体" w:hAnsi="宋体"/>
          <w:b/>
          <w:spacing w:val="2"/>
          <w:w w:val="99"/>
          <w:kern w:val="0"/>
          <w:sz w:val="44"/>
          <w:szCs w:val="44"/>
        </w:rPr>
        <w:t>(更新)招募说明书</w:t>
      </w:r>
    </w:p>
    <w:p w14:paraId="47363402" w14:textId="4B3D8E86" w:rsidR="001430E9" w:rsidRDefault="00C86CDB">
      <w:pPr>
        <w:snapToGrid w:val="0"/>
        <w:spacing w:line="360" w:lineRule="auto"/>
        <w:jc w:val="center"/>
        <w:rPr>
          <w:rFonts w:ascii="宋体" w:hAnsi="宋体"/>
          <w:b/>
          <w:sz w:val="30"/>
          <w:szCs w:val="30"/>
        </w:rPr>
      </w:pPr>
      <w:r>
        <w:rPr>
          <w:rFonts w:ascii="Times New Roman" w:hAnsi="Times New Roman"/>
          <w:b/>
          <w:color w:val="000000"/>
          <w:sz w:val="32"/>
          <w:szCs w:val="32"/>
        </w:rPr>
        <w:t>(</w:t>
      </w:r>
      <w:r w:rsidR="00906278">
        <w:rPr>
          <w:rFonts w:ascii="Times New Roman" w:hAnsi="Times New Roman"/>
          <w:b/>
          <w:color w:val="000000"/>
          <w:sz w:val="32"/>
          <w:szCs w:val="32"/>
        </w:rPr>
        <w:t>202</w:t>
      </w:r>
      <w:r w:rsidR="00BC6BC9">
        <w:rPr>
          <w:rFonts w:ascii="Times New Roman" w:hAnsi="Times New Roman"/>
          <w:b/>
          <w:color w:val="000000"/>
          <w:sz w:val="32"/>
          <w:szCs w:val="32"/>
        </w:rPr>
        <w:t>4</w:t>
      </w:r>
      <w:r>
        <w:rPr>
          <w:rFonts w:ascii="Times New Roman" w:hAnsi="Times New Roman"/>
          <w:b/>
          <w:color w:val="000000"/>
          <w:sz w:val="32"/>
          <w:szCs w:val="32"/>
        </w:rPr>
        <w:t>年</w:t>
      </w:r>
      <w:r w:rsidR="00906278">
        <w:rPr>
          <w:rFonts w:ascii="Times New Roman" w:hAnsi="Times New Roman"/>
          <w:b/>
          <w:color w:val="000000"/>
          <w:sz w:val="32"/>
          <w:szCs w:val="32"/>
        </w:rPr>
        <w:t>第</w:t>
      </w:r>
      <w:r w:rsidR="00BC6BC9">
        <w:rPr>
          <w:rFonts w:ascii="Times New Roman" w:hAnsi="Times New Roman"/>
          <w:b/>
          <w:color w:val="000000"/>
          <w:sz w:val="32"/>
          <w:szCs w:val="32"/>
        </w:rPr>
        <w:t>1</w:t>
      </w:r>
      <w:r>
        <w:rPr>
          <w:rFonts w:ascii="Times New Roman" w:hAnsi="Times New Roman"/>
          <w:b/>
          <w:color w:val="000000"/>
          <w:sz w:val="32"/>
          <w:szCs w:val="32"/>
        </w:rPr>
        <w:t>号</w:t>
      </w:r>
      <w:r>
        <w:rPr>
          <w:rFonts w:ascii="Times New Roman" w:hAnsi="Times New Roman"/>
          <w:b/>
          <w:color w:val="000000"/>
          <w:sz w:val="32"/>
          <w:szCs w:val="32"/>
        </w:rPr>
        <w:t>)</w:t>
      </w:r>
    </w:p>
    <w:p w14:paraId="05761908" w14:textId="77777777" w:rsidR="001430E9" w:rsidRDefault="001430E9">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1EAAF564" w14:textId="77777777" w:rsidR="001430E9" w:rsidRDefault="001430E9">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1F94BA9F" w14:textId="77777777" w:rsidR="001430E9" w:rsidRDefault="001430E9">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27C82F91" w14:textId="77777777" w:rsidR="001430E9" w:rsidRDefault="001430E9">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45D5A44B" w14:textId="77777777" w:rsidR="001430E9" w:rsidRDefault="001430E9">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300CAA30" w14:textId="77777777" w:rsidR="001430E9" w:rsidRDefault="001430E9">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70E9BE37" w14:textId="77777777" w:rsidR="001430E9" w:rsidRDefault="00C86CDB">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基金管理人：交银施罗德基金管理有限公司</w:t>
      </w:r>
    </w:p>
    <w:p w14:paraId="52332875" w14:textId="77777777" w:rsidR="001430E9" w:rsidRDefault="00C86CDB">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基金托管人：中国农业银行股份有限公司</w:t>
      </w:r>
    </w:p>
    <w:p w14:paraId="0FA400AD" w14:textId="77777777" w:rsidR="001430E9" w:rsidRDefault="001430E9">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21BA9D1B" w14:textId="77777777" w:rsidR="001430E9" w:rsidRDefault="001430E9">
      <w:pPr>
        <w:autoSpaceDE w:val="0"/>
        <w:autoSpaceDN w:val="0"/>
        <w:adjustRightInd w:val="0"/>
        <w:snapToGrid w:val="0"/>
        <w:spacing w:line="360" w:lineRule="auto"/>
        <w:ind w:rightChars="6" w:right="13"/>
        <w:jc w:val="center"/>
        <w:rPr>
          <w:rFonts w:ascii="宋体" w:hAnsi="宋体"/>
          <w:spacing w:val="2"/>
          <w:w w:val="99"/>
          <w:kern w:val="0"/>
          <w:sz w:val="32"/>
          <w:szCs w:val="32"/>
        </w:rPr>
      </w:pPr>
    </w:p>
    <w:p w14:paraId="0F29C763" w14:textId="277B540A" w:rsidR="001430E9" w:rsidRDefault="00906278">
      <w:pPr>
        <w:autoSpaceDE w:val="0"/>
        <w:autoSpaceDN w:val="0"/>
        <w:adjustRightInd w:val="0"/>
        <w:snapToGrid w:val="0"/>
        <w:spacing w:line="360" w:lineRule="auto"/>
        <w:ind w:rightChars="6" w:right="13"/>
        <w:jc w:val="center"/>
        <w:rPr>
          <w:rFonts w:ascii="宋体" w:hAnsi="宋体"/>
          <w:b/>
          <w:kern w:val="0"/>
          <w:sz w:val="28"/>
          <w:szCs w:val="32"/>
        </w:rPr>
      </w:pPr>
      <w:r>
        <w:rPr>
          <w:rFonts w:ascii="Times New Roman" w:hAnsi="Times New Roman"/>
          <w:b/>
          <w:spacing w:val="2"/>
          <w:w w:val="99"/>
          <w:kern w:val="0"/>
          <w:sz w:val="28"/>
          <w:szCs w:val="32"/>
        </w:rPr>
        <w:t>二〇二</w:t>
      </w:r>
      <w:r w:rsidR="005620E7">
        <w:rPr>
          <w:rFonts w:ascii="Times New Roman" w:hAnsi="Times New Roman" w:hint="eastAsia"/>
          <w:b/>
          <w:spacing w:val="2"/>
          <w:w w:val="99"/>
          <w:kern w:val="0"/>
          <w:sz w:val="28"/>
          <w:szCs w:val="32"/>
        </w:rPr>
        <w:t>四</w:t>
      </w:r>
      <w:r>
        <w:rPr>
          <w:rFonts w:ascii="Times New Roman" w:hAnsi="Times New Roman"/>
          <w:b/>
          <w:spacing w:val="2"/>
          <w:w w:val="99"/>
          <w:kern w:val="0"/>
          <w:sz w:val="28"/>
          <w:szCs w:val="32"/>
        </w:rPr>
        <w:t>年</w:t>
      </w:r>
      <w:r w:rsidR="005620E7">
        <w:rPr>
          <w:rFonts w:ascii="Times New Roman" w:hAnsi="Times New Roman" w:hint="eastAsia"/>
          <w:b/>
          <w:spacing w:val="2"/>
          <w:w w:val="99"/>
          <w:kern w:val="0"/>
          <w:sz w:val="28"/>
          <w:szCs w:val="32"/>
        </w:rPr>
        <w:t>一</w:t>
      </w:r>
      <w:r>
        <w:rPr>
          <w:rFonts w:ascii="Times New Roman" w:hAnsi="Times New Roman"/>
          <w:b/>
          <w:spacing w:val="2"/>
          <w:w w:val="99"/>
          <w:kern w:val="0"/>
          <w:sz w:val="28"/>
          <w:szCs w:val="32"/>
        </w:rPr>
        <w:t>月</w:t>
      </w:r>
    </w:p>
    <w:p w14:paraId="50D2EBBE" w14:textId="77777777" w:rsidR="001430E9" w:rsidRDefault="001430E9">
      <w:pPr>
        <w:autoSpaceDE w:val="0"/>
        <w:autoSpaceDN w:val="0"/>
        <w:adjustRightInd w:val="0"/>
        <w:snapToGrid w:val="0"/>
        <w:spacing w:line="360" w:lineRule="auto"/>
        <w:ind w:left="1347" w:rightChars="6" w:right="13"/>
        <w:rPr>
          <w:rFonts w:ascii="宋体" w:hAnsi="宋体"/>
          <w:kern w:val="0"/>
          <w:sz w:val="32"/>
          <w:szCs w:val="32"/>
        </w:rPr>
        <w:sectPr w:rsidR="001430E9">
          <w:headerReference w:type="default" r:id="rId9"/>
          <w:footerReference w:type="default" r:id="rId10"/>
          <w:headerReference w:type="first" r:id="rId11"/>
          <w:pgSz w:w="11920" w:h="16840"/>
          <w:pgMar w:top="1560" w:right="1680" w:bottom="280" w:left="1680" w:header="0" w:footer="1073" w:gutter="0"/>
          <w:pgNumType w:start="1"/>
          <w:cols w:space="720"/>
          <w:titlePg/>
          <w:docGrid w:linePitch="286"/>
        </w:sectPr>
      </w:pPr>
    </w:p>
    <w:p w14:paraId="46AABC81" w14:textId="77777777" w:rsidR="001430E9" w:rsidRDefault="00C86CDB">
      <w:pPr>
        <w:pStyle w:val="1"/>
        <w:snapToGrid w:val="0"/>
        <w:spacing w:beforeLines="0" w:before="240" w:after="240"/>
        <w:rPr>
          <w:rFonts w:ascii="宋体" w:hAnsi="宋体"/>
          <w:kern w:val="0"/>
        </w:rPr>
      </w:pPr>
      <w:bookmarkStart w:id="0" w:name="_Toc324920538"/>
      <w:bookmarkStart w:id="1" w:name="_Toc496884613"/>
      <w:bookmarkStart w:id="2" w:name="_Toc137828482"/>
      <w:r>
        <w:rPr>
          <w:rFonts w:ascii="Times New Roman" w:hAnsi="Times New Roman"/>
          <w:kern w:val="0"/>
        </w:rPr>
        <w:lastRenderedPageBreak/>
        <w:t>重要提示</w:t>
      </w:r>
      <w:bookmarkEnd w:id="0"/>
      <w:bookmarkEnd w:id="1"/>
      <w:bookmarkEnd w:id="2"/>
    </w:p>
    <w:p w14:paraId="1F0E6A98" w14:textId="77777777" w:rsidR="001430E9" w:rsidRDefault="00C86CDB">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交银施罗德核心资产混合型证券投资基金（以下简称</w:t>
      </w:r>
      <w:r>
        <w:rPr>
          <w:rFonts w:ascii="Times New Roman" w:hAnsi="Times New Roman"/>
          <w:kern w:val="0"/>
          <w:sz w:val="24"/>
        </w:rPr>
        <w:t>“</w:t>
      </w:r>
      <w:r>
        <w:rPr>
          <w:rFonts w:ascii="Times New Roman" w:hAnsi="Times New Roman"/>
          <w:kern w:val="0"/>
          <w:sz w:val="24"/>
        </w:rPr>
        <w:t>本基金</w:t>
      </w:r>
      <w:r>
        <w:rPr>
          <w:rFonts w:ascii="Times New Roman" w:hAnsi="Times New Roman"/>
          <w:kern w:val="0"/>
          <w:sz w:val="24"/>
        </w:rPr>
        <w:t>”</w:t>
      </w:r>
      <w:r>
        <w:rPr>
          <w:rFonts w:ascii="Times New Roman" w:hAnsi="Times New Roman"/>
          <w:kern w:val="0"/>
          <w:sz w:val="24"/>
        </w:rPr>
        <w:t>）经</w:t>
      </w:r>
      <w:r>
        <w:rPr>
          <w:rFonts w:ascii="Times New Roman" w:hAnsi="Times New Roman"/>
          <w:kern w:val="0"/>
          <w:sz w:val="24"/>
        </w:rPr>
        <w:t>2018</w:t>
      </w:r>
      <w:r>
        <w:rPr>
          <w:rFonts w:ascii="Times New Roman" w:hAnsi="Times New Roman"/>
          <w:kern w:val="0"/>
          <w:sz w:val="24"/>
        </w:rPr>
        <w:t>年</w:t>
      </w:r>
      <w:r>
        <w:rPr>
          <w:rFonts w:ascii="Times New Roman" w:hAnsi="Times New Roman"/>
          <w:kern w:val="0"/>
          <w:sz w:val="24"/>
        </w:rPr>
        <w:t>7</w:t>
      </w:r>
      <w:r>
        <w:rPr>
          <w:rFonts w:ascii="Times New Roman" w:hAnsi="Times New Roman"/>
          <w:kern w:val="0"/>
          <w:sz w:val="24"/>
        </w:rPr>
        <w:t>月</w:t>
      </w:r>
      <w:r>
        <w:rPr>
          <w:rFonts w:ascii="Times New Roman" w:hAnsi="Times New Roman"/>
          <w:kern w:val="0"/>
          <w:sz w:val="24"/>
        </w:rPr>
        <w:t>3</w:t>
      </w:r>
      <w:r>
        <w:rPr>
          <w:rFonts w:ascii="Times New Roman" w:hAnsi="Times New Roman"/>
          <w:kern w:val="0"/>
          <w:sz w:val="24"/>
        </w:rPr>
        <w:t>日中国证券监督管理委员会（以下简称</w:t>
      </w:r>
      <w:r>
        <w:rPr>
          <w:rFonts w:ascii="Times New Roman" w:hAnsi="Times New Roman"/>
          <w:kern w:val="0"/>
          <w:sz w:val="24"/>
        </w:rPr>
        <w:t>“</w:t>
      </w:r>
      <w:r>
        <w:rPr>
          <w:rFonts w:ascii="Times New Roman" w:hAnsi="Times New Roman"/>
          <w:kern w:val="0"/>
          <w:sz w:val="24"/>
        </w:rPr>
        <w:t>中国证监会</w:t>
      </w:r>
      <w:r>
        <w:rPr>
          <w:rFonts w:ascii="Times New Roman" w:hAnsi="Times New Roman"/>
          <w:kern w:val="0"/>
          <w:sz w:val="24"/>
        </w:rPr>
        <w:t>”</w:t>
      </w:r>
      <w:r>
        <w:rPr>
          <w:rFonts w:ascii="Times New Roman" w:hAnsi="Times New Roman"/>
          <w:kern w:val="0"/>
          <w:sz w:val="24"/>
        </w:rPr>
        <w:t>）证监许可【</w:t>
      </w:r>
      <w:r>
        <w:rPr>
          <w:rFonts w:ascii="Times New Roman" w:hAnsi="Times New Roman"/>
          <w:kern w:val="0"/>
          <w:sz w:val="24"/>
        </w:rPr>
        <w:t>2018</w:t>
      </w:r>
      <w:r>
        <w:rPr>
          <w:rFonts w:ascii="Times New Roman" w:hAnsi="Times New Roman"/>
          <w:kern w:val="0"/>
          <w:sz w:val="24"/>
        </w:rPr>
        <w:t>】</w:t>
      </w:r>
      <w:r>
        <w:rPr>
          <w:rFonts w:ascii="Times New Roman" w:hAnsi="Times New Roman"/>
          <w:kern w:val="0"/>
          <w:sz w:val="24"/>
        </w:rPr>
        <w:t>1075</w:t>
      </w:r>
      <w:r>
        <w:rPr>
          <w:rFonts w:ascii="Times New Roman" w:hAnsi="Times New Roman"/>
          <w:kern w:val="0"/>
          <w:sz w:val="24"/>
        </w:rPr>
        <w:t>号文准予募集注册。本基金基金合同于</w:t>
      </w:r>
      <w:r>
        <w:rPr>
          <w:rFonts w:ascii="Times New Roman" w:hAnsi="Times New Roman"/>
          <w:kern w:val="0"/>
          <w:sz w:val="24"/>
        </w:rPr>
        <w:t>2019</w:t>
      </w:r>
      <w:r>
        <w:rPr>
          <w:rFonts w:ascii="Times New Roman" w:hAnsi="Times New Roman"/>
          <w:kern w:val="0"/>
          <w:sz w:val="24"/>
        </w:rPr>
        <w:t>年</w:t>
      </w:r>
      <w:r>
        <w:rPr>
          <w:rFonts w:ascii="Times New Roman" w:hAnsi="Times New Roman"/>
          <w:kern w:val="0"/>
          <w:sz w:val="24"/>
        </w:rPr>
        <w:t>1</w:t>
      </w:r>
      <w:r>
        <w:rPr>
          <w:rFonts w:ascii="Times New Roman" w:hAnsi="Times New Roman"/>
          <w:kern w:val="0"/>
          <w:sz w:val="24"/>
        </w:rPr>
        <w:t>月</w:t>
      </w:r>
      <w:r>
        <w:rPr>
          <w:rFonts w:ascii="Times New Roman" w:hAnsi="Times New Roman"/>
          <w:kern w:val="0"/>
          <w:sz w:val="24"/>
        </w:rPr>
        <w:t>18</w:t>
      </w:r>
      <w:r>
        <w:rPr>
          <w:rFonts w:ascii="Times New Roman" w:hAnsi="Times New Roman"/>
          <w:kern w:val="0"/>
          <w:sz w:val="24"/>
        </w:rPr>
        <w:t>日正式生效。</w:t>
      </w:r>
    </w:p>
    <w:p w14:paraId="071C18DF" w14:textId="77777777" w:rsidR="001430E9" w:rsidRDefault="00C86CDB">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保证招募说明书的内容真实、准确、完整。本招募说明书经中国证监会注册，但中国证监会对本基金募集的注册，并不表明其对本基金的价值和收益作出实质性判断或保证，也不表明投资于本基金没有风险。中国证监会不对基金的投资价值及市场前景等作出实质性判断或者保证。</w:t>
      </w:r>
    </w:p>
    <w:p w14:paraId="5BF2D9B5" w14:textId="77777777" w:rsidR="001430E9" w:rsidRDefault="00C86CDB">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14:paraId="0E96E586" w14:textId="77777777" w:rsidR="001430E9" w:rsidRDefault="00C86CDB">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投资于证券市场，基金净值会因为证券市场波动等因素产生波动。投资人在投资本基金前，需全面认识本基金产品的风险收益特征和产品特性，充分考虑自身的风险承受能力，理性判断市场，对投资本基金的意愿、时机、数量等投资行为作出独立决策。投资人根据所持有份额享受基金的收益，但同时也需承担相应的投资风险。投资本基金可能遇到的风险包括：因受到经济因素、政治因素、投资心理和交易制度等各种因素的影响而引起的市场风险；基金管理人在基金管理运作过程中产生的基金管理风险；流动性风险</w:t>
      </w:r>
      <w:r w:rsidR="00906278" w:rsidRPr="003170EC">
        <w:rPr>
          <w:rFonts w:ascii="Times New Roman" w:hAnsi="Times New Roman" w:hint="eastAsia"/>
          <w:kern w:val="0"/>
          <w:sz w:val="24"/>
        </w:rPr>
        <w:t>（包括实施侧袋机制时的特定风险）</w:t>
      </w:r>
      <w:r>
        <w:rPr>
          <w:rFonts w:ascii="Times New Roman" w:hAnsi="Times New Roman"/>
          <w:kern w:val="0"/>
          <w:sz w:val="24"/>
        </w:rPr>
        <w:t>；信用风险；本基金投资策略所特有的风险；投资股指期货的特定风险；投资资产支持证券的特定风险；投资流通受限证券的特定风险；投资科创板股票的特定风险；投资本基金的其他风险等等。本基金是一只混合型基金，其预期风险和预期收益高于债券型基金和货币市场基金，低于股票型基金。</w:t>
      </w:r>
    </w:p>
    <w:p w14:paraId="4DF00751" w14:textId="77777777" w:rsidR="001430E9" w:rsidRDefault="00C86CDB">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投资有风险，投资人在投资本基金前应认真阅读本基金的招募说明书、基金合同、基金产品资料概要等信息披露文件，自主判断基金的投资价值，自主作出投资决策，自行承担投资风险。基金的过往业绩并不代表未来表现。基金管理人管理的其他基金的业绩并不构成对本基金业绩表现的保证。基金管理人提醒投资者基金投资的</w:t>
      </w:r>
      <w:r>
        <w:rPr>
          <w:rFonts w:ascii="Times New Roman" w:hAnsi="Times New Roman"/>
          <w:kern w:val="0"/>
          <w:sz w:val="24"/>
        </w:rPr>
        <w:t>“</w:t>
      </w:r>
      <w:r>
        <w:rPr>
          <w:rFonts w:ascii="Times New Roman" w:hAnsi="Times New Roman"/>
          <w:kern w:val="0"/>
          <w:sz w:val="24"/>
        </w:rPr>
        <w:t>买者自负</w:t>
      </w:r>
      <w:r>
        <w:rPr>
          <w:rFonts w:ascii="Times New Roman" w:hAnsi="Times New Roman"/>
          <w:kern w:val="0"/>
          <w:sz w:val="24"/>
        </w:rPr>
        <w:t>”</w:t>
      </w:r>
      <w:r>
        <w:rPr>
          <w:rFonts w:ascii="Times New Roman" w:hAnsi="Times New Roman"/>
          <w:kern w:val="0"/>
          <w:sz w:val="24"/>
        </w:rPr>
        <w:t>原则，在投资者作出投资决策后，基金运营状况与基金净值变化引致的投资风险，由投资者自行负责。</w:t>
      </w:r>
    </w:p>
    <w:p w14:paraId="0C558CC4" w14:textId="77777777" w:rsidR="001430E9" w:rsidRDefault="00C86CDB">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本基金投资内地与香港股票市场交易互联互通机制允许买卖的规定范围内的</w:t>
      </w:r>
      <w:r>
        <w:rPr>
          <w:rFonts w:ascii="Times New Roman" w:hAnsi="Times New Roman"/>
          <w:kern w:val="0"/>
          <w:sz w:val="24"/>
        </w:rPr>
        <w:lastRenderedPageBreak/>
        <w:t>香港联合交易所有限公司（以下简称</w:t>
      </w:r>
      <w:r>
        <w:rPr>
          <w:rFonts w:ascii="Times New Roman" w:hAnsi="Times New Roman"/>
          <w:kern w:val="0"/>
          <w:sz w:val="24"/>
        </w:rPr>
        <w:t>“</w:t>
      </w:r>
      <w:r>
        <w:rPr>
          <w:rFonts w:ascii="Times New Roman" w:hAnsi="Times New Roman"/>
          <w:kern w:val="0"/>
          <w:sz w:val="24"/>
        </w:rPr>
        <w:t>香港联合交易所</w:t>
      </w:r>
      <w:r>
        <w:rPr>
          <w:rFonts w:ascii="Times New Roman" w:hAnsi="Times New Roman"/>
          <w:kern w:val="0"/>
          <w:sz w:val="24"/>
        </w:rPr>
        <w:t>”</w:t>
      </w:r>
      <w:r>
        <w:rPr>
          <w:rFonts w:ascii="Times New Roman" w:hAnsi="Times New Roman"/>
          <w:kern w:val="0"/>
          <w:sz w:val="24"/>
        </w:rPr>
        <w:t>）上市的股票（以下简称</w:t>
      </w:r>
      <w:r>
        <w:rPr>
          <w:rFonts w:ascii="Times New Roman" w:hAnsi="Times New Roman"/>
          <w:kern w:val="0"/>
          <w:sz w:val="24"/>
        </w:rPr>
        <w:t>“</w:t>
      </w:r>
      <w:r>
        <w:rPr>
          <w:rFonts w:ascii="Times New Roman" w:hAnsi="Times New Roman"/>
          <w:kern w:val="0"/>
          <w:sz w:val="24"/>
        </w:rPr>
        <w:t>港股通标的股票</w:t>
      </w:r>
      <w:r>
        <w:rPr>
          <w:rFonts w:ascii="Times New Roman" w:hAnsi="Times New Roman"/>
          <w:kern w:val="0"/>
          <w:sz w:val="24"/>
        </w:rPr>
        <w:t>”</w:t>
      </w:r>
      <w:r>
        <w:rPr>
          <w:rFonts w:ascii="Times New Roman" w:hAnsi="Times New Roman"/>
          <w:kern w:val="0"/>
          <w:sz w:val="24"/>
        </w:rPr>
        <w:t>）的，会面临港股通机制下因投资环境、投资标的、市场制度以及交易规则等差异带来的特有风险，包括港股市场股价波动较大的风险（港股市场实行</w:t>
      </w:r>
      <w:r>
        <w:rPr>
          <w:rFonts w:ascii="Times New Roman" w:hAnsi="Times New Roman"/>
          <w:kern w:val="0"/>
          <w:sz w:val="24"/>
        </w:rPr>
        <w:t>T+0</w:t>
      </w:r>
      <w:r>
        <w:rPr>
          <w:rFonts w:ascii="Times New Roman" w:hAnsi="Times New Roman"/>
          <w:kern w:val="0"/>
          <w:sz w:val="24"/>
        </w:rPr>
        <w:t>回转交易，且对个股不设涨跌幅限制，港股股价可能表现出比</w:t>
      </w:r>
      <w:r>
        <w:rPr>
          <w:rFonts w:ascii="Times New Roman" w:hAnsi="Times New Roman"/>
          <w:kern w:val="0"/>
          <w:sz w:val="24"/>
        </w:rPr>
        <w:t>A</w:t>
      </w:r>
      <w:r>
        <w:rPr>
          <w:rFonts w:ascii="Times New Roman" w:hAnsi="Times New Roman"/>
          <w:kern w:val="0"/>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具体风险烦请查阅本基金招募说明书的</w:t>
      </w:r>
      <w:r>
        <w:rPr>
          <w:rFonts w:ascii="Times New Roman" w:hAnsi="Times New Roman"/>
          <w:kern w:val="0"/>
          <w:sz w:val="24"/>
        </w:rPr>
        <w:t>“</w:t>
      </w:r>
      <w:r>
        <w:rPr>
          <w:rFonts w:ascii="Times New Roman" w:hAnsi="Times New Roman"/>
          <w:kern w:val="0"/>
          <w:sz w:val="24"/>
        </w:rPr>
        <w:t>风险揭示</w:t>
      </w:r>
      <w:r>
        <w:rPr>
          <w:rFonts w:ascii="Times New Roman" w:hAnsi="Times New Roman"/>
          <w:kern w:val="0"/>
          <w:sz w:val="24"/>
        </w:rPr>
        <w:t>”</w:t>
      </w:r>
      <w:r>
        <w:rPr>
          <w:rFonts w:ascii="Times New Roman" w:hAnsi="Times New Roman"/>
          <w:kern w:val="0"/>
          <w:sz w:val="24"/>
        </w:rPr>
        <w:t>章节的具体内容。</w:t>
      </w:r>
    </w:p>
    <w:p w14:paraId="4905E29D" w14:textId="77777777" w:rsidR="001430E9" w:rsidRDefault="00C86CDB">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基金可根据投资策略需要或不同配置地市场环境的变化，选择将部分基金资产投资于港股或选择不将基金资产投资于港股，基金资产并非必然投资港股。</w:t>
      </w:r>
    </w:p>
    <w:p w14:paraId="01D38FB5" w14:textId="77777777" w:rsidR="001430E9" w:rsidRDefault="00C86CDB">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本基金单一投资者持有基金份额数不得超过基金份额总数的</w:t>
      </w:r>
      <w:r>
        <w:rPr>
          <w:rFonts w:ascii="Times New Roman" w:hAnsi="Times New Roman"/>
          <w:kern w:val="0"/>
          <w:sz w:val="24"/>
        </w:rPr>
        <w:t>50%</w:t>
      </w:r>
      <w:r>
        <w:rPr>
          <w:rFonts w:ascii="Times New Roman" w:hAnsi="Times New Roman"/>
          <w:kern w:val="0"/>
          <w:sz w:val="24"/>
        </w:rPr>
        <w:t>，但在基金运作过程中因基金份额赎回等情形导致被动超过前述</w:t>
      </w:r>
      <w:r>
        <w:rPr>
          <w:rFonts w:ascii="Times New Roman" w:hAnsi="Times New Roman"/>
          <w:kern w:val="0"/>
          <w:sz w:val="24"/>
        </w:rPr>
        <w:t>50%</w:t>
      </w:r>
      <w:r>
        <w:rPr>
          <w:rFonts w:ascii="Times New Roman" w:hAnsi="Times New Roman"/>
          <w:kern w:val="0"/>
          <w:sz w:val="24"/>
        </w:rPr>
        <w:t>比例的除外。</w:t>
      </w:r>
    </w:p>
    <w:p w14:paraId="2C3CD119" w14:textId="77777777" w:rsidR="001430E9" w:rsidRDefault="00C86CDB">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招募说明书</w:t>
      </w:r>
      <w:r>
        <w:rPr>
          <w:rFonts w:ascii="Times New Roman" w:hAnsi="Times New Roman"/>
          <w:kern w:val="0"/>
          <w:sz w:val="24"/>
        </w:rPr>
        <w:t>“</w:t>
      </w:r>
      <w:r>
        <w:rPr>
          <w:rFonts w:ascii="Times New Roman" w:hAnsi="Times New Roman"/>
          <w:kern w:val="0"/>
          <w:sz w:val="24"/>
        </w:rPr>
        <w:t>风险揭示</w:t>
      </w:r>
      <w:r>
        <w:rPr>
          <w:rFonts w:ascii="Times New Roman" w:hAnsi="Times New Roman"/>
          <w:kern w:val="0"/>
          <w:sz w:val="24"/>
        </w:rPr>
        <w:t>”</w:t>
      </w:r>
      <w:r>
        <w:rPr>
          <w:rFonts w:ascii="Times New Roman" w:hAnsi="Times New Roman"/>
          <w:kern w:val="0"/>
          <w:sz w:val="24"/>
        </w:rPr>
        <w:t>章节内容。</w:t>
      </w:r>
    </w:p>
    <w:p w14:paraId="342E645B" w14:textId="77777777" w:rsidR="001430E9" w:rsidRDefault="00C86CDB">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本基金可根据投资策略需要或市场环境的变化，选择将部分基金资产投资于存托凭证或选择不将基金资产投资于存托凭证，基金资产并非必然投资存托凭证。</w:t>
      </w:r>
    </w:p>
    <w:p w14:paraId="72CCD158" w14:textId="589F7D6C" w:rsidR="001430E9" w:rsidRDefault="00906278">
      <w:pPr>
        <w:autoSpaceDE w:val="0"/>
        <w:autoSpaceDN w:val="0"/>
        <w:adjustRightInd w:val="0"/>
        <w:snapToGrid w:val="0"/>
        <w:spacing w:line="360" w:lineRule="auto"/>
        <w:ind w:leftChars="50" w:left="105" w:firstLineChars="200" w:firstLine="480"/>
        <w:rPr>
          <w:rFonts w:ascii="宋体" w:hAnsi="宋体"/>
          <w:kern w:val="0"/>
          <w:sz w:val="24"/>
        </w:rPr>
      </w:pPr>
      <w:r w:rsidRPr="00E96140">
        <w:rPr>
          <w:rFonts w:ascii="Times New Roman" w:hAnsi="Times New Roman" w:hint="eastAsia"/>
          <w:kern w:val="0"/>
          <w:sz w:val="24"/>
        </w:rPr>
        <w:t>本次更新招募说明书主要对本基金增设</w:t>
      </w:r>
      <w:r w:rsidRPr="00E96140">
        <w:rPr>
          <w:rFonts w:ascii="Times New Roman" w:hAnsi="Times New Roman" w:hint="eastAsia"/>
          <w:kern w:val="0"/>
          <w:sz w:val="24"/>
        </w:rPr>
        <w:t>C</w:t>
      </w:r>
      <w:r>
        <w:rPr>
          <w:rFonts w:ascii="Times New Roman" w:hAnsi="Times New Roman" w:hint="eastAsia"/>
          <w:kern w:val="0"/>
          <w:sz w:val="24"/>
        </w:rPr>
        <w:t>类基金份额</w:t>
      </w:r>
      <w:r w:rsidRPr="00E96140">
        <w:rPr>
          <w:rFonts w:ascii="Times New Roman" w:hAnsi="Times New Roman" w:hint="eastAsia"/>
          <w:kern w:val="0"/>
          <w:sz w:val="24"/>
        </w:rPr>
        <w:t>、增加侧袋机制等相关信息进行更新，前述内容更新截止日为</w:t>
      </w:r>
      <w:r>
        <w:rPr>
          <w:rFonts w:ascii="Times New Roman" w:hAnsi="Times New Roman" w:hint="eastAsia"/>
          <w:kern w:val="0"/>
          <w:sz w:val="24"/>
        </w:rPr>
        <w:t>202</w:t>
      </w:r>
      <w:r w:rsidR="0096686E">
        <w:rPr>
          <w:rFonts w:ascii="Times New Roman" w:hAnsi="Times New Roman"/>
          <w:kern w:val="0"/>
          <w:sz w:val="24"/>
        </w:rPr>
        <w:t>4</w:t>
      </w:r>
      <w:r w:rsidRPr="00E96140">
        <w:rPr>
          <w:rFonts w:ascii="Times New Roman" w:hAnsi="Times New Roman" w:hint="eastAsia"/>
          <w:kern w:val="0"/>
          <w:sz w:val="24"/>
        </w:rPr>
        <w:t>年</w:t>
      </w:r>
      <w:r w:rsidR="0096686E">
        <w:rPr>
          <w:rFonts w:ascii="Times New Roman" w:hAnsi="Times New Roman"/>
          <w:kern w:val="0"/>
          <w:sz w:val="24"/>
        </w:rPr>
        <w:t>1</w:t>
      </w:r>
      <w:r w:rsidRPr="00E96140">
        <w:rPr>
          <w:rFonts w:ascii="Times New Roman" w:hAnsi="Times New Roman" w:hint="eastAsia"/>
          <w:kern w:val="0"/>
          <w:sz w:val="24"/>
        </w:rPr>
        <w:t>月</w:t>
      </w:r>
      <w:r w:rsidR="0096686E">
        <w:rPr>
          <w:rFonts w:ascii="Times New Roman" w:hAnsi="Times New Roman"/>
          <w:kern w:val="0"/>
          <w:sz w:val="24"/>
        </w:rPr>
        <w:t>8</w:t>
      </w:r>
      <w:r w:rsidRPr="00E96140">
        <w:rPr>
          <w:rFonts w:ascii="Times New Roman" w:hAnsi="Times New Roman" w:hint="eastAsia"/>
          <w:kern w:val="0"/>
          <w:sz w:val="24"/>
        </w:rPr>
        <w:t>日。</w:t>
      </w:r>
      <w:r w:rsidR="001113D4" w:rsidRPr="001113D4">
        <w:rPr>
          <w:rFonts w:ascii="Times New Roman" w:hAnsi="Times New Roman" w:hint="eastAsia"/>
          <w:kern w:val="0"/>
          <w:sz w:val="24"/>
        </w:rPr>
        <w:t>调整管理费率和托管费率相关事项更新截止日为</w:t>
      </w:r>
      <w:r w:rsidR="001113D4" w:rsidRPr="001113D4">
        <w:rPr>
          <w:rFonts w:ascii="Times New Roman" w:hAnsi="Times New Roman" w:hint="eastAsia"/>
          <w:kern w:val="0"/>
          <w:sz w:val="24"/>
        </w:rPr>
        <w:t>2023</w:t>
      </w:r>
      <w:r w:rsidR="001113D4" w:rsidRPr="001113D4">
        <w:rPr>
          <w:rFonts w:ascii="Times New Roman" w:hAnsi="Times New Roman" w:hint="eastAsia"/>
          <w:kern w:val="0"/>
          <w:sz w:val="24"/>
        </w:rPr>
        <w:t>年</w:t>
      </w:r>
      <w:r w:rsidR="001113D4" w:rsidRPr="001113D4">
        <w:rPr>
          <w:rFonts w:ascii="Times New Roman" w:hAnsi="Times New Roman" w:hint="eastAsia"/>
          <w:kern w:val="0"/>
          <w:sz w:val="24"/>
        </w:rPr>
        <w:t>07</w:t>
      </w:r>
      <w:r w:rsidR="001113D4" w:rsidRPr="001113D4">
        <w:rPr>
          <w:rFonts w:ascii="Times New Roman" w:hAnsi="Times New Roman" w:hint="eastAsia"/>
          <w:kern w:val="0"/>
          <w:sz w:val="24"/>
        </w:rPr>
        <w:t>月</w:t>
      </w:r>
      <w:r w:rsidR="001113D4" w:rsidRPr="001113D4">
        <w:rPr>
          <w:rFonts w:ascii="Times New Roman" w:hAnsi="Times New Roman" w:hint="eastAsia"/>
          <w:kern w:val="0"/>
          <w:sz w:val="24"/>
        </w:rPr>
        <w:t>10</w:t>
      </w:r>
      <w:r w:rsidR="001113D4" w:rsidRPr="001113D4">
        <w:rPr>
          <w:rFonts w:ascii="Times New Roman" w:hAnsi="Times New Roman" w:hint="eastAsia"/>
          <w:kern w:val="0"/>
          <w:sz w:val="24"/>
        </w:rPr>
        <w:t>日，除非另有说明，</w:t>
      </w:r>
      <w:r w:rsidR="00C86CDB">
        <w:rPr>
          <w:rFonts w:ascii="Times New Roman" w:hAnsi="Times New Roman"/>
          <w:kern w:val="0"/>
          <w:sz w:val="24"/>
        </w:rPr>
        <w:t>本招募说明书</w:t>
      </w:r>
      <w:r w:rsidR="001113D4">
        <w:rPr>
          <w:rFonts w:ascii="Times New Roman" w:hAnsi="Times New Roman"/>
          <w:kern w:val="0"/>
          <w:sz w:val="24"/>
        </w:rPr>
        <w:t>其他</w:t>
      </w:r>
      <w:r w:rsidR="00C86CDB">
        <w:rPr>
          <w:rFonts w:ascii="Times New Roman" w:hAnsi="Times New Roman"/>
          <w:kern w:val="0"/>
          <w:sz w:val="24"/>
        </w:rPr>
        <w:t>所载内容截止日为</w:t>
      </w:r>
      <w:r w:rsidR="00C86CDB">
        <w:rPr>
          <w:rFonts w:ascii="Times New Roman" w:hAnsi="Times New Roman"/>
          <w:kern w:val="0"/>
          <w:sz w:val="24"/>
        </w:rPr>
        <w:t>2023</w:t>
      </w:r>
      <w:r w:rsidR="00C86CDB">
        <w:rPr>
          <w:rFonts w:ascii="Times New Roman" w:hAnsi="Times New Roman"/>
          <w:kern w:val="0"/>
          <w:sz w:val="24"/>
        </w:rPr>
        <w:t>年</w:t>
      </w:r>
      <w:r w:rsidR="00C86CDB">
        <w:rPr>
          <w:rFonts w:ascii="Times New Roman" w:hAnsi="Times New Roman"/>
          <w:kern w:val="0"/>
          <w:sz w:val="24"/>
        </w:rPr>
        <w:t>05</w:t>
      </w:r>
      <w:r w:rsidR="00C86CDB">
        <w:rPr>
          <w:rFonts w:ascii="Times New Roman" w:hAnsi="Times New Roman"/>
          <w:kern w:val="0"/>
          <w:sz w:val="24"/>
        </w:rPr>
        <w:t>月</w:t>
      </w:r>
      <w:r w:rsidR="00C86CDB">
        <w:rPr>
          <w:rFonts w:ascii="Times New Roman" w:hAnsi="Times New Roman"/>
          <w:kern w:val="0"/>
          <w:sz w:val="24"/>
        </w:rPr>
        <w:t>27</w:t>
      </w:r>
      <w:r w:rsidR="00C86CDB">
        <w:rPr>
          <w:rFonts w:ascii="Times New Roman" w:hAnsi="Times New Roman"/>
          <w:kern w:val="0"/>
          <w:sz w:val="24"/>
        </w:rPr>
        <w:t>日，有关财务数据和净值表现截止日为</w:t>
      </w:r>
      <w:r w:rsidR="00C86CDB">
        <w:rPr>
          <w:rFonts w:ascii="Times New Roman" w:hAnsi="Times New Roman"/>
          <w:kern w:val="0"/>
          <w:sz w:val="24"/>
        </w:rPr>
        <w:t>2023</w:t>
      </w:r>
      <w:r w:rsidR="00C86CDB">
        <w:rPr>
          <w:rFonts w:ascii="Times New Roman" w:hAnsi="Times New Roman"/>
          <w:kern w:val="0"/>
          <w:sz w:val="24"/>
        </w:rPr>
        <w:t>年</w:t>
      </w:r>
      <w:r w:rsidR="00C86CDB">
        <w:rPr>
          <w:rFonts w:ascii="Times New Roman" w:hAnsi="Times New Roman"/>
          <w:kern w:val="0"/>
          <w:sz w:val="24"/>
        </w:rPr>
        <w:t>03</w:t>
      </w:r>
      <w:r w:rsidR="00C86CDB">
        <w:rPr>
          <w:rFonts w:ascii="Times New Roman" w:hAnsi="Times New Roman"/>
          <w:kern w:val="0"/>
          <w:sz w:val="24"/>
        </w:rPr>
        <w:t>月</w:t>
      </w:r>
      <w:r w:rsidR="00C86CDB">
        <w:rPr>
          <w:rFonts w:ascii="Times New Roman" w:hAnsi="Times New Roman"/>
          <w:kern w:val="0"/>
          <w:sz w:val="24"/>
        </w:rPr>
        <w:t>31</w:t>
      </w:r>
      <w:r w:rsidR="00C86CDB">
        <w:rPr>
          <w:rFonts w:ascii="Times New Roman" w:hAnsi="Times New Roman"/>
          <w:kern w:val="0"/>
          <w:sz w:val="24"/>
        </w:rPr>
        <w:t>日。本招募说明书所载的财务数据未经审计。</w:t>
      </w:r>
    </w:p>
    <w:p w14:paraId="36881874" w14:textId="77777777" w:rsidR="001430E9" w:rsidRDefault="001430E9">
      <w:pPr>
        <w:autoSpaceDE w:val="0"/>
        <w:autoSpaceDN w:val="0"/>
        <w:adjustRightInd w:val="0"/>
        <w:snapToGrid w:val="0"/>
        <w:spacing w:before="51" w:line="360" w:lineRule="auto"/>
        <w:ind w:left="120" w:rightChars="6" w:right="13" w:firstLine="480"/>
        <w:rPr>
          <w:rFonts w:ascii="宋体" w:hAnsi="宋体"/>
          <w:kern w:val="0"/>
          <w:szCs w:val="24"/>
        </w:rPr>
        <w:sectPr w:rsidR="001430E9">
          <w:headerReference w:type="default" r:id="rId12"/>
          <w:pgSz w:w="11920" w:h="16840"/>
          <w:pgMar w:top="1440" w:right="1680" w:bottom="280" w:left="1680" w:header="0" w:footer="1073" w:gutter="0"/>
          <w:pgNumType w:start="1"/>
          <w:cols w:space="720"/>
        </w:sectPr>
      </w:pPr>
    </w:p>
    <w:p w14:paraId="1E1EDACE" w14:textId="77777777" w:rsidR="00251047" w:rsidRPr="00251047" w:rsidRDefault="00C86CDB" w:rsidP="00251047">
      <w:pPr>
        <w:pStyle w:val="af3"/>
        <w:snapToGrid w:val="0"/>
        <w:spacing w:after="240" w:line="360" w:lineRule="auto"/>
        <w:jc w:val="center"/>
        <w:rPr>
          <w:rFonts w:ascii="宋体" w:hAnsi="宋体"/>
          <w:noProof/>
          <w:sz w:val="24"/>
        </w:rPr>
      </w:pPr>
      <w:r w:rsidRPr="00251047">
        <w:rPr>
          <w:rFonts w:ascii="宋体" w:hAnsi="宋体"/>
          <w:color w:val="000000"/>
          <w:position w:val="-4"/>
          <w:sz w:val="24"/>
          <w:szCs w:val="30"/>
        </w:rPr>
        <w:lastRenderedPageBreak/>
        <w:t>目</w:t>
      </w:r>
      <w:r w:rsidRPr="00251047">
        <w:rPr>
          <w:rFonts w:ascii="宋体" w:hAnsi="宋体"/>
          <w:color w:val="000000"/>
          <w:position w:val="-4"/>
          <w:sz w:val="24"/>
          <w:szCs w:val="30"/>
        </w:rPr>
        <w:tab/>
        <w:t>录</w:t>
      </w:r>
      <w:r w:rsidR="00251047" w:rsidRPr="00251047">
        <w:rPr>
          <w:rFonts w:ascii="宋体" w:hAnsi="宋体"/>
          <w:color w:val="000000"/>
          <w:position w:val="-4"/>
          <w:sz w:val="24"/>
          <w:szCs w:val="30"/>
        </w:rPr>
        <w:fldChar w:fldCharType="begin"/>
      </w:r>
      <w:r w:rsidR="00251047" w:rsidRPr="00251047">
        <w:rPr>
          <w:rFonts w:ascii="宋体" w:hAnsi="宋体"/>
          <w:color w:val="000000"/>
          <w:position w:val="-4"/>
          <w:sz w:val="24"/>
          <w:szCs w:val="30"/>
        </w:rPr>
        <w:instrText xml:space="preserve"> TOC \o "1-3" \f - \h \t "-1" </w:instrText>
      </w:r>
      <w:r w:rsidR="00251047" w:rsidRPr="00251047">
        <w:rPr>
          <w:rFonts w:ascii="宋体" w:hAnsi="宋体"/>
          <w:color w:val="000000"/>
          <w:position w:val="-4"/>
          <w:sz w:val="24"/>
          <w:szCs w:val="30"/>
        </w:rPr>
        <w:fldChar w:fldCharType="separate"/>
      </w:r>
    </w:p>
    <w:p w14:paraId="20BCE150" w14:textId="7EB5E6CD" w:rsidR="00251047" w:rsidRPr="003619C4" w:rsidRDefault="00BF772E" w:rsidP="00251047">
      <w:pPr>
        <w:pStyle w:val="11"/>
        <w:tabs>
          <w:tab w:val="right" w:leader="dot" w:pos="8550"/>
        </w:tabs>
        <w:spacing w:line="360" w:lineRule="auto"/>
        <w:rPr>
          <w:rFonts w:ascii="宋体" w:hAnsi="宋体"/>
          <w:noProof/>
          <w:sz w:val="24"/>
        </w:rPr>
      </w:pPr>
      <w:hyperlink w:anchor="_Toc137828482" w:history="1">
        <w:r w:rsidR="00251047" w:rsidRPr="00251047">
          <w:rPr>
            <w:rStyle w:val="af0"/>
            <w:rFonts w:ascii="宋体" w:hAnsi="宋体" w:hint="eastAsia"/>
            <w:noProof/>
            <w:kern w:val="0"/>
            <w:sz w:val="24"/>
          </w:rPr>
          <w:t>重要提示</w:t>
        </w:r>
        <w:r w:rsidR="00251047" w:rsidRPr="00251047">
          <w:rPr>
            <w:rFonts w:ascii="宋体" w:hAnsi="宋体"/>
            <w:noProof/>
            <w:sz w:val="24"/>
          </w:rPr>
          <w:tab/>
        </w:r>
        <w:r w:rsidR="00251047" w:rsidRPr="00251047">
          <w:rPr>
            <w:rFonts w:ascii="宋体" w:hAnsi="宋体"/>
            <w:noProof/>
            <w:sz w:val="24"/>
          </w:rPr>
          <w:fldChar w:fldCharType="begin"/>
        </w:r>
        <w:r w:rsidR="00251047" w:rsidRPr="00251047">
          <w:rPr>
            <w:rFonts w:ascii="宋体" w:hAnsi="宋体"/>
            <w:noProof/>
            <w:sz w:val="24"/>
          </w:rPr>
          <w:instrText xml:space="preserve"> PAGEREF _Toc137828482 \h </w:instrText>
        </w:r>
        <w:r w:rsidR="00251047" w:rsidRPr="00251047">
          <w:rPr>
            <w:rFonts w:ascii="宋体" w:hAnsi="宋体"/>
            <w:noProof/>
            <w:sz w:val="24"/>
          </w:rPr>
        </w:r>
        <w:r w:rsidR="00251047" w:rsidRPr="00251047">
          <w:rPr>
            <w:rFonts w:ascii="宋体" w:hAnsi="宋体"/>
            <w:noProof/>
            <w:sz w:val="24"/>
          </w:rPr>
          <w:fldChar w:fldCharType="separate"/>
        </w:r>
        <w:r w:rsidR="00FE1100">
          <w:rPr>
            <w:rFonts w:ascii="宋体" w:hAnsi="宋体"/>
            <w:noProof/>
            <w:sz w:val="24"/>
          </w:rPr>
          <w:t>1</w:t>
        </w:r>
        <w:r w:rsidR="00251047" w:rsidRPr="00251047">
          <w:rPr>
            <w:rFonts w:ascii="宋体" w:hAnsi="宋体"/>
            <w:noProof/>
            <w:sz w:val="24"/>
          </w:rPr>
          <w:fldChar w:fldCharType="end"/>
        </w:r>
      </w:hyperlink>
    </w:p>
    <w:p w14:paraId="091C70B0" w14:textId="30ACBDF6" w:rsidR="00251047" w:rsidRPr="003619C4" w:rsidRDefault="00BF772E" w:rsidP="00251047">
      <w:pPr>
        <w:pStyle w:val="11"/>
        <w:tabs>
          <w:tab w:val="right" w:leader="dot" w:pos="8550"/>
        </w:tabs>
        <w:spacing w:line="360" w:lineRule="auto"/>
        <w:rPr>
          <w:rFonts w:ascii="宋体" w:hAnsi="宋体"/>
          <w:noProof/>
          <w:sz w:val="24"/>
        </w:rPr>
      </w:pPr>
      <w:hyperlink w:anchor="_Toc137828483" w:history="1">
        <w:r w:rsidR="00251047" w:rsidRPr="00251047">
          <w:rPr>
            <w:rStyle w:val="af0"/>
            <w:rFonts w:ascii="宋体" w:hAnsi="宋体" w:hint="eastAsia"/>
            <w:noProof/>
            <w:sz w:val="24"/>
          </w:rPr>
          <w:t>一、绪言</w:t>
        </w:r>
        <w:r w:rsidR="00251047" w:rsidRPr="00251047">
          <w:rPr>
            <w:rFonts w:ascii="宋体" w:hAnsi="宋体"/>
            <w:noProof/>
            <w:sz w:val="24"/>
          </w:rPr>
          <w:tab/>
        </w:r>
        <w:r w:rsidR="00251047" w:rsidRPr="00251047">
          <w:rPr>
            <w:rFonts w:ascii="宋体" w:hAnsi="宋体"/>
            <w:noProof/>
            <w:sz w:val="24"/>
          </w:rPr>
          <w:fldChar w:fldCharType="begin"/>
        </w:r>
        <w:r w:rsidR="00251047" w:rsidRPr="00251047">
          <w:rPr>
            <w:rFonts w:ascii="宋体" w:hAnsi="宋体"/>
            <w:noProof/>
            <w:sz w:val="24"/>
          </w:rPr>
          <w:instrText xml:space="preserve"> PAGEREF _Toc137828483 \h </w:instrText>
        </w:r>
        <w:r w:rsidR="00251047" w:rsidRPr="00251047">
          <w:rPr>
            <w:rFonts w:ascii="宋体" w:hAnsi="宋体"/>
            <w:noProof/>
            <w:sz w:val="24"/>
          </w:rPr>
        </w:r>
        <w:r w:rsidR="00251047" w:rsidRPr="00251047">
          <w:rPr>
            <w:rFonts w:ascii="宋体" w:hAnsi="宋体"/>
            <w:noProof/>
            <w:sz w:val="24"/>
          </w:rPr>
          <w:fldChar w:fldCharType="separate"/>
        </w:r>
        <w:r w:rsidR="00FE1100">
          <w:rPr>
            <w:rFonts w:ascii="宋体" w:hAnsi="宋体"/>
            <w:noProof/>
            <w:sz w:val="24"/>
          </w:rPr>
          <w:t>4</w:t>
        </w:r>
        <w:r w:rsidR="00251047" w:rsidRPr="00251047">
          <w:rPr>
            <w:rFonts w:ascii="宋体" w:hAnsi="宋体"/>
            <w:noProof/>
            <w:sz w:val="24"/>
          </w:rPr>
          <w:fldChar w:fldCharType="end"/>
        </w:r>
      </w:hyperlink>
    </w:p>
    <w:p w14:paraId="231BD360" w14:textId="4DD755C4" w:rsidR="00251047" w:rsidRPr="003619C4" w:rsidRDefault="00BF772E" w:rsidP="00251047">
      <w:pPr>
        <w:pStyle w:val="11"/>
        <w:tabs>
          <w:tab w:val="right" w:leader="dot" w:pos="8550"/>
        </w:tabs>
        <w:spacing w:line="360" w:lineRule="auto"/>
        <w:rPr>
          <w:rFonts w:ascii="宋体" w:hAnsi="宋体"/>
          <w:noProof/>
          <w:sz w:val="24"/>
        </w:rPr>
      </w:pPr>
      <w:hyperlink w:anchor="_Toc137828484" w:history="1">
        <w:r w:rsidR="00251047" w:rsidRPr="00251047">
          <w:rPr>
            <w:rStyle w:val="af0"/>
            <w:rFonts w:ascii="宋体" w:hAnsi="宋体" w:hint="eastAsia"/>
            <w:noProof/>
            <w:sz w:val="24"/>
          </w:rPr>
          <w:t>二、释义</w:t>
        </w:r>
        <w:r w:rsidR="00251047" w:rsidRPr="00251047">
          <w:rPr>
            <w:rFonts w:ascii="宋体" w:hAnsi="宋体"/>
            <w:noProof/>
            <w:sz w:val="24"/>
          </w:rPr>
          <w:tab/>
        </w:r>
        <w:r w:rsidR="00251047" w:rsidRPr="00251047">
          <w:rPr>
            <w:rFonts w:ascii="宋体" w:hAnsi="宋体"/>
            <w:noProof/>
            <w:sz w:val="24"/>
          </w:rPr>
          <w:fldChar w:fldCharType="begin"/>
        </w:r>
        <w:r w:rsidR="00251047" w:rsidRPr="00251047">
          <w:rPr>
            <w:rFonts w:ascii="宋体" w:hAnsi="宋体"/>
            <w:noProof/>
            <w:sz w:val="24"/>
          </w:rPr>
          <w:instrText xml:space="preserve"> PAGEREF _Toc137828484 \h </w:instrText>
        </w:r>
        <w:r w:rsidR="00251047" w:rsidRPr="00251047">
          <w:rPr>
            <w:rFonts w:ascii="宋体" w:hAnsi="宋体"/>
            <w:noProof/>
            <w:sz w:val="24"/>
          </w:rPr>
        </w:r>
        <w:r w:rsidR="00251047" w:rsidRPr="00251047">
          <w:rPr>
            <w:rFonts w:ascii="宋体" w:hAnsi="宋体"/>
            <w:noProof/>
            <w:sz w:val="24"/>
          </w:rPr>
          <w:fldChar w:fldCharType="separate"/>
        </w:r>
        <w:r w:rsidR="00FE1100">
          <w:rPr>
            <w:rFonts w:ascii="宋体" w:hAnsi="宋体"/>
            <w:noProof/>
            <w:sz w:val="24"/>
          </w:rPr>
          <w:t>5</w:t>
        </w:r>
        <w:r w:rsidR="00251047" w:rsidRPr="00251047">
          <w:rPr>
            <w:rFonts w:ascii="宋体" w:hAnsi="宋体"/>
            <w:noProof/>
            <w:sz w:val="24"/>
          </w:rPr>
          <w:fldChar w:fldCharType="end"/>
        </w:r>
      </w:hyperlink>
    </w:p>
    <w:p w14:paraId="7D88CFA1" w14:textId="3DD560DE" w:rsidR="00251047" w:rsidRPr="003619C4" w:rsidRDefault="00BF772E" w:rsidP="00251047">
      <w:pPr>
        <w:pStyle w:val="11"/>
        <w:tabs>
          <w:tab w:val="right" w:leader="dot" w:pos="8550"/>
        </w:tabs>
        <w:spacing w:line="360" w:lineRule="auto"/>
        <w:rPr>
          <w:rFonts w:ascii="宋体" w:hAnsi="宋体"/>
          <w:noProof/>
          <w:sz w:val="24"/>
        </w:rPr>
      </w:pPr>
      <w:hyperlink w:anchor="_Toc137828485" w:history="1">
        <w:r w:rsidR="00251047" w:rsidRPr="00251047">
          <w:rPr>
            <w:rStyle w:val="af0"/>
            <w:rFonts w:ascii="宋体" w:hAnsi="宋体" w:hint="eastAsia"/>
            <w:noProof/>
            <w:sz w:val="24"/>
          </w:rPr>
          <w:t>三、基金管理人</w:t>
        </w:r>
        <w:r w:rsidR="00251047" w:rsidRPr="00251047">
          <w:rPr>
            <w:rFonts w:ascii="宋体" w:hAnsi="宋体"/>
            <w:noProof/>
            <w:sz w:val="24"/>
          </w:rPr>
          <w:tab/>
        </w:r>
        <w:r w:rsidR="00251047" w:rsidRPr="00251047">
          <w:rPr>
            <w:rFonts w:ascii="宋体" w:hAnsi="宋体"/>
            <w:noProof/>
            <w:sz w:val="24"/>
          </w:rPr>
          <w:fldChar w:fldCharType="begin"/>
        </w:r>
        <w:r w:rsidR="00251047" w:rsidRPr="00251047">
          <w:rPr>
            <w:rFonts w:ascii="宋体" w:hAnsi="宋体"/>
            <w:noProof/>
            <w:sz w:val="24"/>
          </w:rPr>
          <w:instrText xml:space="preserve"> PAGEREF _Toc137828485 \h </w:instrText>
        </w:r>
        <w:r w:rsidR="00251047" w:rsidRPr="00251047">
          <w:rPr>
            <w:rFonts w:ascii="宋体" w:hAnsi="宋体"/>
            <w:noProof/>
            <w:sz w:val="24"/>
          </w:rPr>
        </w:r>
        <w:r w:rsidR="00251047" w:rsidRPr="00251047">
          <w:rPr>
            <w:rFonts w:ascii="宋体" w:hAnsi="宋体"/>
            <w:noProof/>
            <w:sz w:val="24"/>
          </w:rPr>
          <w:fldChar w:fldCharType="separate"/>
        </w:r>
        <w:r w:rsidR="00FE1100">
          <w:rPr>
            <w:rFonts w:ascii="宋体" w:hAnsi="宋体"/>
            <w:noProof/>
            <w:sz w:val="24"/>
          </w:rPr>
          <w:t>10</w:t>
        </w:r>
        <w:r w:rsidR="00251047" w:rsidRPr="00251047">
          <w:rPr>
            <w:rFonts w:ascii="宋体" w:hAnsi="宋体"/>
            <w:noProof/>
            <w:sz w:val="24"/>
          </w:rPr>
          <w:fldChar w:fldCharType="end"/>
        </w:r>
      </w:hyperlink>
    </w:p>
    <w:p w14:paraId="049257D1" w14:textId="58C49CC2" w:rsidR="00251047" w:rsidRPr="003619C4" w:rsidRDefault="00BF772E" w:rsidP="00251047">
      <w:pPr>
        <w:pStyle w:val="11"/>
        <w:tabs>
          <w:tab w:val="right" w:leader="dot" w:pos="8550"/>
        </w:tabs>
        <w:spacing w:line="360" w:lineRule="auto"/>
        <w:rPr>
          <w:rFonts w:ascii="宋体" w:hAnsi="宋体"/>
          <w:noProof/>
          <w:sz w:val="24"/>
        </w:rPr>
      </w:pPr>
      <w:hyperlink w:anchor="_Toc137828486" w:history="1">
        <w:r w:rsidR="00251047" w:rsidRPr="00251047">
          <w:rPr>
            <w:rStyle w:val="af0"/>
            <w:rFonts w:ascii="宋体" w:hAnsi="宋体" w:hint="eastAsia"/>
            <w:noProof/>
            <w:sz w:val="24"/>
          </w:rPr>
          <w:t>四、基金托管人</w:t>
        </w:r>
        <w:r w:rsidR="00251047" w:rsidRPr="00251047">
          <w:rPr>
            <w:rFonts w:ascii="宋体" w:hAnsi="宋体"/>
            <w:noProof/>
            <w:sz w:val="24"/>
          </w:rPr>
          <w:tab/>
        </w:r>
        <w:r w:rsidR="00251047" w:rsidRPr="00251047">
          <w:rPr>
            <w:rFonts w:ascii="宋体" w:hAnsi="宋体"/>
            <w:noProof/>
            <w:sz w:val="24"/>
          </w:rPr>
          <w:fldChar w:fldCharType="begin"/>
        </w:r>
        <w:r w:rsidR="00251047" w:rsidRPr="00251047">
          <w:rPr>
            <w:rFonts w:ascii="宋体" w:hAnsi="宋体"/>
            <w:noProof/>
            <w:sz w:val="24"/>
          </w:rPr>
          <w:instrText xml:space="preserve"> PAGEREF _Toc137828486 \h </w:instrText>
        </w:r>
        <w:r w:rsidR="00251047" w:rsidRPr="00251047">
          <w:rPr>
            <w:rFonts w:ascii="宋体" w:hAnsi="宋体"/>
            <w:noProof/>
            <w:sz w:val="24"/>
          </w:rPr>
        </w:r>
        <w:r w:rsidR="00251047" w:rsidRPr="00251047">
          <w:rPr>
            <w:rFonts w:ascii="宋体" w:hAnsi="宋体"/>
            <w:noProof/>
            <w:sz w:val="24"/>
          </w:rPr>
          <w:fldChar w:fldCharType="separate"/>
        </w:r>
        <w:r w:rsidR="00FE1100">
          <w:rPr>
            <w:rFonts w:ascii="宋体" w:hAnsi="宋体"/>
            <w:noProof/>
            <w:sz w:val="24"/>
          </w:rPr>
          <w:t>18</w:t>
        </w:r>
        <w:r w:rsidR="00251047" w:rsidRPr="00251047">
          <w:rPr>
            <w:rFonts w:ascii="宋体" w:hAnsi="宋体"/>
            <w:noProof/>
            <w:sz w:val="24"/>
          </w:rPr>
          <w:fldChar w:fldCharType="end"/>
        </w:r>
      </w:hyperlink>
    </w:p>
    <w:p w14:paraId="7D3F9802" w14:textId="5027FE30" w:rsidR="00251047" w:rsidRPr="003619C4" w:rsidRDefault="00BF772E" w:rsidP="00251047">
      <w:pPr>
        <w:pStyle w:val="11"/>
        <w:tabs>
          <w:tab w:val="right" w:leader="dot" w:pos="8550"/>
        </w:tabs>
        <w:spacing w:line="360" w:lineRule="auto"/>
        <w:rPr>
          <w:rFonts w:ascii="宋体" w:hAnsi="宋体"/>
          <w:noProof/>
          <w:sz w:val="24"/>
        </w:rPr>
      </w:pPr>
      <w:hyperlink w:anchor="_Toc137828487" w:history="1">
        <w:r w:rsidR="00251047" w:rsidRPr="00251047">
          <w:rPr>
            <w:rStyle w:val="af0"/>
            <w:rFonts w:ascii="宋体" w:hAnsi="宋体" w:hint="eastAsia"/>
            <w:noProof/>
            <w:sz w:val="24"/>
          </w:rPr>
          <w:t>五、相关服务机构</w:t>
        </w:r>
        <w:r w:rsidR="00251047" w:rsidRPr="00251047">
          <w:rPr>
            <w:rFonts w:ascii="宋体" w:hAnsi="宋体"/>
            <w:noProof/>
            <w:sz w:val="24"/>
          </w:rPr>
          <w:tab/>
        </w:r>
        <w:r w:rsidR="00251047" w:rsidRPr="00251047">
          <w:rPr>
            <w:rFonts w:ascii="宋体" w:hAnsi="宋体"/>
            <w:noProof/>
            <w:sz w:val="24"/>
          </w:rPr>
          <w:fldChar w:fldCharType="begin"/>
        </w:r>
        <w:r w:rsidR="00251047" w:rsidRPr="00251047">
          <w:rPr>
            <w:rFonts w:ascii="宋体" w:hAnsi="宋体"/>
            <w:noProof/>
            <w:sz w:val="24"/>
          </w:rPr>
          <w:instrText xml:space="preserve"> PAGEREF _Toc137828487 \h </w:instrText>
        </w:r>
        <w:r w:rsidR="00251047" w:rsidRPr="00251047">
          <w:rPr>
            <w:rFonts w:ascii="宋体" w:hAnsi="宋体"/>
            <w:noProof/>
            <w:sz w:val="24"/>
          </w:rPr>
        </w:r>
        <w:r w:rsidR="00251047" w:rsidRPr="00251047">
          <w:rPr>
            <w:rFonts w:ascii="宋体" w:hAnsi="宋体"/>
            <w:noProof/>
            <w:sz w:val="24"/>
          </w:rPr>
          <w:fldChar w:fldCharType="separate"/>
        </w:r>
        <w:r w:rsidR="00FE1100">
          <w:rPr>
            <w:rFonts w:ascii="宋体" w:hAnsi="宋体"/>
            <w:noProof/>
            <w:sz w:val="24"/>
          </w:rPr>
          <w:t>21</w:t>
        </w:r>
        <w:r w:rsidR="00251047" w:rsidRPr="00251047">
          <w:rPr>
            <w:rFonts w:ascii="宋体" w:hAnsi="宋体"/>
            <w:noProof/>
            <w:sz w:val="24"/>
          </w:rPr>
          <w:fldChar w:fldCharType="end"/>
        </w:r>
      </w:hyperlink>
    </w:p>
    <w:p w14:paraId="0BB76F94" w14:textId="5E53F377" w:rsidR="00251047" w:rsidRPr="003619C4" w:rsidRDefault="00BF772E" w:rsidP="00251047">
      <w:pPr>
        <w:pStyle w:val="11"/>
        <w:tabs>
          <w:tab w:val="right" w:leader="dot" w:pos="8550"/>
        </w:tabs>
        <w:spacing w:line="360" w:lineRule="auto"/>
        <w:rPr>
          <w:rFonts w:ascii="宋体" w:hAnsi="宋体"/>
          <w:noProof/>
          <w:sz w:val="24"/>
        </w:rPr>
      </w:pPr>
      <w:hyperlink w:anchor="_Toc137828488" w:history="1">
        <w:r w:rsidR="00251047" w:rsidRPr="00251047">
          <w:rPr>
            <w:rStyle w:val="af0"/>
            <w:rFonts w:ascii="宋体" w:hAnsi="宋体" w:hint="eastAsia"/>
            <w:noProof/>
            <w:sz w:val="24"/>
          </w:rPr>
          <w:t>六、基金的募集</w:t>
        </w:r>
        <w:r w:rsidR="00251047" w:rsidRPr="00251047">
          <w:rPr>
            <w:rFonts w:ascii="宋体" w:hAnsi="宋体"/>
            <w:noProof/>
            <w:sz w:val="24"/>
          </w:rPr>
          <w:tab/>
        </w:r>
        <w:r w:rsidR="00251047" w:rsidRPr="00251047">
          <w:rPr>
            <w:rFonts w:ascii="宋体" w:hAnsi="宋体"/>
            <w:noProof/>
            <w:sz w:val="24"/>
          </w:rPr>
          <w:fldChar w:fldCharType="begin"/>
        </w:r>
        <w:r w:rsidR="00251047" w:rsidRPr="00251047">
          <w:rPr>
            <w:rFonts w:ascii="宋体" w:hAnsi="宋体"/>
            <w:noProof/>
            <w:sz w:val="24"/>
          </w:rPr>
          <w:instrText xml:space="preserve"> PAGEREF _Toc137828488 \h </w:instrText>
        </w:r>
        <w:r w:rsidR="00251047" w:rsidRPr="00251047">
          <w:rPr>
            <w:rFonts w:ascii="宋体" w:hAnsi="宋体"/>
            <w:noProof/>
            <w:sz w:val="24"/>
          </w:rPr>
        </w:r>
        <w:r w:rsidR="00251047" w:rsidRPr="00251047">
          <w:rPr>
            <w:rFonts w:ascii="宋体" w:hAnsi="宋体"/>
            <w:noProof/>
            <w:sz w:val="24"/>
          </w:rPr>
          <w:fldChar w:fldCharType="separate"/>
        </w:r>
        <w:r w:rsidR="00FE1100">
          <w:rPr>
            <w:rFonts w:ascii="宋体" w:hAnsi="宋体"/>
            <w:noProof/>
            <w:sz w:val="24"/>
          </w:rPr>
          <w:t>48</w:t>
        </w:r>
        <w:r w:rsidR="00251047" w:rsidRPr="00251047">
          <w:rPr>
            <w:rFonts w:ascii="宋体" w:hAnsi="宋体"/>
            <w:noProof/>
            <w:sz w:val="24"/>
          </w:rPr>
          <w:fldChar w:fldCharType="end"/>
        </w:r>
      </w:hyperlink>
    </w:p>
    <w:p w14:paraId="17403525" w14:textId="55B008F3" w:rsidR="00251047" w:rsidRPr="003619C4" w:rsidRDefault="00BF772E" w:rsidP="00251047">
      <w:pPr>
        <w:pStyle w:val="11"/>
        <w:tabs>
          <w:tab w:val="right" w:leader="dot" w:pos="8550"/>
        </w:tabs>
        <w:spacing w:line="360" w:lineRule="auto"/>
        <w:rPr>
          <w:rFonts w:ascii="宋体" w:hAnsi="宋体"/>
          <w:noProof/>
          <w:sz w:val="24"/>
        </w:rPr>
      </w:pPr>
      <w:hyperlink w:anchor="_Toc137828489" w:history="1">
        <w:r w:rsidR="00251047" w:rsidRPr="00251047">
          <w:rPr>
            <w:rStyle w:val="af0"/>
            <w:rFonts w:ascii="宋体" w:hAnsi="宋体" w:hint="eastAsia"/>
            <w:noProof/>
            <w:sz w:val="24"/>
          </w:rPr>
          <w:t>七、基金合同的生效</w:t>
        </w:r>
        <w:r w:rsidR="00251047" w:rsidRPr="00251047">
          <w:rPr>
            <w:rFonts w:ascii="宋体" w:hAnsi="宋体"/>
            <w:noProof/>
            <w:sz w:val="24"/>
          </w:rPr>
          <w:tab/>
        </w:r>
        <w:r w:rsidR="00251047" w:rsidRPr="00251047">
          <w:rPr>
            <w:rFonts w:ascii="宋体" w:hAnsi="宋体"/>
            <w:noProof/>
            <w:sz w:val="24"/>
          </w:rPr>
          <w:fldChar w:fldCharType="begin"/>
        </w:r>
        <w:r w:rsidR="00251047" w:rsidRPr="00251047">
          <w:rPr>
            <w:rFonts w:ascii="宋体" w:hAnsi="宋体"/>
            <w:noProof/>
            <w:sz w:val="24"/>
          </w:rPr>
          <w:instrText xml:space="preserve"> PAGEREF _Toc137828489 \h </w:instrText>
        </w:r>
        <w:r w:rsidR="00251047" w:rsidRPr="00251047">
          <w:rPr>
            <w:rFonts w:ascii="宋体" w:hAnsi="宋体"/>
            <w:noProof/>
            <w:sz w:val="24"/>
          </w:rPr>
        </w:r>
        <w:r w:rsidR="00251047" w:rsidRPr="00251047">
          <w:rPr>
            <w:rFonts w:ascii="宋体" w:hAnsi="宋体"/>
            <w:noProof/>
            <w:sz w:val="24"/>
          </w:rPr>
          <w:fldChar w:fldCharType="separate"/>
        </w:r>
        <w:r w:rsidR="00FE1100">
          <w:rPr>
            <w:rFonts w:ascii="宋体" w:hAnsi="宋体"/>
            <w:noProof/>
            <w:sz w:val="24"/>
          </w:rPr>
          <w:t>49</w:t>
        </w:r>
        <w:r w:rsidR="00251047" w:rsidRPr="00251047">
          <w:rPr>
            <w:rFonts w:ascii="宋体" w:hAnsi="宋体"/>
            <w:noProof/>
            <w:sz w:val="24"/>
          </w:rPr>
          <w:fldChar w:fldCharType="end"/>
        </w:r>
      </w:hyperlink>
    </w:p>
    <w:p w14:paraId="15437EA5" w14:textId="5D54419F" w:rsidR="00251047" w:rsidRPr="003619C4" w:rsidRDefault="00BF772E" w:rsidP="00251047">
      <w:pPr>
        <w:pStyle w:val="11"/>
        <w:tabs>
          <w:tab w:val="right" w:leader="dot" w:pos="8550"/>
        </w:tabs>
        <w:spacing w:line="360" w:lineRule="auto"/>
        <w:rPr>
          <w:rFonts w:ascii="宋体" w:hAnsi="宋体"/>
          <w:noProof/>
          <w:sz w:val="24"/>
        </w:rPr>
      </w:pPr>
      <w:hyperlink w:anchor="_Toc137828490" w:history="1">
        <w:r w:rsidR="00251047" w:rsidRPr="00251047">
          <w:rPr>
            <w:rStyle w:val="af0"/>
            <w:rFonts w:ascii="宋体" w:hAnsi="宋体" w:hint="eastAsia"/>
            <w:noProof/>
            <w:sz w:val="24"/>
          </w:rPr>
          <w:t>八、基金份额的申购与赎回</w:t>
        </w:r>
        <w:r w:rsidR="00251047" w:rsidRPr="00251047">
          <w:rPr>
            <w:rFonts w:ascii="宋体" w:hAnsi="宋体"/>
            <w:noProof/>
            <w:sz w:val="24"/>
          </w:rPr>
          <w:tab/>
        </w:r>
        <w:r w:rsidR="00251047" w:rsidRPr="00251047">
          <w:rPr>
            <w:rFonts w:ascii="宋体" w:hAnsi="宋体"/>
            <w:noProof/>
            <w:sz w:val="24"/>
          </w:rPr>
          <w:fldChar w:fldCharType="begin"/>
        </w:r>
        <w:r w:rsidR="00251047" w:rsidRPr="00251047">
          <w:rPr>
            <w:rFonts w:ascii="宋体" w:hAnsi="宋体"/>
            <w:noProof/>
            <w:sz w:val="24"/>
          </w:rPr>
          <w:instrText xml:space="preserve"> PAGEREF _Toc137828490 \h </w:instrText>
        </w:r>
        <w:r w:rsidR="00251047" w:rsidRPr="00251047">
          <w:rPr>
            <w:rFonts w:ascii="宋体" w:hAnsi="宋体"/>
            <w:noProof/>
            <w:sz w:val="24"/>
          </w:rPr>
        </w:r>
        <w:r w:rsidR="00251047" w:rsidRPr="00251047">
          <w:rPr>
            <w:rFonts w:ascii="宋体" w:hAnsi="宋体"/>
            <w:noProof/>
            <w:sz w:val="24"/>
          </w:rPr>
          <w:fldChar w:fldCharType="separate"/>
        </w:r>
        <w:r w:rsidR="00FE1100">
          <w:rPr>
            <w:rFonts w:ascii="宋体" w:hAnsi="宋体"/>
            <w:noProof/>
            <w:sz w:val="24"/>
          </w:rPr>
          <w:t>50</w:t>
        </w:r>
        <w:r w:rsidR="00251047" w:rsidRPr="00251047">
          <w:rPr>
            <w:rFonts w:ascii="宋体" w:hAnsi="宋体"/>
            <w:noProof/>
            <w:sz w:val="24"/>
          </w:rPr>
          <w:fldChar w:fldCharType="end"/>
        </w:r>
      </w:hyperlink>
    </w:p>
    <w:p w14:paraId="595E4E3E" w14:textId="04664775" w:rsidR="00251047" w:rsidRPr="003619C4" w:rsidRDefault="006F202F" w:rsidP="00251047">
      <w:pPr>
        <w:pStyle w:val="11"/>
        <w:tabs>
          <w:tab w:val="right" w:leader="dot" w:pos="8550"/>
        </w:tabs>
        <w:spacing w:line="360" w:lineRule="auto"/>
        <w:rPr>
          <w:rFonts w:ascii="宋体" w:hAnsi="宋体"/>
          <w:noProof/>
          <w:sz w:val="24"/>
        </w:rPr>
      </w:pPr>
      <w:hyperlink w:anchor="_Toc137828491" w:history="1">
        <w:r w:rsidR="00251047" w:rsidRPr="00251047">
          <w:rPr>
            <w:rStyle w:val="af0"/>
            <w:rFonts w:ascii="宋体" w:hAnsi="宋体" w:hint="eastAsia"/>
            <w:noProof/>
            <w:sz w:val="24"/>
          </w:rPr>
          <w:t>九、基金的转换</w:t>
        </w:r>
        <w:r w:rsidR="00251047" w:rsidRPr="00251047">
          <w:rPr>
            <w:rFonts w:ascii="宋体" w:hAnsi="宋体"/>
            <w:noProof/>
            <w:sz w:val="24"/>
          </w:rPr>
          <w:tab/>
        </w:r>
        <w:r w:rsidR="00251047" w:rsidRPr="00251047">
          <w:rPr>
            <w:rFonts w:ascii="宋体" w:hAnsi="宋体"/>
            <w:noProof/>
            <w:sz w:val="24"/>
          </w:rPr>
          <w:fldChar w:fldCharType="begin"/>
        </w:r>
        <w:r w:rsidR="00251047" w:rsidRPr="00251047">
          <w:rPr>
            <w:rFonts w:ascii="宋体" w:hAnsi="宋体"/>
            <w:noProof/>
            <w:sz w:val="24"/>
          </w:rPr>
          <w:instrText xml:space="preserve"> PAGEREF _Toc137828491 \h </w:instrText>
        </w:r>
        <w:r w:rsidR="00251047" w:rsidRPr="00251047">
          <w:rPr>
            <w:rFonts w:ascii="宋体" w:hAnsi="宋体"/>
            <w:noProof/>
            <w:sz w:val="24"/>
          </w:rPr>
        </w:r>
        <w:r w:rsidR="00251047" w:rsidRPr="00251047">
          <w:rPr>
            <w:rFonts w:ascii="宋体" w:hAnsi="宋体"/>
            <w:noProof/>
            <w:sz w:val="24"/>
          </w:rPr>
          <w:fldChar w:fldCharType="separate"/>
        </w:r>
        <w:r w:rsidR="00FE1100">
          <w:rPr>
            <w:rFonts w:ascii="宋体" w:hAnsi="宋体"/>
            <w:noProof/>
            <w:sz w:val="24"/>
          </w:rPr>
          <w:t>64</w:t>
        </w:r>
        <w:r w:rsidR="00251047" w:rsidRPr="00251047">
          <w:rPr>
            <w:rFonts w:ascii="宋体" w:hAnsi="宋体"/>
            <w:noProof/>
            <w:sz w:val="24"/>
          </w:rPr>
          <w:fldChar w:fldCharType="end"/>
        </w:r>
      </w:hyperlink>
    </w:p>
    <w:p w14:paraId="11EC733F" w14:textId="62D00D0C" w:rsidR="00251047" w:rsidRPr="003619C4" w:rsidRDefault="006F202F" w:rsidP="00251047">
      <w:pPr>
        <w:pStyle w:val="11"/>
        <w:tabs>
          <w:tab w:val="right" w:leader="dot" w:pos="8550"/>
        </w:tabs>
        <w:spacing w:line="360" w:lineRule="auto"/>
        <w:rPr>
          <w:rFonts w:ascii="宋体" w:hAnsi="宋体"/>
          <w:noProof/>
          <w:sz w:val="24"/>
        </w:rPr>
      </w:pPr>
      <w:hyperlink w:anchor="_Toc137828492" w:history="1">
        <w:r w:rsidR="00251047" w:rsidRPr="00251047">
          <w:rPr>
            <w:rStyle w:val="af0"/>
            <w:rFonts w:ascii="宋体" w:hAnsi="宋体" w:hint="eastAsia"/>
            <w:noProof/>
            <w:sz w:val="24"/>
          </w:rPr>
          <w:t>十、基金的投资</w:t>
        </w:r>
        <w:r w:rsidR="00251047" w:rsidRPr="00251047">
          <w:rPr>
            <w:rFonts w:ascii="宋体" w:hAnsi="宋体"/>
            <w:noProof/>
            <w:sz w:val="24"/>
          </w:rPr>
          <w:tab/>
        </w:r>
        <w:r w:rsidR="00251047" w:rsidRPr="00251047">
          <w:rPr>
            <w:rFonts w:ascii="宋体" w:hAnsi="宋体"/>
            <w:noProof/>
            <w:sz w:val="24"/>
          </w:rPr>
          <w:fldChar w:fldCharType="begin"/>
        </w:r>
        <w:r w:rsidR="00251047" w:rsidRPr="00251047">
          <w:rPr>
            <w:rFonts w:ascii="宋体" w:hAnsi="宋体"/>
            <w:noProof/>
            <w:sz w:val="24"/>
          </w:rPr>
          <w:instrText xml:space="preserve"> PAGEREF _Toc137828492 \h </w:instrText>
        </w:r>
        <w:r w:rsidR="00251047" w:rsidRPr="00251047">
          <w:rPr>
            <w:rFonts w:ascii="宋体" w:hAnsi="宋体"/>
            <w:noProof/>
            <w:sz w:val="24"/>
          </w:rPr>
        </w:r>
        <w:r w:rsidR="00251047" w:rsidRPr="00251047">
          <w:rPr>
            <w:rFonts w:ascii="宋体" w:hAnsi="宋体"/>
            <w:noProof/>
            <w:sz w:val="24"/>
          </w:rPr>
          <w:fldChar w:fldCharType="separate"/>
        </w:r>
        <w:r w:rsidR="00FE1100">
          <w:rPr>
            <w:rFonts w:ascii="宋体" w:hAnsi="宋体"/>
            <w:noProof/>
            <w:sz w:val="24"/>
          </w:rPr>
          <w:t>71</w:t>
        </w:r>
        <w:r w:rsidR="00251047" w:rsidRPr="00251047">
          <w:rPr>
            <w:rFonts w:ascii="宋体" w:hAnsi="宋体"/>
            <w:noProof/>
            <w:sz w:val="24"/>
          </w:rPr>
          <w:fldChar w:fldCharType="end"/>
        </w:r>
      </w:hyperlink>
    </w:p>
    <w:p w14:paraId="370DFFBE" w14:textId="62917261" w:rsidR="00251047" w:rsidRPr="003619C4" w:rsidRDefault="006F202F" w:rsidP="00251047">
      <w:pPr>
        <w:pStyle w:val="11"/>
        <w:tabs>
          <w:tab w:val="right" w:leader="dot" w:pos="8550"/>
        </w:tabs>
        <w:spacing w:line="360" w:lineRule="auto"/>
        <w:rPr>
          <w:rFonts w:ascii="宋体" w:hAnsi="宋体"/>
          <w:noProof/>
          <w:sz w:val="24"/>
        </w:rPr>
      </w:pPr>
      <w:hyperlink w:anchor="_Toc137828493" w:history="1">
        <w:r w:rsidR="00251047" w:rsidRPr="00251047">
          <w:rPr>
            <w:rStyle w:val="af0"/>
            <w:rFonts w:ascii="宋体" w:hAnsi="宋体" w:hint="eastAsia"/>
            <w:noProof/>
            <w:sz w:val="24"/>
          </w:rPr>
          <w:t>十一、基金的业绩</w:t>
        </w:r>
        <w:r w:rsidR="00251047" w:rsidRPr="00251047">
          <w:rPr>
            <w:rFonts w:ascii="宋体" w:hAnsi="宋体"/>
            <w:noProof/>
            <w:sz w:val="24"/>
          </w:rPr>
          <w:tab/>
        </w:r>
        <w:r w:rsidR="00251047" w:rsidRPr="00251047">
          <w:rPr>
            <w:rFonts w:ascii="宋体" w:hAnsi="宋体"/>
            <w:noProof/>
            <w:sz w:val="24"/>
          </w:rPr>
          <w:fldChar w:fldCharType="begin"/>
        </w:r>
        <w:r w:rsidR="00251047" w:rsidRPr="00251047">
          <w:rPr>
            <w:rFonts w:ascii="宋体" w:hAnsi="宋体"/>
            <w:noProof/>
            <w:sz w:val="24"/>
          </w:rPr>
          <w:instrText xml:space="preserve"> PAGEREF _Toc137828493 \h </w:instrText>
        </w:r>
        <w:r w:rsidR="00251047" w:rsidRPr="00251047">
          <w:rPr>
            <w:rFonts w:ascii="宋体" w:hAnsi="宋体"/>
            <w:noProof/>
            <w:sz w:val="24"/>
          </w:rPr>
        </w:r>
        <w:r w:rsidR="00251047" w:rsidRPr="00251047">
          <w:rPr>
            <w:rFonts w:ascii="宋体" w:hAnsi="宋体"/>
            <w:noProof/>
            <w:sz w:val="24"/>
          </w:rPr>
          <w:fldChar w:fldCharType="separate"/>
        </w:r>
        <w:r w:rsidR="00FE1100">
          <w:rPr>
            <w:rFonts w:ascii="宋体" w:hAnsi="宋体"/>
            <w:noProof/>
            <w:sz w:val="24"/>
          </w:rPr>
          <w:t>86</w:t>
        </w:r>
        <w:r w:rsidR="00251047" w:rsidRPr="00251047">
          <w:rPr>
            <w:rFonts w:ascii="宋体" w:hAnsi="宋体"/>
            <w:noProof/>
            <w:sz w:val="24"/>
          </w:rPr>
          <w:fldChar w:fldCharType="end"/>
        </w:r>
      </w:hyperlink>
    </w:p>
    <w:p w14:paraId="2F18FD48" w14:textId="00DDD819" w:rsidR="00251047" w:rsidRPr="003619C4" w:rsidRDefault="006F202F" w:rsidP="00251047">
      <w:pPr>
        <w:pStyle w:val="11"/>
        <w:tabs>
          <w:tab w:val="right" w:leader="dot" w:pos="8550"/>
        </w:tabs>
        <w:spacing w:line="360" w:lineRule="auto"/>
        <w:rPr>
          <w:rFonts w:ascii="宋体" w:hAnsi="宋体"/>
          <w:noProof/>
          <w:sz w:val="24"/>
        </w:rPr>
      </w:pPr>
      <w:hyperlink w:anchor="_Toc137828494" w:history="1">
        <w:r w:rsidR="00251047" w:rsidRPr="00251047">
          <w:rPr>
            <w:rStyle w:val="af0"/>
            <w:rFonts w:ascii="宋体" w:hAnsi="宋体" w:hint="eastAsia"/>
            <w:noProof/>
            <w:sz w:val="24"/>
          </w:rPr>
          <w:t>十二、基金的财产</w:t>
        </w:r>
        <w:r w:rsidR="00251047" w:rsidRPr="00251047">
          <w:rPr>
            <w:rFonts w:ascii="宋体" w:hAnsi="宋体"/>
            <w:noProof/>
            <w:sz w:val="24"/>
          </w:rPr>
          <w:tab/>
        </w:r>
        <w:r w:rsidR="00251047" w:rsidRPr="00251047">
          <w:rPr>
            <w:rFonts w:ascii="宋体" w:hAnsi="宋体"/>
            <w:noProof/>
            <w:sz w:val="24"/>
          </w:rPr>
          <w:fldChar w:fldCharType="begin"/>
        </w:r>
        <w:r w:rsidR="00251047" w:rsidRPr="00251047">
          <w:rPr>
            <w:rFonts w:ascii="宋体" w:hAnsi="宋体"/>
            <w:noProof/>
            <w:sz w:val="24"/>
          </w:rPr>
          <w:instrText xml:space="preserve"> PAGEREF _Toc137828494 \h </w:instrText>
        </w:r>
        <w:r w:rsidR="00251047" w:rsidRPr="00251047">
          <w:rPr>
            <w:rFonts w:ascii="宋体" w:hAnsi="宋体"/>
            <w:noProof/>
            <w:sz w:val="24"/>
          </w:rPr>
        </w:r>
        <w:r w:rsidR="00251047" w:rsidRPr="00251047">
          <w:rPr>
            <w:rFonts w:ascii="宋体" w:hAnsi="宋体"/>
            <w:noProof/>
            <w:sz w:val="24"/>
          </w:rPr>
          <w:fldChar w:fldCharType="separate"/>
        </w:r>
        <w:r w:rsidR="00FE1100">
          <w:rPr>
            <w:rFonts w:ascii="宋体" w:hAnsi="宋体"/>
            <w:noProof/>
            <w:sz w:val="24"/>
          </w:rPr>
          <w:t>88</w:t>
        </w:r>
        <w:r w:rsidR="00251047" w:rsidRPr="00251047">
          <w:rPr>
            <w:rFonts w:ascii="宋体" w:hAnsi="宋体"/>
            <w:noProof/>
            <w:sz w:val="24"/>
          </w:rPr>
          <w:fldChar w:fldCharType="end"/>
        </w:r>
      </w:hyperlink>
    </w:p>
    <w:p w14:paraId="6CB98427" w14:textId="59B7D6ED" w:rsidR="00251047" w:rsidRPr="003619C4" w:rsidRDefault="006F202F" w:rsidP="00251047">
      <w:pPr>
        <w:pStyle w:val="11"/>
        <w:tabs>
          <w:tab w:val="right" w:leader="dot" w:pos="8550"/>
        </w:tabs>
        <w:spacing w:line="360" w:lineRule="auto"/>
        <w:rPr>
          <w:rFonts w:ascii="宋体" w:hAnsi="宋体"/>
          <w:noProof/>
          <w:sz w:val="24"/>
        </w:rPr>
      </w:pPr>
      <w:hyperlink w:anchor="_Toc137828495" w:history="1">
        <w:r w:rsidR="00251047" w:rsidRPr="00251047">
          <w:rPr>
            <w:rStyle w:val="af0"/>
            <w:rFonts w:ascii="宋体" w:hAnsi="宋体" w:hint="eastAsia"/>
            <w:noProof/>
            <w:sz w:val="24"/>
          </w:rPr>
          <w:t>十三、基金资产的估值</w:t>
        </w:r>
        <w:r w:rsidR="00251047" w:rsidRPr="00251047">
          <w:rPr>
            <w:rFonts w:ascii="宋体" w:hAnsi="宋体"/>
            <w:noProof/>
            <w:sz w:val="24"/>
          </w:rPr>
          <w:tab/>
        </w:r>
        <w:r w:rsidR="00251047" w:rsidRPr="00251047">
          <w:rPr>
            <w:rFonts w:ascii="宋体" w:hAnsi="宋体"/>
            <w:noProof/>
            <w:sz w:val="24"/>
          </w:rPr>
          <w:fldChar w:fldCharType="begin"/>
        </w:r>
        <w:r w:rsidR="00251047" w:rsidRPr="00251047">
          <w:rPr>
            <w:rFonts w:ascii="宋体" w:hAnsi="宋体"/>
            <w:noProof/>
            <w:sz w:val="24"/>
          </w:rPr>
          <w:instrText xml:space="preserve"> PAGEREF _Toc137828495 \h </w:instrText>
        </w:r>
        <w:r w:rsidR="00251047" w:rsidRPr="00251047">
          <w:rPr>
            <w:rFonts w:ascii="宋体" w:hAnsi="宋体"/>
            <w:noProof/>
            <w:sz w:val="24"/>
          </w:rPr>
        </w:r>
        <w:r w:rsidR="00251047" w:rsidRPr="00251047">
          <w:rPr>
            <w:rFonts w:ascii="宋体" w:hAnsi="宋体"/>
            <w:noProof/>
            <w:sz w:val="24"/>
          </w:rPr>
          <w:fldChar w:fldCharType="separate"/>
        </w:r>
        <w:r w:rsidR="00FE1100">
          <w:rPr>
            <w:rFonts w:ascii="宋体" w:hAnsi="宋体"/>
            <w:noProof/>
            <w:sz w:val="24"/>
          </w:rPr>
          <w:t>89</w:t>
        </w:r>
        <w:r w:rsidR="00251047" w:rsidRPr="00251047">
          <w:rPr>
            <w:rFonts w:ascii="宋体" w:hAnsi="宋体"/>
            <w:noProof/>
            <w:sz w:val="24"/>
          </w:rPr>
          <w:fldChar w:fldCharType="end"/>
        </w:r>
      </w:hyperlink>
    </w:p>
    <w:p w14:paraId="240FB392" w14:textId="7CBD2381" w:rsidR="00251047" w:rsidRPr="003619C4" w:rsidRDefault="006F202F" w:rsidP="00251047">
      <w:pPr>
        <w:pStyle w:val="11"/>
        <w:tabs>
          <w:tab w:val="right" w:leader="dot" w:pos="8550"/>
        </w:tabs>
        <w:spacing w:line="360" w:lineRule="auto"/>
        <w:rPr>
          <w:rFonts w:ascii="宋体" w:hAnsi="宋体"/>
          <w:noProof/>
          <w:sz w:val="24"/>
        </w:rPr>
      </w:pPr>
      <w:hyperlink w:anchor="_Toc137828496" w:history="1">
        <w:r w:rsidR="00251047" w:rsidRPr="00251047">
          <w:rPr>
            <w:rStyle w:val="af0"/>
            <w:rFonts w:ascii="宋体" w:hAnsi="宋体" w:hint="eastAsia"/>
            <w:noProof/>
            <w:sz w:val="24"/>
          </w:rPr>
          <w:t>十四、基金收益与分配</w:t>
        </w:r>
        <w:r w:rsidR="00251047" w:rsidRPr="00251047">
          <w:rPr>
            <w:rFonts w:ascii="宋体" w:hAnsi="宋体"/>
            <w:noProof/>
            <w:sz w:val="24"/>
          </w:rPr>
          <w:tab/>
        </w:r>
        <w:r w:rsidR="00251047" w:rsidRPr="00251047">
          <w:rPr>
            <w:rFonts w:ascii="宋体" w:hAnsi="宋体"/>
            <w:noProof/>
            <w:sz w:val="24"/>
          </w:rPr>
          <w:fldChar w:fldCharType="begin"/>
        </w:r>
        <w:r w:rsidR="00251047" w:rsidRPr="00251047">
          <w:rPr>
            <w:rFonts w:ascii="宋体" w:hAnsi="宋体"/>
            <w:noProof/>
            <w:sz w:val="24"/>
          </w:rPr>
          <w:instrText xml:space="preserve"> PAGEREF _Toc137828496 \h </w:instrText>
        </w:r>
        <w:r w:rsidR="00251047" w:rsidRPr="00251047">
          <w:rPr>
            <w:rFonts w:ascii="宋体" w:hAnsi="宋体"/>
            <w:noProof/>
            <w:sz w:val="24"/>
          </w:rPr>
        </w:r>
        <w:r w:rsidR="00251047" w:rsidRPr="00251047">
          <w:rPr>
            <w:rFonts w:ascii="宋体" w:hAnsi="宋体"/>
            <w:noProof/>
            <w:sz w:val="24"/>
          </w:rPr>
          <w:fldChar w:fldCharType="separate"/>
        </w:r>
        <w:r w:rsidR="00FE1100">
          <w:rPr>
            <w:rFonts w:ascii="宋体" w:hAnsi="宋体"/>
            <w:noProof/>
            <w:sz w:val="24"/>
          </w:rPr>
          <w:t>94</w:t>
        </w:r>
        <w:r w:rsidR="00251047" w:rsidRPr="00251047">
          <w:rPr>
            <w:rFonts w:ascii="宋体" w:hAnsi="宋体"/>
            <w:noProof/>
            <w:sz w:val="24"/>
          </w:rPr>
          <w:fldChar w:fldCharType="end"/>
        </w:r>
      </w:hyperlink>
    </w:p>
    <w:p w14:paraId="0968B4FE" w14:textId="7F07F642" w:rsidR="00251047" w:rsidRPr="003619C4" w:rsidRDefault="006F202F" w:rsidP="00251047">
      <w:pPr>
        <w:pStyle w:val="11"/>
        <w:tabs>
          <w:tab w:val="right" w:leader="dot" w:pos="8550"/>
        </w:tabs>
        <w:spacing w:line="360" w:lineRule="auto"/>
        <w:rPr>
          <w:rFonts w:ascii="宋体" w:hAnsi="宋体"/>
          <w:noProof/>
          <w:sz w:val="24"/>
        </w:rPr>
      </w:pPr>
      <w:hyperlink w:anchor="_Toc137828497" w:history="1">
        <w:r w:rsidR="00251047" w:rsidRPr="00251047">
          <w:rPr>
            <w:rStyle w:val="af0"/>
            <w:rFonts w:ascii="宋体" w:hAnsi="宋体" w:hint="eastAsia"/>
            <w:noProof/>
            <w:sz w:val="24"/>
          </w:rPr>
          <w:t>十五、基金的费用与税收</w:t>
        </w:r>
        <w:r w:rsidR="00251047" w:rsidRPr="00251047">
          <w:rPr>
            <w:rFonts w:ascii="宋体" w:hAnsi="宋体"/>
            <w:noProof/>
            <w:sz w:val="24"/>
          </w:rPr>
          <w:tab/>
        </w:r>
        <w:r w:rsidR="00251047" w:rsidRPr="00251047">
          <w:rPr>
            <w:rFonts w:ascii="宋体" w:hAnsi="宋体"/>
            <w:noProof/>
            <w:sz w:val="24"/>
          </w:rPr>
          <w:fldChar w:fldCharType="begin"/>
        </w:r>
        <w:r w:rsidR="00251047" w:rsidRPr="00251047">
          <w:rPr>
            <w:rFonts w:ascii="宋体" w:hAnsi="宋体"/>
            <w:noProof/>
            <w:sz w:val="24"/>
          </w:rPr>
          <w:instrText xml:space="preserve"> PAGEREF _Toc137828497 \h </w:instrText>
        </w:r>
        <w:r w:rsidR="00251047" w:rsidRPr="00251047">
          <w:rPr>
            <w:rFonts w:ascii="宋体" w:hAnsi="宋体"/>
            <w:noProof/>
            <w:sz w:val="24"/>
          </w:rPr>
        </w:r>
        <w:r w:rsidR="00251047" w:rsidRPr="00251047">
          <w:rPr>
            <w:rFonts w:ascii="宋体" w:hAnsi="宋体"/>
            <w:noProof/>
            <w:sz w:val="24"/>
          </w:rPr>
          <w:fldChar w:fldCharType="separate"/>
        </w:r>
        <w:r w:rsidR="00FE1100">
          <w:rPr>
            <w:rFonts w:ascii="宋体" w:hAnsi="宋体"/>
            <w:noProof/>
            <w:sz w:val="24"/>
          </w:rPr>
          <w:t>96</w:t>
        </w:r>
        <w:r w:rsidR="00251047" w:rsidRPr="00251047">
          <w:rPr>
            <w:rFonts w:ascii="宋体" w:hAnsi="宋体"/>
            <w:noProof/>
            <w:sz w:val="24"/>
          </w:rPr>
          <w:fldChar w:fldCharType="end"/>
        </w:r>
      </w:hyperlink>
    </w:p>
    <w:p w14:paraId="10F43CA8" w14:textId="6F7F3F7B" w:rsidR="00251047" w:rsidRPr="003619C4" w:rsidRDefault="006F202F" w:rsidP="00251047">
      <w:pPr>
        <w:pStyle w:val="11"/>
        <w:tabs>
          <w:tab w:val="right" w:leader="dot" w:pos="8550"/>
        </w:tabs>
        <w:spacing w:line="360" w:lineRule="auto"/>
        <w:rPr>
          <w:rFonts w:ascii="宋体" w:hAnsi="宋体"/>
          <w:noProof/>
          <w:sz w:val="24"/>
        </w:rPr>
      </w:pPr>
      <w:hyperlink w:anchor="_Toc137828498" w:history="1">
        <w:r w:rsidR="00251047" w:rsidRPr="00251047">
          <w:rPr>
            <w:rStyle w:val="af0"/>
            <w:rFonts w:ascii="宋体" w:hAnsi="宋体" w:hint="eastAsia"/>
            <w:noProof/>
            <w:sz w:val="24"/>
          </w:rPr>
          <w:t>十六、基金的会计与审计</w:t>
        </w:r>
        <w:r w:rsidR="00251047" w:rsidRPr="00251047">
          <w:rPr>
            <w:rFonts w:ascii="宋体" w:hAnsi="宋体"/>
            <w:noProof/>
            <w:sz w:val="24"/>
          </w:rPr>
          <w:tab/>
        </w:r>
        <w:r w:rsidR="00251047" w:rsidRPr="00251047">
          <w:rPr>
            <w:rFonts w:ascii="宋体" w:hAnsi="宋体"/>
            <w:noProof/>
            <w:sz w:val="24"/>
          </w:rPr>
          <w:fldChar w:fldCharType="begin"/>
        </w:r>
        <w:r w:rsidR="00251047" w:rsidRPr="00251047">
          <w:rPr>
            <w:rFonts w:ascii="宋体" w:hAnsi="宋体"/>
            <w:noProof/>
            <w:sz w:val="24"/>
          </w:rPr>
          <w:instrText xml:space="preserve"> PAGEREF _Toc137828498 \h </w:instrText>
        </w:r>
        <w:r w:rsidR="00251047" w:rsidRPr="00251047">
          <w:rPr>
            <w:rFonts w:ascii="宋体" w:hAnsi="宋体"/>
            <w:noProof/>
            <w:sz w:val="24"/>
          </w:rPr>
        </w:r>
        <w:r w:rsidR="00251047" w:rsidRPr="00251047">
          <w:rPr>
            <w:rFonts w:ascii="宋体" w:hAnsi="宋体"/>
            <w:noProof/>
            <w:sz w:val="24"/>
          </w:rPr>
          <w:fldChar w:fldCharType="separate"/>
        </w:r>
        <w:r w:rsidR="00FE1100">
          <w:rPr>
            <w:rFonts w:ascii="宋体" w:hAnsi="宋体"/>
            <w:noProof/>
            <w:sz w:val="24"/>
          </w:rPr>
          <w:t>99</w:t>
        </w:r>
        <w:r w:rsidR="00251047" w:rsidRPr="00251047">
          <w:rPr>
            <w:rFonts w:ascii="宋体" w:hAnsi="宋体"/>
            <w:noProof/>
            <w:sz w:val="24"/>
          </w:rPr>
          <w:fldChar w:fldCharType="end"/>
        </w:r>
      </w:hyperlink>
    </w:p>
    <w:p w14:paraId="04C7BE58" w14:textId="7FB3351C" w:rsidR="00251047" w:rsidRPr="003619C4" w:rsidRDefault="006F202F" w:rsidP="00251047">
      <w:pPr>
        <w:pStyle w:val="11"/>
        <w:tabs>
          <w:tab w:val="right" w:leader="dot" w:pos="8550"/>
        </w:tabs>
        <w:spacing w:line="360" w:lineRule="auto"/>
        <w:rPr>
          <w:rFonts w:ascii="宋体" w:hAnsi="宋体"/>
          <w:noProof/>
          <w:sz w:val="24"/>
        </w:rPr>
      </w:pPr>
      <w:hyperlink w:anchor="_Toc137828499" w:history="1">
        <w:r w:rsidR="00251047" w:rsidRPr="00251047">
          <w:rPr>
            <w:rStyle w:val="af0"/>
            <w:rFonts w:ascii="宋体" w:hAnsi="宋体" w:hint="eastAsia"/>
            <w:noProof/>
            <w:sz w:val="24"/>
          </w:rPr>
          <w:t>十七、基金的信息披露</w:t>
        </w:r>
        <w:r w:rsidR="00251047" w:rsidRPr="00251047">
          <w:rPr>
            <w:rFonts w:ascii="宋体" w:hAnsi="宋体"/>
            <w:noProof/>
            <w:sz w:val="24"/>
          </w:rPr>
          <w:tab/>
        </w:r>
        <w:r w:rsidR="00251047" w:rsidRPr="00251047">
          <w:rPr>
            <w:rFonts w:ascii="宋体" w:hAnsi="宋体"/>
            <w:noProof/>
            <w:sz w:val="24"/>
          </w:rPr>
          <w:fldChar w:fldCharType="begin"/>
        </w:r>
        <w:r w:rsidR="00251047" w:rsidRPr="00251047">
          <w:rPr>
            <w:rFonts w:ascii="宋体" w:hAnsi="宋体"/>
            <w:noProof/>
            <w:sz w:val="24"/>
          </w:rPr>
          <w:instrText xml:space="preserve"> PAGEREF _Toc137828499 \h </w:instrText>
        </w:r>
        <w:r w:rsidR="00251047" w:rsidRPr="00251047">
          <w:rPr>
            <w:rFonts w:ascii="宋体" w:hAnsi="宋体"/>
            <w:noProof/>
            <w:sz w:val="24"/>
          </w:rPr>
        </w:r>
        <w:r w:rsidR="00251047" w:rsidRPr="00251047">
          <w:rPr>
            <w:rFonts w:ascii="宋体" w:hAnsi="宋体"/>
            <w:noProof/>
            <w:sz w:val="24"/>
          </w:rPr>
          <w:fldChar w:fldCharType="separate"/>
        </w:r>
        <w:r w:rsidR="00FE1100">
          <w:rPr>
            <w:rFonts w:ascii="宋体" w:hAnsi="宋体"/>
            <w:noProof/>
            <w:sz w:val="24"/>
          </w:rPr>
          <w:t>100</w:t>
        </w:r>
        <w:r w:rsidR="00251047" w:rsidRPr="00251047">
          <w:rPr>
            <w:rFonts w:ascii="宋体" w:hAnsi="宋体"/>
            <w:noProof/>
            <w:sz w:val="24"/>
          </w:rPr>
          <w:fldChar w:fldCharType="end"/>
        </w:r>
      </w:hyperlink>
    </w:p>
    <w:p w14:paraId="7DDDEA1E" w14:textId="190974E0" w:rsidR="00251047" w:rsidRPr="003619C4" w:rsidRDefault="006F202F" w:rsidP="00251047">
      <w:pPr>
        <w:pStyle w:val="11"/>
        <w:tabs>
          <w:tab w:val="right" w:leader="dot" w:pos="8550"/>
        </w:tabs>
        <w:spacing w:line="360" w:lineRule="auto"/>
        <w:rPr>
          <w:rFonts w:ascii="宋体" w:hAnsi="宋体"/>
          <w:noProof/>
          <w:sz w:val="24"/>
        </w:rPr>
      </w:pPr>
      <w:hyperlink w:anchor="_Toc137828500" w:history="1">
        <w:r w:rsidR="00251047" w:rsidRPr="00251047">
          <w:rPr>
            <w:rStyle w:val="af0"/>
            <w:rFonts w:ascii="宋体" w:hAnsi="宋体" w:hint="eastAsia"/>
            <w:noProof/>
            <w:sz w:val="24"/>
          </w:rPr>
          <w:t>十八、风险揭示</w:t>
        </w:r>
        <w:r w:rsidR="00251047" w:rsidRPr="00251047">
          <w:rPr>
            <w:rFonts w:ascii="宋体" w:hAnsi="宋体"/>
            <w:noProof/>
            <w:sz w:val="24"/>
          </w:rPr>
          <w:tab/>
        </w:r>
        <w:r w:rsidR="00251047" w:rsidRPr="00251047">
          <w:rPr>
            <w:rFonts w:ascii="宋体" w:hAnsi="宋体"/>
            <w:noProof/>
            <w:sz w:val="24"/>
          </w:rPr>
          <w:fldChar w:fldCharType="begin"/>
        </w:r>
        <w:r w:rsidR="00251047" w:rsidRPr="00251047">
          <w:rPr>
            <w:rFonts w:ascii="宋体" w:hAnsi="宋体"/>
            <w:noProof/>
            <w:sz w:val="24"/>
          </w:rPr>
          <w:instrText xml:space="preserve"> PAGEREF _Toc137828500 \h </w:instrText>
        </w:r>
        <w:r w:rsidR="00251047" w:rsidRPr="00251047">
          <w:rPr>
            <w:rFonts w:ascii="宋体" w:hAnsi="宋体"/>
            <w:noProof/>
            <w:sz w:val="24"/>
          </w:rPr>
        </w:r>
        <w:r w:rsidR="00251047" w:rsidRPr="00251047">
          <w:rPr>
            <w:rFonts w:ascii="宋体" w:hAnsi="宋体"/>
            <w:noProof/>
            <w:sz w:val="24"/>
          </w:rPr>
          <w:fldChar w:fldCharType="separate"/>
        </w:r>
        <w:r w:rsidR="00FE1100">
          <w:rPr>
            <w:rFonts w:ascii="宋体" w:hAnsi="宋体"/>
            <w:noProof/>
            <w:sz w:val="24"/>
          </w:rPr>
          <w:t>109</w:t>
        </w:r>
        <w:r w:rsidR="00251047" w:rsidRPr="00251047">
          <w:rPr>
            <w:rFonts w:ascii="宋体" w:hAnsi="宋体"/>
            <w:noProof/>
            <w:sz w:val="24"/>
          </w:rPr>
          <w:fldChar w:fldCharType="end"/>
        </w:r>
      </w:hyperlink>
    </w:p>
    <w:p w14:paraId="456B6AEC" w14:textId="1AD5790A" w:rsidR="00251047" w:rsidRPr="003619C4" w:rsidRDefault="006F202F" w:rsidP="00251047">
      <w:pPr>
        <w:pStyle w:val="11"/>
        <w:tabs>
          <w:tab w:val="right" w:leader="dot" w:pos="8550"/>
        </w:tabs>
        <w:spacing w:line="360" w:lineRule="auto"/>
        <w:rPr>
          <w:rFonts w:ascii="宋体" w:hAnsi="宋体"/>
          <w:noProof/>
          <w:sz w:val="24"/>
        </w:rPr>
      </w:pPr>
      <w:hyperlink w:anchor="_Toc137828501" w:history="1">
        <w:r w:rsidR="00251047" w:rsidRPr="00251047">
          <w:rPr>
            <w:rStyle w:val="af0"/>
            <w:rFonts w:ascii="宋体" w:hAnsi="宋体" w:hint="eastAsia"/>
            <w:noProof/>
            <w:sz w:val="24"/>
          </w:rPr>
          <w:t>十九、基金合同的变更、终止与基金财产的清算</w:t>
        </w:r>
        <w:r w:rsidR="00251047" w:rsidRPr="00251047">
          <w:rPr>
            <w:rFonts w:ascii="宋体" w:hAnsi="宋体"/>
            <w:noProof/>
            <w:sz w:val="24"/>
          </w:rPr>
          <w:tab/>
        </w:r>
        <w:r w:rsidR="00251047" w:rsidRPr="00251047">
          <w:rPr>
            <w:rFonts w:ascii="宋体" w:hAnsi="宋体"/>
            <w:noProof/>
            <w:sz w:val="24"/>
          </w:rPr>
          <w:fldChar w:fldCharType="begin"/>
        </w:r>
        <w:r w:rsidR="00251047" w:rsidRPr="00251047">
          <w:rPr>
            <w:rFonts w:ascii="宋体" w:hAnsi="宋体"/>
            <w:noProof/>
            <w:sz w:val="24"/>
          </w:rPr>
          <w:instrText xml:space="preserve"> PAGEREF _Toc137828501 \h </w:instrText>
        </w:r>
        <w:r w:rsidR="00251047" w:rsidRPr="00251047">
          <w:rPr>
            <w:rFonts w:ascii="宋体" w:hAnsi="宋体"/>
            <w:noProof/>
            <w:sz w:val="24"/>
          </w:rPr>
        </w:r>
        <w:r w:rsidR="00251047" w:rsidRPr="00251047">
          <w:rPr>
            <w:rFonts w:ascii="宋体" w:hAnsi="宋体"/>
            <w:noProof/>
            <w:sz w:val="24"/>
          </w:rPr>
          <w:fldChar w:fldCharType="separate"/>
        </w:r>
        <w:r w:rsidR="00FE1100">
          <w:rPr>
            <w:rFonts w:ascii="宋体" w:hAnsi="宋体"/>
            <w:noProof/>
            <w:sz w:val="24"/>
          </w:rPr>
          <w:t>119</w:t>
        </w:r>
        <w:r w:rsidR="00251047" w:rsidRPr="00251047">
          <w:rPr>
            <w:rFonts w:ascii="宋体" w:hAnsi="宋体"/>
            <w:noProof/>
            <w:sz w:val="24"/>
          </w:rPr>
          <w:fldChar w:fldCharType="end"/>
        </w:r>
      </w:hyperlink>
    </w:p>
    <w:p w14:paraId="44F1BA79" w14:textId="0A9128F0" w:rsidR="00251047" w:rsidRPr="003619C4" w:rsidRDefault="006F202F" w:rsidP="00251047">
      <w:pPr>
        <w:pStyle w:val="11"/>
        <w:tabs>
          <w:tab w:val="right" w:leader="dot" w:pos="8550"/>
        </w:tabs>
        <w:spacing w:line="360" w:lineRule="auto"/>
        <w:rPr>
          <w:rFonts w:ascii="宋体" w:hAnsi="宋体"/>
          <w:noProof/>
          <w:sz w:val="24"/>
        </w:rPr>
      </w:pPr>
      <w:hyperlink w:anchor="_Toc137828502" w:history="1">
        <w:r w:rsidR="00251047" w:rsidRPr="00251047">
          <w:rPr>
            <w:rStyle w:val="af0"/>
            <w:rFonts w:ascii="宋体" w:hAnsi="宋体" w:hint="eastAsia"/>
            <w:noProof/>
            <w:sz w:val="24"/>
          </w:rPr>
          <w:t>二十、基金合同内容摘要</w:t>
        </w:r>
        <w:r w:rsidR="00251047" w:rsidRPr="00251047">
          <w:rPr>
            <w:rFonts w:ascii="宋体" w:hAnsi="宋体"/>
            <w:noProof/>
            <w:sz w:val="24"/>
          </w:rPr>
          <w:tab/>
        </w:r>
        <w:r w:rsidR="00251047" w:rsidRPr="00251047">
          <w:rPr>
            <w:rFonts w:ascii="宋体" w:hAnsi="宋体"/>
            <w:noProof/>
            <w:sz w:val="24"/>
          </w:rPr>
          <w:fldChar w:fldCharType="begin"/>
        </w:r>
        <w:r w:rsidR="00251047" w:rsidRPr="00251047">
          <w:rPr>
            <w:rFonts w:ascii="宋体" w:hAnsi="宋体"/>
            <w:noProof/>
            <w:sz w:val="24"/>
          </w:rPr>
          <w:instrText xml:space="preserve"> PAGEREF _Toc137828502 \h </w:instrText>
        </w:r>
        <w:r w:rsidR="00251047" w:rsidRPr="00251047">
          <w:rPr>
            <w:rFonts w:ascii="宋体" w:hAnsi="宋体"/>
            <w:noProof/>
            <w:sz w:val="24"/>
          </w:rPr>
        </w:r>
        <w:r w:rsidR="00251047" w:rsidRPr="00251047">
          <w:rPr>
            <w:rFonts w:ascii="宋体" w:hAnsi="宋体"/>
            <w:noProof/>
            <w:sz w:val="24"/>
          </w:rPr>
          <w:fldChar w:fldCharType="separate"/>
        </w:r>
        <w:r w:rsidR="00FE1100">
          <w:rPr>
            <w:rFonts w:ascii="宋体" w:hAnsi="宋体"/>
            <w:noProof/>
            <w:sz w:val="24"/>
          </w:rPr>
          <w:t>121</w:t>
        </w:r>
        <w:r w:rsidR="00251047" w:rsidRPr="00251047">
          <w:rPr>
            <w:rFonts w:ascii="宋体" w:hAnsi="宋体"/>
            <w:noProof/>
            <w:sz w:val="24"/>
          </w:rPr>
          <w:fldChar w:fldCharType="end"/>
        </w:r>
      </w:hyperlink>
    </w:p>
    <w:p w14:paraId="088B8C87" w14:textId="7DDC2A6B" w:rsidR="00251047" w:rsidRPr="003619C4" w:rsidRDefault="006F202F" w:rsidP="00251047">
      <w:pPr>
        <w:pStyle w:val="11"/>
        <w:tabs>
          <w:tab w:val="right" w:leader="dot" w:pos="8550"/>
        </w:tabs>
        <w:spacing w:line="360" w:lineRule="auto"/>
        <w:rPr>
          <w:rFonts w:ascii="宋体" w:hAnsi="宋体"/>
          <w:noProof/>
          <w:sz w:val="24"/>
        </w:rPr>
      </w:pPr>
      <w:hyperlink w:anchor="_Toc137828503" w:history="1">
        <w:r w:rsidR="00251047" w:rsidRPr="00251047">
          <w:rPr>
            <w:rStyle w:val="af0"/>
            <w:rFonts w:ascii="宋体" w:hAnsi="宋体" w:hint="eastAsia"/>
            <w:noProof/>
            <w:sz w:val="24"/>
          </w:rPr>
          <w:t>二十一、托管协议的内容摘要</w:t>
        </w:r>
        <w:r w:rsidR="00251047" w:rsidRPr="00251047">
          <w:rPr>
            <w:rFonts w:ascii="宋体" w:hAnsi="宋体"/>
            <w:noProof/>
            <w:sz w:val="24"/>
          </w:rPr>
          <w:tab/>
        </w:r>
        <w:r w:rsidR="00251047" w:rsidRPr="00251047">
          <w:rPr>
            <w:rFonts w:ascii="宋体" w:hAnsi="宋体"/>
            <w:noProof/>
            <w:sz w:val="24"/>
          </w:rPr>
          <w:fldChar w:fldCharType="begin"/>
        </w:r>
        <w:r w:rsidR="00251047" w:rsidRPr="00251047">
          <w:rPr>
            <w:rFonts w:ascii="宋体" w:hAnsi="宋体"/>
            <w:noProof/>
            <w:sz w:val="24"/>
          </w:rPr>
          <w:instrText xml:space="preserve"> PAGEREF _Toc137828503 \h </w:instrText>
        </w:r>
        <w:r w:rsidR="00251047" w:rsidRPr="00251047">
          <w:rPr>
            <w:rFonts w:ascii="宋体" w:hAnsi="宋体"/>
            <w:noProof/>
            <w:sz w:val="24"/>
          </w:rPr>
        </w:r>
        <w:r w:rsidR="00251047" w:rsidRPr="00251047">
          <w:rPr>
            <w:rFonts w:ascii="宋体" w:hAnsi="宋体"/>
            <w:noProof/>
            <w:sz w:val="24"/>
          </w:rPr>
          <w:fldChar w:fldCharType="separate"/>
        </w:r>
        <w:r w:rsidR="00FE1100">
          <w:rPr>
            <w:rFonts w:ascii="宋体" w:hAnsi="宋体"/>
            <w:noProof/>
            <w:sz w:val="24"/>
          </w:rPr>
          <w:t>138</w:t>
        </w:r>
        <w:r w:rsidR="00251047" w:rsidRPr="00251047">
          <w:rPr>
            <w:rFonts w:ascii="宋体" w:hAnsi="宋体"/>
            <w:noProof/>
            <w:sz w:val="24"/>
          </w:rPr>
          <w:fldChar w:fldCharType="end"/>
        </w:r>
      </w:hyperlink>
    </w:p>
    <w:p w14:paraId="6C9ABEFA" w14:textId="025443A9" w:rsidR="00251047" w:rsidRPr="003619C4" w:rsidRDefault="006F202F" w:rsidP="00251047">
      <w:pPr>
        <w:pStyle w:val="11"/>
        <w:tabs>
          <w:tab w:val="right" w:leader="dot" w:pos="8550"/>
        </w:tabs>
        <w:spacing w:line="360" w:lineRule="auto"/>
        <w:rPr>
          <w:rFonts w:ascii="宋体" w:hAnsi="宋体"/>
          <w:noProof/>
          <w:sz w:val="24"/>
        </w:rPr>
      </w:pPr>
      <w:hyperlink w:anchor="_Toc137828504" w:history="1">
        <w:r w:rsidR="00251047" w:rsidRPr="00251047">
          <w:rPr>
            <w:rStyle w:val="af0"/>
            <w:rFonts w:ascii="宋体" w:hAnsi="宋体" w:hint="eastAsia"/>
            <w:noProof/>
            <w:sz w:val="24"/>
          </w:rPr>
          <w:t>二十二、对基金份额持有人的服务</w:t>
        </w:r>
        <w:r w:rsidR="00251047" w:rsidRPr="00251047">
          <w:rPr>
            <w:rFonts w:ascii="宋体" w:hAnsi="宋体"/>
            <w:noProof/>
            <w:sz w:val="24"/>
          </w:rPr>
          <w:tab/>
        </w:r>
        <w:r w:rsidR="00251047" w:rsidRPr="00251047">
          <w:rPr>
            <w:rFonts w:ascii="宋体" w:hAnsi="宋体"/>
            <w:noProof/>
            <w:sz w:val="24"/>
          </w:rPr>
          <w:fldChar w:fldCharType="begin"/>
        </w:r>
        <w:r w:rsidR="00251047" w:rsidRPr="00251047">
          <w:rPr>
            <w:rFonts w:ascii="宋体" w:hAnsi="宋体"/>
            <w:noProof/>
            <w:sz w:val="24"/>
          </w:rPr>
          <w:instrText xml:space="preserve"> PAGEREF _Toc137828504 \h </w:instrText>
        </w:r>
        <w:r w:rsidR="00251047" w:rsidRPr="00251047">
          <w:rPr>
            <w:rFonts w:ascii="宋体" w:hAnsi="宋体"/>
            <w:noProof/>
            <w:sz w:val="24"/>
          </w:rPr>
        </w:r>
        <w:r w:rsidR="00251047" w:rsidRPr="00251047">
          <w:rPr>
            <w:rFonts w:ascii="宋体" w:hAnsi="宋体"/>
            <w:noProof/>
            <w:sz w:val="24"/>
          </w:rPr>
          <w:fldChar w:fldCharType="separate"/>
        </w:r>
        <w:r w:rsidR="00FE1100">
          <w:rPr>
            <w:rFonts w:ascii="宋体" w:hAnsi="宋体"/>
            <w:noProof/>
            <w:sz w:val="24"/>
          </w:rPr>
          <w:t>151</w:t>
        </w:r>
        <w:r w:rsidR="00251047" w:rsidRPr="00251047">
          <w:rPr>
            <w:rFonts w:ascii="宋体" w:hAnsi="宋体"/>
            <w:noProof/>
            <w:sz w:val="24"/>
          </w:rPr>
          <w:fldChar w:fldCharType="end"/>
        </w:r>
      </w:hyperlink>
    </w:p>
    <w:p w14:paraId="079D75E8" w14:textId="75B45660" w:rsidR="00251047" w:rsidRPr="003619C4" w:rsidRDefault="006F202F" w:rsidP="00251047">
      <w:pPr>
        <w:pStyle w:val="11"/>
        <w:tabs>
          <w:tab w:val="right" w:leader="dot" w:pos="8550"/>
        </w:tabs>
        <w:spacing w:line="360" w:lineRule="auto"/>
        <w:rPr>
          <w:rFonts w:ascii="宋体" w:hAnsi="宋体"/>
          <w:noProof/>
          <w:sz w:val="24"/>
        </w:rPr>
      </w:pPr>
      <w:hyperlink w:anchor="_Toc137828505" w:history="1">
        <w:r w:rsidR="00251047" w:rsidRPr="00251047">
          <w:rPr>
            <w:rStyle w:val="af0"/>
            <w:rFonts w:ascii="宋体" w:hAnsi="宋体" w:hint="eastAsia"/>
            <w:noProof/>
            <w:sz w:val="24"/>
          </w:rPr>
          <w:t>二十三、其他应披露事项</w:t>
        </w:r>
        <w:r w:rsidR="00251047" w:rsidRPr="00251047">
          <w:rPr>
            <w:rFonts w:ascii="宋体" w:hAnsi="宋体"/>
            <w:noProof/>
            <w:sz w:val="24"/>
          </w:rPr>
          <w:tab/>
        </w:r>
        <w:r w:rsidR="00251047" w:rsidRPr="00251047">
          <w:rPr>
            <w:rFonts w:ascii="宋体" w:hAnsi="宋体"/>
            <w:noProof/>
            <w:sz w:val="24"/>
          </w:rPr>
          <w:fldChar w:fldCharType="begin"/>
        </w:r>
        <w:r w:rsidR="00251047" w:rsidRPr="00251047">
          <w:rPr>
            <w:rFonts w:ascii="宋体" w:hAnsi="宋体"/>
            <w:noProof/>
            <w:sz w:val="24"/>
          </w:rPr>
          <w:instrText xml:space="preserve"> PAGEREF _Toc137828505 \h </w:instrText>
        </w:r>
        <w:r w:rsidR="00251047" w:rsidRPr="00251047">
          <w:rPr>
            <w:rFonts w:ascii="宋体" w:hAnsi="宋体"/>
            <w:noProof/>
            <w:sz w:val="24"/>
          </w:rPr>
        </w:r>
        <w:r w:rsidR="00251047" w:rsidRPr="00251047">
          <w:rPr>
            <w:rFonts w:ascii="宋体" w:hAnsi="宋体"/>
            <w:noProof/>
            <w:sz w:val="24"/>
          </w:rPr>
          <w:fldChar w:fldCharType="separate"/>
        </w:r>
        <w:r w:rsidR="00FE1100">
          <w:rPr>
            <w:rFonts w:ascii="宋体" w:hAnsi="宋体"/>
            <w:noProof/>
            <w:sz w:val="24"/>
          </w:rPr>
          <w:t>153</w:t>
        </w:r>
        <w:r w:rsidR="00251047" w:rsidRPr="00251047">
          <w:rPr>
            <w:rFonts w:ascii="宋体" w:hAnsi="宋体"/>
            <w:noProof/>
            <w:sz w:val="24"/>
          </w:rPr>
          <w:fldChar w:fldCharType="end"/>
        </w:r>
      </w:hyperlink>
    </w:p>
    <w:p w14:paraId="3EC10D23" w14:textId="2262929F" w:rsidR="00251047" w:rsidRPr="003619C4" w:rsidRDefault="006F202F" w:rsidP="00251047">
      <w:pPr>
        <w:pStyle w:val="11"/>
        <w:tabs>
          <w:tab w:val="right" w:leader="dot" w:pos="8550"/>
        </w:tabs>
        <w:spacing w:line="360" w:lineRule="auto"/>
        <w:rPr>
          <w:rFonts w:ascii="宋体" w:hAnsi="宋体"/>
          <w:noProof/>
          <w:sz w:val="24"/>
        </w:rPr>
      </w:pPr>
      <w:hyperlink w:anchor="_Toc137828506" w:history="1">
        <w:r w:rsidR="00251047" w:rsidRPr="00251047">
          <w:rPr>
            <w:rStyle w:val="af0"/>
            <w:rFonts w:ascii="宋体" w:hAnsi="宋体" w:hint="eastAsia"/>
            <w:noProof/>
            <w:sz w:val="24"/>
          </w:rPr>
          <w:t>二十四、招募说明书的存放及查阅方式</w:t>
        </w:r>
        <w:r w:rsidR="00251047" w:rsidRPr="00251047">
          <w:rPr>
            <w:rFonts w:ascii="宋体" w:hAnsi="宋体"/>
            <w:noProof/>
            <w:sz w:val="24"/>
          </w:rPr>
          <w:tab/>
        </w:r>
        <w:r w:rsidR="00251047" w:rsidRPr="00251047">
          <w:rPr>
            <w:rFonts w:ascii="宋体" w:hAnsi="宋体"/>
            <w:noProof/>
            <w:sz w:val="24"/>
          </w:rPr>
          <w:fldChar w:fldCharType="begin"/>
        </w:r>
        <w:r w:rsidR="00251047" w:rsidRPr="00251047">
          <w:rPr>
            <w:rFonts w:ascii="宋体" w:hAnsi="宋体"/>
            <w:noProof/>
            <w:sz w:val="24"/>
          </w:rPr>
          <w:instrText xml:space="preserve"> PAGEREF _Toc137828506 \h </w:instrText>
        </w:r>
        <w:r w:rsidR="00251047" w:rsidRPr="00251047">
          <w:rPr>
            <w:rFonts w:ascii="宋体" w:hAnsi="宋体"/>
            <w:noProof/>
            <w:sz w:val="24"/>
          </w:rPr>
        </w:r>
        <w:r w:rsidR="00251047" w:rsidRPr="00251047">
          <w:rPr>
            <w:rFonts w:ascii="宋体" w:hAnsi="宋体"/>
            <w:noProof/>
            <w:sz w:val="24"/>
          </w:rPr>
          <w:fldChar w:fldCharType="separate"/>
        </w:r>
        <w:r w:rsidR="00FE1100">
          <w:rPr>
            <w:rFonts w:ascii="宋体" w:hAnsi="宋体"/>
            <w:noProof/>
            <w:sz w:val="24"/>
          </w:rPr>
          <w:t>155</w:t>
        </w:r>
        <w:r w:rsidR="00251047" w:rsidRPr="00251047">
          <w:rPr>
            <w:rFonts w:ascii="宋体" w:hAnsi="宋体"/>
            <w:noProof/>
            <w:sz w:val="24"/>
          </w:rPr>
          <w:fldChar w:fldCharType="end"/>
        </w:r>
      </w:hyperlink>
    </w:p>
    <w:p w14:paraId="0F21D8FA" w14:textId="3A9F9DFA" w:rsidR="00251047" w:rsidRPr="003619C4" w:rsidRDefault="006F202F" w:rsidP="00251047">
      <w:pPr>
        <w:pStyle w:val="11"/>
        <w:tabs>
          <w:tab w:val="right" w:leader="dot" w:pos="8550"/>
        </w:tabs>
        <w:spacing w:line="360" w:lineRule="auto"/>
        <w:rPr>
          <w:rFonts w:ascii="宋体" w:hAnsi="宋体"/>
          <w:noProof/>
          <w:sz w:val="24"/>
        </w:rPr>
      </w:pPr>
      <w:hyperlink w:anchor="_Toc137828507" w:history="1">
        <w:r w:rsidR="00251047" w:rsidRPr="00251047">
          <w:rPr>
            <w:rStyle w:val="af0"/>
            <w:rFonts w:ascii="宋体" w:hAnsi="宋体" w:hint="eastAsia"/>
            <w:noProof/>
            <w:sz w:val="24"/>
          </w:rPr>
          <w:t>二十五、备查文件</w:t>
        </w:r>
        <w:r w:rsidR="00251047" w:rsidRPr="00251047">
          <w:rPr>
            <w:rFonts w:ascii="宋体" w:hAnsi="宋体"/>
            <w:noProof/>
            <w:sz w:val="24"/>
          </w:rPr>
          <w:tab/>
        </w:r>
        <w:r w:rsidR="00251047" w:rsidRPr="00251047">
          <w:rPr>
            <w:rFonts w:ascii="宋体" w:hAnsi="宋体"/>
            <w:noProof/>
            <w:sz w:val="24"/>
          </w:rPr>
          <w:fldChar w:fldCharType="begin"/>
        </w:r>
        <w:r w:rsidR="00251047" w:rsidRPr="00251047">
          <w:rPr>
            <w:rFonts w:ascii="宋体" w:hAnsi="宋体"/>
            <w:noProof/>
            <w:sz w:val="24"/>
          </w:rPr>
          <w:instrText xml:space="preserve"> PAGEREF _Toc137828507 \h </w:instrText>
        </w:r>
        <w:r w:rsidR="00251047" w:rsidRPr="00251047">
          <w:rPr>
            <w:rFonts w:ascii="宋体" w:hAnsi="宋体"/>
            <w:noProof/>
            <w:sz w:val="24"/>
          </w:rPr>
        </w:r>
        <w:r w:rsidR="00251047" w:rsidRPr="00251047">
          <w:rPr>
            <w:rFonts w:ascii="宋体" w:hAnsi="宋体"/>
            <w:noProof/>
            <w:sz w:val="24"/>
          </w:rPr>
          <w:fldChar w:fldCharType="separate"/>
        </w:r>
        <w:r w:rsidR="00FE1100">
          <w:rPr>
            <w:rFonts w:ascii="宋体" w:hAnsi="宋体"/>
            <w:noProof/>
            <w:sz w:val="24"/>
          </w:rPr>
          <w:t>156</w:t>
        </w:r>
        <w:r w:rsidR="00251047" w:rsidRPr="00251047">
          <w:rPr>
            <w:rFonts w:ascii="宋体" w:hAnsi="宋体"/>
            <w:noProof/>
            <w:sz w:val="24"/>
          </w:rPr>
          <w:fldChar w:fldCharType="end"/>
        </w:r>
      </w:hyperlink>
    </w:p>
    <w:p w14:paraId="7344DE8A" w14:textId="187C4CD9" w:rsidR="001430E9" w:rsidRDefault="00251047" w:rsidP="00190EBC">
      <w:pPr>
        <w:pStyle w:val="af3"/>
        <w:snapToGrid w:val="0"/>
        <w:spacing w:after="240" w:line="360" w:lineRule="auto"/>
        <w:sectPr w:rsidR="001430E9">
          <w:pgSz w:w="11920" w:h="16840"/>
          <w:pgMar w:top="1480" w:right="1680" w:bottom="280" w:left="1680" w:header="0" w:footer="1073" w:gutter="0"/>
          <w:cols w:space="720"/>
        </w:sectPr>
      </w:pPr>
      <w:r w:rsidRPr="00251047">
        <w:rPr>
          <w:rFonts w:ascii="宋体" w:hAnsi="宋体"/>
          <w:color w:val="000000"/>
          <w:position w:val="-4"/>
          <w:sz w:val="24"/>
          <w:szCs w:val="30"/>
        </w:rPr>
        <w:fldChar w:fldCharType="end"/>
      </w:r>
    </w:p>
    <w:p w14:paraId="341A4773" w14:textId="77777777" w:rsidR="001430E9" w:rsidRDefault="00C86CDB">
      <w:pPr>
        <w:pStyle w:val="1"/>
        <w:snapToGrid w:val="0"/>
        <w:spacing w:beforeLines="0" w:before="240" w:after="240"/>
        <w:rPr>
          <w:rFonts w:ascii="宋体" w:hAnsi="宋体"/>
          <w:szCs w:val="30"/>
        </w:rPr>
      </w:pPr>
      <w:bookmarkStart w:id="3" w:name="_Toc137828483"/>
      <w:r>
        <w:rPr>
          <w:rFonts w:ascii="Times New Roman" w:hAnsi="Times New Roman"/>
          <w:sz w:val="30"/>
        </w:rPr>
        <w:lastRenderedPageBreak/>
        <w:t>一、绪言</w:t>
      </w:r>
      <w:bookmarkEnd w:id="3"/>
    </w:p>
    <w:p w14:paraId="6F33CF3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核心资产混合型证券投资基金招募说明书》（以下简称“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规定》”）和其他相关法律法规的规定以及《交银施罗德核心资产混合型证券投资基金基金合同》（以下简称“基金合同”）编写。</w:t>
      </w:r>
    </w:p>
    <w:p w14:paraId="31A1FD1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14:paraId="2E76987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根据本基金的基金合同编写，并经中国证监会注册。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16C31F63" w14:textId="77777777" w:rsidR="00435AFE" w:rsidRDefault="00C86CDB" w:rsidP="00435AFE">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5697E7DD" w14:textId="77777777" w:rsidR="001430E9" w:rsidRDefault="00C86CDB">
      <w:pPr>
        <w:pStyle w:val="1"/>
        <w:snapToGrid w:val="0"/>
        <w:spacing w:beforeLines="0" w:before="240" w:after="240"/>
        <w:rPr>
          <w:rFonts w:ascii="宋体" w:hAnsi="宋体"/>
          <w:szCs w:val="30"/>
        </w:rPr>
      </w:pPr>
      <w:bookmarkStart w:id="4" w:name="_Toc137828484"/>
      <w:r>
        <w:rPr>
          <w:rFonts w:ascii="Times New Roman" w:hAnsi="Times New Roman"/>
          <w:sz w:val="30"/>
        </w:rPr>
        <w:lastRenderedPageBreak/>
        <w:t>二、释义</w:t>
      </w:r>
      <w:bookmarkEnd w:id="4"/>
    </w:p>
    <w:p w14:paraId="1CA6ED6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在本招募说明书中，除非文意另有所指，下列词语或简称具有如下含义：</w:t>
      </w:r>
    </w:p>
    <w:p w14:paraId="4AEDE29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1、基金或本基金：指交银施罗德核心资产混合型证券投资基金</w:t>
      </w:r>
    </w:p>
    <w:p w14:paraId="231A2C0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2、基金管理人或本基金管理人：指交银施罗德基金管理有限公司</w:t>
      </w:r>
    </w:p>
    <w:p w14:paraId="3E17970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3、基金托管人或本基金托管人：指中国农业银行股份有限公司</w:t>
      </w:r>
    </w:p>
    <w:p w14:paraId="2A08DD6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4、《基金合同》或基金合同：指《交银施罗德核心资产混合型证券投资基金基金合同》及对基金合同的任何有效修订和补充</w:t>
      </w:r>
    </w:p>
    <w:p w14:paraId="312187D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5、托管协议：指基金管理人与基金托管人就本基金签订之《交银施罗德核心资产混合型证券投资基金托管协议》及对该托管协议的任何有效修订和补充</w:t>
      </w:r>
    </w:p>
    <w:p w14:paraId="6E640B8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6、招募说明书或《招募说明书》或本招募说明书：指《交银施罗德核心资产混合型证券投资基金招募说明书》及其更新</w:t>
      </w:r>
    </w:p>
    <w:p w14:paraId="0F1B398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7、基金份额发售公告：指《交银施罗德核心资产混合型证券投资基金基金份额发售公告》</w:t>
      </w:r>
    </w:p>
    <w:p w14:paraId="227995E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8、基金产品资料概要：指《交银施罗德核心资产混合型证券投资基金基金产品资料概要》及其更新</w:t>
      </w:r>
    </w:p>
    <w:p w14:paraId="2D79884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9、法律法规：指中国现行有效并公布实施的法律、行政法规、规范性文件、司法解释、行政规章以及其他对基金合同当事人有约束力的决定、决议、通知等</w:t>
      </w:r>
    </w:p>
    <w:p w14:paraId="2A6EDEB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10、《基金法》：指《中华人民共和国证券投资基金法》及颁布机关对其不时做出的修订</w:t>
      </w:r>
    </w:p>
    <w:p w14:paraId="7A621BA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11、《销售办法》：指《证券投资基金销售管理办法》及颁布机关对其不时做出的修订</w:t>
      </w:r>
    </w:p>
    <w:p w14:paraId="20CB5FA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12、《信息披露办法》：指《公开募集证券投资基金信息披露管理办法》及颁布机关对其不时做出的修订</w:t>
      </w:r>
    </w:p>
    <w:p w14:paraId="3520A9D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13、《运作办法》：指《公开募集证券投资基金运作管理办法》及颁布机关对其不时做出的修订</w:t>
      </w:r>
    </w:p>
    <w:p w14:paraId="4120445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14、《流动性规定》：指《公开募集开放式证券投资基金流动性风险管理规定》及颁布机关对其不时做出的修订</w:t>
      </w:r>
    </w:p>
    <w:p w14:paraId="0DEBAAE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15、中国证监会：指中国证券监督管理委员会</w:t>
      </w:r>
    </w:p>
    <w:p w14:paraId="250766B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16、银行业监督管理机构：指中国人民银行和/或中国银行保险监督管理委员</w:t>
      </w:r>
      <w:r>
        <w:rPr>
          <w:rFonts w:ascii="宋体" w:hAnsi="宋体"/>
          <w:sz w:val="24"/>
        </w:rPr>
        <w:lastRenderedPageBreak/>
        <w:t>会</w:t>
      </w:r>
    </w:p>
    <w:p w14:paraId="27FB257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17、基金合同当事人：指受基金合同约束，根据基金合同享有权利并承担义务的法律主体，包括基金管理人、基金托管人和基金份额持有人</w:t>
      </w:r>
    </w:p>
    <w:p w14:paraId="68D8EA3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18、个人投资者：指依据有关法律法规规定可投资于证券投资基金的自然人</w:t>
      </w:r>
    </w:p>
    <w:p w14:paraId="649D613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19、机构投资者：指依法可以投资证券投资基金的、在中华人民共和国境内合法登记并存续或经有关政府部门批准设立并存续的企业法人、事业法人、社会团体或其他组织</w:t>
      </w:r>
    </w:p>
    <w:p w14:paraId="04A69DA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20、合格境外机构投资者：指符合《合格境外机构投资者境内证券投资管理办法》及相关法律法规规定，可以投资于在中国境内依法募集的证券投资基金的中国境外的机构投资者</w:t>
      </w:r>
    </w:p>
    <w:p w14:paraId="06F9AA2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21、人民币合格境外机构投资者：指按照《人民币合格境外机构投资者境内证券投资试点办法》及相关法律法规规定，运用来自境外的人民币资金进行中国境内证券投资的境外机构投资者</w:t>
      </w:r>
    </w:p>
    <w:p w14:paraId="3301D91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22、投资人或投资者：指个人投资者、机构投资者、合格境外机构投资者和人民币合格境外机构投资者以及法律法规或中国证监会允许购买证券投资基金的其他投资人的合称</w:t>
      </w:r>
    </w:p>
    <w:p w14:paraId="68F1F3F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23、基金份额持有人：指依基金合同和招募说明书合法取得基金份额的投资人</w:t>
      </w:r>
    </w:p>
    <w:p w14:paraId="25281AF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24、基金销售业务：指基金管理人或销售机构宣传推介基金，发售基金份额，办理基金份额的申购、赎回、转换、转托管及定期定额投资等业务</w:t>
      </w:r>
    </w:p>
    <w:p w14:paraId="0E9EB12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25、销售机构：指交银施罗德基金管理有限公司以及符合《销售办法》和中国证监会规定的其他条件，取得基金销售业务资格并与基金管理人签订了基金销售服务协议，办理基金销售业务的机构</w:t>
      </w:r>
    </w:p>
    <w:p w14:paraId="78FFB71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052063A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27、登记机构：指办理登记业务的机构。基金的登记机构为交银施罗德基金管理有限公司或接受交银施罗德基金管理有限公司委托办理登记业务的机构</w:t>
      </w:r>
    </w:p>
    <w:p w14:paraId="469B8CE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28、基金账户：指登记机构为投资人开立的、记录其持有的、基金管理人所管理的基金份额余额及其变动情况的账户</w:t>
      </w:r>
    </w:p>
    <w:p w14:paraId="587868B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29、基金交易账户：指销售机构为投资人开立的、记录投资人通过该销售机构</w:t>
      </w:r>
      <w:r>
        <w:rPr>
          <w:rFonts w:ascii="宋体" w:hAnsi="宋体"/>
          <w:sz w:val="24"/>
        </w:rPr>
        <w:lastRenderedPageBreak/>
        <w:t>办理认购、申购、赎回、转换、定期定额投资及转托管等业务而引起的基金份额变动及结余情况的账户</w:t>
      </w:r>
    </w:p>
    <w:p w14:paraId="1E55C0D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30、基金合同生效日：指基金募集达到法律法规规定及基金合同规定的条件，基金管理人向中国证监会办理基金备案手续完毕，并获得中国证监会书面确认的日期</w:t>
      </w:r>
    </w:p>
    <w:p w14:paraId="5AD3F72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31、基金合同终止日：指基金合同规定的基金合同终止事由出现后，基金财产清算完毕，清算结果报中国证监会备案并予以公告的日期</w:t>
      </w:r>
    </w:p>
    <w:p w14:paraId="10BEA25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32、基金募集期：指自基金份额发售之日起至发售结束之日止的期间，最长不得超过3个月</w:t>
      </w:r>
    </w:p>
    <w:p w14:paraId="7C65A18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33、存续期：指基金合同生效至终止之间的不定期期限</w:t>
      </w:r>
    </w:p>
    <w:p w14:paraId="61F31A1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34、工作日：指上海证券交易所、深圳证券交易所的正常交易日</w:t>
      </w:r>
    </w:p>
    <w:p w14:paraId="463D31B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35、T日：指销售机构在规定时间受理投资人申购、赎回或其他业务申请的开放日</w:t>
      </w:r>
    </w:p>
    <w:p w14:paraId="34A9CE6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36、T+n日：指自T日起第n个工作日（不包含T日）</w:t>
      </w:r>
    </w:p>
    <w:p w14:paraId="71609F8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37、开放日：指为投资人办理基金份额申购、赎回或其他业务的工作日（若该工作日为非港股通交易日，则本基金不开放）</w:t>
      </w:r>
    </w:p>
    <w:p w14:paraId="22D51B3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38、开放时间：指开放日基金接受申购、赎回或其他交易的时间段</w:t>
      </w:r>
    </w:p>
    <w:p w14:paraId="6482F6A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39、《业务规则》：指《中国证券登记结算有限责任公司开放式证券投资基金及证券公司集合资产管理计划份额登记及资金结算业务指南》及其后修订，是规范基金管理人所管理的开放式证券投资基金登记方面的业务规则，由基金管理人和投资人共同遵守</w:t>
      </w:r>
    </w:p>
    <w:p w14:paraId="0F3D82C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40、认购：指在基金募集期内，投资人根据基金合同和招募说明书的规定申请购买基金份额的行为</w:t>
      </w:r>
    </w:p>
    <w:p w14:paraId="45CE7D1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41、申购：指基金合同生效后，投资人根据基金合同和招募说明书的规定申请购买基金份额的行为</w:t>
      </w:r>
    </w:p>
    <w:p w14:paraId="1DA16D5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42、赎回：指基金合同生效后，基金份额持有人按基金合同和招募说明书规定的条件要求将基金份额兑换为现金的行为</w:t>
      </w:r>
    </w:p>
    <w:p w14:paraId="54EC6CD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43、基金转换：指基金份额持有人按照基金合同和基金管理人届时有效公告规定的条件，申请将其持有基金管理人管理的、某一基金的基金份额转换为基金管理人管理的其他基金基金份额的行为</w:t>
      </w:r>
    </w:p>
    <w:p w14:paraId="0D190DF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44、转托管：指基金份额持有人在本基金的不同销售机构之间实施的变更所持基金份额销售机构的操作</w:t>
      </w:r>
    </w:p>
    <w:p w14:paraId="153A632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45、定期定额投资计划：指投资人通过有关销售机构提出申请，约定每期申购日、扣款金额及扣款方式，由指定的销售机构在投资人指定银行账户内自动完成扣款并于每期约定的申购日受理基金申购申请的一种投资方式</w:t>
      </w:r>
    </w:p>
    <w:p w14:paraId="7BF98FA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46、巨额赎回：指本基金单个开放日，基金净赎回申请（赎回申请份额总数加上基金转换中转出申请份额总数后扣除申购申请份额总数及基金转换中转入申请份额总数后的余额）超过上一开放日基金总份额的10%的情形</w:t>
      </w:r>
    </w:p>
    <w:p w14:paraId="3008C90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47、元：指人民币元</w:t>
      </w:r>
    </w:p>
    <w:p w14:paraId="5C14861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48、基金收益：指基金投资所得红利、股息、债券利息、买卖证券价差、银行存款利息、已实现的其他合法收入及因运用基金财产带来的成本和费用的节约</w:t>
      </w:r>
    </w:p>
    <w:p w14:paraId="1A688F2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49、基金资产总值：指基金拥有的各类有价证券、股指期货合约、银行存款本息、基金应收申购款及其他资产的价值总和</w:t>
      </w:r>
    </w:p>
    <w:p w14:paraId="38477AA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50、基金资产净值：指基金资产总值减去基金负债后的价值</w:t>
      </w:r>
    </w:p>
    <w:p w14:paraId="2938D26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51、基金份额净值：指计算日基金资产净值除以计算日基金份额总数</w:t>
      </w:r>
    </w:p>
    <w:p w14:paraId="03EB7CD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52、基金资产估值：指计算评估基金资产和负债的价值，以确定基金资产净值和基金份额净值的过程</w:t>
      </w:r>
    </w:p>
    <w:p w14:paraId="7C207D38" w14:textId="77777777" w:rsidR="004B6854" w:rsidRPr="004B6854" w:rsidRDefault="00C86CDB" w:rsidP="004B6854">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53、</w:t>
      </w:r>
      <w:r w:rsidR="004B6854" w:rsidRPr="004B6854">
        <w:rPr>
          <w:rFonts w:ascii="宋体" w:hAnsi="宋体" w:hint="eastAsia"/>
          <w:sz w:val="24"/>
        </w:rPr>
        <w:t>销售服务费：指从基金财产中计提的，用于本基金市场推广、销售以及基金份额持有人服务的费用</w:t>
      </w:r>
    </w:p>
    <w:p w14:paraId="0570D3FE" w14:textId="77777777" w:rsidR="004B6854" w:rsidRPr="004B6854" w:rsidRDefault="004B6854" w:rsidP="004B6854">
      <w:pPr>
        <w:autoSpaceDE w:val="0"/>
        <w:autoSpaceDN w:val="0"/>
        <w:adjustRightInd w:val="0"/>
        <w:snapToGrid w:val="0"/>
        <w:spacing w:line="360" w:lineRule="auto"/>
        <w:ind w:firstLineChars="200" w:firstLine="480"/>
        <w:jc w:val="left"/>
        <w:rPr>
          <w:rFonts w:ascii="宋体" w:hAnsi="宋体"/>
          <w:sz w:val="24"/>
        </w:rPr>
      </w:pPr>
      <w:r w:rsidRPr="004B6854">
        <w:rPr>
          <w:rFonts w:ascii="宋体" w:hAnsi="宋体" w:hint="eastAsia"/>
          <w:sz w:val="24"/>
        </w:rPr>
        <w:t>54、A类基金份额：指在投资人申购时收取申购费用且不从本类别基金资产中计提销售服务费的基金份额</w:t>
      </w:r>
    </w:p>
    <w:p w14:paraId="54817A7C" w14:textId="77777777" w:rsidR="004B6854" w:rsidRPr="004B6854" w:rsidRDefault="004B6854" w:rsidP="004B6854">
      <w:pPr>
        <w:autoSpaceDE w:val="0"/>
        <w:autoSpaceDN w:val="0"/>
        <w:adjustRightInd w:val="0"/>
        <w:snapToGrid w:val="0"/>
        <w:spacing w:line="360" w:lineRule="auto"/>
        <w:ind w:firstLineChars="200" w:firstLine="480"/>
        <w:jc w:val="left"/>
        <w:rPr>
          <w:rFonts w:ascii="宋体" w:hAnsi="宋体"/>
          <w:sz w:val="24"/>
        </w:rPr>
      </w:pPr>
      <w:r w:rsidRPr="004B6854">
        <w:rPr>
          <w:rFonts w:ascii="宋体" w:hAnsi="宋体" w:hint="eastAsia"/>
          <w:sz w:val="24"/>
        </w:rPr>
        <w:t>55、C类基金份额：指在投资人申购时不收取申购费用，并从本类别基金资产中计提销售服务费的基金份额</w:t>
      </w:r>
    </w:p>
    <w:p w14:paraId="0644BE44" w14:textId="77777777" w:rsidR="001430E9" w:rsidRDefault="004B6854" w:rsidP="004B6854">
      <w:pPr>
        <w:autoSpaceDE w:val="0"/>
        <w:autoSpaceDN w:val="0"/>
        <w:adjustRightInd w:val="0"/>
        <w:snapToGrid w:val="0"/>
        <w:spacing w:line="360" w:lineRule="auto"/>
        <w:ind w:firstLineChars="200" w:firstLine="480"/>
        <w:jc w:val="left"/>
        <w:rPr>
          <w:rFonts w:ascii="宋体" w:hAnsi="宋体"/>
          <w:szCs w:val="24"/>
        </w:rPr>
      </w:pPr>
      <w:r w:rsidRPr="004B6854">
        <w:rPr>
          <w:rFonts w:ascii="宋体" w:hAnsi="宋体" w:hint="eastAsia"/>
          <w:sz w:val="24"/>
        </w:rPr>
        <w:t>56、</w:t>
      </w:r>
      <w:r w:rsidR="00C86CDB">
        <w:rPr>
          <w:rFonts w:ascii="宋体" w:hAnsi="宋体"/>
          <w:sz w:val="24"/>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14:paraId="1643FAAA" w14:textId="2D65C618"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w:t>
      </w:r>
      <w:r w:rsidR="004B6854">
        <w:rPr>
          <w:rFonts w:ascii="宋体" w:hAnsi="宋体"/>
          <w:sz w:val="24"/>
        </w:rPr>
        <w:t>7</w:t>
      </w:r>
      <w:r>
        <w:rPr>
          <w:rFonts w:ascii="宋体" w:hAnsi="宋体"/>
          <w:sz w:val="24"/>
        </w:rPr>
        <w:t>、摆动定价机制：指当开放式基金遭遇大额申购赎回时，通过调整基金份额净值的方式，将基金调整投资组合的市场冲击成本分配给实际申购、赎回的投资</w:t>
      </w:r>
      <w:r>
        <w:rPr>
          <w:rFonts w:ascii="宋体" w:hAnsi="宋体"/>
          <w:sz w:val="24"/>
        </w:rPr>
        <w:lastRenderedPageBreak/>
        <w:t>者。具体处理原则与操作规范遵循相关法律法规以及监管部门、自律规则的规定</w:t>
      </w:r>
    </w:p>
    <w:p w14:paraId="48F41BEE" w14:textId="346D5F36"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w:t>
      </w:r>
      <w:r w:rsidR="004B6854">
        <w:rPr>
          <w:rFonts w:ascii="宋体" w:hAnsi="宋体"/>
          <w:sz w:val="24"/>
        </w:rPr>
        <w:t>8</w:t>
      </w:r>
      <w:r>
        <w:rPr>
          <w:rFonts w:ascii="宋体" w:hAnsi="宋体"/>
          <w:sz w:val="24"/>
        </w:rPr>
        <w:t>、港股通：指内地投资者委托内地证券公司，经由内地证券交易所设立的证券交易服务公司，向香港联合交易所进行申报，买卖规定范围内的香港联合交易所上市的股票</w:t>
      </w:r>
    </w:p>
    <w:p w14:paraId="57E060F0" w14:textId="62EA61F2" w:rsidR="001430E9" w:rsidRDefault="00C86CDB">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5</w:t>
      </w:r>
      <w:r w:rsidR="004B6854">
        <w:rPr>
          <w:rFonts w:ascii="宋体" w:hAnsi="宋体"/>
          <w:sz w:val="24"/>
        </w:rPr>
        <w:t>9</w:t>
      </w:r>
      <w:r>
        <w:rPr>
          <w:rFonts w:ascii="宋体" w:hAnsi="宋体"/>
          <w:sz w:val="24"/>
        </w:rPr>
        <w:t>、指定媒介：指中国证监会指定的用以进行信息披露的全国性报刊及指定互联网网站（包括基金管理人网站、基金托管人网站、中国证监会基金电子披露网站）等媒介</w:t>
      </w:r>
    </w:p>
    <w:p w14:paraId="55BF842B" w14:textId="77777777" w:rsidR="005D3CE5" w:rsidRPr="00190EBC" w:rsidRDefault="005D3CE5" w:rsidP="00190EBC">
      <w:pPr>
        <w:autoSpaceDE w:val="0"/>
        <w:autoSpaceDN w:val="0"/>
        <w:adjustRightInd w:val="0"/>
        <w:snapToGrid w:val="0"/>
        <w:spacing w:line="360" w:lineRule="auto"/>
        <w:ind w:firstLineChars="200" w:firstLine="480"/>
        <w:jc w:val="left"/>
        <w:rPr>
          <w:rFonts w:ascii="宋体" w:hAnsi="宋体"/>
          <w:sz w:val="24"/>
        </w:rPr>
      </w:pPr>
      <w:r w:rsidRPr="00190EBC">
        <w:rPr>
          <w:rFonts w:ascii="宋体" w:hAnsi="宋体"/>
          <w:sz w:val="24"/>
        </w:rPr>
        <w:t>60、</w:t>
      </w:r>
      <w:r w:rsidRPr="00190EBC">
        <w:rPr>
          <w:rFonts w:ascii="宋体" w:hAnsi="宋体" w:hint="eastAsia"/>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66C18691" w14:textId="2F3E4634" w:rsidR="005D3CE5" w:rsidRPr="00190EBC" w:rsidRDefault="005D3CE5" w:rsidP="00190EBC">
      <w:pPr>
        <w:autoSpaceDE w:val="0"/>
        <w:autoSpaceDN w:val="0"/>
        <w:adjustRightInd w:val="0"/>
        <w:snapToGrid w:val="0"/>
        <w:spacing w:line="360" w:lineRule="auto"/>
        <w:ind w:firstLineChars="200" w:firstLine="480"/>
        <w:jc w:val="left"/>
        <w:rPr>
          <w:rFonts w:ascii="宋体" w:hAnsi="宋体"/>
          <w:sz w:val="24"/>
        </w:rPr>
      </w:pPr>
      <w:r w:rsidRPr="00190EBC">
        <w:rPr>
          <w:rFonts w:ascii="宋体" w:hAnsi="宋体"/>
          <w:sz w:val="24"/>
        </w:rPr>
        <w:t>61、特定资产：包括：（一）无可参考的活跃市场价格且采用估值技术</w:t>
      </w:r>
      <w:r w:rsidRPr="00190EBC">
        <w:rPr>
          <w:rFonts w:ascii="宋体" w:hAnsi="宋体" w:hint="eastAsia"/>
          <w:sz w:val="24"/>
        </w:rPr>
        <w:t>仍导致公允价值存在重大不确定性的资产；（二）按摊余成本计量且计提资产减值准备仍导致资产价值存在重大不确定性的资产；（三）其他资产价值存在重大不确定性的资产</w:t>
      </w:r>
    </w:p>
    <w:p w14:paraId="55F3AB1B" w14:textId="5E3F32BE" w:rsidR="001430E9" w:rsidRDefault="004B6854">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w:t>
      </w:r>
      <w:r w:rsidR="005D3CE5">
        <w:rPr>
          <w:rFonts w:ascii="宋体" w:hAnsi="宋体"/>
          <w:sz w:val="24"/>
        </w:rPr>
        <w:t>1</w:t>
      </w:r>
      <w:r w:rsidR="00C86CDB">
        <w:rPr>
          <w:rFonts w:ascii="宋体" w:hAnsi="宋体"/>
          <w:sz w:val="24"/>
        </w:rPr>
        <w:t>、不可抗力：指基金合同当事人不能预见、不能避免且不能克服的客观事件</w:t>
      </w:r>
    </w:p>
    <w:p w14:paraId="7FF8156E" w14:textId="77777777" w:rsidR="00435AFE" w:rsidRDefault="00C86CDB" w:rsidP="00435AFE">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6B5B0901" w14:textId="77777777" w:rsidR="001430E9" w:rsidRDefault="00C86CDB">
      <w:pPr>
        <w:pStyle w:val="1"/>
        <w:snapToGrid w:val="0"/>
        <w:spacing w:beforeLines="0" w:before="240" w:after="240"/>
        <w:rPr>
          <w:rFonts w:ascii="宋体" w:hAnsi="宋体"/>
          <w:szCs w:val="30"/>
        </w:rPr>
      </w:pPr>
      <w:bookmarkStart w:id="5" w:name="_Toc137828485"/>
      <w:r>
        <w:rPr>
          <w:rFonts w:ascii="Times New Roman" w:hAnsi="Times New Roman"/>
          <w:sz w:val="30"/>
        </w:rPr>
        <w:lastRenderedPageBreak/>
        <w:t>三、基金管理人</w:t>
      </w:r>
      <w:bookmarkEnd w:id="5"/>
    </w:p>
    <w:p w14:paraId="1E7568D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（一）基金管理人概况</w:t>
      </w:r>
    </w:p>
    <w:p w14:paraId="1944F01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14:paraId="04BB0A8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14:paraId="168FC00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14:paraId="23C67DF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邮政编码：200120</w:t>
      </w:r>
    </w:p>
    <w:p w14:paraId="10DC74F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14:paraId="748096C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14:paraId="04242E3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注册资本：2亿元人民币</w:t>
      </w:r>
    </w:p>
    <w:p w14:paraId="7B0E1EE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14:paraId="67C3F70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联系人：郭佳敏</w:t>
      </w:r>
    </w:p>
    <w:p w14:paraId="63E8BE7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电话：（021）61055050</w:t>
      </w:r>
    </w:p>
    <w:p w14:paraId="72DF4C1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传真：（021）61055034</w:t>
      </w:r>
    </w:p>
    <w:p w14:paraId="7B771A6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交银施罗德基金管理有限公司（以下简称“公司”）经中国证监会证监基金字[2005]128号文批准设立。公司股权结构如下：</w:t>
      </w:r>
    </w:p>
    <w:tbl>
      <w:tblPr>
        <w:tblW w:w="5000" w:type="pct"/>
        <w:tblCellMar>
          <w:left w:w="0" w:type="dxa"/>
          <w:right w:w="0" w:type="dxa"/>
        </w:tblCellMar>
        <w:tblLook w:val="0000" w:firstRow="0" w:lastRow="0" w:firstColumn="0" w:lastColumn="0" w:noHBand="0" w:noVBand="0"/>
      </w:tblPr>
      <w:tblGrid>
        <w:gridCol w:w="4325"/>
        <w:gridCol w:w="4325"/>
      </w:tblGrid>
      <w:tr w:rsidR="001430E9" w14:paraId="6E200630"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233C8144"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股东名称</w:t>
            </w:r>
          </w:p>
        </w:tc>
        <w:tc>
          <w:tcPr>
            <w:tcW w:w="750" w:type="pct"/>
            <w:tcBorders>
              <w:top w:val="single" w:sz="4" w:space="0" w:color="auto"/>
              <w:left w:val="single" w:sz="4" w:space="0" w:color="auto"/>
              <w:bottom w:val="single" w:sz="4" w:space="0" w:color="auto"/>
              <w:right w:val="single" w:sz="4" w:space="0" w:color="auto"/>
            </w:tcBorders>
            <w:vAlign w:val="center"/>
          </w:tcPr>
          <w:p w14:paraId="6337C8D2"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股权比例</w:t>
            </w:r>
          </w:p>
        </w:tc>
      </w:tr>
      <w:tr w:rsidR="001430E9" w14:paraId="406B36C3"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5D9A60D6"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交通银行股份有限公司（以下使用全称或其简称</w:t>
            </w:r>
            <w:r>
              <w:rPr>
                <w:rFonts w:ascii="Times New Roman" w:hAnsi="Times New Roman"/>
                <w:color w:val="000000"/>
                <w:kern w:val="0"/>
                <w:sz w:val="25"/>
                <w:szCs w:val="24"/>
              </w:rPr>
              <w:t>“</w:t>
            </w:r>
            <w:r>
              <w:rPr>
                <w:rFonts w:ascii="Times New Roman" w:hAnsi="Times New Roman"/>
                <w:color w:val="000000"/>
                <w:kern w:val="0"/>
                <w:sz w:val="25"/>
                <w:szCs w:val="24"/>
              </w:rPr>
              <w:t>交通银行</w:t>
            </w:r>
            <w:r>
              <w:rPr>
                <w:rFonts w:ascii="Times New Roman" w:hAnsi="Times New Roman"/>
                <w:color w:val="000000"/>
                <w:kern w:val="0"/>
                <w:sz w:val="25"/>
                <w:szCs w:val="24"/>
              </w:rPr>
              <w:t>”</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0681E642"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65%</w:t>
            </w:r>
          </w:p>
        </w:tc>
      </w:tr>
      <w:tr w:rsidR="001430E9" w14:paraId="15FFF5B5"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6C20A6F0"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施罗德投资管理有限公司</w:t>
            </w:r>
          </w:p>
        </w:tc>
        <w:tc>
          <w:tcPr>
            <w:tcW w:w="750" w:type="pct"/>
            <w:tcBorders>
              <w:top w:val="single" w:sz="4" w:space="0" w:color="auto"/>
              <w:left w:val="single" w:sz="4" w:space="0" w:color="auto"/>
              <w:bottom w:val="single" w:sz="4" w:space="0" w:color="auto"/>
              <w:right w:val="single" w:sz="4" w:space="0" w:color="auto"/>
            </w:tcBorders>
            <w:vAlign w:val="center"/>
          </w:tcPr>
          <w:p w14:paraId="3BB125B2"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30%</w:t>
            </w:r>
          </w:p>
        </w:tc>
      </w:tr>
      <w:tr w:rsidR="001430E9" w14:paraId="79B55440"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1781E4A4"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中国国际海运集装箱（集团）股份有限公司</w:t>
            </w:r>
          </w:p>
        </w:tc>
        <w:tc>
          <w:tcPr>
            <w:tcW w:w="750" w:type="pct"/>
            <w:tcBorders>
              <w:top w:val="single" w:sz="4" w:space="0" w:color="auto"/>
              <w:left w:val="single" w:sz="4" w:space="0" w:color="auto"/>
              <w:bottom w:val="single" w:sz="4" w:space="0" w:color="auto"/>
              <w:right w:val="single" w:sz="4" w:space="0" w:color="auto"/>
            </w:tcBorders>
            <w:vAlign w:val="center"/>
          </w:tcPr>
          <w:p w14:paraId="6D2D30C8"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r>
    </w:tbl>
    <w:p w14:paraId="3C6E152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（二）主要成员情况</w:t>
      </w:r>
    </w:p>
    <w:p w14:paraId="662E8DC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1、基金管理人董事会成员</w:t>
      </w:r>
    </w:p>
    <w:p w14:paraId="5CD2B501" w14:textId="77777777" w:rsidR="00984A4C" w:rsidRPr="00EB17D2" w:rsidRDefault="00984A4C" w:rsidP="00984A4C">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14:paraId="1A76DFED" w14:textId="77777777" w:rsidR="00984A4C" w:rsidRPr="00EB17D2" w:rsidRDefault="00984A4C" w:rsidP="00984A4C">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童洁萍女士，董事，硕士。现任交通银行总行个人金融业务部副总经理。历任交通银行南京分行个人金融业务部副高级经理、江苏省分行个人金融业务部副总经理、总经理、玄武支行行长。</w:t>
      </w:r>
    </w:p>
    <w:p w14:paraId="0188BCF2" w14:textId="77777777" w:rsidR="00723197" w:rsidRDefault="00723197" w:rsidP="00984A4C">
      <w:pPr>
        <w:autoSpaceDE w:val="0"/>
        <w:autoSpaceDN w:val="0"/>
        <w:adjustRightInd w:val="0"/>
        <w:snapToGrid w:val="0"/>
        <w:spacing w:line="360" w:lineRule="auto"/>
        <w:ind w:firstLineChars="200" w:firstLine="480"/>
        <w:jc w:val="left"/>
        <w:rPr>
          <w:rFonts w:ascii="宋体" w:hAnsi="宋体"/>
          <w:sz w:val="24"/>
        </w:rPr>
      </w:pPr>
      <w:r w:rsidRPr="00723197">
        <w:rPr>
          <w:rFonts w:ascii="宋体" w:hAnsi="宋体" w:hint="eastAsia"/>
          <w:sz w:val="24"/>
        </w:rPr>
        <w:t>王贤家先生，董事，学士。现任交银国际控股有限公司执行董事、副行政总裁、首席风险官。历任交通银行总行国际业务部外汇资金处交易员、澳门分行资金</w:t>
      </w:r>
      <w:r w:rsidRPr="00723197">
        <w:rPr>
          <w:rFonts w:ascii="宋体" w:hAnsi="宋体" w:hint="eastAsia"/>
          <w:sz w:val="24"/>
        </w:rPr>
        <w:lastRenderedPageBreak/>
        <w:t>部主管、总行金融市场部债券投资部副高级经理、外汇交易部高级经理、风险管理部/内控案防办副总经理。</w:t>
      </w:r>
    </w:p>
    <w:p w14:paraId="104739E1" w14:textId="71453D4E" w:rsidR="00984A4C" w:rsidRPr="00EB17D2" w:rsidRDefault="00984A4C" w:rsidP="00984A4C">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谢卫先生，董事，总经理，博士，高级经济师，第十、十一、十二届民盟中央委员、第十一、十二、十三届全国政协委员。现任交银施罗德基金管理有限公司总经理，兼任交银施罗德资产管理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r w:rsidR="00A21038">
        <w:rPr>
          <w:rFonts w:ascii="宋体" w:hAnsi="宋体" w:hint="eastAsia"/>
          <w:sz w:val="24"/>
        </w:rPr>
        <w:t>、</w:t>
      </w:r>
      <w:r w:rsidR="00A21038" w:rsidRPr="00EB17D2">
        <w:rPr>
          <w:rFonts w:ascii="宋体" w:hAnsi="宋体" w:hint="eastAsia"/>
          <w:sz w:val="24"/>
        </w:rPr>
        <w:t>交银施罗德资产管理(香港)有限公司董事长</w:t>
      </w:r>
      <w:r w:rsidRPr="00EB17D2">
        <w:rPr>
          <w:rFonts w:ascii="宋体" w:hAnsi="宋体" w:hint="eastAsia"/>
          <w:sz w:val="24"/>
        </w:rPr>
        <w:t>。</w:t>
      </w:r>
    </w:p>
    <w:p w14:paraId="178414C1" w14:textId="3030D2F5" w:rsidR="00984A4C" w:rsidRPr="00EB17D2" w:rsidRDefault="00984A4C" w:rsidP="00984A4C">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杜伟麒（Chris Durack）先生，董事，硕士。现任施罗德投资亚太区行政总裁。历任施罗德投资澳大利亚董事兼产品及分销主管、香港行政总裁兼亚太区机构业务主管、澳大利亚行政总裁兼亚太区联席主管等职。</w:t>
      </w:r>
    </w:p>
    <w:p w14:paraId="411CE370" w14:textId="77777777" w:rsidR="00984A4C" w:rsidRPr="00EB17D2" w:rsidRDefault="00984A4C" w:rsidP="00984A4C">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章骏翔先生，副董事长，硕士，美国特许金融分析师(CFA)持证人。现任施罗德投资管理(香港)有限公司亚洲投资风险主管。历任渣打银行（香港）交易风险监控，华宝兴业基金管理有限公司风险管理部总经理，法国安盛投资管理（香港）有限公司亚洲风险经理等职。</w:t>
      </w:r>
    </w:p>
    <w:p w14:paraId="0C4E29CA" w14:textId="77777777" w:rsidR="00984A4C" w:rsidRPr="00EB17D2" w:rsidRDefault="00984A4C" w:rsidP="00984A4C">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郝爱群女士，独立董事，学士。历任人民银行稽核司副处长、处长，合作司调研员，非银司副巡视员、副司长，银监会非银部副主任，银行监管一部副主任、巡视员，汇金公司派出董事。</w:t>
      </w:r>
    </w:p>
    <w:p w14:paraId="2DA5E5A7" w14:textId="77777777" w:rsidR="00984A4C" w:rsidRPr="00EB17D2" w:rsidRDefault="00984A4C" w:rsidP="00984A4C">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14:paraId="50680525" w14:textId="77777777" w:rsidR="00984A4C" w:rsidRPr="00EB17D2" w:rsidRDefault="00984A4C" w:rsidP="00984A4C">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黎建强先生，独立董事，博士，教育部长江学者讲座教授。现任香港大学工业工程系荣誉教授，亚洲风险及危机管理协会主席，兼任深交所上市的中联重科集团独立非执行董事。历任香港城市大学管理科学讲座教授，湖南省政协委员并兼任湖南大学工商管理学院院长。</w:t>
      </w:r>
    </w:p>
    <w:p w14:paraId="419A2F3D" w14:textId="77777777" w:rsidR="00984A4C" w:rsidRPr="00EB17D2" w:rsidRDefault="00984A4C" w:rsidP="00984A4C">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2、基金管理人监事会成员</w:t>
      </w:r>
    </w:p>
    <w:p w14:paraId="531305FC" w14:textId="77777777" w:rsidR="00984A4C" w:rsidRPr="00EB17D2" w:rsidRDefault="00984A4C" w:rsidP="00984A4C">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梅津芝女士，监事长，学士。高级经济师、审计师。现任交通银行工会办公室主任。历任交通银行山西省分行个人金融业务部高级经理，交通银行山西省分行副</w:t>
      </w:r>
      <w:r w:rsidRPr="00EB17D2">
        <w:rPr>
          <w:rFonts w:ascii="宋体" w:hAnsi="宋体" w:hint="eastAsia"/>
          <w:sz w:val="24"/>
        </w:rPr>
        <w:lastRenderedPageBreak/>
        <w:t>行长，交通银行个人金融业务部副总经理、私人银行部总经理。</w:t>
      </w:r>
    </w:p>
    <w:p w14:paraId="1BD971AF" w14:textId="77777777" w:rsidR="00984A4C" w:rsidRPr="00EB17D2" w:rsidRDefault="00984A4C" w:rsidP="00984A4C">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林凯珊女士，监事，硕士。现任施罗德投资管理（香港）有限公司中国内地及中国香港法律部主管。历任香港证券及期货事务监察委员会发牌科经理、的近律师行律师。</w:t>
      </w:r>
    </w:p>
    <w:p w14:paraId="7FEB17F1" w14:textId="77777777" w:rsidR="00984A4C" w:rsidRPr="00EB17D2" w:rsidRDefault="00984A4C" w:rsidP="00984A4C">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刘峥先生，监事，硕士。现任交银施罗德基金管理有限公司综合管理部总经理。历任交通银行上海市分行管理培训生，交通银行总行战略投资部高级投资并购经理，交银施罗德基金管理有限公司总裁办公室高级综合管理经理、副总经理。</w:t>
      </w:r>
    </w:p>
    <w:p w14:paraId="790282CA" w14:textId="77777777" w:rsidR="00984A4C" w:rsidRPr="00EB17D2" w:rsidRDefault="00984A4C" w:rsidP="00984A4C">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黄伟峰先生，监事，硕士。现任交银施罗德基金管理有限公司高级专家、市场总监。历任平安人寿保险公司上海分公司行政督导、营销管理经理，交银施罗德基金管理有限公司行政部总经理助理、西部营销中心总经理、机构理财部（上海）总经理兼产品开发部总经理。</w:t>
      </w:r>
    </w:p>
    <w:p w14:paraId="70608487" w14:textId="77777777" w:rsidR="00984A4C" w:rsidRPr="00EB17D2" w:rsidRDefault="00984A4C" w:rsidP="00984A4C">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3、基金管理人高级管理人员</w:t>
      </w:r>
    </w:p>
    <w:p w14:paraId="41C926B4" w14:textId="77777777" w:rsidR="00984A4C" w:rsidRPr="00EB17D2" w:rsidRDefault="00984A4C" w:rsidP="00984A4C">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谢卫先生，总经理。简历同上。</w:t>
      </w:r>
    </w:p>
    <w:p w14:paraId="5CDEA460" w14:textId="77777777" w:rsidR="00984A4C" w:rsidRPr="00EB17D2" w:rsidRDefault="00984A4C" w:rsidP="00984A4C">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印皓女士，副总经理，硕士。历任交通银行研究开发部副主管体改规划员，交通银行市场营销部副主管市场规划员、主管市场规划员，交通银行公司业务部副高级经理、高级经理，交通银行机构业务部高级经理、总经理助理、副总经理，交银施罗德资产管理有限公司董事长。</w:t>
      </w:r>
    </w:p>
    <w:p w14:paraId="6454E0AC" w14:textId="77777777" w:rsidR="00984A4C" w:rsidRPr="00EB17D2" w:rsidRDefault="00984A4C" w:rsidP="00984A4C">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佘川女士，督察长，硕士，兼任交银施罗德资产管理有限公司董事。历任华泰证券有限责任公司综合发展部高级经理、投资银行部项目经理，银河基金管理有限公司监察部总监，交银施罗德基金管理有限公司监察稽核部总经理、监察风控副总监、投资运营总监。</w:t>
      </w:r>
    </w:p>
    <w:p w14:paraId="273C129C" w14:textId="77777777" w:rsidR="00984A4C" w:rsidRDefault="00984A4C" w:rsidP="00984A4C">
      <w:pPr>
        <w:autoSpaceDE w:val="0"/>
        <w:autoSpaceDN w:val="0"/>
        <w:adjustRightInd w:val="0"/>
        <w:snapToGrid w:val="0"/>
        <w:spacing w:line="360" w:lineRule="auto"/>
        <w:ind w:firstLineChars="200" w:firstLine="480"/>
        <w:jc w:val="left"/>
        <w:rPr>
          <w:rFonts w:ascii="宋体" w:hAnsi="宋体"/>
          <w:sz w:val="24"/>
        </w:rPr>
      </w:pPr>
      <w:r w:rsidRPr="00EB17D2">
        <w:rPr>
          <w:rFonts w:ascii="宋体" w:hAnsi="宋体" w:hint="eastAsia"/>
          <w:sz w:val="24"/>
        </w:rPr>
        <w:t>马俊先生，副总经理，硕士。历任交通银行总行投资管理部高级投资分析、副高级经理，交银施罗德基金管理有限公司总裁办公室总经理、研究部副总经理、研究总监、综合管理部总经理。</w:t>
      </w:r>
    </w:p>
    <w:p w14:paraId="10C4888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4、本基金基金经理</w:t>
      </w:r>
    </w:p>
    <w:p w14:paraId="5EB605AB" w14:textId="6BE5BD58"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陈俊华女士:基金经理。上海交通大学金融学硕士，</w:t>
      </w:r>
      <w:r w:rsidR="00CF15E9">
        <w:rPr>
          <w:rFonts w:ascii="宋体" w:hAnsi="宋体"/>
          <w:sz w:val="24"/>
        </w:rPr>
        <w:t>19</w:t>
      </w:r>
      <w:r>
        <w:rPr>
          <w:rFonts w:ascii="宋体" w:hAnsi="宋体"/>
          <w:sz w:val="24"/>
        </w:rPr>
        <w:t>年证券投资行业从业经验。2005年至2006年任国泰君安证券研究部研究员，2007年至2015年任中国国际金融有限公司研究部公用事业组负责人。2015年加入交银施罗德基金管理有限公司，现任跨境投资副总监、基金经理。曾任交银施罗德全球自然资源证券投资基金(2015年11月21日至2019年09月19日)的基金经理。现任交银施罗德环球精选价值证</w:t>
      </w:r>
      <w:r>
        <w:rPr>
          <w:rFonts w:ascii="宋体" w:hAnsi="宋体"/>
          <w:sz w:val="24"/>
        </w:rPr>
        <w:lastRenderedPageBreak/>
        <w:t>券投资基金(2015年11月21日至今)、交银施罗德沪港深价值精选灵活配置混合型证券投资基金(2016年11月07日至今)、交银施罗德核心资产混合型证券投资基金(2019年01月18日至今)、交银施罗德鸿光一年持有期混合型证券投资基金(2021年03月08日至今)、交银施罗德鸿福六个月持有期混合型证券投资基金(2021年03月30日至今)、交银施罗德鸿信一年持有期混合型证券投资基金(2021年08月06日至今)、交银施罗德鸿泰一年持有期混合型证券投资基金(2021年11月24日至今)的基金经理。</w:t>
      </w:r>
    </w:p>
    <w:p w14:paraId="0804698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5、投资决策委员会成员</w:t>
      </w:r>
    </w:p>
    <w:p w14:paraId="2C515C4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委员：谢卫（总经理）</w:t>
      </w:r>
    </w:p>
    <w:p w14:paraId="484DC96A" w14:textId="679DC0D1"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马俊（副总经理）</w:t>
      </w:r>
    </w:p>
    <w:p w14:paraId="6B34B52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王少成（权益投资总监、基金经理）</w:t>
      </w:r>
    </w:p>
    <w:p w14:paraId="6015BA1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于海颖（固定收益（公募）投资总监、基金经理）</w:t>
      </w:r>
    </w:p>
    <w:p w14:paraId="3C90A4A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王崇（权益投资副总监、权益部一级专家、基金经理）</w:t>
      </w:r>
    </w:p>
    <w:p w14:paraId="14095929" w14:textId="5D2A8A50"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上述人员之间无近亲属关系，上述各项人员信息更新截止日为</w:t>
      </w:r>
      <w:r w:rsidR="008640C1">
        <w:rPr>
          <w:rFonts w:ascii="宋体" w:hAnsi="宋体"/>
          <w:sz w:val="24"/>
        </w:rPr>
        <w:t>202</w:t>
      </w:r>
      <w:r w:rsidR="008A4CFA">
        <w:rPr>
          <w:rFonts w:ascii="宋体" w:hAnsi="宋体"/>
          <w:sz w:val="24"/>
        </w:rPr>
        <w:t>4</w:t>
      </w:r>
      <w:r w:rsidR="008640C1">
        <w:rPr>
          <w:rFonts w:ascii="宋体" w:hAnsi="宋体"/>
          <w:sz w:val="24"/>
        </w:rPr>
        <w:t>年</w:t>
      </w:r>
      <w:r w:rsidR="008A4CFA">
        <w:rPr>
          <w:rFonts w:ascii="宋体" w:hAnsi="宋体" w:hint="eastAsia"/>
          <w:sz w:val="24"/>
        </w:rPr>
        <w:t>01</w:t>
      </w:r>
      <w:r>
        <w:rPr>
          <w:rFonts w:ascii="宋体" w:hAnsi="宋体"/>
          <w:sz w:val="24"/>
        </w:rPr>
        <w:t>月</w:t>
      </w:r>
      <w:r w:rsidR="008A4CFA">
        <w:rPr>
          <w:rFonts w:ascii="宋体" w:hAnsi="宋体"/>
          <w:sz w:val="24"/>
        </w:rPr>
        <w:t>08</w:t>
      </w:r>
      <w:r>
        <w:rPr>
          <w:rFonts w:ascii="宋体" w:hAnsi="宋体"/>
          <w:sz w:val="24"/>
        </w:rPr>
        <w:t>日，期后变动（如有）敬请关注基金管理人发布的相关公告。</w:t>
      </w:r>
    </w:p>
    <w:p w14:paraId="45AE401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（三）基金管理人的职责</w:t>
      </w:r>
    </w:p>
    <w:p w14:paraId="48DE06D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1、依法募集资金，办理或者委托经中国证监会认定的其他机构办理基金份额的发售、申购、赎回和登记事宜；</w:t>
      </w:r>
    </w:p>
    <w:p w14:paraId="08B9B82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14:paraId="57D9A92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3、对所管理的不同基金财产分别管理、分别记账，进行证券投资；</w:t>
      </w:r>
    </w:p>
    <w:p w14:paraId="543AE48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4、按照基金合同的约定确定基金收益分配方案，及时向基金份额持有人分配收益；</w:t>
      </w:r>
    </w:p>
    <w:p w14:paraId="725D109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5、进行基金会计核算并编制基金财务会计报告；</w:t>
      </w:r>
    </w:p>
    <w:p w14:paraId="77514D2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6、编制季度报告、中期报告和年度报告；</w:t>
      </w:r>
    </w:p>
    <w:p w14:paraId="0509160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7、计算并公告基金净值信息，确定基金份额申购、赎回价格；</w:t>
      </w:r>
    </w:p>
    <w:p w14:paraId="489FBE9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8、办理与基金财产管理业务活动有关的信息披露事项；</w:t>
      </w:r>
    </w:p>
    <w:p w14:paraId="335EDCA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9、按照规定召集基金份额持有人大会；</w:t>
      </w:r>
    </w:p>
    <w:p w14:paraId="5944B96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10、保存基金财产管理业务活动的记录、账册、报表和其他相关资料；</w:t>
      </w:r>
    </w:p>
    <w:p w14:paraId="3C8A8FF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11、以基金管理人名义，代表基金份额持有人利益行使诉讼权利或者实施其他法律行为；</w:t>
      </w:r>
    </w:p>
    <w:p w14:paraId="2AC2033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12、有关法律法规和中国证监会规定的其他职责。</w:t>
      </w:r>
    </w:p>
    <w:p w14:paraId="70026B4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（四）基金管理人的承诺</w:t>
      </w:r>
    </w:p>
    <w:p w14:paraId="27DAB79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1、基金管理人承诺不从事违反《中华人民共和国证券法》的行为，并承诺建立健全内部控制制度，采取有效措施，防止违反《中华人民共和国证券法》行为的发生；</w:t>
      </w:r>
    </w:p>
    <w:p w14:paraId="0CC2279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2、基金管理人承诺不从事违反《基金法》的行为，并承诺建立健全内部风险控制制度，采取有效措施，防止下列行为的发生：</w:t>
      </w:r>
    </w:p>
    <w:p w14:paraId="0F75E93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（1）将基金管理人固有财产或者他人财产混同于基金财产从事证券投资；</w:t>
      </w:r>
    </w:p>
    <w:p w14:paraId="39805AD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（2）不公平地对待管理的不同基金财产；</w:t>
      </w:r>
    </w:p>
    <w:p w14:paraId="0C28BF1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（3）利用基金财产为基金份额持有人以外的第三人牟取利益；</w:t>
      </w:r>
    </w:p>
    <w:p w14:paraId="1238CEC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（4）向基金份额持有人违规承诺收益或者承担损失；</w:t>
      </w:r>
    </w:p>
    <w:p w14:paraId="2861327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（5）侵占、挪用基金财产；</w:t>
      </w:r>
    </w:p>
    <w:p w14:paraId="33DA8D7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（6）法律、行政法规和中国证监会禁止的其他行为。</w:t>
      </w:r>
    </w:p>
    <w:p w14:paraId="627321C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3、基金管理人承诺严格遵守基金合同，并承诺建立健全内部控制制度，采取有效措施，防止违反基金合同行为的发生；</w:t>
      </w:r>
    </w:p>
    <w:p w14:paraId="75E44EB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4、基金管理人承诺加强人员管理，强化职业操守，督促和约束员工遵守国家有关法律法规及行业规范，诚实信用、勤勉尽责；</w:t>
      </w:r>
    </w:p>
    <w:p w14:paraId="52ACF13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5、基金管理人承诺不从事其他法规规定禁止从事的行为。</w:t>
      </w:r>
    </w:p>
    <w:p w14:paraId="4FAE94E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（五）基金经理承诺</w:t>
      </w:r>
    </w:p>
    <w:p w14:paraId="7794796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1、依照有关法律法规和基金合同的规定，本着谨慎的原则为基金份额持有人谋取最大利益；</w:t>
      </w:r>
    </w:p>
    <w:p w14:paraId="16014EF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2、不利用职务之便为自己、受雇人或任何第三者谋取利益；</w:t>
      </w:r>
    </w:p>
    <w:p w14:paraId="4B3E18C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3、不泄露在任职期间知悉的有关证券、基金的商业秘密，尚未依法公开的基金投资内容、基金投资计划等信息，或利用该信息从事或者明示、暗示他人从事相关的交易活动；</w:t>
      </w:r>
    </w:p>
    <w:p w14:paraId="2849E1C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4、不以任何形式为其他组织或个人进行证券交易。</w:t>
      </w:r>
    </w:p>
    <w:p w14:paraId="3567C52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（六）基金管理人的内部控制制度</w:t>
      </w:r>
    </w:p>
    <w:p w14:paraId="6902F03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1、风险管理的原则</w:t>
      </w:r>
    </w:p>
    <w:p w14:paraId="30C6244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（1）全面性原则</w:t>
      </w:r>
    </w:p>
    <w:p w14:paraId="3C6B924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公司风险管理必须覆盖公司的所有部门和岗位，渗透各项业务过程和业务环</w:t>
      </w:r>
      <w:r>
        <w:rPr>
          <w:rFonts w:ascii="宋体" w:hAnsi="宋体"/>
          <w:sz w:val="24"/>
        </w:rPr>
        <w:lastRenderedPageBreak/>
        <w:t>节。</w:t>
      </w:r>
    </w:p>
    <w:p w14:paraId="05D6EA9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（2）独立性原则</w:t>
      </w:r>
    </w:p>
    <w:p w14:paraId="20F2329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公司设立独立的风险管理部，风险管理部保持高度的独立性和权威性，负责对公司各部门风险控制工作进行监督和检查。</w:t>
      </w:r>
    </w:p>
    <w:p w14:paraId="068BAA3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（3）相互制约原则</w:t>
      </w:r>
    </w:p>
    <w:p w14:paraId="370EC8C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公司及各部门在内部组织结构的设计上要形成一种相互制约的机制，建立不同岗位之间的制衡体系。</w:t>
      </w:r>
    </w:p>
    <w:p w14:paraId="4D38E28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（4）定性和定量相结合原则</w:t>
      </w:r>
    </w:p>
    <w:p w14:paraId="1A57B21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建立完备的风险管理指标体系，使风险管理更具客观性和操作性。</w:t>
      </w:r>
    </w:p>
    <w:p w14:paraId="3157A35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2、风险管理和内部风险控制体系结构</w:t>
      </w:r>
    </w:p>
    <w:p w14:paraId="0A217CE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14:paraId="41C0490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（1）董事会</w:t>
      </w:r>
    </w:p>
    <w:p w14:paraId="08BF9A5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负责制定公司的风险管理政策，对风险管理负完全的和最终的责任。</w:t>
      </w:r>
    </w:p>
    <w:p w14:paraId="398FF56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（2）监事会</w:t>
      </w:r>
    </w:p>
    <w:p w14:paraId="62C68AC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是公司常设的监事机构，对股东会负责。监事会对公司财务、公司董事、总经理及其他高级管理人员进行监督。</w:t>
      </w:r>
    </w:p>
    <w:p w14:paraId="75C6884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（3）合规审核及风险管理委员会</w:t>
      </w:r>
    </w:p>
    <w:p w14:paraId="5C67B88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作为董事会下的专业委员会之一，对公司内部控制制度、监察稽核制度进行检查评估；审查公司财务，对公司内部管理制度、投资决策程序和运作流程进行合规性审议；对公司资产与基金资产的经营进行评估。</w:t>
      </w:r>
    </w:p>
    <w:p w14:paraId="121FFDA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（4）风险控制委员会</w:t>
      </w:r>
    </w:p>
    <w:p w14:paraId="7051950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14:paraId="04CF065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（5）督察长</w:t>
      </w:r>
    </w:p>
    <w:p w14:paraId="1532CE2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独立行使督察权利；直接对董事会负责；就内部控制制度和执行情况独立地履行检查、评价、报告、建议职能；定期和不定期地向董事会报告公司内部控制执行情况。</w:t>
      </w:r>
    </w:p>
    <w:p w14:paraId="591BC83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（6）风险管理部</w:t>
      </w:r>
    </w:p>
    <w:p w14:paraId="19DCF79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p>
    <w:p w14:paraId="4D124CB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（7）审计部</w:t>
      </w:r>
    </w:p>
    <w:p w14:paraId="5216F16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14:paraId="5538218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（8）法律合规部</w:t>
      </w:r>
    </w:p>
    <w:p w14:paraId="656C51A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14:paraId="078634D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（9）业务部门</w:t>
      </w:r>
    </w:p>
    <w:p w14:paraId="42A4D6A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风险管理是每一个业务部门首要的责任。部门经理对本部门的风险负全部责任，负责履行公司的风险管理程序，负责本部门的风险管理系统的开发、执行和维护，用于识别、监控和降低风险。</w:t>
      </w:r>
    </w:p>
    <w:p w14:paraId="48CC466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3、风险管理和内部风险控制的措施</w:t>
      </w:r>
    </w:p>
    <w:p w14:paraId="5FB6711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（1）建立内控体系，完善内控制度</w:t>
      </w:r>
    </w:p>
    <w:p w14:paraId="751CEFE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公司建立、健全了内控体系，通过高管人员关于内控的明确分工，确保各项业务活动有恰当的组织和授权，确保监察活动独立，并得到高管人员的支持，同时置备操作手册，并定期更新。</w:t>
      </w:r>
    </w:p>
    <w:p w14:paraId="722CFA8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（2）建立相互分离、相互制衡的内控机制</w:t>
      </w:r>
    </w:p>
    <w:p w14:paraId="429456D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建立、健全了各项制度，做到基金经理分开，投资决策分开，基金交易集中，形成不同部门、不同岗位之间的制衡机制，从制度上减少和防范风险。</w:t>
      </w:r>
    </w:p>
    <w:p w14:paraId="4FD3BCA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（3）建立、健全岗位责任制</w:t>
      </w:r>
    </w:p>
    <w:p w14:paraId="08F886D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建立、健全了岗位责任制，使每个员工都明确自己的任务、职责，并及时将各自工作领域中的风险隐患上报，以防范和减少风险。</w:t>
      </w:r>
    </w:p>
    <w:p w14:paraId="4159C6D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（4）建立风险分类、识别、评估、报告、提示程序</w:t>
      </w:r>
    </w:p>
    <w:p w14:paraId="2C2DECB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建立了风险评估机制，通过适合的程序，确认和评估与公司运作有关的风险；</w:t>
      </w:r>
      <w:r>
        <w:rPr>
          <w:rFonts w:ascii="宋体" w:hAnsi="宋体"/>
          <w:sz w:val="24"/>
        </w:rPr>
        <w:lastRenderedPageBreak/>
        <w:t>公司建立了自下而上的风险报告程序，对风险隐患进行层层汇报，使各个层次的人员及时掌握风险状况，从而以最快速度作出决策。</w:t>
      </w:r>
    </w:p>
    <w:p w14:paraId="78DDF9D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（5）建立有效的内部监控系统</w:t>
      </w:r>
    </w:p>
    <w:p w14:paraId="76C5DDF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建立了足够、有效的内部监控系统，如电脑预警系统、投资监控系统，对可能出现的各种风险进行全面和实时的监控。</w:t>
      </w:r>
    </w:p>
    <w:p w14:paraId="1FE1C73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（6）使用数量化的风险管理手段</w:t>
      </w:r>
    </w:p>
    <w:p w14:paraId="33A46B8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采取数量化、技术化的风险控制手段，建立数量化的风险管理模型，用以提示指数趋势、行业及个股的风险，以便公司及时采取有效的措施，对风险进行分散、控制和规避，尽可能地减少损失。</w:t>
      </w:r>
    </w:p>
    <w:p w14:paraId="45BD54F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（7）提供足够的培训</w:t>
      </w:r>
    </w:p>
    <w:p w14:paraId="0B71291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制定了完整的培训计划，为所有员工提供足够和适当的培训，使员工明确其职责所在，控制风险。</w:t>
      </w:r>
    </w:p>
    <w:p w14:paraId="0F41913A" w14:textId="77777777" w:rsidR="00435AFE" w:rsidRDefault="00C86CDB" w:rsidP="00435AFE">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616D10F2" w14:textId="77777777" w:rsidR="001430E9" w:rsidRDefault="00C86CDB">
      <w:pPr>
        <w:pStyle w:val="1"/>
        <w:snapToGrid w:val="0"/>
        <w:spacing w:beforeLines="0" w:before="240" w:after="240"/>
        <w:rPr>
          <w:rFonts w:ascii="宋体" w:hAnsi="宋体"/>
          <w:szCs w:val="30"/>
        </w:rPr>
      </w:pPr>
      <w:bookmarkStart w:id="6" w:name="_Toc137828486"/>
      <w:r>
        <w:rPr>
          <w:rFonts w:ascii="Times New Roman" w:hAnsi="Times New Roman"/>
          <w:sz w:val="30"/>
        </w:rPr>
        <w:lastRenderedPageBreak/>
        <w:t>四、基金托管人</w:t>
      </w:r>
      <w:bookmarkEnd w:id="6"/>
    </w:p>
    <w:p w14:paraId="302FFA91"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（一）基金托管人情况</w:t>
      </w:r>
    </w:p>
    <w:p w14:paraId="3BAC60A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1、基本情况</w:t>
      </w:r>
    </w:p>
    <w:p w14:paraId="5F0571B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名称：中国农业银行股份有限公司（简称中国农业银行）</w:t>
      </w:r>
    </w:p>
    <w:p w14:paraId="6EE83B0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住所：北京市东城区建国门内大街69号</w:t>
      </w:r>
    </w:p>
    <w:p w14:paraId="5E2DEC5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办公地址：北京市西城区复兴门内大街28号凯晨世贸中心东座</w:t>
      </w:r>
    </w:p>
    <w:p w14:paraId="22D17DD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法定代表人：谷澍</w:t>
      </w:r>
    </w:p>
    <w:p w14:paraId="59D52A3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成立日期：2009年1月15日</w:t>
      </w:r>
    </w:p>
    <w:p w14:paraId="61C292D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批准设立机关和批准设立文号：中国银监会银监复[2009]13号</w:t>
      </w:r>
    </w:p>
    <w:p w14:paraId="008942A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基金托管资格批文及文号：中国证监会证监基字[1998]23号</w:t>
      </w:r>
    </w:p>
    <w:p w14:paraId="2CCE47F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注册资本：34,998,303.4万元人民币</w:t>
      </w:r>
    </w:p>
    <w:p w14:paraId="00AAFBD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14:paraId="3A8D104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联系电话：010-66060069</w:t>
      </w:r>
    </w:p>
    <w:p w14:paraId="50B77FA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传真：010-68121816</w:t>
      </w:r>
    </w:p>
    <w:p w14:paraId="2AA9FCC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联系人：秦一楠</w:t>
      </w:r>
    </w:p>
    <w:p w14:paraId="5653D5A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农业银行股份有限公司是中国金融体系的重要组成部分,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14:paraId="6937722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中国农业银行是中国第一批开展托管业务的国内商业银行，经验丰富，服务优质，业绩突出，2004年被英国《全球托管人》评为中国“最佳托管银行”。2007年</w:t>
      </w:r>
      <w:r>
        <w:rPr>
          <w:rFonts w:ascii="宋体" w:hAnsi="宋体"/>
          <w:sz w:val="24"/>
        </w:rPr>
        <w:lastRenderedPageBreak/>
        <w:t>中国农业银行通过了美国SAS70内部控制审计，并获得无保留意见的SAS70审计报告。自2010年起中国农业银行连续通过托管业务国际内控标准（ISAE3402）认证，表明了独立公正第三方对中国农业银行托管服务运作流程的风险管理、内部控制的健全有效性的全面认可。中国农业银行着力加强能力建设，品牌声誉进一步提升，在2010年首届“‘金牌理财’TOP10颁奖盛典”中成绩突出，获“最佳托管银行”奖。2010年再次荣获《首席财务官》杂志颁发的“最佳资产托管奖”。2012年荣获第十届中国财经风云榜“最佳资产托管银行”称号；2013年至2017年连续荣获上海清算所授予的“托管银行优秀奖”和中央国债登记结算有限责任公司授予的“优秀托管机构奖”称号；2015年、2016年荣获中国银行业协会授予的“养老金业务最佳发展奖”称号；2018年荣获中国基金报授予的公募基金20年“最佳基金托管银行”奖；2019年荣获证券时报授予的“2019年度资产托管银行天玑奖”称号；2020年被美国《环球金融》评为中国“最佳托管银行”。</w:t>
      </w:r>
    </w:p>
    <w:p w14:paraId="0F242FB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农业银行证券投资基金托管部于1998年5月经中国证监会和中国人民银行批准成立，目前内设综合管理部、业务管理部、客户一部、客户二部、客户三部、客户四部、风险合规部、产品研发与信息技术部、营运一部、营运二部，拥有先进的安全防范设施和基金托管业务系统。</w:t>
      </w:r>
    </w:p>
    <w:p w14:paraId="7A486E7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2、主要人员情况</w:t>
      </w:r>
    </w:p>
    <w:p w14:paraId="47C3321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农业银行托管业务部现有员工近310名，其中具有高级职称的专家60名，服务团队成员专业水平高、业务素质好、服务能力强，高级管理层均有20年以上金融从业经验和高级技术职称，精通国内外证券市场的运作。</w:t>
      </w:r>
    </w:p>
    <w:p w14:paraId="266541E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3、基金托管业务经营情况</w:t>
      </w:r>
    </w:p>
    <w:p w14:paraId="159DC81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截止到2022年3月31日，中国农业银行托管的封闭式证券投资基金和开放式证券投资基金共722只。</w:t>
      </w:r>
    </w:p>
    <w:p w14:paraId="61128C72"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（二）基金托管人的内部风险控制制度说明</w:t>
      </w:r>
    </w:p>
    <w:p w14:paraId="1FA2ED0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1、内部控制目标</w:t>
      </w:r>
    </w:p>
    <w:p w14:paraId="486CB3F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14:paraId="0D40AC9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2、内部控制组织结构</w:t>
      </w:r>
    </w:p>
    <w:p w14:paraId="052A475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风险管理委员会总体负责中国农业银行的风险管理与内部控制工作,对托管业</w:t>
      </w:r>
      <w:r>
        <w:rPr>
          <w:rFonts w:ascii="宋体" w:hAnsi="宋体"/>
          <w:sz w:val="24"/>
        </w:rPr>
        <w:lastRenderedPageBreak/>
        <w:t>务风险管理和内部控制工作进行监督和评价。托管业务部专门设置了风险管理处,配备了专职内控监督人员负责托管业务的内控监督工作,独立行使监督稽核职权。</w:t>
      </w:r>
    </w:p>
    <w:p w14:paraId="41FED12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3、内部控制制度及措施</w:t>
      </w:r>
    </w:p>
    <w:p w14:paraId="67ABBAF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14:paraId="42313741"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（三）基金托管人对基金管理人运作基金进行监督的方法和程序</w:t>
      </w:r>
    </w:p>
    <w:p w14:paraId="75218D0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14:paraId="232D472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当基金出现异常交易行为时，基金托管人应当针对不同情况进行以下方式的处理：</w:t>
      </w:r>
    </w:p>
    <w:p w14:paraId="1B0E65F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1、电话提示。对媒体和舆论反映集中的问题，电话提示基金管理人；</w:t>
      </w:r>
    </w:p>
    <w:p w14:paraId="126AE90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2、书面警示。对本基金投资比例接近超标、资金头寸不足等问题，以书面方式对基金管理人进行提示；</w:t>
      </w:r>
    </w:p>
    <w:p w14:paraId="2A79CC9E" w14:textId="77777777" w:rsidR="00435AFE" w:rsidRDefault="00C86CDB" w:rsidP="00435AFE">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1DAB898A" w14:textId="77777777" w:rsidR="001430E9" w:rsidRDefault="00C86CDB">
      <w:pPr>
        <w:pStyle w:val="1"/>
        <w:snapToGrid w:val="0"/>
        <w:spacing w:beforeLines="0" w:before="240" w:after="240"/>
        <w:rPr>
          <w:rFonts w:ascii="宋体" w:hAnsi="宋体"/>
          <w:szCs w:val="30"/>
        </w:rPr>
      </w:pPr>
      <w:bookmarkStart w:id="7" w:name="_Toc137828487"/>
      <w:r>
        <w:rPr>
          <w:rFonts w:ascii="Times New Roman" w:hAnsi="Times New Roman"/>
          <w:sz w:val="30"/>
        </w:rPr>
        <w:lastRenderedPageBreak/>
        <w:t>五、相关服务机构</w:t>
      </w:r>
      <w:bookmarkEnd w:id="7"/>
    </w:p>
    <w:p w14:paraId="58C8393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（一）基金份额销售机构</w:t>
      </w:r>
    </w:p>
    <w:p w14:paraId="1446E04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1、直销机构</w:t>
      </w:r>
    </w:p>
    <w:p w14:paraId="7E169E3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本基金直销机构为基金管理人直销柜台以及基金管理人的网上直销交易平台（网站及手机APP，下同）。</w:t>
      </w:r>
    </w:p>
    <w:p w14:paraId="44C18EE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机构名称：交银施罗德基金管理有限公司</w:t>
      </w:r>
    </w:p>
    <w:p w14:paraId="50953B9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14:paraId="081B143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14:paraId="11E3B3C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14:paraId="6775012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14:paraId="0EB94A6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14:paraId="7567E4B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14:paraId="2DBF6E5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14:paraId="23F902A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客户服务电话：400-700-5000（免长途话费），（021）61055000</w:t>
      </w:r>
    </w:p>
    <w:p w14:paraId="22E7B4F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14:paraId="2E15F13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个人投资者可以通过基金管理人网上直销交易平台办理开户、本基金的申购、赎回、转换、定期定额投资等业务，具体交易细则请参阅基金管理人网站。</w:t>
      </w:r>
    </w:p>
    <w:p w14:paraId="1AD4DA5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网上直销交易平台网址：www. fund001.com。</w:t>
      </w:r>
    </w:p>
    <w:p w14:paraId="72C967B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2、代销机构</w:t>
      </w:r>
    </w:p>
    <w:p w14:paraId="738E7048" w14:textId="77777777" w:rsidR="00875AED" w:rsidRDefault="00875AED" w:rsidP="00875AED">
      <w:pPr>
        <w:autoSpaceDE w:val="0"/>
        <w:autoSpaceDN w:val="0"/>
        <w:adjustRightInd w:val="0"/>
        <w:snapToGrid w:val="0"/>
        <w:spacing w:line="360" w:lineRule="auto"/>
        <w:ind w:firstLineChars="200" w:firstLine="480"/>
        <w:jc w:val="left"/>
        <w:rPr>
          <w:rFonts w:ascii="宋体" w:hAnsi="宋体"/>
          <w:sz w:val="24"/>
        </w:rPr>
      </w:pPr>
      <w:r w:rsidRPr="00196D28">
        <w:rPr>
          <w:rFonts w:ascii="宋体" w:hAnsi="宋体" w:hint="eastAsia"/>
          <w:sz w:val="24"/>
        </w:rPr>
        <w:t>本基金A类基金份额除直销机构外的其他销售机构：</w:t>
      </w:r>
    </w:p>
    <w:p w14:paraId="339CBA1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（1）名称：交通银行股份有限公司</w:t>
      </w:r>
    </w:p>
    <w:p w14:paraId="1E9BB95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住所：上海市浦东新区银城中路188号</w:t>
      </w:r>
    </w:p>
    <w:p w14:paraId="5721B57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办公地址：上海市浦东新区银城中路188号</w:t>
      </w:r>
    </w:p>
    <w:p w14:paraId="433B69E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法定代表人：任德奇</w:t>
      </w:r>
    </w:p>
    <w:p w14:paraId="595B7ED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电话：（021）58781234</w:t>
      </w:r>
    </w:p>
    <w:p w14:paraId="261CE9F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传真：（021）58408483</w:t>
      </w:r>
    </w:p>
    <w:p w14:paraId="3E48CB5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联系人：范瑞波</w:t>
      </w:r>
    </w:p>
    <w:p w14:paraId="09AD0F2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客户服务电话：95559</w:t>
      </w:r>
    </w:p>
    <w:p w14:paraId="4F2A7F5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网址：www.bankcomm.com</w:t>
      </w:r>
    </w:p>
    <w:p w14:paraId="2C640D5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（2）名称：中国农业银行股份有限公司</w:t>
      </w:r>
    </w:p>
    <w:p w14:paraId="1560893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住所：北京市东城区建国门内大街69号</w:t>
      </w:r>
    </w:p>
    <w:p w14:paraId="337BD45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办公地址：北京市西城区复兴门内大街28号凯晨世贸中心东座</w:t>
      </w:r>
    </w:p>
    <w:p w14:paraId="308D3E7C" w14:textId="440916A6" w:rsidR="001430E9" w:rsidRPr="00B10501" w:rsidRDefault="00C86CDB" w:rsidP="00B10501">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法定代表人：</w:t>
      </w:r>
      <w:r w:rsidR="00B10501" w:rsidRPr="00B10501">
        <w:rPr>
          <w:rFonts w:ascii="宋体" w:hAnsi="宋体" w:hint="eastAsia"/>
          <w:sz w:val="24"/>
        </w:rPr>
        <w:t>谷澍</w:t>
      </w:r>
    </w:p>
    <w:p w14:paraId="35A2D5B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联系电话：010-66060069</w:t>
      </w:r>
    </w:p>
    <w:p w14:paraId="42EDAFF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传真：010-68121816</w:t>
      </w:r>
    </w:p>
    <w:p w14:paraId="3383579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联系人：贺倩</w:t>
      </w:r>
    </w:p>
    <w:p w14:paraId="50C407A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客户服务电话：95599</w:t>
      </w:r>
    </w:p>
    <w:p w14:paraId="0B67978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网址：www.abchina.com</w:t>
      </w:r>
    </w:p>
    <w:p w14:paraId="202CA61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（3）名称：宁波银行股份有限公司</w:t>
      </w:r>
    </w:p>
    <w:p w14:paraId="6BEC222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住所：宁波市江东区中山东路294号</w:t>
      </w:r>
    </w:p>
    <w:p w14:paraId="5CE7510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法定代表人：陆华裕</w:t>
      </w:r>
    </w:p>
    <w:p w14:paraId="311BE34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电话：（021）63586210</w:t>
      </w:r>
    </w:p>
    <w:p w14:paraId="15EB69B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传真：（021）63586215</w:t>
      </w:r>
    </w:p>
    <w:p w14:paraId="0344926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联系人：胡技勋</w:t>
      </w:r>
    </w:p>
    <w:p w14:paraId="78B0BD2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客户服务电话：96528（上海地区962528）</w:t>
      </w:r>
    </w:p>
    <w:p w14:paraId="2F563FB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网址：www.nbcb.com.cn</w:t>
      </w:r>
    </w:p>
    <w:p w14:paraId="1AD639B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（4）名称：安信证券股份有限公司</w:t>
      </w:r>
    </w:p>
    <w:p w14:paraId="27705E0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住所：深圳市福田区金田路4018号安联大厦35层、28层A02单元</w:t>
      </w:r>
    </w:p>
    <w:p w14:paraId="1CD4B9E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办公地址：深圳市福田区金田路4018号安联大厦35层、28层A02单元</w:t>
      </w:r>
    </w:p>
    <w:p w14:paraId="27ED31C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法定代表人：黄炎勋</w:t>
      </w:r>
    </w:p>
    <w:p w14:paraId="519A9A9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电话：（0755）82558305</w:t>
      </w:r>
    </w:p>
    <w:p w14:paraId="33299F1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传真：（0755）82558355</w:t>
      </w:r>
    </w:p>
    <w:p w14:paraId="5ECA434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联系人：陈剑虹</w:t>
      </w:r>
    </w:p>
    <w:p w14:paraId="1084AF0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客户服务电话：400-800-1001</w:t>
      </w:r>
    </w:p>
    <w:p w14:paraId="4D3C438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网址：www.essence.com.cn</w:t>
      </w:r>
    </w:p>
    <w:p w14:paraId="1BF7D95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（5）名称：万联证券股份有限公司</w:t>
      </w:r>
    </w:p>
    <w:p w14:paraId="0E5A31D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注册地址：广州市天河区珠江东路11号18、19楼全层</w:t>
      </w:r>
    </w:p>
    <w:p w14:paraId="35366D9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办公地址：广东省广州市天河区珠江东路13号高德置地广场E座12层</w:t>
      </w:r>
    </w:p>
    <w:p w14:paraId="04169F4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法定代表人：王达</w:t>
      </w:r>
    </w:p>
    <w:p w14:paraId="72E86E4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 系 人：丁思</w:t>
      </w:r>
    </w:p>
    <w:p w14:paraId="59DCA38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联系方式：020-83988334</w:t>
      </w:r>
    </w:p>
    <w:p w14:paraId="007AD30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客服电话：95322</w:t>
      </w:r>
    </w:p>
    <w:p w14:paraId="02FF857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公司官网：www.wlzq.cn</w:t>
      </w:r>
    </w:p>
    <w:p w14:paraId="1FB02E1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（6）名称：中信建投证券股份有限公司</w:t>
      </w:r>
    </w:p>
    <w:p w14:paraId="44E4804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住所：北京市朝阳区安立路66号4号楼</w:t>
      </w:r>
    </w:p>
    <w:p w14:paraId="0D1B030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办公地址：北京市朝阳门内大街188号</w:t>
      </w:r>
    </w:p>
    <w:p w14:paraId="604FAE5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法定代表人：王常青</w:t>
      </w:r>
    </w:p>
    <w:p w14:paraId="6BDFD2B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电话：（010）85130588</w:t>
      </w:r>
    </w:p>
    <w:p w14:paraId="04A3762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传真：（010）65182261</w:t>
      </w:r>
    </w:p>
    <w:p w14:paraId="0DF938C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联系人：魏明</w:t>
      </w:r>
    </w:p>
    <w:p w14:paraId="2D02CB2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客户服务电话：95587</w:t>
      </w:r>
    </w:p>
    <w:p w14:paraId="5F389A3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网址：www.csc108.com</w:t>
      </w:r>
    </w:p>
    <w:p w14:paraId="1981244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（7）名称：海通证券股份有限公司</w:t>
      </w:r>
    </w:p>
    <w:p w14:paraId="0A59415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住所：上海市淮海中路98号</w:t>
      </w:r>
    </w:p>
    <w:p w14:paraId="1D2B502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办公地址：上海市广东路689号</w:t>
      </w:r>
    </w:p>
    <w:p w14:paraId="21AF144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法定代表人：王开国</w:t>
      </w:r>
    </w:p>
    <w:p w14:paraId="54A9CA6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电话：（021）23219000</w:t>
      </w:r>
    </w:p>
    <w:p w14:paraId="10C6866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传真：（021）23219100</w:t>
      </w:r>
    </w:p>
    <w:p w14:paraId="2B1E944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联系人：李笑鸣</w:t>
      </w:r>
    </w:p>
    <w:p w14:paraId="4F2B3B7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客户服务电话：95553或拨打各城市营业网点咨询电话</w:t>
      </w:r>
    </w:p>
    <w:p w14:paraId="4896002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网址：www.htsec.com"</w:t>
      </w:r>
    </w:p>
    <w:p w14:paraId="3D8FC40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（8）名称：北京钱景财富投资管理有限公司</w:t>
      </w:r>
    </w:p>
    <w:p w14:paraId="4F60632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住所：北京市海淀区丹棱街6幢1号9层1008-1012</w:t>
      </w:r>
    </w:p>
    <w:p w14:paraId="3FC815B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办公地址：北京市海淀区丹棱街6幢1号9层1008-1012</w:t>
      </w:r>
    </w:p>
    <w:p w14:paraId="79F541A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法定代表人：赵荣春</w:t>
      </w:r>
    </w:p>
    <w:p w14:paraId="50E4846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电话：（010）57418829</w:t>
      </w:r>
    </w:p>
    <w:p w14:paraId="69B82A1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传真：（010）57569671</w:t>
      </w:r>
    </w:p>
    <w:p w14:paraId="5932FFC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魏争</w:t>
      </w:r>
    </w:p>
    <w:p w14:paraId="148A7BB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400-678-5095</w:t>
      </w:r>
    </w:p>
    <w:p w14:paraId="1FB7C9F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网址：www.niuji.net</w:t>
      </w:r>
    </w:p>
    <w:p w14:paraId="68CC811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（9）名称：北京肯特瑞基金销售有限公司</w:t>
      </w:r>
    </w:p>
    <w:p w14:paraId="08823B1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北京市海淀区西三旗建材城中路12号17号平房157</w:t>
      </w:r>
    </w:p>
    <w:p w14:paraId="07207C2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办公地址：北京市通州区亦庄经济技术开发区科创十一街18号院京东集团总部A座15层</w:t>
      </w:r>
    </w:p>
    <w:p w14:paraId="0447A58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法定代表人：王苏宁</w:t>
      </w:r>
    </w:p>
    <w:p w14:paraId="4BA52EB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电话：95118</w:t>
      </w:r>
    </w:p>
    <w:p w14:paraId="1AFCF43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传真：010-89189566</w:t>
      </w:r>
    </w:p>
    <w:p w14:paraId="75310F5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联系人：李丹</w:t>
      </w:r>
    </w:p>
    <w:p w14:paraId="762622A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客服热线：95118</w:t>
      </w:r>
    </w:p>
    <w:p w14:paraId="300CDE7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网址：kenterui.jd.com</w:t>
      </w:r>
    </w:p>
    <w:p w14:paraId="78BEC40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（10）名称：北京唐鼎耀华投资咨询有限公司</w:t>
      </w:r>
    </w:p>
    <w:p w14:paraId="49725F9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住所：北京市延庆县延庆经济开发区百泉街10号2栋236室</w:t>
      </w:r>
    </w:p>
    <w:p w14:paraId="43C9D5D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办公地址：北京市朝阳区东三环北路38号院1号泰康金融中心38层</w:t>
      </w:r>
    </w:p>
    <w:p w14:paraId="311D2C2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法定代表人：张冠宇</w:t>
      </w:r>
    </w:p>
    <w:p w14:paraId="473319C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电话：（010）85870662</w:t>
      </w:r>
    </w:p>
    <w:p w14:paraId="0E71943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传真：（010）59200800</w:t>
      </w:r>
    </w:p>
    <w:p w14:paraId="364F7AB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刘美薇</w:t>
      </w:r>
    </w:p>
    <w:p w14:paraId="2223809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客户服务电话：400-819-9868</w:t>
      </w:r>
    </w:p>
    <w:p w14:paraId="47081C7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网址：www.tdyhfund.com</w:t>
      </w:r>
    </w:p>
    <w:p w14:paraId="1D388FE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（11）名称：珠海盈米财富管理有限公司</w:t>
      </w:r>
    </w:p>
    <w:p w14:paraId="1DF5F4E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住所：珠海市横琴新区宝华路6号105室-3491</w:t>
      </w:r>
    </w:p>
    <w:p w14:paraId="7FC1F7A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办公地址：广州市海珠区琶洲大道东1号保利国际广场南塔12楼B1201-1203</w:t>
      </w:r>
    </w:p>
    <w:p w14:paraId="4F47579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法定代表人：肖雯</w:t>
      </w:r>
    </w:p>
    <w:p w14:paraId="7EF7975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电话：（020）89629099</w:t>
      </w:r>
    </w:p>
    <w:p w14:paraId="7B76B96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传真：（020）89629011</w:t>
      </w:r>
    </w:p>
    <w:p w14:paraId="14B29BF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联系人：黄敏嫦</w:t>
      </w:r>
    </w:p>
    <w:p w14:paraId="2316824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客户服务电话：（020）89629066</w:t>
      </w:r>
    </w:p>
    <w:p w14:paraId="31911AC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网址：www.yingmi.cn</w:t>
      </w:r>
    </w:p>
    <w:p w14:paraId="26BC886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（12）名称：北京展恒基金销售股份有限公司</w:t>
      </w:r>
    </w:p>
    <w:p w14:paraId="29CA926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住所：北京市顺义区后沙峪镇安富街6号</w:t>
      </w:r>
    </w:p>
    <w:p w14:paraId="5B5FDE0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办公地址：北京市朝阳区安苑路15-1号邮电新闻大厦2层</w:t>
      </w:r>
    </w:p>
    <w:p w14:paraId="07D56D2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法定代表人：闫振杰</w:t>
      </w:r>
    </w:p>
    <w:p w14:paraId="21C8B33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电话：（010）59601366-7024</w:t>
      </w:r>
    </w:p>
    <w:p w14:paraId="2B8FA36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传真：（010）62020355</w:t>
      </w:r>
    </w:p>
    <w:p w14:paraId="407CE4F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马林</w:t>
      </w:r>
    </w:p>
    <w:p w14:paraId="126887D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客户服务电话：400-888-6661</w:t>
      </w:r>
    </w:p>
    <w:p w14:paraId="4F2FE7B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网址：www.myfund.com</w:t>
      </w:r>
    </w:p>
    <w:p w14:paraId="7BDA5D6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（13）名称：一路财富（北京）信息科技有限公司</w:t>
      </w:r>
    </w:p>
    <w:p w14:paraId="033E428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住所：北京市西城区车公庄大街9号五栋大楼C座702</w:t>
      </w:r>
    </w:p>
    <w:p w14:paraId="068A6C7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办公地址：北京西城区阜成门大街2号万通新世界广场A座22层2208</w:t>
      </w:r>
    </w:p>
    <w:p w14:paraId="076EDE2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吴雪秀</w:t>
      </w:r>
    </w:p>
    <w:p w14:paraId="434D6A5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电话：010-88312877</w:t>
      </w:r>
    </w:p>
    <w:p w14:paraId="0BF5FAB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传真：010-88312099</w:t>
      </w:r>
    </w:p>
    <w:p w14:paraId="76A0AA6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苏昊</w:t>
      </w:r>
    </w:p>
    <w:p w14:paraId="0CB7174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客户服务电话：400-001-1566</w:t>
      </w:r>
    </w:p>
    <w:p w14:paraId="6704C60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网址：http://www.yilucaifu.com/</w:t>
      </w:r>
    </w:p>
    <w:p w14:paraId="3D2EB09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（14）名称：上海联泰基金销售有限公司</w:t>
      </w:r>
    </w:p>
    <w:p w14:paraId="4339A92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住所：中国（上海）自由贸易试验区富特北路277号3层310室</w:t>
      </w:r>
    </w:p>
    <w:p w14:paraId="161C547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办公地址：上海市长宁区福泉北路518号8座3楼</w:t>
      </w:r>
    </w:p>
    <w:p w14:paraId="57E1B57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法定代表人：燕斌</w:t>
      </w:r>
    </w:p>
    <w:p w14:paraId="08FAAA3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电话：021-52822063</w:t>
      </w:r>
    </w:p>
    <w:p w14:paraId="135FA9C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传真：021-52975270</w:t>
      </w:r>
    </w:p>
    <w:p w14:paraId="58006BC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联系人：凌秋艳</w:t>
      </w:r>
    </w:p>
    <w:p w14:paraId="2333147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客户服务电话：4000-466-788</w:t>
      </w:r>
    </w:p>
    <w:p w14:paraId="79A435D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网址：www.66zichan.com</w:t>
      </w:r>
    </w:p>
    <w:p w14:paraId="2BB3B1C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（15）名称：上海基煜基金销售有限公司</w:t>
      </w:r>
    </w:p>
    <w:p w14:paraId="27B7422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上海市崇明县长兴镇路潘园公路1800号2号楼6153室（上海泰和经济发展区）</w:t>
      </w:r>
    </w:p>
    <w:p w14:paraId="3C71DAD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办公地址：上海市昆明路518号北美广场A1002-A1003室</w:t>
      </w:r>
    </w:p>
    <w:p w14:paraId="76E5299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法定代表人：王翔</w:t>
      </w:r>
    </w:p>
    <w:p w14:paraId="50789A1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电话：（021）35385521</w:t>
      </w:r>
    </w:p>
    <w:p w14:paraId="3DBCF68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传真：（021）55085991</w:t>
      </w:r>
    </w:p>
    <w:p w14:paraId="154A17B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联系人：蓝杰</w:t>
      </w:r>
    </w:p>
    <w:p w14:paraId="567BD72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客户服务电话：400-820-5369</w:t>
      </w:r>
    </w:p>
    <w:p w14:paraId="67FA356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网址：www.jiyufund.com.cn</w:t>
      </w:r>
    </w:p>
    <w:p w14:paraId="04DEC34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（16）名称：蚂蚁（杭州）基金销售有限公司</w:t>
      </w:r>
    </w:p>
    <w:p w14:paraId="70F52F2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住所：浙江省杭州市余杭区五常街道文一西路969号3幢5层599室</w:t>
      </w:r>
    </w:p>
    <w:p w14:paraId="091E371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办公地址：浙江省杭州市西湖区西溪路556号</w:t>
      </w:r>
    </w:p>
    <w:p w14:paraId="6734646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法定代表人：王珺</w:t>
      </w:r>
    </w:p>
    <w:p w14:paraId="5FFD286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联系人：韩爱彬</w:t>
      </w:r>
    </w:p>
    <w:p w14:paraId="0E03AE7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客户服务电话：95188-8</w:t>
      </w:r>
    </w:p>
    <w:p w14:paraId="3E49DEA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网址：www.fund123.cn</w:t>
      </w:r>
    </w:p>
    <w:p w14:paraId="32EFA66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（17）名称：上海长量基金销售投资顾问有限公司</w:t>
      </w:r>
    </w:p>
    <w:p w14:paraId="2ED083C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住所：上海市浦东新区高翔路526号2幢220室</w:t>
      </w:r>
    </w:p>
    <w:p w14:paraId="105D585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办公地址：上海市浦东新区浦东大道555号裕景国际B座16层</w:t>
      </w:r>
    </w:p>
    <w:p w14:paraId="6813E28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法定代表人：张跃伟</w:t>
      </w:r>
    </w:p>
    <w:p w14:paraId="5DE5D00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电话：（021）20691832</w:t>
      </w:r>
    </w:p>
    <w:p w14:paraId="546A498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传真：（021）20691861</w:t>
      </w:r>
    </w:p>
    <w:p w14:paraId="0C928CB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联系人：单丙烨</w:t>
      </w:r>
    </w:p>
    <w:p w14:paraId="6D2E154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客户服务电话：400-820-2899</w:t>
      </w:r>
    </w:p>
    <w:p w14:paraId="1BF4720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网址：www.erichfund.com</w:t>
      </w:r>
    </w:p>
    <w:p w14:paraId="0BC874C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（18）名称：上海好买基金销售有限公司</w:t>
      </w:r>
    </w:p>
    <w:p w14:paraId="2433D8A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住所：上海市虹口区场中路685弄37号4号楼449室</w:t>
      </w:r>
    </w:p>
    <w:p w14:paraId="740B052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办公地址：上海市浦东新区浦东南路1118号鄂尔多斯国际大厦903-906室</w:t>
      </w:r>
    </w:p>
    <w:p w14:paraId="65D2D4B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法定代表人：杨文斌</w:t>
      </w:r>
    </w:p>
    <w:p w14:paraId="64370EA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传真：（021）68596916</w:t>
      </w:r>
    </w:p>
    <w:p w14:paraId="2F3AE46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联系人：薛年</w:t>
      </w:r>
    </w:p>
    <w:p w14:paraId="0159304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客户服务电话：400-700-9665</w:t>
      </w:r>
    </w:p>
    <w:p w14:paraId="559E5DC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网址：www.ehowbuy.com</w:t>
      </w:r>
    </w:p>
    <w:p w14:paraId="37814FE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（19）名称：诺亚正行(上海)基金销售投资顾问有限公司</w:t>
      </w:r>
    </w:p>
    <w:p w14:paraId="76E3FCD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住所：上海市虹口区飞虹路360弄9号3724室</w:t>
      </w:r>
    </w:p>
    <w:p w14:paraId="23683B8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办公地址：上海杨浦区秦皇岛路32号C栋 2楼</w:t>
      </w:r>
    </w:p>
    <w:p w14:paraId="70C02EC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法定代表人：汪静波</w:t>
      </w:r>
    </w:p>
    <w:p w14:paraId="17CED9B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电话：（021）38600735</w:t>
      </w:r>
    </w:p>
    <w:p w14:paraId="75820FA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传真：（021）38509777</w:t>
      </w:r>
    </w:p>
    <w:p w14:paraId="19A0386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联系人：方成</w:t>
      </w:r>
    </w:p>
    <w:p w14:paraId="32A108F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客户服务电话：400-821-5399</w:t>
      </w:r>
    </w:p>
    <w:p w14:paraId="66E17FA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网址：www.noah-fund.com</w:t>
      </w:r>
    </w:p>
    <w:p w14:paraId="73EB5C5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（20）名称：和讯信息科技有限公司</w:t>
      </w:r>
    </w:p>
    <w:p w14:paraId="27438A8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住所：北京市朝阳区朝外大街22号泛利大厦10层</w:t>
      </w:r>
    </w:p>
    <w:p w14:paraId="6525DA4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办公地址：北京市朝阳区朝外大街22号泛利大厦10层</w:t>
      </w:r>
    </w:p>
    <w:p w14:paraId="78336D9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法定代表人：王莉</w:t>
      </w:r>
    </w:p>
    <w:p w14:paraId="68013D7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电话：（021）20835789</w:t>
      </w:r>
    </w:p>
    <w:p w14:paraId="129FA37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传真：（021）20835879</w:t>
      </w:r>
    </w:p>
    <w:p w14:paraId="114F170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联系人：周轶</w:t>
      </w:r>
    </w:p>
    <w:p w14:paraId="22321DC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客户服务电话：4009200022</w:t>
      </w:r>
    </w:p>
    <w:p w14:paraId="77AC959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网址：http://licaike.hexun.com/</w:t>
      </w:r>
    </w:p>
    <w:p w14:paraId="32F45E5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（21）名称：上海天天基金销售有限公司</w:t>
      </w:r>
    </w:p>
    <w:p w14:paraId="63D4BD6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住所：上海市徐汇区龙田路190号2号楼2层</w:t>
      </w:r>
    </w:p>
    <w:p w14:paraId="7373B57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办公地址：上海市徐汇区龙田路195号3C座10楼</w:t>
      </w:r>
    </w:p>
    <w:p w14:paraId="3904AEC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法定代表人：其实</w:t>
      </w:r>
    </w:p>
    <w:p w14:paraId="03B101F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电话：（021）54509998</w:t>
      </w:r>
    </w:p>
    <w:p w14:paraId="38A486F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传真：（021）64385308</w:t>
      </w:r>
    </w:p>
    <w:p w14:paraId="1ADA9AB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联系人：潘世友</w:t>
      </w:r>
    </w:p>
    <w:p w14:paraId="4F6DD79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客户服务电话：400-1818-188</w:t>
      </w:r>
    </w:p>
    <w:p w14:paraId="43F47A6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网址：www.1234567.com.cn</w:t>
      </w:r>
    </w:p>
    <w:p w14:paraId="15094E6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（22）名称：北京中植基金销售有限公司</w:t>
      </w:r>
    </w:p>
    <w:p w14:paraId="2111EF6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住所：北京市经济技术开发区宏达北路10号五层5122室</w:t>
      </w:r>
    </w:p>
    <w:p w14:paraId="481B2E4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办公地址：北京市朝阳区东三环北路甲19号SOHO嘉盛中心30层3001室</w:t>
      </w:r>
    </w:p>
    <w:p w14:paraId="55CAE8B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法定代表人：李悦</w:t>
      </w:r>
    </w:p>
    <w:p w14:paraId="644E20D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电话：（010）56642600</w:t>
      </w:r>
    </w:p>
    <w:p w14:paraId="244F0E6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传真：（010）56642623</w:t>
      </w:r>
    </w:p>
    <w:p w14:paraId="07E8830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联系人：张晔</w:t>
      </w:r>
    </w:p>
    <w:p w14:paraId="7DF65AF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客户服务电话：4007868868</w:t>
      </w:r>
    </w:p>
    <w:p w14:paraId="6F0C5F8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网址：www.zzfund.com</w:t>
      </w:r>
    </w:p>
    <w:p w14:paraId="48BA18C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（23）名称：北京创金启富基金销售有限公司</w:t>
      </w:r>
    </w:p>
    <w:p w14:paraId="2654AC6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北京市西城区民丰胡同31号中水大厦215A</w:t>
      </w:r>
    </w:p>
    <w:p w14:paraId="1966FB2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办公地址：北京市西城区白纸坊东街2号经济日报社A综合楼712室</w:t>
      </w:r>
    </w:p>
    <w:p w14:paraId="1EBD09A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法定代表人：梁蓉</w:t>
      </w:r>
    </w:p>
    <w:p w14:paraId="55288F1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电话：（010）66154828</w:t>
      </w:r>
    </w:p>
    <w:p w14:paraId="1005E7A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传真：（010）63583991</w:t>
      </w:r>
    </w:p>
    <w:p w14:paraId="4D95C9E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联系人：李婷婷</w:t>
      </w:r>
    </w:p>
    <w:p w14:paraId="066EF4D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客户服务电话：400-6262-818</w:t>
      </w:r>
    </w:p>
    <w:p w14:paraId="69B39AB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www.5irich.com</w:t>
      </w:r>
    </w:p>
    <w:p w14:paraId="2A44658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（24）名称：中证金牛（北京）投资咨询有限公司</w:t>
      </w:r>
    </w:p>
    <w:p w14:paraId="1CF7EB9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北京市丰台区东管头1号2号楼2-45室</w:t>
      </w:r>
    </w:p>
    <w:p w14:paraId="6E151FB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北京市西城区宣武门外大街甲一号环球财讯中心A座5层</w:t>
      </w:r>
    </w:p>
    <w:p w14:paraId="3B6ED45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钱昊旻</w:t>
      </w:r>
    </w:p>
    <w:p w14:paraId="25D43F0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电话：（010）59336533</w:t>
      </w:r>
    </w:p>
    <w:p w14:paraId="5A81F4C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传真：（010）59336500</w:t>
      </w:r>
    </w:p>
    <w:p w14:paraId="4699952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孟汉霄</w:t>
      </w:r>
    </w:p>
    <w:p w14:paraId="0CFC890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客户服务电话：4008-909-998</w:t>
      </w:r>
    </w:p>
    <w:p w14:paraId="4F20EB4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www.jnlc.com</w:t>
      </w:r>
    </w:p>
    <w:p w14:paraId="3CEE6BD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（25）名称：北京新浪仓石基金销售有限公司</w:t>
      </w:r>
    </w:p>
    <w:p w14:paraId="21ACE72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住所：北京市海淀区东北旺西路中关村软件园二期(西扩)N-1、N-2地块新浪总部科研楼5层518室</w:t>
      </w:r>
    </w:p>
    <w:p w14:paraId="012CDCA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办公地址：北京市海淀区东北旺西路中关村软件园二期(西扩)N-1、N-2地块新浪总部科研楼5层518室</w:t>
      </w:r>
    </w:p>
    <w:p w14:paraId="3118999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法定代表人：李昭琛</w:t>
      </w:r>
    </w:p>
    <w:p w14:paraId="17C97A9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电话：（010）60619607</w:t>
      </w:r>
    </w:p>
    <w:p w14:paraId="2771E44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传真：8610-62676582</w:t>
      </w:r>
    </w:p>
    <w:p w14:paraId="574FC7C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联系人：付文红</w:t>
      </w:r>
    </w:p>
    <w:p w14:paraId="2AAF29A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客户服务电话：（010）62675369</w:t>
      </w:r>
    </w:p>
    <w:p w14:paraId="1CDD57B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网址：www.xincai.com</w:t>
      </w:r>
    </w:p>
    <w:p w14:paraId="727BBB5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（26）名称：北京雪球基金销售有限公司</w:t>
      </w:r>
    </w:p>
    <w:p w14:paraId="0FCFA02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住所：北京市朝阳区阜通东大街1号院6号楼2单元21层222507</w:t>
      </w:r>
    </w:p>
    <w:p w14:paraId="2B3EAE1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办公地址：北京市朝阳区创远路 34 号院融新科技中心 C 座 17 层</w:t>
      </w:r>
    </w:p>
    <w:p w14:paraId="1EA9604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法定代表人：钟斐斐</w:t>
      </w:r>
    </w:p>
    <w:p w14:paraId="62DE646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电话：（010）61840688</w:t>
      </w:r>
    </w:p>
    <w:p w14:paraId="08BF4FA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传真：（010）84997571</w:t>
      </w:r>
    </w:p>
    <w:p w14:paraId="2E5FEAB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联系人：侯芳芳</w:t>
      </w:r>
    </w:p>
    <w:p w14:paraId="30BC9D5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客户服务电话：400-1599-288</w:t>
      </w:r>
    </w:p>
    <w:p w14:paraId="4EEDD0A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网址：https://danjuanapp.com</w:t>
      </w:r>
    </w:p>
    <w:p w14:paraId="146B592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（27）名称：凤凰金信（银川）投资管理有限公司</w:t>
      </w:r>
    </w:p>
    <w:p w14:paraId="75484B5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住所：宁夏回族自治区银川市金凤区阅海湾中央商务区万寿路142号14层1402(750000)</w:t>
      </w:r>
    </w:p>
    <w:p w14:paraId="717F337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办公地址：北京市朝阳区紫月路18号院朝来高科技产业园18号楼 (100000)</w:t>
      </w:r>
    </w:p>
    <w:p w14:paraId="37E5C3E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法定代表人：程刚</w:t>
      </w:r>
    </w:p>
    <w:p w14:paraId="0498676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电话：（010）58160168</w:t>
      </w:r>
    </w:p>
    <w:p w14:paraId="65C2C98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传真：（010）58160173</w:t>
      </w:r>
    </w:p>
    <w:p w14:paraId="7CB94ED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联系人：张旭</w:t>
      </w:r>
    </w:p>
    <w:p w14:paraId="6C11E33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客户服务电话：400-810-5919</w:t>
      </w:r>
    </w:p>
    <w:p w14:paraId="0547C5A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网址：www.fengfd.com</w:t>
      </w:r>
    </w:p>
    <w:p w14:paraId="2D75479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（28）名称：格上富信投资顾问有限公司</w:t>
      </w:r>
    </w:p>
    <w:p w14:paraId="07485C1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住所：北京市朝阳区东三环北路19号楼701内09室</w:t>
      </w:r>
    </w:p>
    <w:p w14:paraId="7E0208A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办公地址：北京市朝阳区东三环北路19号楼701内09室</w:t>
      </w:r>
    </w:p>
    <w:p w14:paraId="2F135CF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法定代表人：李悦章</w:t>
      </w:r>
    </w:p>
    <w:p w14:paraId="14E154B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电话：（010）85594745</w:t>
      </w:r>
    </w:p>
    <w:p w14:paraId="237B5E5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传真：（010）65983333</w:t>
      </w:r>
    </w:p>
    <w:p w14:paraId="4EDF57D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联系人：张林</w:t>
      </w:r>
    </w:p>
    <w:p w14:paraId="6938E4C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客户服务电话：400-066-8586</w:t>
      </w:r>
    </w:p>
    <w:p w14:paraId="46AECB0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网址：www.igesafe.com</w:t>
      </w:r>
    </w:p>
    <w:p w14:paraId="3AAF2EE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（29）名称：上海挖财金融信息服务有限公司</w:t>
      </w:r>
    </w:p>
    <w:p w14:paraId="6DA7DEB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住所：中国（上海）自由贸易试验区杨高南路799号5层01、02、03室</w:t>
      </w:r>
    </w:p>
    <w:p w14:paraId="5C18CBA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办公地址：中国（上海）自由贸易试验区杨高南路799号5层01、02、03室</w:t>
      </w:r>
    </w:p>
    <w:p w14:paraId="3E4AB5F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胡燕亮</w:t>
      </w:r>
    </w:p>
    <w:p w14:paraId="5332AF5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电话：（021）50810687</w:t>
      </w:r>
    </w:p>
    <w:p w14:paraId="5A7CD5A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传真：（021）58300279</w:t>
      </w:r>
    </w:p>
    <w:p w14:paraId="021D1AA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李娟</w:t>
      </w:r>
    </w:p>
    <w:p w14:paraId="31930D0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客户服务电话：（021）50810673</w:t>
      </w:r>
    </w:p>
    <w:p w14:paraId="716748B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网址：www.wacaijijin.com</w:t>
      </w:r>
    </w:p>
    <w:p w14:paraId="225C90E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（30）名称：上海陆金所资产管理有限公司</w:t>
      </w:r>
    </w:p>
    <w:p w14:paraId="542FEF9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住所：上海市浦东新区陆家嘴环路1333号14楼09单元</w:t>
      </w:r>
    </w:p>
    <w:p w14:paraId="4E086A5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办公地址：上海市浦东新区陆家嘴环路1333号14楼</w:t>
      </w:r>
    </w:p>
    <w:p w14:paraId="33E4AC0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法定代表人：郭坚</w:t>
      </w:r>
    </w:p>
    <w:p w14:paraId="66A85E4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电话：（021）20665952</w:t>
      </w:r>
    </w:p>
    <w:p w14:paraId="6435026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传真：（021）22066653</w:t>
      </w:r>
    </w:p>
    <w:p w14:paraId="60A965D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联系人：宁博宇</w:t>
      </w:r>
    </w:p>
    <w:p w14:paraId="5DB47C5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客户服务电话：4008219031</w:t>
      </w:r>
    </w:p>
    <w:p w14:paraId="7013C96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网址：www.lufunds.com</w:t>
      </w:r>
    </w:p>
    <w:p w14:paraId="4222A1E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（31）名称：北京虹点基金销售有限公司</w:t>
      </w:r>
    </w:p>
    <w:p w14:paraId="45A8FB6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住所：北京市朝阳区工人体育场北路甲2号裙房2层222单元</w:t>
      </w:r>
    </w:p>
    <w:p w14:paraId="7EC1368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办公地址：北京市朝阳区工人体育场北路甲2号裙房2层222单元</w:t>
      </w:r>
    </w:p>
    <w:p w14:paraId="55565F1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法定代表人：胡伟</w:t>
      </w:r>
    </w:p>
    <w:p w14:paraId="6D89F0A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电话：（010）65951887</w:t>
      </w:r>
    </w:p>
    <w:p w14:paraId="5FE242E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传真：（010）65951887</w:t>
      </w:r>
    </w:p>
    <w:p w14:paraId="062EA5D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联系人：姜颖</w:t>
      </w:r>
    </w:p>
    <w:p w14:paraId="469DDD5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客户服务电话：400-618-0707</w:t>
      </w:r>
    </w:p>
    <w:p w14:paraId="3141F69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网址：www.hongdianfund.com/</w:t>
      </w:r>
    </w:p>
    <w:p w14:paraId="4A9E462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（32）名称：上海凯石财富基金销售有限公司</w:t>
      </w:r>
    </w:p>
    <w:p w14:paraId="34F6996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住所：上海市黄浦区西藏南路765号602-115室</w:t>
      </w:r>
    </w:p>
    <w:p w14:paraId="73676CE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办公地址：上海市黄浦区延安东路1号凯石大厦4楼</w:t>
      </w:r>
    </w:p>
    <w:p w14:paraId="61C93F5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法定代表人：陈继武</w:t>
      </w:r>
    </w:p>
    <w:p w14:paraId="008EF43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电话：021-63333319</w:t>
      </w:r>
    </w:p>
    <w:p w14:paraId="073AFFF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传真：021-63332523</w:t>
      </w:r>
    </w:p>
    <w:p w14:paraId="7D7ADD2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联系人：李晓明</w:t>
      </w:r>
    </w:p>
    <w:p w14:paraId="6D841E5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客服电话：4000 178 000</w:t>
      </w:r>
    </w:p>
    <w:p w14:paraId="008DC68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网址：www.lingxianfund.com</w:t>
      </w:r>
    </w:p>
    <w:p w14:paraId="5A06F74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（33）名称：上海利得基金销售有限公司</w:t>
      </w:r>
    </w:p>
    <w:p w14:paraId="584A03E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上海浦东新区峨山路91弄61号陆家嘴软件园10号楼12楼</w:t>
      </w:r>
    </w:p>
    <w:p w14:paraId="2A84FD2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办公地址：上海浦东新区峨山路91弄61号陆家嘴软件园10号楼12楼</w:t>
      </w:r>
    </w:p>
    <w:p w14:paraId="4AEF9BA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法定代表人：沈继伟</w:t>
      </w:r>
    </w:p>
    <w:p w14:paraId="6533262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电话：021-50583533</w:t>
      </w:r>
    </w:p>
    <w:p w14:paraId="764B101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传真：021-50583633</w:t>
      </w:r>
    </w:p>
    <w:p w14:paraId="38B41F9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徐鹏</w:t>
      </w:r>
    </w:p>
    <w:p w14:paraId="712D8FC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客服电话：400-005-6355</w:t>
      </w:r>
    </w:p>
    <w:p w14:paraId="7BF23CB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网址：a.leadfund.com.cn</w:t>
      </w:r>
    </w:p>
    <w:p w14:paraId="170FBD3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（34）名称：北京汇成基金销售有限公司</w:t>
      </w:r>
    </w:p>
    <w:p w14:paraId="51DA387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住所：北京市西城区宣武门外大街甲1号4层401-2</w:t>
      </w:r>
    </w:p>
    <w:p w14:paraId="3BB4755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办公地址：北京市西城区宣武门外大街甲1号环球财讯中心D座4层401-2</w:t>
      </w:r>
    </w:p>
    <w:p w14:paraId="15062AC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法定代表人：王伟刚</w:t>
      </w:r>
    </w:p>
    <w:p w14:paraId="28A2DEA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电话：（010）56282140</w:t>
      </w:r>
    </w:p>
    <w:p w14:paraId="0B45149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传真：（010）62680827</w:t>
      </w:r>
    </w:p>
    <w:p w14:paraId="743305B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联系人：张林</w:t>
      </w:r>
    </w:p>
    <w:p w14:paraId="646E63A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客户服务电话：400-619-9059</w:t>
      </w:r>
    </w:p>
    <w:p w14:paraId="79F16CA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网址：www.hcfunds.com</w:t>
      </w:r>
    </w:p>
    <w:p w14:paraId="3DE2605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（35）名称：嘉实财富管理有限公司</w:t>
      </w:r>
    </w:p>
    <w:p w14:paraId="3095E3D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住所：上海市浦东新区世纪大道8号上海国金中心办公楼二期53层5312-15单元</w:t>
      </w:r>
    </w:p>
    <w:p w14:paraId="0153400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办公地址：北京市朝阳区建国路91号金地中心A座6层</w:t>
      </w:r>
    </w:p>
    <w:p w14:paraId="71CAE1A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 赵学军</w:t>
      </w:r>
    </w:p>
    <w:p w14:paraId="0F3F3FC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电话：（021）38789658</w:t>
      </w:r>
    </w:p>
    <w:p w14:paraId="087E633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传真：（021）68880023</w:t>
      </w:r>
    </w:p>
    <w:p w14:paraId="73B168C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王宫</w:t>
      </w:r>
    </w:p>
    <w:p w14:paraId="780EA4A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客户服务电话：400-021-8850</w:t>
      </w:r>
    </w:p>
    <w:p w14:paraId="64CF008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www.harvestwm.cn</w:t>
      </w:r>
    </w:p>
    <w:p w14:paraId="7453B92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（36）名称：南京苏宁基金销售有限公司</w:t>
      </w:r>
    </w:p>
    <w:p w14:paraId="4AF3921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住所：南京市玄武区苏宁大道1-5号</w:t>
      </w:r>
    </w:p>
    <w:p w14:paraId="7D37824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办公地址：南京市玄武区苏宁大道1-5号</w:t>
      </w:r>
    </w:p>
    <w:p w14:paraId="558E7B9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法定代表人：王锋</w:t>
      </w:r>
    </w:p>
    <w:p w14:paraId="5627617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电话：025-66996699</w:t>
      </w:r>
    </w:p>
    <w:p w14:paraId="3FD3BCE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传真：025-66996699</w:t>
      </w:r>
    </w:p>
    <w:p w14:paraId="390277C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冯鹏鹏</w:t>
      </w:r>
    </w:p>
    <w:p w14:paraId="2EB9FE4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客户服务电话：95177</w:t>
      </w:r>
    </w:p>
    <w:p w14:paraId="305D0D1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www.snjijin.com</w:t>
      </w:r>
    </w:p>
    <w:p w14:paraId="7CCAF0C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（37）名称：北京度小满基金销售有限公司</w:t>
      </w:r>
    </w:p>
    <w:p w14:paraId="10841DE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住所：北京市海淀区上地十街10号1幢1层101</w:t>
      </w:r>
    </w:p>
    <w:p w14:paraId="377CA48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北京市海淀区信息路甲9号奎科大厦</w:t>
      </w:r>
    </w:p>
    <w:p w14:paraId="43C1897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张旭阳</w:t>
      </w:r>
    </w:p>
    <w:p w14:paraId="72C2942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电话：010-61952703</w:t>
      </w:r>
    </w:p>
    <w:p w14:paraId="2DBBAAA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传真：010-61951007</w:t>
      </w:r>
    </w:p>
    <w:p w14:paraId="138E07D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联系人：盛超</w:t>
      </w:r>
    </w:p>
    <w:p w14:paraId="4AD031D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客户服务电话：95599-9</w:t>
      </w:r>
    </w:p>
    <w:p w14:paraId="3014609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www.duxiaomanfund.com</w:t>
      </w:r>
    </w:p>
    <w:p w14:paraId="18CB55A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（38）名称：北京植信基金销售有限公司</w:t>
      </w:r>
    </w:p>
    <w:p w14:paraId="4BA0DF3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住所：北京市密云区兴盛南路8号院2号楼106室-67</w:t>
      </w:r>
    </w:p>
    <w:p w14:paraId="75A0707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办公地址：北京市朝阳区惠河南路盛世龙源10号</w:t>
      </w:r>
    </w:p>
    <w:p w14:paraId="2707482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法定代表人：王军辉</w:t>
      </w:r>
    </w:p>
    <w:p w14:paraId="5D676ED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电话：010-56075718</w:t>
      </w:r>
    </w:p>
    <w:p w14:paraId="6414C95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传真：010-67767615</w:t>
      </w:r>
    </w:p>
    <w:p w14:paraId="0C7CB2C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联系人：张喆</w:t>
      </w:r>
    </w:p>
    <w:p w14:paraId="26E40BA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客户服务电话：4006-802-123</w:t>
      </w:r>
    </w:p>
    <w:p w14:paraId="15A10EA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网址：www.zhixin-inv.com</w:t>
      </w:r>
    </w:p>
    <w:p w14:paraId="5EBC84A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（39）名称：腾安基金销售（深圳）有限公司</w:t>
      </w:r>
    </w:p>
    <w:p w14:paraId="0139959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住所：深圳市前海深港合作区前湾一路1号A栋201室（入驻深圳市前海商务秘书有限公司）</w:t>
      </w:r>
    </w:p>
    <w:p w14:paraId="192BBD8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办公地址：深圳市南山区海天二路33号腾讯滨海大厦</w:t>
      </w:r>
    </w:p>
    <w:p w14:paraId="3E12ECC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法定代表人：刘明军</w:t>
      </w:r>
    </w:p>
    <w:p w14:paraId="7712D35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电话：95017（拨通后转1转8）</w:t>
      </w:r>
    </w:p>
    <w:p w14:paraId="2841A8F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联系人：谭广峰</w:t>
      </w:r>
    </w:p>
    <w:p w14:paraId="79FCAE6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客户服务电话：95017（拨通后转1转8）</w:t>
      </w:r>
    </w:p>
    <w:p w14:paraId="6DBA891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网址：http://www.tenganxinxi.com/</w:t>
      </w:r>
    </w:p>
    <w:p w14:paraId="282B21A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（40）名称：上海钜派钰茂基金销售有限公司</w:t>
      </w:r>
    </w:p>
    <w:p w14:paraId="19B626A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住所：上海市浦东新区泥城镇新城路2号24幢N3187室</w:t>
      </w:r>
    </w:p>
    <w:p w14:paraId="7BF6D17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办公地址：上海市闵行区闵虹路166弄中庚环球创意中心T2栋9层</w:t>
      </w:r>
    </w:p>
    <w:p w14:paraId="46CE2CB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法定代表人：洪思夷</w:t>
      </w:r>
    </w:p>
    <w:p w14:paraId="6E96B07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电话：021-52265962</w:t>
      </w:r>
    </w:p>
    <w:p w14:paraId="25FC975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联系人：王世之</w:t>
      </w:r>
    </w:p>
    <w:p w14:paraId="6647348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客户服务电话：400-021-2428</w:t>
      </w:r>
    </w:p>
    <w:p w14:paraId="54B7214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网址：www.jp-fund.com</w:t>
      </w:r>
    </w:p>
    <w:p w14:paraId="1084221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（41）名称：济安财富（北京）基金销售有限公司</w:t>
      </w:r>
    </w:p>
    <w:p w14:paraId="381BC36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住所：北京市朝阳区太阳宫中路16号院1号楼10层1005</w:t>
      </w:r>
    </w:p>
    <w:p w14:paraId="1C23854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办公地址：北京市朝阳区太阳宫中路16号院1号楼11层1105</w:t>
      </w:r>
    </w:p>
    <w:p w14:paraId="19BDE11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法定代表人：杨健</w:t>
      </w:r>
    </w:p>
    <w:p w14:paraId="247134C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电话：010-65309516</w:t>
      </w:r>
    </w:p>
    <w:p w14:paraId="2603899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传真：010-65330699</w:t>
      </w:r>
    </w:p>
    <w:p w14:paraId="70C16B7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联系人：宋静</w:t>
      </w:r>
    </w:p>
    <w:p w14:paraId="4745CF9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客户服务电话：400-673-7010</w:t>
      </w:r>
    </w:p>
    <w:p w14:paraId="5C398F6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网址：www.jianfortune.com</w:t>
      </w:r>
    </w:p>
    <w:p w14:paraId="27400B9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（42）名称：大连网金基金销售有限公司</w:t>
      </w:r>
    </w:p>
    <w:p w14:paraId="5F093BC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 辽宁省大连市沙河口区体坛路22号诺德大厦2层202室</w:t>
      </w:r>
    </w:p>
    <w:p w14:paraId="00481E2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辽宁省大连市沙河口区体坛路22号诺德大厦2层202室</w:t>
      </w:r>
    </w:p>
    <w:p w14:paraId="69B9D9F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樊怀东</w:t>
      </w:r>
    </w:p>
    <w:p w14:paraId="19EAE49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电话：（0411-39027810）</w:t>
      </w:r>
    </w:p>
    <w:p w14:paraId="63506E9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传真：（0411-39027835）</w:t>
      </w:r>
    </w:p>
    <w:p w14:paraId="1FB05D3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于秀</w:t>
      </w:r>
    </w:p>
    <w:p w14:paraId="4BF5F60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4000-899-100</w:t>
      </w:r>
    </w:p>
    <w:p w14:paraId="35ED4B7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网址：http://www.yibaijin.com</w:t>
      </w:r>
    </w:p>
    <w:p w14:paraId="382A3C8D" w14:textId="77777777" w:rsidR="00875AED" w:rsidRPr="00CB205C" w:rsidRDefault="00875AED" w:rsidP="00875AED">
      <w:pPr>
        <w:autoSpaceDE w:val="0"/>
        <w:autoSpaceDN w:val="0"/>
        <w:adjustRightInd w:val="0"/>
        <w:snapToGrid w:val="0"/>
        <w:spacing w:line="360" w:lineRule="auto"/>
        <w:ind w:firstLineChars="200" w:firstLine="480"/>
        <w:jc w:val="left"/>
        <w:rPr>
          <w:rFonts w:ascii="Times New Roman" w:hAnsi="Times New Roman"/>
          <w:sz w:val="24"/>
        </w:rPr>
      </w:pPr>
      <w:r w:rsidRPr="00CB205C">
        <w:rPr>
          <w:rFonts w:ascii="Times New Roman" w:hAnsi="Times New Roman" w:hint="eastAsia"/>
          <w:sz w:val="24"/>
        </w:rPr>
        <w:t>本基金</w:t>
      </w:r>
      <w:r w:rsidRPr="00CB205C">
        <w:rPr>
          <w:rFonts w:ascii="Times New Roman" w:hAnsi="Times New Roman" w:hint="eastAsia"/>
          <w:sz w:val="24"/>
        </w:rPr>
        <w:t>C</w:t>
      </w:r>
      <w:r w:rsidRPr="00CB205C">
        <w:rPr>
          <w:rFonts w:ascii="Times New Roman" w:hAnsi="Times New Roman" w:hint="eastAsia"/>
          <w:sz w:val="24"/>
        </w:rPr>
        <w:t>类基金份额除直销机构外的其他销售机构：</w:t>
      </w:r>
    </w:p>
    <w:p w14:paraId="7C0E8505"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Pr>
          <w:rFonts w:ascii="Times New Roman" w:hAnsi="Times New Roman" w:hint="eastAsia"/>
          <w:sz w:val="24"/>
        </w:rPr>
        <w:t>（</w:t>
      </w:r>
      <w:r w:rsidRPr="001D2C2D">
        <w:rPr>
          <w:rFonts w:ascii="Times New Roman" w:hAnsi="Times New Roman" w:hint="eastAsia"/>
          <w:sz w:val="24"/>
        </w:rPr>
        <w:t>1</w:t>
      </w:r>
      <w:r>
        <w:rPr>
          <w:rFonts w:ascii="Times New Roman" w:hAnsi="Times New Roman" w:hint="eastAsia"/>
          <w:sz w:val="24"/>
        </w:rPr>
        <w:t>）</w:t>
      </w:r>
      <w:r w:rsidRPr="001D2C2D">
        <w:rPr>
          <w:rFonts w:ascii="Times New Roman" w:hAnsi="Times New Roman" w:hint="eastAsia"/>
          <w:sz w:val="24"/>
        </w:rPr>
        <w:t>蚂蚁（杭州）基金销售有限公司</w:t>
      </w:r>
    </w:p>
    <w:p w14:paraId="541205B4"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住所：浙江省杭州市余杭区五常街道文一西路</w:t>
      </w:r>
      <w:r w:rsidRPr="001D2C2D">
        <w:rPr>
          <w:rFonts w:ascii="Times New Roman" w:hAnsi="Times New Roman" w:hint="eastAsia"/>
          <w:sz w:val="24"/>
        </w:rPr>
        <w:t>969</w:t>
      </w:r>
      <w:r w:rsidRPr="001D2C2D">
        <w:rPr>
          <w:rFonts w:ascii="Times New Roman" w:hAnsi="Times New Roman" w:hint="eastAsia"/>
          <w:sz w:val="24"/>
        </w:rPr>
        <w:t>号</w:t>
      </w:r>
      <w:r w:rsidRPr="001D2C2D">
        <w:rPr>
          <w:rFonts w:ascii="Times New Roman" w:hAnsi="Times New Roman" w:hint="eastAsia"/>
          <w:sz w:val="24"/>
        </w:rPr>
        <w:t>3</w:t>
      </w:r>
      <w:r w:rsidRPr="001D2C2D">
        <w:rPr>
          <w:rFonts w:ascii="Times New Roman" w:hAnsi="Times New Roman" w:hint="eastAsia"/>
          <w:sz w:val="24"/>
        </w:rPr>
        <w:t>幢</w:t>
      </w:r>
      <w:r w:rsidRPr="001D2C2D">
        <w:rPr>
          <w:rFonts w:ascii="Times New Roman" w:hAnsi="Times New Roman" w:hint="eastAsia"/>
          <w:sz w:val="24"/>
        </w:rPr>
        <w:t>5</w:t>
      </w:r>
      <w:r w:rsidRPr="001D2C2D">
        <w:rPr>
          <w:rFonts w:ascii="Times New Roman" w:hAnsi="Times New Roman" w:hint="eastAsia"/>
          <w:sz w:val="24"/>
        </w:rPr>
        <w:t>层</w:t>
      </w:r>
      <w:r w:rsidRPr="001D2C2D">
        <w:rPr>
          <w:rFonts w:ascii="Times New Roman" w:hAnsi="Times New Roman" w:hint="eastAsia"/>
          <w:sz w:val="24"/>
        </w:rPr>
        <w:t>599</w:t>
      </w:r>
      <w:r w:rsidRPr="001D2C2D">
        <w:rPr>
          <w:rFonts w:ascii="Times New Roman" w:hAnsi="Times New Roman" w:hint="eastAsia"/>
          <w:sz w:val="24"/>
        </w:rPr>
        <w:t>室</w:t>
      </w:r>
    </w:p>
    <w:p w14:paraId="5271B204"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办公地址：浙江省杭州市西湖区西溪路</w:t>
      </w:r>
      <w:r w:rsidRPr="001D2C2D">
        <w:rPr>
          <w:rFonts w:ascii="Times New Roman" w:hAnsi="Times New Roman" w:hint="eastAsia"/>
          <w:sz w:val="24"/>
        </w:rPr>
        <w:t>556</w:t>
      </w:r>
      <w:r w:rsidRPr="001D2C2D">
        <w:rPr>
          <w:rFonts w:ascii="Times New Roman" w:hAnsi="Times New Roman" w:hint="eastAsia"/>
          <w:sz w:val="24"/>
        </w:rPr>
        <w:t>号</w:t>
      </w:r>
    </w:p>
    <w:p w14:paraId="6EC7254F"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法定代表人：王珺</w:t>
      </w:r>
    </w:p>
    <w:p w14:paraId="68EF2A14"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电话：（</w:t>
      </w:r>
      <w:r w:rsidRPr="001D2C2D">
        <w:rPr>
          <w:rFonts w:ascii="Times New Roman" w:hAnsi="Times New Roman" w:hint="eastAsia"/>
          <w:sz w:val="24"/>
        </w:rPr>
        <w:t>0571</w:t>
      </w:r>
      <w:r w:rsidRPr="001D2C2D">
        <w:rPr>
          <w:rFonts w:ascii="Times New Roman" w:hAnsi="Times New Roman" w:hint="eastAsia"/>
          <w:sz w:val="24"/>
        </w:rPr>
        <w:t>）</w:t>
      </w:r>
      <w:r w:rsidRPr="001D2C2D">
        <w:rPr>
          <w:rFonts w:ascii="Times New Roman" w:hAnsi="Times New Roman" w:hint="eastAsia"/>
          <w:sz w:val="24"/>
        </w:rPr>
        <w:t>28829790</w:t>
      </w:r>
      <w:r w:rsidRPr="001D2C2D">
        <w:rPr>
          <w:rFonts w:ascii="Times New Roman" w:hAnsi="Times New Roman" w:hint="eastAsia"/>
          <w:sz w:val="24"/>
        </w:rPr>
        <w:t>，（</w:t>
      </w:r>
      <w:r w:rsidRPr="001D2C2D">
        <w:rPr>
          <w:rFonts w:ascii="Times New Roman" w:hAnsi="Times New Roman" w:hint="eastAsia"/>
          <w:sz w:val="24"/>
        </w:rPr>
        <w:t>021</w:t>
      </w:r>
      <w:r w:rsidRPr="001D2C2D">
        <w:rPr>
          <w:rFonts w:ascii="Times New Roman" w:hAnsi="Times New Roman" w:hint="eastAsia"/>
          <w:sz w:val="24"/>
        </w:rPr>
        <w:t>）</w:t>
      </w:r>
      <w:r w:rsidRPr="001D2C2D">
        <w:rPr>
          <w:rFonts w:ascii="Times New Roman" w:hAnsi="Times New Roman" w:hint="eastAsia"/>
          <w:sz w:val="24"/>
        </w:rPr>
        <w:t>60897869</w:t>
      </w:r>
    </w:p>
    <w:p w14:paraId="3A2E2E23"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传真：（</w:t>
      </w:r>
      <w:r w:rsidRPr="001D2C2D">
        <w:rPr>
          <w:rFonts w:ascii="Times New Roman" w:hAnsi="Times New Roman" w:hint="eastAsia"/>
          <w:sz w:val="24"/>
        </w:rPr>
        <w:t>0571</w:t>
      </w:r>
      <w:r w:rsidRPr="001D2C2D">
        <w:rPr>
          <w:rFonts w:ascii="Times New Roman" w:hAnsi="Times New Roman" w:hint="eastAsia"/>
          <w:sz w:val="24"/>
        </w:rPr>
        <w:t>）</w:t>
      </w:r>
      <w:r w:rsidRPr="001D2C2D">
        <w:rPr>
          <w:rFonts w:ascii="Times New Roman" w:hAnsi="Times New Roman" w:hint="eastAsia"/>
          <w:sz w:val="24"/>
        </w:rPr>
        <w:t>26698533</w:t>
      </w:r>
    </w:p>
    <w:p w14:paraId="18ACCBA2"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联系人：韩爱彬</w:t>
      </w:r>
    </w:p>
    <w:p w14:paraId="380CD44D"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客户服务电话：</w:t>
      </w:r>
      <w:r w:rsidRPr="001D2C2D">
        <w:rPr>
          <w:rFonts w:ascii="Times New Roman" w:hAnsi="Times New Roman" w:hint="eastAsia"/>
          <w:sz w:val="24"/>
        </w:rPr>
        <w:t>95188-8</w:t>
      </w:r>
    </w:p>
    <w:p w14:paraId="5F396EA1"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网址：</w:t>
      </w:r>
      <w:r w:rsidRPr="001D2C2D">
        <w:rPr>
          <w:rFonts w:ascii="Times New Roman" w:hAnsi="Times New Roman" w:hint="eastAsia"/>
          <w:sz w:val="24"/>
        </w:rPr>
        <w:t>www.fund123.cn</w:t>
      </w:r>
    </w:p>
    <w:p w14:paraId="3955FC77"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Pr>
          <w:rFonts w:ascii="Times New Roman" w:hAnsi="Times New Roman" w:hint="eastAsia"/>
          <w:sz w:val="24"/>
        </w:rPr>
        <w:t>（</w:t>
      </w:r>
      <w:r w:rsidRPr="001D2C2D">
        <w:rPr>
          <w:rFonts w:ascii="Times New Roman" w:hAnsi="Times New Roman" w:hint="eastAsia"/>
          <w:sz w:val="24"/>
        </w:rPr>
        <w:t>2</w:t>
      </w:r>
      <w:r>
        <w:rPr>
          <w:rFonts w:ascii="Times New Roman" w:hAnsi="Times New Roman" w:hint="eastAsia"/>
          <w:sz w:val="24"/>
        </w:rPr>
        <w:t>）</w:t>
      </w:r>
      <w:r w:rsidRPr="001D2C2D">
        <w:rPr>
          <w:rFonts w:ascii="Times New Roman" w:hAnsi="Times New Roman" w:hint="eastAsia"/>
          <w:sz w:val="24"/>
        </w:rPr>
        <w:t>深圳众禄基金销售股份有限公司</w:t>
      </w:r>
    </w:p>
    <w:p w14:paraId="32C3433D"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住所：深圳市罗湖区梨园路物资控股置地大厦</w:t>
      </w:r>
      <w:r w:rsidRPr="001D2C2D">
        <w:rPr>
          <w:rFonts w:ascii="Times New Roman" w:hAnsi="Times New Roman" w:hint="eastAsia"/>
          <w:sz w:val="24"/>
        </w:rPr>
        <w:t>8</w:t>
      </w:r>
      <w:r w:rsidRPr="001D2C2D">
        <w:rPr>
          <w:rFonts w:ascii="Times New Roman" w:hAnsi="Times New Roman" w:hint="eastAsia"/>
          <w:sz w:val="24"/>
        </w:rPr>
        <w:t>楼</w:t>
      </w:r>
    </w:p>
    <w:p w14:paraId="07F7451E"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办公地址：深圳市罗湖区梨园路物资控股置地大厦</w:t>
      </w:r>
      <w:r w:rsidRPr="001D2C2D">
        <w:rPr>
          <w:rFonts w:ascii="Times New Roman" w:hAnsi="Times New Roman" w:hint="eastAsia"/>
          <w:sz w:val="24"/>
        </w:rPr>
        <w:t>8</w:t>
      </w:r>
      <w:r w:rsidRPr="001D2C2D">
        <w:rPr>
          <w:rFonts w:ascii="Times New Roman" w:hAnsi="Times New Roman" w:hint="eastAsia"/>
          <w:sz w:val="24"/>
        </w:rPr>
        <w:t>楼</w:t>
      </w:r>
    </w:p>
    <w:p w14:paraId="34234E17"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法定代表人：薛峰</w:t>
      </w:r>
    </w:p>
    <w:p w14:paraId="4977990E"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电话：（</w:t>
      </w:r>
      <w:r w:rsidRPr="001D2C2D">
        <w:rPr>
          <w:rFonts w:ascii="Times New Roman" w:hAnsi="Times New Roman" w:hint="eastAsia"/>
          <w:sz w:val="24"/>
        </w:rPr>
        <w:t>0755</w:t>
      </w:r>
      <w:r w:rsidRPr="001D2C2D">
        <w:rPr>
          <w:rFonts w:ascii="Times New Roman" w:hAnsi="Times New Roman" w:hint="eastAsia"/>
          <w:sz w:val="24"/>
        </w:rPr>
        <w:t>）</w:t>
      </w:r>
      <w:r w:rsidRPr="001D2C2D">
        <w:rPr>
          <w:rFonts w:ascii="Times New Roman" w:hAnsi="Times New Roman" w:hint="eastAsia"/>
          <w:sz w:val="24"/>
        </w:rPr>
        <w:t>33227953</w:t>
      </w:r>
    </w:p>
    <w:p w14:paraId="0C37799E"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传真：（</w:t>
      </w:r>
      <w:r w:rsidRPr="001D2C2D">
        <w:rPr>
          <w:rFonts w:ascii="Times New Roman" w:hAnsi="Times New Roman" w:hint="eastAsia"/>
          <w:sz w:val="24"/>
        </w:rPr>
        <w:t>0755</w:t>
      </w:r>
      <w:r w:rsidRPr="001D2C2D">
        <w:rPr>
          <w:rFonts w:ascii="Times New Roman" w:hAnsi="Times New Roman" w:hint="eastAsia"/>
          <w:sz w:val="24"/>
        </w:rPr>
        <w:t>）</w:t>
      </w:r>
      <w:r w:rsidRPr="001D2C2D">
        <w:rPr>
          <w:rFonts w:ascii="Times New Roman" w:hAnsi="Times New Roman" w:hint="eastAsia"/>
          <w:sz w:val="24"/>
        </w:rPr>
        <w:t>33227951</w:t>
      </w:r>
    </w:p>
    <w:p w14:paraId="47415978"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联系人：汤素娅</w:t>
      </w:r>
    </w:p>
    <w:p w14:paraId="31123DD7"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客户服务电话：</w:t>
      </w:r>
      <w:r w:rsidRPr="001D2C2D">
        <w:rPr>
          <w:rFonts w:ascii="Times New Roman" w:hAnsi="Times New Roman" w:hint="eastAsia"/>
          <w:sz w:val="24"/>
        </w:rPr>
        <w:t>4006-788-887</w:t>
      </w:r>
    </w:p>
    <w:p w14:paraId="23DB3481"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网址：</w:t>
      </w:r>
      <w:r w:rsidRPr="001D2C2D">
        <w:rPr>
          <w:rFonts w:ascii="Times New Roman" w:hAnsi="Times New Roman" w:hint="eastAsia"/>
          <w:sz w:val="24"/>
        </w:rPr>
        <w:t>www.zlfund.cn</w:t>
      </w:r>
      <w:r w:rsidRPr="001D2C2D">
        <w:rPr>
          <w:rFonts w:ascii="Times New Roman" w:hAnsi="Times New Roman" w:hint="eastAsia"/>
          <w:sz w:val="24"/>
        </w:rPr>
        <w:t>，</w:t>
      </w:r>
      <w:r w:rsidRPr="001D2C2D">
        <w:rPr>
          <w:rFonts w:ascii="Times New Roman" w:hAnsi="Times New Roman" w:hint="eastAsia"/>
          <w:sz w:val="24"/>
        </w:rPr>
        <w:t>www.jjmmw.com</w:t>
      </w:r>
    </w:p>
    <w:p w14:paraId="2B79F2B6"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Pr>
          <w:rFonts w:ascii="Times New Roman" w:hAnsi="Times New Roman" w:hint="eastAsia"/>
          <w:sz w:val="24"/>
        </w:rPr>
        <w:t>（</w:t>
      </w:r>
      <w:r w:rsidRPr="001D2C2D">
        <w:rPr>
          <w:rFonts w:ascii="Times New Roman" w:hAnsi="Times New Roman" w:hint="eastAsia"/>
          <w:sz w:val="24"/>
        </w:rPr>
        <w:t>3</w:t>
      </w:r>
      <w:r>
        <w:rPr>
          <w:rFonts w:ascii="Times New Roman" w:hAnsi="Times New Roman" w:hint="eastAsia"/>
          <w:sz w:val="24"/>
        </w:rPr>
        <w:t>）</w:t>
      </w:r>
      <w:r w:rsidRPr="001D2C2D">
        <w:rPr>
          <w:rFonts w:ascii="Times New Roman" w:hAnsi="Times New Roman" w:hint="eastAsia"/>
          <w:sz w:val="24"/>
        </w:rPr>
        <w:t>上海长量基金销售有限公司</w:t>
      </w:r>
    </w:p>
    <w:p w14:paraId="0060EC4A"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住所：上海市浦东新区高翔路</w:t>
      </w:r>
      <w:r w:rsidRPr="001D2C2D">
        <w:rPr>
          <w:rFonts w:ascii="Times New Roman" w:hAnsi="Times New Roman" w:hint="eastAsia"/>
          <w:sz w:val="24"/>
        </w:rPr>
        <w:t>526</w:t>
      </w:r>
      <w:r w:rsidRPr="001D2C2D">
        <w:rPr>
          <w:rFonts w:ascii="Times New Roman" w:hAnsi="Times New Roman" w:hint="eastAsia"/>
          <w:sz w:val="24"/>
        </w:rPr>
        <w:t>号</w:t>
      </w:r>
      <w:r w:rsidRPr="001D2C2D">
        <w:rPr>
          <w:rFonts w:ascii="Times New Roman" w:hAnsi="Times New Roman" w:hint="eastAsia"/>
          <w:sz w:val="24"/>
        </w:rPr>
        <w:t>2</w:t>
      </w:r>
      <w:r w:rsidRPr="001D2C2D">
        <w:rPr>
          <w:rFonts w:ascii="Times New Roman" w:hAnsi="Times New Roman" w:hint="eastAsia"/>
          <w:sz w:val="24"/>
        </w:rPr>
        <w:t>幢</w:t>
      </w:r>
      <w:r w:rsidRPr="001D2C2D">
        <w:rPr>
          <w:rFonts w:ascii="Times New Roman" w:hAnsi="Times New Roman" w:hint="eastAsia"/>
          <w:sz w:val="24"/>
        </w:rPr>
        <w:t>220</w:t>
      </w:r>
      <w:r w:rsidRPr="001D2C2D">
        <w:rPr>
          <w:rFonts w:ascii="Times New Roman" w:hAnsi="Times New Roman" w:hint="eastAsia"/>
          <w:sz w:val="24"/>
        </w:rPr>
        <w:t>室</w:t>
      </w:r>
    </w:p>
    <w:p w14:paraId="215580E4"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办公地址：上海市浦东新区浦东大道</w:t>
      </w:r>
      <w:r w:rsidRPr="001D2C2D">
        <w:rPr>
          <w:rFonts w:ascii="Times New Roman" w:hAnsi="Times New Roman" w:hint="eastAsia"/>
          <w:sz w:val="24"/>
        </w:rPr>
        <w:t>555</w:t>
      </w:r>
      <w:r w:rsidRPr="001D2C2D">
        <w:rPr>
          <w:rFonts w:ascii="Times New Roman" w:hAnsi="Times New Roman" w:hint="eastAsia"/>
          <w:sz w:val="24"/>
        </w:rPr>
        <w:t>号裕景国际</w:t>
      </w:r>
      <w:r w:rsidRPr="001D2C2D">
        <w:rPr>
          <w:rFonts w:ascii="Times New Roman" w:hAnsi="Times New Roman" w:hint="eastAsia"/>
          <w:sz w:val="24"/>
        </w:rPr>
        <w:t>B</w:t>
      </w:r>
      <w:r w:rsidRPr="001D2C2D">
        <w:rPr>
          <w:rFonts w:ascii="Times New Roman" w:hAnsi="Times New Roman" w:hint="eastAsia"/>
          <w:sz w:val="24"/>
        </w:rPr>
        <w:t>座</w:t>
      </w:r>
      <w:r w:rsidRPr="001D2C2D">
        <w:rPr>
          <w:rFonts w:ascii="Times New Roman" w:hAnsi="Times New Roman" w:hint="eastAsia"/>
          <w:sz w:val="24"/>
        </w:rPr>
        <w:t>16</w:t>
      </w:r>
      <w:r w:rsidRPr="001D2C2D">
        <w:rPr>
          <w:rFonts w:ascii="Times New Roman" w:hAnsi="Times New Roman" w:hint="eastAsia"/>
          <w:sz w:val="24"/>
        </w:rPr>
        <w:t>层</w:t>
      </w:r>
    </w:p>
    <w:p w14:paraId="683E7289"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lastRenderedPageBreak/>
        <w:t>法定代表人：张跃伟</w:t>
      </w:r>
    </w:p>
    <w:p w14:paraId="3EBCD37A"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电话：（</w:t>
      </w:r>
      <w:r w:rsidRPr="001D2C2D">
        <w:rPr>
          <w:rFonts w:ascii="Times New Roman" w:hAnsi="Times New Roman" w:hint="eastAsia"/>
          <w:sz w:val="24"/>
        </w:rPr>
        <w:t>021</w:t>
      </w:r>
      <w:r w:rsidRPr="001D2C2D">
        <w:rPr>
          <w:rFonts w:ascii="Times New Roman" w:hAnsi="Times New Roman" w:hint="eastAsia"/>
          <w:sz w:val="24"/>
        </w:rPr>
        <w:t>）</w:t>
      </w:r>
      <w:r w:rsidRPr="001D2C2D">
        <w:rPr>
          <w:rFonts w:ascii="Times New Roman" w:hAnsi="Times New Roman" w:hint="eastAsia"/>
          <w:sz w:val="24"/>
        </w:rPr>
        <w:t>20691832</w:t>
      </w:r>
    </w:p>
    <w:p w14:paraId="6D09C3C3"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传真：（</w:t>
      </w:r>
      <w:r w:rsidRPr="001D2C2D">
        <w:rPr>
          <w:rFonts w:ascii="Times New Roman" w:hAnsi="Times New Roman" w:hint="eastAsia"/>
          <w:sz w:val="24"/>
        </w:rPr>
        <w:t>021</w:t>
      </w:r>
      <w:r w:rsidRPr="001D2C2D">
        <w:rPr>
          <w:rFonts w:ascii="Times New Roman" w:hAnsi="Times New Roman" w:hint="eastAsia"/>
          <w:sz w:val="24"/>
        </w:rPr>
        <w:t>）</w:t>
      </w:r>
      <w:r w:rsidRPr="001D2C2D">
        <w:rPr>
          <w:rFonts w:ascii="Times New Roman" w:hAnsi="Times New Roman" w:hint="eastAsia"/>
          <w:sz w:val="24"/>
        </w:rPr>
        <w:t xml:space="preserve">20691861 </w:t>
      </w:r>
    </w:p>
    <w:p w14:paraId="2AA804E1"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联系人：单丙烨</w:t>
      </w:r>
    </w:p>
    <w:p w14:paraId="0ACFFB17"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客户服务电话：</w:t>
      </w:r>
      <w:r w:rsidRPr="001D2C2D">
        <w:rPr>
          <w:rFonts w:ascii="Times New Roman" w:hAnsi="Times New Roman" w:hint="eastAsia"/>
          <w:sz w:val="24"/>
        </w:rPr>
        <w:t>400-820-2899</w:t>
      </w:r>
    </w:p>
    <w:p w14:paraId="67E0628A"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网址：</w:t>
      </w:r>
      <w:r w:rsidRPr="001D2C2D">
        <w:rPr>
          <w:rFonts w:ascii="Times New Roman" w:hAnsi="Times New Roman" w:hint="eastAsia"/>
          <w:sz w:val="24"/>
        </w:rPr>
        <w:t>www.erichfund.com</w:t>
      </w:r>
    </w:p>
    <w:p w14:paraId="26314963"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Pr>
          <w:rFonts w:ascii="Times New Roman" w:hAnsi="Times New Roman" w:hint="eastAsia"/>
          <w:sz w:val="24"/>
        </w:rPr>
        <w:t>（</w:t>
      </w:r>
      <w:r w:rsidRPr="001D2C2D">
        <w:rPr>
          <w:rFonts w:ascii="Times New Roman" w:hAnsi="Times New Roman" w:hint="eastAsia"/>
          <w:sz w:val="24"/>
        </w:rPr>
        <w:t>4</w:t>
      </w:r>
      <w:r>
        <w:rPr>
          <w:rFonts w:ascii="Times New Roman" w:hAnsi="Times New Roman" w:hint="eastAsia"/>
          <w:sz w:val="24"/>
        </w:rPr>
        <w:t>）</w:t>
      </w:r>
      <w:r w:rsidRPr="001D2C2D">
        <w:rPr>
          <w:rFonts w:ascii="Times New Roman" w:hAnsi="Times New Roman" w:hint="eastAsia"/>
          <w:sz w:val="24"/>
        </w:rPr>
        <w:t>上海好买基金销售有限公司</w:t>
      </w:r>
      <w:r w:rsidRPr="001D2C2D">
        <w:rPr>
          <w:rFonts w:ascii="Times New Roman" w:hAnsi="Times New Roman" w:hint="eastAsia"/>
          <w:sz w:val="24"/>
        </w:rPr>
        <w:t xml:space="preserve"> </w:t>
      </w:r>
    </w:p>
    <w:p w14:paraId="4BD91B1A"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住所：上海市虹口区场中路</w:t>
      </w:r>
      <w:r w:rsidRPr="001D2C2D">
        <w:rPr>
          <w:rFonts w:ascii="Times New Roman" w:hAnsi="Times New Roman" w:hint="eastAsia"/>
          <w:sz w:val="24"/>
        </w:rPr>
        <w:t>685</w:t>
      </w:r>
      <w:r w:rsidRPr="001D2C2D">
        <w:rPr>
          <w:rFonts w:ascii="Times New Roman" w:hAnsi="Times New Roman" w:hint="eastAsia"/>
          <w:sz w:val="24"/>
        </w:rPr>
        <w:t>弄</w:t>
      </w:r>
      <w:r w:rsidRPr="001D2C2D">
        <w:rPr>
          <w:rFonts w:ascii="Times New Roman" w:hAnsi="Times New Roman" w:hint="eastAsia"/>
          <w:sz w:val="24"/>
        </w:rPr>
        <w:t>37</w:t>
      </w:r>
      <w:r w:rsidRPr="001D2C2D">
        <w:rPr>
          <w:rFonts w:ascii="Times New Roman" w:hAnsi="Times New Roman" w:hint="eastAsia"/>
          <w:sz w:val="24"/>
        </w:rPr>
        <w:t>号</w:t>
      </w:r>
      <w:r w:rsidRPr="001D2C2D">
        <w:rPr>
          <w:rFonts w:ascii="Times New Roman" w:hAnsi="Times New Roman" w:hint="eastAsia"/>
          <w:sz w:val="24"/>
        </w:rPr>
        <w:t>4</w:t>
      </w:r>
      <w:r w:rsidRPr="001D2C2D">
        <w:rPr>
          <w:rFonts w:ascii="Times New Roman" w:hAnsi="Times New Roman" w:hint="eastAsia"/>
          <w:sz w:val="24"/>
        </w:rPr>
        <w:t>号楼</w:t>
      </w:r>
      <w:r w:rsidRPr="001D2C2D">
        <w:rPr>
          <w:rFonts w:ascii="Times New Roman" w:hAnsi="Times New Roman" w:hint="eastAsia"/>
          <w:sz w:val="24"/>
        </w:rPr>
        <w:t>449</w:t>
      </w:r>
      <w:r w:rsidRPr="001D2C2D">
        <w:rPr>
          <w:rFonts w:ascii="Times New Roman" w:hAnsi="Times New Roman" w:hint="eastAsia"/>
          <w:sz w:val="24"/>
        </w:rPr>
        <w:t>室</w:t>
      </w:r>
      <w:r w:rsidRPr="001D2C2D">
        <w:rPr>
          <w:rFonts w:ascii="Times New Roman" w:hAnsi="Times New Roman" w:hint="eastAsia"/>
          <w:sz w:val="24"/>
        </w:rPr>
        <w:t xml:space="preserve"> </w:t>
      </w:r>
    </w:p>
    <w:p w14:paraId="62F1A0DD"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办公地址：上海市浦东新区浦东南路</w:t>
      </w:r>
      <w:r w:rsidRPr="001D2C2D">
        <w:rPr>
          <w:rFonts w:ascii="Times New Roman" w:hAnsi="Times New Roman" w:hint="eastAsia"/>
          <w:sz w:val="24"/>
        </w:rPr>
        <w:t>1118</w:t>
      </w:r>
      <w:r w:rsidRPr="001D2C2D">
        <w:rPr>
          <w:rFonts w:ascii="Times New Roman" w:hAnsi="Times New Roman" w:hint="eastAsia"/>
          <w:sz w:val="24"/>
        </w:rPr>
        <w:t>号鄂尔多斯国际大厦</w:t>
      </w:r>
      <w:r w:rsidRPr="001D2C2D">
        <w:rPr>
          <w:rFonts w:ascii="Times New Roman" w:hAnsi="Times New Roman" w:hint="eastAsia"/>
          <w:sz w:val="24"/>
        </w:rPr>
        <w:t>903-906</w:t>
      </w:r>
      <w:r w:rsidRPr="001D2C2D">
        <w:rPr>
          <w:rFonts w:ascii="Times New Roman" w:hAnsi="Times New Roman" w:hint="eastAsia"/>
          <w:sz w:val="24"/>
        </w:rPr>
        <w:t>室</w:t>
      </w:r>
      <w:r w:rsidRPr="001D2C2D">
        <w:rPr>
          <w:rFonts w:ascii="Times New Roman" w:hAnsi="Times New Roman" w:hint="eastAsia"/>
          <w:sz w:val="24"/>
        </w:rPr>
        <w:t xml:space="preserve"> </w:t>
      </w:r>
    </w:p>
    <w:p w14:paraId="6AB5381E"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法定代表人：杨文斌</w:t>
      </w:r>
      <w:r w:rsidRPr="001D2C2D">
        <w:rPr>
          <w:rFonts w:ascii="Times New Roman" w:hAnsi="Times New Roman" w:hint="eastAsia"/>
          <w:sz w:val="24"/>
        </w:rPr>
        <w:t xml:space="preserve"> </w:t>
      </w:r>
    </w:p>
    <w:p w14:paraId="4536BE13"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传真：（</w:t>
      </w:r>
      <w:r w:rsidRPr="001D2C2D">
        <w:rPr>
          <w:rFonts w:ascii="Times New Roman" w:hAnsi="Times New Roman" w:hint="eastAsia"/>
          <w:sz w:val="24"/>
        </w:rPr>
        <w:t>021</w:t>
      </w:r>
      <w:r w:rsidRPr="001D2C2D">
        <w:rPr>
          <w:rFonts w:ascii="Times New Roman" w:hAnsi="Times New Roman" w:hint="eastAsia"/>
          <w:sz w:val="24"/>
        </w:rPr>
        <w:t>）</w:t>
      </w:r>
      <w:r w:rsidRPr="001D2C2D">
        <w:rPr>
          <w:rFonts w:ascii="Times New Roman" w:hAnsi="Times New Roman" w:hint="eastAsia"/>
          <w:sz w:val="24"/>
        </w:rPr>
        <w:t xml:space="preserve">68596916 </w:t>
      </w:r>
    </w:p>
    <w:p w14:paraId="6026BD4F"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联系人：薛年</w:t>
      </w:r>
    </w:p>
    <w:p w14:paraId="49397ACE"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客户服务电话：</w:t>
      </w:r>
      <w:r w:rsidRPr="001D2C2D">
        <w:rPr>
          <w:rFonts w:ascii="Times New Roman" w:hAnsi="Times New Roman" w:hint="eastAsia"/>
          <w:sz w:val="24"/>
        </w:rPr>
        <w:t xml:space="preserve">400-700-9665 </w:t>
      </w:r>
    </w:p>
    <w:p w14:paraId="3D291B62"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网址：</w:t>
      </w:r>
      <w:r w:rsidRPr="001D2C2D">
        <w:rPr>
          <w:rFonts w:ascii="Times New Roman" w:hAnsi="Times New Roman" w:hint="eastAsia"/>
          <w:sz w:val="24"/>
        </w:rPr>
        <w:t>www.howbuy.com</w:t>
      </w:r>
    </w:p>
    <w:p w14:paraId="6D0C63AD"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Pr>
          <w:rFonts w:ascii="Times New Roman" w:hAnsi="Times New Roman" w:hint="eastAsia"/>
          <w:sz w:val="24"/>
        </w:rPr>
        <w:t>（</w:t>
      </w:r>
      <w:r w:rsidRPr="001D2C2D">
        <w:rPr>
          <w:rFonts w:ascii="Times New Roman" w:hAnsi="Times New Roman" w:hint="eastAsia"/>
          <w:sz w:val="24"/>
        </w:rPr>
        <w:t>5</w:t>
      </w:r>
      <w:r>
        <w:rPr>
          <w:rFonts w:ascii="Times New Roman" w:hAnsi="Times New Roman" w:hint="eastAsia"/>
          <w:sz w:val="24"/>
        </w:rPr>
        <w:t>）</w:t>
      </w:r>
      <w:r w:rsidRPr="001D2C2D">
        <w:rPr>
          <w:rFonts w:ascii="Times New Roman" w:hAnsi="Times New Roman" w:hint="eastAsia"/>
          <w:sz w:val="24"/>
        </w:rPr>
        <w:t>诺亚正行基金销售有限公司</w:t>
      </w:r>
    </w:p>
    <w:p w14:paraId="0F58E554"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住所</w:t>
      </w:r>
      <w:r w:rsidRPr="001D2C2D">
        <w:rPr>
          <w:rFonts w:ascii="Times New Roman" w:hAnsi="Times New Roman" w:hint="eastAsia"/>
          <w:sz w:val="24"/>
        </w:rPr>
        <w:t>:</w:t>
      </w:r>
      <w:r w:rsidRPr="001D2C2D">
        <w:rPr>
          <w:rFonts w:ascii="Times New Roman" w:hAnsi="Times New Roman" w:hint="eastAsia"/>
          <w:sz w:val="24"/>
        </w:rPr>
        <w:t>上海市虹口区飞虹路</w:t>
      </w:r>
      <w:r w:rsidRPr="001D2C2D">
        <w:rPr>
          <w:rFonts w:ascii="Times New Roman" w:hAnsi="Times New Roman" w:hint="eastAsia"/>
          <w:sz w:val="24"/>
        </w:rPr>
        <w:t>360</w:t>
      </w:r>
      <w:r w:rsidRPr="001D2C2D">
        <w:rPr>
          <w:rFonts w:ascii="Times New Roman" w:hAnsi="Times New Roman" w:hint="eastAsia"/>
          <w:sz w:val="24"/>
        </w:rPr>
        <w:t>弄</w:t>
      </w:r>
      <w:r w:rsidRPr="001D2C2D">
        <w:rPr>
          <w:rFonts w:ascii="Times New Roman" w:hAnsi="Times New Roman" w:hint="eastAsia"/>
          <w:sz w:val="24"/>
        </w:rPr>
        <w:t>9</w:t>
      </w:r>
      <w:r w:rsidRPr="001D2C2D">
        <w:rPr>
          <w:rFonts w:ascii="Times New Roman" w:hAnsi="Times New Roman" w:hint="eastAsia"/>
          <w:sz w:val="24"/>
        </w:rPr>
        <w:t>号</w:t>
      </w:r>
      <w:r w:rsidRPr="001D2C2D">
        <w:rPr>
          <w:rFonts w:ascii="Times New Roman" w:hAnsi="Times New Roman" w:hint="eastAsia"/>
          <w:sz w:val="24"/>
        </w:rPr>
        <w:t>3724</w:t>
      </w:r>
      <w:r w:rsidRPr="001D2C2D">
        <w:rPr>
          <w:rFonts w:ascii="Times New Roman" w:hAnsi="Times New Roman" w:hint="eastAsia"/>
          <w:sz w:val="24"/>
        </w:rPr>
        <w:t>室</w:t>
      </w:r>
    </w:p>
    <w:p w14:paraId="60627632"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办公地址</w:t>
      </w:r>
      <w:r w:rsidRPr="001D2C2D">
        <w:rPr>
          <w:rFonts w:ascii="Times New Roman" w:hAnsi="Times New Roman" w:hint="eastAsia"/>
          <w:sz w:val="24"/>
        </w:rPr>
        <w:t>:</w:t>
      </w:r>
      <w:r w:rsidRPr="001D2C2D">
        <w:rPr>
          <w:rFonts w:ascii="Times New Roman" w:hAnsi="Times New Roman" w:hint="eastAsia"/>
          <w:sz w:val="24"/>
        </w:rPr>
        <w:t>上海市杨浦区长阳路</w:t>
      </w:r>
      <w:r w:rsidRPr="001D2C2D">
        <w:rPr>
          <w:rFonts w:ascii="Times New Roman" w:hAnsi="Times New Roman" w:hint="eastAsia"/>
          <w:sz w:val="24"/>
        </w:rPr>
        <w:t>1687</w:t>
      </w:r>
      <w:r w:rsidRPr="001D2C2D">
        <w:rPr>
          <w:rFonts w:ascii="Times New Roman" w:hAnsi="Times New Roman" w:hint="eastAsia"/>
          <w:sz w:val="24"/>
        </w:rPr>
        <w:t>号长阳谷</w:t>
      </w:r>
      <w:r w:rsidRPr="001D2C2D">
        <w:rPr>
          <w:rFonts w:ascii="Times New Roman" w:hAnsi="Times New Roman" w:hint="eastAsia"/>
          <w:sz w:val="24"/>
        </w:rPr>
        <w:t>2</w:t>
      </w:r>
      <w:r w:rsidRPr="001D2C2D">
        <w:rPr>
          <w:rFonts w:ascii="Times New Roman" w:hAnsi="Times New Roman" w:hint="eastAsia"/>
          <w:sz w:val="24"/>
        </w:rPr>
        <w:t>号楼</w:t>
      </w:r>
    </w:p>
    <w:p w14:paraId="3C5D3C39"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法定代表：汪静波</w:t>
      </w:r>
      <w:r w:rsidRPr="001D2C2D">
        <w:rPr>
          <w:rFonts w:ascii="Times New Roman" w:hAnsi="Times New Roman" w:hint="eastAsia"/>
          <w:sz w:val="24"/>
        </w:rPr>
        <w:t xml:space="preserve"> </w:t>
      </w:r>
    </w:p>
    <w:p w14:paraId="5FDC2B4D"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电话：（</w:t>
      </w:r>
      <w:r w:rsidRPr="001D2C2D">
        <w:rPr>
          <w:rFonts w:ascii="Times New Roman" w:hAnsi="Times New Roman" w:hint="eastAsia"/>
          <w:sz w:val="24"/>
        </w:rPr>
        <w:t>021</w:t>
      </w:r>
      <w:r w:rsidRPr="001D2C2D">
        <w:rPr>
          <w:rFonts w:ascii="Times New Roman" w:hAnsi="Times New Roman" w:hint="eastAsia"/>
          <w:sz w:val="24"/>
        </w:rPr>
        <w:t>）</w:t>
      </w:r>
      <w:r w:rsidRPr="001D2C2D">
        <w:rPr>
          <w:rFonts w:ascii="Times New Roman" w:hAnsi="Times New Roman" w:hint="eastAsia"/>
          <w:sz w:val="24"/>
        </w:rPr>
        <w:t>80358523</w:t>
      </w:r>
    </w:p>
    <w:p w14:paraId="1C760596"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传真：（</w:t>
      </w:r>
      <w:r w:rsidRPr="001D2C2D">
        <w:rPr>
          <w:rFonts w:ascii="Times New Roman" w:hAnsi="Times New Roman" w:hint="eastAsia"/>
          <w:sz w:val="24"/>
        </w:rPr>
        <w:t>021</w:t>
      </w:r>
      <w:r w:rsidRPr="001D2C2D">
        <w:rPr>
          <w:rFonts w:ascii="Times New Roman" w:hAnsi="Times New Roman" w:hint="eastAsia"/>
          <w:sz w:val="24"/>
        </w:rPr>
        <w:t>）</w:t>
      </w:r>
      <w:r w:rsidRPr="001D2C2D">
        <w:rPr>
          <w:rFonts w:ascii="Times New Roman" w:hAnsi="Times New Roman" w:hint="eastAsia"/>
          <w:sz w:val="24"/>
        </w:rPr>
        <w:t>80358749</w:t>
      </w:r>
    </w:p>
    <w:p w14:paraId="76C11272"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联系人：李娟</w:t>
      </w:r>
    </w:p>
    <w:p w14:paraId="67EDA024"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客户服务电话：</w:t>
      </w:r>
      <w:r w:rsidRPr="001D2C2D">
        <w:rPr>
          <w:rFonts w:ascii="Times New Roman" w:hAnsi="Times New Roman" w:hint="eastAsia"/>
          <w:sz w:val="24"/>
        </w:rPr>
        <w:t>4008215399</w:t>
      </w:r>
    </w:p>
    <w:p w14:paraId="22256151"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网址：</w:t>
      </w:r>
      <w:r w:rsidRPr="001D2C2D">
        <w:rPr>
          <w:rFonts w:ascii="Times New Roman" w:hAnsi="Times New Roman" w:hint="eastAsia"/>
          <w:sz w:val="24"/>
        </w:rPr>
        <w:t>www.noah-fund.com</w:t>
      </w:r>
    </w:p>
    <w:p w14:paraId="0F132AE8"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Pr>
          <w:rFonts w:ascii="Times New Roman" w:hAnsi="Times New Roman" w:hint="eastAsia"/>
          <w:sz w:val="24"/>
        </w:rPr>
        <w:t>（</w:t>
      </w:r>
      <w:r w:rsidRPr="001D2C2D">
        <w:rPr>
          <w:rFonts w:ascii="Times New Roman" w:hAnsi="Times New Roman" w:hint="eastAsia"/>
          <w:sz w:val="24"/>
        </w:rPr>
        <w:t>6</w:t>
      </w:r>
      <w:r>
        <w:rPr>
          <w:rFonts w:ascii="Times New Roman" w:hAnsi="Times New Roman" w:hint="eastAsia"/>
          <w:sz w:val="24"/>
        </w:rPr>
        <w:t>）</w:t>
      </w:r>
      <w:r w:rsidRPr="001D2C2D">
        <w:rPr>
          <w:rFonts w:ascii="Times New Roman" w:hAnsi="Times New Roman" w:hint="eastAsia"/>
          <w:sz w:val="24"/>
        </w:rPr>
        <w:t>和讯信息科技有限公司</w:t>
      </w:r>
      <w:r w:rsidRPr="001D2C2D">
        <w:rPr>
          <w:rFonts w:ascii="Times New Roman" w:hAnsi="Times New Roman" w:hint="eastAsia"/>
          <w:sz w:val="24"/>
        </w:rPr>
        <w:t xml:space="preserve"> </w:t>
      </w:r>
    </w:p>
    <w:p w14:paraId="6D61CEE2"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住所：北京市朝阳区朝外大街</w:t>
      </w:r>
      <w:r w:rsidRPr="001D2C2D">
        <w:rPr>
          <w:rFonts w:ascii="Times New Roman" w:hAnsi="Times New Roman" w:hint="eastAsia"/>
          <w:sz w:val="24"/>
        </w:rPr>
        <w:t>22</w:t>
      </w:r>
      <w:r w:rsidRPr="001D2C2D">
        <w:rPr>
          <w:rFonts w:ascii="Times New Roman" w:hAnsi="Times New Roman" w:hint="eastAsia"/>
          <w:sz w:val="24"/>
        </w:rPr>
        <w:t>号泛利大厦</w:t>
      </w:r>
      <w:r w:rsidRPr="001D2C2D">
        <w:rPr>
          <w:rFonts w:ascii="Times New Roman" w:hAnsi="Times New Roman" w:hint="eastAsia"/>
          <w:sz w:val="24"/>
        </w:rPr>
        <w:t>10</w:t>
      </w:r>
      <w:r w:rsidRPr="001D2C2D">
        <w:rPr>
          <w:rFonts w:ascii="Times New Roman" w:hAnsi="Times New Roman" w:hint="eastAsia"/>
          <w:sz w:val="24"/>
        </w:rPr>
        <w:t>层</w:t>
      </w:r>
    </w:p>
    <w:p w14:paraId="5C4AB4AD"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办公地址：北京市朝阳区朝外大街</w:t>
      </w:r>
      <w:r w:rsidRPr="001D2C2D">
        <w:rPr>
          <w:rFonts w:ascii="Times New Roman" w:hAnsi="Times New Roman" w:hint="eastAsia"/>
          <w:sz w:val="24"/>
        </w:rPr>
        <w:t>22</w:t>
      </w:r>
      <w:r w:rsidRPr="001D2C2D">
        <w:rPr>
          <w:rFonts w:ascii="Times New Roman" w:hAnsi="Times New Roman" w:hint="eastAsia"/>
          <w:sz w:val="24"/>
        </w:rPr>
        <w:t>号泛利大厦</w:t>
      </w:r>
      <w:r w:rsidRPr="001D2C2D">
        <w:rPr>
          <w:rFonts w:ascii="Times New Roman" w:hAnsi="Times New Roman" w:hint="eastAsia"/>
          <w:sz w:val="24"/>
        </w:rPr>
        <w:t>10</w:t>
      </w:r>
      <w:r w:rsidRPr="001D2C2D">
        <w:rPr>
          <w:rFonts w:ascii="Times New Roman" w:hAnsi="Times New Roman" w:hint="eastAsia"/>
          <w:sz w:val="24"/>
        </w:rPr>
        <w:t>层</w:t>
      </w:r>
    </w:p>
    <w:p w14:paraId="3902455D"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法定代表人：王莉</w:t>
      </w:r>
    </w:p>
    <w:p w14:paraId="272BC592"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电话：（</w:t>
      </w:r>
      <w:r w:rsidRPr="001D2C2D">
        <w:rPr>
          <w:rFonts w:ascii="Times New Roman" w:hAnsi="Times New Roman" w:hint="eastAsia"/>
          <w:sz w:val="24"/>
        </w:rPr>
        <w:t>021</w:t>
      </w:r>
      <w:r w:rsidRPr="001D2C2D">
        <w:rPr>
          <w:rFonts w:ascii="Times New Roman" w:hAnsi="Times New Roman" w:hint="eastAsia"/>
          <w:sz w:val="24"/>
        </w:rPr>
        <w:t>）</w:t>
      </w:r>
      <w:r w:rsidRPr="001D2C2D">
        <w:rPr>
          <w:rFonts w:ascii="Times New Roman" w:hAnsi="Times New Roman" w:hint="eastAsia"/>
          <w:sz w:val="24"/>
        </w:rPr>
        <w:t>20835789</w:t>
      </w:r>
    </w:p>
    <w:p w14:paraId="55474223"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传真：（</w:t>
      </w:r>
      <w:r w:rsidRPr="001D2C2D">
        <w:rPr>
          <w:rFonts w:ascii="Times New Roman" w:hAnsi="Times New Roman" w:hint="eastAsia"/>
          <w:sz w:val="24"/>
        </w:rPr>
        <w:t>021</w:t>
      </w:r>
      <w:r w:rsidRPr="001D2C2D">
        <w:rPr>
          <w:rFonts w:ascii="Times New Roman" w:hAnsi="Times New Roman" w:hint="eastAsia"/>
          <w:sz w:val="24"/>
        </w:rPr>
        <w:t>）</w:t>
      </w:r>
      <w:r w:rsidRPr="001D2C2D">
        <w:rPr>
          <w:rFonts w:ascii="Times New Roman" w:hAnsi="Times New Roman" w:hint="eastAsia"/>
          <w:sz w:val="24"/>
        </w:rPr>
        <w:t>20835879</w:t>
      </w:r>
    </w:p>
    <w:p w14:paraId="29C11939"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联系人：周轶</w:t>
      </w:r>
    </w:p>
    <w:p w14:paraId="6FF177BF"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lastRenderedPageBreak/>
        <w:t>客户服务电话：</w:t>
      </w:r>
      <w:r w:rsidRPr="001D2C2D">
        <w:rPr>
          <w:rFonts w:ascii="Times New Roman" w:hAnsi="Times New Roman" w:hint="eastAsia"/>
          <w:sz w:val="24"/>
        </w:rPr>
        <w:t>4009200022</w:t>
      </w:r>
    </w:p>
    <w:p w14:paraId="1D8BC4A3"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网址：</w:t>
      </w:r>
      <w:r w:rsidRPr="001D2C2D">
        <w:rPr>
          <w:rFonts w:ascii="Times New Roman" w:hAnsi="Times New Roman" w:hint="eastAsia"/>
          <w:sz w:val="24"/>
        </w:rPr>
        <w:t>http://licaike.hexun.com/</w:t>
      </w:r>
    </w:p>
    <w:p w14:paraId="16036A93"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Pr>
          <w:rFonts w:ascii="Times New Roman" w:hAnsi="Times New Roman" w:hint="eastAsia"/>
          <w:sz w:val="24"/>
        </w:rPr>
        <w:t>（</w:t>
      </w:r>
      <w:r w:rsidRPr="001D2C2D">
        <w:rPr>
          <w:rFonts w:ascii="Times New Roman" w:hAnsi="Times New Roman" w:hint="eastAsia"/>
          <w:sz w:val="24"/>
        </w:rPr>
        <w:t>7</w:t>
      </w:r>
      <w:r>
        <w:rPr>
          <w:rFonts w:ascii="Times New Roman" w:hAnsi="Times New Roman" w:hint="eastAsia"/>
          <w:sz w:val="24"/>
        </w:rPr>
        <w:t>）</w:t>
      </w:r>
      <w:r w:rsidRPr="001D2C2D">
        <w:rPr>
          <w:rFonts w:ascii="Times New Roman" w:hAnsi="Times New Roman" w:hint="eastAsia"/>
          <w:sz w:val="24"/>
        </w:rPr>
        <w:t>上海天天基金销售有限公司</w:t>
      </w:r>
      <w:r w:rsidRPr="001D2C2D">
        <w:rPr>
          <w:rFonts w:ascii="Times New Roman" w:hAnsi="Times New Roman" w:hint="eastAsia"/>
          <w:sz w:val="24"/>
        </w:rPr>
        <w:t xml:space="preserve"> </w:t>
      </w:r>
    </w:p>
    <w:p w14:paraId="1C1C3636"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住所：上海市徐汇区龙田路</w:t>
      </w:r>
      <w:r w:rsidRPr="001D2C2D">
        <w:rPr>
          <w:rFonts w:ascii="Times New Roman" w:hAnsi="Times New Roman" w:hint="eastAsia"/>
          <w:sz w:val="24"/>
        </w:rPr>
        <w:t>190</w:t>
      </w:r>
      <w:r w:rsidRPr="001D2C2D">
        <w:rPr>
          <w:rFonts w:ascii="Times New Roman" w:hAnsi="Times New Roman" w:hint="eastAsia"/>
          <w:sz w:val="24"/>
        </w:rPr>
        <w:t>号</w:t>
      </w:r>
      <w:r w:rsidRPr="001D2C2D">
        <w:rPr>
          <w:rFonts w:ascii="Times New Roman" w:hAnsi="Times New Roman" w:hint="eastAsia"/>
          <w:sz w:val="24"/>
        </w:rPr>
        <w:t>2</w:t>
      </w:r>
      <w:r w:rsidRPr="001D2C2D">
        <w:rPr>
          <w:rFonts w:ascii="Times New Roman" w:hAnsi="Times New Roman" w:hint="eastAsia"/>
          <w:sz w:val="24"/>
        </w:rPr>
        <w:t>号楼</w:t>
      </w:r>
      <w:r w:rsidRPr="001D2C2D">
        <w:rPr>
          <w:rFonts w:ascii="Times New Roman" w:hAnsi="Times New Roman" w:hint="eastAsia"/>
          <w:sz w:val="24"/>
        </w:rPr>
        <w:t>2</w:t>
      </w:r>
      <w:r w:rsidRPr="001D2C2D">
        <w:rPr>
          <w:rFonts w:ascii="Times New Roman" w:hAnsi="Times New Roman" w:hint="eastAsia"/>
          <w:sz w:val="24"/>
        </w:rPr>
        <w:t>层</w:t>
      </w:r>
      <w:r w:rsidRPr="001D2C2D">
        <w:rPr>
          <w:rFonts w:ascii="Times New Roman" w:hAnsi="Times New Roman" w:hint="eastAsia"/>
          <w:sz w:val="24"/>
        </w:rPr>
        <w:t xml:space="preserve"> </w:t>
      </w:r>
    </w:p>
    <w:p w14:paraId="015880ED"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办公地址：上海市徐汇区宛平南路</w:t>
      </w:r>
      <w:r w:rsidRPr="001D2C2D">
        <w:rPr>
          <w:rFonts w:ascii="Times New Roman" w:hAnsi="Times New Roman" w:hint="eastAsia"/>
          <w:sz w:val="24"/>
        </w:rPr>
        <w:t>88</w:t>
      </w:r>
      <w:r w:rsidRPr="001D2C2D">
        <w:rPr>
          <w:rFonts w:ascii="Times New Roman" w:hAnsi="Times New Roman" w:hint="eastAsia"/>
          <w:sz w:val="24"/>
        </w:rPr>
        <w:t>号金座东方财富大厦</w:t>
      </w:r>
    </w:p>
    <w:p w14:paraId="3B56A644"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法定代表人：其实</w:t>
      </w:r>
    </w:p>
    <w:p w14:paraId="063551F4"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电话：（</w:t>
      </w:r>
      <w:r w:rsidRPr="001D2C2D">
        <w:rPr>
          <w:rFonts w:ascii="Times New Roman" w:hAnsi="Times New Roman" w:hint="eastAsia"/>
          <w:sz w:val="24"/>
        </w:rPr>
        <w:t>021</w:t>
      </w:r>
      <w:r w:rsidRPr="001D2C2D">
        <w:rPr>
          <w:rFonts w:ascii="Times New Roman" w:hAnsi="Times New Roman" w:hint="eastAsia"/>
          <w:sz w:val="24"/>
        </w:rPr>
        <w:t>）</w:t>
      </w:r>
      <w:r w:rsidRPr="001D2C2D">
        <w:rPr>
          <w:rFonts w:ascii="Times New Roman" w:hAnsi="Times New Roman" w:hint="eastAsia"/>
          <w:sz w:val="24"/>
        </w:rPr>
        <w:t>54509998</w:t>
      </w:r>
    </w:p>
    <w:p w14:paraId="4695B503"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传真：（</w:t>
      </w:r>
      <w:r w:rsidRPr="001D2C2D">
        <w:rPr>
          <w:rFonts w:ascii="Times New Roman" w:hAnsi="Times New Roman" w:hint="eastAsia"/>
          <w:sz w:val="24"/>
        </w:rPr>
        <w:t>021</w:t>
      </w:r>
      <w:r w:rsidRPr="001D2C2D">
        <w:rPr>
          <w:rFonts w:ascii="Times New Roman" w:hAnsi="Times New Roman" w:hint="eastAsia"/>
          <w:sz w:val="24"/>
        </w:rPr>
        <w:t>）</w:t>
      </w:r>
      <w:r w:rsidRPr="001D2C2D">
        <w:rPr>
          <w:rFonts w:ascii="Times New Roman" w:hAnsi="Times New Roman" w:hint="eastAsia"/>
          <w:sz w:val="24"/>
        </w:rPr>
        <w:t>64385308</w:t>
      </w:r>
    </w:p>
    <w:p w14:paraId="784E16D8"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联系人：屠彦洋</w:t>
      </w:r>
    </w:p>
    <w:p w14:paraId="66CF45BE"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客户服务电话：</w:t>
      </w:r>
      <w:r w:rsidRPr="001D2C2D">
        <w:rPr>
          <w:rFonts w:ascii="Times New Roman" w:hAnsi="Times New Roman" w:hint="eastAsia"/>
          <w:sz w:val="24"/>
        </w:rPr>
        <w:t>400-1818-188</w:t>
      </w:r>
    </w:p>
    <w:p w14:paraId="38B36BCE"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网址：</w:t>
      </w:r>
      <w:r w:rsidRPr="001D2C2D">
        <w:rPr>
          <w:rFonts w:ascii="Times New Roman" w:hAnsi="Times New Roman" w:hint="eastAsia"/>
          <w:sz w:val="24"/>
        </w:rPr>
        <w:t>www.1234567.com.cn</w:t>
      </w:r>
    </w:p>
    <w:p w14:paraId="563B993F"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Pr>
          <w:rFonts w:ascii="Times New Roman" w:hAnsi="Times New Roman" w:hint="eastAsia"/>
          <w:sz w:val="24"/>
        </w:rPr>
        <w:t>（</w:t>
      </w:r>
      <w:r w:rsidRPr="001D2C2D">
        <w:rPr>
          <w:rFonts w:ascii="Times New Roman" w:hAnsi="Times New Roman" w:hint="eastAsia"/>
          <w:sz w:val="24"/>
        </w:rPr>
        <w:t>8</w:t>
      </w:r>
      <w:r>
        <w:rPr>
          <w:rFonts w:ascii="Times New Roman" w:hAnsi="Times New Roman" w:hint="eastAsia"/>
          <w:sz w:val="24"/>
        </w:rPr>
        <w:t>）</w:t>
      </w:r>
      <w:r w:rsidRPr="001D2C2D">
        <w:rPr>
          <w:rFonts w:ascii="Times New Roman" w:hAnsi="Times New Roman" w:hint="eastAsia"/>
          <w:sz w:val="24"/>
        </w:rPr>
        <w:t>深圳市新兰德证券投资咨询有限公司</w:t>
      </w:r>
    </w:p>
    <w:p w14:paraId="4772F6CE"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住所：深圳市福田区华强北路赛格科技园</w:t>
      </w:r>
      <w:r w:rsidRPr="001D2C2D">
        <w:rPr>
          <w:rFonts w:ascii="Times New Roman" w:hAnsi="Times New Roman" w:hint="eastAsia"/>
          <w:sz w:val="24"/>
        </w:rPr>
        <w:t>4</w:t>
      </w:r>
      <w:r w:rsidRPr="001D2C2D">
        <w:rPr>
          <w:rFonts w:ascii="Times New Roman" w:hAnsi="Times New Roman" w:hint="eastAsia"/>
          <w:sz w:val="24"/>
        </w:rPr>
        <w:t>栋</w:t>
      </w:r>
      <w:r w:rsidRPr="001D2C2D">
        <w:rPr>
          <w:rFonts w:ascii="Times New Roman" w:hAnsi="Times New Roman" w:hint="eastAsia"/>
          <w:sz w:val="24"/>
        </w:rPr>
        <w:t>10</w:t>
      </w:r>
      <w:r w:rsidRPr="001D2C2D">
        <w:rPr>
          <w:rFonts w:ascii="Times New Roman" w:hAnsi="Times New Roman" w:hint="eastAsia"/>
          <w:sz w:val="24"/>
        </w:rPr>
        <w:t>层</w:t>
      </w:r>
      <w:r w:rsidRPr="001D2C2D">
        <w:rPr>
          <w:rFonts w:ascii="Times New Roman" w:hAnsi="Times New Roman" w:hint="eastAsia"/>
          <w:sz w:val="24"/>
        </w:rPr>
        <w:t>1006#</w:t>
      </w:r>
    </w:p>
    <w:p w14:paraId="20730C69"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办公地址：北京市西城区金融大街</w:t>
      </w:r>
      <w:r w:rsidRPr="001D2C2D">
        <w:rPr>
          <w:rFonts w:ascii="Times New Roman" w:hAnsi="Times New Roman" w:hint="eastAsia"/>
          <w:sz w:val="24"/>
        </w:rPr>
        <w:t>35</w:t>
      </w:r>
      <w:r w:rsidRPr="001D2C2D">
        <w:rPr>
          <w:rFonts w:ascii="Times New Roman" w:hAnsi="Times New Roman" w:hint="eastAsia"/>
          <w:sz w:val="24"/>
        </w:rPr>
        <w:t>号国际企业大厦</w:t>
      </w:r>
      <w:r w:rsidRPr="001D2C2D">
        <w:rPr>
          <w:rFonts w:ascii="Times New Roman" w:hAnsi="Times New Roman" w:hint="eastAsia"/>
          <w:sz w:val="24"/>
        </w:rPr>
        <w:t>C</w:t>
      </w:r>
      <w:r w:rsidRPr="001D2C2D">
        <w:rPr>
          <w:rFonts w:ascii="Times New Roman" w:hAnsi="Times New Roman" w:hint="eastAsia"/>
          <w:sz w:val="24"/>
        </w:rPr>
        <w:t>座</w:t>
      </w:r>
      <w:r w:rsidRPr="001D2C2D">
        <w:rPr>
          <w:rFonts w:ascii="Times New Roman" w:hAnsi="Times New Roman" w:hint="eastAsia"/>
          <w:sz w:val="24"/>
        </w:rPr>
        <w:t>9</w:t>
      </w:r>
      <w:r w:rsidRPr="001D2C2D">
        <w:rPr>
          <w:rFonts w:ascii="Times New Roman" w:hAnsi="Times New Roman" w:hint="eastAsia"/>
          <w:sz w:val="24"/>
        </w:rPr>
        <w:t>层</w:t>
      </w:r>
    </w:p>
    <w:p w14:paraId="78AFEE3C"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法定代表人：陈操</w:t>
      </w:r>
    </w:p>
    <w:p w14:paraId="105368B0"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电话：（</w:t>
      </w:r>
      <w:r w:rsidRPr="001D2C2D">
        <w:rPr>
          <w:rFonts w:ascii="Times New Roman" w:hAnsi="Times New Roman" w:hint="eastAsia"/>
          <w:sz w:val="24"/>
        </w:rPr>
        <w:t>010</w:t>
      </w:r>
      <w:r w:rsidRPr="001D2C2D">
        <w:rPr>
          <w:rFonts w:ascii="Times New Roman" w:hAnsi="Times New Roman" w:hint="eastAsia"/>
          <w:sz w:val="24"/>
        </w:rPr>
        <w:t>）</w:t>
      </w:r>
      <w:r w:rsidRPr="001D2C2D">
        <w:rPr>
          <w:rFonts w:ascii="Times New Roman" w:hAnsi="Times New Roman" w:hint="eastAsia"/>
          <w:sz w:val="24"/>
        </w:rPr>
        <w:t>58325395</w:t>
      </w:r>
    </w:p>
    <w:p w14:paraId="6AE3E933"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传真：（</w:t>
      </w:r>
      <w:r w:rsidRPr="001D2C2D">
        <w:rPr>
          <w:rFonts w:ascii="Times New Roman" w:hAnsi="Times New Roman" w:hint="eastAsia"/>
          <w:sz w:val="24"/>
        </w:rPr>
        <w:t>010</w:t>
      </w:r>
      <w:r w:rsidRPr="001D2C2D">
        <w:rPr>
          <w:rFonts w:ascii="Times New Roman" w:hAnsi="Times New Roman" w:hint="eastAsia"/>
          <w:sz w:val="24"/>
        </w:rPr>
        <w:t>）</w:t>
      </w:r>
      <w:r w:rsidRPr="001D2C2D">
        <w:rPr>
          <w:rFonts w:ascii="Times New Roman" w:hAnsi="Times New Roman" w:hint="eastAsia"/>
          <w:sz w:val="24"/>
        </w:rPr>
        <w:t>58325282</w:t>
      </w:r>
    </w:p>
    <w:p w14:paraId="44762B62"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联系人：刘宝文</w:t>
      </w:r>
      <w:r w:rsidRPr="001D2C2D">
        <w:rPr>
          <w:rFonts w:ascii="Times New Roman" w:hAnsi="Times New Roman" w:hint="eastAsia"/>
          <w:sz w:val="24"/>
        </w:rPr>
        <w:t xml:space="preserve"> </w:t>
      </w:r>
    </w:p>
    <w:p w14:paraId="046B3123"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客户服务电话：</w:t>
      </w:r>
      <w:r w:rsidRPr="001D2C2D">
        <w:rPr>
          <w:rFonts w:ascii="Times New Roman" w:hAnsi="Times New Roman" w:hint="eastAsia"/>
          <w:sz w:val="24"/>
        </w:rPr>
        <w:t>400-850-7771</w:t>
      </w:r>
    </w:p>
    <w:p w14:paraId="1F48B9B9"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网址：</w:t>
      </w:r>
      <w:r w:rsidRPr="001D2C2D">
        <w:rPr>
          <w:rFonts w:ascii="Times New Roman" w:hAnsi="Times New Roman" w:hint="eastAsia"/>
          <w:sz w:val="24"/>
        </w:rPr>
        <w:t>http://8.jrj.com.cn/</w:t>
      </w:r>
    </w:p>
    <w:p w14:paraId="4409B5EA" w14:textId="7B9F42C2"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Pr>
          <w:rFonts w:ascii="Times New Roman" w:hAnsi="Times New Roman" w:hint="eastAsia"/>
          <w:sz w:val="24"/>
        </w:rPr>
        <w:t>（</w:t>
      </w:r>
      <w:r w:rsidRPr="001D2C2D">
        <w:rPr>
          <w:rFonts w:ascii="Times New Roman" w:hAnsi="Times New Roman" w:hint="eastAsia"/>
          <w:sz w:val="24"/>
        </w:rPr>
        <w:t>9</w:t>
      </w:r>
      <w:r>
        <w:rPr>
          <w:rFonts w:ascii="Times New Roman" w:hAnsi="Times New Roman" w:hint="eastAsia"/>
          <w:sz w:val="24"/>
        </w:rPr>
        <w:t>）</w:t>
      </w:r>
      <w:r w:rsidRPr="001D2C2D">
        <w:rPr>
          <w:rFonts w:ascii="Times New Roman" w:hAnsi="Times New Roman" w:hint="eastAsia"/>
          <w:sz w:val="24"/>
        </w:rPr>
        <w:t>北京展恒基金销售股份有限公司</w:t>
      </w:r>
    </w:p>
    <w:p w14:paraId="4394A554"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住所：北京市顺义区后沙峪镇安富街</w:t>
      </w:r>
      <w:r w:rsidRPr="001D2C2D">
        <w:rPr>
          <w:rFonts w:ascii="Times New Roman" w:hAnsi="Times New Roman" w:hint="eastAsia"/>
          <w:sz w:val="24"/>
        </w:rPr>
        <w:t>6</w:t>
      </w:r>
      <w:r w:rsidRPr="001D2C2D">
        <w:rPr>
          <w:rFonts w:ascii="Times New Roman" w:hAnsi="Times New Roman" w:hint="eastAsia"/>
          <w:sz w:val="24"/>
        </w:rPr>
        <w:t>号</w:t>
      </w:r>
    </w:p>
    <w:p w14:paraId="389760C2"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办公地址：北京市朝阳区安苑路</w:t>
      </w:r>
      <w:r w:rsidRPr="001D2C2D">
        <w:rPr>
          <w:rFonts w:ascii="Times New Roman" w:hAnsi="Times New Roman" w:hint="eastAsia"/>
          <w:sz w:val="24"/>
        </w:rPr>
        <w:t>15-1</w:t>
      </w:r>
      <w:r w:rsidRPr="001D2C2D">
        <w:rPr>
          <w:rFonts w:ascii="Times New Roman" w:hAnsi="Times New Roman" w:hint="eastAsia"/>
          <w:sz w:val="24"/>
        </w:rPr>
        <w:t>号邮电新闻大厦</w:t>
      </w:r>
      <w:r w:rsidRPr="001D2C2D">
        <w:rPr>
          <w:rFonts w:ascii="Times New Roman" w:hAnsi="Times New Roman" w:hint="eastAsia"/>
          <w:sz w:val="24"/>
        </w:rPr>
        <w:t>2</w:t>
      </w:r>
      <w:r w:rsidRPr="001D2C2D">
        <w:rPr>
          <w:rFonts w:ascii="Times New Roman" w:hAnsi="Times New Roman" w:hint="eastAsia"/>
          <w:sz w:val="24"/>
        </w:rPr>
        <w:t>层</w:t>
      </w:r>
    </w:p>
    <w:p w14:paraId="2267B2C4"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法定代表人：闫振杰</w:t>
      </w:r>
    </w:p>
    <w:p w14:paraId="7F41DD32"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电话：（</w:t>
      </w:r>
      <w:r w:rsidRPr="001D2C2D">
        <w:rPr>
          <w:rFonts w:ascii="Times New Roman" w:hAnsi="Times New Roman" w:hint="eastAsia"/>
          <w:sz w:val="24"/>
        </w:rPr>
        <w:t>010</w:t>
      </w:r>
      <w:r w:rsidRPr="001D2C2D">
        <w:rPr>
          <w:rFonts w:ascii="Times New Roman" w:hAnsi="Times New Roman" w:hint="eastAsia"/>
          <w:sz w:val="24"/>
        </w:rPr>
        <w:t>）</w:t>
      </w:r>
      <w:r w:rsidRPr="001D2C2D">
        <w:rPr>
          <w:rFonts w:ascii="Times New Roman" w:hAnsi="Times New Roman" w:hint="eastAsia"/>
          <w:sz w:val="24"/>
        </w:rPr>
        <w:t>59601366-7024</w:t>
      </w:r>
    </w:p>
    <w:p w14:paraId="1CCFB8C2"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传真：（</w:t>
      </w:r>
      <w:r w:rsidRPr="001D2C2D">
        <w:rPr>
          <w:rFonts w:ascii="Times New Roman" w:hAnsi="Times New Roman" w:hint="eastAsia"/>
          <w:sz w:val="24"/>
        </w:rPr>
        <w:t>010</w:t>
      </w:r>
      <w:r w:rsidRPr="001D2C2D">
        <w:rPr>
          <w:rFonts w:ascii="Times New Roman" w:hAnsi="Times New Roman" w:hint="eastAsia"/>
          <w:sz w:val="24"/>
        </w:rPr>
        <w:t>）</w:t>
      </w:r>
      <w:r w:rsidRPr="001D2C2D">
        <w:rPr>
          <w:rFonts w:ascii="Times New Roman" w:hAnsi="Times New Roman" w:hint="eastAsia"/>
          <w:sz w:val="24"/>
        </w:rPr>
        <w:t>62020355</w:t>
      </w:r>
    </w:p>
    <w:p w14:paraId="67EFAC09"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联系人：</w:t>
      </w:r>
      <w:r w:rsidRPr="001D2C2D">
        <w:rPr>
          <w:rFonts w:ascii="Times New Roman" w:hAnsi="Times New Roman" w:hint="eastAsia"/>
          <w:sz w:val="24"/>
        </w:rPr>
        <w:t xml:space="preserve">  </w:t>
      </w:r>
      <w:r w:rsidRPr="001D2C2D">
        <w:rPr>
          <w:rFonts w:ascii="Times New Roman" w:hAnsi="Times New Roman" w:hint="eastAsia"/>
          <w:sz w:val="24"/>
        </w:rPr>
        <w:t>马林</w:t>
      </w:r>
    </w:p>
    <w:p w14:paraId="70A7D2FF"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客户服务电话：</w:t>
      </w:r>
      <w:r w:rsidRPr="001D2C2D">
        <w:rPr>
          <w:rFonts w:ascii="Times New Roman" w:hAnsi="Times New Roman" w:hint="eastAsia"/>
          <w:sz w:val="24"/>
        </w:rPr>
        <w:t>400-888-6661</w:t>
      </w:r>
    </w:p>
    <w:p w14:paraId="715678E5"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网址：</w:t>
      </w:r>
      <w:r w:rsidRPr="001D2C2D">
        <w:rPr>
          <w:rFonts w:ascii="Times New Roman" w:hAnsi="Times New Roman" w:hint="eastAsia"/>
          <w:sz w:val="24"/>
        </w:rPr>
        <w:t xml:space="preserve">www.myfund.com </w:t>
      </w:r>
    </w:p>
    <w:p w14:paraId="1D68D790"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Pr>
          <w:rFonts w:ascii="Times New Roman" w:hAnsi="Times New Roman" w:hint="eastAsia"/>
          <w:sz w:val="24"/>
        </w:rPr>
        <w:t>（</w:t>
      </w:r>
      <w:r w:rsidRPr="001D2C2D">
        <w:rPr>
          <w:rFonts w:ascii="Times New Roman" w:hAnsi="Times New Roman" w:hint="eastAsia"/>
          <w:sz w:val="24"/>
        </w:rPr>
        <w:t>10</w:t>
      </w:r>
      <w:r>
        <w:rPr>
          <w:rFonts w:ascii="Times New Roman" w:hAnsi="Times New Roman" w:hint="eastAsia"/>
          <w:sz w:val="24"/>
        </w:rPr>
        <w:t>）</w:t>
      </w:r>
      <w:r w:rsidRPr="001D2C2D">
        <w:rPr>
          <w:rFonts w:ascii="Times New Roman" w:hAnsi="Times New Roman" w:hint="eastAsia"/>
          <w:sz w:val="24"/>
        </w:rPr>
        <w:t>上海大智慧基金销售有限公司</w:t>
      </w:r>
    </w:p>
    <w:p w14:paraId="5A227837"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lastRenderedPageBreak/>
        <w:t>住所：上海市浦东新区杨高南路</w:t>
      </w:r>
      <w:r w:rsidRPr="001D2C2D">
        <w:rPr>
          <w:rFonts w:ascii="Times New Roman" w:hAnsi="Times New Roman" w:hint="eastAsia"/>
          <w:sz w:val="24"/>
        </w:rPr>
        <w:t>428</w:t>
      </w:r>
      <w:r w:rsidRPr="001D2C2D">
        <w:rPr>
          <w:rFonts w:ascii="Times New Roman" w:hAnsi="Times New Roman" w:hint="eastAsia"/>
          <w:sz w:val="24"/>
        </w:rPr>
        <w:t>号</w:t>
      </w:r>
      <w:r w:rsidRPr="001D2C2D">
        <w:rPr>
          <w:rFonts w:ascii="Times New Roman" w:hAnsi="Times New Roman" w:hint="eastAsia"/>
          <w:sz w:val="24"/>
        </w:rPr>
        <w:t>1</w:t>
      </w:r>
      <w:r w:rsidRPr="001D2C2D">
        <w:rPr>
          <w:rFonts w:ascii="Times New Roman" w:hAnsi="Times New Roman" w:hint="eastAsia"/>
          <w:sz w:val="24"/>
        </w:rPr>
        <w:t>号楼</w:t>
      </w:r>
      <w:r w:rsidRPr="001D2C2D">
        <w:rPr>
          <w:rFonts w:ascii="Times New Roman" w:hAnsi="Times New Roman" w:hint="eastAsia"/>
          <w:sz w:val="24"/>
        </w:rPr>
        <w:t>10-11</w:t>
      </w:r>
      <w:r w:rsidRPr="001D2C2D">
        <w:rPr>
          <w:rFonts w:ascii="Times New Roman" w:hAnsi="Times New Roman" w:hint="eastAsia"/>
          <w:sz w:val="24"/>
        </w:rPr>
        <w:t>层</w:t>
      </w:r>
      <w:r w:rsidRPr="001D2C2D">
        <w:rPr>
          <w:rFonts w:ascii="Times New Roman" w:hAnsi="Times New Roman" w:hint="eastAsia"/>
          <w:sz w:val="24"/>
        </w:rPr>
        <w:t xml:space="preserve"> </w:t>
      </w:r>
    </w:p>
    <w:p w14:paraId="776ACC10"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办公地址：上海市浦东新区杨高南路</w:t>
      </w:r>
      <w:r w:rsidRPr="001D2C2D">
        <w:rPr>
          <w:rFonts w:ascii="Times New Roman" w:hAnsi="Times New Roman" w:hint="eastAsia"/>
          <w:sz w:val="24"/>
        </w:rPr>
        <w:t>428</w:t>
      </w:r>
      <w:r w:rsidRPr="001D2C2D">
        <w:rPr>
          <w:rFonts w:ascii="Times New Roman" w:hAnsi="Times New Roman" w:hint="eastAsia"/>
          <w:sz w:val="24"/>
        </w:rPr>
        <w:t>号</w:t>
      </w:r>
      <w:r w:rsidRPr="001D2C2D">
        <w:rPr>
          <w:rFonts w:ascii="Times New Roman" w:hAnsi="Times New Roman" w:hint="eastAsia"/>
          <w:sz w:val="24"/>
        </w:rPr>
        <w:t>1</w:t>
      </w:r>
      <w:r w:rsidRPr="001D2C2D">
        <w:rPr>
          <w:rFonts w:ascii="Times New Roman" w:hAnsi="Times New Roman" w:hint="eastAsia"/>
          <w:sz w:val="24"/>
        </w:rPr>
        <w:t>号楼</w:t>
      </w:r>
      <w:r w:rsidRPr="001D2C2D">
        <w:rPr>
          <w:rFonts w:ascii="Times New Roman" w:hAnsi="Times New Roman" w:hint="eastAsia"/>
          <w:sz w:val="24"/>
        </w:rPr>
        <w:t>10-11</w:t>
      </w:r>
      <w:r w:rsidRPr="001D2C2D">
        <w:rPr>
          <w:rFonts w:ascii="Times New Roman" w:hAnsi="Times New Roman" w:hint="eastAsia"/>
          <w:sz w:val="24"/>
        </w:rPr>
        <w:t>层</w:t>
      </w:r>
      <w:r w:rsidRPr="001D2C2D">
        <w:rPr>
          <w:rFonts w:ascii="Times New Roman" w:hAnsi="Times New Roman" w:hint="eastAsia"/>
          <w:sz w:val="24"/>
        </w:rPr>
        <w:t xml:space="preserve"> </w:t>
      </w:r>
    </w:p>
    <w:p w14:paraId="57238C34"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法定代表人：申健</w:t>
      </w:r>
    </w:p>
    <w:p w14:paraId="09C6939D"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电话：</w:t>
      </w:r>
      <w:r w:rsidRPr="001D2C2D">
        <w:rPr>
          <w:rFonts w:ascii="Times New Roman" w:hAnsi="Times New Roman" w:hint="eastAsia"/>
          <w:sz w:val="24"/>
        </w:rPr>
        <w:t>021-0219988-35374</w:t>
      </w:r>
    </w:p>
    <w:p w14:paraId="2219B704"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传真：</w:t>
      </w:r>
      <w:r w:rsidRPr="001D2C2D">
        <w:rPr>
          <w:rFonts w:ascii="Times New Roman" w:hAnsi="Times New Roman" w:hint="eastAsia"/>
          <w:sz w:val="24"/>
        </w:rPr>
        <w:t>021-20219923</w:t>
      </w:r>
    </w:p>
    <w:p w14:paraId="4F8EEB25"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联系人：张蜓</w:t>
      </w:r>
      <w:r w:rsidRPr="001D2C2D">
        <w:rPr>
          <w:rFonts w:ascii="Times New Roman" w:hAnsi="Times New Roman" w:hint="eastAsia"/>
          <w:sz w:val="24"/>
        </w:rPr>
        <w:t xml:space="preserve"> </w:t>
      </w:r>
    </w:p>
    <w:p w14:paraId="38DFCA5A"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客户服务电话：</w:t>
      </w:r>
      <w:r w:rsidRPr="001D2C2D">
        <w:rPr>
          <w:rFonts w:ascii="Times New Roman" w:hAnsi="Times New Roman" w:hint="eastAsia"/>
          <w:sz w:val="24"/>
        </w:rPr>
        <w:t>021-20292031</w:t>
      </w:r>
    </w:p>
    <w:p w14:paraId="7C62A559"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网址：</w:t>
      </w:r>
      <w:r w:rsidRPr="001D2C2D">
        <w:rPr>
          <w:rFonts w:ascii="Times New Roman" w:hAnsi="Times New Roman" w:hint="eastAsia"/>
          <w:sz w:val="24"/>
        </w:rPr>
        <w:t>https://www.wg.com.cn</w:t>
      </w:r>
    </w:p>
    <w:p w14:paraId="6F6E528C"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Pr>
          <w:rFonts w:ascii="Times New Roman" w:hAnsi="Times New Roman" w:hint="eastAsia"/>
          <w:sz w:val="24"/>
        </w:rPr>
        <w:t>（</w:t>
      </w:r>
      <w:r w:rsidRPr="001D2C2D">
        <w:rPr>
          <w:rFonts w:ascii="Times New Roman" w:hAnsi="Times New Roman" w:hint="eastAsia"/>
          <w:sz w:val="24"/>
        </w:rPr>
        <w:t>11</w:t>
      </w:r>
      <w:r>
        <w:rPr>
          <w:rFonts w:ascii="Times New Roman" w:hAnsi="Times New Roman" w:hint="eastAsia"/>
          <w:sz w:val="24"/>
        </w:rPr>
        <w:t>）</w:t>
      </w:r>
      <w:r w:rsidRPr="001D2C2D">
        <w:rPr>
          <w:rFonts w:ascii="Times New Roman" w:hAnsi="Times New Roman" w:hint="eastAsia"/>
          <w:sz w:val="24"/>
        </w:rPr>
        <w:t>上海联泰基金销售有限公司</w:t>
      </w:r>
    </w:p>
    <w:p w14:paraId="7661B194"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住所：上海市普陀区兰溪路</w:t>
      </w:r>
      <w:r w:rsidRPr="001D2C2D">
        <w:rPr>
          <w:rFonts w:ascii="Times New Roman" w:hAnsi="Times New Roman" w:hint="eastAsia"/>
          <w:sz w:val="24"/>
        </w:rPr>
        <w:t>900</w:t>
      </w:r>
      <w:r w:rsidRPr="001D2C2D">
        <w:rPr>
          <w:rFonts w:ascii="Times New Roman" w:hAnsi="Times New Roman" w:hint="eastAsia"/>
          <w:sz w:val="24"/>
        </w:rPr>
        <w:t>弄</w:t>
      </w:r>
      <w:r w:rsidRPr="001D2C2D">
        <w:rPr>
          <w:rFonts w:ascii="Times New Roman" w:hAnsi="Times New Roman" w:hint="eastAsia"/>
          <w:sz w:val="24"/>
        </w:rPr>
        <w:t>15</w:t>
      </w:r>
      <w:r w:rsidRPr="001D2C2D">
        <w:rPr>
          <w:rFonts w:ascii="Times New Roman" w:hAnsi="Times New Roman" w:hint="eastAsia"/>
          <w:sz w:val="24"/>
        </w:rPr>
        <w:t>号</w:t>
      </w:r>
      <w:r w:rsidRPr="001D2C2D">
        <w:rPr>
          <w:rFonts w:ascii="Times New Roman" w:hAnsi="Times New Roman" w:hint="eastAsia"/>
          <w:sz w:val="24"/>
        </w:rPr>
        <w:t>526</w:t>
      </w:r>
      <w:r w:rsidRPr="001D2C2D">
        <w:rPr>
          <w:rFonts w:ascii="Times New Roman" w:hAnsi="Times New Roman" w:hint="eastAsia"/>
          <w:sz w:val="24"/>
        </w:rPr>
        <w:t>室</w:t>
      </w:r>
    </w:p>
    <w:p w14:paraId="1CE66A30"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办公地址：上海市虹口区临潼路</w:t>
      </w:r>
      <w:r w:rsidRPr="001D2C2D">
        <w:rPr>
          <w:rFonts w:ascii="Times New Roman" w:hAnsi="Times New Roman" w:hint="eastAsia"/>
          <w:sz w:val="24"/>
        </w:rPr>
        <w:t>188</w:t>
      </w:r>
      <w:r w:rsidRPr="001D2C2D">
        <w:rPr>
          <w:rFonts w:ascii="Times New Roman" w:hAnsi="Times New Roman" w:hint="eastAsia"/>
          <w:sz w:val="24"/>
        </w:rPr>
        <w:t>号</w:t>
      </w:r>
    </w:p>
    <w:p w14:paraId="4E846ACF"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法定代表人：尹彬彬</w:t>
      </w:r>
    </w:p>
    <w:p w14:paraId="490269F4"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电话：</w:t>
      </w:r>
      <w:r w:rsidRPr="001D2C2D">
        <w:rPr>
          <w:rFonts w:ascii="Times New Roman" w:hAnsi="Times New Roman" w:hint="eastAsia"/>
          <w:sz w:val="24"/>
        </w:rPr>
        <w:t>021-52822063</w:t>
      </w:r>
    </w:p>
    <w:p w14:paraId="7CA79EE9"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传真：</w:t>
      </w:r>
      <w:r w:rsidRPr="001D2C2D">
        <w:rPr>
          <w:rFonts w:ascii="Times New Roman" w:hAnsi="Times New Roman" w:hint="eastAsia"/>
          <w:sz w:val="24"/>
        </w:rPr>
        <w:t>021-52975270</w:t>
      </w:r>
    </w:p>
    <w:p w14:paraId="458858B7"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联系人：兰敏</w:t>
      </w:r>
    </w:p>
    <w:p w14:paraId="1AC038ED"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客户服务电话：</w:t>
      </w:r>
      <w:r w:rsidRPr="001D2C2D">
        <w:rPr>
          <w:rFonts w:ascii="Times New Roman" w:hAnsi="Times New Roman" w:hint="eastAsia"/>
          <w:sz w:val="24"/>
        </w:rPr>
        <w:t>400-118-1188</w:t>
      </w:r>
    </w:p>
    <w:p w14:paraId="5B54AAC5"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网址：</w:t>
      </w:r>
      <w:r w:rsidRPr="001D2C2D">
        <w:rPr>
          <w:rFonts w:ascii="Times New Roman" w:hAnsi="Times New Roman" w:hint="eastAsia"/>
          <w:sz w:val="24"/>
        </w:rPr>
        <w:t>www.66liantai.com</w:t>
      </w:r>
    </w:p>
    <w:p w14:paraId="5A283D21"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Pr>
          <w:rFonts w:ascii="Times New Roman" w:hAnsi="Times New Roman" w:hint="eastAsia"/>
          <w:sz w:val="24"/>
        </w:rPr>
        <w:t>（</w:t>
      </w:r>
      <w:r w:rsidRPr="001D2C2D">
        <w:rPr>
          <w:rFonts w:ascii="Times New Roman" w:hAnsi="Times New Roman" w:hint="eastAsia"/>
          <w:sz w:val="24"/>
        </w:rPr>
        <w:t>12</w:t>
      </w:r>
      <w:r>
        <w:rPr>
          <w:rFonts w:ascii="Times New Roman" w:hAnsi="Times New Roman" w:hint="eastAsia"/>
          <w:sz w:val="24"/>
        </w:rPr>
        <w:t>）</w:t>
      </w:r>
      <w:r w:rsidRPr="001D2C2D">
        <w:rPr>
          <w:rFonts w:ascii="Times New Roman" w:hAnsi="Times New Roman" w:hint="eastAsia"/>
          <w:sz w:val="24"/>
        </w:rPr>
        <w:t>宜信普泽投资顾问（北京）有限公司</w:t>
      </w:r>
    </w:p>
    <w:p w14:paraId="54BDF49A"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住所：北京市朝阳区建国路</w:t>
      </w:r>
      <w:r w:rsidRPr="001D2C2D">
        <w:rPr>
          <w:rFonts w:ascii="Times New Roman" w:hAnsi="Times New Roman" w:hint="eastAsia"/>
          <w:sz w:val="24"/>
        </w:rPr>
        <w:t>88</w:t>
      </w:r>
      <w:r w:rsidRPr="001D2C2D">
        <w:rPr>
          <w:rFonts w:ascii="Times New Roman" w:hAnsi="Times New Roman" w:hint="eastAsia"/>
          <w:sz w:val="24"/>
        </w:rPr>
        <w:t>号</w:t>
      </w:r>
      <w:r w:rsidRPr="001D2C2D">
        <w:rPr>
          <w:rFonts w:ascii="Times New Roman" w:hAnsi="Times New Roman" w:hint="eastAsia"/>
          <w:sz w:val="24"/>
        </w:rPr>
        <w:t>9</w:t>
      </w:r>
      <w:r w:rsidRPr="001D2C2D">
        <w:rPr>
          <w:rFonts w:ascii="Times New Roman" w:hAnsi="Times New Roman" w:hint="eastAsia"/>
          <w:sz w:val="24"/>
        </w:rPr>
        <w:t>号楼</w:t>
      </w:r>
      <w:r w:rsidRPr="001D2C2D">
        <w:rPr>
          <w:rFonts w:ascii="Times New Roman" w:hAnsi="Times New Roman" w:hint="eastAsia"/>
          <w:sz w:val="24"/>
        </w:rPr>
        <w:t>15</w:t>
      </w:r>
      <w:r w:rsidRPr="001D2C2D">
        <w:rPr>
          <w:rFonts w:ascii="Times New Roman" w:hAnsi="Times New Roman" w:hint="eastAsia"/>
          <w:sz w:val="24"/>
        </w:rPr>
        <w:t>层</w:t>
      </w:r>
      <w:r w:rsidRPr="001D2C2D">
        <w:rPr>
          <w:rFonts w:ascii="Times New Roman" w:hAnsi="Times New Roman" w:hint="eastAsia"/>
          <w:sz w:val="24"/>
        </w:rPr>
        <w:t xml:space="preserve">1809 </w:t>
      </w:r>
    </w:p>
    <w:p w14:paraId="165D9B14"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办公地址：北京市朝阳区建国路</w:t>
      </w:r>
      <w:r w:rsidRPr="001D2C2D">
        <w:rPr>
          <w:rFonts w:ascii="Times New Roman" w:hAnsi="Times New Roman" w:hint="eastAsia"/>
          <w:sz w:val="24"/>
        </w:rPr>
        <w:t>88</w:t>
      </w:r>
      <w:r w:rsidRPr="001D2C2D">
        <w:rPr>
          <w:rFonts w:ascii="Times New Roman" w:hAnsi="Times New Roman" w:hint="eastAsia"/>
          <w:sz w:val="24"/>
        </w:rPr>
        <w:t>号</w:t>
      </w:r>
      <w:r w:rsidRPr="001D2C2D">
        <w:rPr>
          <w:rFonts w:ascii="Times New Roman" w:hAnsi="Times New Roman" w:hint="eastAsia"/>
          <w:sz w:val="24"/>
        </w:rPr>
        <w:t>SOHO</w:t>
      </w:r>
      <w:r w:rsidRPr="001D2C2D">
        <w:rPr>
          <w:rFonts w:ascii="Times New Roman" w:hAnsi="Times New Roman" w:hint="eastAsia"/>
          <w:sz w:val="24"/>
        </w:rPr>
        <w:t>现代城</w:t>
      </w:r>
      <w:r w:rsidRPr="001D2C2D">
        <w:rPr>
          <w:rFonts w:ascii="Times New Roman" w:hAnsi="Times New Roman" w:hint="eastAsia"/>
          <w:sz w:val="24"/>
        </w:rPr>
        <w:t>C</w:t>
      </w:r>
      <w:r w:rsidRPr="001D2C2D">
        <w:rPr>
          <w:rFonts w:ascii="Times New Roman" w:hAnsi="Times New Roman" w:hint="eastAsia"/>
          <w:sz w:val="24"/>
        </w:rPr>
        <w:t>座</w:t>
      </w:r>
      <w:r w:rsidRPr="001D2C2D">
        <w:rPr>
          <w:rFonts w:ascii="Times New Roman" w:hAnsi="Times New Roman" w:hint="eastAsia"/>
          <w:sz w:val="24"/>
        </w:rPr>
        <w:t>1809</w:t>
      </w:r>
    </w:p>
    <w:p w14:paraId="20130DA8"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法定代表人：沈伟桦</w:t>
      </w:r>
    </w:p>
    <w:p w14:paraId="15FFB323"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电话：</w:t>
      </w:r>
      <w:r w:rsidRPr="001D2C2D">
        <w:rPr>
          <w:rFonts w:ascii="Times New Roman" w:hAnsi="Times New Roman" w:hint="eastAsia"/>
          <w:sz w:val="24"/>
        </w:rPr>
        <w:t>010-52855713</w:t>
      </w:r>
    </w:p>
    <w:p w14:paraId="0D87F5AC"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传真：</w:t>
      </w:r>
      <w:r w:rsidRPr="001D2C2D">
        <w:rPr>
          <w:rFonts w:ascii="Times New Roman" w:hAnsi="Times New Roman" w:hint="eastAsia"/>
          <w:sz w:val="24"/>
        </w:rPr>
        <w:t>010-85894285</w:t>
      </w:r>
    </w:p>
    <w:p w14:paraId="33E8848D"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联系人：程刚</w:t>
      </w:r>
    </w:p>
    <w:p w14:paraId="7A31F07B"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客户服务电话：</w:t>
      </w:r>
      <w:r w:rsidRPr="001D2C2D">
        <w:rPr>
          <w:rFonts w:ascii="Times New Roman" w:hAnsi="Times New Roman" w:hint="eastAsia"/>
          <w:sz w:val="24"/>
        </w:rPr>
        <w:t>400-6099-200</w:t>
      </w:r>
    </w:p>
    <w:p w14:paraId="68E3A806"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网址：</w:t>
      </w:r>
      <w:r w:rsidRPr="001D2C2D">
        <w:rPr>
          <w:rFonts w:ascii="Times New Roman" w:hAnsi="Times New Roman" w:hint="eastAsia"/>
          <w:sz w:val="24"/>
        </w:rPr>
        <w:t>www.yixinfund.com</w:t>
      </w:r>
    </w:p>
    <w:p w14:paraId="00B1EC70"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Pr>
          <w:rFonts w:ascii="Times New Roman" w:hAnsi="Times New Roman" w:hint="eastAsia"/>
          <w:sz w:val="24"/>
        </w:rPr>
        <w:t>（</w:t>
      </w:r>
      <w:r w:rsidRPr="001D2C2D">
        <w:rPr>
          <w:rFonts w:ascii="Times New Roman" w:hAnsi="Times New Roman" w:hint="eastAsia"/>
          <w:sz w:val="24"/>
        </w:rPr>
        <w:t>13</w:t>
      </w:r>
      <w:r>
        <w:rPr>
          <w:rFonts w:ascii="Times New Roman" w:hAnsi="Times New Roman" w:hint="eastAsia"/>
          <w:sz w:val="24"/>
        </w:rPr>
        <w:t>）</w:t>
      </w:r>
      <w:r w:rsidRPr="001D2C2D">
        <w:rPr>
          <w:rFonts w:ascii="Times New Roman" w:hAnsi="Times New Roman" w:hint="eastAsia"/>
          <w:sz w:val="24"/>
        </w:rPr>
        <w:t>浙江同花顺基金销售有限公司</w:t>
      </w:r>
    </w:p>
    <w:p w14:paraId="44C83AA3"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住所：浙江省杭州市文二西路</w:t>
      </w:r>
      <w:r w:rsidRPr="001D2C2D">
        <w:rPr>
          <w:rFonts w:ascii="Times New Roman" w:hAnsi="Times New Roman" w:hint="eastAsia"/>
          <w:sz w:val="24"/>
        </w:rPr>
        <w:t>1</w:t>
      </w:r>
      <w:r w:rsidRPr="001D2C2D">
        <w:rPr>
          <w:rFonts w:ascii="Times New Roman" w:hAnsi="Times New Roman" w:hint="eastAsia"/>
          <w:sz w:val="24"/>
        </w:rPr>
        <w:t>号元茂大厦</w:t>
      </w:r>
      <w:r w:rsidRPr="001D2C2D">
        <w:rPr>
          <w:rFonts w:ascii="Times New Roman" w:hAnsi="Times New Roman" w:hint="eastAsia"/>
          <w:sz w:val="24"/>
        </w:rPr>
        <w:t>903</w:t>
      </w:r>
    </w:p>
    <w:p w14:paraId="507E50AA"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办公地址：浙江杭州余杭区五常街道同顺街</w:t>
      </w:r>
      <w:r w:rsidRPr="001D2C2D">
        <w:rPr>
          <w:rFonts w:ascii="Times New Roman" w:hAnsi="Times New Roman" w:hint="eastAsia"/>
          <w:sz w:val="24"/>
        </w:rPr>
        <w:t>18</w:t>
      </w:r>
      <w:r w:rsidRPr="001D2C2D">
        <w:rPr>
          <w:rFonts w:ascii="Times New Roman" w:hAnsi="Times New Roman" w:hint="eastAsia"/>
          <w:sz w:val="24"/>
        </w:rPr>
        <w:t>号</w:t>
      </w:r>
    </w:p>
    <w:p w14:paraId="18E959B6"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法定代表人：吴强</w:t>
      </w:r>
    </w:p>
    <w:p w14:paraId="4B234753"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lastRenderedPageBreak/>
        <w:t>电话：（</w:t>
      </w:r>
      <w:r w:rsidRPr="001D2C2D">
        <w:rPr>
          <w:rFonts w:ascii="Times New Roman" w:hAnsi="Times New Roman" w:hint="eastAsia"/>
          <w:sz w:val="24"/>
        </w:rPr>
        <w:t>0571</w:t>
      </w:r>
      <w:r w:rsidRPr="001D2C2D">
        <w:rPr>
          <w:rFonts w:ascii="Times New Roman" w:hAnsi="Times New Roman" w:hint="eastAsia"/>
          <w:sz w:val="24"/>
        </w:rPr>
        <w:t>）</w:t>
      </w:r>
      <w:r w:rsidRPr="001D2C2D">
        <w:rPr>
          <w:rFonts w:ascii="Times New Roman" w:hAnsi="Times New Roman" w:hint="eastAsia"/>
          <w:sz w:val="24"/>
        </w:rPr>
        <w:t>88911818</w:t>
      </w:r>
    </w:p>
    <w:p w14:paraId="23741B70"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传真：（</w:t>
      </w:r>
      <w:r w:rsidRPr="001D2C2D">
        <w:rPr>
          <w:rFonts w:ascii="Times New Roman" w:hAnsi="Times New Roman" w:hint="eastAsia"/>
          <w:sz w:val="24"/>
        </w:rPr>
        <w:t>0571</w:t>
      </w:r>
      <w:r w:rsidRPr="001D2C2D">
        <w:rPr>
          <w:rFonts w:ascii="Times New Roman" w:hAnsi="Times New Roman" w:hint="eastAsia"/>
          <w:sz w:val="24"/>
        </w:rPr>
        <w:t>）</w:t>
      </w:r>
      <w:r w:rsidRPr="001D2C2D">
        <w:rPr>
          <w:rFonts w:ascii="Times New Roman" w:hAnsi="Times New Roman" w:hint="eastAsia"/>
          <w:sz w:val="24"/>
        </w:rPr>
        <w:t>86800423</w:t>
      </w:r>
    </w:p>
    <w:p w14:paraId="384D5AD3"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联系人：吴强</w:t>
      </w:r>
    </w:p>
    <w:p w14:paraId="0AA220E7"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客户服务电话：</w:t>
      </w:r>
      <w:r w:rsidRPr="001D2C2D">
        <w:rPr>
          <w:rFonts w:ascii="Times New Roman" w:hAnsi="Times New Roman" w:hint="eastAsia"/>
          <w:sz w:val="24"/>
        </w:rPr>
        <w:t>952555</w:t>
      </w:r>
    </w:p>
    <w:p w14:paraId="08D50601"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网址：</w:t>
      </w:r>
      <w:r w:rsidRPr="001D2C2D">
        <w:rPr>
          <w:rFonts w:ascii="Times New Roman" w:hAnsi="Times New Roman" w:hint="eastAsia"/>
          <w:sz w:val="24"/>
        </w:rPr>
        <w:t>https://fund.10jqka.com.cn/</w:t>
      </w:r>
    </w:p>
    <w:p w14:paraId="6F53FDCC"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Pr>
          <w:rFonts w:ascii="Times New Roman" w:hAnsi="Times New Roman" w:hint="eastAsia"/>
          <w:sz w:val="24"/>
        </w:rPr>
        <w:t>（</w:t>
      </w:r>
      <w:r w:rsidRPr="001D2C2D">
        <w:rPr>
          <w:rFonts w:ascii="Times New Roman" w:hAnsi="Times New Roman" w:hint="eastAsia"/>
          <w:sz w:val="24"/>
        </w:rPr>
        <w:t>14</w:t>
      </w:r>
      <w:r>
        <w:rPr>
          <w:rFonts w:ascii="Times New Roman" w:hAnsi="Times New Roman" w:hint="eastAsia"/>
          <w:sz w:val="24"/>
        </w:rPr>
        <w:t>）</w:t>
      </w:r>
      <w:r w:rsidRPr="001D2C2D">
        <w:rPr>
          <w:rFonts w:ascii="Times New Roman" w:hAnsi="Times New Roman" w:hint="eastAsia"/>
          <w:sz w:val="24"/>
        </w:rPr>
        <w:t>上海基煜基金销售有限公司</w:t>
      </w:r>
    </w:p>
    <w:p w14:paraId="043C661C"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住所：上海市崇明县长兴镇路潘园公路</w:t>
      </w:r>
      <w:r w:rsidRPr="001D2C2D">
        <w:rPr>
          <w:rFonts w:ascii="Times New Roman" w:hAnsi="Times New Roman" w:hint="eastAsia"/>
          <w:sz w:val="24"/>
        </w:rPr>
        <w:t>1800</w:t>
      </w:r>
      <w:r w:rsidRPr="001D2C2D">
        <w:rPr>
          <w:rFonts w:ascii="Times New Roman" w:hAnsi="Times New Roman" w:hint="eastAsia"/>
          <w:sz w:val="24"/>
        </w:rPr>
        <w:t>号</w:t>
      </w:r>
      <w:r w:rsidRPr="001D2C2D">
        <w:rPr>
          <w:rFonts w:ascii="Times New Roman" w:hAnsi="Times New Roman" w:hint="eastAsia"/>
          <w:sz w:val="24"/>
        </w:rPr>
        <w:t>2</w:t>
      </w:r>
      <w:r w:rsidRPr="001D2C2D">
        <w:rPr>
          <w:rFonts w:ascii="Times New Roman" w:hAnsi="Times New Roman" w:hint="eastAsia"/>
          <w:sz w:val="24"/>
        </w:rPr>
        <w:t>号楼</w:t>
      </w:r>
      <w:r w:rsidRPr="001D2C2D">
        <w:rPr>
          <w:rFonts w:ascii="Times New Roman" w:hAnsi="Times New Roman" w:hint="eastAsia"/>
          <w:sz w:val="24"/>
        </w:rPr>
        <w:t>6153</w:t>
      </w:r>
      <w:r w:rsidRPr="001D2C2D">
        <w:rPr>
          <w:rFonts w:ascii="Times New Roman" w:hAnsi="Times New Roman" w:hint="eastAsia"/>
          <w:sz w:val="24"/>
        </w:rPr>
        <w:t>室（上海泰和经济发展区）</w:t>
      </w:r>
      <w:r w:rsidRPr="001D2C2D">
        <w:rPr>
          <w:rFonts w:ascii="Times New Roman" w:hAnsi="Times New Roman" w:hint="eastAsia"/>
          <w:sz w:val="24"/>
        </w:rPr>
        <w:t xml:space="preserve"> </w:t>
      </w:r>
    </w:p>
    <w:p w14:paraId="1C260256"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办公地址：上海市杨浦区昆明路</w:t>
      </w:r>
      <w:r w:rsidRPr="001D2C2D">
        <w:rPr>
          <w:rFonts w:ascii="Times New Roman" w:hAnsi="Times New Roman" w:hint="eastAsia"/>
          <w:sz w:val="24"/>
        </w:rPr>
        <w:t>518</w:t>
      </w:r>
      <w:r w:rsidRPr="001D2C2D">
        <w:rPr>
          <w:rFonts w:ascii="Times New Roman" w:hAnsi="Times New Roman" w:hint="eastAsia"/>
          <w:sz w:val="24"/>
        </w:rPr>
        <w:t>号</w:t>
      </w:r>
      <w:r w:rsidRPr="001D2C2D">
        <w:rPr>
          <w:rFonts w:ascii="Times New Roman" w:hAnsi="Times New Roman" w:hint="eastAsia"/>
          <w:sz w:val="24"/>
        </w:rPr>
        <w:t>A1002</w:t>
      </w:r>
      <w:r w:rsidRPr="001D2C2D">
        <w:rPr>
          <w:rFonts w:ascii="Times New Roman" w:hAnsi="Times New Roman" w:hint="eastAsia"/>
          <w:sz w:val="24"/>
        </w:rPr>
        <w:t>室</w:t>
      </w:r>
    </w:p>
    <w:p w14:paraId="79345FA0"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法定代表人：王翔</w:t>
      </w:r>
    </w:p>
    <w:p w14:paraId="69457AC7"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电话：（</w:t>
      </w:r>
      <w:r w:rsidRPr="001D2C2D">
        <w:rPr>
          <w:rFonts w:ascii="Times New Roman" w:hAnsi="Times New Roman" w:hint="eastAsia"/>
          <w:sz w:val="24"/>
        </w:rPr>
        <w:t>021</w:t>
      </w:r>
      <w:r w:rsidRPr="001D2C2D">
        <w:rPr>
          <w:rFonts w:ascii="Times New Roman" w:hAnsi="Times New Roman" w:hint="eastAsia"/>
          <w:sz w:val="24"/>
        </w:rPr>
        <w:t>）</w:t>
      </w:r>
      <w:r w:rsidRPr="001D2C2D">
        <w:rPr>
          <w:rFonts w:ascii="Times New Roman" w:hAnsi="Times New Roman" w:hint="eastAsia"/>
          <w:sz w:val="24"/>
        </w:rPr>
        <w:t>65370077</w:t>
      </w:r>
    </w:p>
    <w:p w14:paraId="298415A9"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传真：（</w:t>
      </w:r>
      <w:r w:rsidRPr="001D2C2D">
        <w:rPr>
          <w:rFonts w:ascii="Times New Roman" w:hAnsi="Times New Roman" w:hint="eastAsia"/>
          <w:sz w:val="24"/>
        </w:rPr>
        <w:t>021</w:t>
      </w:r>
      <w:r w:rsidRPr="001D2C2D">
        <w:rPr>
          <w:rFonts w:ascii="Times New Roman" w:hAnsi="Times New Roman" w:hint="eastAsia"/>
          <w:sz w:val="24"/>
        </w:rPr>
        <w:t>）</w:t>
      </w:r>
      <w:r w:rsidRPr="001D2C2D">
        <w:rPr>
          <w:rFonts w:ascii="Times New Roman" w:hAnsi="Times New Roman" w:hint="eastAsia"/>
          <w:sz w:val="24"/>
        </w:rPr>
        <w:t>55085991</w:t>
      </w:r>
    </w:p>
    <w:p w14:paraId="4B3FC76A"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联系人：俞申莉</w:t>
      </w:r>
    </w:p>
    <w:p w14:paraId="68D2113C"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客户服务电话：（</w:t>
      </w:r>
      <w:r w:rsidRPr="001D2C2D">
        <w:rPr>
          <w:rFonts w:ascii="Times New Roman" w:hAnsi="Times New Roman" w:hint="eastAsia"/>
          <w:sz w:val="24"/>
        </w:rPr>
        <w:t>021</w:t>
      </w:r>
      <w:r w:rsidRPr="001D2C2D">
        <w:rPr>
          <w:rFonts w:ascii="Times New Roman" w:hAnsi="Times New Roman" w:hint="eastAsia"/>
          <w:sz w:val="24"/>
        </w:rPr>
        <w:t>）</w:t>
      </w:r>
      <w:r w:rsidRPr="001D2C2D">
        <w:rPr>
          <w:rFonts w:ascii="Times New Roman" w:hAnsi="Times New Roman" w:hint="eastAsia"/>
          <w:sz w:val="24"/>
        </w:rPr>
        <w:t>65370077</w:t>
      </w:r>
    </w:p>
    <w:p w14:paraId="5DEC21EE"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网址：</w:t>
      </w:r>
      <w:r w:rsidRPr="001D2C2D">
        <w:rPr>
          <w:rFonts w:ascii="Times New Roman" w:hAnsi="Times New Roman" w:hint="eastAsia"/>
          <w:sz w:val="24"/>
        </w:rPr>
        <w:t>www.fofund.com.cn</w:t>
      </w:r>
    </w:p>
    <w:p w14:paraId="46DEA052"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Pr>
          <w:rFonts w:ascii="Times New Roman" w:hAnsi="Times New Roman" w:hint="eastAsia"/>
          <w:sz w:val="24"/>
        </w:rPr>
        <w:t>（</w:t>
      </w:r>
      <w:r w:rsidRPr="001D2C2D">
        <w:rPr>
          <w:rFonts w:ascii="Times New Roman" w:hAnsi="Times New Roman" w:hint="eastAsia"/>
          <w:sz w:val="24"/>
        </w:rPr>
        <w:t>15</w:t>
      </w:r>
      <w:r>
        <w:rPr>
          <w:rFonts w:ascii="Times New Roman" w:hAnsi="Times New Roman" w:hint="eastAsia"/>
          <w:sz w:val="24"/>
        </w:rPr>
        <w:t>）</w:t>
      </w:r>
      <w:r w:rsidRPr="001D2C2D">
        <w:rPr>
          <w:rFonts w:ascii="Times New Roman" w:hAnsi="Times New Roman" w:hint="eastAsia"/>
          <w:sz w:val="24"/>
        </w:rPr>
        <w:t>珠海盈米基金销售有限公司</w:t>
      </w:r>
    </w:p>
    <w:p w14:paraId="65B9431A"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住所：珠海市横琴新区宝华路</w:t>
      </w:r>
      <w:r w:rsidRPr="001D2C2D">
        <w:rPr>
          <w:rFonts w:ascii="Times New Roman" w:hAnsi="Times New Roman" w:hint="eastAsia"/>
          <w:sz w:val="24"/>
        </w:rPr>
        <w:t>6</w:t>
      </w:r>
      <w:r w:rsidRPr="001D2C2D">
        <w:rPr>
          <w:rFonts w:ascii="Times New Roman" w:hAnsi="Times New Roman" w:hint="eastAsia"/>
          <w:sz w:val="24"/>
        </w:rPr>
        <w:t>号</w:t>
      </w:r>
      <w:r w:rsidRPr="001D2C2D">
        <w:rPr>
          <w:rFonts w:ascii="Times New Roman" w:hAnsi="Times New Roman" w:hint="eastAsia"/>
          <w:sz w:val="24"/>
        </w:rPr>
        <w:t>105</w:t>
      </w:r>
      <w:r w:rsidRPr="001D2C2D">
        <w:rPr>
          <w:rFonts w:ascii="Times New Roman" w:hAnsi="Times New Roman" w:hint="eastAsia"/>
          <w:sz w:val="24"/>
        </w:rPr>
        <w:t>室</w:t>
      </w:r>
      <w:r w:rsidRPr="001D2C2D">
        <w:rPr>
          <w:rFonts w:ascii="Times New Roman" w:hAnsi="Times New Roman" w:hint="eastAsia"/>
          <w:sz w:val="24"/>
        </w:rPr>
        <w:t xml:space="preserve">-3491 </w:t>
      </w:r>
    </w:p>
    <w:p w14:paraId="0F502A12"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办公地址：广州市海珠区琶洲大道东</w:t>
      </w:r>
      <w:r w:rsidRPr="001D2C2D">
        <w:rPr>
          <w:rFonts w:ascii="Times New Roman" w:hAnsi="Times New Roman" w:hint="eastAsia"/>
          <w:sz w:val="24"/>
        </w:rPr>
        <w:t>1</w:t>
      </w:r>
      <w:r w:rsidRPr="001D2C2D">
        <w:rPr>
          <w:rFonts w:ascii="Times New Roman" w:hAnsi="Times New Roman" w:hint="eastAsia"/>
          <w:sz w:val="24"/>
        </w:rPr>
        <w:t>号保利国际广场南塔</w:t>
      </w:r>
      <w:r w:rsidRPr="001D2C2D">
        <w:rPr>
          <w:rFonts w:ascii="Times New Roman" w:hAnsi="Times New Roman" w:hint="eastAsia"/>
          <w:sz w:val="24"/>
        </w:rPr>
        <w:t>12</w:t>
      </w:r>
      <w:r w:rsidRPr="001D2C2D">
        <w:rPr>
          <w:rFonts w:ascii="Times New Roman" w:hAnsi="Times New Roman" w:hint="eastAsia"/>
          <w:sz w:val="24"/>
        </w:rPr>
        <w:t>楼</w:t>
      </w:r>
      <w:r w:rsidRPr="001D2C2D">
        <w:rPr>
          <w:rFonts w:ascii="Times New Roman" w:hAnsi="Times New Roman" w:hint="eastAsia"/>
          <w:sz w:val="24"/>
        </w:rPr>
        <w:t xml:space="preserve">B1201-1203 </w:t>
      </w:r>
    </w:p>
    <w:p w14:paraId="116A9E0D"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法定代表人：肖雯</w:t>
      </w:r>
      <w:r w:rsidRPr="001D2C2D">
        <w:rPr>
          <w:rFonts w:ascii="Times New Roman" w:hAnsi="Times New Roman" w:hint="eastAsia"/>
          <w:sz w:val="24"/>
        </w:rPr>
        <w:t xml:space="preserve"> </w:t>
      </w:r>
    </w:p>
    <w:p w14:paraId="423E2453"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电话：（</w:t>
      </w:r>
      <w:r w:rsidRPr="001D2C2D">
        <w:rPr>
          <w:rFonts w:ascii="Times New Roman" w:hAnsi="Times New Roman" w:hint="eastAsia"/>
          <w:sz w:val="24"/>
        </w:rPr>
        <w:t>020</w:t>
      </w:r>
      <w:r w:rsidRPr="001D2C2D">
        <w:rPr>
          <w:rFonts w:ascii="Times New Roman" w:hAnsi="Times New Roman" w:hint="eastAsia"/>
          <w:sz w:val="24"/>
        </w:rPr>
        <w:t>）</w:t>
      </w:r>
      <w:r w:rsidRPr="001D2C2D">
        <w:rPr>
          <w:rFonts w:ascii="Times New Roman" w:hAnsi="Times New Roman" w:hint="eastAsia"/>
          <w:sz w:val="24"/>
        </w:rPr>
        <w:t xml:space="preserve">89629099 </w:t>
      </w:r>
    </w:p>
    <w:p w14:paraId="6504688E"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传真：（</w:t>
      </w:r>
      <w:r w:rsidRPr="001D2C2D">
        <w:rPr>
          <w:rFonts w:ascii="Times New Roman" w:hAnsi="Times New Roman" w:hint="eastAsia"/>
          <w:sz w:val="24"/>
        </w:rPr>
        <w:t>020</w:t>
      </w:r>
      <w:r w:rsidRPr="001D2C2D">
        <w:rPr>
          <w:rFonts w:ascii="Times New Roman" w:hAnsi="Times New Roman" w:hint="eastAsia"/>
          <w:sz w:val="24"/>
        </w:rPr>
        <w:t>）</w:t>
      </w:r>
      <w:r w:rsidRPr="001D2C2D">
        <w:rPr>
          <w:rFonts w:ascii="Times New Roman" w:hAnsi="Times New Roman" w:hint="eastAsia"/>
          <w:sz w:val="24"/>
        </w:rPr>
        <w:t xml:space="preserve">89629011 </w:t>
      </w:r>
    </w:p>
    <w:p w14:paraId="752BF8B5"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联系人：黄敏嫦</w:t>
      </w:r>
      <w:r w:rsidRPr="001D2C2D">
        <w:rPr>
          <w:rFonts w:ascii="Times New Roman" w:hAnsi="Times New Roman" w:hint="eastAsia"/>
          <w:sz w:val="24"/>
        </w:rPr>
        <w:t xml:space="preserve"> </w:t>
      </w:r>
    </w:p>
    <w:p w14:paraId="32F131E3"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客户服务电话：（</w:t>
      </w:r>
      <w:r w:rsidRPr="001D2C2D">
        <w:rPr>
          <w:rFonts w:ascii="Times New Roman" w:hAnsi="Times New Roman" w:hint="eastAsia"/>
          <w:sz w:val="24"/>
        </w:rPr>
        <w:t>020</w:t>
      </w:r>
      <w:r w:rsidRPr="001D2C2D">
        <w:rPr>
          <w:rFonts w:ascii="Times New Roman" w:hAnsi="Times New Roman" w:hint="eastAsia"/>
          <w:sz w:val="24"/>
        </w:rPr>
        <w:t>）</w:t>
      </w:r>
      <w:r w:rsidRPr="001D2C2D">
        <w:rPr>
          <w:rFonts w:ascii="Times New Roman" w:hAnsi="Times New Roman" w:hint="eastAsia"/>
          <w:sz w:val="24"/>
        </w:rPr>
        <w:t>89629066</w:t>
      </w:r>
    </w:p>
    <w:p w14:paraId="6A13AE4C"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网址：</w:t>
      </w:r>
      <w:r w:rsidRPr="001D2C2D">
        <w:rPr>
          <w:rFonts w:ascii="Times New Roman" w:hAnsi="Times New Roman" w:hint="eastAsia"/>
          <w:sz w:val="24"/>
        </w:rPr>
        <w:t>www.yingmi.com</w:t>
      </w:r>
    </w:p>
    <w:p w14:paraId="10129BD7"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Pr>
          <w:rFonts w:ascii="Times New Roman" w:hAnsi="Times New Roman" w:hint="eastAsia"/>
          <w:sz w:val="24"/>
        </w:rPr>
        <w:t>（</w:t>
      </w:r>
      <w:r w:rsidRPr="001D2C2D">
        <w:rPr>
          <w:rFonts w:ascii="Times New Roman" w:hAnsi="Times New Roman" w:hint="eastAsia"/>
          <w:sz w:val="24"/>
        </w:rPr>
        <w:t>16</w:t>
      </w:r>
      <w:r>
        <w:rPr>
          <w:rFonts w:ascii="Times New Roman" w:hAnsi="Times New Roman" w:hint="eastAsia"/>
          <w:sz w:val="24"/>
        </w:rPr>
        <w:t>）</w:t>
      </w:r>
      <w:r w:rsidRPr="001D2C2D">
        <w:rPr>
          <w:rFonts w:ascii="Times New Roman" w:hAnsi="Times New Roman" w:hint="eastAsia"/>
          <w:sz w:val="24"/>
        </w:rPr>
        <w:t>上海陆金所基金销售有限公司</w:t>
      </w:r>
    </w:p>
    <w:p w14:paraId="34F12EBE"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住所：上海市浦东新区陆家嘴环路</w:t>
      </w:r>
      <w:r w:rsidRPr="001D2C2D">
        <w:rPr>
          <w:rFonts w:ascii="Times New Roman" w:hAnsi="Times New Roman" w:hint="eastAsia"/>
          <w:sz w:val="24"/>
        </w:rPr>
        <w:t>1333</w:t>
      </w:r>
      <w:r w:rsidRPr="001D2C2D">
        <w:rPr>
          <w:rFonts w:ascii="Times New Roman" w:hAnsi="Times New Roman" w:hint="eastAsia"/>
          <w:sz w:val="24"/>
        </w:rPr>
        <w:t>号</w:t>
      </w:r>
      <w:r w:rsidRPr="001D2C2D">
        <w:rPr>
          <w:rFonts w:ascii="Times New Roman" w:hAnsi="Times New Roman" w:hint="eastAsia"/>
          <w:sz w:val="24"/>
        </w:rPr>
        <w:t>14</w:t>
      </w:r>
      <w:r w:rsidRPr="001D2C2D">
        <w:rPr>
          <w:rFonts w:ascii="Times New Roman" w:hAnsi="Times New Roman" w:hint="eastAsia"/>
          <w:sz w:val="24"/>
        </w:rPr>
        <w:t>楼</w:t>
      </w:r>
      <w:r w:rsidRPr="001D2C2D">
        <w:rPr>
          <w:rFonts w:ascii="Times New Roman" w:hAnsi="Times New Roman" w:hint="eastAsia"/>
          <w:sz w:val="24"/>
        </w:rPr>
        <w:t>09</w:t>
      </w:r>
      <w:r w:rsidRPr="001D2C2D">
        <w:rPr>
          <w:rFonts w:ascii="Times New Roman" w:hAnsi="Times New Roman" w:hint="eastAsia"/>
          <w:sz w:val="24"/>
        </w:rPr>
        <w:t>单元</w:t>
      </w:r>
    </w:p>
    <w:p w14:paraId="239B0C3C"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办公地址：上海市浦东新区陆家嘴环路</w:t>
      </w:r>
      <w:r w:rsidRPr="001D2C2D">
        <w:rPr>
          <w:rFonts w:ascii="Times New Roman" w:hAnsi="Times New Roman" w:hint="eastAsia"/>
          <w:sz w:val="24"/>
        </w:rPr>
        <w:t>1333</w:t>
      </w:r>
      <w:r w:rsidRPr="001D2C2D">
        <w:rPr>
          <w:rFonts w:ascii="Times New Roman" w:hAnsi="Times New Roman" w:hint="eastAsia"/>
          <w:sz w:val="24"/>
        </w:rPr>
        <w:t>号</w:t>
      </w:r>
    </w:p>
    <w:p w14:paraId="0E313224"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法定代表人：王之光</w:t>
      </w:r>
    </w:p>
    <w:p w14:paraId="105D487A"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电话：（</w:t>
      </w:r>
      <w:r w:rsidRPr="001D2C2D">
        <w:rPr>
          <w:rFonts w:ascii="Times New Roman" w:hAnsi="Times New Roman" w:hint="eastAsia"/>
          <w:sz w:val="24"/>
        </w:rPr>
        <w:t>021</w:t>
      </w:r>
      <w:r w:rsidRPr="001D2C2D">
        <w:rPr>
          <w:rFonts w:ascii="Times New Roman" w:hAnsi="Times New Roman" w:hint="eastAsia"/>
          <w:sz w:val="24"/>
        </w:rPr>
        <w:t>）</w:t>
      </w:r>
      <w:r w:rsidRPr="001D2C2D">
        <w:rPr>
          <w:rFonts w:ascii="Times New Roman" w:hAnsi="Times New Roman" w:hint="eastAsia"/>
          <w:sz w:val="24"/>
        </w:rPr>
        <w:t>20665952</w:t>
      </w:r>
    </w:p>
    <w:p w14:paraId="65B2290A"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传真：（</w:t>
      </w:r>
      <w:r w:rsidRPr="001D2C2D">
        <w:rPr>
          <w:rFonts w:ascii="Times New Roman" w:hAnsi="Times New Roman" w:hint="eastAsia"/>
          <w:sz w:val="24"/>
        </w:rPr>
        <w:t>021</w:t>
      </w:r>
      <w:r w:rsidRPr="001D2C2D">
        <w:rPr>
          <w:rFonts w:ascii="Times New Roman" w:hAnsi="Times New Roman" w:hint="eastAsia"/>
          <w:sz w:val="24"/>
        </w:rPr>
        <w:t>）</w:t>
      </w:r>
      <w:r w:rsidRPr="001D2C2D">
        <w:rPr>
          <w:rFonts w:ascii="Times New Roman" w:hAnsi="Times New Roman" w:hint="eastAsia"/>
          <w:sz w:val="24"/>
        </w:rPr>
        <w:t>22066653</w:t>
      </w:r>
    </w:p>
    <w:p w14:paraId="7EDD51BA"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lastRenderedPageBreak/>
        <w:t>联系人：宁博宇</w:t>
      </w:r>
    </w:p>
    <w:p w14:paraId="0B953865"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客户服务电话：</w:t>
      </w:r>
      <w:r w:rsidRPr="001D2C2D">
        <w:rPr>
          <w:rFonts w:ascii="Times New Roman" w:hAnsi="Times New Roman" w:hint="eastAsia"/>
          <w:sz w:val="24"/>
        </w:rPr>
        <w:t>4008219031</w:t>
      </w:r>
    </w:p>
    <w:p w14:paraId="76A13CDA"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网址：</w:t>
      </w:r>
      <w:r w:rsidRPr="001D2C2D">
        <w:rPr>
          <w:rFonts w:ascii="Times New Roman" w:hAnsi="Times New Roman" w:hint="eastAsia"/>
          <w:sz w:val="24"/>
        </w:rPr>
        <w:t>www.lufunds.com</w:t>
      </w:r>
    </w:p>
    <w:p w14:paraId="22A85FF2"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Pr>
          <w:rFonts w:ascii="Times New Roman" w:hAnsi="Times New Roman" w:hint="eastAsia"/>
          <w:sz w:val="24"/>
        </w:rPr>
        <w:t>（</w:t>
      </w:r>
      <w:r w:rsidRPr="001D2C2D">
        <w:rPr>
          <w:rFonts w:ascii="Times New Roman" w:hAnsi="Times New Roman" w:hint="eastAsia"/>
          <w:sz w:val="24"/>
        </w:rPr>
        <w:t>17</w:t>
      </w:r>
      <w:r>
        <w:rPr>
          <w:rFonts w:ascii="Times New Roman" w:hAnsi="Times New Roman" w:hint="eastAsia"/>
          <w:sz w:val="24"/>
        </w:rPr>
        <w:t>）</w:t>
      </w:r>
      <w:r w:rsidRPr="001D2C2D">
        <w:rPr>
          <w:rFonts w:ascii="Times New Roman" w:hAnsi="Times New Roman" w:hint="eastAsia"/>
          <w:sz w:val="24"/>
        </w:rPr>
        <w:t>北京虹点基金销售有限公司</w:t>
      </w:r>
    </w:p>
    <w:p w14:paraId="30759E5B"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住所：北京市朝阳区工人体育场北路甲</w:t>
      </w:r>
      <w:r w:rsidRPr="001D2C2D">
        <w:rPr>
          <w:rFonts w:ascii="Times New Roman" w:hAnsi="Times New Roman" w:hint="eastAsia"/>
          <w:sz w:val="24"/>
        </w:rPr>
        <w:t>2</w:t>
      </w:r>
      <w:r w:rsidRPr="001D2C2D">
        <w:rPr>
          <w:rFonts w:ascii="Times New Roman" w:hAnsi="Times New Roman" w:hint="eastAsia"/>
          <w:sz w:val="24"/>
        </w:rPr>
        <w:t>号裙房</w:t>
      </w:r>
      <w:r w:rsidRPr="001D2C2D">
        <w:rPr>
          <w:rFonts w:ascii="Times New Roman" w:hAnsi="Times New Roman" w:hint="eastAsia"/>
          <w:sz w:val="24"/>
        </w:rPr>
        <w:t>2</w:t>
      </w:r>
      <w:r w:rsidRPr="001D2C2D">
        <w:rPr>
          <w:rFonts w:ascii="Times New Roman" w:hAnsi="Times New Roman" w:hint="eastAsia"/>
          <w:sz w:val="24"/>
        </w:rPr>
        <w:t>层</w:t>
      </w:r>
      <w:r w:rsidRPr="001D2C2D">
        <w:rPr>
          <w:rFonts w:ascii="Times New Roman" w:hAnsi="Times New Roman" w:hint="eastAsia"/>
          <w:sz w:val="24"/>
        </w:rPr>
        <w:t>222</w:t>
      </w:r>
      <w:r w:rsidRPr="001D2C2D">
        <w:rPr>
          <w:rFonts w:ascii="Times New Roman" w:hAnsi="Times New Roman" w:hint="eastAsia"/>
          <w:sz w:val="24"/>
        </w:rPr>
        <w:t>单元</w:t>
      </w:r>
    </w:p>
    <w:p w14:paraId="2B48E1ED"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办公地址：北京市朝阳区工人体育场北路甲</w:t>
      </w:r>
      <w:r w:rsidRPr="001D2C2D">
        <w:rPr>
          <w:rFonts w:ascii="Times New Roman" w:hAnsi="Times New Roman" w:hint="eastAsia"/>
          <w:sz w:val="24"/>
        </w:rPr>
        <w:t>2</w:t>
      </w:r>
      <w:r w:rsidRPr="001D2C2D">
        <w:rPr>
          <w:rFonts w:ascii="Times New Roman" w:hAnsi="Times New Roman" w:hint="eastAsia"/>
          <w:sz w:val="24"/>
        </w:rPr>
        <w:t>号裙房</w:t>
      </w:r>
      <w:r w:rsidRPr="001D2C2D">
        <w:rPr>
          <w:rFonts w:ascii="Times New Roman" w:hAnsi="Times New Roman" w:hint="eastAsia"/>
          <w:sz w:val="24"/>
        </w:rPr>
        <w:t>2</w:t>
      </w:r>
      <w:r w:rsidRPr="001D2C2D">
        <w:rPr>
          <w:rFonts w:ascii="Times New Roman" w:hAnsi="Times New Roman" w:hint="eastAsia"/>
          <w:sz w:val="24"/>
        </w:rPr>
        <w:t>层</w:t>
      </w:r>
      <w:r w:rsidRPr="001D2C2D">
        <w:rPr>
          <w:rFonts w:ascii="Times New Roman" w:hAnsi="Times New Roman" w:hint="eastAsia"/>
          <w:sz w:val="24"/>
        </w:rPr>
        <w:t>222</w:t>
      </w:r>
      <w:r w:rsidRPr="001D2C2D">
        <w:rPr>
          <w:rFonts w:ascii="Times New Roman" w:hAnsi="Times New Roman" w:hint="eastAsia"/>
          <w:sz w:val="24"/>
        </w:rPr>
        <w:t>单元</w:t>
      </w:r>
    </w:p>
    <w:p w14:paraId="261004E9"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法定代表人：胡伟</w:t>
      </w:r>
    </w:p>
    <w:p w14:paraId="4F9920E1"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电话：（</w:t>
      </w:r>
      <w:r w:rsidRPr="001D2C2D">
        <w:rPr>
          <w:rFonts w:ascii="Times New Roman" w:hAnsi="Times New Roman" w:hint="eastAsia"/>
          <w:sz w:val="24"/>
        </w:rPr>
        <w:t>010</w:t>
      </w:r>
      <w:r w:rsidRPr="001D2C2D">
        <w:rPr>
          <w:rFonts w:ascii="Times New Roman" w:hAnsi="Times New Roman" w:hint="eastAsia"/>
          <w:sz w:val="24"/>
        </w:rPr>
        <w:t>）</w:t>
      </w:r>
      <w:r w:rsidRPr="001D2C2D">
        <w:rPr>
          <w:rFonts w:ascii="Times New Roman" w:hAnsi="Times New Roman" w:hint="eastAsia"/>
          <w:sz w:val="24"/>
        </w:rPr>
        <w:t>65951887</w:t>
      </w:r>
    </w:p>
    <w:p w14:paraId="408F4775"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传真：（</w:t>
      </w:r>
      <w:r w:rsidRPr="001D2C2D">
        <w:rPr>
          <w:rFonts w:ascii="Times New Roman" w:hAnsi="Times New Roman" w:hint="eastAsia"/>
          <w:sz w:val="24"/>
        </w:rPr>
        <w:t>010</w:t>
      </w:r>
      <w:r w:rsidRPr="001D2C2D">
        <w:rPr>
          <w:rFonts w:ascii="Times New Roman" w:hAnsi="Times New Roman" w:hint="eastAsia"/>
          <w:sz w:val="24"/>
        </w:rPr>
        <w:t>）</w:t>
      </w:r>
      <w:r w:rsidRPr="001D2C2D">
        <w:rPr>
          <w:rFonts w:ascii="Times New Roman" w:hAnsi="Times New Roman" w:hint="eastAsia"/>
          <w:sz w:val="24"/>
        </w:rPr>
        <w:t>65951887</w:t>
      </w:r>
    </w:p>
    <w:p w14:paraId="53B526AC"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联系人：姜颖</w:t>
      </w:r>
    </w:p>
    <w:p w14:paraId="67998626"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客户服务电话：</w:t>
      </w:r>
      <w:r w:rsidRPr="001D2C2D">
        <w:rPr>
          <w:rFonts w:ascii="Times New Roman" w:hAnsi="Times New Roman" w:hint="eastAsia"/>
          <w:sz w:val="24"/>
        </w:rPr>
        <w:t>400-618-0707</w:t>
      </w:r>
    </w:p>
    <w:p w14:paraId="07BC4EB4"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网址：</w:t>
      </w:r>
      <w:r w:rsidRPr="001D2C2D">
        <w:rPr>
          <w:rFonts w:ascii="Times New Roman" w:hAnsi="Times New Roman" w:hint="eastAsia"/>
          <w:sz w:val="24"/>
        </w:rPr>
        <w:t>www.hongdianfund.com/</w:t>
      </w:r>
    </w:p>
    <w:p w14:paraId="5E23FC45"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Pr>
          <w:rFonts w:ascii="Times New Roman" w:hAnsi="Times New Roman" w:hint="eastAsia"/>
          <w:sz w:val="24"/>
        </w:rPr>
        <w:t>（</w:t>
      </w:r>
      <w:r w:rsidRPr="001D2C2D">
        <w:rPr>
          <w:rFonts w:ascii="Times New Roman" w:hAnsi="Times New Roman" w:hint="eastAsia"/>
          <w:sz w:val="24"/>
        </w:rPr>
        <w:t>18</w:t>
      </w:r>
      <w:r>
        <w:rPr>
          <w:rFonts w:ascii="Times New Roman" w:hAnsi="Times New Roman" w:hint="eastAsia"/>
          <w:sz w:val="24"/>
        </w:rPr>
        <w:t>）</w:t>
      </w:r>
      <w:r w:rsidRPr="001D2C2D">
        <w:rPr>
          <w:rFonts w:ascii="Times New Roman" w:hAnsi="Times New Roman" w:hint="eastAsia"/>
          <w:sz w:val="24"/>
        </w:rPr>
        <w:t>上海利得基金销售有限公司</w:t>
      </w:r>
    </w:p>
    <w:p w14:paraId="2591DBB4"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住所：</w:t>
      </w:r>
      <w:r w:rsidRPr="001D2C2D">
        <w:rPr>
          <w:rFonts w:ascii="Times New Roman" w:hAnsi="Times New Roman" w:hint="eastAsia"/>
          <w:sz w:val="24"/>
        </w:rPr>
        <w:t xml:space="preserve"> </w:t>
      </w:r>
      <w:r w:rsidRPr="001D2C2D">
        <w:rPr>
          <w:rFonts w:ascii="Times New Roman" w:hAnsi="Times New Roman" w:hint="eastAsia"/>
          <w:sz w:val="24"/>
        </w:rPr>
        <w:t>上海浦东新区峨山路</w:t>
      </w:r>
      <w:r w:rsidRPr="001D2C2D">
        <w:rPr>
          <w:rFonts w:ascii="Times New Roman" w:hAnsi="Times New Roman" w:hint="eastAsia"/>
          <w:sz w:val="24"/>
        </w:rPr>
        <w:t>91</w:t>
      </w:r>
      <w:r w:rsidRPr="001D2C2D">
        <w:rPr>
          <w:rFonts w:ascii="Times New Roman" w:hAnsi="Times New Roman" w:hint="eastAsia"/>
          <w:sz w:val="24"/>
        </w:rPr>
        <w:t>弄</w:t>
      </w:r>
      <w:r w:rsidRPr="001D2C2D">
        <w:rPr>
          <w:rFonts w:ascii="Times New Roman" w:hAnsi="Times New Roman" w:hint="eastAsia"/>
          <w:sz w:val="24"/>
        </w:rPr>
        <w:t>61</w:t>
      </w:r>
      <w:r w:rsidRPr="001D2C2D">
        <w:rPr>
          <w:rFonts w:ascii="Times New Roman" w:hAnsi="Times New Roman" w:hint="eastAsia"/>
          <w:sz w:val="24"/>
        </w:rPr>
        <w:t>号陆家嘴软件园</w:t>
      </w:r>
      <w:r w:rsidRPr="001D2C2D">
        <w:rPr>
          <w:rFonts w:ascii="Times New Roman" w:hAnsi="Times New Roman" w:hint="eastAsia"/>
          <w:sz w:val="24"/>
        </w:rPr>
        <w:t>10</w:t>
      </w:r>
      <w:r w:rsidRPr="001D2C2D">
        <w:rPr>
          <w:rFonts w:ascii="Times New Roman" w:hAnsi="Times New Roman" w:hint="eastAsia"/>
          <w:sz w:val="24"/>
        </w:rPr>
        <w:t>号楼</w:t>
      </w:r>
      <w:r w:rsidRPr="001D2C2D">
        <w:rPr>
          <w:rFonts w:ascii="Times New Roman" w:hAnsi="Times New Roman" w:hint="eastAsia"/>
          <w:sz w:val="24"/>
        </w:rPr>
        <w:t>12</w:t>
      </w:r>
      <w:r w:rsidRPr="001D2C2D">
        <w:rPr>
          <w:rFonts w:ascii="Times New Roman" w:hAnsi="Times New Roman" w:hint="eastAsia"/>
          <w:sz w:val="24"/>
        </w:rPr>
        <w:t>楼</w:t>
      </w:r>
    </w:p>
    <w:p w14:paraId="67A64CCC"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办公地址：上海市虹口区东大名路</w:t>
      </w:r>
      <w:r w:rsidRPr="001D2C2D">
        <w:rPr>
          <w:rFonts w:ascii="Times New Roman" w:hAnsi="Times New Roman" w:hint="eastAsia"/>
          <w:sz w:val="24"/>
        </w:rPr>
        <w:t>1098</w:t>
      </w:r>
      <w:r w:rsidRPr="001D2C2D">
        <w:rPr>
          <w:rFonts w:ascii="Times New Roman" w:hAnsi="Times New Roman" w:hint="eastAsia"/>
          <w:sz w:val="24"/>
        </w:rPr>
        <w:t>号浦江国际金融广场</w:t>
      </w:r>
      <w:r w:rsidRPr="001D2C2D">
        <w:rPr>
          <w:rFonts w:ascii="Times New Roman" w:hAnsi="Times New Roman" w:hint="eastAsia"/>
          <w:sz w:val="24"/>
        </w:rPr>
        <w:t>53</w:t>
      </w:r>
      <w:r w:rsidRPr="001D2C2D">
        <w:rPr>
          <w:rFonts w:ascii="Times New Roman" w:hAnsi="Times New Roman" w:hint="eastAsia"/>
          <w:sz w:val="24"/>
        </w:rPr>
        <w:t>层</w:t>
      </w:r>
      <w:r w:rsidRPr="001D2C2D">
        <w:rPr>
          <w:rFonts w:ascii="Times New Roman" w:hAnsi="Times New Roman" w:hint="eastAsia"/>
          <w:sz w:val="24"/>
        </w:rPr>
        <w:t xml:space="preserve"> </w:t>
      </w:r>
    </w:p>
    <w:p w14:paraId="71DD2817"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法定代表人：李兴春</w:t>
      </w:r>
    </w:p>
    <w:p w14:paraId="4C57EF78"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电话：</w:t>
      </w:r>
      <w:r w:rsidRPr="001D2C2D">
        <w:rPr>
          <w:rFonts w:ascii="Times New Roman" w:hAnsi="Times New Roman" w:hint="eastAsia"/>
          <w:sz w:val="24"/>
        </w:rPr>
        <w:t>021-50583533</w:t>
      </w:r>
    </w:p>
    <w:p w14:paraId="648AA4D6"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传真：</w:t>
      </w:r>
      <w:r w:rsidRPr="001D2C2D">
        <w:rPr>
          <w:rFonts w:ascii="Times New Roman" w:hAnsi="Times New Roman" w:hint="eastAsia"/>
          <w:sz w:val="24"/>
        </w:rPr>
        <w:t>021-50583633</w:t>
      </w:r>
    </w:p>
    <w:p w14:paraId="35E28234"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联系人：</w:t>
      </w:r>
      <w:r w:rsidRPr="001D2C2D">
        <w:rPr>
          <w:rFonts w:ascii="Times New Roman" w:hAnsi="Times New Roman" w:hint="eastAsia"/>
          <w:sz w:val="24"/>
        </w:rPr>
        <w:t xml:space="preserve"> </w:t>
      </w:r>
      <w:r w:rsidRPr="001D2C2D">
        <w:rPr>
          <w:rFonts w:ascii="Times New Roman" w:hAnsi="Times New Roman" w:hint="eastAsia"/>
          <w:sz w:val="24"/>
        </w:rPr>
        <w:t>伍豪</w:t>
      </w:r>
    </w:p>
    <w:p w14:paraId="4DA9E446"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客服电话：</w:t>
      </w:r>
      <w:r w:rsidRPr="001D2C2D">
        <w:rPr>
          <w:rFonts w:ascii="Times New Roman" w:hAnsi="Times New Roman" w:hint="eastAsia"/>
          <w:sz w:val="24"/>
        </w:rPr>
        <w:t>400-032-5885</w:t>
      </w:r>
    </w:p>
    <w:p w14:paraId="09A7340A"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网址：</w:t>
      </w:r>
      <w:r w:rsidRPr="001D2C2D">
        <w:rPr>
          <w:rFonts w:ascii="Times New Roman" w:hAnsi="Times New Roman" w:hint="eastAsia"/>
          <w:sz w:val="24"/>
        </w:rPr>
        <w:t>www.leadfund.com.cn</w:t>
      </w:r>
    </w:p>
    <w:p w14:paraId="6E84189B"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Pr>
          <w:rFonts w:ascii="Times New Roman" w:hAnsi="Times New Roman" w:hint="eastAsia"/>
          <w:sz w:val="24"/>
        </w:rPr>
        <w:t>（</w:t>
      </w:r>
      <w:r w:rsidRPr="001D2C2D">
        <w:rPr>
          <w:rFonts w:ascii="Times New Roman" w:hAnsi="Times New Roman" w:hint="eastAsia"/>
          <w:sz w:val="24"/>
        </w:rPr>
        <w:t>19</w:t>
      </w:r>
      <w:r>
        <w:rPr>
          <w:rFonts w:ascii="Times New Roman" w:hAnsi="Times New Roman" w:hint="eastAsia"/>
          <w:sz w:val="24"/>
        </w:rPr>
        <w:t>）</w:t>
      </w:r>
      <w:r w:rsidRPr="001D2C2D">
        <w:rPr>
          <w:rFonts w:ascii="Times New Roman" w:hAnsi="Times New Roman" w:hint="eastAsia"/>
          <w:sz w:val="24"/>
        </w:rPr>
        <w:t>北京汇成基金销售有限公司</w:t>
      </w:r>
    </w:p>
    <w:p w14:paraId="5CB0DC41"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住所：北京市西城区宣武门外大街甲</w:t>
      </w:r>
      <w:r w:rsidRPr="001D2C2D">
        <w:rPr>
          <w:rFonts w:ascii="Times New Roman" w:hAnsi="Times New Roman" w:hint="eastAsia"/>
          <w:sz w:val="24"/>
        </w:rPr>
        <w:t>1</w:t>
      </w:r>
      <w:r w:rsidRPr="001D2C2D">
        <w:rPr>
          <w:rFonts w:ascii="Times New Roman" w:hAnsi="Times New Roman" w:hint="eastAsia"/>
          <w:sz w:val="24"/>
        </w:rPr>
        <w:t>号</w:t>
      </w:r>
      <w:r w:rsidRPr="001D2C2D">
        <w:rPr>
          <w:rFonts w:ascii="Times New Roman" w:hAnsi="Times New Roman" w:hint="eastAsia"/>
          <w:sz w:val="24"/>
        </w:rPr>
        <w:t>4</w:t>
      </w:r>
      <w:r w:rsidRPr="001D2C2D">
        <w:rPr>
          <w:rFonts w:ascii="Times New Roman" w:hAnsi="Times New Roman" w:hint="eastAsia"/>
          <w:sz w:val="24"/>
        </w:rPr>
        <w:t>层</w:t>
      </w:r>
      <w:r w:rsidRPr="001D2C2D">
        <w:rPr>
          <w:rFonts w:ascii="Times New Roman" w:hAnsi="Times New Roman" w:hint="eastAsia"/>
          <w:sz w:val="24"/>
        </w:rPr>
        <w:t>401-2</w:t>
      </w:r>
    </w:p>
    <w:p w14:paraId="07FEA3D3"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办公地址：北京市西城区宣武门外大街甲</w:t>
      </w:r>
      <w:r w:rsidRPr="001D2C2D">
        <w:rPr>
          <w:rFonts w:ascii="Times New Roman" w:hAnsi="Times New Roman" w:hint="eastAsia"/>
          <w:sz w:val="24"/>
        </w:rPr>
        <w:t>1</w:t>
      </w:r>
      <w:r w:rsidRPr="001D2C2D">
        <w:rPr>
          <w:rFonts w:ascii="Times New Roman" w:hAnsi="Times New Roman" w:hint="eastAsia"/>
          <w:sz w:val="24"/>
        </w:rPr>
        <w:t>号环球财讯中心</w:t>
      </w:r>
      <w:r w:rsidRPr="001D2C2D">
        <w:rPr>
          <w:rFonts w:ascii="Times New Roman" w:hAnsi="Times New Roman" w:hint="eastAsia"/>
          <w:sz w:val="24"/>
        </w:rPr>
        <w:t>D</w:t>
      </w:r>
      <w:r w:rsidRPr="001D2C2D">
        <w:rPr>
          <w:rFonts w:ascii="Times New Roman" w:hAnsi="Times New Roman" w:hint="eastAsia"/>
          <w:sz w:val="24"/>
        </w:rPr>
        <w:t>座</w:t>
      </w:r>
      <w:r w:rsidRPr="001D2C2D">
        <w:rPr>
          <w:rFonts w:ascii="Times New Roman" w:hAnsi="Times New Roman" w:hint="eastAsia"/>
          <w:sz w:val="24"/>
        </w:rPr>
        <w:t>4</w:t>
      </w:r>
      <w:r w:rsidRPr="001D2C2D">
        <w:rPr>
          <w:rFonts w:ascii="Times New Roman" w:hAnsi="Times New Roman" w:hint="eastAsia"/>
          <w:sz w:val="24"/>
        </w:rPr>
        <w:t>层</w:t>
      </w:r>
      <w:r w:rsidRPr="001D2C2D">
        <w:rPr>
          <w:rFonts w:ascii="Times New Roman" w:hAnsi="Times New Roman" w:hint="eastAsia"/>
          <w:sz w:val="24"/>
        </w:rPr>
        <w:t>401-2</w:t>
      </w:r>
    </w:p>
    <w:p w14:paraId="4EDF92F1"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法定代表人：王伟刚</w:t>
      </w:r>
    </w:p>
    <w:p w14:paraId="721517B7"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电话：（</w:t>
      </w:r>
      <w:r w:rsidRPr="001D2C2D">
        <w:rPr>
          <w:rFonts w:ascii="Times New Roman" w:hAnsi="Times New Roman" w:hint="eastAsia"/>
          <w:sz w:val="24"/>
        </w:rPr>
        <w:t>010</w:t>
      </w:r>
      <w:r w:rsidRPr="001D2C2D">
        <w:rPr>
          <w:rFonts w:ascii="Times New Roman" w:hAnsi="Times New Roman" w:hint="eastAsia"/>
          <w:sz w:val="24"/>
        </w:rPr>
        <w:t>）</w:t>
      </w:r>
      <w:r w:rsidRPr="001D2C2D">
        <w:rPr>
          <w:rFonts w:ascii="Times New Roman" w:hAnsi="Times New Roman" w:hint="eastAsia"/>
          <w:sz w:val="24"/>
        </w:rPr>
        <w:t>56282140</w:t>
      </w:r>
    </w:p>
    <w:p w14:paraId="2E3BC476"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传真：（</w:t>
      </w:r>
      <w:r w:rsidRPr="001D2C2D">
        <w:rPr>
          <w:rFonts w:ascii="Times New Roman" w:hAnsi="Times New Roman" w:hint="eastAsia"/>
          <w:sz w:val="24"/>
        </w:rPr>
        <w:t>010</w:t>
      </w:r>
      <w:r w:rsidRPr="001D2C2D">
        <w:rPr>
          <w:rFonts w:ascii="Times New Roman" w:hAnsi="Times New Roman" w:hint="eastAsia"/>
          <w:sz w:val="24"/>
        </w:rPr>
        <w:t>）</w:t>
      </w:r>
      <w:r w:rsidRPr="001D2C2D">
        <w:rPr>
          <w:rFonts w:ascii="Times New Roman" w:hAnsi="Times New Roman" w:hint="eastAsia"/>
          <w:sz w:val="24"/>
        </w:rPr>
        <w:t>62680827</w:t>
      </w:r>
    </w:p>
    <w:p w14:paraId="45ECBBCF"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联系人：张林</w:t>
      </w:r>
    </w:p>
    <w:p w14:paraId="25EDBEFB"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客户服务电话：</w:t>
      </w:r>
      <w:r w:rsidRPr="001D2C2D">
        <w:rPr>
          <w:rFonts w:ascii="Times New Roman" w:hAnsi="Times New Roman" w:hint="eastAsia"/>
          <w:sz w:val="24"/>
        </w:rPr>
        <w:t>400-619-9059</w:t>
      </w:r>
    </w:p>
    <w:p w14:paraId="2CC4614D"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网址：</w:t>
      </w:r>
      <w:r w:rsidRPr="001D2C2D">
        <w:rPr>
          <w:rFonts w:ascii="Times New Roman" w:hAnsi="Times New Roman" w:hint="eastAsia"/>
          <w:sz w:val="24"/>
        </w:rPr>
        <w:t>www.hcfunds.com</w:t>
      </w:r>
    </w:p>
    <w:p w14:paraId="04D590B5"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Pr>
          <w:rFonts w:ascii="Times New Roman" w:hAnsi="Times New Roman" w:hint="eastAsia"/>
          <w:sz w:val="24"/>
        </w:rPr>
        <w:lastRenderedPageBreak/>
        <w:t>（</w:t>
      </w:r>
      <w:r w:rsidRPr="001D2C2D">
        <w:rPr>
          <w:rFonts w:ascii="Times New Roman" w:hAnsi="Times New Roman" w:hint="eastAsia"/>
          <w:sz w:val="24"/>
        </w:rPr>
        <w:t>20</w:t>
      </w:r>
      <w:r>
        <w:rPr>
          <w:rFonts w:ascii="Times New Roman" w:hAnsi="Times New Roman" w:hint="eastAsia"/>
          <w:sz w:val="24"/>
        </w:rPr>
        <w:t>）</w:t>
      </w:r>
      <w:r w:rsidRPr="001D2C2D">
        <w:rPr>
          <w:rFonts w:ascii="Times New Roman" w:hAnsi="Times New Roman" w:hint="eastAsia"/>
          <w:sz w:val="24"/>
        </w:rPr>
        <w:t>奕丰基金销售有限公司</w:t>
      </w:r>
    </w:p>
    <w:p w14:paraId="101D190B"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住所：深圳市前海深港合作区前湾一路</w:t>
      </w:r>
      <w:r w:rsidRPr="001D2C2D">
        <w:rPr>
          <w:rFonts w:ascii="Times New Roman" w:hAnsi="Times New Roman" w:hint="eastAsia"/>
          <w:sz w:val="24"/>
        </w:rPr>
        <w:t>1</w:t>
      </w:r>
      <w:r w:rsidRPr="001D2C2D">
        <w:rPr>
          <w:rFonts w:ascii="Times New Roman" w:hAnsi="Times New Roman" w:hint="eastAsia"/>
          <w:sz w:val="24"/>
        </w:rPr>
        <w:t>号</w:t>
      </w:r>
      <w:r w:rsidRPr="001D2C2D">
        <w:rPr>
          <w:rFonts w:ascii="Times New Roman" w:hAnsi="Times New Roman" w:hint="eastAsia"/>
          <w:sz w:val="24"/>
        </w:rPr>
        <w:t>A</w:t>
      </w:r>
      <w:r w:rsidRPr="001D2C2D">
        <w:rPr>
          <w:rFonts w:ascii="Times New Roman" w:hAnsi="Times New Roman" w:hint="eastAsia"/>
          <w:sz w:val="24"/>
        </w:rPr>
        <w:t>栋</w:t>
      </w:r>
      <w:r w:rsidRPr="001D2C2D">
        <w:rPr>
          <w:rFonts w:ascii="Times New Roman" w:hAnsi="Times New Roman" w:hint="eastAsia"/>
          <w:sz w:val="24"/>
        </w:rPr>
        <w:t>201</w:t>
      </w:r>
      <w:r w:rsidRPr="001D2C2D">
        <w:rPr>
          <w:rFonts w:ascii="Times New Roman" w:hAnsi="Times New Roman" w:hint="eastAsia"/>
          <w:sz w:val="24"/>
        </w:rPr>
        <w:t>室（入住深圳市前海商务秘书有限公司）</w:t>
      </w:r>
      <w:r w:rsidRPr="001D2C2D">
        <w:rPr>
          <w:rFonts w:ascii="Times New Roman" w:hAnsi="Times New Roman" w:hint="eastAsia"/>
          <w:sz w:val="24"/>
        </w:rPr>
        <w:t xml:space="preserve"> </w:t>
      </w:r>
    </w:p>
    <w:p w14:paraId="475671B2"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办公地址：深圳市南山区海德三道航天科技广场</w:t>
      </w:r>
      <w:r w:rsidRPr="001D2C2D">
        <w:rPr>
          <w:rFonts w:ascii="Times New Roman" w:hAnsi="Times New Roman" w:hint="eastAsia"/>
          <w:sz w:val="24"/>
        </w:rPr>
        <w:t>A</w:t>
      </w:r>
      <w:r w:rsidRPr="001D2C2D">
        <w:rPr>
          <w:rFonts w:ascii="Times New Roman" w:hAnsi="Times New Roman" w:hint="eastAsia"/>
          <w:sz w:val="24"/>
        </w:rPr>
        <w:t>座</w:t>
      </w:r>
      <w:r w:rsidRPr="001D2C2D">
        <w:rPr>
          <w:rFonts w:ascii="Times New Roman" w:hAnsi="Times New Roman" w:hint="eastAsia"/>
          <w:sz w:val="24"/>
        </w:rPr>
        <w:t>17</w:t>
      </w:r>
      <w:r w:rsidRPr="001D2C2D">
        <w:rPr>
          <w:rFonts w:ascii="Times New Roman" w:hAnsi="Times New Roman" w:hint="eastAsia"/>
          <w:sz w:val="24"/>
        </w:rPr>
        <w:t>楼</w:t>
      </w:r>
      <w:r w:rsidRPr="001D2C2D">
        <w:rPr>
          <w:rFonts w:ascii="Times New Roman" w:hAnsi="Times New Roman" w:hint="eastAsia"/>
          <w:sz w:val="24"/>
        </w:rPr>
        <w:t>1704</w:t>
      </w:r>
      <w:r w:rsidRPr="001D2C2D">
        <w:rPr>
          <w:rFonts w:ascii="Times New Roman" w:hAnsi="Times New Roman" w:hint="eastAsia"/>
          <w:sz w:val="24"/>
        </w:rPr>
        <w:t>室</w:t>
      </w:r>
    </w:p>
    <w:p w14:paraId="5A548411"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法定代表人：</w:t>
      </w:r>
      <w:r w:rsidRPr="001D2C2D">
        <w:rPr>
          <w:rFonts w:ascii="Times New Roman" w:hAnsi="Times New Roman" w:hint="eastAsia"/>
          <w:sz w:val="24"/>
        </w:rPr>
        <w:t>TEO WEE HOWE</w:t>
      </w:r>
    </w:p>
    <w:p w14:paraId="775B682C"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电话：（</w:t>
      </w:r>
      <w:r w:rsidRPr="001D2C2D">
        <w:rPr>
          <w:rFonts w:ascii="Times New Roman" w:hAnsi="Times New Roman" w:hint="eastAsia"/>
          <w:sz w:val="24"/>
        </w:rPr>
        <w:t>0755</w:t>
      </w:r>
      <w:r w:rsidRPr="001D2C2D">
        <w:rPr>
          <w:rFonts w:ascii="Times New Roman" w:hAnsi="Times New Roman" w:hint="eastAsia"/>
          <w:sz w:val="24"/>
        </w:rPr>
        <w:t>）</w:t>
      </w:r>
      <w:r w:rsidRPr="001D2C2D">
        <w:rPr>
          <w:rFonts w:ascii="Times New Roman" w:hAnsi="Times New Roman" w:hint="eastAsia"/>
          <w:sz w:val="24"/>
        </w:rPr>
        <w:t>89460500</w:t>
      </w:r>
    </w:p>
    <w:p w14:paraId="08B864B0"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传真：（</w:t>
      </w:r>
      <w:r w:rsidRPr="001D2C2D">
        <w:rPr>
          <w:rFonts w:ascii="Times New Roman" w:hAnsi="Times New Roman" w:hint="eastAsia"/>
          <w:sz w:val="24"/>
        </w:rPr>
        <w:t>0755</w:t>
      </w:r>
      <w:r w:rsidRPr="001D2C2D">
        <w:rPr>
          <w:rFonts w:ascii="Times New Roman" w:hAnsi="Times New Roman" w:hint="eastAsia"/>
          <w:sz w:val="24"/>
        </w:rPr>
        <w:t>）</w:t>
      </w:r>
      <w:r w:rsidRPr="001D2C2D">
        <w:rPr>
          <w:rFonts w:ascii="Times New Roman" w:hAnsi="Times New Roman" w:hint="eastAsia"/>
          <w:sz w:val="24"/>
        </w:rPr>
        <w:t>21674453</w:t>
      </w:r>
    </w:p>
    <w:p w14:paraId="24FB5B6D"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联系人：叶健</w:t>
      </w:r>
    </w:p>
    <w:p w14:paraId="59EF33DF"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客户服务电话：</w:t>
      </w:r>
      <w:r w:rsidRPr="001D2C2D">
        <w:rPr>
          <w:rFonts w:ascii="Times New Roman" w:hAnsi="Times New Roman" w:hint="eastAsia"/>
          <w:sz w:val="24"/>
        </w:rPr>
        <w:t>400-684-0500</w:t>
      </w:r>
    </w:p>
    <w:p w14:paraId="48A5D298"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网址：</w:t>
      </w:r>
      <w:r w:rsidRPr="001D2C2D">
        <w:rPr>
          <w:rFonts w:ascii="Times New Roman" w:hAnsi="Times New Roman" w:hint="eastAsia"/>
          <w:sz w:val="24"/>
        </w:rPr>
        <w:t>www.ifastps.com.cn</w:t>
      </w:r>
    </w:p>
    <w:p w14:paraId="1C8CF03B"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Pr>
          <w:rFonts w:ascii="Times New Roman" w:hAnsi="Times New Roman" w:hint="eastAsia"/>
          <w:sz w:val="24"/>
        </w:rPr>
        <w:t>（</w:t>
      </w:r>
      <w:r w:rsidRPr="001D2C2D">
        <w:rPr>
          <w:rFonts w:ascii="Times New Roman" w:hAnsi="Times New Roman" w:hint="eastAsia"/>
          <w:sz w:val="24"/>
        </w:rPr>
        <w:t>21</w:t>
      </w:r>
      <w:r>
        <w:rPr>
          <w:rFonts w:ascii="Times New Roman" w:hAnsi="Times New Roman" w:hint="eastAsia"/>
          <w:sz w:val="24"/>
        </w:rPr>
        <w:t>）</w:t>
      </w:r>
      <w:r w:rsidRPr="001D2C2D">
        <w:rPr>
          <w:rFonts w:ascii="Times New Roman" w:hAnsi="Times New Roman" w:hint="eastAsia"/>
          <w:sz w:val="24"/>
        </w:rPr>
        <w:t>北京创金启富基金销售有限公司</w:t>
      </w:r>
    </w:p>
    <w:p w14:paraId="65E8C732"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住所：</w:t>
      </w:r>
      <w:r w:rsidRPr="001D2C2D">
        <w:rPr>
          <w:rFonts w:ascii="Times New Roman" w:hAnsi="Times New Roman" w:hint="eastAsia"/>
          <w:sz w:val="24"/>
        </w:rPr>
        <w:t xml:space="preserve"> </w:t>
      </w:r>
      <w:r w:rsidRPr="001D2C2D">
        <w:rPr>
          <w:rFonts w:ascii="Times New Roman" w:hAnsi="Times New Roman" w:hint="eastAsia"/>
          <w:sz w:val="24"/>
        </w:rPr>
        <w:t>北京市西城区白纸坊东街</w:t>
      </w:r>
      <w:r w:rsidRPr="001D2C2D">
        <w:rPr>
          <w:rFonts w:ascii="Times New Roman" w:hAnsi="Times New Roman" w:hint="eastAsia"/>
          <w:sz w:val="24"/>
        </w:rPr>
        <w:t>2</w:t>
      </w:r>
      <w:r w:rsidRPr="001D2C2D">
        <w:rPr>
          <w:rFonts w:ascii="Times New Roman" w:hAnsi="Times New Roman" w:hint="eastAsia"/>
          <w:sz w:val="24"/>
        </w:rPr>
        <w:t>号院</w:t>
      </w:r>
      <w:r w:rsidRPr="001D2C2D">
        <w:rPr>
          <w:rFonts w:ascii="Times New Roman" w:hAnsi="Times New Roman" w:hint="eastAsia"/>
          <w:sz w:val="24"/>
        </w:rPr>
        <w:t>6</w:t>
      </w:r>
      <w:r w:rsidRPr="001D2C2D">
        <w:rPr>
          <w:rFonts w:ascii="Times New Roman" w:hAnsi="Times New Roman" w:hint="eastAsia"/>
          <w:sz w:val="24"/>
        </w:rPr>
        <w:t>号楼</w:t>
      </w:r>
      <w:r w:rsidRPr="001D2C2D">
        <w:rPr>
          <w:rFonts w:ascii="Times New Roman" w:hAnsi="Times New Roman" w:hint="eastAsia"/>
          <w:sz w:val="24"/>
        </w:rPr>
        <w:t>712</w:t>
      </w:r>
      <w:r w:rsidRPr="001D2C2D">
        <w:rPr>
          <w:rFonts w:ascii="Times New Roman" w:hAnsi="Times New Roman" w:hint="eastAsia"/>
          <w:sz w:val="24"/>
        </w:rPr>
        <w:t>室</w:t>
      </w:r>
    </w:p>
    <w:p w14:paraId="2E2EB91C"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办公地址：</w:t>
      </w:r>
      <w:r w:rsidRPr="001D2C2D">
        <w:rPr>
          <w:rFonts w:ascii="Times New Roman" w:hAnsi="Times New Roman" w:hint="eastAsia"/>
          <w:sz w:val="24"/>
        </w:rPr>
        <w:t xml:space="preserve"> </w:t>
      </w:r>
      <w:r w:rsidRPr="001D2C2D">
        <w:rPr>
          <w:rFonts w:ascii="Times New Roman" w:hAnsi="Times New Roman" w:hint="eastAsia"/>
          <w:sz w:val="24"/>
        </w:rPr>
        <w:t>北京市西城区白纸坊东街</w:t>
      </w:r>
      <w:r w:rsidRPr="001D2C2D">
        <w:rPr>
          <w:rFonts w:ascii="Times New Roman" w:hAnsi="Times New Roman" w:hint="eastAsia"/>
          <w:sz w:val="24"/>
        </w:rPr>
        <w:t>2</w:t>
      </w:r>
      <w:r w:rsidRPr="001D2C2D">
        <w:rPr>
          <w:rFonts w:ascii="Times New Roman" w:hAnsi="Times New Roman" w:hint="eastAsia"/>
          <w:sz w:val="24"/>
        </w:rPr>
        <w:t>号院</w:t>
      </w:r>
      <w:r w:rsidRPr="001D2C2D">
        <w:rPr>
          <w:rFonts w:ascii="Times New Roman" w:hAnsi="Times New Roman" w:hint="eastAsia"/>
          <w:sz w:val="24"/>
        </w:rPr>
        <w:t>6</w:t>
      </w:r>
      <w:r w:rsidRPr="001D2C2D">
        <w:rPr>
          <w:rFonts w:ascii="Times New Roman" w:hAnsi="Times New Roman" w:hint="eastAsia"/>
          <w:sz w:val="24"/>
        </w:rPr>
        <w:t>号楼</w:t>
      </w:r>
      <w:r w:rsidRPr="001D2C2D">
        <w:rPr>
          <w:rFonts w:ascii="Times New Roman" w:hAnsi="Times New Roman" w:hint="eastAsia"/>
          <w:sz w:val="24"/>
        </w:rPr>
        <w:t>712</w:t>
      </w:r>
      <w:r w:rsidRPr="001D2C2D">
        <w:rPr>
          <w:rFonts w:ascii="Times New Roman" w:hAnsi="Times New Roman" w:hint="eastAsia"/>
          <w:sz w:val="24"/>
        </w:rPr>
        <w:t>室</w:t>
      </w:r>
    </w:p>
    <w:p w14:paraId="518028E2"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法定代表人：</w:t>
      </w:r>
      <w:r w:rsidRPr="001D2C2D">
        <w:rPr>
          <w:rFonts w:ascii="Times New Roman" w:hAnsi="Times New Roman" w:hint="eastAsia"/>
          <w:sz w:val="24"/>
        </w:rPr>
        <w:t xml:space="preserve"> </w:t>
      </w:r>
      <w:r w:rsidRPr="001D2C2D">
        <w:rPr>
          <w:rFonts w:ascii="Times New Roman" w:hAnsi="Times New Roman" w:hint="eastAsia"/>
          <w:sz w:val="24"/>
        </w:rPr>
        <w:t>梁蓉</w:t>
      </w:r>
    </w:p>
    <w:p w14:paraId="3CAD4B68"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电话：</w:t>
      </w:r>
      <w:r w:rsidRPr="001D2C2D">
        <w:rPr>
          <w:rFonts w:ascii="Times New Roman" w:hAnsi="Times New Roman" w:hint="eastAsia"/>
          <w:sz w:val="24"/>
        </w:rPr>
        <w:t>010-66154828-8047</w:t>
      </w:r>
    </w:p>
    <w:p w14:paraId="5F329E6F"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传真：</w:t>
      </w:r>
      <w:r w:rsidRPr="001D2C2D">
        <w:rPr>
          <w:rFonts w:ascii="Times New Roman" w:hAnsi="Times New Roman" w:hint="eastAsia"/>
          <w:sz w:val="24"/>
        </w:rPr>
        <w:t>010-63583991</w:t>
      </w:r>
    </w:p>
    <w:p w14:paraId="33F4F75E"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联系人：</w:t>
      </w:r>
      <w:r w:rsidRPr="001D2C2D">
        <w:rPr>
          <w:rFonts w:ascii="Times New Roman" w:hAnsi="Times New Roman" w:hint="eastAsia"/>
          <w:sz w:val="24"/>
        </w:rPr>
        <w:t xml:space="preserve"> </w:t>
      </w:r>
      <w:r w:rsidRPr="001D2C2D">
        <w:rPr>
          <w:rFonts w:ascii="Times New Roman" w:hAnsi="Times New Roman" w:hint="eastAsia"/>
          <w:sz w:val="24"/>
        </w:rPr>
        <w:t>魏素清</w:t>
      </w:r>
    </w:p>
    <w:p w14:paraId="57C2B254"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客户服务电话：</w:t>
      </w:r>
      <w:r w:rsidRPr="001D2C2D">
        <w:rPr>
          <w:rFonts w:ascii="Times New Roman" w:hAnsi="Times New Roman" w:hint="eastAsia"/>
          <w:sz w:val="24"/>
        </w:rPr>
        <w:t>010-66154828</w:t>
      </w:r>
    </w:p>
    <w:p w14:paraId="30A11FCE" w14:textId="0DB14E1E"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网址：</w:t>
      </w:r>
      <w:r>
        <w:rPr>
          <w:rFonts w:ascii="Times New Roman" w:hAnsi="Times New Roman" w:hint="eastAsia"/>
          <w:sz w:val="24"/>
        </w:rPr>
        <w:t xml:space="preserve"> https://www.5irich.com</w:t>
      </w:r>
    </w:p>
    <w:p w14:paraId="304DEE6A"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Pr>
          <w:rFonts w:ascii="Times New Roman" w:hAnsi="Times New Roman" w:hint="eastAsia"/>
          <w:sz w:val="24"/>
        </w:rPr>
        <w:t>（</w:t>
      </w:r>
      <w:r w:rsidRPr="001D2C2D">
        <w:rPr>
          <w:rFonts w:ascii="Times New Roman" w:hAnsi="Times New Roman" w:hint="eastAsia"/>
          <w:sz w:val="24"/>
        </w:rPr>
        <w:t>22</w:t>
      </w:r>
      <w:r>
        <w:rPr>
          <w:rFonts w:ascii="Times New Roman" w:hAnsi="Times New Roman" w:hint="eastAsia"/>
          <w:sz w:val="24"/>
        </w:rPr>
        <w:t>）</w:t>
      </w:r>
      <w:r w:rsidRPr="001D2C2D">
        <w:rPr>
          <w:rFonts w:ascii="Times New Roman" w:hAnsi="Times New Roman" w:hint="eastAsia"/>
          <w:sz w:val="24"/>
        </w:rPr>
        <w:t>中证金牛（北京）基金销售有限公司</w:t>
      </w:r>
    </w:p>
    <w:p w14:paraId="38C02469"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住所：</w:t>
      </w:r>
      <w:r w:rsidRPr="001D2C2D">
        <w:rPr>
          <w:rFonts w:ascii="Times New Roman" w:hAnsi="Times New Roman" w:hint="eastAsia"/>
          <w:sz w:val="24"/>
        </w:rPr>
        <w:t xml:space="preserve"> </w:t>
      </w:r>
      <w:r w:rsidRPr="001D2C2D">
        <w:rPr>
          <w:rFonts w:ascii="Times New Roman" w:hAnsi="Times New Roman" w:hint="eastAsia"/>
          <w:sz w:val="24"/>
        </w:rPr>
        <w:t>北京市丰台区东管头</w:t>
      </w:r>
      <w:r w:rsidRPr="001D2C2D">
        <w:rPr>
          <w:rFonts w:ascii="Times New Roman" w:hAnsi="Times New Roman" w:hint="eastAsia"/>
          <w:sz w:val="24"/>
        </w:rPr>
        <w:t>1</w:t>
      </w:r>
      <w:r w:rsidRPr="001D2C2D">
        <w:rPr>
          <w:rFonts w:ascii="Times New Roman" w:hAnsi="Times New Roman" w:hint="eastAsia"/>
          <w:sz w:val="24"/>
        </w:rPr>
        <w:t>号</w:t>
      </w:r>
      <w:r w:rsidRPr="001D2C2D">
        <w:rPr>
          <w:rFonts w:ascii="Times New Roman" w:hAnsi="Times New Roman" w:hint="eastAsia"/>
          <w:sz w:val="24"/>
        </w:rPr>
        <w:t>2</w:t>
      </w:r>
      <w:r w:rsidRPr="001D2C2D">
        <w:rPr>
          <w:rFonts w:ascii="Times New Roman" w:hAnsi="Times New Roman" w:hint="eastAsia"/>
          <w:sz w:val="24"/>
        </w:rPr>
        <w:t>号楼</w:t>
      </w:r>
      <w:r w:rsidRPr="001D2C2D">
        <w:rPr>
          <w:rFonts w:ascii="Times New Roman" w:hAnsi="Times New Roman" w:hint="eastAsia"/>
          <w:sz w:val="24"/>
        </w:rPr>
        <w:t>2-45</w:t>
      </w:r>
      <w:r w:rsidRPr="001D2C2D">
        <w:rPr>
          <w:rFonts w:ascii="Times New Roman" w:hAnsi="Times New Roman" w:hint="eastAsia"/>
          <w:sz w:val="24"/>
        </w:rPr>
        <w:t>室</w:t>
      </w:r>
    </w:p>
    <w:p w14:paraId="3E41AA0F"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办公地址：</w:t>
      </w:r>
      <w:r w:rsidRPr="001D2C2D">
        <w:rPr>
          <w:rFonts w:ascii="Times New Roman" w:hAnsi="Times New Roman" w:hint="eastAsia"/>
          <w:sz w:val="24"/>
        </w:rPr>
        <w:t xml:space="preserve"> </w:t>
      </w:r>
      <w:r w:rsidRPr="001D2C2D">
        <w:rPr>
          <w:rFonts w:ascii="Times New Roman" w:hAnsi="Times New Roman" w:hint="eastAsia"/>
          <w:sz w:val="24"/>
        </w:rPr>
        <w:t>北京市西城区宣武门外大街甲一号环球财讯中心</w:t>
      </w:r>
      <w:r w:rsidRPr="001D2C2D">
        <w:rPr>
          <w:rFonts w:ascii="Times New Roman" w:hAnsi="Times New Roman" w:hint="eastAsia"/>
          <w:sz w:val="24"/>
        </w:rPr>
        <w:t>A</w:t>
      </w:r>
      <w:r w:rsidRPr="001D2C2D">
        <w:rPr>
          <w:rFonts w:ascii="Times New Roman" w:hAnsi="Times New Roman" w:hint="eastAsia"/>
          <w:sz w:val="24"/>
        </w:rPr>
        <w:t>座</w:t>
      </w:r>
      <w:r w:rsidRPr="001D2C2D">
        <w:rPr>
          <w:rFonts w:ascii="Times New Roman" w:hAnsi="Times New Roman" w:hint="eastAsia"/>
          <w:sz w:val="24"/>
        </w:rPr>
        <w:t>5</w:t>
      </w:r>
      <w:r w:rsidRPr="001D2C2D">
        <w:rPr>
          <w:rFonts w:ascii="Times New Roman" w:hAnsi="Times New Roman" w:hint="eastAsia"/>
          <w:sz w:val="24"/>
        </w:rPr>
        <w:t>层</w:t>
      </w:r>
    </w:p>
    <w:p w14:paraId="7825DA16"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法定代表人：</w:t>
      </w:r>
      <w:r w:rsidRPr="001D2C2D">
        <w:rPr>
          <w:rFonts w:ascii="Times New Roman" w:hAnsi="Times New Roman" w:hint="eastAsia"/>
          <w:sz w:val="24"/>
        </w:rPr>
        <w:t xml:space="preserve"> </w:t>
      </w:r>
      <w:r w:rsidRPr="001D2C2D">
        <w:rPr>
          <w:rFonts w:ascii="Times New Roman" w:hAnsi="Times New Roman" w:hint="eastAsia"/>
          <w:sz w:val="24"/>
        </w:rPr>
        <w:t>钱昊旻</w:t>
      </w:r>
    </w:p>
    <w:p w14:paraId="5F2C799F"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电话：（</w:t>
      </w:r>
      <w:r w:rsidRPr="001D2C2D">
        <w:rPr>
          <w:rFonts w:ascii="Times New Roman" w:hAnsi="Times New Roman" w:hint="eastAsia"/>
          <w:sz w:val="24"/>
        </w:rPr>
        <w:t>010</w:t>
      </w:r>
      <w:r w:rsidRPr="001D2C2D">
        <w:rPr>
          <w:rFonts w:ascii="Times New Roman" w:hAnsi="Times New Roman" w:hint="eastAsia"/>
          <w:sz w:val="24"/>
        </w:rPr>
        <w:t>）</w:t>
      </w:r>
      <w:r w:rsidRPr="001D2C2D">
        <w:rPr>
          <w:rFonts w:ascii="Times New Roman" w:hAnsi="Times New Roman" w:hint="eastAsia"/>
          <w:sz w:val="24"/>
        </w:rPr>
        <w:t>59336512</w:t>
      </w:r>
    </w:p>
    <w:p w14:paraId="4842BDE0"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传真：（</w:t>
      </w:r>
      <w:r w:rsidRPr="001D2C2D">
        <w:rPr>
          <w:rFonts w:ascii="Times New Roman" w:hAnsi="Times New Roman" w:hint="eastAsia"/>
          <w:sz w:val="24"/>
        </w:rPr>
        <w:t>010</w:t>
      </w:r>
      <w:r w:rsidRPr="001D2C2D">
        <w:rPr>
          <w:rFonts w:ascii="Times New Roman" w:hAnsi="Times New Roman" w:hint="eastAsia"/>
          <w:sz w:val="24"/>
        </w:rPr>
        <w:t>）</w:t>
      </w:r>
      <w:r w:rsidRPr="001D2C2D">
        <w:rPr>
          <w:rFonts w:ascii="Times New Roman" w:hAnsi="Times New Roman" w:hint="eastAsia"/>
          <w:sz w:val="24"/>
        </w:rPr>
        <w:t>59336586</w:t>
      </w:r>
    </w:p>
    <w:p w14:paraId="437B108B"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联系人：</w:t>
      </w:r>
      <w:r w:rsidRPr="001D2C2D">
        <w:rPr>
          <w:rFonts w:ascii="Times New Roman" w:hAnsi="Times New Roman" w:hint="eastAsia"/>
          <w:sz w:val="24"/>
        </w:rPr>
        <w:t xml:space="preserve"> </w:t>
      </w:r>
      <w:r w:rsidRPr="001D2C2D">
        <w:rPr>
          <w:rFonts w:ascii="Times New Roman" w:hAnsi="Times New Roman" w:hint="eastAsia"/>
          <w:sz w:val="24"/>
        </w:rPr>
        <w:t>沈晨</w:t>
      </w:r>
    </w:p>
    <w:p w14:paraId="633679FD"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客户服务电话：</w:t>
      </w:r>
      <w:r w:rsidRPr="001D2C2D">
        <w:rPr>
          <w:rFonts w:ascii="Times New Roman" w:hAnsi="Times New Roman" w:hint="eastAsia"/>
          <w:sz w:val="24"/>
        </w:rPr>
        <w:t>4008-909-998</w:t>
      </w:r>
    </w:p>
    <w:p w14:paraId="3BF2C26A"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网址：</w:t>
      </w:r>
      <w:r w:rsidRPr="001D2C2D">
        <w:rPr>
          <w:rFonts w:ascii="Times New Roman" w:hAnsi="Times New Roman" w:hint="eastAsia"/>
          <w:sz w:val="24"/>
        </w:rPr>
        <w:t xml:space="preserve"> www.jnlc.com</w:t>
      </w:r>
    </w:p>
    <w:p w14:paraId="6B193EBD"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Pr>
          <w:rFonts w:ascii="Times New Roman" w:hAnsi="Times New Roman" w:hint="eastAsia"/>
          <w:sz w:val="24"/>
        </w:rPr>
        <w:t>（</w:t>
      </w:r>
      <w:r w:rsidRPr="001D2C2D">
        <w:rPr>
          <w:rFonts w:ascii="Times New Roman" w:hAnsi="Times New Roman" w:hint="eastAsia"/>
          <w:sz w:val="24"/>
        </w:rPr>
        <w:t>23</w:t>
      </w:r>
      <w:r>
        <w:rPr>
          <w:rFonts w:ascii="Times New Roman" w:hAnsi="Times New Roman" w:hint="eastAsia"/>
          <w:sz w:val="24"/>
        </w:rPr>
        <w:t>）</w:t>
      </w:r>
      <w:r w:rsidRPr="001D2C2D">
        <w:rPr>
          <w:rFonts w:ascii="Times New Roman" w:hAnsi="Times New Roman" w:hint="eastAsia"/>
          <w:sz w:val="24"/>
        </w:rPr>
        <w:t>上海云湾基金销售有限公司</w:t>
      </w:r>
    </w:p>
    <w:p w14:paraId="4288B785"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住所：</w:t>
      </w:r>
      <w:r w:rsidRPr="001D2C2D">
        <w:rPr>
          <w:rFonts w:ascii="Times New Roman" w:hAnsi="Times New Roman" w:hint="eastAsia"/>
          <w:sz w:val="24"/>
        </w:rPr>
        <w:t xml:space="preserve"> </w:t>
      </w:r>
      <w:r w:rsidRPr="001D2C2D">
        <w:rPr>
          <w:rFonts w:ascii="Times New Roman" w:hAnsi="Times New Roman" w:hint="eastAsia"/>
          <w:sz w:val="24"/>
        </w:rPr>
        <w:t>中国（上海）自由贸易试验区新金桥路</w:t>
      </w:r>
      <w:r w:rsidRPr="001D2C2D">
        <w:rPr>
          <w:rFonts w:ascii="Times New Roman" w:hAnsi="Times New Roman" w:hint="eastAsia"/>
          <w:sz w:val="24"/>
        </w:rPr>
        <w:t>27</w:t>
      </w:r>
      <w:r w:rsidRPr="001D2C2D">
        <w:rPr>
          <w:rFonts w:ascii="Times New Roman" w:hAnsi="Times New Roman" w:hint="eastAsia"/>
          <w:sz w:val="24"/>
        </w:rPr>
        <w:t>号</w:t>
      </w:r>
      <w:r w:rsidRPr="001D2C2D">
        <w:rPr>
          <w:rFonts w:ascii="Times New Roman" w:hAnsi="Times New Roman" w:hint="eastAsia"/>
          <w:sz w:val="24"/>
        </w:rPr>
        <w:t>1</w:t>
      </w:r>
      <w:r w:rsidRPr="001D2C2D">
        <w:rPr>
          <w:rFonts w:ascii="Times New Roman" w:hAnsi="Times New Roman" w:hint="eastAsia"/>
          <w:sz w:val="24"/>
        </w:rPr>
        <w:t>号</w:t>
      </w:r>
      <w:r w:rsidRPr="001D2C2D">
        <w:rPr>
          <w:rFonts w:ascii="Times New Roman" w:hAnsi="Times New Roman" w:hint="eastAsia"/>
          <w:sz w:val="24"/>
        </w:rPr>
        <w:t>1</w:t>
      </w:r>
      <w:r w:rsidRPr="001D2C2D">
        <w:rPr>
          <w:rFonts w:ascii="Times New Roman" w:hAnsi="Times New Roman" w:hint="eastAsia"/>
          <w:sz w:val="24"/>
        </w:rPr>
        <w:t>层</w:t>
      </w:r>
    </w:p>
    <w:p w14:paraId="11F541A9"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lastRenderedPageBreak/>
        <w:t>办公地址：</w:t>
      </w:r>
      <w:r w:rsidRPr="001D2C2D">
        <w:rPr>
          <w:rFonts w:ascii="Times New Roman" w:hAnsi="Times New Roman" w:hint="eastAsia"/>
          <w:sz w:val="24"/>
        </w:rPr>
        <w:t xml:space="preserve"> </w:t>
      </w:r>
      <w:r w:rsidRPr="001D2C2D">
        <w:rPr>
          <w:rFonts w:ascii="Times New Roman" w:hAnsi="Times New Roman" w:hint="eastAsia"/>
          <w:sz w:val="24"/>
        </w:rPr>
        <w:t>上海市浦东新区新金桥路</w:t>
      </w:r>
      <w:r w:rsidRPr="001D2C2D">
        <w:rPr>
          <w:rFonts w:ascii="Times New Roman" w:hAnsi="Times New Roman" w:hint="eastAsia"/>
          <w:sz w:val="24"/>
        </w:rPr>
        <w:t>27</w:t>
      </w:r>
      <w:r w:rsidRPr="001D2C2D">
        <w:rPr>
          <w:rFonts w:ascii="Times New Roman" w:hAnsi="Times New Roman" w:hint="eastAsia"/>
          <w:sz w:val="24"/>
        </w:rPr>
        <w:t>号</w:t>
      </w:r>
      <w:r w:rsidRPr="001D2C2D">
        <w:rPr>
          <w:rFonts w:ascii="Times New Roman" w:hAnsi="Times New Roman" w:hint="eastAsia"/>
          <w:sz w:val="24"/>
        </w:rPr>
        <w:t>1</w:t>
      </w:r>
      <w:r w:rsidRPr="001D2C2D">
        <w:rPr>
          <w:rFonts w:ascii="Times New Roman" w:hAnsi="Times New Roman" w:hint="eastAsia"/>
          <w:sz w:val="24"/>
        </w:rPr>
        <w:t>号楼</w:t>
      </w:r>
    </w:p>
    <w:p w14:paraId="08E4A9CB"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法定代表人：</w:t>
      </w:r>
      <w:r w:rsidRPr="001D2C2D">
        <w:rPr>
          <w:rFonts w:ascii="Times New Roman" w:hAnsi="Times New Roman" w:hint="eastAsia"/>
          <w:sz w:val="24"/>
        </w:rPr>
        <w:t xml:space="preserve"> </w:t>
      </w:r>
      <w:r w:rsidRPr="001D2C2D">
        <w:rPr>
          <w:rFonts w:ascii="Times New Roman" w:hAnsi="Times New Roman" w:hint="eastAsia"/>
          <w:sz w:val="24"/>
        </w:rPr>
        <w:t>冯轶明</w:t>
      </w:r>
    </w:p>
    <w:p w14:paraId="47528977"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电话：（</w:t>
      </w:r>
      <w:r w:rsidRPr="001D2C2D">
        <w:rPr>
          <w:rFonts w:ascii="Times New Roman" w:hAnsi="Times New Roman" w:hint="eastAsia"/>
          <w:sz w:val="24"/>
        </w:rPr>
        <w:t>021</w:t>
      </w:r>
      <w:r w:rsidRPr="001D2C2D">
        <w:rPr>
          <w:rFonts w:ascii="Times New Roman" w:hAnsi="Times New Roman" w:hint="eastAsia"/>
          <w:sz w:val="24"/>
        </w:rPr>
        <w:t>）</w:t>
      </w:r>
      <w:r w:rsidRPr="001D2C2D">
        <w:rPr>
          <w:rFonts w:ascii="Times New Roman" w:hAnsi="Times New Roman" w:hint="eastAsia"/>
          <w:sz w:val="24"/>
        </w:rPr>
        <w:t>20530186</w:t>
      </w:r>
    </w:p>
    <w:p w14:paraId="44708753"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传真：（</w:t>
      </w:r>
      <w:r w:rsidRPr="001D2C2D">
        <w:rPr>
          <w:rFonts w:ascii="Times New Roman" w:hAnsi="Times New Roman" w:hint="eastAsia"/>
          <w:sz w:val="24"/>
        </w:rPr>
        <w:t>021</w:t>
      </w:r>
      <w:r w:rsidRPr="001D2C2D">
        <w:rPr>
          <w:rFonts w:ascii="Times New Roman" w:hAnsi="Times New Roman" w:hint="eastAsia"/>
          <w:sz w:val="24"/>
        </w:rPr>
        <w:t>）</w:t>
      </w:r>
      <w:r w:rsidRPr="001D2C2D">
        <w:rPr>
          <w:rFonts w:ascii="Times New Roman" w:hAnsi="Times New Roman" w:hint="eastAsia"/>
          <w:sz w:val="24"/>
        </w:rPr>
        <w:t>20538999</w:t>
      </w:r>
    </w:p>
    <w:p w14:paraId="2C0466FA"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联系人：</w:t>
      </w:r>
      <w:r w:rsidRPr="001D2C2D">
        <w:rPr>
          <w:rFonts w:ascii="Times New Roman" w:hAnsi="Times New Roman" w:hint="eastAsia"/>
          <w:sz w:val="24"/>
        </w:rPr>
        <w:t xml:space="preserve"> </w:t>
      </w:r>
      <w:r w:rsidRPr="001D2C2D">
        <w:rPr>
          <w:rFonts w:ascii="Times New Roman" w:hAnsi="Times New Roman" w:hint="eastAsia"/>
          <w:sz w:val="24"/>
        </w:rPr>
        <w:t>范泽杰</w:t>
      </w:r>
    </w:p>
    <w:p w14:paraId="3FEF46E8"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客户服务电话：</w:t>
      </w:r>
      <w:r w:rsidRPr="001D2C2D">
        <w:rPr>
          <w:rFonts w:ascii="Times New Roman" w:hAnsi="Times New Roman" w:hint="eastAsia"/>
          <w:sz w:val="24"/>
        </w:rPr>
        <w:t>400-820-1515</w:t>
      </w:r>
    </w:p>
    <w:p w14:paraId="59801410"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网址：</w:t>
      </w:r>
      <w:r w:rsidRPr="001D2C2D">
        <w:rPr>
          <w:rFonts w:ascii="Times New Roman" w:hAnsi="Times New Roman" w:hint="eastAsia"/>
          <w:sz w:val="24"/>
        </w:rPr>
        <w:t xml:space="preserve">www.zhengtongfunds.com </w:t>
      </w:r>
    </w:p>
    <w:p w14:paraId="218E853A"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Pr>
          <w:rFonts w:ascii="Times New Roman" w:hAnsi="Times New Roman" w:hint="eastAsia"/>
          <w:sz w:val="24"/>
        </w:rPr>
        <w:t>（</w:t>
      </w:r>
      <w:r w:rsidRPr="001D2C2D">
        <w:rPr>
          <w:rFonts w:ascii="Times New Roman" w:hAnsi="Times New Roman" w:hint="eastAsia"/>
          <w:sz w:val="24"/>
        </w:rPr>
        <w:t>24</w:t>
      </w:r>
      <w:r>
        <w:rPr>
          <w:rFonts w:ascii="Times New Roman" w:hAnsi="Times New Roman" w:hint="eastAsia"/>
          <w:sz w:val="24"/>
        </w:rPr>
        <w:t>）</w:t>
      </w:r>
      <w:r w:rsidRPr="001D2C2D">
        <w:rPr>
          <w:rFonts w:ascii="Times New Roman" w:hAnsi="Times New Roman" w:hint="eastAsia"/>
          <w:sz w:val="24"/>
        </w:rPr>
        <w:t>北京新浪仓石基金销售有限公司</w:t>
      </w:r>
    </w:p>
    <w:p w14:paraId="7399CC9F"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注册地址：北京市海淀区东北旺西路中关村软件园二期（西扩）</w:t>
      </w:r>
      <w:r w:rsidRPr="001D2C2D">
        <w:rPr>
          <w:rFonts w:ascii="Times New Roman" w:hAnsi="Times New Roman" w:hint="eastAsia"/>
          <w:sz w:val="24"/>
        </w:rPr>
        <w:t>N-1</w:t>
      </w:r>
      <w:r w:rsidRPr="001D2C2D">
        <w:rPr>
          <w:rFonts w:ascii="Times New Roman" w:hAnsi="Times New Roman" w:hint="eastAsia"/>
          <w:sz w:val="24"/>
        </w:rPr>
        <w:t>、</w:t>
      </w:r>
      <w:r w:rsidRPr="001D2C2D">
        <w:rPr>
          <w:rFonts w:ascii="Times New Roman" w:hAnsi="Times New Roman" w:hint="eastAsia"/>
          <w:sz w:val="24"/>
        </w:rPr>
        <w:t>N-2</w:t>
      </w:r>
      <w:r w:rsidRPr="001D2C2D">
        <w:rPr>
          <w:rFonts w:ascii="Times New Roman" w:hAnsi="Times New Roman" w:hint="eastAsia"/>
          <w:sz w:val="24"/>
        </w:rPr>
        <w:t>地块新浪总部科研楼</w:t>
      </w:r>
      <w:r w:rsidRPr="001D2C2D">
        <w:rPr>
          <w:rFonts w:ascii="Times New Roman" w:hAnsi="Times New Roman" w:hint="eastAsia"/>
          <w:sz w:val="24"/>
        </w:rPr>
        <w:t>5</w:t>
      </w:r>
      <w:r w:rsidRPr="001D2C2D">
        <w:rPr>
          <w:rFonts w:ascii="Times New Roman" w:hAnsi="Times New Roman" w:hint="eastAsia"/>
          <w:sz w:val="24"/>
        </w:rPr>
        <w:t>层</w:t>
      </w:r>
      <w:r w:rsidRPr="001D2C2D">
        <w:rPr>
          <w:rFonts w:ascii="Times New Roman" w:hAnsi="Times New Roman" w:hint="eastAsia"/>
          <w:sz w:val="24"/>
        </w:rPr>
        <w:t>518</w:t>
      </w:r>
      <w:r w:rsidRPr="001D2C2D">
        <w:rPr>
          <w:rFonts w:ascii="Times New Roman" w:hAnsi="Times New Roman" w:hint="eastAsia"/>
          <w:sz w:val="24"/>
        </w:rPr>
        <w:t>室</w:t>
      </w:r>
    </w:p>
    <w:p w14:paraId="6E4BE5B2"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办公地址：北京市海淀区东北旺西路中关村软件园二期（西扩）</w:t>
      </w:r>
      <w:r w:rsidRPr="001D2C2D">
        <w:rPr>
          <w:rFonts w:ascii="Times New Roman" w:hAnsi="Times New Roman" w:hint="eastAsia"/>
          <w:sz w:val="24"/>
        </w:rPr>
        <w:t>N-1</w:t>
      </w:r>
      <w:r w:rsidRPr="001D2C2D">
        <w:rPr>
          <w:rFonts w:ascii="Times New Roman" w:hAnsi="Times New Roman" w:hint="eastAsia"/>
          <w:sz w:val="24"/>
        </w:rPr>
        <w:t>、</w:t>
      </w:r>
      <w:r w:rsidRPr="001D2C2D">
        <w:rPr>
          <w:rFonts w:ascii="Times New Roman" w:hAnsi="Times New Roman" w:hint="eastAsia"/>
          <w:sz w:val="24"/>
        </w:rPr>
        <w:t>N-2</w:t>
      </w:r>
      <w:r w:rsidRPr="001D2C2D">
        <w:rPr>
          <w:rFonts w:ascii="Times New Roman" w:hAnsi="Times New Roman" w:hint="eastAsia"/>
          <w:sz w:val="24"/>
        </w:rPr>
        <w:t>地块新浪总部科研楼</w:t>
      </w:r>
      <w:r w:rsidRPr="001D2C2D">
        <w:rPr>
          <w:rFonts w:ascii="Times New Roman" w:hAnsi="Times New Roman" w:hint="eastAsia"/>
          <w:sz w:val="24"/>
        </w:rPr>
        <w:t>5</w:t>
      </w:r>
      <w:r w:rsidRPr="001D2C2D">
        <w:rPr>
          <w:rFonts w:ascii="Times New Roman" w:hAnsi="Times New Roman" w:hint="eastAsia"/>
          <w:sz w:val="24"/>
        </w:rPr>
        <w:t>层</w:t>
      </w:r>
      <w:r w:rsidRPr="001D2C2D">
        <w:rPr>
          <w:rFonts w:ascii="Times New Roman" w:hAnsi="Times New Roman" w:hint="eastAsia"/>
          <w:sz w:val="24"/>
        </w:rPr>
        <w:t>518</w:t>
      </w:r>
      <w:r w:rsidRPr="001D2C2D">
        <w:rPr>
          <w:rFonts w:ascii="Times New Roman" w:hAnsi="Times New Roman" w:hint="eastAsia"/>
          <w:sz w:val="24"/>
        </w:rPr>
        <w:t>室</w:t>
      </w:r>
    </w:p>
    <w:p w14:paraId="70B7DA44"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法定代表人：穆飞虎</w:t>
      </w:r>
    </w:p>
    <w:p w14:paraId="583D659A"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电话：</w:t>
      </w:r>
      <w:r w:rsidRPr="001D2C2D">
        <w:rPr>
          <w:rFonts w:ascii="Times New Roman" w:hAnsi="Times New Roman" w:hint="eastAsia"/>
          <w:sz w:val="24"/>
        </w:rPr>
        <w:t>010-58982465</w:t>
      </w:r>
    </w:p>
    <w:p w14:paraId="466FAB5F"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联系人：穆飞虎</w:t>
      </w:r>
    </w:p>
    <w:p w14:paraId="450E40F7"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客服电话：</w:t>
      </w:r>
      <w:r w:rsidRPr="001D2C2D">
        <w:rPr>
          <w:rFonts w:ascii="Times New Roman" w:hAnsi="Times New Roman" w:hint="eastAsia"/>
          <w:sz w:val="24"/>
        </w:rPr>
        <w:t>010-6267 5369</w:t>
      </w:r>
    </w:p>
    <w:p w14:paraId="4EDF1B52"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网址：</w:t>
      </w:r>
      <w:r w:rsidRPr="001D2C2D">
        <w:rPr>
          <w:rFonts w:ascii="Times New Roman" w:hAnsi="Times New Roman" w:hint="eastAsia"/>
          <w:sz w:val="24"/>
        </w:rPr>
        <w:t xml:space="preserve">www.xincai.com </w:t>
      </w:r>
    </w:p>
    <w:p w14:paraId="6027FF97"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Pr>
          <w:rFonts w:ascii="Times New Roman" w:hAnsi="Times New Roman" w:hint="eastAsia"/>
          <w:sz w:val="24"/>
        </w:rPr>
        <w:t>（</w:t>
      </w:r>
      <w:r w:rsidRPr="001D2C2D">
        <w:rPr>
          <w:rFonts w:ascii="Times New Roman" w:hAnsi="Times New Roman" w:hint="eastAsia"/>
          <w:sz w:val="24"/>
        </w:rPr>
        <w:t>25</w:t>
      </w:r>
      <w:r>
        <w:rPr>
          <w:rFonts w:ascii="Times New Roman" w:hAnsi="Times New Roman" w:hint="eastAsia"/>
          <w:sz w:val="24"/>
        </w:rPr>
        <w:t>）</w:t>
      </w:r>
      <w:r w:rsidRPr="001D2C2D">
        <w:rPr>
          <w:rFonts w:ascii="Times New Roman" w:hAnsi="Times New Roman" w:hint="eastAsia"/>
          <w:sz w:val="24"/>
        </w:rPr>
        <w:t>京东肯特瑞基金销售有限公司</w:t>
      </w:r>
    </w:p>
    <w:p w14:paraId="798525C9"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住所：</w:t>
      </w:r>
      <w:r w:rsidRPr="001D2C2D">
        <w:rPr>
          <w:rFonts w:ascii="Times New Roman" w:hAnsi="Times New Roman" w:hint="eastAsia"/>
          <w:sz w:val="24"/>
        </w:rPr>
        <w:t xml:space="preserve"> </w:t>
      </w:r>
      <w:r w:rsidRPr="001D2C2D">
        <w:rPr>
          <w:rFonts w:ascii="Times New Roman" w:hAnsi="Times New Roman" w:hint="eastAsia"/>
          <w:sz w:val="24"/>
        </w:rPr>
        <w:t>北京市海淀区西三旗建材城中路</w:t>
      </w:r>
      <w:r w:rsidRPr="001D2C2D">
        <w:rPr>
          <w:rFonts w:ascii="Times New Roman" w:hAnsi="Times New Roman" w:hint="eastAsia"/>
          <w:sz w:val="24"/>
        </w:rPr>
        <w:t>12</w:t>
      </w:r>
      <w:r w:rsidRPr="001D2C2D">
        <w:rPr>
          <w:rFonts w:ascii="Times New Roman" w:hAnsi="Times New Roman" w:hint="eastAsia"/>
          <w:sz w:val="24"/>
        </w:rPr>
        <w:t>号</w:t>
      </w:r>
      <w:r w:rsidRPr="001D2C2D">
        <w:rPr>
          <w:rFonts w:ascii="Times New Roman" w:hAnsi="Times New Roman" w:hint="eastAsia"/>
          <w:sz w:val="24"/>
        </w:rPr>
        <w:t>17</w:t>
      </w:r>
      <w:r w:rsidRPr="001D2C2D">
        <w:rPr>
          <w:rFonts w:ascii="Times New Roman" w:hAnsi="Times New Roman" w:hint="eastAsia"/>
          <w:sz w:val="24"/>
        </w:rPr>
        <w:t>号平房</w:t>
      </w:r>
      <w:r w:rsidRPr="001D2C2D">
        <w:rPr>
          <w:rFonts w:ascii="Times New Roman" w:hAnsi="Times New Roman" w:hint="eastAsia"/>
          <w:sz w:val="24"/>
        </w:rPr>
        <w:t>157</w:t>
      </w:r>
    </w:p>
    <w:p w14:paraId="0407795F"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办公地址：北京市通州区亦庄经济技术开发区科创十一街</w:t>
      </w:r>
      <w:r w:rsidRPr="001D2C2D">
        <w:rPr>
          <w:rFonts w:ascii="Times New Roman" w:hAnsi="Times New Roman" w:hint="eastAsia"/>
          <w:sz w:val="24"/>
        </w:rPr>
        <w:t>18</w:t>
      </w:r>
      <w:r w:rsidRPr="001D2C2D">
        <w:rPr>
          <w:rFonts w:ascii="Times New Roman" w:hAnsi="Times New Roman" w:hint="eastAsia"/>
          <w:sz w:val="24"/>
        </w:rPr>
        <w:t>号院京东集团总部</w:t>
      </w:r>
      <w:r w:rsidRPr="001D2C2D">
        <w:rPr>
          <w:rFonts w:ascii="Times New Roman" w:hAnsi="Times New Roman" w:hint="eastAsia"/>
          <w:sz w:val="24"/>
        </w:rPr>
        <w:t>A</w:t>
      </w:r>
      <w:r w:rsidRPr="001D2C2D">
        <w:rPr>
          <w:rFonts w:ascii="Times New Roman" w:hAnsi="Times New Roman" w:hint="eastAsia"/>
          <w:sz w:val="24"/>
        </w:rPr>
        <w:t>座</w:t>
      </w:r>
      <w:r w:rsidRPr="001D2C2D">
        <w:rPr>
          <w:rFonts w:ascii="Times New Roman" w:hAnsi="Times New Roman" w:hint="eastAsia"/>
          <w:sz w:val="24"/>
        </w:rPr>
        <w:t>17</w:t>
      </w:r>
      <w:r w:rsidRPr="001D2C2D">
        <w:rPr>
          <w:rFonts w:ascii="Times New Roman" w:hAnsi="Times New Roman" w:hint="eastAsia"/>
          <w:sz w:val="24"/>
        </w:rPr>
        <w:t>层</w:t>
      </w:r>
    </w:p>
    <w:p w14:paraId="2DC7F3F9"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法定代表人：王苏宁</w:t>
      </w:r>
    </w:p>
    <w:p w14:paraId="6AE775B7"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电话：</w:t>
      </w:r>
      <w:r w:rsidRPr="001D2C2D">
        <w:rPr>
          <w:rFonts w:ascii="Times New Roman" w:hAnsi="Times New Roman" w:hint="eastAsia"/>
          <w:sz w:val="24"/>
        </w:rPr>
        <w:t>95118</w:t>
      </w:r>
    </w:p>
    <w:p w14:paraId="4C9BDAA7"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传真：</w:t>
      </w:r>
      <w:r w:rsidRPr="001D2C2D">
        <w:rPr>
          <w:rFonts w:ascii="Times New Roman" w:hAnsi="Times New Roman" w:hint="eastAsia"/>
          <w:sz w:val="24"/>
        </w:rPr>
        <w:t>010-89189566</w:t>
      </w:r>
    </w:p>
    <w:p w14:paraId="1220052C"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联系人：李丹</w:t>
      </w:r>
      <w:r w:rsidRPr="001D2C2D">
        <w:rPr>
          <w:rFonts w:ascii="Times New Roman" w:hAnsi="Times New Roman" w:hint="eastAsia"/>
          <w:sz w:val="24"/>
        </w:rPr>
        <w:t xml:space="preserve">  </w:t>
      </w:r>
    </w:p>
    <w:p w14:paraId="71732DEA"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客服热线：</w:t>
      </w:r>
      <w:r w:rsidRPr="001D2C2D">
        <w:rPr>
          <w:rFonts w:ascii="Times New Roman" w:hAnsi="Times New Roman" w:hint="eastAsia"/>
          <w:sz w:val="24"/>
        </w:rPr>
        <w:t>95118</w:t>
      </w:r>
    </w:p>
    <w:p w14:paraId="6AB56E67"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网址：</w:t>
      </w:r>
      <w:r w:rsidRPr="001D2C2D">
        <w:rPr>
          <w:rFonts w:ascii="Times New Roman" w:hAnsi="Times New Roman" w:hint="eastAsia"/>
          <w:sz w:val="24"/>
        </w:rPr>
        <w:t>kenterui.jd.com</w:t>
      </w:r>
    </w:p>
    <w:p w14:paraId="4D59641F"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Pr>
          <w:rFonts w:ascii="Times New Roman" w:hAnsi="Times New Roman" w:hint="eastAsia"/>
          <w:sz w:val="24"/>
        </w:rPr>
        <w:t>（</w:t>
      </w:r>
      <w:r w:rsidRPr="001D2C2D">
        <w:rPr>
          <w:rFonts w:ascii="Times New Roman" w:hAnsi="Times New Roman" w:hint="eastAsia"/>
          <w:sz w:val="24"/>
        </w:rPr>
        <w:t>26</w:t>
      </w:r>
      <w:r>
        <w:rPr>
          <w:rFonts w:ascii="Times New Roman" w:hAnsi="Times New Roman" w:hint="eastAsia"/>
          <w:sz w:val="24"/>
        </w:rPr>
        <w:t>）</w:t>
      </w:r>
      <w:r w:rsidRPr="001D2C2D">
        <w:rPr>
          <w:rFonts w:ascii="Times New Roman" w:hAnsi="Times New Roman" w:hint="eastAsia"/>
          <w:sz w:val="24"/>
        </w:rPr>
        <w:t xml:space="preserve">  </w:t>
      </w:r>
      <w:r w:rsidRPr="001D2C2D">
        <w:rPr>
          <w:rFonts w:ascii="Times New Roman" w:hAnsi="Times New Roman" w:hint="eastAsia"/>
          <w:sz w:val="24"/>
        </w:rPr>
        <w:t>北京雪球基金销售有限公司</w:t>
      </w:r>
    </w:p>
    <w:p w14:paraId="7962D904"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住所：北京市朝阳区创远路</w:t>
      </w:r>
      <w:r w:rsidRPr="001D2C2D">
        <w:rPr>
          <w:rFonts w:ascii="Times New Roman" w:hAnsi="Times New Roman" w:hint="eastAsia"/>
          <w:sz w:val="24"/>
        </w:rPr>
        <w:t xml:space="preserve"> 34 </w:t>
      </w:r>
      <w:r w:rsidRPr="001D2C2D">
        <w:rPr>
          <w:rFonts w:ascii="Times New Roman" w:hAnsi="Times New Roman" w:hint="eastAsia"/>
          <w:sz w:val="24"/>
        </w:rPr>
        <w:t>号院</w:t>
      </w:r>
      <w:r w:rsidRPr="001D2C2D">
        <w:rPr>
          <w:rFonts w:ascii="Times New Roman" w:hAnsi="Times New Roman" w:hint="eastAsia"/>
          <w:sz w:val="24"/>
        </w:rPr>
        <w:t>6</w:t>
      </w:r>
      <w:r w:rsidRPr="001D2C2D">
        <w:rPr>
          <w:rFonts w:ascii="Times New Roman" w:hAnsi="Times New Roman" w:hint="eastAsia"/>
          <w:sz w:val="24"/>
        </w:rPr>
        <w:t>号楼</w:t>
      </w:r>
      <w:r w:rsidRPr="001D2C2D">
        <w:rPr>
          <w:rFonts w:ascii="Times New Roman" w:hAnsi="Times New Roman" w:hint="eastAsia"/>
          <w:sz w:val="24"/>
        </w:rPr>
        <w:t>15</w:t>
      </w:r>
      <w:r w:rsidRPr="001D2C2D">
        <w:rPr>
          <w:rFonts w:ascii="Times New Roman" w:hAnsi="Times New Roman" w:hint="eastAsia"/>
          <w:sz w:val="24"/>
        </w:rPr>
        <w:t>层</w:t>
      </w:r>
      <w:r w:rsidRPr="001D2C2D">
        <w:rPr>
          <w:rFonts w:ascii="Times New Roman" w:hAnsi="Times New Roman" w:hint="eastAsia"/>
          <w:sz w:val="24"/>
        </w:rPr>
        <w:t>1501</w:t>
      </w:r>
      <w:r w:rsidRPr="001D2C2D">
        <w:rPr>
          <w:rFonts w:ascii="Times New Roman" w:hAnsi="Times New Roman" w:hint="eastAsia"/>
          <w:sz w:val="24"/>
        </w:rPr>
        <w:t>室</w:t>
      </w:r>
    </w:p>
    <w:p w14:paraId="602C73E6"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办公地址：北京市朝阳区创远路</w:t>
      </w:r>
      <w:r w:rsidRPr="001D2C2D">
        <w:rPr>
          <w:rFonts w:ascii="Times New Roman" w:hAnsi="Times New Roman" w:hint="eastAsia"/>
          <w:sz w:val="24"/>
        </w:rPr>
        <w:t xml:space="preserve"> 34 </w:t>
      </w:r>
      <w:r w:rsidRPr="001D2C2D">
        <w:rPr>
          <w:rFonts w:ascii="Times New Roman" w:hAnsi="Times New Roman" w:hint="eastAsia"/>
          <w:sz w:val="24"/>
        </w:rPr>
        <w:t>号院融新科技中心</w:t>
      </w:r>
      <w:r w:rsidRPr="001D2C2D">
        <w:rPr>
          <w:rFonts w:ascii="Times New Roman" w:hAnsi="Times New Roman" w:hint="eastAsia"/>
          <w:sz w:val="24"/>
        </w:rPr>
        <w:t xml:space="preserve"> C </w:t>
      </w:r>
      <w:r w:rsidRPr="001D2C2D">
        <w:rPr>
          <w:rFonts w:ascii="Times New Roman" w:hAnsi="Times New Roman" w:hint="eastAsia"/>
          <w:sz w:val="24"/>
        </w:rPr>
        <w:t>座</w:t>
      </w:r>
      <w:r w:rsidRPr="001D2C2D">
        <w:rPr>
          <w:rFonts w:ascii="Times New Roman" w:hAnsi="Times New Roman" w:hint="eastAsia"/>
          <w:sz w:val="24"/>
        </w:rPr>
        <w:t xml:space="preserve"> 17 </w:t>
      </w:r>
      <w:r w:rsidRPr="001D2C2D">
        <w:rPr>
          <w:rFonts w:ascii="Times New Roman" w:hAnsi="Times New Roman" w:hint="eastAsia"/>
          <w:sz w:val="24"/>
        </w:rPr>
        <w:t>层</w:t>
      </w:r>
    </w:p>
    <w:p w14:paraId="24672BBA"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lastRenderedPageBreak/>
        <w:t>法定代表人：李楠</w:t>
      </w:r>
    </w:p>
    <w:p w14:paraId="25054B00"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电话：（</w:t>
      </w:r>
      <w:r w:rsidRPr="001D2C2D">
        <w:rPr>
          <w:rFonts w:ascii="Times New Roman" w:hAnsi="Times New Roman" w:hint="eastAsia"/>
          <w:sz w:val="24"/>
        </w:rPr>
        <w:t>010</w:t>
      </w:r>
      <w:r w:rsidRPr="001D2C2D">
        <w:rPr>
          <w:rFonts w:ascii="Times New Roman" w:hAnsi="Times New Roman" w:hint="eastAsia"/>
          <w:sz w:val="24"/>
        </w:rPr>
        <w:t>）</w:t>
      </w:r>
      <w:r w:rsidRPr="001D2C2D">
        <w:rPr>
          <w:rFonts w:ascii="Times New Roman" w:hAnsi="Times New Roman" w:hint="eastAsia"/>
          <w:sz w:val="24"/>
        </w:rPr>
        <w:t>61840688</w:t>
      </w:r>
    </w:p>
    <w:p w14:paraId="571AFCF7"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传真：（</w:t>
      </w:r>
      <w:r w:rsidRPr="001D2C2D">
        <w:rPr>
          <w:rFonts w:ascii="Times New Roman" w:hAnsi="Times New Roman" w:hint="eastAsia"/>
          <w:sz w:val="24"/>
        </w:rPr>
        <w:t>010</w:t>
      </w:r>
      <w:r w:rsidRPr="001D2C2D">
        <w:rPr>
          <w:rFonts w:ascii="Times New Roman" w:hAnsi="Times New Roman" w:hint="eastAsia"/>
          <w:sz w:val="24"/>
        </w:rPr>
        <w:t>）</w:t>
      </w:r>
      <w:r w:rsidRPr="001D2C2D">
        <w:rPr>
          <w:rFonts w:ascii="Times New Roman" w:hAnsi="Times New Roman" w:hint="eastAsia"/>
          <w:sz w:val="24"/>
        </w:rPr>
        <w:t>84997571</w:t>
      </w:r>
    </w:p>
    <w:p w14:paraId="416771E3"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联系人：武安广</w:t>
      </w:r>
    </w:p>
    <w:p w14:paraId="3888E95B"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客户服务电话：</w:t>
      </w:r>
      <w:r w:rsidRPr="001D2C2D">
        <w:rPr>
          <w:rFonts w:ascii="Times New Roman" w:hAnsi="Times New Roman" w:hint="eastAsia"/>
          <w:sz w:val="24"/>
        </w:rPr>
        <w:t>400-1599-288</w:t>
      </w:r>
    </w:p>
    <w:p w14:paraId="776D245E"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网址：</w:t>
      </w:r>
      <w:r w:rsidRPr="001D2C2D">
        <w:rPr>
          <w:rFonts w:ascii="Times New Roman" w:hAnsi="Times New Roman" w:hint="eastAsia"/>
          <w:sz w:val="24"/>
        </w:rPr>
        <w:t>danjuanfunds.com</w:t>
      </w:r>
    </w:p>
    <w:p w14:paraId="311921F6"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Pr>
          <w:rFonts w:ascii="Times New Roman" w:hAnsi="Times New Roman" w:hint="eastAsia"/>
          <w:sz w:val="24"/>
        </w:rPr>
        <w:t>（</w:t>
      </w:r>
      <w:r w:rsidRPr="001D2C2D">
        <w:rPr>
          <w:rFonts w:ascii="Times New Roman" w:hAnsi="Times New Roman" w:hint="eastAsia"/>
          <w:sz w:val="24"/>
        </w:rPr>
        <w:t>27</w:t>
      </w:r>
      <w:r>
        <w:rPr>
          <w:rFonts w:ascii="Times New Roman" w:hAnsi="Times New Roman" w:hint="eastAsia"/>
          <w:sz w:val="24"/>
        </w:rPr>
        <w:t>）</w:t>
      </w:r>
      <w:r w:rsidRPr="001D2C2D">
        <w:rPr>
          <w:rFonts w:ascii="Times New Roman" w:hAnsi="Times New Roman" w:hint="eastAsia"/>
          <w:sz w:val="24"/>
        </w:rPr>
        <w:t>深圳市金斧子基金销售有限公司</w:t>
      </w:r>
    </w:p>
    <w:p w14:paraId="2C389EEE"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住所：深圳市南山区粤海街道科苑路</w:t>
      </w:r>
      <w:r w:rsidRPr="001D2C2D">
        <w:rPr>
          <w:rFonts w:ascii="Times New Roman" w:hAnsi="Times New Roman" w:hint="eastAsia"/>
          <w:sz w:val="24"/>
        </w:rPr>
        <w:t>16</w:t>
      </w:r>
      <w:r w:rsidRPr="001D2C2D">
        <w:rPr>
          <w:rFonts w:ascii="Times New Roman" w:hAnsi="Times New Roman" w:hint="eastAsia"/>
          <w:sz w:val="24"/>
        </w:rPr>
        <w:t>号东方科技大厦</w:t>
      </w:r>
      <w:r w:rsidRPr="001D2C2D">
        <w:rPr>
          <w:rFonts w:ascii="Times New Roman" w:hAnsi="Times New Roman" w:hint="eastAsia"/>
          <w:sz w:val="24"/>
        </w:rPr>
        <w:t>18</w:t>
      </w:r>
      <w:r w:rsidRPr="001D2C2D">
        <w:rPr>
          <w:rFonts w:ascii="Times New Roman" w:hAnsi="Times New Roman" w:hint="eastAsia"/>
          <w:sz w:val="24"/>
        </w:rPr>
        <w:t>楼</w:t>
      </w:r>
      <w:r w:rsidRPr="001D2C2D">
        <w:rPr>
          <w:rFonts w:ascii="Times New Roman" w:hAnsi="Times New Roman" w:hint="eastAsia"/>
          <w:sz w:val="24"/>
        </w:rPr>
        <w:t xml:space="preserve"> </w:t>
      </w:r>
    </w:p>
    <w:p w14:paraId="1335CBA8"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办公地址：深圳市南山区粤海街道科苑路科兴科学园</w:t>
      </w:r>
      <w:r w:rsidRPr="001D2C2D">
        <w:rPr>
          <w:rFonts w:ascii="Times New Roman" w:hAnsi="Times New Roman" w:hint="eastAsia"/>
          <w:sz w:val="24"/>
        </w:rPr>
        <w:t>B3</w:t>
      </w:r>
      <w:r w:rsidRPr="001D2C2D">
        <w:rPr>
          <w:rFonts w:ascii="Times New Roman" w:hAnsi="Times New Roman" w:hint="eastAsia"/>
          <w:sz w:val="24"/>
        </w:rPr>
        <w:t>单元</w:t>
      </w:r>
      <w:r w:rsidRPr="001D2C2D">
        <w:rPr>
          <w:rFonts w:ascii="Times New Roman" w:hAnsi="Times New Roman" w:hint="eastAsia"/>
          <w:sz w:val="24"/>
        </w:rPr>
        <w:t>7</w:t>
      </w:r>
      <w:r w:rsidRPr="001D2C2D">
        <w:rPr>
          <w:rFonts w:ascii="Times New Roman" w:hAnsi="Times New Roman" w:hint="eastAsia"/>
          <w:sz w:val="24"/>
        </w:rPr>
        <w:t>楼</w:t>
      </w:r>
    </w:p>
    <w:p w14:paraId="11D2B28B"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法定代表人：赖任军</w:t>
      </w:r>
      <w:r w:rsidRPr="001D2C2D">
        <w:rPr>
          <w:rFonts w:ascii="Times New Roman" w:hAnsi="Times New Roman" w:hint="eastAsia"/>
          <w:sz w:val="24"/>
        </w:rPr>
        <w:t xml:space="preserve"> </w:t>
      </w:r>
    </w:p>
    <w:p w14:paraId="5B182F0C"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电话：（</w:t>
      </w:r>
      <w:r w:rsidRPr="001D2C2D">
        <w:rPr>
          <w:rFonts w:ascii="Times New Roman" w:hAnsi="Times New Roman" w:hint="eastAsia"/>
          <w:sz w:val="24"/>
        </w:rPr>
        <w:t>0755</w:t>
      </w:r>
      <w:r w:rsidRPr="001D2C2D">
        <w:rPr>
          <w:rFonts w:ascii="Times New Roman" w:hAnsi="Times New Roman" w:hint="eastAsia"/>
          <w:sz w:val="24"/>
        </w:rPr>
        <w:t>）</w:t>
      </w:r>
      <w:r w:rsidRPr="001D2C2D">
        <w:rPr>
          <w:rFonts w:ascii="Times New Roman" w:hAnsi="Times New Roman" w:hint="eastAsia"/>
          <w:sz w:val="24"/>
        </w:rPr>
        <w:t>66892301</w:t>
      </w:r>
    </w:p>
    <w:p w14:paraId="49D1D42C"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传真：（</w:t>
      </w:r>
      <w:r w:rsidRPr="001D2C2D">
        <w:rPr>
          <w:rFonts w:ascii="Times New Roman" w:hAnsi="Times New Roman" w:hint="eastAsia"/>
          <w:sz w:val="24"/>
        </w:rPr>
        <w:t>0755</w:t>
      </w:r>
      <w:r w:rsidRPr="001D2C2D">
        <w:rPr>
          <w:rFonts w:ascii="Times New Roman" w:hAnsi="Times New Roman" w:hint="eastAsia"/>
          <w:sz w:val="24"/>
        </w:rPr>
        <w:t>）</w:t>
      </w:r>
      <w:r w:rsidRPr="001D2C2D">
        <w:rPr>
          <w:rFonts w:ascii="Times New Roman" w:hAnsi="Times New Roman" w:hint="eastAsia"/>
          <w:sz w:val="24"/>
        </w:rPr>
        <w:t>66892399</w:t>
      </w:r>
    </w:p>
    <w:p w14:paraId="11C57CA5"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联系人：张烨</w:t>
      </w:r>
      <w:r w:rsidRPr="001D2C2D">
        <w:rPr>
          <w:rFonts w:ascii="Times New Roman" w:hAnsi="Times New Roman" w:hint="eastAsia"/>
          <w:sz w:val="24"/>
        </w:rPr>
        <w:t xml:space="preserve"> </w:t>
      </w:r>
    </w:p>
    <w:p w14:paraId="604B858E"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客户服务电话：</w:t>
      </w:r>
      <w:r w:rsidRPr="001D2C2D">
        <w:rPr>
          <w:rFonts w:ascii="Times New Roman" w:hAnsi="Times New Roman" w:hint="eastAsia"/>
          <w:sz w:val="24"/>
        </w:rPr>
        <w:t>400-9500-888</w:t>
      </w:r>
    </w:p>
    <w:p w14:paraId="4C4F7A97"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网址：</w:t>
      </w:r>
      <w:r w:rsidRPr="001D2C2D">
        <w:rPr>
          <w:rFonts w:ascii="Times New Roman" w:hAnsi="Times New Roman" w:hint="eastAsia"/>
          <w:sz w:val="24"/>
        </w:rPr>
        <w:t>www.jfzinv.com</w:t>
      </w:r>
    </w:p>
    <w:p w14:paraId="201EE32D"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Pr>
          <w:rFonts w:ascii="Times New Roman" w:hAnsi="Times New Roman" w:hint="eastAsia"/>
          <w:sz w:val="24"/>
        </w:rPr>
        <w:t>（</w:t>
      </w:r>
      <w:r w:rsidRPr="001D2C2D">
        <w:rPr>
          <w:rFonts w:ascii="Times New Roman" w:hAnsi="Times New Roman" w:hint="eastAsia"/>
          <w:sz w:val="24"/>
        </w:rPr>
        <w:t>28</w:t>
      </w:r>
      <w:r>
        <w:rPr>
          <w:rFonts w:ascii="Times New Roman" w:hAnsi="Times New Roman" w:hint="eastAsia"/>
          <w:sz w:val="24"/>
        </w:rPr>
        <w:t>）</w:t>
      </w:r>
      <w:r w:rsidRPr="001D2C2D">
        <w:rPr>
          <w:rFonts w:ascii="Times New Roman" w:hAnsi="Times New Roman" w:hint="eastAsia"/>
          <w:sz w:val="24"/>
        </w:rPr>
        <w:t>格上富信投资顾问有限公司</w:t>
      </w:r>
    </w:p>
    <w:p w14:paraId="5BFDF389"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住所：北京市朝阳区东三环北路</w:t>
      </w:r>
      <w:r w:rsidRPr="001D2C2D">
        <w:rPr>
          <w:rFonts w:ascii="Times New Roman" w:hAnsi="Times New Roman" w:hint="eastAsia"/>
          <w:sz w:val="24"/>
        </w:rPr>
        <w:t>19</w:t>
      </w:r>
      <w:r w:rsidRPr="001D2C2D">
        <w:rPr>
          <w:rFonts w:ascii="Times New Roman" w:hAnsi="Times New Roman" w:hint="eastAsia"/>
          <w:sz w:val="24"/>
        </w:rPr>
        <w:t>号楼</w:t>
      </w:r>
      <w:r w:rsidRPr="001D2C2D">
        <w:rPr>
          <w:rFonts w:ascii="Times New Roman" w:hAnsi="Times New Roman" w:hint="eastAsia"/>
          <w:sz w:val="24"/>
        </w:rPr>
        <w:t>701</w:t>
      </w:r>
      <w:r w:rsidRPr="001D2C2D">
        <w:rPr>
          <w:rFonts w:ascii="Times New Roman" w:hAnsi="Times New Roman" w:hint="eastAsia"/>
          <w:sz w:val="24"/>
        </w:rPr>
        <w:t>内</w:t>
      </w:r>
      <w:r w:rsidRPr="001D2C2D">
        <w:rPr>
          <w:rFonts w:ascii="Times New Roman" w:hAnsi="Times New Roman" w:hint="eastAsia"/>
          <w:sz w:val="24"/>
        </w:rPr>
        <w:t>09</w:t>
      </w:r>
      <w:r w:rsidRPr="001D2C2D">
        <w:rPr>
          <w:rFonts w:ascii="Times New Roman" w:hAnsi="Times New Roman" w:hint="eastAsia"/>
          <w:sz w:val="24"/>
        </w:rPr>
        <w:t>室</w:t>
      </w:r>
      <w:r w:rsidRPr="001D2C2D">
        <w:rPr>
          <w:rFonts w:ascii="Times New Roman" w:hAnsi="Times New Roman" w:hint="eastAsia"/>
          <w:sz w:val="24"/>
        </w:rPr>
        <w:t xml:space="preserve"> </w:t>
      </w:r>
    </w:p>
    <w:p w14:paraId="3874C5D5"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办公地址：北京市朝阳区东三环北路</w:t>
      </w:r>
      <w:r w:rsidRPr="001D2C2D">
        <w:rPr>
          <w:rFonts w:ascii="Times New Roman" w:hAnsi="Times New Roman" w:hint="eastAsia"/>
          <w:sz w:val="24"/>
        </w:rPr>
        <w:t>19</w:t>
      </w:r>
      <w:r w:rsidRPr="001D2C2D">
        <w:rPr>
          <w:rFonts w:ascii="Times New Roman" w:hAnsi="Times New Roman" w:hint="eastAsia"/>
          <w:sz w:val="24"/>
        </w:rPr>
        <w:t>号楼</w:t>
      </w:r>
      <w:r w:rsidRPr="001D2C2D">
        <w:rPr>
          <w:rFonts w:ascii="Times New Roman" w:hAnsi="Times New Roman" w:hint="eastAsia"/>
          <w:sz w:val="24"/>
        </w:rPr>
        <w:t>701</w:t>
      </w:r>
      <w:r w:rsidRPr="001D2C2D">
        <w:rPr>
          <w:rFonts w:ascii="Times New Roman" w:hAnsi="Times New Roman" w:hint="eastAsia"/>
          <w:sz w:val="24"/>
        </w:rPr>
        <w:t>内</w:t>
      </w:r>
      <w:r w:rsidRPr="001D2C2D">
        <w:rPr>
          <w:rFonts w:ascii="Times New Roman" w:hAnsi="Times New Roman" w:hint="eastAsia"/>
          <w:sz w:val="24"/>
        </w:rPr>
        <w:t>09</w:t>
      </w:r>
      <w:r w:rsidRPr="001D2C2D">
        <w:rPr>
          <w:rFonts w:ascii="Times New Roman" w:hAnsi="Times New Roman" w:hint="eastAsia"/>
          <w:sz w:val="24"/>
        </w:rPr>
        <w:t>室</w:t>
      </w:r>
    </w:p>
    <w:p w14:paraId="72D647E7"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法定代表人：李悦章</w:t>
      </w:r>
    </w:p>
    <w:p w14:paraId="21916CB8"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电话：（</w:t>
      </w:r>
      <w:r w:rsidRPr="001D2C2D">
        <w:rPr>
          <w:rFonts w:ascii="Times New Roman" w:hAnsi="Times New Roman" w:hint="eastAsia"/>
          <w:sz w:val="24"/>
        </w:rPr>
        <w:t>010</w:t>
      </w:r>
      <w:r w:rsidRPr="001D2C2D">
        <w:rPr>
          <w:rFonts w:ascii="Times New Roman" w:hAnsi="Times New Roman" w:hint="eastAsia"/>
          <w:sz w:val="24"/>
        </w:rPr>
        <w:t>）</w:t>
      </w:r>
      <w:r w:rsidRPr="001D2C2D">
        <w:rPr>
          <w:rFonts w:ascii="Times New Roman" w:hAnsi="Times New Roman" w:hint="eastAsia"/>
          <w:sz w:val="24"/>
        </w:rPr>
        <w:t>85594745</w:t>
      </w:r>
    </w:p>
    <w:p w14:paraId="630495CD"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传真：（</w:t>
      </w:r>
      <w:r w:rsidRPr="001D2C2D">
        <w:rPr>
          <w:rFonts w:ascii="Times New Roman" w:hAnsi="Times New Roman" w:hint="eastAsia"/>
          <w:sz w:val="24"/>
        </w:rPr>
        <w:t>010</w:t>
      </w:r>
      <w:r w:rsidRPr="001D2C2D">
        <w:rPr>
          <w:rFonts w:ascii="Times New Roman" w:hAnsi="Times New Roman" w:hint="eastAsia"/>
          <w:sz w:val="24"/>
        </w:rPr>
        <w:t>）</w:t>
      </w:r>
      <w:r w:rsidRPr="001D2C2D">
        <w:rPr>
          <w:rFonts w:ascii="Times New Roman" w:hAnsi="Times New Roman" w:hint="eastAsia"/>
          <w:sz w:val="24"/>
        </w:rPr>
        <w:t>65983333</w:t>
      </w:r>
    </w:p>
    <w:p w14:paraId="41F3B3D6"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联系人：张林</w:t>
      </w:r>
    </w:p>
    <w:p w14:paraId="3D46F4D4"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客户服务电话：</w:t>
      </w:r>
      <w:r w:rsidRPr="001D2C2D">
        <w:rPr>
          <w:rFonts w:ascii="Times New Roman" w:hAnsi="Times New Roman" w:hint="eastAsia"/>
          <w:sz w:val="24"/>
        </w:rPr>
        <w:t>400-066-8586</w:t>
      </w:r>
    </w:p>
    <w:p w14:paraId="662B4BEB"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网址：</w:t>
      </w:r>
      <w:r w:rsidRPr="001D2C2D">
        <w:rPr>
          <w:rFonts w:ascii="Times New Roman" w:hAnsi="Times New Roman" w:hint="eastAsia"/>
          <w:sz w:val="24"/>
        </w:rPr>
        <w:t xml:space="preserve">www.igesafe.com </w:t>
      </w:r>
    </w:p>
    <w:p w14:paraId="260C6D95"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Pr>
          <w:rFonts w:ascii="Times New Roman" w:hAnsi="Times New Roman" w:hint="eastAsia"/>
          <w:sz w:val="24"/>
        </w:rPr>
        <w:t>（</w:t>
      </w:r>
      <w:r w:rsidRPr="001D2C2D">
        <w:rPr>
          <w:rFonts w:ascii="Times New Roman" w:hAnsi="Times New Roman" w:hint="eastAsia"/>
          <w:sz w:val="24"/>
        </w:rPr>
        <w:t>29</w:t>
      </w:r>
      <w:r>
        <w:rPr>
          <w:rFonts w:ascii="Times New Roman" w:hAnsi="Times New Roman" w:hint="eastAsia"/>
          <w:sz w:val="24"/>
        </w:rPr>
        <w:t>）</w:t>
      </w:r>
      <w:r w:rsidRPr="001D2C2D">
        <w:rPr>
          <w:rFonts w:ascii="Times New Roman" w:hAnsi="Times New Roman" w:hint="eastAsia"/>
          <w:sz w:val="24"/>
        </w:rPr>
        <w:t>上海万得基金销售有限公司</w:t>
      </w:r>
    </w:p>
    <w:p w14:paraId="45D4C698"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住所：中国（上海）自由贸易试验区福山路</w:t>
      </w:r>
      <w:r w:rsidRPr="001D2C2D">
        <w:rPr>
          <w:rFonts w:ascii="Times New Roman" w:hAnsi="Times New Roman" w:hint="eastAsia"/>
          <w:sz w:val="24"/>
        </w:rPr>
        <w:t>33</w:t>
      </w:r>
      <w:r w:rsidRPr="001D2C2D">
        <w:rPr>
          <w:rFonts w:ascii="Times New Roman" w:hAnsi="Times New Roman" w:hint="eastAsia"/>
          <w:sz w:val="24"/>
        </w:rPr>
        <w:t>号</w:t>
      </w:r>
      <w:r w:rsidRPr="001D2C2D">
        <w:rPr>
          <w:rFonts w:ascii="Times New Roman" w:hAnsi="Times New Roman" w:hint="eastAsia"/>
          <w:sz w:val="24"/>
        </w:rPr>
        <w:t>11</w:t>
      </w:r>
      <w:r w:rsidRPr="001D2C2D">
        <w:rPr>
          <w:rFonts w:ascii="Times New Roman" w:hAnsi="Times New Roman" w:hint="eastAsia"/>
          <w:sz w:val="24"/>
        </w:rPr>
        <w:t>楼</w:t>
      </w:r>
      <w:r w:rsidRPr="001D2C2D">
        <w:rPr>
          <w:rFonts w:ascii="Times New Roman" w:hAnsi="Times New Roman" w:hint="eastAsia"/>
          <w:sz w:val="24"/>
        </w:rPr>
        <w:t>B</w:t>
      </w:r>
      <w:r w:rsidRPr="001D2C2D">
        <w:rPr>
          <w:rFonts w:ascii="Times New Roman" w:hAnsi="Times New Roman" w:hint="eastAsia"/>
          <w:sz w:val="24"/>
        </w:rPr>
        <w:t>座</w:t>
      </w:r>
    </w:p>
    <w:p w14:paraId="0ED38A6A"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办公地址：上海市浦东新区浦明路</w:t>
      </w:r>
      <w:r w:rsidRPr="001D2C2D">
        <w:rPr>
          <w:rFonts w:ascii="Times New Roman" w:hAnsi="Times New Roman" w:hint="eastAsia"/>
          <w:sz w:val="24"/>
        </w:rPr>
        <w:t>1500</w:t>
      </w:r>
      <w:r w:rsidRPr="001D2C2D">
        <w:rPr>
          <w:rFonts w:ascii="Times New Roman" w:hAnsi="Times New Roman" w:hint="eastAsia"/>
          <w:sz w:val="24"/>
        </w:rPr>
        <w:t>号万得大厦</w:t>
      </w:r>
      <w:r w:rsidRPr="001D2C2D">
        <w:rPr>
          <w:rFonts w:ascii="Times New Roman" w:hAnsi="Times New Roman" w:hint="eastAsia"/>
          <w:sz w:val="24"/>
        </w:rPr>
        <w:t>11</w:t>
      </w:r>
      <w:r w:rsidRPr="001D2C2D">
        <w:rPr>
          <w:rFonts w:ascii="Times New Roman" w:hAnsi="Times New Roman" w:hint="eastAsia"/>
          <w:sz w:val="24"/>
        </w:rPr>
        <w:t>楼</w:t>
      </w:r>
    </w:p>
    <w:p w14:paraId="6471CC23"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法定代表人：</w:t>
      </w:r>
      <w:r w:rsidRPr="001D2C2D">
        <w:rPr>
          <w:rFonts w:ascii="Times New Roman" w:hAnsi="Times New Roman" w:hint="eastAsia"/>
          <w:sz w:val="24"/>
        </w:rPr>
        <w:t xml:space="preserve"> </w:t>
      </w:r>
      <w:r w:rsidRPr="001D2C2D">
        <w:rPr>
          <w:rFonts w:ascii="Times New Roman" w:hAnsi="Times New Roman" w:hint="eastAsia"/>
          <w:sz w:val="24"/>
        </w:rPr>
        <w:t>宋晓言</w:t>
      </w:r>
    </w:p>
    <w:p w14:paraId="7CB14D6D"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电话：</w:t>
      </w:r>
      <w:r w:rsidRPr="001D2C2D">
        <w:rPr>
          <w:rFonts w:ascii="Times New Roman" w:hAnsi="Times New Roman" w:hint="eastAsia"/>
          <w:sz w:val="24"/>
        </w:rPr>
        <w:t>021-50712782</w:t>
      </w:r>
    </w:p>
    <w:p w14:paraId="38F45253"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传真：</w:t>
      </w:r>
      <w:r w:rsidRPr="001D2C2D">
        <w:rPr>
          <w:rFonts w:ascii="Times New Roman" w:hAnsi="Times New Roman" w:hint="eastAsia"/>
          <w:sz w:val="24"/>
        </w:rPr>
        <w:t>021-50710161</w:t>
      </w:r>
    </w:p>
    <w:p w14:paraId="1006FA38"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lastRenderedPageBreak/>
        <w:t>联系人：</w:t>
      </w:r>
      <w:r w:rsidRPr="001D2C2D">
        <w:rPr>
          <w:rFonts w:ascii="Times New Roman" w:hAnsi="Times New Roman" w:hint="eastAsia"/>
          <w:sz w:val="24"/>
        </w:rPr>
        <w:t xml:space="preserve"> </w:t>
      </w:r>
      <w:r w:rsidRPr="001D2C2D">
        <w:rPr>
          <w:rFonts w:ascii="Times New Roman" w:hAnsi="Times New Roman" w:hint="eastAsia"/>
          <w:sz w:val="24"/>
        </w:rPr>
        <w:t>马烨莹</w:t>
      </w:r>
    </w:p>
    <w:p w14:paraId="76B9F56E"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客户服务电话：</w:t>
      </w:r>
      <w:r w:rsidRPr="001D2C2D">
        <w:rPr>
          <w:rFonts w:ascii="Times New Roman" w:hAnsi="Times New Roman" w:hint="eastAsia"/>
          <w:sz w:val="24"/>
        </w:rPr>
        <w:t>400-799-1888</w:t>
      </w:r>
    </w:p>
    <w:p w14:paraId="57097AEA"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网址：</w:t>
      </w:r>
      <w:r w:rsidRPr="001D2C2D">
        <w:rPr>
          <w:rFonts w:ascii="Times New Roman" w:hAnsi="Times New Roman" w:hint="eastAsia"/>
          <w:sz w:val="24"/>
        </w:rPr>
        <w:t xml:space="preserve"> www.520fund.com.cn</w:t>
      </w:r>
    </w:p>
    <w:p w14:paraId="21BD49E3"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Pr>
          <w:rFonts w:ascii="Times New Roman" w:hAnsi="Times New Roman" w:hint="eastAsia"/>
          <w:sz w:val="24"/>
        </w:rPr>
        <w:t>（</w:t>
      </w:r>
      <w:r w:rsidRPr="001D2C2D">
        <w:rPr>
          <w:rFonts w:ascii="Times New Roman" w:hAnsi="Times New Roman" w:hint="eastAsia"/>
          <w:sz w:val="24"/>
        </w:rPr>
        <w:t>30</w:t>
      </w:r>
      <w:r>
        <w:rPr>
          <w:rFonts w:ascii="Times New Roman" w:hAnsi="Times New Roman" w:hint="eastAsia"/>
          <w:sz w:val="24"/>
        </w:rPr>
        <w:t>）</w:t>
      </w:r>
      <w:r w:rsidRPr="001D2C2D">
        <w:rPr>
          <w:rFonts w:ascii="Times New Roman" w:hAnsi="Times New Roman" w:hint="eastAsia"/>
          <w:sz w:val="24"/>
        </w:rPr>
        <w:t>万家财富基金销售（天津）有限公司</w:t>
      </w:r>
    </w:p>
    <w:p w14:paraId="75C84C00"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住所：天津自贸区（中心商务区）迎宾大道</w:t>
      </w:r>
      <w:r w:rsidRPr="001D2C2D">
        <w:rPr>
          <w:rFonts w:ascii="Times New Roman" w:hAnsi="Times New Roman" w:hint="eastAsia"/>
          <w:sz w:val="24"/>
        </w:rPr>
        <w:t>1988</w:t>
      </w:r>
      <w:r w:rsidRPr="001D2C2D">
        <w:rPr>
          <w:rFonts w:ascii="Times New Roman" w:hAnsi="Times New Roman" w:hint="eastAsia"/>
          <w:sz w:val="24"/>
        </w:rPr>
        <w:t>号滨海浙商大厦公寓</w:t>
      </w:r>
      <w:r w:rsidRPr="001D2C2D">
        <w:rPr>
          <w:rFonts w:ascii="Times New Roman" w:hAnsi="Times New Roman" w:hint="eastAsia"/>
          <w:sz w:val="24"/>
        </w:rPr>
        <w:t>2-2413</w:t>
      </w:r>
      <w:r w:rsidRPr="001D2C2D">
        <w:rPr>
          <w:rFonts w:ascii="Times New Roman" w:hAnsi="Times New Roman" w:hint="eastAsia"/>
          <w:sz w:val="24"/>
        </w:rPr>
        <w:t>室</w:t>
      </w:r>
    </w:p>
    <w:p w14:paraId="2018813B"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办公地址：北京市西城区丰盛胡同</w:t>
      </w:r>
      <w:r w:rsidRPr="001D2C2D">
        <w:rPr>
          <w:rFonts w:ascii="Times New Roman" w:hAnsi="Times New Roman" w:hint="eastAsia"/>
          <w:sz w:val="24"/>
        </w:rPr>
        <w:t>28</w:t>
      </w:r>
      <w:r w:rsidRPr="001D2C2D">
        <w:rPr>
          <w:rFonts w:ascii="Times New Roman" w:hAnsi="Times New Roman" w:hint="eastAsia"/>
          <w:sz w:val="24"/>
        </w:rPr>
        <w:t>号太平洋保险大厦</w:t>
      </w:r>
      <w:r w:rsidRPr="001D2C2D">
        <w:rPr>
          <w:rFonts w:ascii="Times New Roman" w:hAnsi="Times New Roman" w:hint="eastAsia"/>
          <w:sz w:val="24"/>
        </w:rPr>
        <w:t>A</w:t>
      </w:r>
      <w:r w:rsidRPr="001D2C2D">
        <w:rPr>
          <w:rFonts w:ascii="Times New Roman" w:hAnsi="Times New Roman" w:hint="eastAsia"/>
          <w:sz w:val="24"/>
        </w:rPr>
        <w:t>座</w:t>
      </w:r>
      <w:r w:rsidRPr="001D2C2D">
        <w:rPr>
          <w:rFonts w:ascii="Times New Roman" w:hAnsi="Times New Roman" w:hint="eastAsia"/>
          <w:sz w:val="24"/>
        </w:rPr>
        <w:t>5</w:t>
      </w:r>
      <w:r w:rsidRPr="001D2C2D">
        <w:rPr>
          <w:rFonts w:ascii="Times New Roman" w:hAnsi="Times New Roman" w:hint="eastAsia"/>
          <w:sz w:val="24"/>
        </w:rPr>
        <w:t>层</w:t>
      </w:r>
    </w:p>
    <w:p w14:paraId="67227731"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法定代表人：张军</w:t>
      </w:r>
      <w:r w:rsidRPr="001D2C2D">
        <w:rPr>
          <w:rFonts w:ascii="Times New Roman" w:hAnsi="Times New Roman" w:hint="eastAsia"/>
          <w:sz w:val="24"/>
        </w:rPr>
        <w:t xml:space="preserve"> </w:t>
      </w:r>
    </w:p>
    <w:p w14:paraId="30438CEF"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电话：（</w:t>
      </w:r>
      <w:r w:rsidRPr="001D2C2D">
        <w:rPr>
          <w:rFonts w:ascii="Times New Roman" w:hAnsi="Times New Roman" w:hint="eastAsia"/>
          <w:sz w:val="24"/>
        </w:rPr>
        <w:t>010</w:t>
      </w:r>
      <w:r w:rsidRPr="001D2C2D">
        <w:rPr>
          <w:rFonts w:ascii="Times New Roman" w:hAnsi="Times New Roman" w:hint="eastAsia"/>
          <w:sz w:val="24"/>
        </w:rPr>
        <w:t>）</w:t>
      </w:r>
      <w:r w:rsidRPr="001D2C2D">
        <w:rPr>
          <w:rFonts w:ascii="Times New Roman" w:hAnsi="Times New Roman" w:hint="eastAsia"/>
          <w:sz w:val="24"/>
        </w:rPr>
        <w:t>59013825</w:t>
      </w:r>
    </w:p>
    <w:p w14:paraId="2A828983"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传真：（</w:t>
      </w:r>
      <w:r w:rsidRPr="001D2C2D">
        <w:rPr>
          <w:rFonts w:ascii="Times New Roman" w:hAnsi="Times New Roman" w:hint="eastAsia"/>
          <w:sz w:val="24"/>
        </w:rPr>
        <w:t>010</w:t>
      </w:r>
      <w:r w:rsidRPr="001D2C2D">
        <w:rPr>
          <w:rFonts w:ascii="Times New Roman" w:hAnsi="Times New Roman" w:hint="eastAsia"/>
          <w:sz w:val="24"/>
        </w:rPr>
        <w:t>）</w:t>
      </w:r>
      <w:r w:rsidRPr="001D2C2D">
        <w:rPr>
          <w:rFonts w:ascii="Times New Roman" w:hAnsi="Times New Roman" w:hint="eastAsia"/>
          <w:sz w:val="24"/>
        </w:rPr>
        <w:t>59013828</w:t>
      </w:r>
    </w:p>
    <w:p w14:paraId="6CE23483"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联系人：王茜蕊</w:t>
      </w:r>
      <w:r w:rsidRPr="001D2C2D">
        <w:rPr>
          <w:rFonts w:ascii="Times New Roman" w:hAnsi="Times New Roman" w:hint="eastAsia"/>
          <w:sz w:val="24"/>
        </w:rPr>
        <w:t xml:space="preserve"> </w:t>
      </w:r>
    </w:p>
    <w:p w14:paraId="3D058232"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客户服务电话：</w:t>
      </w:r>
      <w:r w:rsidRPr="001D2C2D">
        <w:rPr>
          <w:rFonts w:ascii="Times New Roman" w:hAnsi="Times New Roman" w:hint="eastAsia"/>
          <w:sz w:val="24"/>
        </w:rPr>
        <w:t>010-59013895</w:t>
      </w:r>
    </w:p>
    <w:p w14:paraId="176094B4"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网址：</w:t>
      </w:r>
      <w:r w:rsidRPr="001D2C2D">
        <w:rPr>
          <w:rFonts w:ascii="Times New Roman" w:hAnsi="Times New Roman" w:hint="eastAsia"/>
          <w:sz w:val="24"/>
        </w:rPr>
        <w:t>http://www.wanjiawealth.com/</w:t>
      </w:r>
    </w:p>
    <w:p w14:paraId="6F357D60"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Pr>
          <w:rFonts w:ascii="Times New Roman" w:hAnsi="Times New Roman" w:hint="eastAsia"/>
          <w:sz w:val="24"/>
        </w:rPr>
        <w:t>（</w:t>
      </w:r>
      <w:r w:rsidRPr="001D2C2D">
        <w:rPr>
          <w:rFonts w:ascii="Times New Roman" w:hAnsi="Times New Roman" w:hint="eastAsia"/>
          <w:sz w:val="24"/>
        </w:rPr>
        <w:t>31</w:t>
      </w:r>
      <w:r>
        <w:rPr>
          <w:rFonts w:ascii="Times New Roman" w:hAnsi="Times New Roman" w:hint="eastAsia"/>
          <w:sz w:val="24"/>
        </w:rPr>
        <w:t>）</w:t>
      </w:r>
      <w:r w:rsidRPr="001D2C2D">
        <w:rPr>
          <w:rFonts w:ascii="Times New Roman" w:hAnsi="Times New Roman" w:hint="eastAsia"/>
          <w:sz w:val="24"/>
        </w:rPr>
        <w:t>上海挖财基金销售有限公司</w:t>
      </w:r>
    </w:p>
    <w:p w14:paraId="7217D0B8"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注册地址：中国</w:t>
      </w:r>
      <w:r>
        <w:rPr>
          <w:rFonts w:ascii="Times New Roman" w:hAnsi="Times New Roman" w:hint="eastAsia"/>
          <w:sz w:val="24"/>
        </w:rPr>
        <w:t>（</w:t>
      </w:r>
      <w:r w:rsidRPr="001D2C2D">
        <w:rPr>
          <w:rFonts w:ascii="Times New Roman" w:hAnsi="Times New Roman" w:hint="eastAsia"/>
          <w:sz w:val="24"/>
        </w:rPr>
        <w:t>上海</w:t>
      </w:r>
      <w:r>
        <w:rPr>
          <w:rFonts w:ascii="Times New Roman" w:hAnsi="Times New Roman" w:hint="eastAsia"/>
          <w:sz w:val="24"/>
        </w:rPr>
        <w:t>）</w:t>
      </w:r>
      <w:r w:rsidRPr="001D2C2D">
        <w:rPr>
          <w:rFonts w:ascii="Times New Roman" w:hAnsi="Times New Roman" w:hint="eastAsia"/>
          <w:sz w:val="24"/>
        </w:rPr>
        <w:t>自由贸易试验区杨高南路</w:t>
      </w:r>
      <w:r w:rsidRPr="001D2C2D">
        <w:rPr>
          <w:rFonts w:ascii="Times New Roman" w:hAnsi="Times New Roman" w:hint="eastAsia"/>
          <w:sz w:val="24"/>
        </w:rPr>
        <w:t>759</w:t>
      </w:r>
      <w:r w:rsidRPr="001D2C2D">
        <w:rPr>
          <w:rFonts w:ascii="Times New Roman" w:hAnsi="Times New Roman" w:hint="eastAsia"/>
          <w:sz w:val="24"/>
        </w:rPr>
        <w:t>号</w:t>
      </w:r>
      <w:r w:rsidRPr="001D2C2D">
        <w:rPr>
          <w:rFonts w:ascii="Times New Roman" w:hAnsi="Times New Roman" w:hint="eastAsia"/>
          <w:sz w:val="24"/>
        </w:rPr>
        <w:t>18</w:t>
      </w:r>
      <w:r w:rsidRPr="001D2C2D">
        <w:rPr>
          <w:rFonts w:ascii="Times New Roman" w:hAnsi="Times New Roman" w:hint="eastAsia"/>
          <w:sz w:val="24"/>
        </w:rPr>
        <w:t>层</w:t>
      </w:r>
      <w:r w:rsidRPr="001D2C2D">
        <w:rPr>
          <w:rFonts w:ascii="Times New Roman" w:hAnsi="Times New Roman" w:hint="eastAsia"/>
          <w:sz w:val="24"/>
        </w:rPr>
        <w:t>03</w:t>
      </w:r>
      <w:r w:rsidRPr="001D2C2D">
        <w:rPr>
          <w:rFonts w:ascii="Times New Roman" w:hAnsi="Times New Roman" w:hint="eastAsia"/>
          <w:sz w:val="24"/>
        </w:rPr>
        <w:t>单元</w:t>
      </w:r>
    </w:p>
    <w:p w14:paraId="16AF24FF"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办公地址：中国</w:t>
      </w:r>
      <w:r>
        <w:rPr>
          <w:rFonts w:ascii="Times New Roman" w:hAnsi="Times New Roman" w:hint="eastAsia"/>
          <w:sz w:val="24"/>
        </w:rPr>
        <w:t>（</w:t>
      </w:r>
      <w:r w:rsidRPr="001D2C2D">
        <w:rPr>
          <w:rFonts w:ascii="Times New Roman" w:hAnsi="Times New Roman" w:hint="eastAsia"/>
          <w:sz w:val="24"/>
        </w:rPr>
        <w:t>上海</w:t>
      </w:r>
      <w:r>
        <w:rPr>
          <w:rFonts w:ascii="Times New Roman" w:hAnsi="Times New Roman" w:hint="eastAsia"/>
          <w:sz w:val="24"/>
        </w:rPr>
        <w:t>）</w:t>
      </w:r>
      <w:r w:rsidRPr="001D2C2D">
        <w:rPr>
          <w:rFonts w:ascii="Times New Roman" w:hAnsi="Times New Roman" w:hint="eastAsia"/>
          <w:sz w:val="24"/>
        </w:rPr>
        <w:t>自由贸易试验区杨高南路</w:t>
      </w:r>
      <w:r w:rsidRPr="001D2C2D">
        <w:rPr>
          <w:rFonts w:ascii="Times New Roman" w:hAnsi="Times New Roman" w:hint="eastAsia"/>
          <w:sz w:val="24"/>
        </w:rPr>
        <w:t>759</w:t>
      </w:r>
      <w:r w:rsidRPr="001D2C2D">
        <w:rPr>
          <w:rFonts w:ascii="Times New Roman" w:hAnsi="Times New Roman" w:hint="eastAsia"/>
          <w:sz w:val="24"/>
        </w:rPr>
        <w:t>号</w:t>
      </w:r>
      <w:r w:rsidRPr="001D2C2D">
        <w:rPr>
          <w:rFonts w:ascii="Times New Roman" w:hAnsi="Times New Roman" w:hint="eastAsia"/>
          <w:sz w:val="24"/>
        </w:rPr>
        <w:t>18</w:t>
      </w:r>
      <w:r w:rsidRPr="001D2C2D">
        <w:rPr>
          <w:rFonts w:ascii="Times New Roman" w:hAnsi="Times New Roman" w:hint="eastAsia"/>
          <w:sz w:val="24"/>
        </w:rPr>
        <w:t>层</w:t>
      </w:r>
      <w:r w:rsidRPr="001D2C2D">
        <w:rPr>
          <w:rFonts w:ascii="Times New Roman" w:hAnsi="Times New Roman" w:hint="eastAsia"/>
          <w:sz w:val="24"/>
        </w:rPr>
        <w:t>03</w:t>
      </w:r>
      <w:r w:rsidRPr="001D2C2D">
        <w:rPr>
          <w:rFonts w:ascii="Times New Roman" w:hAnsi="Times New Roman" w:hint="eastAsia"/>
          <w:sz w:val="24"/>
        </w:rPr>
        <w:t>单元</w:t>
      </w:r>
    </w:p>
    <w:p w14:paraId="582B11BE"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法定代表人：吕柳霞</w:t>
      </w:r>
    </w:p>
    <w:p w14:paraId="07548E54"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电话：</w:t>
      </w:r>
      <w:r w:rsidRPr="001D2C2D">
        <w:rPr>
          <w:rFonts w:ascii="Times New Roman" w:hAnsi="Times New Roman" w:hint="eastAsia"/>
          <w:sz w:val="24"/>
        </w:rPr>
        <w:t>021-50810673</w:t>
      </w:r>
    </w:p>
    <w:p w14:paraId="51E4D9FF"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传真：</w:t>
      </w:r>
      <w:r w:rsidRPr="001D2C2D">
        <w:rPr>
          <w:rFonts w:ascii="Times New Roman" w:hAnsi="Times New Roman" w:hint="eastAsia"/>
          <w:sz w:val="24"/>
        </w:rPr>
        <w:t>021-50810687</w:t>
      </w:r>
    </w:p>
    <w:p w14:paraId="538BEF4A"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邮编：</w:t>
      </w:r>
      <w:r w:rsidRPr="001D2C2D">
        <w:rPr>
          <w:rFonts w:ascii="Times New Roman" w:hAnsi="Times New Roman" w:hint="eastAsia"/>
          <w:sz w:val="24"/>
        </w:rPr>
        <w:t>200120</w:t>
      </w:r>
    </w:p>
    <w:p w14:paraId="3A67DA0D"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联系人：毛善波</w:t>
      </w:r>
    </w:p>
    <w:p w14:paraId="3D24FB57"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客服电话：</w:t>
      </w:r>
      <w:r w:rsidRPr="001D2C2D">
        <w:rPr>
          <w:rFonts w:ascii="Times New Roman" w:hAnsi="Times New Roman" w:hint="eastAsia"/>
          <w:sz w:val="24"/>
        </w:rPr>
        <w:t xml:space="preserve">400-711-8718 </w:t>
      </w:r>
    </w:p>
    <w:p w14:paraId="4ECB118B"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网址：</w:t>
      </w:r>
      <w:r w:rsidRPr="001D2C2D">
        <w:rPr>
          <w:rFonts w:ascii="Times New Roman" w:hAnsi="Times New Roman" w:hint="eastAsia"/>
          <w:sz w:val="24"/>
        </w:rPr>
        <w:t>www.wacaijijin.com</w:t>
      </w:r>
    </w:p>
    <w:p w14:paraId="5F6CF2A3"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Pr>
          <w:rFonts w:ascii="Times New Roman" w:hAnsi="Times New Roman" w:hint="eastAsia"/>
          <w:sz w:val="24"/>
        </w:rPr>
        <w:t>（</w:t>
      </w:r>
      <w:r w:rsidRPr="001D2C2D">
        <w:rPr>
          <w:rFonts w:ascii="Times New Roman" w:hAnsi="Times New Roman" w:hint="eastAsia"/>
          <w:sz w:val="24"/>
        </w:rPr>
        <w:t>32</w:t>
      </w:r>
      <w:r>
        <w:rPr>
          <w:rFonts w:ascii="Times New Roman" w:hAnsi="Times New Roman" w:hint="eastAsia"/>
          <w:sz w:val="24"/>
        </w:rPr>
        <w:t>）</w:t>
      </w:r>
      <w:r w:rsidRPr="001D2C2D">
        <w:rPr>
          <w:rFonts w:ascii="Times New Roman" w:hAnsi="Times New Roman" w:hint="eastAsia"/>
          <w:sz w:val="24"/>
        </w:rPr>
        <w:t>嘉实财富管理有限公司</w:t>
      </w:r>
    </w:p>
    <w:p w14:paraId="71A53BB1"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住所：海南省三亚市天涯区三亚湾路国际客运港区国际养生度假中心酒店</w:t>
      </w:r>
      <w:r w:rsidRPr="001D2C2D">
        <w:rPr>
          <w:rFonts w:ascii="Times New Roman" w:hAnsi="Times New Roman" w:hint="eastAsia"/>
          <w:sz w:val="24"/>
        </w:rPr>
        <w:t>B</w:t>
      </w:r>
      <w:r w:rsidRPr="001D2C2D">
        <w:rPr>
          <w:rFonts w:ascii="Times New Roman" w:hAnsi="Times New Roman" w:hint="eastAsia"/>
          <w:sz w:val="24"/>
        </w:rPr>
        <w:t>座</w:t>
      </w:r>
      <w:r>
        <w:rPr>
          <w:rFonts w:ascii="Times New Roman" w:hAnsi="Times New Roman" w:hint="eastAsia"/>
          <w:sz w:val="24"/>
        </w:rPr>
        <w:t>（</w:t>
      </w:r>
      <w:r w:rsidRPr="001D2C2D">
        <w:rPr>
          <w:rFonts w:ascii="Times New Roman" w:hAnsi="Times New Roman" w:hint="eastAsia"/>
          <w:sz w:val="24"/>
        </w:rPr>
        <w:t>2</w:t>
      </w:r>
      <w:r w:rsidRPr="001D2C2D">
        <w:rPr>
          <w:rFonts w:ascii="Times New Roman" w:hAnsi="Times New Roman" w:hint="eastAsia"/>
          <w:sz w:val="24"/>
        </w:rPr>
        <w:t>＃楼</w:t>
      </w:r>
      <w:r>
        <w:rPr>
          <w:rFonts w:ascii="Times New Roman" w:hAnsi="Times New Roman" w:hint="eastAsia"/>
          <w:sz w:val="24"/>
        </w:rPr>
        <w:t>）</w:t>
      </w:r>
      <w:r w:rsidRPr="001D2C2D">
        <w:rPr>
          <w:rFonts w:ascii="Times New Roman" w:hAnsi="Times New Roman" w:hint="eastAsia"/>
          <w:sz w:val="24"/>
        </w:rPr>
        <w:t>27</w:t>
      </w:r>
      <w:r w:rsidRPr="001D2C2D">
        <w:rPr>
          <w:rFonts w:ascii="Times New Roman" w:hAnsi="Times New Roman" w:hint="eastAsia"/>
          <w:sz w:val="24"/>
        </w:rPr>
        <w:t>楼</w:t>
      </w:r>
      <w:r w:rsidRPr="001D2C2D">
        <w:rPr>
          <w:rFonts w:ascii="Times New Roman" w:hAnsi="Times New Roman" w:hint="eastAsia"/>
          <w:sz w:val="24"/>
        </w:rPr>
        <w:t>2714</w:t>
      </w:r>
      <w:r w:rsidRPr="001D2C2D">
        <w:rPr>
          <w:rFonts w:ascii="Times New Roman" w:hAnsi="Times New Roman" w:hint="eastAsia"/>
          <w:sz w:val="24"/>
        </w:rPr>
        <w:t>室</w:t>
      </w:r>
    </w:p>
    <w:p w14:paraId="6AEFE564"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办公地址及其联系方式：北京市朝阳区建国门外大街</w:t>
      </w:r>
      <w:r w:rsidRPr="001D2C2D">
        <w:rPr>
          <w:rFonts w:ascii="Times New Roman" w:hAnsi="Times New Roman" w:hint="eastAsia"/>
          <w:sz w:val="24"/>
        </w:rPr>
        <w:t>21</w:t>
      </w:r>
      <w:r w:rsidRPr="001D2C2D">
        <w:rPr>
          <w:rFonts w:ascii="Times New Roman" w:hAnsi="Times New Roman" w:hint="eastAsia"/>
          <w:sz w:val="24"/>
        </w:rPr>
        <w:t>号北京国际俱乐部</w:t>
      </w:r>
      <w:r w:rsidRPr="001D2C2D">
        <w:rPr>
          <w:rFonts w:ascii="Times New Roman" w:hAnsi="Times New Roman" w:hint="eastAsia"/>
          <w:sz w:val="24"/>
        </w:rPr>
        <w:t>C</w:t>
      </w:r>
      <w:r w:rsidRPr="001D2C2D">
        <w:rPr>
          <w:rFonts w:ascii="Times New Roman" w:hAnsi="Times New Roman" w:hint="eastAsia"/>
          <w:sz w:val="24"/>
        </w:rPr>
        <w:t>座</w:t>
      </w:r>
    </w:p>
    <w:p w14:paraId="10402358"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法定代表人</w:t>
      </w:r>
      <w:r w:rsidRPr="001D2C2D">
        <w:rPr>
          <w:rFonts w:ascii="Times New Roman" w:hAnsi="Times New Roman" w:hint="eastAsia"/>
          <w:sz w:val="24"/>
        </w:rPr>
        <w:t xml:space="preserve">: </w:t>
      </w:r>
      <w:r w:rsidRPr="001D2C2D">
        <w:rPr>
          <w:rFonts w:ascii="Times New Roman" w:hAnsi="Times New Roman" w:hint="eastAsia"/>
          <w:sz w:val="24"/>
        </w:rPr>
        <w:t>张峰</w:t>
      </w:r>
    </w:p>
    <w:p w14:paraId="07989DBF"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电话：</w:t>
      </w:r>
      <w:r w:rsidRPr="001D2C2D">
        <w:rPr>
          <w:rFonts w:ascii="Times New Roman" w:hAnsi="Times New Roman" w:hint="eastAsia"/>
          <w:sz w:val="24"/>
        </w:rPr>
        <w:t xml:space="preserve"> 010-85097302</w:t>
      </w:r>
    </w:p>
    <w:p w14:paraId="04E85366"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联系人：闫欢</w:t>
      </w:r>
    </w:p>
    <w:p w14:paraId="5FD42D92"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客户服务电话：</w:t>
      </w:r>
      <w:r w:rsidRPr="001D2C2D">
        <w:rPr>
          <w:rFonts w:ascii="Times New Roman" w:hAnsi="Times New Roman" w:hint="eastAsia"/>
          <w:sz w:val="24"/>
        </w:rPr>
        <w:t>400-021-8850</w:t>
      </w:r>
    </w:p>
    <w:p w14:paraId="69E518BF"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lastRenderedPageBreak/>
        <w:t>公司网址：</w:t>
      </w:r>
      <w:r w:rsidRPr="001D2C2D">
        <w:rPr>
          <w:rFonts w:ascii="Times New Roman" w:hAnsi="Times New Roman" w:hint="eastAsia"/>
          <w:sz w:val="24"/>
        </w:rPr>
        <w:t>http://www.harvestwm.cn</w:t>
      </w:r>
    </w:p>
    <w:p w14:paraId="14F34802"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Pr>
          <w:rFonts w:ascii="Times New Roman" w:hAnsi="Times New Roman" w:hint="eastAsia"/>
          <w:sz w:val="24"/>
        </w:rPr>
        <w:t>（</w:t>
      </w:r>
      <w:r w:rsidRPr="001D2C2D">
        <w:rPr>
          <w:rFonts w:ascii="Times New Roman" w:hAnsi="Times New Roman" w:hint="eastAsia"/>
          <w:sz w:val="24"/>
        </w:rPr>
        <w:t>33</w:t>
      </w:r>
      <w:r>
        <w:rPr>
          <w:rFonts w:ascii="Times New Roman" w:hAnsi="Times New Roman" w:hint="eastAsia"/>
          <w:sz w:val="24"/>
        </w:rPr>
        <w:t>）</w:t>
      </w:r>
      <w:r w:rsidRPr="001D2C2D">
        <w:rPr>
          <w:rFonts w:ascii="Times New Roman" w:hAnsi="Times New Roman" w:hint="eastAsia"/>
          <w:sz w:val="24"/>
        </w:rPr>
        <w:t>南京苏宁基金销售有限公司</w:t>
      </w:r>
    </w:p>
    <w:p w14:paraId="541E286D"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住所：南京市玄武区苏宁大道</w:t>
      </w:r>
      <w:r w:rsidRPr="001D2C2D">
        <w:rPr>
          <w:rFonts w:ascii="Times New Roman" w:hAnsi="Times New Roman" w:hint="eastAsia"/>
          <w:sz w:val="24"/>
        </w:rPr>
        <w:t>1-5</w:t>
      </w:r>
      <w:r w:rsidRPr="001D2C2D">
        <w:rPr>
          <w:rFonts w:ascii="Times New Roman" w:hAnsi="Times New Roman" w:hint="eastAsia"/>
          <w:sz w:val="24"/>
        </w:rPr>
        <w:t>号</w:t>
      </w:r>
    </w:p>
    <w:p w14:paraId="2401C42D"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办公地址：南京市玄武区苏宁大道</w:t>
      </w:r>
      <w:r w:rsidRPr="001D2C2D">
        <w:rPr>
          <w:rFonts w:ascii="Times New Roman" w:hAnsi="Times New Roman" w:hint="eastAsia"/>
          <w:sz w:val="24"/>
        </w:rPr>
        <w:t>1-5</w:t>
      </w:r>
      <w:r w:rsidRPr="001D2C2D">
        <w:rPr>
          <w:rFonts w:ascii="Times New Roman" w:hAnsi="Times New Roman" w:hint="eastAsia"/>
          <w:sz w:val="24"/>
        </w:rPr>
        <w:t>号</w:t>
      </w:r>
    </w:p>
    <w:p w14:paraId="72CFBF5F"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法定代表人：王锋</w:t>
      </w:r>
    </w:p>
    <w:p w14:paraId="26ED953A"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电话：</w:t>
      </w:r>
      <w:r w:rsidRPr="001D2C2D">
        <w:rPr>
          <w:rFonts w:ascii="Times New Roman" w:hAnsi="Times New Roman" w:hint="eastAsia"/>
          <w:sz w:val="24"/>
        </w:rPr>
        <w:t>025-66996699</w:t>
      </w:r>
    </w:p>
    <w:p w14:paraId="03829356"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传真：</w:t>
      </w:r>
      <w:r w:rsidRPr="001D2C2D">
        <w:rPr>
          <w:rFonts w:ascii="Times New Roman" w:hAnsi="Times New Roman" w:hint="eastAsia"/>
          <w:sz w:val="24"/>
        </w:rPr>
        <w:t>025-66996699</w:t>
      </w:r>
    </w:p>
    <w:p w14:paraId="435B05BC"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联系人：</w:t>
      </w:r>
      <w:r w:rsidRPr="001D2C2D">
        <w:rPr>
          <w:rFonts w:ascii="Times New Roman" w:hAnsi="Times New Roman" w:hint="eastAsia"/>
          <w:sz w:val="24"/>
        </w:rPr>
        <w:t xml:space="preserve"> </w:t>
      </w:r>
      <w:r w:rsidRPr="001D2C2D">
        <w:rPr>
          <w:rFonts w:ascii="Times New Roman" w:hAnsi="Times New Roman" w:hint="eastAsia"/>
          <w:sz w:val="24"/>
        </w:rPr>
        <w:t>冯鹏鹏</w:t>
      </w:r>
    </w:p>
    <w:p w14:paraId="15F7DFAE"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客户服务电话：</w:t>
      </w:r>
      <w:r w:rsidRPr="001D2C2D">
        <w:rPr>
          <w:rFonts w:ascii="Times New Roman" w:hAnsi="Times New Roman" w:hint="eastAsia"/>
          <w:sz w:val="24"/>
        </w:rPr>
        <w:t>95177</w:t>
      </w:r>
    </w:p>
    <w:p w14:paraId="614CDCA4"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网址：</w:t>
      </w:r>
      <w:r w:rsidRPr="001D2C2D">
        <w:rPr>
          <w:rFonts w:ascii="Times New Roman" w:hAnsi="Times New Roman" w:hint="eastAsia"/>
          <w:sz w:val="24"/>
        </w:rPr>
        <w:t xml:space="preserve"> www.snjijin.com</w:t>
      </w:r>
    </w:p>
    <w:p w14:paraId="5CB975E3"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Pr>
          <w:rFonts w:ascii="Times New Roman" w:hAnsi="Times New Roman" w:hint="eastAsia"/>
          <w:sz w:val="24"/>
        </w:rPr>
        <w:t>（</w:t>
      </w:r>
      <w:r w:rsidRPr="001D2C2D">
        <w:rPr>
          <w:rFonts w:ascii="Times New Roman" w:hAnsi="Times New Roman" w:hint="eastAsia"/>
          <w:sz w:val="24"/>
        </w:rPr>
        <w:t>34</w:t>
      </w:r>
      <w:r>
        <w:rPr>
          <w:rFonts w:ascii="Times New Roman" w:hAnsi="Times New Roman" w:hint="eastAsia"/>
          <w:sz w:val="24"/>
        </w:rPr>
        <w:t>）</w:t>
      </w:r>
      <w:r w:rsidRPr="001D2C2D">
        <w:rPr>
          <w:rFonts w:ascii="Times New Roman" w:hAnsi="Times New Roman" w:hint="eastAsia"/>
          <w:sz w:val="24"/>
        </w:rPr>
        <w:t>北京度小满基金销售有限公司</w:t>
      </w:r>
    </w:p>
    <w:p w14:paraId="51EC7E66"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注册地址：北京市海淀区西北旺东路</w:t>
      </w:r>
      <w:r w:rsidRPr="001D2C2D">
        <w:rPr>
          <w:rFonts w:ascii="Times New Roman" w:hAnsi="Times New Roman" w:hint="eastAsia"/>
          <w:sz w:val="24"/>
        </w:rPr>
        <w:t>10</w:t>
      </w:r>
      <w:r w:rsidRPr="001D2C2D">
        <w:rPr>
          <w:rFonts w:ascii="Times New Roman" w:hAnsi="Times New Roman" w:hint="eastAsia"/>
          <w:sz w:val="24"/>
        </w:rPr>
        <w:t>号院西区</w:t>
      </w:r>
      <w:r w:rsidRPr="001D2C2D">
        <w:rPr>
          <w:rFonts w:ascii="Times New Roman" w:hAnsi="Times New Roman" w:hint="eastAsia"/>
          <w:sz w:val="24"/>
        </w:rPr>
        <w:t>4</w:t>
      </w:r>
      <w:r w:rsidRPr="001D2C2D">
        <w:rPr>
          <w:rFonts w:ascii="Times New Roman" w:hAnsi="Times New Roman" w:hint="eastAsia"/>
          <w:sz w:val="24"/>
        </w:rPr>
        <w:t>号楼</w:t>
      </w:r>
      <w:r w:rsidRPr="001D2C2D">
        <w:rPr>
          <w:rFonts w:ascii="Times New Roman" w:hAnsi="Times New Roman" w:hint="eastAsia"/>
          <w:sz w:val="24"/>
        </w:rPr>
        <w:t>1</w:t>
      </w:r>
      <w:r w:rsidRPr="001D2C2D">
        <w:rPr>
          <w:rFonts w:ascii="Times New Roman" w:hAnsi="Times New Roman" w:hint="eastAsia"/>
          <w:sz w:val="24"/>
        </w:rPr>
        <w:t>层</w:t>
      </w:r>
      <w:r w:rsidRPr="001D2C2D">
        <w:rPr>
          <w:rFonts w:ascii="Times New Roman" w:hAnsi="Times New Roman" w:hint="eastAsia"/>
          <w:sz w:val="24"/>
        </w:rPr>
        <w:t>103</w:t>
      </w:r>
      <w:r w:rsidRPr="001D2C2D">
        <w:rPr>
          <w:rFonts w:ascii="Times New Roman" w:hAnsi="Times New Roman" w:hint="eastAsia"/>
          <w:sz w:val="24"/>
        </w:rPr>
        <w:t>室</w:t>
      </w:r>
    </w:p>
    <w:p w14:paraId="78B9EF56"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法定代表人：葛新</w:t>
      </w:r>
    </w:p>
    <w:p w14:paraId="101F9FBF"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办公地址：北京市海淀区西北旺东路</w:t>
      </w:r>
      <w:r w:rsidRPr="001D2C2D">
        <w:rPr>
          <w:rFonts w:ascii="Times New Roman" w:hAnsi="Times New Roman" w:hint="eastAsia"/>
          <w:sz w:val="24"/>
        </w:rPr>
        <w:t>10</w:t>
      </w:r>
      <w:r w:rsidRPr="001D2C2D">
        <w:rPr>
          <w:rFonts w:ascii="Times New Roman" w:hAnsi="Times New Roman" w:hint="eastAsia"/>
          <w:sz w:val="24"/>
        </w:rPr>
        <w:t>号院西区</w:t>
      </w:r>
      <w:r w:rsidRPr="001D2C2D">
        <w:rPr>
          <w:rFonts w:ascii="Times New Roman" w:hAnsi="Times New Roman" w:hint="eastAsia"/>
          <w:sz w:val="24"/>
        </w:rPr>
        <w:t>4</w:t>
      </w:r>
      <w:r w:rsidRPr="001D2C2D">
        <w:rPr>
          <w:rFonts w:ascii="Times New Roman" w:hAnsi="Times New Roman" w:hint="eastAsia"/>
          <w:sz w:val="24"/>
        </w:rPr>
        <w:t>号楼</w:t>
      </w:r>
    </w:p>
    <w:p w14:paraId="28400C46"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机构联系人：王笑宇</w:t>
      </w:r>
    </w:p>
    <w:p w14:paraId="3C23A183"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联系人电话：</w:t>
      </w:r>
      <w:r w:rsidRPr="001D2C2D">
        <w:rPr>
          <w:rFonts w:ascii="Times New Roman" w:hAnsi="Times New Roman" w:hint="eastAsia"/>
          <w:sz w:val="24"/>
        </w:rPr>
        <w:t>010-59403028</w:t>
      </w:r>
    </w:p>
    <w:p w14:paraId="3DF7EE64"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联系人传真：</w:t>
      </w:r>
      <w:r w:rsidRPr="001D2C2D">
        <w:rPr>
          <w:rFonts w:ascii="Times New Roman" w:hAnsi="Times New Roman" w:hint="eastAsia"/>
          <w:sz w:val="24"/>
        </w:rPr>
        <w:t>010-59403027</w:t>
      </w:r>
    </w:p>
    <w:p w14:paraId="6B8136F6"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客户服务电话：</w:t>
      </w:r>
      <w:r w:rsidRPr="001D2C2D">
        <w:rPr>
          <w:rFonts w:ascii="Times New Roman" w:hAnsi="Times New Roman" w:hint="eastAsia"/>
          <w:sz w:val="24"/>
        </w:rPr>
        <w:t>95055-4</w:t>
      </w:r>
    </w:p>
    <w:p w14:paraId="572663E4"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公司网址：</w:t>
      </w:r>
      <w:r w:rsidRPr="001D2C2D">
        <w:rPr>
          <w:rFonts w:ascii="Times New Roman" w:hAnsi="Times New Roman" w:hint="eastAsia"/>
          <w:sz w:val="24"/>
        </w:rPr>
        <w:t>www.baiyingfund.com</w:t>
      </w:r>
    </w:p>
    <w:p w14:paraId="76D30AA6"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Pr>
          <w:rFonts w:ascii="Times New Roman" w:hAnsi="Times New Roman" w:hint="eastAsia"/>
          <w:sz w:val="24"/>
        </w:rPr>
        <w:t>（</w:t>
      </w:r>
      <w:r w:rsidRPr="001D2C2D">
        <w:rPr>
          <w:rFonts w:ascii="Times New Roman" w:hAnsi="Times New Roman" w:hint="eastAsia"/>
          <w:sz w:val="24"/>
        </w:rPr>
        <w:t>35</w:t>
      </w:r>
      <w:r>
        <w:rPr>
          <w:rFonts w:ascii="Times New Roman" w:hAnsi="Times New Roman" w:hint="eastAsia"/>
          <w:sz w:val="24"/>
        </w:rPr>
        <w:t>）</w:t>
      </w:r>
      <w:r w:rsidRPr="001D2C2D">
        <w:rPr>
          <w:rFonts w:ascii="Times New Roman" w:hAnsi="Times New Roman" w:hint="eastAsia"/>
          <w:sz w:val="24"/>
        </w:rPr>
        <w:t>大连网金基金销售有限公司</w:t>
      </w:r>
    </w:p>
    <w:p w14:paraId="194C86EE"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住所：</w:t>
      </w:r>
      <w:r w:rsidRPr="001D2C2D">
        <w:rPr>
          <w:rFonts w:ascii="Times New Roman" w:hAnsi="Times New Roman" w:hint="eastAsia"/>
          <w:sz w:val="24"/>
        </w:rPr>
        <w:t xml:space="preserve"> </w:t>
      </w:r>
      <w:r w:rsidRPr="001D2C2D">
        <w:rPr>
          <w:rFonts w:ascii="Times New Roman" w:hAnsi="Times New Roman" w:hint="eastAsia"/>
          <w:sz w:val="24"/>
        </w:rPr>
        <w:t>辽宁省大连市沙河口区体坛路</w:t>
      </w:r>
      <w:r w:rsidRPr="001D2C2D">
        <w:rPr>
          <w:rFonts w:ascii="Times New Roman" w:hAnsi="Times New Roman" w:hint="eastAsia"/>
          <w:sz w:val="24"/>
        </w:rPr>
        <w:t>22</w:t>
      </w:r>
      <w:r w:rsidRPr="001D2C2D">
        <w:rPr>
          <w:rFonts w:ascii="Times New Roman" w:hAnsi="Times New Roman" w:hint="eastAsia"/>
          <w:sz w:val="24"/>
        </w:rPr>
        <w:t>号诺德大厦</w:t>
      </w:r>
      <w:r w:rsidRPr="001D2C2D">
        <w:rPr>
          <w:rFonts w:ascii="Times New Roman" w:hAnsi="Times New Roman" w:hint="eastAsia"/>
          <w:sz w:val="24"/>
        </w:rPr>
        <w:t>2</w:t>
      </w:r>
      <w:r w:rsidRPr="001D2C2D">
        <w:rPr>
          <w:rFonts w:ascii="Times New Roman" w:hAnsi="Times New Roman" w:hint="eastAsia"/>
          <w:sz w:val="24"/>
        </w:rPr>
        <w:t>层</w:t>
      </w:r>
      <w:r w:rsidRPr="001D2C2D">
        <w:rPr>
          <w:rFonts w:ascii="Times New Roman" w:hAnsi="Times New Roman" w:hint="eastAsia"/>
          <w:sz w:val="24"/>
        </w:rPr>
        <w:t>202</w:t>
      </w:r>
      <w:r w:rsidRPr="001D2C2D">
        <w:rPr>
          <w:rFonts w:ascii="Times New Roman" w:hAnsi="Times New Roman" w:hint="eastAsia"/>
          <w:sz w:val="24"/>
        </w:rPr>
        <w:t>室</w:t>
      </w:r>
    </w:p>
    <w:p w14:paraId="27E11F6B"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办公地址：</w:t>
      </w:r>
      <w:r w:rsidRPr="001D2C2D">
        <w:rPr>
          <w:rFonts w:ascii="Times New Roman" w:hAnsi="Times New Roman" w:hint="eastAsia"/>
          <w:sz w:val="24"/>
        </w:rPr>
        <w:t xml:space="preserve"> </w:t>
      </w:r>
      <w:r w:rsidRPr="001D2C2D">
        <w:rPr>
          <w:rFonts w:ascii="Times New Roman" w:hAnsi="Times New Roman" w:hint="eastAsia"/>
          <w:sz w:val="24"/>
        </w:rPr>
        <w:t>辽宁省大连市沙河口区体坛路</w:t>
      </w:r>
      <w:r w:rsidRPr="001D2C2D">
        <w:rPr>
          <w:rFonts w:ascii="Times New Roman" w:hAnsi="Times New Roman" w:hint="eastAsia"/>
          <w:sz w:val="24"/>
        </w:rPr>
        <w:t>22</w:t>
      </w:r>
      <w:r w:rsidRPr="001D2C2D">
        <w:rPr>
          <w:rFonts w:ascii="Times New Roman" w:hAnsi="Times New Roman" w:hint="eastAsia"/>
          <w:sz w:val="24"/>
        </w:rPr>
        <w:t>号诺德大厦</w:t>
      </w:r>
      <w:r w:rsidRPr="001D2C2D">
        <w:rPr>
          <w:rFonts w:ascii="Times New Roman" w:hAnsi="Times New Roman" w:hint="eastAsia"/>
          <w:sz w:val="24"/>
        </w:rPr>
        <w:t>2</w:t>
      </w:r>
      <w:r w:rsidRPr="001D2C2D">
        <w:rPr>
          <w:rFonts w:ascii="Times New Roman" w:hAnsi="Times New Roman" w:hint="eastAsia"/>
          <w:sz w:val="24"/>
        </w:rPr>
        <w:t>层</w:t>
      </w:r>
      <w:r w:rsidRPr="001D2C2D">
        <w:rPr>
          <w:rFonts w:ascii="Times New Roman" w:hAnsi="Times New Roman" w:hint="eastAsia"/>
          <w:sz w:val="24"/>
        </w:rPr>
        <w:t>202</w:t>
      </w:r>
      <w:r w:rsidRPr="001D2C2D">
        <w:rPr>
          <w:rFonts w:ascii="Times New Roman" w:hAnsi="Times New Roman" w:hint="eastAsia"/>
          <w:sz w:val="24"/>
        </w:rPr>
        <w:t>室</w:t>
      </w:r>
    </w:p>
    <w:p w14:paraId="027F263D"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法定代表人：</w:t>
      </w:r>
      <w:r w:rsidRPr="001D2C2D">
        <w:rPr>
          <w:rFonts w:ascii="Times New Roman" w:hAnsi="Times New Roman" w:hint="eastAsia"/>
          <w:sz w:val="24"/>
        </w:rPr>
        <w:t xml:space="preserve"> </w:t>
      </w:r>
      <w:r w:rsidRPr="001D2C2D">
        <w:rPr>
          <w:rFonts w:ascii="Times New Roman" w:hAnsi="Times New Roman" w:hint="eastAsia"/>
          <w:sz w:val="24"/>
        </w:rPr>
        <w:t>樊怀东</w:t>
      </w:r>
    </w:p>
    <w:p w14:paraId="62EAA7E2"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电话：（</w:t>
      </w:r>
      <w:r w:rsidRPr="001D2C2D">
        <w:rPr>
          <w:rFonts w:ascii="Times New Roman" w:hAnsi="Times New Roman" w:hint="eastAsia"/>
          <w:sz w:val="24"/>
        </w:rPr>
        <w:t>0411-39027810</w:t>
      </w:r>
      <w:r w:rsidRPr="001D2C2D">
        <w:rPr>
          <w:rFonts w:ascii="Times New Roman" w:hAnsi="Times New Roman" w:hint="eastAsia"/>
          <w:sz w:val="24"/>
        </w:rPr>
        <w:t>）</w:t>
      </w:r>
    </w:p>
    <w:p w14:paraId="5F376C02"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传真：（</w:t>
      </w:r>
      <w:r w:rsidRPr="001D2C2D">
        <w:rPr>
          <w:rFonts w:ascii="Times New Roman" w:hAnsi="Times New Roman" w:hint="eastAsia"/>
          <w:sz w:val="24"/>
        </w:rPr>
        <w:t>0411-39027835</w:t>
      </w:r>
      <w:r w:rsidRPr="001D2C2D">
        <w:rPr>
          <w:rFonts w:ascii="Times New Roman" w:hAnsi="Times New Roman" w:hint="eastAsia"/>
          <w:sz w:val="24"/>
        </w:rPr>
        <w:t>）</w:t>
      </w:r>
    </w:p>
    <w:p w14:paraId="6C377093"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联系人：</w:t>
      </w:r>
      <w:r w:rsidRPr="001D2C2D">
        <w:rPr>
          <w:rFonts w:ascii="Times New Roman" w:hAnsi="Times New Roman" w:hint="eastAsia"/>
          <w:sz w:val="24"/>
        </w:rPr>
        <w:t xml:space="preserve"> </w:t>
      </w:r>
      <w:r w:rsidRPr="001D2C2D">
        <w:rPr>
          <w:rFonts w:ascii="Times New Roman" w:hAnsi="Times New Roman" w:hint="eastAsia"/>
          <w:sz w:val="24"/>
        </w:rPr>
        <w:t>于秀</w:t>
      </w:r>
    </w:p>
    <w:p w14:paraId="25E6AE2A"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客户服务电话：</w:t>
      </w:r>
      <w:r w:rsidRPr="001D2C2D">
        <w:rPr>
          <w:rFonts w:ascii="Times New Roman" w:hAnsi="Times New Roman" w:hint="eastAsia"/>
          <w:sz w:val="24"/>
        </w:rPr>
        <w:t xml:space="preserve"> 4000-899-100</w:t>
      </w:r>
    </w:p>
    <w:p w14:paraId="1DB4575A"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网址：</w:t>
      </w:r>
      <w:r w:rsidRPr="001D2C2D">
        <w:rPr>
          <w:rFonts w:ascii="Times New Roman" w:hAnsi="Times New Roman" w:hint="eastAsia"/>
          <w:sz w:val="24"/>
        </w:rPr>
        <w:t>http://www.yibaijin.com/</w:t>
      </w:r>
    </w:p>
    <w:p w14:paraId="2A87E639"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Pr>
          <w:rFonts w:ascii="Times New Roman" w:hAnsi="Times New Roman" w:hint="eastAsia"/>
          <w:sz w:val="24"/>
        </w:rPr>
        <w:t>（</w:t>
      </w:r>
      <w:r w:rsidRPr="001D2C2D">
        <w:rPr>
          <w:rFonts w:ascii="Times New Roman" w:hAnsi="Times New Roman" w:hint="eastAsia"/>
          <w:sz w:val="24"/>
        </w:rPr>
        <w:t>36</w:t>
      </w:r>
      <w:r>
        <w:rPr>
          <w:rFonts w:ascii="Times New Roman" w:hAnsi="Times New Roman" w:hint="eastAsia"/>
          <w:sz w:val="24"/>
        </w:rPr>
        <w:t>）</w:t>
      </w:r>
      <w:r w:rsidRPr="001D2C2D">
        <w:rPr>
          <w:rFonts w:ascii="Times New Roman" w:hAnsi="Times New Roman" w:hint="eastAsia"/>
          <w:sz w:val="24"/>
        </w:rPr>
        <w:t>泛华普益基金销售有限公司</w:t>
      </w:r>
    </w:p>
    <w:p w14:paraId="3A97D9F8"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住所：成都市成华区建设路</w:t>
      </w:r>
      <w:r w:rsidRPr="001D2C2D">
        <w:rPr>
          <w:rFonts w:ascii="Times New Roman" w:hAnsi="Times New Roman" w:hint="eastAsia"/>
          <w:sz w:val="24"/>
        </w:rPr>
        <w:t>9</w:t>
      </w:r>
      <w:r w:rsidRPr="001D2C2D">
        <w:rPr>
          <w:rFonts w:ascii="Times New Roman" w:hAnsi="Times New Roman" w:hint="eastAsia"/>
          <w:sz w:val="24"/>
        </w:rPr>
        <w:t>号高地中心</w:t>
      </w:r>
      <w:r w:rsidRPr="001D2C2D">
        <w:rPr>
          <w:rFonts w:ascii="Times New Roman" w:hAnsi="Times New Roman" w:hint="eastAsia"/>
          <w:sz w:val="24"/>
        </w:rPr>
        <w:t>1101</w:t>
      </w:r>
      <w:r w:rsidRPr="001D2C2D">
        <w:rPr>
          <w:rFonts w:ascii="Times New Roman" w:hAnsi="Times New Roman" w:hint="eastAsia"/>
          <w:sz w:val="24"/>
        </w:rPr>
        <w:t>室</w:t>
      </w:r>
      <w:r w:rsidRPr="001D2C2D">
        <w:rPr>
          <w:rFonts w:ascii="Times New Roman" w:hAnsi="Times New Roman" w:hint="eastAsia"/>
          <w:sz w:val="24"/>
        </w:rPr>
        <w:t xml:space="preserve"> </w:t>
      </w:r>
    </w:p>
    <w:p w14:paraId="6E91E0F3"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lastRenderedPageBreak/>
        <w:t>办公地址：</w:t>
      </w:r>
      <w:r w:rsidRPr="001D2C2D">
        <w:rPr>
          <w:rFonts w:ascii="Times New Roman" w:hAnsi="Times New Roman" w:hint="eastAsia"/>
          <w:sz w:val="24"/>
        </w:rPr>
        <w:t xml:space="preserve"> </w:t>
      </w:r>
      <w:r w:rsidRPr="001D2C2D">
        <w:rPr>
          <w:rFonts w:ascii="Times New Roman" w:hAnsi="Times New Roman" w:hint="eastAsia"/>
          <w:sz w:val="24"/>
        </w:rPr>
        <w:t>成都市金牛区花照壁西顺街</w:t>
      </w:r>
      <w:r w:rsidRPr="001D2C2D">
        <w:rPr>
          <w:rFonts w:ascii="Times New Roman" w:hAnsi="Times New Roman" w:hint="eastAsia"/>
          <w:sz w:val="24"/>
        </w:rPr>
        <w:t>399</w:t>
      </w:r>
      <w:r w:rsidRPr="001D2C2D">
        <w:rPr>
          <w:rFonts w:ascii="Times New Roman" w:hAnsi="Times New Roman" w:hint="eastAsia"/>
          <w:sz w:val="24"/>
        </w:rPr>
        <w:t>号</w:t>
      </w:r>
      <w:r w:rsidRPr="001D2C2D">
        <w:rPr>
          <w:rFonts w:ascii="Times New Roman" w:hAnsi="Times New Roman" w:hint="eastAsia"/>
          <w:sz w:val="24"/>
        </w:rPr>
        <w:t>1</w:t>
      </w:r>
      <w:r w:rsidRPr="001D2C2D">
        <w:rPr>
          <w:rFonts w:ascii="Times New Roman" w:hAnsi="Times New Roman" w:hint="eastAsia"/>
          <w:sz w:val="24"/>
        </w:rPr>
        <w:t>栋</w:t>
      </w:r>
      <w:r w:rsidRPr="001D2C2D">
        <w:rPr>
          <w:rFonts w:ascii="Times New Roman" w:hAnsi="Times New Roman" w:hint="eastAsia"/>
          <w:sz w:val="24"/>
        </w:rPr>
        <w:t>1</w:t>
      </w:r>
      <w:r w:rsidRPr="001D2C2D">
        <w:rPr>
          <w:rFonts w:ascii="Times New Roman" w:hAnsi="Times New Roman" w:hint="eastAsia"/>
          <w:sz w:val="24"/>
        </w:rPr>
        <w:t>单元龙湖西宸天街</w:t>
      </w:r>
      <w:r w:rsidRPr="001D2C2D">
        <w:rPr>
          <w:rFonts w:ascii="Times New Roman" w:hAnsi="Times New Roman" w:hint="eastAsia"/>
          <w:sz w:val="24"/>
        </w:rPr>
        <w:t>B</w:t>
      </w:r>
      <w:r w:rsidRPr="001D2C2D">
        <w:rPr>
          <w:rFonts w:ascii="Times New Roman" w:hAnsi="Times New Roman" w:hint="eastAsia"/>
          <w:sz w:val="24"/>
        </w:rPr>
        <w:t>座</w:t>
      </w:r>
      <w:r w:rsidRPr="001D2C2D">
        <w:rPr>
          <w:rFonts w:ascii="Times New Roman" w:hAnsi="Times New Roman" w:hint="eastAsia"/>
          <w:sz w:val="24"/>
        </w:rPr>
        <w:t>1201</w:t>
      </w:r>
      <w:r w:rsidRPr="001D2C2D">
        <w:rPr>
          <w:rFonts w:ascii="Times New Roman" w:hAnsi="Times New Roman" w:hint="eastAsia"/>
          <w:sz w:val="24"/>
        </w:rPr>
        <w:t>号</w:t>
      </w:r>
    </w:p>
    <w:p w14:paraId="6D6FACA8"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法定代表人：于海锋</w:t>
      </w:r>
    </w:p>
    <w:p w14:paraId="703F95E6"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电话：</w:t>
      </w:r>
      <w:r w:rsidRPr="001D2C2D">
        <w:rPr>
          <w:rFonts w:ascii="Times New Roman" w:hAnsi="Times New Roman" w:hint="eastAsia"/>
          <w:sz w:val="24"/>
        </w:rPr>
        <w:t>028-8661-6229</w:t>
      </w:r>
    </w:p>
    <w:p w14:paraId="526695E9"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传真：无</w:t>
      </w:r>
    </w:p>
    <w:p w14:paraId="4491E123"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联系人：隋亚方</w:t>
      </w:r>
    </w:p>
    <w:p w14:paraId="2B76DF39"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客户服务电话：</w:t>
      </w:r>
      <w:r w:rsidRPr="001D2C2D">
        <w:rPr>
          <w:rFonts w:ascii="Times New Roman" w:hAnsi="Times New Roman" w:hint="eastAsia"/>
          <w:sz w:val="24"/>
        </w:rPr>
        <w:t>400-080-3388</w:t>
      </w:r>
    </w:p>
    <w:p w14:paraId="0A5E4994"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网址：</w:t>
      </w:r>
      <w:r w:rsidRPr="001D2C2D">
        <w:rPr>
          <w:rFonts w:ascii="Times New Roman" w:hAnsi="Times New Roman" w:hint="eastAsia"/>
          <w:sz w:val="24"/>
        </w:rPr>
        <w:t>https://www.puyifund.com/</w:t>
      </w:r>
    </w:p>
    <w:p w14:paraId="5E396B43"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Pr>
          <w:rFonts w:ascii="Times New Roman" w:hAnsi="Times New Roman" w:hint="eastAsia"/>
          <w:sz w:val="24"/>
        </w:rPr>
        <w:t>（</w:t>
      </w:r>
      <w:r w:rsidRPr="001D2C2D">
        <w:rPr>
          <w:rFonts w:ascii="Times New Roman" w:hAnsi="Times New Roman" w:hint="eastAsia"/>
          <w:sz w:val="24"/>
        </w:rPr>
        <w:t>37</w:t>
      </w:r>
      <w:r>
        <w:rPr>
          <w:rFonts w:ascii="Times New Roman" w:hAnsi="Times New Roman" w:hint="eastAsia"/>
          <w:sz w:val="24"/>
        </w:rPr>
        <w:t>）</w:t>
      </w:r>
      <w:r w:rsidRPr="001D2C2D">
        <w:rPr>
          <w:rFonts w:ascii="Times New Roman" w:hAnsi="Times New Roman" w:hint="eastAsia"/>
          <w:sz w:val="24"/>
        </w:rPr>
        <w:t>上海中欧财富基金销售有限公司</w:t>
      </w:r>
    </w:p>
    <w:p w14:paraId="5BD4C187"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住所：中国（上海）自由贸易试验区陆家嘴环路</w:t>
      </w:r>
      <w:r w:rsidRPr="001D2C2D">
        <w:rPr>
          <w:rFonts w:ascii="Times New Roman" w:hAnsi="Times New Roman" w:hint="eastAsia"/>
          <w:sz w:val="24"/>
        </w:rPr>
        <w:t>479</w:t>
      </w:r>
      <w:r w:rsidRPr="001D2C2D">
        <w:rPr>
          <w:rFonts w:ascii="Times New Roman" w:hAnsi="Times New Roman" w:hint="eastAsia"/>
          <w:sz w:val="24"/>
        </w:rPr>
        <w:t>号</w:t>
      </w:r>
      <w:r w:rsidRPr="001D2C2D">
        <w:rPr>
          <w:rFonts w:ascii="Times New Roman" w:hAnsi="Times New Roman" w:hint="eastAsia"/>
          <w:sz w:val="24"/>
        </w:rPr>
        <w:t>1008-1</w:t>
      </w:r>
      <w:r w:rsidRPr="001D2C2D">
        <w:rPr>
          <w:rFonts w:ascii="Times New Roman" w:hAnsi="Times New Roman" w:hint="eastAsia"/>
          <w:sz w:val="24"/>
        </w:rPr>
        <w:t>室</w:t>
      </w:r>
    </w:p>
    <w:p w14:paraId="0C11503B"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办公地址：上海市虹口区公平路</w:t>
      </w:r>
      <w:r w:rsidRPr="001D2C2D">
        <w:rPr>
          <w:rFonts w:ascii="Times New Roman" w:hAnsi="Times New Roman" w:hint="eastAsia"/>
          <w:sz w:val="24"/>
        </w:rPr>
        <w:t>18</w:t>
      </w:r>
      <w:r w:rsidRPr="001D2C2D">
        <w:rPr>
          <w:rFonts w:ascii="Times New Roman" w:hAnsi="Times New Roman" w:hint="eastAsia"/>
          <w:sz w:val="24"/>
        </w:rPr>
        <w:t>号嘉昱大厦</w:t>
      </w:r>
      <w:r w:rsidRPr="001D2C2D">
        <w:rPr>
          <w:rFonts w:ascii="Times New Roman" w:hAnsi="Times New Roman" w:hint="eastAsia"/>
          <w:sz w:val="24"/>
        </w:rPr>
        <w:t>6</w:t>
      </w:r>
      <w:r w:rsidRPr="001D2C2D">
        <w:rPr>
          <w:rFonts w:ascii="Times New Roman" w:hAnsi="Times New Roman" w:hint="eastAsia"/>
          <w:sz w:val="24"/>
        </w:rPr>
        <w:t>楼</w:t>
      </w:r>
    </w:p>
    <w:p w14:paraId="0F3FA866"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法定代表人：许欣</w:t>
      </w:r>
    </w:p>
    <w:p w14:paraId="182C170A"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电话：</w:t>
      </w:r>
      <w:r w:rsidRPr="001D2C2D">
        <w:rPr>
          <w:rFonts w:ascii="Times New Roman" w:hAnsi="Times New Roman" w:hint="eastAsia"/>
          <w:sz w:val="24"/>
        </w:rPr>
        <w:t>021-68609600</w:t>
      </w:r>
    </w:p>
    <w:p w14:paraId="6E7CA722"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传真：</w:t>
      </w:r>
      <w:r w:rsidRPr="001D2C2D">
        <w:rPr>
          <w:rFonts w:ascii="Times New Roman" w:hAnsi="Times New Roman" w:hint="eastAsia"/>
          <w:sz w:val="24"/>
        </w:rPr>
        <w:t>021-33830351</w:t>
      </w:r>
    </w:p>
    <w:p w14:paraId="3F24AEA6"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联系人：</w:t>
      </w:r>
      <w:r w:rsidRPr="001D2C2D">
        <w:rPr>
          <w:rFonts w:ascii="Times New Roman" w:hAnsi="Times New Roman" w:hint="eastAsia"/>
          <w:sz w:val="24"/>
        </w:rPr>
        <w:t xml:space="preserve"> </w:t>
      </w:r>
      <w:r w:rsidRPr="001D2C2D">
        <w:rPr>
          <w:rFonts w:ascii="Times New Roman" w:hAnsi="Times New Roman" w:hint="eastAsia"/>
          <w:sz w:val="24"/>
        </w:rPr>
        <w:t>刘弘义</w:t>
      </w:r>
    </w:p>
    <w:p w14:paraId="7D4CF456"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客户服务电话：</w:t>
      </w:r>
      <w:r w:rsidRPr="001D2C2D">
        <w:rPr>
          <w:rFonts w:ascii="Times New Roman" w:hAnsi="Times New Roman" w:hint="eastAsia"/>
          <w:sz w:val="24"/>
        </w:rPr>
        <w:t>400-700-9700</w:t>
      </w:r>
    </w:p>
    <w:p w14:paraId="0C4685E0"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公司网址：</w:t>
      </w:r>
      <w:r w:rsidRPr="001D2C2D">
        <w:rPr>
          <w:rFonts w:ascii="Times New Roman" w:hAnsi="Times New Roman" w:hint="eastAsia"/>
          <w:sz w:val="24"/>
        </w:rPr>
        <w:t>https://www.zocaifu.com</w:t>
      </w:r>
    </w:p>
    <w:p w14:paraId="088A94F5"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Pr>
          <w:rFonts w:ascii="Times New Roman" w:hAnsi="Times New Roman" w:hint="eastAsia"/>
          <w:sz w:val="24"/>
        </w:rPr>
        <w:t>（</w:t>
      </w:r>
      <w:r w:rsidRPr="001D2C2D">
        <w:rPr>
          <w:rFonts w:ascii="Times New Roman" w:hAnsi="Times New Roman" w:hint="eastAsia"/>
          <w:sz w:val="24"/>
        </w:rPr>
        <w:t>38</w:t>
      </w:r>
      <w:r>
        <w:rPr>
          <w:rFonts w:ascii="Times New Roman" w:hAnsi="Times New Roman" w:hint="eastAsia"/>
          <w:sz w:val="24"/>
        </w:rPr>
        <w:t>）</w:t>
      </w:r>
      <w:r w:rsidRPr="001D2C2D">
        <w:rPr>
          <w:rFonts w:ascii="Times New Roman" w:hAnsi="Times New Roman" w:hint="eastAsia"/>
          <w:sz w:val="24"/>
        </w:rPr>
        <w:t>和耕传承基金销售有限公司</w:t>
      </w:r>
    </w:p>
    <w:p w14:paraId="47811F6B"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住所：河南自贸试验区郑州片区（郑东）东风南路东康宁街北</w:t>
      </w:r>
      <w:r w:rsidRPr="001D2C2D">
        <w:rPr>
          <w:rFonts w:ascii="Times New Roman" w:hAnsi="Times New Roman" w:hint="eastAsia"/>
          <w:sz w:val="24"/>
        </w:rPr>
        <w:t>6</w:t>
      </w:r>
      <w:r w:rsidRPr="001D2C2D">
        <w:rPr>
          <w:rFonts w:ascii="Times New Roman" w:hAnsi="Times New Roman" w:hint="eastAsia"/>
          <w:sz w:val="24"/>
        </w:rPr>
        <w:t>号楼</w:t>
      </w:r>
      <w:r w:rsidRPr="001D2C2D">
        <w:rPr>
          <w:rFonts w:ascii="Times New Roman" w:hAnsi="Times New Roman" w:hint="eastAsia"/>
          <w:sz w:val="24"/>
        </w:rPr>
        <w:t>5</w:t>
      </w:r>
      <w:r w:rsidRPr="001D2C2D">
        <w:rPr>
          <w:rFonts w:ascii="Times New Roman" w:hAnsi="Times New Roman" w:hint="eastAsia"/>
          <w:sz w:val="24"/>
        </w:rPr>
        <w:t>楼</w:t>
      </w:r>
      <w:r w:rsidRPr="001D2C2D">
        <w:rPr>
          <w:rFonts w:ascii="Times New Roman" w:hAnsi="Times New Roman" w:hint="eastAsia"/>
          <w:sz w:val="24"/>
        </w:rPr>
        <w:t>503</w:t>
      </w:r>
    </w:p>
    <w:p w14:paraId="3F9F305A"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办公地址：河南自贸试验区郑州片区（郑东）东风南路东康宁街北</w:t>
      </w:r>
      <w:r w:rsidRPr="001D2C2D">
        <w:rPr>
          <w:rFonts w:ascii="Times New Roman" w:hAnsi="Times New Roman" w:hint="eastAsia"/>
          <w:sz w:val="24"/>
        </w:rPr>
        <w:t>6</w:t>
      </w:r>
      <w:r w:rsidRPr="001D2C2D">
        <w:rPr>
          <w:rFonts w:ascii="Times New Roman" w:hAnsi="Times New Roman" w:hint="eastAsia"/>
          <w:sz w:val="24"/>
        </w:rPr>
        <w:t>号楼</w:t>
      </w:r>
      <w:r w:rsidRPr="001D2C2D">
        <w:rPr>
          <w:rFonts w:ascii="Times New Roman" w:hAnsi="Times New Roman" w:hint="eastAsia"/>
          <w:sz w:val="24"/>
        </w:rPr>
        <w:t>5</w:t>
      </w:r>
      <w:r w:rsidRPr="001D2C2D">
        <w:rPr>
          <w:rFonts w:ascii="Times New Roman" w:hAnsi="Times New Roman" w:hint="eastAsia"/>
          <w:sz w:val="24"/>
        </w:rPr>
        <w:t>楼</w:t>
      </w:r>
      <w:r w:rsidRPr="001D2C2D">
        <w:rPr>
          <w:rFonts w:ascii="Times New Roman" w:hAnsi="Times New Roman" w:hint="eastAsia"/>
          <w:sz w:val="24"/>
        </w:rPr>
        <w:t>503</w:t>
      </w:r>
    </w:p>
    <w:p w14:paraId="590EB66C"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法定代表人：温丽燕</w:t>
      </w:r>
    </w:p>
    <w:p w14:paraId="24794340"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电话：</w:t>
      </w:r>
      <w:r w:rsidRPr="001D2C2D">
        <w:rPr>
          <w:rFonts w:ascii="Times New Roman" w:hAnsi="Times New Roman" w:hint="eastAsia"/>
          <w:sz w:val="24"/>
        </w:rPr>
        <w:t>0371-85518395</w:t>
      </w:r>
    </w:p>
    <w:p w14:paraId="5B15A4F2"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传真：</w:t>
      </w:r>
      <w:r w:rsidRPr="001D2C2D">
        <w:rPr>
          <w:rFonts w:ascii="Times New Roman" w:hAnsi="Times New Roman" w:hint="eastAsia"/>
          <w:sz w:val="24"/>
        </w:rPr>
        <w:t>0371-85518397</w:t>
      </w:r>
    </w:p>
    <w:p w14:paraId="6865C8AE"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联系人：胡静华</w:t>
      </w:r>
    </w:p>
    <w:p w14:paraId="23D0A337"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客户服务电话：</w:t>
      </w:r>
      <w:r w:rsidRPr="001D2C2D">
        <w:rPr>
          <w:rFonts w:ascii="Times New Roman" w:hAnsi="Times New Roman" w:hint="eastAsia"/>
          <w:sz w:val="24"/>
        </w:rPr>
        <w:t>4000555671</w:t>
      </w:r>
    </w:p>
    <w:p w14:paraId="16122CF4"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网址：</w:t>
      </w:r>
      <w:r w:rsidRPr="001D2C2D">
        <w:rPr>
          <w:rFonts w:ascii="Times New Roman" w:hAnsi="Times New Roman" w:hint="eastAsia"/>
          <w:sz w:val="24"/>
        </w:rPr>
        <w:t>www.hgccpb.com</w:t>
      </w:r>
    </w:p>
    <w:p w14:paraId="52535A6A"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Pr>
          <w:rFonts w:ascii="Times New Roman" w:hAnsi="Times New Roman" w:hint="eastAsia"/>
          <w:sz w:val="24"/>
        </w:rPr>
        <w:t>（</w:t>
      </w:r>
      <w:r w:rsidRPr="001D2C2D">
        <w:rPr>
          <w:rFonts w:ascii="Times New Roman" w:hAnsi="Times New Roman" w:hint="eastAsia"/>
          <w:sz w:val="24"/>
        </w:rPr>
        <w:t>39</w:t>
      </w:r>
      <w:r>
        <w:rPr>
          <w:rFonts w:ascii="Times New Roman" w:hAnsi="Times New Roman" w:hint="eastAsia"/>
          <w:sz w:val="24"/>
        </w:rPr>
        <w:t>）</w:t>
      </w:r>
      <w:r w:rsidRPr="001D2C2D">
        <w:rPr>
          <w:rFonts w:ascii="Times New Roman" w:hAnsi="Times New Roman" w:hint="eastAsia"/>
          <w:sz w:val="24"/>
        </w:rPr>
        <w:t>北京中植基金销售有限公司</w:t>
      </w:r>
    </w:p>
    <w:p w14:paraId="62C0832D"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注册地址：北京市北京经济技术开发区宏达北路</w:t>
      </w:r>
      <w:r w:rsidRPr="001D2C2D">
        <w:rPr>
          <w:rFonts w:ascii="Times New Roman" w:hAnsi="Times New Roman" w:hint="eastAsia"/>
          <w:sz w:val="24"/>
        </w:rPr>
        <w:t>10</w:t>
      </w:r>
      <w:r w:rsidRPr="001D2C2D">
        <w:rPr>
          <w:rFonts w:ascii="Times New Roman" w:hAnsi="Times New Roman" w:hint="eastAsia"/>
          <w:sz w:val="24"/>
        </w:rPr>
        <w:t>号五层</w:t>
      </w:r>
      <w:r w:rsidRPr="001D2C2D">
        <w:rPr>
          <w:rFonts w:ascii="Times New Roman" w:hAnsi="Times New Roman" w:hint="eastAsia"/>
          <w:sz w:val="24"/>
        </w:rPr>
        <w:t>5122</w:t>
      </w:r>
      <w:r w:rsidRPr="001D2C2D">
        <w:rPr>
          <w:rFonts w:ascii="Times New Roman" w:hAnsi="Times New Roman" w:hint="eastAsia"/>
          <w:sz w:val="24"/>
        </w:rPr>
        <w:t>室</w:t>
      </w:r>
    </w:p>
    <w:p w14:paraId="0E753A0E"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办公地址：北京朝阳区大望路金地中心</w:t>
      </w:r>
      <w:r w:rsidRPr="001D2C2D">
        <w:rPr>
          <w:rFonts w:ascii="Times New Roman" w:hAnsi="Times New Roman" w:hint="eastAsia"/>
          <w:sz w:val="24"/>
        </w:rPr>
        <w:t>A</w:t>
      </w:r>
      <w:r w:rsidRPr="001D2C2D">
        <w:rPr>
          <w:rFonts w:ascii="Times New Roman" w:hAnsi="Times New Roman" w:hint="eastAsia"/>
          <w:sz w:val="24"/>
        </w:rPr>
        <w:t>座</w:t>
      </w:r>
      <w:r w:rsidRPr="001D2C2D">
        <w:rPr>
          <w:rFonts w:ascii="Times New Roman" w:hAnsi="Times New Roman" w:hint="eastAsia"/>
          <w:sz w:val="24"/>
        </w:rPr>
        <w:t>28</w:t>
      </w:r>
      <w:r w:rsidRPr="001D2C2D">
        <w:rPr>
          <w:rFonts w:ascii="Times New Roman" w:hAnsi="Times New Roman" w:hint="eastAsia"/>
          <w:sz w:val="24"/>
        </w:rPr>
        <w:t>层</w:t>
      </w:r>
    </w:p>
    <w:p w14:paraId="4240E35B"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lastRenderedPageBreak/>
        <w:t>法定代表人：武建华</w:t>
      </w:r>
    </w:p>
    <w:p w14:paraId="4E5F03B5"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电话：</w:t>
      </w:r>
      <w:r w:rsidRPr="001D2C2D">
        <w:rPr>
          <w:rFonts w:ascii="Times New Roman" w:hAnsi="Times New Roman" w:hint="eastAsia"/>
          <w:sz w:val="24"/>
        </w:rPr>
        <w:t xml:space="preserve">010-59313555                          </w:t>
      </w:r>
    </w:p>
    <w:p w14:paraId="2E1E14F1"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客户服务电话：</w:t>
      </w:r>
      <w:r w:rsidRPr="001D2C2D">
        <w:rPr>
          <w:rFonts w:ascii="Times New Roman" w:hAnsi="Times New Roman" w:hint="eastAsia"/>
          <w:sz w:val="24"/>
        </w:rPr>
        <w:t>400-8980-618</w:t>
      </w:r>
    </w:p>
    <w:p w14:paraId="53162164"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公司网址：</w:t>
      </w:r>
      <w:r w:rsidRPr="001D2C2D">
        <w:rPr>
          <w:rFonts w:ascii="Times New Roman" w:hAnsi="Times New Roman" w:hint="eastAsia"/>
          <w:sz w:val="24"/>
        </w:rPr>
        <w:t>https://www.chtfund.com/</w:t>
      </w:r>
    </w:p>
    <w:p w14:paraId="130BC9E1"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Pr>
          <w:rFonts w:ascii="Times New Roman" w:hAnsi="Times New Roman" w:hint="eastAsia"/>
          <w:sz w:val="24"/>
        </w:rPr>
        <w:t>（</w:t>
      </w:r>
      <w:r w:rsidRPr="001D2C2D">
        <w:rPr>
          <w:rFonts w:ascii="Times New Roman" w:hAnsi="Times New Roman" w:hint="eastAsia"/>
          <w:sz w:val="24"/>
        </w:rPr>
        <w:t>40</w:t>
      </w:r>
      <w:r>
        <w:rPr>
          <w:rFonts w:ascii="Times New Roman" w:hAnsi="Times New Roman" w:hint="eastAsia"/>
          <w:sz w:val="24"/>
        </w:rPr>
        <w:t>）</w:t>
      </w:r>
      <w:r w:rsidRPr="001D2C2D">
        <w:rPr>
          <w:rFonts w:ascii="Times New Roman" w:hAnsi="Times New Roman" w:hint="eastAsia"/>
          <w:sz w:val="24"/>
        </w:rPr>
        <w:t>上海钜派钰茂基金销售有限公司</w:t>
      </w:r>
    </w:p>
    <w:p w14:paraId="464C7A54"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住所：上海市浦东新区泥城镇新城路</w:t>
      </w:r>
      <w:r w:rsidRPr="001D2C2D">
        <w:rPr>
          <w:rFonts w:ascii="Times New Roman" w:hAnsi="Times New Roman" w:hint="eastAsia"/>
          <w:sz w:val="24"/>
        </w:rPr>
        <w:t>2</w:t>
      </w:r>
      <w:r w:rsidRPr="001D2C2D">
        <w:rPr>
          <w:rFonts w:ascii="Times New Roman" w:hAnsi="Times New Roman" w:hint="eastAsia"/>
          <w:sz w:val="24"/>
        </w:rPr>
        <w:t>号</w:t>
      </w:r>
      <w:r w:rsidRPr="001D2C2D">
        <w:rPr>
          <w:rFonts w:ascii="Times New Roman" w:hAnsi="Times New Roman" w:hint="eastAsia"/>
          <w:sz w:val="24"/>
        </w:rPr>
        <w:t>24</w:t>
      </w:r>
      <w:r w:rsidRPr="001D2C2D">
        <w:rPr>
          <w:rFonts w:ascii="Times New Roman" w:hAnsi="Times New Roman" w:hint="eastAsia"/>
          <w:sz w:val="24"/>
        </w:rPr>
        <w:t>幢</w:t>
      </w:r>
      <w:r w:rsidRPr="001D2C2D">
        <w:rPr>
          <w:rFonts w:ascii="Times New Roman" w:hAnsi="Times New Roman" w:hint="eastAsia"/>
          <w:sz w:val="24"/>
        </w:rPr>
        <w:t>N3187</w:t>
      </w:r>
      <w:r w:rsidRPr="001D2C2D">
        <w:rPr>
          <w:rFonts w:ascii="Times New Roman" w:hAnsi="Times New Roman" w:hint="eastAsia"/>
          <w:sz w:val="24"/>
        </w:rPr>
        <w:t>室</w:t>
      </w:r>
    </w:p>
    <w:p w14:paraId="7EFDCE31"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办公地址：上海市闵行区闵虹路</w:t>
      </w:r>
      <w:r w:rsidRPr="001D2C2D">
        <w:rPr>
          <w:rFonts w:ascii="Times New Roman" w:hAnsi="Times New Roman" w:hint="eastAsia"/>
          <w:sz w:val="24"/>
        </w:rPr>
        <w:t>166</w:t>
      </w:r>
      <w:r w:rsidRPr="001D2C2D">
        <w:rPr>
          <w:rFonts w:ascii="Times New Roman" w:hAnsi="Times New Roman" w:hint="eastAsia"/>
          <w:sz w:val="24"/>
        </w:rPr>
        <w:t>弄中庚环球创意中心</w:t>
      </w:r>
      <w:r w:rsidRPr="001D2C2D">
        <w:rPr>
          <w:rFonts w:ascii="Times New Roman" w:hAnsi="Times New Roman" w:hint="eastAsia"/>
          <w:sz w:val="24"/>
        </w:rPr>
        <w:t>T2</w:t>
      </w:r>
      <w:r w:rsidRPr="001D2C2D">
        <w:rPr>
          <w:rFonts w:ascii="Times New Roman" w:hAnsi="Times New Roman" w:hint="eastAsia"/>
          <w:sz w:val="24"/>
        </w:rPr>
        <w:t>栋</w:t>
      </w:r>
      <w:r w:rsidRPr="001D2C2D">
        <w:rPr>
          <w:rFonts w:ascii="Times New Roman" w:hAnsi="Times New Roman" w:hint="eastAsia"/>
          <w:sz w:val="24"/>
        </w:rPr>
        <w:t>9</w:t>
      </w:r>
      <w:r w:rsidRPr="001D2C2D">
        <w:rPr>
          <w:rFonts w:ascii="Times New Roman" w:hAnsi="Times New Roman" w:hint="eastAsia"/>
          <w:sz w:val="24"/>
        </w:rPr>
        <w:t>层</w:t>
      </w:r>
    </w:p>
    <w:p w14:paraId="69DC1A4B"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法定代表人：洪思夷</w:t>
      </w:r>
    </w:p>
    <w:p w14:paraId="3BE9B00C"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电话：</w:t>
      </w:r>
      <w:r w:rsidRPr="001D2C2D">
        <w:rPr>
          <w:rFonts w:ascii="Times New Roman" w:hAnsi="Times New Roman" w:hint="eastAsia"/>
          <w:sz w:val="24"/>
        </w:rPr>
        <w:t>021-52265962</w:t>
      </w:r>
    </w:p>
    <w:p w14:paraId="0F139F6B"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联系人：王世之</w:t>
      </w:r>
    </w:p>
    <w:p w14:paraId="7ED7844A"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客服电话：</w:t>
      </w:r>
      <w:r w:rsidRPr="001D2C2D">
        <w:rPr>
          <w:rFonts w:ascii="Times New Roman" w:hAnsi="Times New Roman" w:hint="eastAsia"/>
          <w:sz w:val="24"/>
        </w:rPr>
        <w:t>400-021-2428</w:t>
      </w:r>
    </w:p>
    <w:p w14:paraId="2CFB0278"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网址：</w:t>
      </w:r>
      <w:r w:rsidRPr="001D2C2D">
        <w:rPr>
          <w:rFonts w:ascii="Times New Roman" w:hAnsi="Times New Roman" w:hint="eastAsia"/>
          <w:sz w:val="24"/>
        </w:rPr>
        <w:t>http://www.jp-fund.com/</w:t>
      </w:r>
    </w:p>
    <w:p w14:paraId="349A8B8A"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Pr>
          <w:rFonts w:ascii="Times New Roman" w:hAnsi="Times New Roman" w:hint="eastAsia"/>
          <w:sz w:val="24"/>
        </w:rPr>
        <w:t>（</w:t>
      </w:r>
      <w:r w:rsidRPr="001D2C2D">
        <w:rPr>
          <w:rFonts w:ascii="Times New Roman" w:hAnsi="Times New Roman" w:hint="eastAsia"/>
          <w:sz w:val="24"/>
        </w:rPr>
        <w:t>41</w:t>
      </w:r>
      <w:r>
        <w:rPr>
          <w:rFonts w:ascii="Times New Roman" w:hAnsi="Times New Roman" w:hint="eastAsia"/>
          <w:sz w:val="24"/>
        </w:rPr>
        <w:t>）</w:t>
      </w:r>
      <w:r w:rsidRPr="001D2C2D">
        <w:rPr>
          <w:rFonts w:ascii="Times New Roman" w:hAnsi="Times New Roman" w:hint="eastAsia"/>
          <w:sz w:val="24"/>
        </w:rPr>
        <w:t>济安财富（北京）基金销售有限公司</w:t>
      </w:r>
    </w:p>
    <w:p w14:paraId="27E7EDB9"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住所：北京市朝阳区太阳宫中路</w:t>
      </w:r>
      <w:r w:rsidRPr="001D2C2D">
        <w:rPr>
          <w:rFonts w:ascii="Times New Roman" w:hAnsi="Times New Roman" w:hint="eastAsia"/>
          <w:sz w:val="24"/>
        </w:rPr>
        <w:t>16</w:t>
      </w:r>
      <w:r w:rsidRPr="001D2C2D">
        <w:rPr>
          <w:rFonts w:ascii="Times New Roman" w:hAnsi="Times New Roman" w:hint="eastAsia"/>
          <w:sz w:val="24"/>
        </w:rPr>
        <w:t>号院</w:t>
      </w:r>
      <w:r w:rsidRPr="001D2C2D">
        <w:rPr>
          <w:rFonts w:ascii="Times New Roman" w:hAnsi="Times New Roman" w:hint="eastAsia"/>
          <w:sz w:val="24"/>
        </w:rPr>
        <w:t>1</w:t>
      </w:r>
      <w:r w:rsidRPr="001D2C2D">
        <w:rPr>
          <w:rFonts w:ascii="Times New Roman" w:hAnsi="Times New Roman" w:hint="eastAsia"/>
          <w:sz w:val="24"/>
        </w:rPr>
        <w:t>号楼</w:t>
      </w:r>
      <w:r w:rsidRPr="001D2C2D">
        <w:rPr>
          <w:rFonts w:ascii="Times New Roman" w:hAnsi="Times New Roman" w:hint="eastAsia"/>
          <w:sz w:val="24"/>
        </w:rPr>
        <w:t>10</w:t>
      </w:r>
      <w:r w:rsidRPr="001D2C2D">
        <w:rPr>
          <w:rFonts w:ascii="Times New Roman" w:hAnsi="Times New Roman" w:hint="eastAsia"/>
          <w:sz w:val="24"/>
        </w:rPr>
        <w:t>层</w:t>
      </w:r>
      <w:r w:rsidRPr="001D2C2D">
        <w:rPr>
          <w:rFonts w:ascii="Times New Roman" w:hAnsi="Times New Roman" w:hint="eastAsia"/>
          <w:sz w:val="24"/>
        </w:rPr>
        <w:t>1005</w:t>
      </w:r>
    </w:p>
    <w:p w14:paraId="07979BB7"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办公地址：北京市朝阳区太阳宫中路</w:t>
      </w:r>
      <w:r w:rsidRPr="001D2C2D">
        <w:rPr>
          <w:rFonts w:ascii="Times New Roman" w:hAnsi="Times New Roman" w:hint="eastAsia"/>
          <w:sz w:val="24"/>
        </w:rPr>
        <w:t>16</w:t>
      </w:r>
      <w:r w:rsidRPr="001D2C2D">
        <w:rPr>
          <w:rFonts w:ascii="Times New Roman" w:hAnsi="Times New Roman" w:hint="eastAsia"/>
          <w:sz w:val="24"/>
        </w:rPr>
        <w:t>号院</w:t>
      </w:r>
      <w:r w:rsidRPr="001D2C2D">
        <w:rPr>
          <w:rFonts w:ascii="Times New Roman" w:hAnsi="Times New Roman" w:hint="eastAsia"/>
          <w:sz w:val="24"/>
        </w:rPr>
        <w:t>1</w:t>
      </w:r>
      <w:r w:rsidRPr="001D2C2D">
        <w:rPr>
          <w:rFonts w:ascii="Times New Roman" w:hAnsi="Times New Roman" w:hint="eastAsia"/>
          <w:sz w:val="24"/>
        </w:rPr>
        <w:t>号楼</w:t>
      </w:r>
      <w:r w:rsidRPr="001D2C2D">
        <w:rPr>
          <w:rFonts w:ascii="Times New Roman" w:hAnsi="Times New Roman" w:hint="eastAsia"/>
          <w:sz w:val="24"/>
        </w:rPr>
        <w:t>11</w:t>
      </w:r>
      <w:r w:rsidRPr="001D2C2D">
        <w:rPr>
          <w:rFonts w:ascii="Times New Roman" w:hAnsi="Times New Roman" w:hint="eastAsia"/>
          <w:sz w:val="24"/>
        </w:rPr>
        <w:t>层</w:t>
      </w:r>
      <w:r w:rsidRPr="001D2C2D">
        <w:rPr>
          <w:rFonts w:ascii="Times New Roman" w:hAnsi="Times New Roman" w:hint="eastAsia"/>
          <w:sz w:val="24"/>
        </w:rPr>
        <w:t>1105</w:t>
      </w:r>
    </w:p>
    <w:p w14:paraId="5E3D7639"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法定代表人：杨健</w:t>
      </w:r>
    </w:p>
    <w:p w14:paraId="76ED5221"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电话：</w:t>
      </w:r>
      <w:r w:rsidRPr="001D2C2D">
        <w:rPr>
          <w:rFonts w:ascii="Times New Roman" w:hAnsi="Times New Roman" w:hint="eastAsia"/>
          <w:sz w:val="24"/>
        </w:rPr>
        <w:t>010-65309516</w:t>
      </w:r>
    </w:p>
    <w:p w14:paraId="0974ABA3"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传真：</w:t>
      </w:r>
      <w:r w:rsidRPr="001D2C2D">
        <w:rPr>
          <w:rFonts w:ascii="Times New Roman" w:hAnsi="Times New Roman" w:hint="eastAsia"/>
          <w:sz w:val="24"/>
        </w:rPr>
        <w:t>010-65330699</w:t>
      </w:r>
    </w:p>
    <w:p w14:paraId="5BE93234"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联系人：宋静</w:t>
      </w:r>
    </w:p>
    <w:p w14:paraId="1C37D241"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客户服务电话：</w:t>
      </w:r>
      <w:r w:rsidRPr="001D2C2D">
        <w:rPr>
          <w:rFonts w:ascii="Times New Roman" w:hAnsi="Times New Roman" w:hint="eastAsia"/>
          <w:sz w:val="24"/>
        </w:rPr>
        <w:t>400-673-7010</w:t>
      </w:r>
    </w:p>
    <w:p w14:paraId="2489C787"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网址：</w:t>
      </w:r>
      <w:r w:rsidRPr="001D2C2D">
        <w:rPr>
          <w:rFonts w:ascii="Times New Roman" w:hAnsi="Times New Roman" w:hint="eastAsia"/>
          <w:sz w:val="24"/>
        </w:rPr>
        <w:t>www.jianfortune.com</w:t>
      </w:r>
    </w:p>
    <w:p w14:paraId="54B85D8F"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Pr>
          <w:rFonts w:ascii="Times New Roman" w:hAnsi="Times New Roman" w:hint="eastAsia"/>
          <w:sz w:val="24"/>
        </w:rPr>
        <w:t>（</w:t>
      </w:r>
      <w:r w:rsidRPr="001D2C2D">
        <w:rPr>
          <w:rFonts w:ascii="Times New Roman" w:hAnsi="Times New Roman" w:hint="eastAsia"/>
          <w:sz w:val="24"/>
        </w:rPr>
        <w:t>42</w:t>
      </w:r>
      <w:r>
        <w:rPr>
          <w:rFonts w:ascii="Times New Roman" w:hAnsi="Times New Roman" w:hint="eastAsia"/>
          <w:sz w:val="24"/>
        </w:rPr>
        <w:t>）</w:t>
      </w:r>
      <w:r w:rsidRPr="001D2C2D">
        <w:rPr>
          <w:rFonts w:ascii="Times New Roman" w:hAnsi="Times New Roman" w:hint="eastAsia"/>
          <w:sz w:val="24"/>
        </w:rPr>
        <w:t>博时财富基金销售有限公司</w:t>
      </w:r>
    </w:p>
    <w:p w14:paraId="3FEA16C8"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住所：深圳市福田区莲花街道福新社区益田路</w:t>
      </w:r>
      <w:r w:rsidRPr="001D2C2D">
        <w:rPr>
          <w:rFonts w:ascii="Times New Roman" w:hAnsi="Times New Roman" w:hint="eastAsia"/>
          <w:sz w:val="24"/>
        </w:rPr>
        <w:t>5999</w:t>
      </w:r>
      <w:r w:rsidRPr="001D2C2D">
        <w:rPr>
          <w:rFonts w:ascii="Times New Roman" w:hAnsi="Times New Roman" w:hint="eastAsia"/>
          <w:sz w:val="24"/>
        </w:rPr>
        <w:t>号基金大厦</w:t>
      </w:r>
      <w:r w:rsidRPr="001D2C2D">
        <w:rPr>
          <w:rFonts w:ascii="Times New Roman" w:hAnsi="Times New Roman" w:hint="eastAsia"/>
          <w:sz w:val="24"/>
        </w:rPr>
        <w:t>19</w:t>
      </w:r>
      <w:r w:rsidRPr="001D2C2D">
        <w:rPr>
          <w:rFonts w:ascii="Times New Roman" w:hAnsi="Times New Roman" w:hint="eastAsia"/>
          <w:sz w:val="24"/>
        </w:rPr>
        <w:t>层</w:t>
      </w:r>
    </w:p>
    <w:p w14:paraId="1278DCB6"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办公地址：深圳市福田区莲花街道福新社区益田路</w:t>
      </w:r>
      <w:r w:rsidRPr="001D2C2D">
        <w:rPr>
          <w:rFonts w:ascii="Times New Roman" w:hAnsi="Times New Roman" w:hint="eastAsia"/>
          <w:sz w:val="24"/>
        </w:rPr>
        <w:t>5999</w:t>
      </w:r>
      <w:r w:rsidRPr="001D2C2D">
        <w:rPr>
          <w:rFonts w:ascii="Times New Roman" w:hAnsi="Times New Roman" w:hint="eastAsia"/>
          <w:sz w:val="24"/>
        </w:rPr>
        <w:t>号基金大厦</w:t>
      </w:r>
      <w:r w:rsidRPr="001D2C2D">
        <w:rPr>
          <w:rFonts w:ascii="Times New Roman" w:hAnsi="Times New Roman" w:hint="eastAsia"/>
          <w:sz w:val="24"/>
        </w:rPr>
        <w:t>19</w:t>
      </w:r>
      <w:r w:rsidRPr="001D2C2D">
        <w:rPr>
          <w:rFonts w:ascii="Times New Roman" w:hAnsi="Times New Roman" w:hint="eastAsia"/>
          <w:sz w:val="24"/>
        </w:rPr>
        <w:t>层</w:t>
      </w:r>
    </w:p>
    <w:p w14:paraId="41B7F4BB"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法定代表人：王德英</w:t>
      </w:r>
    </w:p>
    <w:p w14:paraId="49346FC4"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电话：</w:t>
      </w:r>
      <w:r w:rsidRPr="001D2C2D">
        <w:rPr>
          <w:rFonts w:ascii="Times New Roman" w:hAnsi="Times New Roman" w:hint="eastAsia"/>
          <w:sz w:val="24"/>
        </w:rPr>
        <w:t>0755-83169999</w:t>
      </w:r>
    </w:p>
    <w:p w14:paraId="7BB09721"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传真：</w:t>
      </w:r>
      <w:r w:rsidRPr="001D2C2D">
        <w:rPr>
          <w:rFonts w:ascii="Times New Roman" w:hAnsi="Times New Roman" w:hint="eastAsia"/>
          <w:sz w:val="24"/>
        </w:rPr>
        <w:t>0755-83195220</w:t>
      </w:r>
    </w:p>
    <w:p w14:paraId="40A2C087"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联系人：崔丹</w:t>
      </w:r>
    </w:p>
    <w:p w14:paraId="3EC0D87B" w14:textId="77777777" w:rsidR="00AF3F73"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客户服务电话：</w:t>
      </w:r>
      <w:r>
        <w:rPr>
          <w:rFonts w:ascii="Times New Roman" w:hAnsi="Times New Roman" w:hint="eastAsia"/>
          <w:sz w:val="24"/>
        </w:rPr>
        <w:t>400-610-5568</w:t>
      </w:r>
    </w:p>
    <w:p w14:paraId="073DAD92" w14:textId="77777777" w:rsidR="00AF3F73" w:rsidRPr="001D2C2D" w:rsidRDefault="00AF3F73" w:rsidP="00AF3F73">
      <w:pPr>
        <w:autoSpaceDE w:val="0"/>
        <w:autoSpaceDN w:val="0"/>
        <w:adjustRightInd w:val="0"/>
        <w:snapToGrid w:val="0"/>
        <w:spacing w:line="360" w:lineRule="auto"/>
        <w:ind w:firstLineChars="200" w:firstLine="480"/>
        <w:jc w:val="left"/>
        <w:rPr>
          <w:rFonts w:ascii="Times New Roman" w:hAnsi="Times New Roman"/>
          <w:sz w:val="24"/>
        </w:rPr>
      </w:pPr>
      <w:r w:rsidRPr="001D2C2D">
        <w:rPr>
          <w:rFonts w:ascii="Times New Roman" w:hAnsi="Times New Roman" w:hint="eastAsia"/>
          <w:sz w:val="24"/>
        </w:rPr>
        <w:t>网址：</w:t>
      </w:r>
      <w:r w:rsidRPr="001D2C2D">
        <w:rPr>
          <w:rFonts w:ascii="Times New Roman" w:hAnsi="Times New Roman" w:hint="eastAsia"/>
          <w:sz w:val="24"/>
        </w:rPr>
        <w:t>www.boserawealth.com</w:t>
      </w:r>
    </w:p>
    <w:p w14:paraId="7B027990" w14:textId="0586FC5D" w:rsidR="00AE4ACD" w:rsidRPr="00AE4ACD" w:rsidRDefault="00AE4ACD" w:rsidP="00875AED">
      <w:pPr>
        <w:autoSpaceDE w:val="0"/>
        <w:autoSpaceDN w:val="0"/>
        <w:adjustRightInd w:val="0"/>
        <w:snapToGrid w:val="0"/>
        <w:spacing w:line="360" w:lineRule="auto"/>
        <w:ind w:firstLineChars="200" w:firstLine="480"/>
        <w:jc w:val="left"/>
        <w:rPr>
          <w:rFonts w:ascii="Times New Roman" w:hAnsi="Times New Roman"/>
          <w:sz w:val="24"/>
        </w:rPr>
      </w:pPr>
      <w:r w:rsidRPr="00AE4ACD">
        <w:rPr>
          <w:rFonts w:ascii="Times New Roman" w:hAnsi="Times New Roman" w:hint="eastAsia"/>
          <w:sz w:val="24"/>
        </w:rPr>
        <w:lastRenderedPageBreak/>
        <w:t>基金管理人可根据有关法律法规的要求，选择其它符合要求的机构销售本基金，并在管理人网站公示。</w:t>
      </w:r>
    </w:p>
    <w:p w14:paraId="71A6DDE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（二）登记机构</w:t>
      </w:r>
    </w:p>
    <w:p w14:paraId="299D196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名称：中国证券登记结算有限责任公司</w:t>
      </w:r>
    </w:p>
    <w:p w14:paraId="0AE5515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住所：北京市西城区太平桥大街17号</w:t>
      </w:r>
    </w:p>
    <w:p w14:paraId="1A6DB81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办公地址：北京市西城区太平桥大街17号</w:t>
      </w:r>
    </w:p>
    <w:p w14:paraId="7E3D1E0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法定代表人：于文强</w:t>
      </w:r>
    </w:p>
    <w:p w14:paraId="09B4F4A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电话：（010）50938782</w:t>
      </w:r>
    </w:p>
    <w:p w14:paraId="7E1AF19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传真：（010）50938907</w:t>
      </w:r>
    </w:p>
    <w:p w14:paraId="6AB3849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联系人：赵亦清</w:t>
      </w:r>
    </w:p>
    <w:p w14:paraId="03F2D1E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（三）出具法律意见书的律师事务所</w:t>
      </w:r>
    </w:p>
    <w:p w14:paraId="156B491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名称：上海市通力律师事务所</w:t>
      </w:r>
    </w:p>
    <w:p w14:paraId="4FE087D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住所：上海市银城中路68号时代金融中心19楼</w:t>
      </w:r>
    </w:p>
    <w:p w14:paraId="73C9418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办公地址：上海市银城中路68号时代金融中心19楼</w:t>
      </w:r>
    </w:p>
    <w:p w14:paraId="0AE4289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负责人：韩炯</w:t>
      </w:r>
    </w:p>
    <w:p w14:paraId="6DF52FF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电话：（021）31358666</w:t>
      </w:r>
    </w:p>
    <w:p w14:paraId="723F23F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传真：（021）31358600</w:t>
      </w:r>
    </w:p>
    <w:p w14:paraId="7B54F03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联系人：丁媛</w:t>
      </w:r>
    </w:p>
    <w:p w14:paraId="04911EB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经办律师：黎明、丁媛</w:t>
      </w:r>
    </w:p>
    <w:p w14:paraId="4E54222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（四）审计基金财产的会计师事务所</w:t>
      </w:r>
    </w:p>
    <w:p w14:paraId="0CAE290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名称：普华永道中天会计师事务所（特殊普通合伙）</w:t>
      </w:r>
    </w:p>
    <w:p w14:paraId="1069A22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注册地址：中国(上海)自由贸易试验区陆家嘴环路1318号星展银行大厦507单元01室</w:t>
      </w:r>
    </w:p>
    <w:p w14:paraId="3F7D8DA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办公地址：中国上海市浦东新区东育路588号前滩中心42楼</w:t>
      </w:r>
    </w:p>
    <w:p w14:paraId="4EAF117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执行事务合伙人：李丹</w:t>
      </w:r>
    </w:p>
    <w:p w14:paraId="2D3DA9A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电话：（021）23238888</w:t>
      </w:r>
    </w:p>
    <w:p w14:paraId="31A1E74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传真：（021）23238800</w:t>
      </w:r>
    </w:p>
    <w:p w14:paraId="2B31409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联系人：金诗涛</w:t>
      </w:r>
    </w:p>
    <w:p w14:paraId="1B87BF7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经办注册会计师：沈兆杰、金诗涛</w:t>
      </w:r>
    </w:p>
    <w:p w14:paraId="41CA080F" w14:textId="77777777" w:rsidR="00435AFE" w:rsidRDefault="00C86CDB" w:rsidP="00435AFE">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7EA405A1" w14:textId="77777777" w:rsidR="001430E9" w:rsidRDefault="00C86CDB">
      <w:pPr>
        <w:pStyle w:val="1"/>
        <w:snapToGrid w:val="0"/>
        <w:spacing w:beforeLines="0" w:before="240" w:after="240"/>
        <w:rPr>
          <w:rFonts w:ascii="宋体" w:hAnsi="宋体"/>
          <w:szCs w:val="30"/>
        </w:rPr>
      </w:pPr>
      <w:bookmarkStart w:id="8" w:name="_Toc137828488"/>
      <w:r>
        <w:rPr>
          <w:rFonts w:ascii="Times New Roman" w:hAnsi="Times New Roman"/>
          <w:sz w:val="30"/>
        </w:rPr>
        <w:lastRenderedPageBreak/>
        <w:t>六、基金的募集</w:t>
      </w:r>
      <w:bookmarkEnd w:id="8"/>
    </w:p>
    <w:p w14:paraId="7578FE0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本基金由基金管理人依照《基金法》、《运作办法》、《销售办法》、基金合同及其他有关规定，并经中国证监会2018年7月3日证监许可[2018]1075号文准予募集注册。</w:t>
      </w:r>
    </w:p>
    <w:p w14:paraId="3DB72FA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本基金为契约型开放式混合型证券投资基金。基金的存续期间为不定期。</w:t>
      </w:r>
    </w:p>
    <w:p w14:paraId="37AB3DE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本基金募集期间基金份额净值为人民币1.00元，按初始面值发售。</w:t>
      </w:r>
    </w:p>
    <w:p w14:paraId="3F71CD6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本基金自2018年12月10日至2019年 1月11日进行发售，本基金设立募集期共募集780,567,196.69份基金份额，有效认购户数为8,928户。</w:t>
      </w:r>
    </w:p>
    <w:p w14:paraId="0BE110FB" w14:textId="77777777" w:rsidR="00435AFE" w:rsidRDefault="00C86CDB" w:rsidP="00435AFE">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545521A2" w14:textId="77777777" w:rsidR="001430E9" w:rsidRDefault="00C86CDB">
      <w:pPr>
        <w:pStyle w:val="1"/>
        <w:snapToGrid w:val="0"/>
        <w:spacing w:beforeLines="0" w:before="240" w:after="240"/>
        <w:rPr>
          <w:rFonts w:ascii="宋体" w:hAnsi="宋体"/>
          <w:szCs w:val="30"/>
        </w:rPr>
      </w:pPr>
      <w:bookmarkStart w:id="9" w:name="_Toc137828489"/>
      <w:r>
        <w:rPr>
          <w:rFonts w:ascii="Times New Roman" w:hAnsi="Times New Roman"/>
          <w:sz w:val="30"/>
        </w:rPr>
        <w:lastRenderedPageBreak/>
        <w:t>七、基金合同的生效</w:t>
      </w:r>
      <w:bookmarkEnd w:id="9"/>
    </w:p>
    <w:p w14:paraId="60F8236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根据有关规定，本基金满足基金合同生效条件，基金合同已于2019年1月18日正式生效。自基金合同生效之日起，本基金管理人正式开始管理本基金。</w:t>
      </w:r>
    </w:p>
    <w:p w14:paraId="2A72572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连续20个工作日出现基金份额持有人数量不满200人或者基金资产净值低于5000万元情形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14:paraId="7F85F98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法律法规另有规定时，从其规定。</w:t>
      </w:r>
    </w:p>
    <w:p w14:paraId="51C2E777" w14:textId="77777777" w:rsidR="00435AFE" w:rsidRDefault="00C86CDB" w:rsidP="00435AFE">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3D36B33F" w14:textId="77777777" w:rsidR="001430E9" w:rsidRDefault="00C86CDB">
      <w:pPr>
        <w:pStyle w:val="1"/>
        <w:snapToGrid w:val="0"/>
        <w:spacing w:beforeLines="0" w:before="240" w:after="240"/>
        <w:rPr>
          <w:rFonts w:ascii="宋体" w:hAnsi="宋体"/>
          <w:szCs w:val="30"/>
        </w:rPr>
      </w:pPr>
      <w:bookmarkStart w:id="10" w:name="_Toc137828490"/>
      <w:r>
        <w:rPr>
          <w:rFonts w:ascii="Times New Roman" w:hAnsi="Times New Roman"/>
          <w:sz w:val="30"/>
        </w:rPr>
        <w:lastRenderedPageBreak/>
        <w:t>八、基金份额的申购与赎回</w:t>
      </w:r>
      <w:bookmarkEnd w:id="10"/>
    </w:p>
    <w:p w14:paraId="76874AC1"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（一）申购和赎回的场所</w:t>
      </w:r>
    </w:p>
    <w:p w14:paraId="3F4BCA4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投资人可通过下述场所按照规定的方式进行申购或赎回：</w:t>
      </w:r>
    </w:p>
    <w:p w14:paraId="599B922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1、本基金管理人的直销机构</w:t>
      </w:r>
    </w:p>
    <w:p w14:paraId="4042E13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本基金直销机构为基金管理人直销柜台以及基金管理人的网上直销交易平台。</w:t>
      </w:r>
    </w:p>
    <w:p w14:paraId="60C80A1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14:paraId="7539381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14:paraId="2F2A2C6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14:paraId="7FF6B8C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14:paraId="371C3F3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14:paraId="51B27B1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14:paraId="47293E8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客户服务电话：400-700-5000（免长途话费），（021）61055000</w:t>
      </w:r>
    </w:p>
    <w:p w14:paraId="1451AA9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14:paraId="1C098CD7" w14:textId="5C76C302"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个人投资者可以通过基金管理人网上直销交易平台办理开户、本基金</w:t>
      </w:r>
      <w:r w:rsidR="00F124A2" w:rsidRPr="00F124A2">
        <w:rPr>
          <w:rFonts w:ascii="宋体" w:hAnsi="宋体" w:hint="eastAsia"/>
          <w:sz w:val="24"/>
        </w:rPr>
        <w:t>A类基金份额和C类基金份额</w:t>
      </w:r>
      <w:r>
        <w:rPr>
          <w:rFonts w:ascii="宋体" w:hAnsi="宋体"/>
          <w:sz w:val="24"/>
        </w:rPr>
        <w:t>的申购、赎回、转换、定期定额投资等业务，具体交易细则请参阅基金管理人网站。</w:t>
      </w:r>
    </w:p>
    <w:p w14:paraId="356CD9D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网上直销交易平台网址：www.fund001.com</w:t>
      </w:r>
    </w:p>
    <w:p w14:paraId="2BEED13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2、除基金管理人之外的其他销售机构</w:t>
      </w:r>
    </w:p>
    <w:p w14:paraId="03DE2F3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本基金除基金管理人之外的其他销售机构参见本招募说明书“五、相关服务机构”章节或拨打本公司客户服务电话进行咨询。</w:t>
      </w:r>
    </w:p>
    <w:p w14:paraId="7DC4FAF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投资人应当通过上述销售机构办理基金申购、赎回业务的营业场所或按上述销售机构提供的其他方式进行申购或赎回。本基金管理人可根据情况变更或增减基金销售机构，并在管理人网站公示。</w:t>
      </w:r>
    </w:p>
    <w:p w14:paraId="08DD786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若基金管理人或其指定的销售机构开通电话、传真或网上等交易方式，投资人可以通过上述方式进行申购与赎回。</w:t>
      </w:r>
    </w:p>
    <w:p w14:paraId="335FEB32"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（二）申购和赎回的开放日及时间</w:t>
      </w:r>
    </w:p>
    <w:p w14:paraId="01CE9B5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1、开放日及开放时间</w:t>
      </w:r>
    </w:p>
    <w:p w14:paraId="6E2AC2C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投资人在开放日办理基金份额的申购及/或赎回，具体办理时间为上海证券交易所、深圳证券交易所的正常交易日（若该工作日为非港股通交易日，则本基金不</w:t>
      </w:r>
      <w:r>
        <w:rPr>
          <w:rFonts w:ascii="宋体" w:hAnsi="宋体"/>
          <w:sz w:val="24"/>
        </w:rPr>
        <w:lastRenderedPageBreak/>
        <w:t>开放）的交易时间，但基金管理人根据法律法规、中国证监会的要求或基金合同的规定公告暂停申购、赎回时除外。</w:t>
      </w:r>
    </w:p>
    <w:p w14:paraId="797E580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14:paraId="7F0312E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2、申购、赎回开始日及业务办理时间</w:t>
      </w:r>
    </w:p>
    <w:p w14:paraId="0A55367D" w14:textId="77777777" w:rsidR="00F124A2" w:rsidRDefault="00C86CDB" w:rsidP="00F124A2">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本基金</w:t>
      </w:r>
      <w:r w:rsidR="00F124A2" w:rsidRPr="00CC1118">
        <w:rPr>
          <w:rFonts w:ascii="宋体" w:hAnsi="宋体" w:hint="eastAsia"/>
          <w:sz w:val="24"/>
        </w:rPr>
        <w:t>A类基金份额</w:t>
      </w:r>
      <w:r>
        <w:rPr>
          <w:rFonts w:ascii="宋体" w:hAnsi="宋体"/>
          <w:sz w:val="24"/>
        </w:rPr>
        <w:t>已于2019年2月18日起开放申购、赎回业务。</w:t>
      </w:r>
    </w:p>
    <w:p w14:paraId="33F80699" w14:textId="5DE7CED0" w:rsidR="001430E9" w:rsidRDefault="00F124A2" w:rsidP="00F124A2">
      <w:pPr>
        <w:autoSpaceDE w:val="0"/>
        <w:autoSpaceDN w:val="0"/>
        <w:adjustRightInd w:val="0"/>
        <w:snapToGrid w:val="0"/>
        <w:spacing w:line="360" w:lineRule="auto"/>
        <w:ind w:firstLineChars="200" w:firstLine="480"/>
        <w:jc w:val="left"/>
        <w:rPr>
          <w:rFonts w:ascii="宋体" w:hAnsi="宋体"/>
          <w:szCs w:val="24"/>
        </w:rPr>
      </w:pPr>
      <w:r w:rsidRPr="000D2FAC">
        <w:rPr>
          <w:rFonts w:ascii="宋体" w:hAnsi="宋体" w:hint="eastAsia"/>
          <w:sz w:val="24"/>
        </w:rPr>
        <w:t>本基金</w:t>
      </w:r>
      <w:r w:rsidRPr="000D2FAC">
        <w:rPr>
          <w:rFonts w:ascii="宋体" w:hAnsi="宋体"/>
          <w:sz w:val="24"/>
        </w:rPr>
        <w:t>C类基金份额于</w:t>
      </w:r>
      <w:r w:rsidRPr="008A727A">
        <w:rPr>
          <w:rFonts w:ascii="宋体" w:hAnsi="宋体" w:hint="eastAsia"/>
          <w:sz w:val="24"/>
        </w:rPr>
        <w:t>202</w:t>
      </w:r>
      <w:r w:rsidR="00A82652">
        <w:rPr>
          <w:rFonts w:ascii="宋体" w:hAnsi="宋体"/>
          <w:sz w:val="24"/>
        </w:rPr>
        <w:t>4</w:t>
      </w:r>
      <w:r w:rsidRPr="000D2FAC">
        <w:rPr>
          <w:rFonts w:ascii="宋体" w:hAnsi="宋体" w:hint="eastAsia"/>
          <w:sz w:val="24"/>
        </w:rPr>
        <w:t>年</w:t>
      </w:r>
      <w:r w:rsidR="00A82652">
        <w:rPr>
          <w:rFonts w:ascii="宋体" w:hAnsi="宋体"/>
          <w:sz w:val="24"/>
        </w:rPr>
        <w:t>1</w:t>
      </w:r>
      <w:r w:rsidRPr="000D2FAC">
        <w:rPr>
          <w:rFonts w:ascii="宋体" w:hAnsi="宋体"/>
          <w:sz w:val="24"/>
        </w:rPr>
        <w:t>月</w:t>
      </w:r>
      <w:r w:rsidR="00A82652">
        <w:rPr>
          <w:rFonts w:ascii="宋体" w:hAnsi="宋体"/>
          <w:sz w:val="24"/>
        </w:rPr>
        <w:t>9</w:t>
      </w:r>
      <w:r w:rsidRPr="000D2FAC">
        <w:rPr>
          <w:rFonts w:ascii="宋体" w:hAnsi="宋体"/>
          <w:sz w:val="24"/>
        </w:rPr>
        <w:t>日起开放申购、赎回业务。</w:t>
      </w:r>
    </w:p>
    <w:p w14:paraId="4D21F2B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14:paraId="2A698690"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（三）申购与赎回的原则</w:t>
      </w:r>
    </w:p>
    <w:p w14:paraId="2D5C169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1、“未知价”原则，即申购、赎回价格以申请当日收市后计算的基金份额净值为基准进行计算；</w:t>
      </w:r>
    </w:p>
    <w:p w14:paraId="40DC1F6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2、“金额申购、份额赎回”原则，即申购以金额申请，赎回以份额申请；</w:t>
      </w:r>
    </w:p>
    <w:p w14:paraId="57ADD69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3、当日的申购与赎回申请可以在基金管理人规定的时间以内撤销，但申请经登记机构受理的不得撤销；</w:t>
      </w:r>
    </w:p>
    <w:p w14:paraId="430E115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14:paraId="0DBCBA3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基金管理人可在法律法规允许的情况下，对上述原则进行调整。基金管理人必须在新规则开始实施前依照《信息披露办法》的有关规定在指定媒介上公告。</w:t>
      </w:r>
    </w:p>
    <w:p w14:paraId="1C415209"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（四）申购和赎回的数额限定</w:t>
      </w:r>
    </w:p>
    <w:p w14:paraId="10F4ECA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1、申购金额的限制</w:t>
      </w:r>
    </w:p>
    <w:p w14:paraId="1F26894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直销机构首次申购的最低金额为单笔100万元，追加申购的最低金额为单笔10万元；已在直销机构有认购或申购过本基金管理人管理的任一基金（包括本基金）记录的投资人不受首次申购最低金额的限制。通过基金管理人网上直销交易平台办理基金申购业务的不受直销机构单笔申购最低金额的限制，申购最低金额为单笔1</w:t>
      </w:r>
      <w:r>
        <w:rPr>
          <w:rFonts w:ascii="宋体" w:hAnsi="宋体"/>
          <w:sz w:val="24"/>
        </w:rPr>
        <w:lastRenderedPageBreak/>
        <w:t>元。本基金直销机构单笔申购最低金额可由基金管理人酌情调整。其他销售机构接受申购申请的最低金额为单笔1元，如果销售机构业务规则规定的最低单笔申购金额高于1元，以该销售机构的规定为准。</w:t>
      </w:r>
    </w:p>
    <w:p w14:paraId="246DF3E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2、赎回份额的限制</w:t>
      </w:r>
    </w:p>
    <w:p w14:paraId="2933208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赎回的最低份额为1份基金份额，如果销售机构业务规则规定的最低单笔赎回份额高于1份，以该销售机构的规定为准。</w:t>
      </w:r>
    </w:p>
    <w:p w14:paraId="2974216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3、最低保留余额的限制</w:t>
      </w:r>
    </w:p>
    <w:p w14:paraId="6731588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每个工作日投资人在单个交易账户保留的本基金份额余额少于1份时，若当日该账户同时有基金份额减少类业务（如赎回、转换出等）被确认，则基金管理人有权将投资人在该账户保留的本基金份额一次性全部赎回。</w:t>
      </w:r>
    </w:p>
    <w:p w14:paraId="6B1D5DF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相关公告。</w:t>
      </w:r>
    </w:p>
    <w:p w14:paraId="60ABF99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可在法律法规允许的情况下，调整上述规定的申购金额、赎回份额和最低基金份额保留余额的数量限制。基金管理人必须在调整实施前依照《信息披露办法》的有关规定在指定媒介上刊登公告并报中国证监会备案。</w:t>
      </w:r>
    </w:p>
    <w:p w14:paraId="40941783"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（五）申购和赎回的程序</w:t>
      </w:r>
    </w:p>
    <w:p w14:paraId="0C56D2C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1、申购和赎回的申请方式</w:t>
      </w:r>
    </w:p>
    <w:p w14:paraId="79E031F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必须根据销售机构规定的程序，在开放日的具体业务办理时间内提出申购或赎回的申请。投资人在提交申购申请时须按销售机构规定的方式备足申购资金，投资人在提交赎回申请时须持有足够的基金份额余额，否则所提交的申购、赎回申请不成立。</w:t>
      </w:r>
    </w:p>
    <w:p w14:paraId="28E9DA9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2、申购和赎回的款项支付</w:t>
      </w:r>
    </w:p>
    <w:p w14:paraId="2E7401D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投资人申购基金份额时，必须全额交付申购款项，若申购资金在规定时间内未全额到账则申购不成立。投资人全额交付申购款项，申购成立；登记机构确认基金份额时，申购生效。</w:t>
      </w:r>
    </w:p>
    <w:p w14:paraId="3376676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投资人递交赎回申请，赎回成立；登记机构确认赎回时，赎回生效。投资人赎回申请成功后，基金管理人将在T＋7日（包括该日）内支付赎回款项。在发生巨额</w:t>
      </w:r>
      <w:r>
        <w:rPr>
          <w:rFonts w:ascii="宋体" w:hAnsi="宋体"/>
          <w:sz w:val="24"/>
        </w:rPr>
        <w:lastRenderedPageBreak/>
        <w:t>赎回或基金合同载明的其他暂停赎回或延缓支付赎回款项的情形时，款项的支付办法参照基金合同有关条款处理。</w:t>
      </w:r>
    </w:p>
    <w:p w14:paraId="606A726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3、申购和赎回申请的确认</w:t>
      </w:r>
    </w:p>
    <w:p w14:paraId="6EB4916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或基金管理人委托的登记机构应以交易时间结束前受理有效申购和赎回申请的当天作为申购或赎回申请日（T日），在正常情况下，本基金登记机构在T+1日（包括该日）内对该交易的有效性进行确认。T日提交的有效申请，投资人应在T+2日后（包括该日）及时到销售网点柜台或以销售机构规定的其他方式查询申请的确认情况。若申购不成功，则申购款项本金退还给投资人。</w:t>
      </w:r>
    </w:p>
    <w:p w14:paraId="203B9D3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基金管理人可在法律法规允许的范围内，依法对上述申购和赎回申请的确认时间进行调整，并必须在调整实施日前按照《信息披露办法》的有关规定在指定媒介上公告并报中国证监会备案。</w:t>
      </w:r>
    </w:p>
    <w:p w14:paraId="2A0A739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销售机构对申购、赎回申请的受理并不代表该申请一定成功，而仅代表销售机构确实接收到申购、赎回申请。申购、赎回申请的确认以登记机构的确认结果为准。对于申请的确认情况，投资者应及时查询。</w:t>
      </w:r>
    </w:p>
    <w:p w14:paraId="6E0114F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4、申购和赎回的登记</w:t>
      </w:r>
    </w:p>
    <w:p w14:paraId="3A8E088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（1）投资人T日申购基金成功后，正常情况下，登记机构在T＋1日为投资人增加权益并办理登记手续，投资人自T＋2日起（包括该日）有权赎回该部分基金份额。投资人应及时查询有关申请的确认情况。</w:t>
      </w:r>
    </w:p>
    <w:p w14:paraId="75EA9AF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（2）投资人T日赎回基金成功后，正常情况下，登记机构在T＋1日为投资人扣除权益并办理相应的登记手续。</w:t>
      </w:r>
    </w:p>
    <w:p w14:paraId="44486AE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（3）基金管理人可在法律法规允许的范围内，对上述登记办理时间进行调整，并于开始实施前按照《信息披露办法》的有关规定在指定媒介上公告并报中国证监会备案。</w:t>
      </w:r>
    </w:p>
    <w:p w14:paraId="2939B99F"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（六）基金的申购费和赎回费</w:t>
      </w:r>
    </w:p>
    <w:p w14:paraId="2692C7D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1、申购费用</w:t>
      </w:r>
    </w:p>
    <w:p w14:paraId="00759141" w14:textId="77777777" w:rsidR="008F7B20" w:rsidRDefault="008F7B20" w:rsidP="008F7B20">
      <w:pPr>
        <w:autoSpaceDE w:val="0"/>
        <w:autoSpaceDN w:val="0"/>
        <w:adjustRightInd w:val="0"/>
        <w:snapToGrid w:val="0"/>
        <w:spacing w:line="360" w:lineRule="auto"/>
        <w:ind w:firstLineChars="200" w:firstLine="480"/>
        <w:jc w:val="left"/>
        <w:rPr>
          <w:rFonts w:ascii="宋体" w:hAnsi="宋体"/>
          <w:sz w:val="24"/>
        </w:rPr>
      </w:pPr>
      <w:r w:rsidRPr="00CE5C02">
        <w:rPr>
          <w:rFonts w:ascii="宋体" w:hAnsi="宋体" w:hint="eastAsia"/>
          <w:sz w:val="24"/>
        </w:rPr>
        <w:t>本基金基金份额分为A类基金份额和C类基金份额。投资人申购A类基金份额在申购时支付申购费用；申购C类基金份额不支付申购费用，并从该类别基金资产中计提销售服务费。</w:t>
      </w:r>
    </w:p>
    <w:p w14:paraId="6809CDC9" w14:textId="20F5FB79"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w:t>
      </w:r>
      <w:r w:rsidR="008F7B20" w:rsidRPr="00CE5C02">
        <w:rPr>
          <w:rFonts w:ascii="宋体" w:hAnsi="宋体" w:hint="eastAsia"/>
          <w:sz w:val="24"/>
        </w:rPr>
        <w:t>A类基金份额</w:t>
      </w:r>
      <w:r>
        <w:rPr>
          <w:rFonts w:ascii="宋体" w:hAnsi="宋体"/>
          <w:sz w:val="24"/>
        </w:rPr>
        <w:t>的申购费用由</w:t>
      </w:r>
      <w:r w:rsidR="008F7B20" w:rsidRPr="00CE5C02">
        <w:rPr>
          <w:rFonts w:ascii="宋体" w:hAnsi="宋体" w:hint="eastAsia"/>
          <w:sz w:val="24"/>
        </w:rPr>
        <w:t>申购A类基金份额的</w:t>
      </w:r>
      <w:r>
        <w:rPr>
          <w:rFonts w:ascii="宋体" w:hAnsi="宋体"/>
          <w:sz w:val="24"/>
        </w:rPr>
        <w:t>申购人承担，不列入基金财产，主要用于本基金的市场推广、销售、登记等各项费用。</w:t>
      </w:r>
    </w:p>
    <w:p w14:paraId="5B287ED2" w14:textId="6A5F703A"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投资人可以多次申购本基金，</w:t>
      </w:r>
      <w:r w:rsidR="00802907">
        <w:rPr>
          <w:rFonts w:ascii="宋体" w:hAnsi="宋体" w:hint="eastAsia"/>
          <w:sz w:val="24"/>
        </w:rPr>
        <w:t>A类基金份额的</w:t>
      </w:r>
      <w:r>
        <w:rPr>
          <w:rFonts w:ascii="宋体" w:hAnsi="宋体"/>
          <w:sz w:val="24"/>
        </w:rPr>
        <w:t>申购费用按每笔</w:t>
      </w:r>
      <w:r w:rsidR="00802907">
        <w:rPr>
          <w:rFonts w:ascii="宋体" w:hAnsi="宋体" w:hint="eastAsia"/>
          <w:sz w:val="24"/>
        </w:rPr>
        <w:t>A类基金份额</w:t>
      </w:r>
      <w:r>
        <w:rPr>
          <w:rFonts w:ascii="宋体" w:hAnsi="宋体"/>
          <w:sz w:val="24"/>
        </w:rPr>
        <w:t>申购申请单独计算。</w:t>
      </w:r>
    </w:p>
    <w:p w14:paraId="3B962039" w14:textId="24C65B89"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w:t>
      </w:r>
      <w:r w:rsidR="008F7B20" w:rsidRPr="00DE4806">
        <w:rPr>
          <w:rFonts w:ascii="宋体" w:hAnsi="宋体" w:hint="eastAsia"/>
          <w:sz w:val="24"/>
        </w:rPr>
        <w:t>A类基金份额（非养老金客户）</w:t>
      </w:r>
      <w:r>
        <w:rPr>
          <w:rFonts w:ascii="宋体" w:hAnsi="宋体"/>
          <w:sz w:val="24"/>
        </w:rPr>
        <w:t>的申购费率如下：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1430E9" w14:paraId="220E247E" w14:textId="77777777" w:rsidTr="008F7B20">
        <w:trPr>
          <w:cantSplit/>
          <w:trHeight w:val="375"/>
        </w:trPr>
        <w:tc>
          <w:tcPr>
            <w:tcW w:w="714" w:type="pct"/>
            <w:vMerge w:val="restart"/>
            <w:tcBorders>
              <w:top w:val="single" w:sz="4" w:space="0" w:color="auto"/>
              <w:left w:val="single" w:sz="4" w:space="0" w:color="auto"/>
              <w:bottom w:val="single" w:sz="4" w:space="0" w:color="auto"/>
              <w:right w:val="single" w:sz="4" w:space="0" w:color="auto"/>
            </w:tcBorders>
            <w:vAlign w:val="center"/>
          </w:tcPr>
          <w:p w14:paraId="095EEDB2" w14:textId="67491180" w:rsidR="001430E9" w:rsidRDefault="008F7B20">
            <w:pPr>
              <w:widowControl/>
              <w:snapToGrid w:val="0"/>
              <w:jc w:val="center"/>
              <w:rPr>
                <w:rFonts w:ascii="宋体" w:hAnsi="宋体"/>
                <w:color w:val="000000"/>
                <w:kern w:val="0"/>
                <w:sz w:val="25"/>
                <w:szCs w:val="24"/>
              </w:rPr>
            </w:pPr>
            <w:r w:rsidRPr="004E4632">
              <w:rPr>
                <w:rFonts w:ascii="Times New Roman" w:hAnsi="Times New Roman" w:hint="eastAsia"/>
                <w:color w:val="000000"/>
                <w:kern w:val="0"/>
                <w:sz w:val="25"/>
                <w:szCs w:val="24"/>
              </w:rPr>
              <w:t>A</w:t>
            </w:r>
            <w:r w:rsidRPr="004E4632">
              <w:rPr>
                <w:rFonts w:ascii="Times New Roman" w:hAnsi="Times New Roman" w:hint="eastAsia"/>
                <w:color w:val="000000"/>
                <w:kern w:val="0"/>
                <w:sz w:val="25"/>
                <w:szCs w:val="24"/>
              </w:rPr>
              <w:t>类基金份额的</w:t>
            </w:r>
            <w:r w:rsidR="00C86CDB">
              <w:rPr>
                <w:rFonts w:ascii="Times New Roman" w:hAnsi="Times New Roman"/>
                <w:color w:val="000000"/>
                <w:kern w:val="0"/>
                <w:sz w:val="25"/>
                <w:szCs w:val="24"/>
              </w:rPr>
              <w:t>申购费率</w:t>
            </w:r>
          </w:p>
        </w:tc>
        <w:tc>
          <w:tcPr>
            <w:tcW w:w="2143" w:type="pct"/>
            <w:tcBorders>
              <w:top w:val="single" w:sz="4" w:space="0" w:color="auto"/>
              <w:left w:val="single" w:sz="4" w:space="0" w:color="auto"/>
              <w:bottom w:val="single" w:sz="4" w:space="0" w:color="auto"/>
              <w:right w:val="single" w:sz="4" w:space="0" w:color="auto"/>
            </w:tcBorders>
            <w:vAlign w:val="center"/>
          </w:tcPr>
          <w:p w14:paraId="19D187FA"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申购金额（含申购费）</w:t>
            </w:r>
          </w:p>
        </w:tc>
        <w:tc>
          <w:tcPr>
            <w:tcW w:w="2143" w:type="pct"/>
            <w:tcBorders>
              <w:top w:val="single" w:sz="4" w:space="0" w:color="auto"/>
              <w:left w:val="single" w:sz="4" w:space="0" w:color="auto"/>
              <w:bottom w:val="single" w:sz="4" w:space="0" w:color="auto"/>
              <w:right w:val="single" w:sz="4" w:space="0" w:color="auto"/>
            </w:tcBorders>
            <w:vAlign w:val="center"/>
          </w:tcPr>
          <w:p w14:paraId="165A5225" w14:textId="0D15E007" w:rsidR="001430E9" w:rsidRDefault="008F7B20">
            <w:pPr>
              <w:widowControl/>
              <w:snapToGrid w:val="0"/>
              <w:jc w:val="center"/>
              <w:rPr>
                <w:rFonts w:ascii="宋体" w:hAnsi="宋体"/>
                <w:color w:val="000000"/>
                <w:kern w:val="0"/>
                <w:sz w:val="25"/>
                <w:szCs w:val="24"/>
              </w:rPr>
            </w:pPr>
            <w:r w:rsidRPr="004E4632">
              <w:rPr>
                <w:rFonts w:ascii="Times New Roman" w:hAnsi="Times New Roman" w:hint="eastAsia"/>
                <w:color w:val="000000"/>
                <w:kern w:val="0"/>
                <w:sz w:val="25"/>
                <w:szCs w:val="24"/>
              </w:rPr>
              <w:t>A</w:t>
            </w:r>
            <w:r w:rsidRPr="004E4632">
              <w:rPr>
                <w:rFonts w:ascii="Times New Roman" w:hAnsi="Times New Roman" w:hint="eastAsia"/>
                <w:color w:val="000000"/>
                <w:kern w:val="0"/>
                <w:sz w:val="25"/>
                <w:szCs w:val="24"/>
              </w:rPr>
              <w:t>类基金份额</w:t>
            </w:r>
            <w:r w:rsidR="00C86CDB">
              <w:rPr>
                <w:rFonts w:ascii="Times New Roman" w:hAnsi="Times New Roman"/>
                <w:color w:val="000000"/>
                <w:kern w:val="0"/>
                <w:sz w:val="25"/>
                <w:szCs w:val="24"/>
              </w:rPr>
              <w:t>申购费率</w:t>
            </w:r>
          </w:p>
        </w:tc>
      </w:tr>
      <w:tr w:rsidR="001430E9" w14:paraId="3575BB58" w14:textId="77777777" w:rsidTr="008F7B20">
        <w:trPr>
          <w:cantSplit/>
          <w:trHeight w:val="375"/>
        </w:trPr>
        <w:tc>
          <w:tcPr>
            <w:tcW w:w="714" w:type="pct"/>
            <w:vMerge/>
            <w:tcBorders>
              <w:top w:val="single" w:sz="4" w:space="0" w:color="auto"/>
              <w:left w:val="single" w:sz="4" w:space="0" w:color="auto"/>
              <w:bottom w:val="single" w:sz="4" w:space="0" w:color="auto"/>
              <w:right w:val="single" w:sz="4" w:space="0" w:color="auto"/>
            </w:tcBorders>
            <w:vAlign w:val="center"/>
          </w:tcPr>
          <w:p w14:paraId="139AC174" w14:textId="77777777" w:rsidR="001430E9" w:rsidRDefault="001430E9">
            <w:pPr>
              <w:widowControl/>
              <w:snapToGrid w:val="0"/>
              <w:jc w:val="center"/>
              <w:rPr>
                <w:rFonts w:ascii="宋体" w:hAnsi="宋体"/>
                <w:color w:val="000000"/>
                <w:kern w:val="0"/>
                <w:sz w:val="25"/>
                <w:szCs w:val="24"/>
              </w:rPr>
            </w:pPr>
          </w:p>
        </w:tc>
        <w:tc>
          <w:tcPr>
            <w:tcW w:w="2143" w:type="pct"/>
            <w:tcBorders>
              <w:top w:val="single" w:sz="4" w:space="0" w:color="auto"/>
              <w:left w:val="single" w:sz="4" w:space="0" w:color="auto"/>
              <w:bottom w:val="single" w:sz="4" w:space="0" w:color="auto"/>
              <w:right w:val="single" w:sz="4" w:space="0" w:color="auto"/>
            </w:tcBorders>
            <w:vAlign w:val="center"/>
          </w:tcPr>
          <w:p w14:paraId="32FC4427"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万元以下</w:t>
            </w:r>
          </w:p>
        </w:tc>
        <w:tc>
          <w:tcPr>
            <w:tcW w:w="2143" w:type="pct"/>
            <w:tcBorders>
              <w:top w:val="single" w:sz="4" w:space="0" w:color="auto"/>
              <w:left w:val="single" w:sz="4" w:space="0" w:color="auto"/>
              <w:bottom w:val="single" w:sz="4" w:space="0" w:color="auto"/>
              <w:right w:val="single" w:sz="4" w:space="0" w:color="auto"/>
            </w:tcBorders>
            <w:vAlign w:val="center"/>
          </w:tcPr>
          <w:p w14:paraId="12CF4AD0"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1430E9" w14:paraId="44A20948" w14:textId="77777777" w:rsidTr="008F7B20">
        <w:trPr>
          <w:cantSplit/>
          <w:trHeight w:val="375"/>
        </w:trPr>
        <w:tc>
          <w:tcPr>
            <w:tcW w:w="714" w:type="pct"/>
            <w:vMerge/>
            <w:tcBorders>
              <w:top w:val="single" w:sz="4" w:space="0" w:color="auto"/>
              <w:left w:val="single" w:sz="4" w:space="0" w:color="auto"/>
              <w:bottom w:val="single" w:sz="4" w:space="0" w:color="auto"/>
              <w:right w:val="single" w:sz="4" w:space="0" w:color="auto"/>
            </w:tcBorders>
            <w:vAlign w:val="center"/>
          </w:tcPr>
          <w:p w14:paraId="00A0F823" w14:textId="77777777" w:rsidR="001430E9" w:rsidRDefault="001430E9">
            <w:pPr>
              <w:widowControl/>
              <w:snapToGrid w:val="0"/>
              <w:jc w:val="center"/>
              <w:rPr>
                <w:rFonts w:ascii="宋体" w:hAnsi="宋体"/>
                <w:color w:val="000000"/>
                <w:kern w:val="0"/>
                <w:sz w:val="25"/>
                <w:szCs w:val="24"/>
              </w:rPr>
            </w:pPr>
          </w:p>
        </w:tc>
        <w:tc>
          <w:tcPr>
            <w:tcW w:w="2143" w:type="pct"/>
            <w:tcBorders>
              <w:top w:val="single" w:sz="4" w:space="0" w:color="auto"/>
              <w:left w:val="single" w:sz="4" w:space="0" w:color="auto"/>
              <w:bottom w:val="single" w:sz="4" w:space="0" w:color="auto"/>
              <w:right w:val="single" w:sz="4" w:space="0" w:color="auto"/>
            </w:tcBorders>
            <w:vAlign w:val="center"/>
          </w:tcPr>
          <w:p w14:paraId="3A5C1009"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200</w:t>
            </w:r>
            <w:r>
              <w:rPr>
                <w:rFonts w:ascii="Times New Roman" w:hAnsi="Times New Roman"/>
                <w:color w:val="000000"/>
                <w:kern w:val="0"/>
                <w:sz w:val="25"/>
                <w:szCs w:val="24"/>
              </w:rPr>
              <w:t>万元</w:t>
            </w:r>
          </w:p>
        </w:tc>
        <w:tc>
          <w:tcPr>
            <w:tcW w:w="2143" w:type="pct"/>
            <w:tcBorders>
              <w:top w:val="single" w:sz="4" w:space="0" w:color="auto"/>
              <w:left w:val="single" w:sz="4" w:space="0" w:color="auto"/>
              <w:bottom w:val="single" w:sz="4" w:space="0" w:color="auto"/>
              <w:right w:val="single" w:sz="4" w:space="0" w:color="auto"/>
            </w:tcBorders>
            <w:vAlign w:val="center"/>
          </w:tcPr>
          <w:p w14:paraId="78E00162"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1.2%</w:t>
            </w:r>
          </w:p>
        </w:tc>
      </w:tr>
      <w:tr w:rsidR="001430E9" w14:paraId="75001A88" w14:textId="77777777" w:rsidTr="008F7B20">
        <w:trPr>
          <w:cantSplit/>
          <w:trHeight w:val="375"/>
        </w:trPr>
        <w:tc>
          <w:tcPr>
            <w:tcW w:w="714" w:type="pct"/>
            <w:vMerge/>
            <w:tcBorders>
              <w:top w:val="single" w:sz="4" w:space="0" w:color="auto"/>
              <w:left w:val="single" w:sz="4" w:space="0" w:color="auto"/>
              <w:bottom w:val="single" w:sz="4" w:space="0" w:color="auto"/>
              <w:right w:val="single" w:sz="4" w:space="0" w:color="auto"/>
            </w:tcBorders>
            <w:vAlign w:val="center"/>
          </w:tcPr>
          <w:p w14:paraId="174AF297" w14:textId="77777777" w:rsidR="001430E9" w:rsidRDefault="001430E9">
            <w:pPr>
              <w:widowControl/>
              <w:snapToGrid w:val="0"/>
              <w:jc w:val="center"/>
              <w:rPr>
                <w:rFonts w:ascii="宋体" w:hAnsi="宋体"/>
                <w:color w:val="000000"/>
                <w:kern w:val="0"/>
                <w:sz w:val="25"/>
                <w:szCs w:val="24"/>
              </w:rPr>
            </w:pPr>
          </w:p>
        </w:tc>
        <w:tc>
          <w:tcPr>
            <w:tcW w:w="2143" w:type="pct"/>
            <w:tcBorders>
              <w:top w:val="single" w:sz="4" w:space="0" w:color="auto"/>
              <w:left w:val="single" w:sz="4" w:space="0" w:color="auto"/>
              <w:bottom w:val="single" w:sz="4" w:space="0" w:color="auto"/>
              <w:right w:val="single" w:sz="4" w:space="0" w:color="auto"/>
            </w:tcBorders>
            <w:vAlign w:val="center"/>
          </w:tcPr>
          <w:p w14:paraId="31493FC2"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200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2143" w:type="pct"/>
            <w:tcBorders>
              <w:top w:val="single" w:sz="4" w:space="0" w:color="auto"/>
              <w:left w:val="single" w:sz="4" w:space="0" w:color="auto"/>
              <w:bottom w:val="single" w:sz="4" w:space="0" w:color="auto"/>
              <w:right w:val="single" w:sz="4" w:space="0" w:color="auto"/>
            </w:tcBorders>
            <w:vAlign w:val="center"/>
          </w:tcPr>
          <w:p w14:paraId="621FB218"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rsidR="001430E9" w14:paraId="2D98DB60" w14:textId="77777777" w:rsidTr="008F7B20">
        <w:trPr>
          <w:cantSplit/>
          <w:trHeight w:val="375"/>
        </w:trPr>
        <w:tc>
          <w:tcPr>
            <w:tcW w:w="714" w:type="pct"/>
            <w:vMerge/>
            <w:tcBorders>
              <w:top w:val="single" w:sz="4" w:space="0" w:color="auto"/>
              <w:left w:val="single" w:sz="4" w:space="0" w:color="auto"/>
              <w:bottom w:val="single" w:sz="4" w:space="0" w:color="auto"/>
              <w:right w:val="single" w:sz="4" w:space="0" w:color="auto"/>
            </w:tcBorders>
            <w:vAlign w:val="center"/>
          </w:tcPr>
          <w:p w14:paraId="2006CF1D" w14:textId="77777777" w:rsidR="001430E9" w:rsidRDefault="001430E9">
            <w:pPr>
              <w:widowControl/>
              <w:snapToGrid w:val="0"/>
              <w:jc w:val="center"/>
              <w:rPr>
                <w:rFonts w:ascii="宋体" w:hAnsi="宋体"/>
                <w:color w:val="000000"/>
                <w:kern w:val="0"/>
                <w:sz w:val="25"/>
                <w:szCs w:val="24"/>
              </w:rPr>
            </w:pPr>
          </w:p>
        </w:tc>
        <w:tc>
          <w:tcPr>
            <w:tcW w:w="2143" w:type="pct"/>
            <w:tcBorders>
              <w:top w:val="single" w:sz="4" w:space="0" w:color="auto"/>
              <w:left w:val="single" w:sz="4" w:space="0" w:color="auto"/>
              <w:bottom w:val="single" w:sz="4" w:space="0" w:color="auto"/>
              <w:right w:val="single" w:sz="4" w:space="0" w:color="auto"/>
            </w:tcBorders>
            <w:vAlign w:val="center"/>
          </w:tcPr>
          <w:p w14:paraId="4044612E"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万元以上（含</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2143" w:type="pct"/>
            <w:tcBorders>
              <w:top w:val="single" w:sz="4" w:space="0" w:color="auto"/>
              <w:left w:val="single" w:sz="4" w:space="0" w:color="auto"/>
              <w:bottom w:val="single" w:sz="4" w:space="0" w:color="auto"/>
              <w:right w:val="single" w:sz="4" w:space="0" w:color="auto"/>
            </w:tcBorders>
            <w:vAlign w:val="center"/>
          </w:tcPr>
          <w:p w14:paraId="1A50ECCB"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bl>
    <w:p w14:paraId="5C24AB1E" w14:textId="475DAEDA" w:rsidR="001430E9" w:rsidRDefault="008F7B20">
      <w:pPr>
        <w:autoSpaceDE w:val="0"/>
        <w:autoSpaceDN w:val="0"/>
        <w:adjustRightInd w:val="0"/>
        <w:snapToGrid w:val="0"/>
        <w:spacing w:line="360" w:lineRule="auto"/>
        <w:ind w:firstLineChars="200" w:firstLine="480"/>
        <w:jc w:val="left"/>
        <w:rPr>
          <w:rFonts w:ascii="宋体" w:hAnsi="宋体"/>
          <w:szCs w:val="24"/>
        </w:rPr>
      </w:pPr>
      <w:r w:rsidRPr="004E4632">
        <w:rPr>
          <w:rFonts w:ascii="宋体" w:hAnsi="宋体" w:hint="eastAsia"/>
          <w:sz w:val="24"/>
        </w:rPr>
        <w:t>持有A类基金份额的投资人</w:t>
      </w:r>
      <w:r w:rsidR="00C86CDB">
        <w:rPr>
          <w:rFonts w:ascii="宋体" w:hAnsi="宋体"/>
          <w:sz w:val="24"/>
        </w:rPr>
        <w:t>因红利自动再投资而产生的</w:t>
      </w:r>
      <w:r w:rsidRPr="004E4632">
        <w:rPr>
          <w:rFonts w:ascii="宋体" w:hAnsi="宋体" w:hint="eastAsia"/>
          <w:sz w:val="24"/>
        </w:rPr>
        <w:t>A类</w:t>
      </w:r>
      <w:r w:rsidR="00C86CDB">
        <w:rPr>
          <w:rFonts w:ascii="宋体" w:hAnsi="宋体"/>
          <w:sz w:val="24"/>
        </w:rPr>
        <w:t>基金份额，不收取相应的申购费用。</w:t>
      </w:r>
    </w:p>
    <w:p w14:paraId="05C5956A" w14:textId="691372F2"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本基金对通过基金管理人直销柜台申购本基金</w:t>
      </w:r>
      <w:r w:rsidR="008F7B20" w:rsidRPr="004E4632">
        <w:rPr>
          <w:rFonts w:ascii="宋体" w:hAnsi="宋体" w:hint="eastAsia"/>
          <w:sz w:val="24"/>
        </w:rPr>
        <w:t>A类</w:t>
      </w:r>
      <w:r>
        <w:rPr>
          <w:rFonts w:ascii="宋体" w:hAnsi="宋体"/>
          <w:sz w:val="24"/>
        </w:rPr>
        <w:t>基金份额的养老金客户实施特定申购费率。</w:t>
      </w:r>
    </w:p>
    <w:p w14:paraId="0801AC1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养老金客户指基本养老基金与依法成立的养老计划筹集的资金及其投资运营收益形成的补充养老基金等，具体包括全国社会保障基金、可以投资基金的地方社会保障基金、企业年金单一计划以及集合计划、企业年金理事会委托的特定客户资产管理计划、企业年金养老金产品。如将来出现经养老基金监管部门认可的新的养老基金类型，基金管理人可在招募说明书更新或发布临时公告将其纳入养老金客户范围，并按规定向中国证监会备案。</w:t>
      </w:r>
    </w:p>
    <w:p w14:paraId="4334E5F9" w14:textId="254512D4"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通过基金管理人直销柜台申购本基金</w:t>
      </w:r>
      <w:r w:rsidR="008F7B20" w:rsidRPr="004E4632">
        <w:rPr>
          <w:rFonts w:ascii="宋体" w:hAnsi="宋体" w:hint="eastAsia"/>
          <w:sz w:val="24"/>
        </w:rPr>
        <w:t>A类</w:t>
      </w:r>
      <w:r>
        <w:rPr>
          <w:rFonts w:ascii="宋体" w:hAnsi="宋体"/>
          <w:sz w:val="24"/>
        </w:rPr>
        <w:t>基金份额的养老金客户特定申购费率如下表：</w:t>
      </w:r>
    </w:p>
    <w:tbl>
      <w:tblPr>
        <w:tblW w:w="5000" w:type="pct"/>
        <w:tblCellMar>
          <w:left w:w="0" w:type="dxa"/>
          <w:right w:w="0" w:type="dxa"/>
        </w:tblCellMar>
        <w:tblLook w:val="0000" w:firstRow="0" w:lastRow="0" w:firstColumn="0" w:lastColumn="0" w:noHBand="0" w:noVBand="0"/>
      </w:tblPr>
      <w:tblGrid>
        <w:gridCol w:w="1236"/>
        <w:gridCol w:w="3707"/>
        <w:gridCol w:w="3707"/>
      </w:tblGrid>
      <w:tr w:rsidR="001430E9" w14:paraId="62AF86DE" w14:textId="77777777">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14:paraId="5F674A96" w14:textId="5FF75C35" w:rsidR="001430E9" w:rsidRDefault="008F7B20">
            <w:pPr>
              <w:widowControl/>
              <w:snapToGrid w:val="0"/>
              <w:jc w:val="center"/>
              <w:rPr>
                <w:rFonts w:ascii="宋体" w:hAnsi="宋体"/>
                <w:color w:val="000000"/>
                <w:kern w:val="0"/>
                <w:sz w:val="25"/>
                <w:szCs w:val="24"/>
              </w:rPr>
            </w:pPr>
            <w:r w:rsidRPr="00511BCB">
              <w:rPr>
                <w:rFonts w:ascii="Times New Roman" w:hAnsi="Times New Roman" w:hint="eastAsia"/>
                <w:color w:val="000000"/>
                <w:kern w:val="0"/>
                <w:sz w:val="25"/>
                <w:szCs w:val="24"/>
              </w:rPr>
              <w:t>A</w:t>
            </w:r>
            <w:r w:rsidRPr="00511BCB">
              <w:rPr>
                <w:rFonts w:ascii="Times New Roman" w:hAnsi="Times New Roman" w:hint="eastAsia"/>
                <w:color w:val="000000"/>
                <w:kern w:val="0"/>
                <w:sz w:val="25"/>
                <w:szCs w:val="24"/>
              </w:rPr>
              <w:t>类基金份额</w:t>
            </w:r>
            <w:r>
              <w:rPr>
                <w:rFonts w:ascii="Times New Roman" w:hAnsi="Times New Roman" w:hint="eastAsia"/>
                <w:color w:val="000000"/>
                <w:kern w:val="0"/>
                <w:sz w:val="25"/>
                <w:szCs w:val="24"/>
              </w:rPr>
              <w:t>的</w:t>
            </w:r>
            <w:r w:rsidR="00C86CDB">
              <w:rPr>
                <w:rFonts w:ascii="Times New Roman" w:hAnsi="Times New Roman"/>
                <w:color w:val="000000"/>
                <w:kern w:val="0"/>
                <w:sz w:val="25"/>
                <w:szCs w:val="24"/>
              </w:rPr>
              <w:t>申购费率</w:t>
            </w:r>
          </w:p>
        </w:tc>
        <w:tc>
          <w:tcPr>
            <w:tcW w:w="750" w:type="pct"/>
            <w:tcBorders>
              <w:top w:val="single" w:sz="4" w:space="0" w:color="auto"/>
              <w:left w:val="single" w:sz="4" w:space="0" w:color="auto"/>
              <w:bottom w:val="single" w:sz="4" w:space="0" w:color="auto"/>
              <w:right w:val="single" w:sz="4" w:space="0" w:color="auto"/>
            </w:tcBorders>
            <w:vAlign w:val="center"/>
          </w:tcPr>
          <w:p w14:paraId="18A54120"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申购金额（含申购费）</w:t>
            </w:r>
          </w:p>
        </w:tc>
        <w:tc>
          <w:tcPr>
            <w:tcW w:w="400" w:type="pct"/>
            <w:tcBorders>
              <w:top w:val="single" w:sz="4" w:space="0" w:color="auto"/>
              <w:left w:val="single" w:sz="4" w:space="0" w:color="auto"/>
              <w:bottom w:val="single" w:sz="4" w:space="0" w:color="auto"/>
              <w:right w:val="single" w:sz="4" w:space="0" w:color="auto"/>
            </w:tcBorders>
            <w:vAlign w:val="center"/>
          </w:tcPr>
          <w:p w14:paraId="16C019EE" w14:textId="0AF127B2" w:rsidR="001430E9" w:rsidRDefault="008F7B20">
            <w:pPr>
              <w:widowControl/>
              <w:snapToGrid w:val="0"/>
              <w:jc w:val="center"/>
              <w:rPr>
                <w:rFonts w:ascii="宋体" w:hAnsi="宋体"/>
                <w:color w:val="000000"/>
                <w:kern w:val="0"/>
                <w:sz w:val="25"/>
                <w:szCs w:val="24"/>
              </w:rPr>
            </w:pPr>
            <w:r w:rsidRPr="00511BCB">
              <w:rPr>
                <w:rFonts w:ascii="Times New Roman" w:hAnsi="Times New Roman" w:hint="eastAsia"/>
                <w:color w:val="000000"/>
                <w:kern w:val="0"/>
                <w:sz w:val="25"/>
                <w:szCs w:val="24"/>
              </w:rPr>
              <w:t>A</w:t>
            </w:r>
            <w:r w:rsidRPr="00511BCB">
              <w:rPr>
                <w:rFonts w:ascii="Times New Roman" w:hAnsi="Times New Roman" w:hint="eastAsia"/>
                <w:color w:val="000000"/>
                <w:kern w:val="0"/>
                <w:sz w:val="25"/>
                <w:szCs w:val="24"/>
              </w:rPr>
              <w:t>类基金份额</w:t>
            </w:r>
            <w:r w:rsidR="00C86CDB">
              <w:rPr>
                <w:rFonts w:ascii="Times New Roman" w:hAnsi="Times New Roman"/>
                <w:color w:val="000000"/>
                <w:kern w:val="0"/>
                <w:sz w:val="25"/>
                <w:szCs w:val="24"/>
              </w:rPr>
              <w:t>特定申购费率</w:t>
            </w:r>
          </w:p>
        </w:tc>
      </w:tr>
      <w:tr w:rsidR="001430E9" w14:paraId="01EF93CC"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02D5D076" w14:textId="77777777" w:rsidR="001430E9" w:rsidRDefault="001430E9">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5FAB023A"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万元以下</w:t>
            </w:r>
          </w:p>
        </w:tc>
        <w:tc>
          <w:tcPr>
            <w:tcW w:w="750" w:type="pct"/>
            <w:tcBorders>
              <w:top w:val="single" w:sz="4" w:space="0" w:color="auto"/>
              <w:left w:val="single" w:sz="4" w:space="0" w:color="auto"/>
              <w:bottom w:val="single" w:sz="4" w:space="0" w:color="auto"/>
              <w:right w:val="single" w:sz="4" w:space="0" w:color="auto"/>
            </w:tcBorders>
            <w:vAlign w:val="center"/>
          </w:tcPr>
          <w:p w14:paraId="3E81503A"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0.6%</w:t>
            </w:r>
          </w:p>
        </w:tc>
      </w:tr>
      <w:tr w:rsidR="001430E9" w14:paraId="53A81229"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5F059A9A" w14:textId="77777777" w:rsidR="001430E9" w:rsidRDefault="001430E9">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7508E734"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200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14:paraId="719A9DE3"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0.36%</w:t>
            </w:r>
          </w:p>
        </w:tc>
      </w:tr>
      <w:tr w:rsidR="001430E9" w14:paraId="2DEBCE77"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71CDA31B" w14:textId="77777777" w:rsidR="001430E9" w:rsidRDefault="001430E9">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78F73871"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200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14:paraId="3F3D4E26"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0.12%</w:t>
            </w:r>
          </w:p>
        </w:tc>
      </w:tr>
      <w:tr w:rsidR="001430E9" w14:paraId="63F98AF1" w14:textId="77777777">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14:paraId="4A5C69B8" w14:textId="77777777" w:rsidR="001430E9" w:rsidRDefault="001430E9">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5650A46A"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万元以上（含</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14:paraId="6EC057E9"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bl>
    <w:p w14:paraId="417FF26C" w14:textId="77777777" w:rsidR="00733DC9" w:rsidRDefault="00733DC9" w:rsidP="00733DC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有关养老金客户实施特定申购费率的具体规定以及活动时间如有变化，敬请投资人留意本公司发布的相关公告。</w:t>
      </w:r>
    </w:p>
    <w:p w14:paraId="648401AF" w14:textId="77777777" w:rsidR="00733DC9" w:rsidRDefault="00733DC9" w:rsidP="00733DC9">
      <w:pPr>
        <w:autoSpaceDE w:val="0"/>
        <w:autoSpaceDN w:val="0"/>
        <w:snapToGrid w:val="0"/>
        <w:spacing w:line="360" w:lineRule="auto"/>
        <w:ind w:firstLine="480"/>
        <w:jc w:val="left"/>
        <w:rPr>
          <w:rFonts w:ascii="宋体" w:hAnsi="宋体"/>
          <w:kern w:val="0"/>
          <w:szCs w:val="21"/>
        </w:rPr>
      </w:pPr>
      <w:r>
        <w:rPr>
          <w:rFonts w:hint="eastAsia"/>
          <w:sz w:val="24"/>
          <w:szCs w:val="24"/>
        </w:rPr>
        <w:t>投资者通过直销机构交易享有的交易费率优惠情况请见本基金管理人的有关公告或本基金管理人网站。本基金管理人基金网上直销业务已开通的银行卡及各银行卡交易金额限额请参阅本基金管理人网站。</w:t>
      </w:r>
    </w:p>
    <w:p w14:paraId="5A808B8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本基金管理人可根据业务情况调整上述交易费用和限额要求，并依据相关法规的要求提前进行公告。</w:t>
      </w:r>
    </w:p>
    <w:p w14:paraId="1076C22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2、赎回费用</w:t>
      </w:r>
    </w:p>
    <w:p w14:paraId="0CA7D155" w14:textId="77777777" w:rsidR="008F7B20" w:rsidRDefault="008F7B20" w:rsidP="008F7B20">
      <w:pPr>
        <w:autoSpaceDE w:val="0"/>
        <w:autoSpaceDN w:val="0"/>
        <w:adjustRightInd w:val="0"/>
        <w:snapToGrid w:val="0"/>
        <w:spacing w:line="360" w:lineRule="auto"/>
        <w:ind w:firstLineChars="200" w:firstLine="480"/>
        <w:jc w:val="left"/>
        <w:rPr>
          <w:rFonts w:ascii="宋体" w:hAnsi="宋体"/>
          <w:sz w:val="24"/>
        </w:rPr>
      </w:pPr>
      <w:r w:rsidRPr="00BF7974">
        <w:rPr>
          <w:rFonts w:ascii="宋体" w:hAnsi="宋体" w:hint="eastAsia"/>
          <w:sz w:val="24"/>
        </w:rPr>
        <w:t>（1）本基金A类基金份额的赎回费率</w:t>
      </w:r>
    </w:p>
    <w:p w14:paraId="3702CD13" w14:textId="618546E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w:t>
      </w:r>
      <w:r w:rsidR="00B12E2B" w:rsidRPr="00BF7974">
        <w:rPr>
          <w:rFonts w:ascii="宋体" w:hAnsi="宋体" w:hint="eastAsia"/>
          <w:sz w:val="24"/>
        </w:rPr>
        <w:t>A类基金份额</w:t>
      </w:r>
      <w:r>
        <w:rPr>
          <w:rFonts w:ascii="宋体" w:hAnsi="宋体"/>
          <w:sz w:val="24"/>
        </w:rPr>
        <w:t>的赎回费用由赎回</w:t>
      </w:r>
      <w:r w:rsidR="00B12E2B">
        <w:rPr>
          <w:rFonts w:ascii="宋体" w:hAnsi="宋体" w:hint="eastAsia"/>
          <w:sz w:val="24"/>
        </w:rPr>
        <w:t>A类</w:t>
      </w:r>
      <w:r>
        <w:rPr>
          <w:rFonts w:ascii="宋体" w:hAnsi="宋体"/>
          <w:sz w:val="24"/>
        </w:rPr>
        <w:t>基金份额的基金份额持有人承担，在基金份额持有人赎回</w:t>
      </w:r>
      <w:r w:rsidR="00B12E2B">
        <w:rPr>
          <w:rFonts w:ascii="宋体" w:hAnsi="宋体" w:hint="eastAsia"/>
          <w:sz w:val="24"/>
        </w:rPr>
        <w:t>A类</w:t>
      </w:r>
      <w:r>
        <w:rPr>
          <w:rFonts w:ascii="宋体" w:hAnsi="宋体"/>
          <w:sz w:val="24"/>
        </w:rPr>
        <w:t>基金份额时收取，对持续持有期少于7日的投资人收取1.5%的赎回费，对持续持有期大于等于7日但少于30日的投资人收取0.75%的赎回费，并将上述赎回费全额计入基金财产；对持续持有期大于等于30日但少于3个月的投资人收取0.5%的赎回费，并将赎回费总额的75%计入基金财产；对持续持有期大于等于3个月但少于6个月的投资人收取0.5%的赎回费，并将赎回费总额的50%计入基金财产；对持续持有期大于等于6个月的投资人，将赎回费总额的25%计入基金财产。上述“月”指的是30个自然日。未归入基金财产的部分用于支付登记费和其他必要的手续费。</w:t>
      </w:r>
    </w:p>
    <w:p w14:paraId="01821E42" w14:textId="0CE61DD4"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w:t>
      </w:r>
      <w:r w:rsidR="00B12E2B" w:rsidRPr="0049600C">
        <w:rPr>
          <w:rFonts w:ascii="宋体" w:hAnsi="宋体" w:hint="eastAsia"/>
          <w:sz w:val="24"/>
        </w:rPr>
        <w:t>A类基金份额</w:t>
      </w:r>
      <w:r>
        <w:rPr>
          <w:rFonts w:ascii="宋体" w:hAnsi="宋体"/>
          <w:sz w:val="24"/>
        </w:rPr>
        <w:t>的赎回费率如下：</w:t>
      </w:r>
    </w:p>
    <w:tbl>
      <w:tblPr>
        <w:tblW w:w="5000" w:type="pct"/>
        <w:tblCellMar>
          <w:left w:w="0" w:type="dxa"/>
          <w:right w:w="0" w:type="dxa"/>
        </w:tblCellMar>
        <w:tblLook w:val="0000" w:firstRow="0" w:lastRow="0" w:firstColumn="0" w:lastColumn="0" w:noHBand="0" w:noVBand="0"/>
      </w:tblPr>
      <w:tblGrid>
        <w:gridCol w:w="2552"/>
        <w:gridCol w:w="3534"/>
        <w:gridCol w:w="2564"/>
      </w:tblGrid>
      <w:tr w:rsidR="001430E9" w14:paraId="3A99946D" w14:textId="77777777" w:rsidTr="00190EBC">
        <w:trPr>
          <w:cantSplit/>
          <w:trHeight w:val="375"/>
        </w:trPr>
        <w:tc>
          <w:tcPr>
            <w:tcW w:w="1475" w:type="pct"/>
            <w:vMerge w:val="restart"/>
            <w:tcBorders>
              <w:top w:val="single" w:sz="4" w:space="0" w:color="auto"/>
              <w:left w:val="single" w:sz="4" w:space="0" w:color="auto"/>
              <w:bottom w:val="single" w:sz="4" w:space="0" w:color="auto"/>
              <w:right w:val="single" w:sz="4" w:space="0" w:color="auto"/>
            </w:tcBorders>
            <w:vAlign w:val="center"/>
          </w:tcPr>
          <w:p w14:paraId="77CF80F9" w14:textId="5AEDF04B" w:rsidR="001430E9" w:rsidRDefault="00B12E2B">
            <w:pPr>
              <w:widowControl/>
              <w:snapToGrid w:val="0"/>
              <w:jc w:val="center"/>
              <w:rPr>
                <w:rFonts w:ascii="宋体" w:hAnsi="宋体"/>
                <w:color w:val="000000"/>
                <w:kern w:val="0"/>
                <w:sz w:val="25"/>
                <w:szCs w:val="24"/>
              </w:rPr>
            </w:pPr>
            <w:r w:rsidRPr="0086502A">
              <w:rPr>
                <w:rFonts w:ascii="Times New Roman" w:hAnsi="Times New Roman" w:hint="eastAsia"/>
                <w:color w:val="000000"/>
                <w:kern w:val="0"/>
                <w:sz w:val="25"/>
                <w:szCs w:val="24"/>
              </w:rPr>
              <w:t>A</w:t>
            </w:r>
            <w:r w:rsidRPr="0086502A">
              <w:rPr>
                <w:rFonts w:ascii="Times New Roman" w:hAnsi="Times New Roman" w:hint="eastAsia"/>
                <w:color w:val="000000"/>
                <w:kern w:val="0"/>
                <w:sz w:val="25"/>
                <w:szCs w:val="24"/>
              </w:rPr>
              <w:t>类基金份额的</w:t>
            </w:r>
            <w:r w:rsidR="00C86CDB">
              <w:rPr>
                <w:rFonts w:ascii="Times New Roman" w:hAnsi="Times New Roman"/>
                <w:color w:val="000000"/>
                <w:kern w:val="0"/>
                <w:sz w:val="25"/>
                <w:szCs w:val="24"/>
              </w:rPr>
              <w:t>赎回费率</w:t>
            </w:r>
          </w:p>
        </w:tc>
        <w:tc>
          <w:tcPr>
            <w:tcW w:w="2043" w:type="pct"/>
            <w:tcBorders>
              <w:top w:val="single" w:sz="4" w:space="0" w:color="auto"/>
              <w:left w:val="single" w:sz="4" w:space="0" w:color="auto"/>
              <w:bottom w:val="single" w:sz="4" w:space="0" w:color="auto"/>
              <w:right w:val="single" w:sz="4" w:space="0" w:color="auto"/>
            </w:tcBorders>
            <w:vAlign w:val="center"/>
          </w:tcPr>
          <w:p w14:paraId="6E93B6BC"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持有期限</w:t>
            </w:r>
          </w:p>
        </w:tc>
        <w:tc>
          <w:tcPr>
            <w:tcW w:w="1482" w:type="pct"/>
            <w:tcBorders>
              <w:top w:val="single" w:sz="4" w:space="0" w:color="auto"/>
              <w:left w:val="single" w:sz="4" w:space="0" w:color="auto"/>
              <w:bottom w:val="single" w:sz="4" w:space="0" w:color="auto"/>
              <w:right w:val="single" w:sz="4" w:space="0" w:color="auto"/>
            </w:tcBorders>
            <w:vAlign w:val="center"/>
          </w:tcPr>
          <w:p w14:paraId="33D62D6E" w14:textId="67EBFC05" w:rsidR="001430E9" w:rsidRDefault="00B12E2B">
            <w:pPr>
              <w:widowControl/>
              <w:snapToGrid w:val="0"/>
              <w:jc w:val="center"/>
              <w:rPr>
                <w:rFonts w:ascii="宋体" w:hAnsi="宋体"/>
                <w:color w:val="000000"/>
                <w:kern w:val="0"/>
                <w:sz w:val="25"/>
                <w:szCs w:val="24"/>
              </w:rPr>
            </w:pPr>
            <w:r w:rsidRPr="0086502A">
              <w:rPr>
                <w:rFonts w:ascii="Times New Roman" w:hAnsi="Times New Roman" w:hint="eastAsia"/>
                <w:color w:val="000000"/>
                <w:kern w:val="0"/>
                <w:sz w:val="25"/>
                <w:szCs w:val="24"/>
              </w:rPr>
              <w:t>A</w:t>
            </w:r>
            <w:r w:rsidRPr="0086502A">
              <w:rPr>
                <w:rFonts w:ascii="Times New Roman" w:hAnsi="Times New Roman" w:hint="eastAsia"/>
                <w:color w:val="000000"/>
                <w:kern w:val="0"/>
                <w:sz w:val="25"/>
                <w:szCs w:val="24"/>
              </w:rPr>
              <w:t>类基金份额</w:t>
            </w:r>
            <w:r w:rsidR="00C86CDB">
              <w:rPr>
                <w:rFonts w:ascii="Times New Roman" w:hAnsi="Times New Roman"/>
                <w:color w:val="000000"/>
                <w:kern w:val="0"/>
                <w:sz w:val="25"/>
                <w:szCs w:val="24"/>
              </w:rPr>
              <w:t>赎回费率</w:t>
            </w:r>
          </w:p>
        </w:tc>
      </w:tr>
      <w:tr w:rsidR="001430E9" w14:paraId="28185D2D" w14:textId="77777777" w:rsidTr="00190EBC">
        <w:trPr>
          <w:cantSplit/>
          <w:trHeight w:val="375"/>
        </w:trPr>
        <w:tc>
          <w:tcPr>
            <w:tcW w:w="1475" w:type="pct"/>
            <w:vMerge/>
            <w:tcBorders>
              <w:top w:val="single" w:sz="4" w:space="0" w:color="auto"/>
              <w:left w:val="single" w:sz="4" w:space="0" w:color="auto"/>
              <w:bottom w:val="single" w:sz="4" w:space="0" w:color="auto"/>
              <w:right w:val="single" w:sz="4" w:space="0" w:color="auto"/>
            </w:tcBorders>
            <w:vAlign w:val="center"/>
          </w:tcPr>
          <w:p w14:paraId="30DFEDAB" w14:textId="77777777" w:rsidR="001430E9" w:rsidRDefault="001430E9">
            <w:pPr>
              <w:widowControl/>
              <w:snapToGrid w:val="0"/>
              <w:jc w:val="center"/>
              <w:rPr>
                <w:rFonts w:ascii="宋体" w:hAnsi="宋体"/>
                <w:color w:val="000000"/>
                <w:kern w:val="0"/>
                <w:sz w:val="25"/>
                <w:szCs w:val="24"/>
              </w:rPr>
            </w:pPr>
          </w:p>
        </w:tc>
        <w:tc>
          <w:tcPr>
            <w:tcW w:w="2043" w:type="pct"/>
            <w:tcBorders>
              <w:top w:val="single" w:sz="4" w:space="0" w:color="auto"/>
              <w:left w:val="single" w:sz="4" w:space="0" w:color="auto"/>
              <w:bottom w:val="single" w:sz="4" w:space="0" w:color="auto"/>
              <w:right w:val="single" w:sz="4" w:space="0" w:color="auto"/>
            </w:tcBorders>
            <w:vAlign w:val="center"/>
          </w:tcPr>
          <w:p w14:paraId="19AD8B52"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日以内</w:t>
            </w:r>
          </w:p>
        </w:tc>
        <w:tc>
          <w:tcPr>
            <w:tcW w:w="1482" w:type="pct"/>
            <w:tcBorders>
              <w:top w:val="single" w:sz="4" w:space="0" w:color="auto"/>
              <w:left w:val="single" w:sz="4" w:space="0" w:color="auto"/>
              <w:bottom w:val="single" w:sz="4" w:space="0" w:color="auto"/>
              <w:right w:val="single" w:sz="4" w:space="0" w:color="auto"/>
            </w:tcBorders>
            <w:vAlign w:val="center"/>
          </w:tcPr>
          <w:p w14:paraId="31C6863B"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1430E9" w14:paraId="0CB7B285" w14:textId="77777777" w:rsidTr="00190EBC">
        <w:trPr>
          <w:cantSplit/>
          <w:trHeight w:val="375"/>
        </w:trPr>
        <w:tc>
          <w:tcPr>
            <w:tcW w:w="1475" w:type="pct"/>
            <w:vMerge/>
            <w:tcBorders>
              <w:top w:val="single" w:sz="4" w:space="0" w:color="auto"/>
              <w:left w:val="single" w:sz="4" w:space="0" w:color="auto"/>
              <w:bottom w:val="single" w:sz="4" w:space="0" w:color="auto"/>
              <w:right w:val="single" w:sz="4" w:space="0" w:color="auto"/>
            </w:tcBorders>
            <w:vAlign w:val="center"/>
          </w:tcPr>
          <w:p w14:paraId="49BB55B9" w14:textId="77777777" w:rsidR="001430E9" w:rsidRDefault="001430E9">
            <w:pPr>
              <w:widowControl/>
              <w:snapToGrid w:val="0"/>
              <w:jc w:val="center"/>
              <w:rPr>
                <w:rFonts w:ascii="宋体" w:hAnsi="宋体"/>
                <w:color w:val="000000"/>
                <w:kern w:val="0"/>
                <w:sz w:val="25"/>
                <w:szCs w:val="24"/>
              </w:rPr>
            </w:pPr>
          </w:p>
        </w:tc>
        <w:tc>
          <w:tcPr>
            <w:tcW w:w="2043" w:type="pct"/>
            <w:tcBorders>
              <w:top w:val="single" w:sz="4" w:space="0" w:color="auto"/>
              <w:left w:val="single" w:sz="4" w:space="0" w:color="auto"/>
              <w:bottom w:val="single" w:sz="4" w:space="0" w:color="auto"/>
              <w:right w:val="single" w:sz="4" w:space="0" w:color="auto"/>
            </w:tcBorders>
            <w:vAlign w:val="center"/>
          </w:tcPr>
          <w:p w14:paraId="32D473E6"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日（含）</w:t>
            </w:r>
            <w:r>
              <w:rPr>
                <w:rFonts w:ascii="Times New Roman" w:hAnsi="Times New Roman"/>
                <w:color w:val="000000"/>
                <w:kern w:val="0"/>
                <w:sz w:val="25"/>
                <w:szCs w:val="24"/>
              </w:rPr>
              <w:t>—30</w:t>
            </w:r>
            <w:r>
              <w:rPr>
                <w:rFonts w:ascii="Times New Roman" w:hAnsi="Times New Roman"/>
                <w:color w:val="000000"/>
                <w:kern w:val="0"/>
                <w:sz w:val="25"/>
                <w:szCs w:val="24"/>
              </w:rPr>
              <w:t>日</w:t>
            </w:r>
          </w:p>
        </w:tc>
        <w:tc>
          <w:tcPr>
            <w:tcW w:w="1482" w:type="pct"/>
            <w:tcBorders>
              <w:top w:val="single" w:sz="4" w:space="0" w:color="auto"/>
              <w:left w:val="single" w:sz="4" w:space="0" w:color="auto"/>
              <w:bottom w:val="single" w:sz="4" w:space="0" w:color="auto"/>
              <w:right w:val="single" w:sz="4" w:space="0" w:color="auto"/>
            </w:tcBorders>
            <w:vAlign w:val="center"/>
          </w:tcPr>
          <w:p w14:paraId="1B6F024B"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0.75%</w:t>
            </w:r>
          </w:p>
        </w:tc>
      </w:tr>
      <w:tr w:rsidR="001430E9" w14:paraId="24F17CFB" w14:textId="77777777" w:rsidTr="00190EBC">
        <w:trPr>
          <w:cantSplit/>
          <w:trHeight w:val="375"/>
        </w:trPr>
        <w:tc>
          <w:tcPr>
            <w:tcW w:w="1475" w:type="pct"/>
            <w:vMerge/>
            <w:tcBorders>
              <w:top w:val="single" w:sz="4" w:space="0" w:color="auto"/>
              <w:left w:val="single" w:sz="4" w:space="0" w:color="auto"/>
              <w:bottom w:val="single" w:sz="4" w:space="0" w:color="auto"/>
              <w:right w:val="single" w:sz="4" w:space="0" w:color="auto"/>
            </w:tcBorders>
            <w:vAlign w:val="center"/>
          </w:tcPr>
          <w:p w14:paraId="7E483F6D" w14:textId="77777777" w:rsidR="001430E9" w:rsidRDefault="001430E9">
            <w:pPr>
              <w:widowControl/>
              <w:snapToGrid w:val="0"/>
              <w:jc w:val="center"/>
              <w:rPr>
                <w:rFonts w:ascii="宋体" w:hAnsi="宋体"/>
                <w:color w:val="000000"/>
                <w:kern w:val="0"/>
                <w:sz w:val="25"/>
                <w:szCs w:val="24"/>
              </w:rPr>
            </w:pPr>
          </w:p>
        </w:tc>
        <w:tc>
          <w:tcPr>
            <w:tcW w:w="2043" w:type="pct"/>
            <w:tcBorders>
              <w:top w:val="single" w:sz="4" w:space="0" w:color="auto"/>
              <w:left w:val="single" w:sz="4" w:space="0" w:color="auto"/>
              <w:bottom w:val="single" w:sz="4" w:space="0" w:color="auto"/>
              <w:right w:val="single" w:sz="4" w:space="0" w:color="auto"/>
            </w:tcBorders>
            <w:vAlign w:val="center"/>
          </w:tcPr>
          <w:p w14:paraId="34B631C2"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30</w:t>
            </w:r>
            <w:r>
              <w:rPr>
                <w:rFonts w:ascii="Times New Roman" w:hAnsi="Times New Roman"/>
                <w:color w:val="000000"/>
                <w:kern w:val="0"/>
                <w:sz w:val="25"/>
                <w:szCs w:val="24"/>
              </w:rPr>
              <w:t>日（含）</w:t>
            </w:r>
            <w:r>
              <w:rPr>
                <w:rFonts w:ascii="Times New Roman" w:hAnsi="Times New Roman"/>
                <w:color w:val="000000"/>
                <w:kern w:val="0"/>
                <w:sz w:val="25"/>
                <w:szCs w:val="24"/>
              </w:rPr>
              <w:t>—1</w:t>
            </w:r>
            <w:r>
              <w:rPr>
                <w:rFonts w:ascii="Times New Roman" w:hAnsi="Times New Roman"/>
                <w:color w:val="000000"/>
                <w:kern w:val="0"/>
                <w:sz w:val="25"/>
                <w:szCs w:val="24"/>
              </w:rPr>
              <w:t>年</w:t>
            </w:r>
          </w:p>
        </w:tc>
        <w:tc>
          <w:tcPr>
            <w:tcW w:w="1482" w:type="pct"/>
            <w:tcBorders>
              <w:top w:val="single" w:sz="4" w:space="0" w:color="auto"/>
              <w:left w:val="single" w:sz="4" w:space="0" w:color="auto"/>
              <w:bottom w:val="single" w:sz="4" w:space="0" w:color="auto"/>
              <w:right w:val="single" w:sz="4" w:space="0" w:color="auto"/>
            </w:tcBorders>
            <w:vAlign w:val="center"/>
          </w:tcPr>
          <w:p w14:paraId="4C9FAE60"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rsidR="001430E9" w14:paraId="550DD8A7" w14:textId="77777777" w:rsidTr="00190EBC">
        <w:trPr>
          <w:cantSplit/>
          <w:trHeight w:val="375"/>
        </w:trPr>
        <w:tc>
          <w:tcPr>
            <w:tcW w:w="1475" w:type="pct"/>
            <w:vMerge/>
            <w:tcBorders>
              <w:top w:val="single" w:sz="4" w:space="0" w:color="auto"/>
              <w:left w:val="single" w:sz="4" w:space="0" w:color="auto"/>
              <w:bottom w:val="single" w:sz="4" w:space="0" w:color="auto"/>
              <w:right w:val="single" w:sz="4" w:space="0" w:color="auto"/>
            </w:tcBorders>
            <w:vAlign w:val="center"/>
          </w:tcPr>
          <w:p w14:paraId="5F54766F" w14:textId="77777777" w:rsidR="001430E9" w:rsidRDefault="001430E9">
            <w:pPr>
              <w:widowControl/>
              <w:snapToGrid w:val="0"/>
              <w:jc w:val="center"/>
              <w:rPr>
                <w:rFonts w:ascii="宋体" w:hAnsi="宋体"/>
                <w:color w:val="000000"/>
                <w:kern w:val="0"/>
                <w:sz w:val="25"/>
                <w:szCs w:val="24"/>
              </w:rPr>
            </w:pPr>
          </w:p>
        </w:tc>
        <w:tc>
          <w:tcPr>
            <w:tcW w:w="2043" w:type="pct"/>
            <w:tcBorders>
              <w:top w:val="single" w:sz="4" w:space="0" w:color="auto"/>
              <w:left w:val="single" w:sz="4" w:space="0" w:color="auto"/>
              <w:bottom w:val="single" w:sz="4" w:space="0" w:color="auto"/>
              <w:right w:val="single" w:sz="4" w:space="0" w:color="auto"/>
            </w:tcBorders>
            <w:vAlign w:val="center"/>
          </w:tcPr>
          <w:p w14:paraId="46506494"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r>
              <w:rPr>
                <w:rFonts w:ascii="Times New Roman" w:hAnsi="Times New Roman"/>
                <w:color w:val="000000"/>
                <w:kern w:val="0"/>
                <w:sz w:val="25"/>
                <w:szCs w:val="24"/>
              </w:rPr>
              <w:t>年（含）</w:t>
            </w:r>
            <w:r>
              <w:rPr>
                <w:rFonts w:ascii="Times New Roman" w:hAnsi="Times New Roman"/>
                <w:color w:val="000000"/>
                <w:kern w:val="0"/>
                <w:sz w:val="25"/>
                <w:szCs w:val="24"/>
              </w:rPr>
              <w:t>—2</w:t>
            </w:r>
            <w:r>
              <w:rPr>
                <w:rFonts w:ascii="Times New Roman" w:hAnsi="Times New Roman"/>
                <w:color w:val="000000"/>
                <w:kern w:val="0"/>
                <w:sz w:val="25"/>
                <w:szCs w:val="24"/>
              </w:rPr>
              <w:t>年</w:t>
            </w:r>
          </w:p>
        </w:tc>
        <w:tc>
          <w:tcPr>
            <w:tcW w:w="1482" w:type="pct"/>
            <w:tcBorders>
              <w:top w:val="single" w:sz="4" w:space="0" w:color="auto"/>
              <w:left w:val="single" w:sz="4" w:space="0" w:color="auto"/>
              <w:bottom w:val="single" w:sz="4" w:space="0" w:color="auto"/>
              <w:right w:val="single" w:sz="4" w:space="0" w:color="auto"/>
            </w:tcBorders>
            <w:vAlign w:val="center"/>
          </w:tcPr>
          <w:p w14:paraId="152F5CF5"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0.25%</w:t>
            </w:r>
          </w:p>
        </w:tc>
      </w:tr>
      <w:tr w:rsidR="001430E9" w14:paraId="77044BD0" w14:textId="77777777" w:rsidTr="00190EBC">
        <w:trPr>
          <w:cantSplit/>
          <w:trHeight w:val="375"/>
        </w:trPr>
        <w:tc>
          <w:tcPr>
            <w:tcW w:w="1475" w:type="pct"/>
            <w:vMerge/>
            <w:tcBorders>
              <w:top w:val="single" w:sz="4" w:space="0" w:color="auto"/>
              <w:left w:val="single" w:sz="4" w:space="0" w:color="auto"/>
              <w:bottom w:val="single" w:sz="4" w:space="0" w:color="auto"/>
              <w:right w:val="single" w:sz="4" w:space="0" w:color="auto"/>
            </w:tcBorders>
            <w:vAlign w:val="center"/>
          </w:tcPr>
          <w:p w14:paraId="0F3D5A9C" w14:textId="77777777" w:rsidR="001430E9" w:rsidRDefault="001430E9">
            <w:pPr>
              <w:widowControl/>
              <w:snapToGrid w:val="0"/>
              <w:jc w:val="center"/>
              <w:rPr>
                <w:rFonts w:ascii="宋体" w:hAnsi="宋体"/>
                <w:color w:val="000000"/>
                <w:kern w:val="0"/>
                <w:sz w:val="25"/>
                <w:szCs w:val="24"/>
              </w:rPr>
            </w:pPr>
          </w:p>
        </w:tc>
        <w:tc>
          <w:tcPr>
            <w:tcW w:w="2043" w:type="pct"/>
            <w:tcBorders>
              <w:top w:val="single" w:sz="4" w:space="0" w:color="auto"/>
              <w:left w:val="single" w:sz="4" w:space="0" w:color="auto"/>
              <w:bottom w:val="single" w:sz="4" w:space="0" w:color="auto"/>
              <w:right w:val="single" w:sz="4" w:space="0" w:color="auto"/>
            </w:tcBorders>
            <w:vAlign w:val="center"/>
          </w:tcPr>
          <w:p w14:paraId="3FC9C147"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2</w:t>
            </w:r>
            <w:r>
              <w:rPr>
                <w:rFonts w:ascii="Times New Roman" w:hAnsi="Times New Roman"/>
                <w:color w:val="000000"/>
                <w:kern w:val="0"/>
                <w:sz w:val="25"/>
                <w:szCs w:val="24"/>
              </w:rPr>
              <w:t>年以上（含）</w:t>
            </w:r>
          </w:p>
        </w:tc>
        <w:tc>
          <w:tcPr>
            <w:tcW w:w="1482" w:type="pct"/>
            <w:tcBorders>
              <w:top w:val="single" w:sz="4" w:space="0" w:color="auto"/>
              <w:left w:val="single" w:sz="4" w:space="0" w:color="auto"/>
              <w:bottom w:val="single" w:sz="4" w:space="0" w:color="auto"/>
              <w:right w:val="single" w:sz="4" w:space="0" w:color="auto"/>
            </w:tcBorders>
            <w:vAlign w:val="center"/>
          </w:tcPr>
          <w:p w14:paraId="3A0899E2"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14:paraId="7ADD6D2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上表中的“年”指的是365个自然日。</w:t>
      </w:r>
    </w:p>
    <w:p w14:paraId="7AAEEBAC" w14:textId="77777777" w:rsidR="00B12E2B" w:rsidRPr="009F4A6B" w:rsidRDefault="00B12E2B" w:rsidP="00B12E2B">
      <w:pPr>
        <w:autoSpaceDE w:val="0"/>
        <w:autoSpaceDN w:val="0"/>
        <w:adjustRightInd w:val="0"/>
        <w:snapToGrid w:val="0"/>
        <w:spacing w:line="360" w:lineRule="auto"/>
        <w:ind w:firstLineChars="200" w:firstLine="480"/>
        <w:rPr>
          <w:rFonts w:ascii="宋体" w:hAnsi="宋体"/>
          <w:sz w:val="24"/>
        </w:rPr>
      </w:pPr>
      <w:r w:rsidRPr="009F4A6B">
        <w:rPr>
          <w:rFonts w:ascii="宋体" w:hAnsi="宋体" w:hint="eastAsia"/>
          <w:sz w:val="24"/>
        </w:rPr>
        <w:t>（</w:t>
      </w:r>
      <w:r w:rsidRPr="009F4A6B">
        <w:rPr>
          <w:rFonts w:ascii="宋体" w:hAnsi="宋体"/>
          <w:sz w:val="24"/>
        </w:rPr>
        <w:t>2</w:t>
      </w:r>
      <w:r w:rsidRPr="009F4A6B">
        <w:rPr>
          <w:rFonts w:ascii="宋体" w:hAnsi="宋体" w:hint="eastAsia"/>
          <w:sz w:val="24"/>
        </w:rPr>
        <w:t>）本基金</w:t>
      </w:r>
      <w:r w:rsidRPr="00586523">
        <w:rPr>
          <w:rFonts w:ascii="Times New Roman" w:hAnsi="Times New Roman"/>
          <w:sz w:val="24"/>
        </w:rPr>
        <w:t>C</w:t>
      </w:r>
      <w:r w:rsidRPr="00586523">
        <w:rPr>
          <w:rFonts w:ascii="Times New Roman" w:hAnsi="Times New Roman" w:hint="eastAsia"/>
          <w:sz w:val="24"/>
        </w:rPr>
        <w:t>类基</w:t>
      </w:r>
      <w:r w:rsidRPr="009F4A6B">
        <w:rPr>
          <w:rFonts w:ascii="宋体" w:hAnsi="宋体" w:hint="eastAsia"/>
          <w:sz w:val="24"/>
        </w:rPr>
        <w:t>金份额的赎回费率如下：</w:t>
      </w:r>
    </w:p>
    <w:tbl>
      <w:tblPr>
        <w:tblW w:w="836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440"/>
        <w:gridCol w:w="3588"/>
        <w:gridCol w:w="2333"/>
      </w:tblGrid>
      <w:tr w:rsidR="00B12E2B" w:rsidRPr="00950533" w14:paraId="095D4B30" w14:textId="77777777" w:rsidTr="006B4D0A">
        <w:trPr>
          <w:cantSplit/>
          <w:trHeight w:val="132"/>
          <w:jc w:val="center"/>
        </w:trPr>
        <w:tc>
          <w:tcPr>
            <w:tcW w:w="2440" w:type="dxa"/>
            <w:vMerge w:val="restart"/>
            <w:vAlign w:val="center"/>
          </w:tcPr>
          <w:p w14:paraId="23941175" w14:textId="77777777" w:rsidR="00B12E2B" w:rsidRPr="00F51638" w:rsidRDefault="00B12E2B" w:rsidP="006B4D0A">
            <w:pPr>
              <w:widowControl/>
              <w:snapToGrid w:val="0"/>
              <w:jc w:val="center"/>
              <w:rPr>
                <w:rFonts w:ascii="Times New Roman" w:hAnsi="Times New Roman"/>
                <w:color w:val="000000"/>
                <w:kern w:val="0"/>
                <w:sz w:val="25"/>
                <w:szCs w:val="24"/>
              </w:rPr>
            </w:pPr>
            <w:r w:rsidRPr="00F51638">
              <w:rPr>
                <w:rFonts w:ascii="Times New Roman" w:hAnsi="Times New Roman"/>
                <w:color w:val="000000"/>
                <w:kern w:val="0"/>
                <w:sz w:val="25"/>
                <w:szCs w:val="24"/>
              </w:rPr>
              <w:t>C</w:t>
            </w:r>
            <w:r w:rsidRPr="00F51638">
              <w:rPr>
                <w:rFonts w:ascii="Times New Roman" w:hAnsi="Times New Roman" w:hint="eastAsia"/>
                <w:color w:val="000000"/>
                <w:kern w:val="0"/>
                <w:sz w:val="25"/>
                <w:szCs w:val="24"/>
              </w:rPr>
              <w:t>类基金份额的</w:t>
            </w:r>
            <w:r w:rsidRPr="00F51638">
              <w:rPr>
                <w:rFonts w:ascii="Times New Roman" w:hAnsi="Times New Roman"/>
                <w:color w:val="000000"/>
                <w:kern w:val="0"/>
                <w:sz w:val="25"/>
                <w:szCs w:val="24"/>
              </w:rPr>
              <w:t>赎回费率</w:t>
            </w:r>
          </w:p>
        </w:tc>
        <w:tc>
          <w:tcPr>
            <w:tcW w:w="3588" w:type="dxa"/>
            <w:shd w:val="clear" w:color="auto" w:fill="FFFFFF"/>
            <w:vAlign w:val="center"/>
          </w:tcPr>
          <w:p w14:paraId="026E859B" w14:textId="77777777" w:rsidR="00B12E2B" w:rsidRPr="00F51638" w:rsidRDefault="00B12E2B" w:rsidP="006B4D0A">
            <w:pPr>
              <w:widowControl/>
              <w:snapToGrid w:val="0"/>
              <w:jc w:val="center"/>
              <w:rPr>
                <w:rFonts w:ascii="Times New Roman" w:hAnsi="Times New Roman"/>
                <w:color w:val="000000"/>
                <w:kern w:val="0"/>
                <w:sz w:val="25"/>
                <w:szCs w:val="24"/>
              </w:rPr>
            </w:pPr>
            <w:r w:rsidRPr="00F51638">
              <w:rPr>
                <w:rFonts w:ascii="Times New Roman" w:hAnsi="Times New Roman"/>
                <w:color w:val="000000"/>
                <w:kern w:val="0"/>
                <w:sz w:val="25"/>
                <w:szCs w:val="24"/>
              </w:rPr>
              <w:t>持有期限</w:t>
            </w:r>
          </w:p>
        </w:tc>
        <w:tc>
          <w:tcPr>
            <w:tcW w:w="2333" w:type="dxa"/>
            <w:shd w:val="clear" w:color="auto" w:fill="FFFFFF"/>
            <w:vAlign w:val="center"/>
          </w:tcPr>
          <w:p w14:paraId="65084573" w14:textId="77777777" w:rsidR="00B12E2B" w:rsidRPr="00F51638" w:rsidRDefault="00B12E2B" w:rsidP="006B4D0A">
            <w:pPr>
              <w:widowControl/>
              <w:snapToGrid w:val="0"/>
              <w:jc w:val="center"/>
              <w:rPr>
                <w:rFonts w:ascii="Times New Roman" w:hAnsi="Times New Roman"/>
                <w:color w:val="000000"/>
                <w:kern w:val="0"/>
                <w:sz w:val="25"/>
                <w:szCs w:val="24"/>
              </w:rPr>
            </w:pPr>
            <w:r w:rsidRPr="00F51638">
              <w:rPr>
                <w:rFonts w:ascii="Times New Roman" w:hAnsi="Times New Roman"/>
                <w:color w:val="000000"/>
                <w:kern w:val="0"/>
                <w:sz w:val="25"/>
                <w:szCs w:val="24"/>
              </w:rPr>
              <w:t>C</w:t>
            </w:r>
            <w:r w:rsidRPr="00F51638">
              <w:rPr>
                <w:rFonts w:ascii="Times New Roman" w:hAnsi="Times New Roman" w:hint="eastAsia"/>
                <w:color w:val="000000"/>
                <w:kern w:val="0"/>
                <w:sz w:val="25"/>
                <w:szCs w:val="24"/>
              </w:rPr>
              <w:t>类基金份额</w:t>
            </w:r>
            <w:r w:rsidRPr="00F51638">
              <w:rPr>
                <w:rFonts w:ascii="Times New Roman" w:hAnsi="Times New Roman"/>
                <w:color w:val="000000"/>
                <w:kern w:val="0"/>
                <w:sz w:val="25"/>
                <w:szCs w:val="24"/>
              </w:rPr>
              <w:t>赎回费率</w:t>
            </w:r>
          </w:p>
        </w:tc>
      </w:tr>
      <w:tr w:rsidR="00B12E2B" w:rsidRPr="00950533" w14:paraId="49C92202" w14:textId="77777777" w:rsidTr="006B4D0A">
        <w:trPr>
          <w:cantSplit/>
          <w:trHeight w:val="131"/>
          <w:jc w:val="center"/>
        </w:trPr>
        <w:tc>
          <w:tcPr>
            <w:tcW w:w="2440" w:type="dxa"/>
            <w:vMerge/>
          </w:tcPr>
          <w:p w14:paraId="5B1A24F6" w14:textId="77777777" w:rsidR="00B12E2B" w:rsidRPr="00F51638" w:rsidRDefault="00B12E2B" w:rsidP="006B4D0A">
            <w:pPr>
              <w:widowControl/>
              <w:snapToGrid w:val="0"/>
              <w:jc w:val="center"/>
              <w:rPr>
                <w:rFonts w:ascii="Times New Roman" w:hAnsi="Times New Roman"/>
                <w:color w:val="000000"/>
                <w:kern w:val="0"/>
                <w:sz w:val="25"/>
                <w:szCs w:val="24"/>
              </w:rPr>
            </w:pPr>
          </w:p>
        </w:tc>
        <w:tc>
          <w:tcPr>
            <w:tcW w:w="3588" w:type="dxa"/>
          </w:tcPr>
          <w:p w14:paraId="1508D7DF" w14:textId="77777777" w:rsidR="00B12E2B" w:rsidRPr="00F51638" w:rsidRDefault="00B12E2B" w:rsidP="006B4D0A">
            <w:pPr>
              <w:widowControl/>
              <w:snapToGrid w:val="0"/>
              <w:jc w:val="left"/>
              <w:rPr>
                <w:rFonts w:ascii="Times New Roman" w:hAnsi="Times New Roman"/>
                <w:color w:val="000000"/>
                <w:kern w:val="0"/>
                <w:sz w:val="25"/>
                <w:szCs w:val="24"/>
              </w:rPr>
            </w:pPr>
            <w:r w:rsidRPr="00F51638">
              <w:rPr>
                <w:rFonts w:ascii="Times New Roman" w:hAnsi="Times New Roman"/>
                <w:color w:val="000000"/>
                <w:kern w:val="0"/>
                <w:sz w:val="25"/>
                <w:szCs w:val="24"/>
              </w:rPr>
              <w:t>7</w:t>
            </w:r>
            <w:r w:rsidRPr="00F51638">
              <w:rPr>
                <w:rFonts w:ascii="Times New Roman" w:hAnsi="Times New Roman" w:hint="eastAsia"/>
                <w:color w:val="000000"/>
                <w:kern w:val="0"/>
                <w:sz w:val="25"/>
                <w:szCs w:val="24"/>
              </w:rPr>
              <w:t>日以内</w:t>
            </w:r>
          </w:p>
        </w:tc>
        <w:tc>
          <w:tcPr>
            <w:tcW w:w="2333" w:type="dxa"/>
          </w:tcPr>
          <w:p w14:paraId="0F4E4C13" w14:textId="77777777" w:rsidR="00B12E2B" w:rsidRPr="00F51638" w:rsidRDefault="00B12E2B" w:rsidP="006B4D0A">
            <w:pPr>
              <w:widowControl/>
              <w:snapToGrid w:val="0"/>
              <w:jc w:val="center"/>
              <w:rPr>
                <w:rFonts w:ascii="Times New Roman" w:hAnsi="Times New Roman"/>
                <w:color w:val="000000"/>
                <w:kern w:val="0"/>
                <w:sz w:val="25"/>
                <w:szCs w:val="24"/>
              </w:rPr>
            </w:pPr>
            <w:r w:rsidRPr="00F51638">
              <w:rPr>
                <w:rFonts w:ascii="Times New Roman" w:hAnsi="Times New Roman"/>
                <w:color w:val="000000"/>
                <w:kern w:val="0"/>
                <w:sz w:val="25"/>
                <w:szCs w:val="24"/>
              </w:rPr>
              <w:t>1.5%</w:t>
            </w:r>
          </w:p>
        </w:tc>
      </w:tr>
      <w:tr w:rsidR="00B12E2B" w:rsidRPr="00950533" w14:paraId="6E05CA86" w14:textId="77777777" w:rsidTr="006B4D0A">
        <w:trPr>
          <w:cantSplit/>
          <w:trHeight w:val="131"/>
          <w:jc w:val="center"/>
        </w:trPr>
        <w:tc>
          <w:tcPr>
            <w:tcW w:w="2440" w:type="dxa"/>
            <w:vMerge/>
          </w:tcPr>
          <w:p w14:paraId="442A8DE7" w14:textId="77777777" w:rsidR="00B12E2B" w:rsidRPr="00F51638" w:rsidRDefault="00B12E2B" w:rsidP="006B4D0A">
            <w:pPr>
              <w:widowControl/>
              <w:snapToGrid w:val="0"/>
              <w:jc w:val="center"/>
              <w:rPr>
                <w:rFonts w:ascii="Times New Roman" w:hAnsi="Times New Roman"/>
                <w:color w:val="000000"/>
                <w:kern w:val="0"/>
                <w:sz w:val="25"/>
                <w:szCs w:val="24"/>
              </w:rPr>
            </w:pPr>
          </w:p>
        </w:tc>
        <w:tc>
          <w:tcPr>
            <w:tcW w:w="3588" w:type="dxa"/>
            <w:vAlign w:val="center"/>
          </w:tcPr>
          <w:p w14:paraId="2F92B554" w14:textId="77777777" w:rsidR="00B12E2B" w:rsidRPr="00F51638" w:rsidRDefault="00B12E2B" w:rsidP="006B4D0A">
            <w:pPr>
              <w:widowControl/>
              <w:snapToGrid w:val="0"/>
              <w:jc w:val="left"/>
              <w:rPr>
                <w:rFonts w:ascii="Times New Roman" w:hAnsi="Times New Roman"/>
                <w:color w:val="000000"/>
                <w:kern w:val="0"/>
                <w:sz w:val="25"/>
                <w:szCs w:val="24"/>
              </w:rPr>
            </w:pPr>
            <w:r w:rsidRPr="00F51638">
              <w:rPr>
                <w:rFonts w:ascii="Times New Roman" w:hAnsi="Times New Roman"/>
                <w:color w:val="000000"/>
                <w:kern w:val="0"/>
                <w:sz w:val="25"/>
                <w:szCs w:val="24"/>
              </w:rPr>
              <w:t>7</w:t>
            </w:r>
            <w:r w:rsidRPr="00F51638">
              <w:rPr>
                <w:rFonts w:ascii="Times New Roman" w:hAnsi="Times New Roman" w:hint="eastAsia"/>
                <w:color w:val="000000"/>
                <w:kern w:val="0"/>
                <w:sz w:val="25"/>
                <w:szCs w:val="24"/>
              </w:rPr>
              <w:t>日（含）</w:t>
            </w:r>
            <w:r>
              <w:rPr>
                <w:rFonts w:ascii="Times New Roman" w:hAnsi="Times New Roman"/>
                <w:color w:val="000000"/>
                <w:kern w:val="0"/>
                <w:sz w:val="25"/>
                <w:szCs w:val="24"/>
              </w:rPr>
              <w:t>—</w:t>
            </w:r>
            <w:r w:rsidRPr="00F51638">
              <w:rPr>
                <w:rFonts w:ascii="Times New Roman" w:hAnsi="Times New Roman"/>
                <w:color w:val="000000"/>
                <w:kern w:val="0"/>
                <w:sz w:val="25"/>
                <w:szCs w:val="24"/>
              </w:rPr>
              <w:t>30</w:t>
            </w:r>
            <w:r w:rsidRPr="00F51638">
              <w:rPr>
                <w:rFonts w:ascii="Times New Roman" w:hAnsi="Times New Roman" w:hint="eastAsia"/>
                <w:color w:val="000000"/>
                <w:kern w:val="0"/>
                <w:sz w:val="25"/>
                <w:szCs w:val="24"/>
              </w:rPr>
              <w:t>日</w:t>
            </w:r>
          </w:p>
        </w:tc>
        <w:tc>
          <w:tcPr>
            <w:tcW w:w="2333" w:type="dxa"/>
          </w:tcPr>
          <w:p w14:paraId="2A432C43" w14:textId="77777777" w:rsidR="00B12E2B" w:rsidRPr="00F51638" w:rsidRDefault="00B12E2B" w:rsidP="006B4D0A">
            <w:pPr>
              <w:widowControl/>
              <w:snapToGrid w:val="0"/>
              <w:jc w:val="center"/>
              <w:rPr>
                <w:rFonts w:ascii="Times New Roman" w:hAnsi="Times New Roman"/>
                <w:color w:val="000000"/>
                <w:kern w:val="0"/>
                <w:sz w:val="25"/>
                <w:szCs w:val="24"/>
              </w:rPr>
            </w:pPr>
            <w:r w:rsidRPr="00F51638">
              <w:rPr>
                <w:rFonts w:ascii="Times New Roman" w:hAnsi="Times New Roman"/>
                <w:color w:val="000000"/>
                <w:kern w:val="0"/>
                <w:sz w:val="25"/>
                <w:szCs w:val="24"/>
              </w:rPr>
              <w:t>0.5%</w:t>
            </w:r>
          </w:p>
        </w:tc>
      </w:tr>
      <w:tr w:rsidR="00B12E2B" w:rsidRPr="00950533" w14:paraId="2FC8FE60" w14:textId="77777777" w:rsidTr="006B4D0A">
        <w:trPr>
          <w:cantSplit/>
          <w:trHeight w:val="131"/>
          <w:jc w:val="center"/>
        </w:trPr>
        <w:tc>
          <w:tcPr>
            <w:tcW w:w="2440" w:type="dxa"/>
            <w:vMerge/>
          </w:tcPr>
          <w:p w14:paraId="6F375BC1" w14:textId="77777777" w:rsidR="00B12E2B" w:rsidRPr="00F51638" w:rsidRDefault="00B12E2B" w:rsidP="006B4D0A">
            <w:pPr>
              <w:widowControl/>
              <w:snapToGrid w:val="0"/>
              <w:jc w:val="center"/>
              <w:rPr>
                <w:rFonts w:ascii="Times New Roman" w:hAnsi="Times New Roman"/>
                <w:color w:val="000000"/>
                <w:kern w:val="0"/>
                <w:sz w:val="25"/>
                <w:szCs w:val="24"/>
              </w:rPr>
            </w:pPr>
          </w:p>
        </w:tc>
        <w:tc>
          <w:tcPr>
            <w:tcW w:w="3588" w:type="dxa"/>
            <w:vAlign w:val="center"/>
          </w:tcPr>
          <w:p w14:paraId="39C7FCAA" w14:textId="77777777" w:rsidR="00B12E2B" w:rsidRPr="00F51638" w:rsidRDefault="00B12E2B" w:rsidP="006B4D0A">
            <w:pPr>
              <w:widowControl/>
              <w:snapToGrid w:val="0"/>
              <w:jc w:val="left"/>
              <w:rPr>
                <w:rFonts w:ascii="Times New Roman" w:hAnsi="Times New Roman"/>
                <w:color w:val="000000"/>
                <w:kern w:val="0"/>
                <w:sz w:val="25"/>
                <w:szCs w:val="24"/>
              </w:rPr>
            </w:pPr>
            <w:r w:rsidRPr="00F51638">
              <w:rPr>
                <w:rFonts w:ascii="Times New Roman" w:hAnsi="Times New Roman"/>
                <w:color w:val="000000"/>
                <w:kern w:val="0"/>
                <w:sz w:val="25"/>
                <w:szCs w:val="24"/>
              </w:rPr>
              <w:t>30</w:t>
            </w:r>
            <w:r w:rsidRPr="00F51638">
              <w:rPr>
                <w:rFonts w:ascii="Times New Roman" w:hAnsi="Times New Roman" w:hint="eastAsia"/>
                <w:color w:val="000000"/>
                <w:kern w:val="0"/>
                <w:sz w:val="25"/>
                <w:szCs w:val="24"/>
              </w:rPr>
              <w:t>日以上（含）</w:t>
            </w:r>
          </w:p>
        </w:tc>
        <w:tc>
          <w:tcPr>
            <w:tcW w:w="2328" w:type="dxa"/>
          </w:tcPr>
          <w:p w14:paraId="4834E1D8" w14:textId="77777777" w:rsidR="00B12E2B" w:rsidRPr="00F51638" w:rsidRDefault="00B12E2B" w:rsidP="006B4D0A">
            <w:pPr>
              <w:widowControl/>
              <w:snapToGrid w:val="0"/>
              <w:jc w:val="center"/>
              <w:rPr>
                <w:rFonts w:ascii="Times New Roman" w:hAnsi="Times New Roman"/>
                <w:color w:val="000000"/>
                <w:kern w:val="0"/>
                <w:sz w:val="25"/>
                <w:szCs w:val="24"/>
              </w:rPr>
            </w:pPr>
            <w:r w:rsidRPr="00F51638">
              <w:rPr>
                <w:rFonts w:ascii="Times New Roman" w:hAnsi="Times New Roman"/>
                <w:color w:val="000000"/>
                <w:kern w:val="0"/>
                <w:sz w:val="25"/>
                <w:szCs w:val="24"/>
              </w:rPr>
              <w:t>0</w:t>
            </w:r>
          </w:p>
        </w:tc>
      </w:tr>
    </w:tbl>
    <w:p w14:paraId="4CD379B9" w14:textId="77777777" w:rsidR="00B12E2B" w:rsidRPr="00586523" w:rsidRDefault="00B12E2B" w:rsidP="00B12E2B">
      <w:pPr>
        <w:autoSpaceDE w:val="0"/>
        <w:autoSpaceDN w:val="0"/>
        <w:adjustRightInd w:val="0"/>
        <w:snapToGrid w:val="0"/>
        <w:spacing w:line="360" w:lineRule="auto"/>
        <w:ind w:firstLineChars="200" w:firstLine="480"/>
        <w:jc w:val="left"/>
        <w:rPr>
          <w:rFonts w:ascii="Times New Roman" w:hAnsi="Times New Roman"/>
          <w:sz w:val="24"/>
        </w:rPr>
      </w:pPr>
      <w:r w:rsidRPr="00586523">
        <w:rPr>
          <w:rFonts w:ascii="Times New Roman" w:hAnsi="Times New Roman" w:hint="eastAsia"/>
          <w:sz w:val="24"/>
        </w:rPr>
        <w:t>本基金</w:t>
      </w:r>
      <w:r w:rsidRPr="00586523">
        <w:rPr>
          <w:rFonts w:ascii="Times New Roman" w:hAnsi="Times New Roman"/>
          <w:sz w:val="24"/>
        </w:rPr>
        <w:t>C</w:t>
      </w:r>
      <w:r w:rsidRPr="00586523">
        <w:rPr>
          <w:rFonts w:ascii="Times New Roman" w:hAnsi="Times New Roman" w:hint="eastAsia"/>
          <w:sz w:val="24"/>
        </w:rPr>
        <w:t>类基金份额的赎回费用由赎回</w:t>
      </w:r>
      <w:r w:rsidRPr="00586523">
        <w:rPr>
          <w:rFonts w:ascii="Times New Roman" w:hAnsi="Times New Roman"/>
          <w:sz w:val="24"/>
        </w:rPr>
        <w:t>C</w:t>
      </w:r>
      <w:r w:rsidRPr="00586523">
        <w:rPr>
          <w:rFonts w:ascii="Times New Roman" w:hAnsi="Times New Roman" w:hint="eastAsia"/>
          <w:sz w:val="24"/>
        </w:rPr>
        <w:t>类基金份额的基金份额持有人承担，在基金份额持有人赎回</w:t>
      </w:r>
      <w:r w:rsidRPr="00586523">
        <w:rPr>
          <w:rFonts w:ascii="Times New Roman" w:hAnsi="Times New Roman"/>
          <w:sz w:val="24"/>
        </w:rPr>
        <w:t>C</w:t>
      </w:r>
      <w:r w:rsidRPr="00586523">
        <w:rPr>
          <w:rFonts w:ascii="Times New Roman" w:hAnsi="Times New Roman" w:hint="eastAsia"/>
          <w:sz w:val="24"/>
        </w:rPr>
        <w:t>类基金份额时收取，对</w:t>
      </w:r>
      <w:r w:rsidRPr="00586523">
        <w:rPr>
          <w:rFonts w:ascii="Times New Roman" w:hAnsi="Times New Roman"/>
          <w:sz w:val="24"/>
        </w:rPr>
        <w:t>C</w:t>
      </w:r>
      <w:r w:rsidRPr="00586523">
        <w:rPr>
          <w:rFonts w:ascii="Times New Roman" w:hAnsi="Times New Roman" w:hint="eastAsia"/>
          <w:sz w:val="24"/>
        </w:rPr>
        <w:t>类基金份额持有人收取的赎回费全额计入基金财产。</w:t>
      </w:r>
    </w:p>
    <w:p w14:paraId="1BB1AED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3、基金管理人可以在基金合同约定的范围内调整费率或收费方式，并最迟应于新的费率或收费方式实施日前依照《信息披露办法》的有关规定在指定媒介上公告。</w:t>
      </w:r>
    </w:p>
    <w:p w14:paraId="0A8C313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4、基金管理人可以在不违背法律法规规定及基金合同约定的情况下根据市场</w:t>
      </w:r>
      <w:r>
        <w:rPr>
          <w:rFonts w:ascii="宋体" w:hAnsi="宋体"/>
          <w:sz w:val="24"/>
        </w:rPr>
        <w:lastRenderedPageBreak/>
        <w:t>情况制定基金促销计划，针对投资人定期和不定期地开展基金促销活动。在基金促销活动期间，基金管理人可以按中国证监会要求履行必要手续后，对投资人适当调低基金销售费用。</w:t>
      </w:r>
    </w:p>
    <w:p w14:paraId="3F48C1A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5、当发生大额申购或赎回情形时，基金管理人可以采用摆动定价机制以确保基金估值的公平性。具体处理原则与操作规范遵循相关法律法规以及监管部门、自律规则的规定。</w:t>
      </w:r>
    </w:p>
    <w:p w14:paraId="653AFA9D"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（七）申购和赎回的数额和价格</w:t>
      </w:r>
    </w:p>
    <w:p w14:paraId="22AD410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1、申购和赎回数额、余额的处理方式</w:t>
      </w:r>
    </w:p>
    <w:p w14:paraId="6BA4D49A" w14:textId="4D95EAA4"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w:t>
      </w:r>
      <w:r w:rsidR="004B240F" w:rsidRPr="00D51123">
        <w:rPr>
          <w:rFonts w:ascii="宋体" w:hAnsi="宋体" w:hint="eastAsia"/>
          <w:sz w:val="24"/>
        </w:rPr>
        <w:t>A类基金份额或C类基金份额</w:t>
      </w:r>
      <w:r>
        <w:rPr>
          <w:rFonts w:ascii="宋体" w:hAnsi="宋体"/>
          <w:sz w:val="24"/>
        </w:rPr>
        <w:t>的有效份额为净申购金额除以当日</w:t>
      </w:r>
      <w:r w:rsidR="004B240F" w:rsidRPr="00340A83">
        <w:rPr>
          <w:rFonts w:ascii="Times New Roman" w:hAnsi="Times New Roman" w:hint="eastAsia"/>
          <w:sz w:val="24"/>
        </w:rPr>
        <w:t>该类基金份额</w:t>
      </w:r>
      <w:r>
        <w:rPr>
          <w:rFonts w:ascii="宋体" w:hAnsi="宋体"/>
          <w:sz w:val="24"/>
        </w:rPr>
        <w:t>的基金份额净值，有效份额单位为份，申购份额计算结果按四舍五入方法，保留到小数点后2位，由此产生的收益或损失由基金财产承担。</w:t>
      </w:r>
    </w:p>
    <w:p w14:paraId="2D7D0C16" w14:textId="5562F1C2"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（2）赎回金额为按实际确认的</w:t>
      </w:r>
      <w:r w:rsidR="004B240F" w:rsidRPr="00C9426A">
        <w:rPr>
          <w:rFonts w:ascii="宋体" w:hAnsi="宋体" w:hint="eastAsia"/>
          <w:sz w:val="24"/>
        </w:rPr>
        <w:t>A类基金份额或C类基金份额</w:t>
      </w:r>
      <w:r>
        <w:rPr>
          <w:rFonts w:ascii="宋体" w:hAnsi="宋体"/>
          <w:sz w:val="24"/>
        </w:rPr>
        <w:t>有效赎回份额乘以当日</w:t>
      </w:r>
      <w:r w:rsidR="004B240F" w:rsidRPr="00C9426A">
        <w:rPr>
          <w:rFonts w:ascii="宋体" w:hAnsi="宋体" w:hint="eastAsia"/>
          <w:sz w:val="24"/>
        </w:rPr>
        <w:t>该类基金份额的</w:t>
      </w:r>
      <w:r>
        <w:rPr>
          <w:rFonts w:ascii="宋体" w:hAnsi="宋体"/>
          <w:sz w:val="24"/>
        </w:rPr>
        <w:t>基金份额净值并扣除相应的费用（如有），赎回金额单位为元。赎回金额计算结果按四舍五入方法，保留到小数点后2位，由此产生的收益或损失由基金财产承担。</w:t>
      </w:r>
    </w:p>
    <w:p w14:paraId="3145707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2、申购份额的计算</w:t>
      </w:r>
    </w:p>
    <w:p w14:paraId="0136CB33" w14:textId="77777777" w:rsidR="004B240F" w:rsidRDefault="004B240F" w:rsidP="004B240F">
      <w:pPr>
        <w:autoSpaceDE w:val="0"/>
        <w:autoSpaceDN w:val="0"/>
        <w:adjustRightInd w:val="0"/>
        <w:snapToGrid w:val="0"/>
        <w:spacing w:line="360" w:lineRule="auto"/>
        <w:ind w:firstLineChars="200" w:firstLine="480"/>
        <w:jc w:val="left"/>
        <w:rPr>
          <w:rFonts w:ascii="宋体" w:hAnsi="宋体"/>
          <w:sz w:val="24"/>
        </w:rPr>
      </w:pPr>
      <w:r w:rsidRPr="00C9426A">
        <w:rPr>
          <w:rFonts w:ascii="宋体" w:hAnsi="宋体" w:hint="eastAsia"/>
          <w:sz w:val="24"/>
        </w:rPr>
        <w:t>（1）A类基金份额的申购</w:t>
      </w:r>
    </w:p>
    <w:p w14:paraId="4FF7B80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申购总金额=申请总金额</w:t>
      </w:r>
    </w:p>
    <w:p w14:paraId="6D5CC77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净申购金额=申购总金额/（1+申购费率）</w:t>
      </w:r>
    </w:p>
    <w:p w14:paraId="1B5D7DB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（注：对于适用固定金额申购费用的申购，净申购金额＝申购总金额－固定申购费用金额）</w:t>
      </w:r>
    </w:p>
    <w:p w14:paraId="6CACD2F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申购费用=申购总金额-净申购金额</w:t>
      </w:r>
    </w:p>
    <w:p w14:paraId="3D26F0E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（注：对于适用固定金额申购费用的申购，申购费用＝固定申购费用金额）</w:t>
      </w:r>
    </w:p>
    <w:p w14:paraId="19F4A25D" w14:textId="7EB0EA16"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申购份额=（申购总金额-申购费用）/ T日</w:t>
      </w:r>
      <w:r w:rsidR="004B240F" w:rsidRPr="00C9426A">
        <w:rPr>
          <w:rFonts w:ascii="宋体" w:hAnsi="宋体" w:hint="eastAsia"/>
          <w:sz w:val="24"/>
        </w:rPr>
        <w:t>A类</w:t>
      </w:r>
      <w:r>
        <w:rPr>
          <w:rFonts w:ascii="宋体" w:hAnsi="宋体"/>
          <w:sz w:val="24"/>
        </w:rPr>
        <w:t>基金份额净值</w:t>
      </w:r>
    </w:p>
    <w:p w14:paraId="59059875" w14:textId="1F34C692"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w:t>
      </w:r>
      <w:r w:rsidR="004B240F">
        <w:rPr>
          <w:rFonts w:ascii="宋体" w:hAnsi="宋体" w:hint="eastAsia"/>
          <w:sz w:val="24"/>
        </w:rPr>
        <w:t>一</w:t>
      </w:r>
      <w:r>
        <w:rPr>
          <w:rFonts w:ascii="宋体" w:hAnsi="宋体"/>
          <w:sz w:val="24"/>
        </w:rPr>
        <w:t>：某投资者（非养老金客户）投资40,000元申购本基金</w:t>
      </w:r>
      <w:r w:rsidR="004B240F" w:rsidRPr="00C9426A">
        <w:rPr>
          <w:rFonts w:ascii="宋体" w:hAnsi="宋体" w:hint="eastAsia"/>
          <w:sz w:val="24"/>
        </w:rPr>
        <w:t>A类基金份额</w:t>
      </w:r>
      <w:r>
        <w:rPr>
          <w:rFonts w:ascii="宋体" w:hAnsi="宋体"/>
          <w:sz w:val="24"/>
        </w:rPr>
        <w:t>，假设申购当日</w:t>
      </w:r>
      <w:r w:rsidR="004B240F" w:rsidRPr="00C9426A">
        <w:rPr>
          <w:rFonts w:ascii="宋体" w:hAnsi="宋体" w:hint="eastAsia"/>
          <w:sz w:val="24"/>
        </w:rPr>
        <w:t>A类</w:t>
      </w:r>
      <w:r>
        <w:rPr>
          <w:rFonts w:ascii="宋体" w:hAnsi="宋体"/>
          <w:sz w:val="24"/>
        </w:rPr>
        <w:t>基金份额净值为1.0400元，申购费率为1.5%，则其可得到的申购份额为：</w:t>
      </w:r>
    </w:p>
    <w:p w14:paraId="46B6B61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申购总金额＝40,000元</w:t>
      </w:r>
    </w:p>
    <w:p w14:paraId="6A7383C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净申购金额=40,000/（1+1.5%）=39,408.87元</w:t>
      </w:r>
    </w:p>
    <w:p w14:paraId="6C93BF8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申购费用=40,000-39,408.87=591.13元</w:t>
      </w:r>
    </w:p>
    <w:p w14:paraId="7B26EA5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申购份额=（40,000-591.13）/1.0400=37,893.14份</w:t>
      </w:r>
    </w:p>
    <w:p w14:paraId="1EF8FF39" w14:textId="2C04EAEE"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即：该投资者（非养老金客户）投资40,000元申购本基金</w:t>
      </w:r>
      <w:r w:rsidR="004B240F" w:rsidRPr="00C9426A">
        <w:rPr>
          <w:rFonts w:ascii="宋体" w:hAnsi="宋体" w:hint="eastAsia"/>
          <w:sz w:val="24"/>
        </w:rPr>
        <w:t>A类基金份额</w:t>
      </w:r>
      <w:r>
        <w:rPr>
          <w:rFonts w:ascii="宋体" w:hAnsi="宋体"/>
          <w:sz w:val="24"/>
        </w:rPr>
        <w:t>，假设申购当日</w:t>
      </w:r>
      <w:r w:rsidR="004B240F" w:rsidRPr="00C9426A">
        <w:rPr>
          <w:rFonts w:ascii="宋体" w:hAnsi="宋体" w:hint="eastAsia"/>
          <w:sz w:val="24"/>
        </w:rPr>
        <w:t>A类</w:t>
      </w:r>
      <w:r>
        <w:rPr>
          <w:rFonts w:ascii="宋体" w:hAnsi="宋体"/>
          <w:sz w:val="24"/>
        </w:rPr>
        <w:t>基金份额净值为1.0400元，则其可得到37,893.14份</w:t>
      </w:r>
      <w:r w:rsidR="004B240F" w:rsidRPr="00C9426A">
        <w:rPr>
          <w:rFonts w:ascii="宋体" w:hAnsi="宋体" w:hint="eastAsia"/>
          <w:sz w:val="24"/>
        </w:rPr>
        <w:t>A类</w:t>
      </w:r>
      <w:r>
        <w:rPr>
          <w:rFonts w:ascii="宋体" w:hAnsi="宋体"/>
          <w:sz w:val="24"/>
        </w:rPr>
        <w:t>基金份额。</w:t>
      </w:r>
    </w:p>
    <w:p w14:paraId="5163EBAC" w14:textId="46B29FBD"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w:t>
      </w:r>
      <w:r w:rsidR="004B240F">
        <w:rPr>
          <w:rFonts w:ascii="宋体" w:hAnsi="宋体" w:hint="eastAsia"/>
          <w:sz w:val="24"/>
        </w:rPr>
        <w:t>二</w:t>
      </w:r>
      <w:r>
        <w:rPr>
          <w:rFonts w:ascii="宋体" w:hAnsi="宋体"/>
          <w:sz w:val="24"/>
        </w:rPr>
        <w:t>：某养老金客户投资100,000元通过基金管理人的直销柜台申购本基金</w:t>
      </w:r>
      <w:r w:rsidR="004B240F" w:rsidRPr="00C9426A">
        <w:rPr>
          <w:rFonts w:ascii="宋体" w:hAnsi="宋体" w:hint="eastAsia"/>
          <w:sz w:val="24"/>
        </w:rPr>
        <w:t>A类基金份额</w:t>
      </w:r>
      <w:r>
        <w:rPr>
          <w:rFonts w:ascii="宋体" w:hAnsi="宋体"/>
          <w:sz w:val="24"/>
        </w:rPr>
        <w:t>，假设申购当日</w:t>
      </w:r>
      <w:r w:rsidR="004B240F" w:rsidRPr="00C9426A">
        <w:rPr>
          <w:rFonts w:ascii="宋体" w:hAnsi="宋体" w:hint="eastAsia"/>
          <w:sz w:val="24"/>
        </w:rPr>
        <w:t>A类</w:t>
      </w:r>
      <w:r>
        <w:rPr>
          <w:rFonts w:ascii="宋体" w:hAnsi="宋体"/>
          <w:sz w:val="24"/>
        </w:rPr>
        <w:t>基金份额净值为1.0400元，申购费率为0.6%，则其可得到的申购份额为：</w:t>
      </w:r>
    </w:p>
    <w:p w14:paraId="015507A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申购总金额＝100,000元</w:t>
      </w:r>
    </w:p>
    <w:p w14:paraId="3612F67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净申购金额=100,000/（1+0.6%）=99,403.58元</w:t>
      </w:r>
    </w:p>
    <w:p w14:paraId="108635E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申购费用=100,000-99,403.58=596.42元</w:t>
      </w:r>
    </w:p>
    <w:p w14:paraId="07CEE23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申购份额=（100,000-596.42）/1.0400=95,580.37份</w:t>
      </w:r>
    </w:p>
    <w:p w14:paraId="26C854A2" w14:textId="15017E58"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即：该养老金客户投资100,000元通过基金管理人的直销柜台申购本基金</w:t>
      </w:r>
      <w:r w:rsidR="004B240F" w:rsidRPr="00C9426A">
        <w:rPr>
          <w:rFonts w:ascii="宋体" w:hAnsi="宋体" w:hint="eastAsia"/>
          <w:sz w:val="24"/>
        </w:rPr>
        <w:t>A类</w:t>
      </w:r>
      <w:r w:rsidR="004B240F">
        <w:rPr>
          <w:rFonts w:ascii="宋体" w:hAnsi="宋体" w:hint="eastAsia"/>
          <w:sz w:val="24"/>
        </w:rPr>
        <w:t>基金份额</w:t>
      </w:r>
      <w:r>
        <w:rPr>
          <w:rFonts w:ascii="宋体" w:hAnsi="宋体"/>
          <w:sz w:val="24"/>
        </w:rPr>
        <w:t>，假设申购当日</w:t>
      </w:r>
      <w:r w:rsidR="004B240F" w:rsidRPr="00C9426A">
        <w:rPr>
          <w:rFonts w:ascii="宋体" w:hAnsi="宋体" w:hint="eastAsia"/>
          <w:sz w:val="24"/>
        </w:rPr>
        <w:t>A类</w:t>
      </w:r>
      <w:r>
        <w:rPr>
          <w:rFonts w:ascii="宋体" w:hAnsi="宋体"/>
          <w:sz w:val="24"/>
        </w:rPr>
        <w:t>基金份额净值为1.0400元，则其可得到95,580.37份</w:t>
      </w:r>
      <w:r w:rsidR="004B240F" w:rsidRPr="00C9426A">
        <w:rPr>
          <w:rFonts w:ascii="宋体" w:hAnsi="宋体" w:hint="eastAsia"/>
          <w:sz w:val="24"/>
        </w:rPr>
        <w:t>A类</w:t>
      </w:r>
      <w:r>
        <w:rPr>
          <w:rFonts w:ascii="宋体" w:hAnsi="宋体"/>
          <w:sz w:val="24"/>
        </w:rPr>
        <w:t>基金份额。</w:t>
      </w:r>
    </w:p>
    <w:p w14:paraId="6C0030E9" w14:textId="77777777" w:rsidR="004B240F" w:rsidRPr="00B6480E" w:rsidRDefault="004B240F" w:rsidP="004B240F">
      <w:pPr>
        <w:autoSpaceDE w:val="0"/>
        <w:autoSpaceDN w:val="0"/>
        <w:adjustRightInd w:val="0"/>
        <w:snapToGrid w:val="0"/>
        <w:spacing w:line="360" w:lineRule="auto"/>
        <w:ind w:firstLineChars="200" w:firstLine="480"/>
        <w:jc w:val="left"/>
        <w:rPr>
          <w:rFonts w:ascii="宋体" w:hAnsi="宋体"/>
          <w:sz w:val="24"/>
        </w:rPr>
      </w:pPr>
      <w:r w:rsidRPr="00B6480E">
        <w:rPr>
          <w:rFonts w:ascii="宋体" w:hAnsi="宋体" w:hint="eastAsia"/>
          <w:sz w:val="24"/>
        </w:rPr>
        <w:t>（2）C类基金份额的申购</w:t>
      </w:r>
    </w:p>
    <w:p w14:paraId="5E613A54" w14:textId="77777777" w:rsidR="004B240F" w:rsidRPr="00B6480E" w:rsidRDefault="004B240F" w:rsidP="004B240F">
      <w:pPr>
        <w:autoSpaceDE w:val="0"/>
        <w:autoSpaceDN w:val="0"/>
        <w:adjustRightInd w:val="0"/>
        <w:snapToGrid w:val="0"/>
        <w:spacing w:line="360" w:lineRule="auto"/>
        <w:ind w:firstLineChars="200" w:firstLine="480"/>
        <w:jc w:val="left"/>
        <w:rPr>
          <w:rFonts w:ascii="宋体" w:hAnsi="宋体"/>
          <w:sz w:val="24"/>
        </w:rPr>
      </w:pPr>
      <w:r w:rsidRPr="00B6480E">
        <w:rPr>
          <w:rFonts w:ascii="宋体" w:hAnsi="宋体" w:hint="eastAsia"/>
          <w:sz w:val="24"/>
        </w:rPr>
        <w:t>如果投资者选择申购C类基金份额，则申购份额的计算方法如下：</w:t>
      </w:r>
    </w:p>
    <w:p w14:paraId="530780B5" w14:textId="77777777" w:rsidR="004B240F" w:rsidRPr="00B6480E" w:rsidRDefault="004B240F" w:rsidP="004B240F">
      <w:pPr>
        <w:autoSpaceDE w:val="0"/>
        <w:autoSpaceDN w:val="0"/>
        <w:adjustRightInd w:val="0"/>
        <w:snapToGrid w:val="0"/>
        <w:spacing w:line="360" w:lineRule="auto"/>
        <w:ind w:firstLineChars="200" w:firstLine="480"/>
        <w:jc w:val="left"/>
        <w:rPr>
          <w:rFonts w:ascii="宋体" w:hAnsi="宋体"/>
          <w:sz w:val="24"/>
        </w:rPr>
      </w:pPr>
      <w:r w:rsidRPr="00B6480E">
        <w:rPr>
          <w:rFonts w:ascii="宋体" w:hAnsi="宋体" w:hint="eastAsia"/>
          <w:sz w:val="24"/>
        </w:rPr>
        <w:t>申购总金额=申请总金额</w:t>
      </w:r>
    </w:p>
    <w:p w14:paraId="61E17193" w14:textId="77777777" w:rsidR="004B240F" w:rsidRPr="00B6480E" w:rsidRDefault="004B240F" w:rsidP="004B240F">
      <w:pPr>
        <w:autoSpaceDE w:val="0"/>
        <w:autoSpaceDN w:val="0"/>
        <w:adjustRightInd w:val="0"/>
        <w:snapToGrid w:val="0"/>
        <w:spacing w:line="360" w:lineRule="auto"/>
        <w:ind w:firstLineChars="200" w:firstLine="480"/>
        <w:jc w:val="left"/>
        <w:rPr>
          <w:rFonts w:ascii="宋体" w:hAnsi="宋体"/>
          <w:sz w:val="24"/>
        </w:rPr>
      </w:pPr>
      <w:r w:rsidRPr="00B6480E">
        <w:rPr>
          <w:rFonts w:ascii="宋体" w:hAnsi="宋体" w:hint="eastAsia"/>
          <w:sz w:val="24"/>
        </w:rPr>
        <w:t>申购份额=申购总金额/T日C类基金份额净值</w:t>
      </w:r>
    </w:p>
    <w:p w14:paraId="20CEFBBB" w14:textId="7E1A0E44" w:rsidR="004B240F" w:rsidRDefault="004B240F" w:rsidP="004B240F">
      <w:pPr>
        <w:autoSpaceDE w:val="0"/>
        <w:autoSpaceDN w:val="0"/>
        <w:adjustRightInd w:val="0"/>
        <w:snapToGrid w:val="0"/>
        <w:spacing w:line="360" w:lineRule="auto"/>
        <w:ind w:firstLineChars="200" w:firstLine="480"/>
        <w:jc w:val="left"/>
        <w:rPr>
          <w:rFonts w:ascii="宋体" w:hAnsi="宋体"/>
          <w:sz w:val="24"/>
        </w:rPr>
      </w:pPr>
      <w:r w:rsidRPr="00B6480E">
        <w:rPr>
          <w:rFonts w:ascii="宋体" w:hAnsi="宋体" w:hint="eastAsia"/>
          <w:sz w:val="24"/>
        </w:rPr>
        <w:t>例三：某投资者投资100,000元申购本基金的C类基金份额，假设申购当日C类基金份额净值为1.0400元，则其可得到的申购份额为：</w:t>
      </w:r>
    </w:p>
    <w:p w14:paraId="48A24256" w14:textId="10AB314C" w:rsidR="00F20871" w:rsidRPr="00B6480E" w:rsidRDefault="00F20871" w:rsidP="004B240F">
      <w:pPr>
        <w:autoSpaceDE w:val="0"/>
        <w:autoSpaceDN w:val="0"/>
        <w:adjustRightInd w:val="0"/>
        <w:snapToGrid w:val="0"/>
        <w:spacing w:line="360" w:lineRule="auto"/>
        <w:ind w:firstLineChars="200" w:firstLine="480"/>
        <w:jc w:val="left"/>
        <w:rPr>
          <w:rFonts w:ascii="宋体" w:hAnsi="宋体"/>
          <w:sz w:val="24"/>
        </w:rPr>
      </w:pPr>
      <w:r w:rsidRPr="00B6480E">
        <w:rPr>
          <w:rFonts w:ascii="宋体" w:hAnsi="宋体" w:hint="eastAsia"/>
          <w:sz w:val="24"/>
        </w:rPr>
        <w:t>申购总金额=100,000元</w:t>
      </w:r>
    </w:p>
    <w:p w14:paraId="3F9BFAEB" w14:textId="77777777" w:rsidR="004B240F" w:rsidRPr="00B6480E" w:rsidRDefault="004B240F" w:rsidP="004B240F">
      <w:pPr>
        <w:autoSpaceDE w:val="0"/>
        <w:autoSpaceDN w:val="0"/>
        <w:adjustRightInd w:val="0"/>
        <w:snapToGrid w:val="0"/>
        <w:spacing w:line="360" w:lineRule="auto"/>
        <w:ind w:firstLineChars="200" w:firstLine="480"/>
        <w:jc w:val="left"/>
        <w:rPr>
          <w:rFonts w:ascii="宋体" w:hAnsi="宋体"/>
          <w:sz w:val="24"/>
        </w:rPr>
      </w:pPr>
      <w:r w:rsidRPr="00B6480E">
        <w:rPr>
          <w:rFonts w:ascii="宋体" w:hAnsi="宋体" w:hint="eastAsia"/>
          <w:sz w:val="24"/>
        </w:rPr>
        <w:t>申购份额＝100,000/1.0400＝96,153.85份</w:t>
      </w:r>
    </w:p>
    <w:p w14:paraId="5DF5D5DF" w14:textId="77777777" w:rsidR="004B240F" w:rsidRDefault="004B240F" w:rsidP="004B240F">
      <w:pPr>
        <w:autoSpaceDE w:val="0"/>
        <w:autoSpaceDN w:val="0"/>
        <w:adjustRightInd w:val="0"/>
        <w:snapToGrid w:val="0"/>
        <w:spacing w:line="360" w:lineRule="auto"/>
        <w:ind w:firstLineChars="200" w:firstLine="480"/>
        <w:jc w:val="left"/>
        <w:rPr>
          <w:rFonts w:ascii="宋体" w:hAnsi="宋体"/>
          <w:sz w:val="24"/>
        </w:rPr>
      </w:pPr>
      <w:r w:rsidRPr="00B6480E">
        <w:rPr>
          <w:rFonts w:ascii="宋体" w:hAnsi="宋体" w:hint="eastAsia"/>
          <w:sz w:val="24"/>
        </w:rPr>
        <w:t>即：投资者投资100,000元申购本基金的C类基金份额，假设申购当日C类基金份额净值为1.0400元，则其可得到96,153.85份C类基金份额。</w:t>
      </w:r>
    </w:p>
    <w:p w14:paraId="6E6394B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3、赎回金额的计算</w:t>
      </w:r>
    </w:p>
    <w:p w14:paraId="7D4DA784" w14:textId="6AF9FAD2"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赎回金额为按实际确认的</w:t>
      </w:r>
      <w:r w:rsidR="00F6368B" w:rsidRPr="004710CB">
        <w:rPr>
          <w:rFonts w:ascii="宋体" w:hAnsi="宋体" w:hint="eastAsia"/>
          <w:sz w:val="24"/>
        </w:rPr>
        <w:t>A类基金份额或C类基金份额</w:t>
      </w:r>
      <w:r>
        <w:rPr>
          <w:rFonts w:ascii="宋体" w:hAnsi="宋体"/>
          <w:sz w:val="24"/>
        </w:rPr>
        <w:t>有效赎回份额乘以当日</w:t>
      </w:r>
      <w:r w:rsidR="00F6368B" w:rsidRPr="004710CB">
        <w:rPr>
          <w:rFonts w:ascii="宋体" w:hAnsi="宋体" w:hint="eastAsia"/>
          <w:sz w:val="24"/>
        </w:rPr>
        <w:t>该类</w:t>
      </w:r>
      <w:r>
        <w:rPr>
          <w:rFonts w:ascii="宋体" w:hAnsi="宋体"/>
          <w:sz w:val="24"/>
        </w:rPr>
        <w:t>基金份额净值并扣除相应的费用</w:t>
      </w:r>
      <w:r w:rsidR="00F6368B" w:rsidRPr="004710CB">
        <w:rPr>
          <w:rFonts w:ascii="宋体" w:hAnsi="宋体" w:hint="eastAsia"/>
          <w:sz w:val="24"/>
        </w:rPr>
        <w:t>（如有）</w:t>
      </w:r>
      <w:r>
        <w:rPr>
          <w:rFonts w:ascii="宋体" w:hAnsi="宋体"/>
          <w:sz w:val="24"/>
        </w:rPr>
        <w:t>，赎回金额单位为元，计算结果保留到小数点后两位，第三位四舍五入。</w:t>
      </w:r>
    </w:p>
    <w:p w14:paraId="6889E450" w14:textId="77777777" w:rsidR="00F6368B" w:rsidRPr="004710CB" w:rsidRDefault="00F6368B" w:rsidP="00F6368B">
      <w:pPr>
        <w:autoSpaceDE w:val="0"/>
        <w:autoSpaceDN w:val="0"/>
        <w:adjustRightInd w:val="0"/>
        <w:snapToGrid w:val="0"/>
        <w:spacing w:line="360" w:lineRule="auto"/>
        <w:ind w:firstLineChars="200" w:firstLine="480"/>
        <w:jc w:val="left"/>
        <w:rPr>
          <w:rFonts w:ascii="宋体" w:hAnsi="宋体"/>
          <w:sz w:val="24"/>
        </w:rPr>
      </w:pPr>
      <w:r w:rsidRPr="004710CB">
        <w:rPr>
          <w:rFonts w:ascii="宋体" w:hAnsi="宋体" w:hint="eastAsia"/>
          <w:sz w:val="24"/>
        </w:rPr>
        <w:t>（1）A类基金份额的赎回</w:t>
      </w:r>
    </w:p>
    <w:p w14:paraId="27206E36" w14:textId="0D08D1B8" w:rsidR="001430E9" w:rsidRDefault="00F6368B" w:rsidP="00F6368B">
      <w:pPr>
        <w:autoSpaceDE w:val="0"/>
        <w:autoSpaceDN w:val="0"/>
        <w:adjustRightInd w:val="0"/>
        <w:snapToGrid w:val="0"/>
        <w:spacing w:line="360" w:lineRule="auto"/>
        <w:ind w:firstLineChars="200" w:firstLine="480"/>
        <w:jc w:val="left"/>
        <w:rPr>
          <w:rFonts w:ascii="宋体" w:hAnsi="宋体"/>
          <w:szCs w:val="24"/>
        </w:rPr>
      </w:pPr>
      <w:r w:rsidRPr="004710CB">
        <w:rPr>
          <w:rFonts w:ascii="宋体" w:hAnsi="宋体" w:hint="eastAsia"/>
          <w:sz w:val="24"/>
        </w:rPr>
        <w:t>投资者赎回A类基金份额，</w:t>
      </w:r>
      <w:r w:rsidR="00C86CDB">
        <w:rPr>
          <w:rFonts w:ascii="宋体" w:hAnsi="宋体"/>
          <w:sz w:val="24"/>
        </w:rPr>
        <w:t>赎回金额的计算方法如下：</w:t>
      </w:r>
    </w:p>
    <w:p w14:paraId="2230DFD1" w14:textId="35580DC6"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赎回费用=赎回份额×T日</w:t>
      </w:r>
      <w:r w:rsidR="00F6368B" w:rsidRPr="004710CB">
        <w:rPr>
          <w:rFonts w:ascii="宋体" w:hAnsi="宋体" w:hint="eastAsia"/>
          <w:sz w:val="24"/>
        </w:rPr>
        <w:t>A类</w:t>
      </w:r>
      <w:r>
        <w:rPr>
          <w:rFonts w:ascii="宋体" w:hAnsi="宋体"/>
          <w:sz w:val="24"/>
        </w:rPr>
        <w:t>基金份额净值×赎回费率</w:t>
      </w:r>
    </w:p>
    <w:p w14:paraId="4807125E" w14:textId="240FD278"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赎回金额=赎回份额×T日</w:t>
      </w:r>
      <w:r w:rsidR="00F6368B" w:rsidRPr="004710CB">
        <w:rPr>
          <w:rFonts w:ascii="宋体" w:hAnsi="宋体" w:hint="eastAsia"/>
          <w:sz w:val="24"/>
        </w:rPr>
        <w:t>A类</w:t>
      </w:r>
      <w:r>
        <w:rPr>
          <w:rFonts w:ascii="宋体" w:hAnsi="宋体"/>
          <w:sz w:val="24"/>
        </w:rPr>
        <w:t>基金份额净值-赎回费用</w:t>
      </w:r>
    </w:p>
    <w:p w14:paraId="525877E4" w14:textId="4DA6E130"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w:t>
      </w:r>
      <w:r w:rsidR="00F6368B">
        <w:rPr>
          <w:rFonts w:ascii="宋体" w:hAnsi="宋体" w:hint="eastAsia"/>
          <w:sz w:val="24"/>
        </w:rPr>
        <w:t>四</w:t>
      </w:r>
      <w:r>
        <w:rPr>
          <w:rFonts w:ascii="宋体" w:hAnsi="宋体"/>
          <w:sz w:val="24"/>
        </w:rPr>
        <w:t>：某投资者赎回持有的10,000份</w:t>
      </w:r>
      <w:r w:rsidR="00F6368B" w:rsidRPr="004710CB">
        <w:rPr>
          <w:rFonts w:ascii="宋体" w:hAnsi="宋体" w:hint="eastAsia"/>
          <w:sz w:val="24"/>
        </w:rPr>
        <w:t>A类</w:t>
      </w:r>
      <w:r>
        <w:rPr>
          <w:rFonts w:ascii="宋体" w:hAnsi="宋体"/>
          <w:sz w:val="24"/>
        </w:rPr>
        <w:t>基金份额，持有期限为30日，对应的赎回费率为0.5%，假设赎回当日</w:t>
      </w:r>
      <w:r w:rsidR="00F6368B" w:rsidRPr="004710CB">
        <w:rPr>
          <w:rFonts w:ascii="宋体" w:hAnsi="宋体" w:hint="eastAsia"/>
          <w:sz w:val="24"/>
        </w:rPr>
        <w:t>A类</w:t>
      </w:r>
      <w:r>
        <w:rPr>
          <w:rFonts w:ascii="宋体" w:hAnsi="宋体"/>
          <w:sz w:val="24"/>
        </w:rPr>
        <w:t>基金份额净值是1.0160元，则其可得到的赎回金额为：</w:t>
      </w:r>
    </w:p>
    <w:p w14:paraId="26FC343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 = 10,000×1.0160×0.5% ＝ 50.80元</w:t>
      </w:r>
    </w:p>
    <w:p w14:paraId="346B889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 = 10,000×1.0160-50.80 ＝ 10,109.20元</w:t>
      </w:r>
    </w:p>
    <w:p w14:paraId="1C637FDE" w14:textId="7511B583"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即：该投资者赎回本基金10,000份</w:t>
      </w:r>
      <w:r w:rsidR="00F6368B" w:rsidRPr="004710CB">
        <w:rPr>
          <w:rFonts w:ascii="宋体" w:hAnsi="宋体" w:hint="eastAsia"/>
          <w:sz w:val="24"/>
        </w:rPr>
        <w:t>A类</w:t>
      </w:r>
      <w:r>
        <w:rPr>
          <w:rFonts w:ascii="宋体" w:hAnsi="宋体"/>
          <w:sz w:val="24"/>
        </w:rPr>
        <w:t>基金份额，持有期限为30日，对应的赎回费率为0.5%，假设赎回当日</w:t>
      </w:r>
      <w:r w:rsidR="00F6368B" w:rsidRPr="004710CB">
        <w:rPr>
          <w:rFonts w:ascii="宋体" w:hAnsi="宋体" w:hint="eastAsia"/>
          <w:sz w:val="24"/>
        </w:rPr>
        <w:t>A类</w:t>
      </w:r>
      <w:r>
        <w:rPr>
          <w:rFonts w:ascii="宋体" w:hAnsi="宋体"/>
          <w:sz w:val="24"/>
        </w:rPr>
        <w:t>基金份额净值是1.0160元，则其可得到的赎回金额为10,109.20元。</w:t>
      </w:r>
    </w:p>
    <w:p w14:paraId="46E84054" w14:textId="77777777" w:rsidR="00F6368B" w:rsidRPr="000C2A90" w:rsidRDefault="00F6368B" w:rsidP="00F6368B">
      <w:pPr>
        <w:autoSpaceDE w:val="0"/>
        <w:autoSpaceDN w:val="0"/>
        <w:adjustRightInd w:val="0"/>
        <w:snapToGrid w:val="0"/>
        <w:spacing w:line="360" w:lineRule="auto"/>
        <w:ind w:firstLineChars="200" w:firstLine="480"/>
        <w:jc w:val="left"/>
        <w:rPr>
          <w:rFonts w:ascii="宋体" w:hAnsi="宋体"/>
          <w:sz w:val="24"/>
        </w:rPr>
      </w:pPr>
      <w:r w:rsidRPr="000C2A90">
        <w:rPr>
          <w:rFonts w:ascii="宋体" w:hAnsi="宋体" w:hint="eastAsia"/>
          <w:sz w:val="24"/>
        </w:rPr>
        <w:t>（2）C类基金份额的赎回</w:t>
      </w:r>
    </w:p>
    <w:p w14:paraId="56F8A26B" w14:textId="77777777" w:rsidR="00F6368B" w:rsidRPr="000C2A90" w:rsidRDefault="00F6368B" w:rsidP="00F6368B">
      <w:pPr>
        <w:autoSpaceDE w:val="0"/>
        <w:autoSpaceDN w:val="0"/>
        <w:adjustRightInd w:val="0"/>
        <w:snapToGrid w:val="0"/>
        <w:spacing w:line="360" w:lineRule="auto"/>
        <w:ind w:firstLineChars="200" w:firstLine="480"/>
        <w:jc w:val="left"/>
        <w:rPr>
          <w:rFonts w:ascii="宋体" w:hAnsi="宋体"/>
          <w:sz w:val="24"/>
        </w:rPr>
      </w:pPr>
      <w:r w:rsidRPr="000C2A90">
        <w:rPr>
          <w:rFonts w:ascii="宋体" w:hAnsi="宋体" w:hint="eastAsia"/>
          <w:sz w:val="24"/>
        </w:rPr>
        <w:t>投资者赎回C类基金份额，赎回金额的计算方法如下：</w:t>
      </w:r>
    </w:p>
    <w:p w14:paraId="1B7BBCCA" w14:textId="77777777" w:rsidR="00F6368B" w:rsidRPr="000C2A90" w:rsidRDefault="00F6368B" w:rsidP="00F6368B">
      <w:pPr>
        <w:autoSpaceDE w:val="0"/>
        <w:autoSpaceDN w:val="0"/>
        <w:adjustRightInd w:val="0"/>
        <w:snapToGrid w:val="0"/>
        <w:spacing w:line="360" w:lineRule="auto"/>
        <w:ind w:firstLineChars="200" w:firstLine="480"/>
        <w:jc w:val="left"/>
        <w:rPr>
          <w:rFonts w:ascii="宋体" w:hAnsi="宋体"/>
          <w:sz w:val="24"/>
        </w:rPr>
      </w:pPr>
      <w:r w:rsidRPr="000C2A90">
        <w:rPr>
          <w:rFonts w:ascii="宋体" w:hAnsi="宋体" w:hint="eastAsia"/>
          <w:sz w:val="24"/>
        </w:rPr>
        <w:t>赎回费用=赎回份额×T日C类基金份额净值×赎回费率</w:t>
      </w:r>
    </w:p>
    <w:p w14:paraId="750643A8" w14:textId="77777777" w:rsidR="00F6368B" w:rsidRPr="000C2A90" w:rsidRDefault="00F6368B" w:rsidP="00F6368B">
      <w:pPr>
        <w:autoSpaceDE w:val="0"/>
        <w:autoSpaceDN w:val="0"/>
        <w:adjustRightInd w:val="0"/>
        <w:snapToGrid w:val="0"/>
        <w:spacing w:line="360" w:lineRule="auto"/>
        <w:ind w:firstLineChars="200" w:firstLine="480"/>
        <w:jc w:val="left"/>
        <w:rPr>
          <w:rFonts w:ascii="宋体" w:hAnsi="宋体"/>
          <w:sz w:val="24"/>
        </w:rPr>
      </w:pPr>
      <w:r w:rsidRPr="000C2A90">
        <w:rPr>
          <w:rFonts w:ascii="宋体" w:hAnsi="宋体" w:hint="eastAsia"/>
          <w:sz w:val="24"/>
        </w:rPr>
        <w:t>赎回金额=赎回份额×T日C类基金份额净值-赎回费用</w:t>
      </w:r>
    </w:p>
    <w:p w14:paraId="0C5E7FAB" w14:textId="77777777" w:rsidR="00F6368B" w:rsidRPr="000C2A90" w:rsidRDefault="00F6368B" w:rsidP="00F6368B">
      <w:pPr>
        <w:autoSpaceDE w:val="0"/>
        <w:autoSpaceDN w:val="0"/>
        <w:adjustRightInd w:val="0"/>
        <w:snapToGrid w:val="0"/>
        <w:spacing w:line="360" w:lineRule="auto"/>
        <w:ind w:firstLineChars="200" w:firstLine="480"/>
        <w:jc w:val="left"/>
        <w:rPr>
          <w:rFonts w:ascii="宋体" w:hAnsi="宋体"/>
          <w:sz w:val="24"/>
        </w:rPr>
      </w:pPr>
      <w:r w:rsidRPr="000C2A90">
        <w:rPr>
          <w:rFonts w:ascii="宋体" w:hAnsi="宋体" w:hint="eastAsia"/>
          <w:sz w:val="24"/>
        </w:rPr>
        <w:t>例五：某投资者赎回10,000份C类基金份额，持有期限为20日，对应的赎回费率为0.5%，假设赎回当日C类基金份额净值是1.0160元，则其可得到的赎回金额为：</w:t>
      </w:r>
    </w:p>
    <w:p w14:paraId="20546B82" w14:textId="77777777" w:rsidR="00F6368B" w:rsidRPr="000C2A90" w:rsidRDefault="00F6368B" w:rsidP="00F6368B">
      <w:pPr>
        <w:autoSpaceDE w:val="0"/>
        <w:autoSpaceDN w:val="0"/>
        <w:adjustRightInd w:val="0"/>
        <w:snapToGrid w:val="0"/>
        <w:spacing w:line="360" w:lineRule="auto"/>
        <w:ind w:firstLineChars="200" w:firstLine="480"/>
        <w:jc w:val="left"/>
        <w:rPr>
          <w:rFonts w:ascii="宋体" w:hAnsi="宋体"/>
          <w:sz w:val="24"/>
        </w:rPr>
      </w:pPr>
      <w:r w:rsidRPr="000C2A90">
        <w:rPr>
          <w:rFonts w:ascii="宋体" w:hAnsi="宋体" w:hint="eastAsia"/>
          <w:sz w:val="24"/>
        </w:rPr>
        <w:t>赎回费用=10,000×1.0160×0.5%＝50.80元</w:t>
      </w:r>
    </w:p>
    <w:p w14:paraId="61AD3064" w14:textId="77777777" w:rsidR="00F6368B" w:rsidRPr="000C2A90" w:rsidRDefault="00F6368B" w:rsidP="00F6368B">
      <w:pPr>
        <w:autoSpaceDE w:val="0"/>
        <w:autoSpaceDN w:val="0"/>
        <w:adjustRightInd w:val="0"/>
        <w:snapToGrid w:val="0"/>
        <w:spacing w:line="360" w:lineRule="auto"/>
        <w:ind w:firstLineChars="200" w:firstLine="480"/>
        <w:jc w:val="left"/>
        <w:rPr>
          <w:rFonts w:ascii="宋体" w:hAnsi="宋体"/>
          <w:sz w:val="24"/>
        </w:rPr>
      </w:pPr>
      <w:r w:rsidRPr="000C2A90">
        <w:rPr>
          <w:rFonts w:ascii="宋体" w:hAnsi="宋体" w:hint="eastAsia"/>
          <w:sz w:val="24"/>
        </w:rPr>
        <w:t>赎回金额=10,000×1.0160-50.80＝10,109.20元</w:t>
      </w:r>
    </w:p>
    <w:p w14:paraId="4C26682F" w14:textId="77777777" w:rsidR="00F6368B" w:rsidRDefault="00F6368B" w:rsidP="00F6368B">
      <w:pPr>
        <w:autoSpaceDE w:val="0"/>
        <w:autoSpaceDN w:val="0"/>
        <w:adjustRightInd w:val="0"/>
        <w:snapToGrid w:val="0"/>
        <w:spacing w:line="360" w:lineRule="auto"/>
        <w:ind w:firstLineChars="200" w:firstLine="480"/>
        <w:jc w:val="left"/>
        <w:rPr>
          <w:rFonts w:ascii="宋体" w:hAnsi="宋体"/>
          <w:sz w:val="24"/>
        </w:rPr>
      </w:pPr>
      <w:r w:rsidRPr="000C2A90">
        <w:rPr>
          <w:rFonts w:ascii="宋体" w:hAnsi="宋体" w:hint="eastAsia"/>
          <w:sz w:val="24"/>
        </w:rPr>
        <w:t>即：投资者赎回10,000份C类基金份额，持有期限为20日，对应的赎回费率为0.5%，假设赎回当日C类基金份额净值是1.0160元，则其可得到的赎回金额为10,109.20元。</w:t>
      </w:r>
    </w:p>
    <w:p w14:paraId="302D22E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4、基金份额净值的计算公式</w:t>
      </w:r>
    </w:p>
    <w:p w14:paraId="4EA15ED9" w14:textId="030507FB" w:rsidR="001430E9" w:rsidRDefault="00F6368B">
      <w:pPr>
        <w:autoSpaceDE w:val="0"/>
        <w:autoSpaceDN w:val="0"/>
        <w:adjustRightInd w:val="0"/>
        <w:snapToGrid w:val="0"/>
        <w:spacing w:line="360" w:lineRule="auto"/>
        <w:ind w:firstLineChars="200" w:firstLine="480"/>
        <w:jc w:val="left"/>
        <w:rPr>
          <w:rFonts w:ascii="宋体" w:hAnsi="宋体"/>
          <w:szCs w:val="24"/>
        </w:rPr>
      </w:pPr>
      <w:r w:rsidRPr="006238DE">
        <w:rPr>
          <w:rFonts w:ascii="宋体" w:hAnsi="宋体" w:hint="eastAsia"/>
          <w:sz w:val="24"/>
        </w:rPr>
        <w:t>A类</w:t>
      </w:r>
      <w:r w:rsidR="00C86CDB">
        <w:rPr>
          <w:rFonts w:ascii="宋体" w:hAnsi="宋体"/>
          <w:sz w:val="24"/>
        </w:rPr>
        <w:t>基金份额净值＝</w:t>
      </w:r>
      <w:r w:rsidRPr="006238DE">
        <w:rPr>
          <w:rFonts w:ascii="宋体" w:hAnsi="宋体" w:hint="eastAsia"/>
          <w:sz w:val="24"/>
        </w:rPr>
        <w:t>A类基金份额的</w:t>
      </w:r>
      <w:r w:rsidR="00C86CDB">
        <w:rPr>
          <w:rFonts w:ascii="宋体" w:hAnsi="宋体"/>
          <w:sz w:val="24"/>
        </w:rPr>
        <w:t>基金资产净值总额/发行在外的</w:t>
      </w:r>
      <w:r>
        <w:rPr>
          <w:rFonts w:ascii="宋体" w:hAnsi="宋体" w:hint="eastAsia"/>
          <w:sz w:val="24"/>
        </w:rPr>
        <w:t>A类</w:t>
      </w:r>
      <w:r w:rsidR="00C86CDB">
        <w:rPr>
          <w:rFonts w:ascii="宋体" w:hAnsi="宋体"/>
          <w:sz w:val="24"/>
        </w:rPr>
        <w:t>基金份额总数</w:t>
      </w:r>
    </w:p>
    <w:p w14:paraId="4899C525" w14:textId="77777777" w:rsidR="00F6368B" w:rsidRDefault="00F6368B" w:rsidP="00F6368B">
      <w:pPr>
        <w:autoSpaceDE w:val="0"/>
        <w:autoSpaceDN w:val="0"/>
        <w:adjustRightInd w:val="0"/>
        <w:snapToGrid w:val="0"/>
        <w:spacing w:line="360" w:lineRule="auto"/>
        <w:ind w:firstLineChars="200" w:firstLine="480"/>
        <w:jc w:val="left"/>
        <w:rPr>
          <w:rFonts w:ascii="宋体" w:hAnsi="宋体"/>
          <w:sz w:val="24"/>
        </w:rPr>
      </w:pPr>
      <w:r w:rsidRPr="006238DE">
        <w:rPr>
          <w:rFonts w:ascii="宋体" w:hAnsi="宋体" w:hint="eastAsia"/>
          <w:sz w:val="24"/>
        </w:rPr>
        <w:t>C类基金份额净值＝C类基金份额的基金资产净值总额/发行在外的C类基金份额总数</w:t>
      </w:r>
    </w:p>
    <w:p w14:paraId="1FC07DA1" w14:textId="43AF38B1"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本基金T日的基金份额净值在当天收市后计算，并在T＋1日（包括该日）内公告。遇特殊情况，经中国证监会同意，可以适当延迟计算或公告。本基金</w:t>
      </w:r>
      <w:r w:rsidR="00F6368B" w:rsidRPr="00F27080">
        <w:rPr>
          <w:rFonts w:ascii="宋体" w:hAnsi="宋体" w:hint="eastAsia"/>
          <w:sz w:val="24"/>
        </w:rPr>
        <w:t>A类基金份额和C类基金份额的</w:t>
      </w:r>
      <w:r>
        <w:rPr>
          <w:rFonts w:ascii="宋体" w:hAnsi="宋体"/>
          <w:sz w:val="24"/>
        </w:rPr>
        <w:t>基金份额净值的计算，</w:t>
      </w:r>
      <w:r w:rsidR="00F6368B">
        <w:rPr>
          <w:rFonts w:ascii="宋体" w:hAnsi="宋体" w:hint="eastAsia"/>
          <w:sz w:val="24"/>
        </w:rPr>
        <w:t>均</w:t>
      </w:r>
      <w:r>
        <w:rPr>
          <w:rFonts w:ascii="宋体" w:hAnsi="宋体"/>
          <w:sz w:val="24"/>
        </w:rPr>
        <w:t>保留到小数点后4位，小数点后第5位四舍五入，由此误差产生的收益或损失由基金财产承担。</w:t>
      </w:r>
    </w:p>
    <w:p w14:paraId="36A05850"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lastRenderedPageBreak/>
        <w:t>（八）拒绝或暂停申购的情形</w:t>
      </w:r>
    </w:p>
    <w:p w14:paraId="4068D23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发生下列情况时，基金管理人可拒绝或暂停接受投资人的申购申请：</w:t>
      </w:r>
    </w:p>
    <w:p w14:paraId="1054BFE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1、因不可抗力导致基金无法正常运作。</w:t>
      </w:r>
    </w:p>
    <w:p w14:paraId="1E52BE7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2、发生基金合同规定的暂停基金资产估值情况时，基金管理人可暂停接受投资人的申购申请。</w:t>
      </w:r>
    </w:p>
    <w:p w14:paraId="6760870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3、证券、期货交易所交易时间非正常停市或港股通临时停市，导致基金管理人无法计算当日基金资产净值。</w:t>
      </w:r>
    </w:p>
    <w:p w14:paraId="7D292E8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4、接受某笔或某些申购申请可能会影响或损害现有基金份额持有人利益时。</w:t>
      </w:r>
    </w:p>
    <w:p w14:paraId="2FEAA4B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5、基金资产规模过大，使基金管理人无法找到合适的投资品种，或其他可能对基金业绩产生负面影响，或发生其他损害现有基金份额持有人利益的情形。</w:t>
      </w:r>
    </w:p>
    <w:p w14:paraId="57BEF3C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6、基金管理人、基金托管人、基金销售机构、基金销售支付结算机构或登记机构的异常情况导致基金销售系统、基金销售支付结算系统、基金注册登记系统或基金会计系统无法正常运行。</w:t>
      </w:r>
    </w:p>
    <w:p w14:paraId="5399E7B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7、港股通交易每日额度不足。</w:t>
      </w:r>
    </w:p>
    <w:p w14:paraId="525B1E9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8、基金管理人接受某笔或者某些申购申请有可能导致单一投资者持有基金份额的比例超过50%，或者变相规避50%集中度的。出现上述情形时，基金管理人有权将上述申购申请全部或部分确认失败。</w:t>
      </w:r>
    </w:p>
    <w:p w14:paraId="0CB148C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当前一估值日基金资产净值50%以上的资产出现无可参考的活跃市场价格且采用估值技术仍导致公允价值存在重大不确定性时，经与基金托管人协商确认后，基金管理人应当暂停基金估值，并采取暂停接受基金申购申请的措施。</w:t>
      </w:r>
    </w:p>
    <w:p w14:paraId="0842679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10、基金合同约定、法律法规规定或中国证监会认定的其他情形。</w:t>
      </w:r>
    </w:p>
    <w:p w14:paraId="768CEF8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第1、2、3、5、6、7、9、10项暂停申购情形之一且基金管理人决定暂停接受投资人的申购申请时，基金管理人应当根据有关规定在指定媒介上刊登暂停申购公告。如果投资人的申购申请被拒绝，被拒绝的申购款项本金将退还给投资人。在暂停申购的情况消除时，基金管理人应及时恢复申购业务的办理。</w:t>
      </w:r>
    </w:p>
    <w:p w14:paraId="17CD3E66"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（九）暂停赎回或延缓支付赎回款项的情形</w:t>
      </w:r>
    </w:p>
    <w:p w14:paraId="37DF7F6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发生下列情形时，基金管理人可暂停接受投资人的赎回申请或延缓支付赎回款项：</w:t>
      </w:r>
    </w:p>
    <w:p w14:paraId="1426B28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1、因不可抗力导致基金管理人不能支付赎回款项。</w:t>
      </w:r>
    </w:p>
    <w:p w14:paraId="2B9B124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2、发生基金合同规定的暂停基金资产估值情况时，基金管理人可暂停接受投</w:t>
      </w:r>
      <w:r>
        <w:rPr>
          <w:rFonts w:ascii="宋体" w:hAnsi="宋体"/>
          <w:sz w:val="24"/>
        </w:rPr>
        <w:lastRenderedPageBreak/>
        <w:t>资人的赎回申请或延缓支付赎回款项。</w:t>
      </w:r>
    </w:p>
    <w:p w14:paraId="7717DFB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3、证券、期货交易所交易时间非正常停市或港股通临时停市，导致基金管理人无法计算当日基金资产净值。</w:t>
      </w:r>
    </w:p>
    <w:p w14:paraId="69EF423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4、连续两个或两个以上开放日发生巨额赎回。</w:t>
      </w:r>
    </w:p>
    <w:p w14:paraId="1ACCB2E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5、发生继续接受赎回申请将损害现有基金份额持有人利益的情形时，可暂停接受投资人的赎回申请。</w:t>
      </w:r>
    </w:p>
    <w:p w14:paraId="39F8A0E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当前一估值日基金资产净值50%以上的资产出现无可参考的活跃市场价格且采用估值技术仍导致公允价值存在重大不确定性时，经与基金托管人协商确认后，基金管理人应当暂停基金估值，并采取延缓支付赎回款项或暂停接受基金赎回申请的措施。</w:t>
      </w:r>
    </w:p>
    <w:p w14:paraId="1241E5A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7、基金合同约定、法律法规规定或中国证监会认定的其他情形。</w:t>
      </w:r>
    </w:p>
    <w:p w14:paraId="051538A7" w14:textId="32297034"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情形之一且基金管理人决定暂停接受投资人的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确认并支付，并以后续开放日的基金份额净值为依据计算赎回金额。若出现上述第4项所述情形，按基金合同的相关条款处理。基金份额持有人在申请赎回时可事先选择将当日可能未获受理部分予以撤销。在暂停赎回的情况消除时，基金管理人应及时恢复赎回业务的办理并公告。</w:t>
      </w:r>
    </w:p>
    <w:p w14:paraId="1A2B1C7D"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（十）巨额赎回的情形及处理方式</w:t>
      </w:r>
    </w:p>
    <w:p w14:paraId="02F0954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1、巨额赎回的认定</w:t>
      </w:r>
    </w:p>
    <w:p w14:paraId="629B31D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76D3BA4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2、巨额赎回的处理方式</w:t>
      </w:r>
    </w:p>
    <w:p w14:paraId="339F31D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当基金出现巨额赎回时，基金管理人可以根据基金当时的资产组合状况决定全额赎回或部分延期赎回。</w:t>
      </w:r>
    </w:p>
    <w:p w14:paraId="7D4776A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（1）全额赎回：当基金管理人认为有能力支付投资人的全部赎回申请时，按正常赎回程序执行。</w:t>
      </w:r>
    </w:p>
    <w:p w14:paraId="399F6F9C" w14:textId="75E972C5"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（2）部分延期赎回：当基金管理人认为支付投资人的赎回申请有困难或认为因支付投资人的赎回申请而进行的财产变现可能会对基金资产净值造成较大波动</w:t>
      </w:r>
      <w:r>
        <w:rPr>
          <w:rFonts w:ascii="宋体" w:hAnsi="宋体"/>
          <w:sz w:val="24"/>
        </w:rPr>
        <w:lastRenderedPageBreak/>
        <w:t>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sidR="00F6368B" w:rsidRPr="006C2494">
        <w:rPr>
          <w:rFonts w:ascii="宋体" w:hAnsi="宋体" w:hint="eastAsia"/>
          <w:sz w:val="24"/>
        </w:rPr>
        <w:t>该类</w:t>
      </w:r>
      <w:r>
        <w:rPr>
          <w:rFonts w:ascii="宋体" w:hAnsi="宋体"/>
          <w:sz w:val="24"/>
        </w:rPr>
        <w:t>基金份额净值为基础计算赎回金额，以此类推，直到全部赎回为止。如投资人在提交赎回申请时未作明确选择，投资人未能赎回部分作自动延期赎回处理。</w:t>
      </w:r>
    </w:p>
    <w:p w14:paraId="34897B3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（3）本基金发生巨额赎回且单个基金份额持有人的赎回申请超过上一日基金总份额20%的情形下，基金管理人可以采取如下措施：</w:t>
      </w:r>
    </w:p>
    <w:p w14:paraId="19494BD2" w14:textId="1619CBE0"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对于基金份额持有人当日超过20%的赎回申请，可以对其赎回申请延期办理，延期的赎回申请转入下一个开放日继续赎回，直到全部赎回为止。</w:t>
      </w:r>
    </w:p>
    <w:p w14:paraId="2BEE7269" w14:textId="76AF1741"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基金份额持有人当日未超过20%的赎回申请，基金管理人认为有能力支付投资人的全部赎回申请时，按正常赎回程序执行；基金管理人认为支付投资人的赎回申请有困难或认为因支付投资人的赎回申请而进行的财产变现可能会对基金资产净值造成较大波动时，基金管理人在当日接受赎回比例不低于上一开放日基金总份额的10%的前提下，对当日的其余赎回申请按单个账户赎回申请量占赎回申请总量的比例，确定当日受理的赎回份额；对于未能赎回部分，基金管理人可对其赎回申请进行延期办理，延期的赎回申请转入下一个开放日继续赎回，直到全部赎回为止。</w:t>
      </w:r>
    </w:p>
    <w:p w14:paraId="75A7E5AE" w14:textId="361C125F"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延期的赎回申请与下一开放日赎回申请一并处理，无优先权并以下一开放日的</w:t>
      </w:r>
      <w:r w:rsidR="00977714" w:rsidRPr="006C2494">
        <w:rPr>
          <w:rFonts w:ascii="宋体" w:hAnsi="宋体" w:hint="eastAsia"/>
          <w:sz w:val="24"/>
        </w:rPr>
        <w:t>该类</w:t>
      </w:r>
      <w:r>
        <w:rPr>
          <w:rFonts w:ascii="宋体" w:hAnsi="宋体"/>
          <w:sz w:val="24"/>
        </w:rPr>
        <w:t>基金份额净值为基础计算赎回金额，以此类推，直到全部赎回为止。但是，如基金份额持有人在当日选择取消赎回，则其当日未获受理的部分赎回申请将被撤销。</w:t>
      </w:r>
    </w:p>
    <w:p w14:paraId="4523459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暂停赎回：连续2个开放日以上（含本数）发生巨额赎回，如基金管理人认为有必要，可暂停接受基金的赎回申请；已经接受的赎回申请可以延缓支付赎回款项，但不得超过20个工作日，并应当在指定媒介上进行公告。</w:t>
      </w:r>
    </w:p>
    <w:p w14:paraId="7532662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3、巨额赎回的公告</w:t>
      </w:r>
    </w:p>
    <w:p w14:paraId="2987043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当发生上述巨额赎回并延期办理时，基金管理人应当通过邮寄、传真、刊登公</w:t>
      </w:r>
      <w:r>
        <w:rPr>
          <w:rFonts w:ascii="宋体" w:hAnsi="宋体"/>
          <w:sz w:val="24"/>
        </w:rPr>
        <w:lastRenderedPageBreak/>
        <w:t>告或者通知销售机构代为告知等方式在3个交易日内通知基金份额持有人，说明有关处理方法，并在2日内在指定媒介上刊登公告。</w:t>
      </w:r>
    </w:p>
    <w:p w14:paraId="3BB9CEF5"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（十一）暂停申购或赎回的公告和重新开放申购或赎回的公告</w:t>
      </w:r>
    </w:p>
    <w:p w14:paraId="6245551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1、发生上述暂停申购或赎回情况的，基金管理人应在规定期限内在指定媒介上刊登暂停公告。</w:t>
      </w:r>
    </w:p>
    <w:p w14:paraId="18DDFCCB" w14:textId="6D381F12"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2、暂停结束，基金重新开放申购或赎回时，基金管理人应依照《信息披露办法》的有关规定，不迟于重新开放日，在指定媒介上刊登基金重新开放申购或赎回公告，并公布最近一个开放日</w:t>
      </w:r>
      <w:r w:rsidR="00D77D4D" w:rsidRPr="00D304B4">
        <w:rPr>
          <w:rFonts w:ascii="宋体" w:hAnsi="宋体" w:hint="eastAsia"/>
          <w:sz w:val="24"/>
        </w:rPr>
        <w:t>各类基金份额</w:t>
      </w:r>
      <w:r>
        <w:rPr>
          <w:rFonts w:ascii="宋体" w:hAnsi="宋体"/>
          <w:sz w:val="24"/>
        </w:rPr>
        <w:t>的基金份额净值。</w:t>
      </w:r>
    </w:p>
    <w:p w14:paraId="1737BC62"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（十二）基金的非交易过户</w:t>
      </w:r>
    </w:p>
    <w:p w14:paraId="5042BDC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14:paraId="2B76CA9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0746DA27"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（十三）基金的转托管</w:t>
      </w:r>
    </w:p>
    <w:p w14:paraId="442BAEB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基金份额持有人可办理已持有基金份额在不同销售机构之间的转托管，基金销售机构可以按照规定的标准收取转托管费。</w:t>
      </w:r>
    </w:p>
    <w:p w14:paraId="5ADB2E59"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（十四）定期定额投资计划</w:t>
      </w:r>
    </w:p>
    <w:p w14:paraId="258DF42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51DD7F79" w14:textId="28C3BA19"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本基金2019年2月14日刊登公告自2019年2月18日起开通</w:t>
      </w:r>
      <w:r w:rsidR="00D77D4D" w:rsidRPr="00D304B4">
        <w:rPr>
          <w:rFonts w:ascii="宋体" w:hAnsi="宋体" w:hint="eastAsia"/>
          <w:sz w:val="24"/>
        </w:rPr>
        <w:t>A类基金份额的</w:t>
      </w:r>
      <w:r>
        <w:rPr>
          <w:rFonts w:ascii="宋体" w:hAnsi="宋体"/>
          <w:sz w:val="24"/>
        </w:rPr>
        <w:t>定期定额投资计划业务，</w:t>
      </w:r>
      <w:r w:rsidR="00D77D4D" w:rsidRPr="00D304B4">
        <w:rPr>
          <w:rFonts w:ascii="宋体" w:hAnsi="宋体" w:hint="eastAsia"/>
          <w:sz w:val="24"/>
        </w:rPr>
        <w:t>本基金</w:t>
      </w:r>
      <w:r w:rsidR="00D77D4D">
        <w:rPr>
          <w:rFonts w:ascii="宋体" w:hAnsi="宋体" w:hint="eastAsia"/>
          <w:sz w:val="24"/>
        </w:rPr>
        <w:t>202</w:t>
      </w:r>
      <w:r w:rsidR="00D2751D">
        <w:rPr>
          <w:rFonts w:ascii="宋体" w:hAnsi="宋体"/>
          <w:sz w:val="24"/>
        </w:rPr>
        <w:t>4</w:t>
      </w:r>
      <w:r w:rsidR="00D77D4D" w:rsidRPr="00D304B4">
        <w:rPr>
          <w:rFonts w:ascii="宋体" w:hAnsi="宋体" w:hint="eastAsia"/>
          <w:sz w:val="24"/>
        </w:rPr>
        <w:t>年</w:t>
      </w:r>
      <w:r w:rsidR="00D2751D">
        <w:rPr>
          <w:rFonts w:ascii="宋体" w:hAnsi="宋体"/>
          <w:sz w:val="24"/>
        </w:rPr>
        <w:t>1</w:t>
      </w:r>
      <w:r w:rsidR="00D77D4D" w:rsidRPr="00D304B4">
        <w:rPr>
          <w:rFonts w:ascii="宋体" w:hAnsi="宋体" w:hint="eastAsia"/>
          <w:sz w:val="24"/>
        </w:rPr>
        <w:t>月</w:t>
      </w:r>
      <w:r w:rsidR="00D2751D">
        <w:rPr>
          <w:rFonts w:ascii="宋体" w:hAnsi="宋体" w:hint="eastAsia"/>
          <w:sz w:val="24"/>
        </w:rPr>
        <w:t>8</w:t>
      </w:r>
      <w:r w:rsidR="00D77D4D" w:rsidRPr="00D304B4">
        <w:rPr>
          <w:rFonts w:ascii="宋体" w:hAnsi="宋体" w:hint="eastAsia"/>
          <w:sz w:val="24"/>
        </w:rPr>
        <w:t>日刊登公告自</w:t>
      </w:r>
      <w:r w:rsidR="00D77D4D">
        <w:rPr>
          <w:rFonts w:ascii="宋体" w:hAnsi="宋体" w:hint="eastAsia"/>
          <w:sz w:val="24"/>
        </w:rPr>
        <w:t>202</w:t>
      </w:r>
      <w:r w:rsidR="00D2751D">
        <w:rPr>
          <w:rFonts w:ascii="宋体" w:hAnsi="宋体"/>
          <w:sz w:val="24"/>
        </w:rPr>
        <w:t>4</w:t>
      </w:r>
      <w:r w:rsidR="00D77D4D" w:rsidRPr="00D304B4">
        <w:rPr>
          <w:rFonts w:ascii="宋体" w:hAnsi="宋体" w:hint="eastAsia"/>
          <w:sz w:val="24"/>
        </w:rPr>
        <w:t>年</w:t>
      </w:r>
      <w:r w:rsidR="00D2751D">
        <w:rPr>
          <w:rFonts w:ascii="宋体" w:hAnsi="宋体" w:hint="eastAsia"/>
          <w:sz w:val="24"/>
        </w:rPr>
        <w:t>1</w:t>
      </w:r>
      <w:r w:rsidR="00D77D4D" w:rsidRPr="00D304B4">
        <w:rPr>
          <w:rFonts w:ascii="宋体" w:hAnsi="宋体" w:hint="eastAsia"/>
          <w:sz w:val="24"/>
        </w:rPr>
        <w:t>月</w:t>
      </w:r>
      <w:r w:rsidR="00D2751D">
        <w:rPr>
          <w:rFonts w:ascii="宋体" w:hAnsi="宋体" w:hint="eastAsia"/>
          <w:sz w:val="24"/>
        </w:rPr>
        <w:t>9</w:t>
      </w:r>
      <w:r w:rsidR="00D77D4D" w:rsidRPr="00D304B4">
        <w:rPr>
          <w:rFonts w:ascii="宋体" w:hAnsi="宋体" w:hint="eastAsia"/>
          <w:sz w:val="24"/>
        </w:rPr>
        <w:t>日起增设C类基金份额并开通C类基金份额的定期定额投资计划业务，</w:t>
      </w:r>
      <w:r>
        <w:rPr>
          <w:rFonts w:ascii="宋体" w:hAnsi="宋体"/>
          <w:sz w:val="24"/>
        </w:rPr>
        <w:t>具体开通销售机构名单和业务规则参见相关公告。</w:t>
      </w:r>
    </w:p>
    <w:p w14:paraId="39701AFA"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lastRenderedPageBreak/>
        <w:t>（十五）基金份额的冻结和解冻</w:t>
      </w:r>
    </w:p>
    <w:p w14:paraId="1CC7B06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登记机构只受理国家有权机关依法要求的基金份额的冻结与解冻，以及登记机构认可、符合法律法规的其他情况下的冻结与解冻。</w:t>
      </w:r>
    </w:p>
    <w:p w14:paraId="33C63E9F"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（十六）基金份额的转让</w:t>
      </w:r>
    </w:p>
    <w:p w14:paraId="7F9E759E" w14:textId="7D131DBD" w:rsidR="003133F1" w:rsidRPr="003133F1" w:rsidRDefault="00C86CDB" w:rsidP="003133F1">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0E548435" w14:textId="6860261C" w:rsidR="003133F1" w:rsidRDefault="00C86CDB">
      <w:pPr>
        <w:autoSpaceDE w:val="0"/>
        <w:autoSpaceDN w:val="0"/>
        <w:adjustRightInd w:val="0"/>
        <w:snapToGrid w:val="0"/>
        <w:spacing w:line="360" w:lineRule="auto"/>
        <w:ind w:firstLineChars="200" w:firstLine="482"/>
        <w:jc w:val="left"/>
        <w:rPr>
          <w:rFonts w:ascii="宋体" w:hAnsi="宋体"/>
          <w:b/>
          <w:kern w:val="0"/>
          <w:sz w:val="24"/>
        </w:rPr>
      </w:pPr>
      <w:r w:rsidRPr="00BB248E">
        <w:rPr>
          <w:rFonts w:ascii="宋体" w:hAnsi="宋体" w:hint="eastAsia"/>
          <w:b/>
          <w:kern w:val="0"/>
          <w:sz w:val="24"/>
        </w:rPr>
        <w:t>（十七）</w:t>
      </w:r>
      <w:r w:rsidR="003133F1" w:rsidRPr="003133F1">
        <w:rPr>
          <w:rFonts w:ascii="宋体" w:hAnsi="宋体" w:hint="eastAsia"/>
          <w:b/>
          <w:kern w:val="0"/>
          <w:sz w:val="24"/>
        </w:rPr>
        <w:t>实施侧袋机制期间本基金的申购与赎回</w:t>
      </w:r>
    </w:p>
    <w:p w14:paraId="4BA2F3B6" w14:textId="5174A4AF" w:rsidR="003133F1" w:rsidRPr="003133F1" w:rsidRDefault="002A6BBD">
      <w:pPr>
        <w:autoSpaceDE w:val="0"/>
        <w:autoSpaceDN w:val="0"/>
        <w:adjustRightInd w:val="0"/>
        <w:snapToGrid w:val="0"/>
        <w:spacing w:line="360" w:lineRule="auto"/>
        <w:ind w:firstLineChars="200" w:firstLine="480"/>
        <w:jc w:val="left"/>
        <w:rPr>
          <w:rFonts w:ascii="宋体" w:hAnsi="宋体"/>
          <w:kern w:val="0"/>
          <w:sz w:val="24"/>
        </w:rPr>
      </w:pPr>
      <w:r w:rsidRPr="00B0356C">
        <w:rPr>
          <w:rFonts w:ascii="宋体" w:hAnsi="宋体" w:hint="eastAsia"/>
          <w:bCs/>
          <w:kern w:val="0"/>
          <w:sz w:val="24"/>
        </w:rPr>
        <w:t>本基金实施侧袋机制的，本基金的申购和赎回安排详见本招募说明书“侧袋机制”部分的规定或相关公告</w:t>
      </w:r>
      <w:r w:rsidR="003133F1" w:rsidRPr="003133F1">
        <w:rPr>
          <w:rFonts w:ascii="宋体" w:hAnsi="宋体" w:hint="eastAsia"/>
          <w:kern w:val="0"/>
          <w:sz w:val="24"/>
        </w:rPr>
        <w:t>。</w:t>
      </w:r>
    </w:p>
    <w:p w14:paraId="2EB69F6D" w14:textId="2C8F1558" w:rsidR="001430E9" w:rsidRDefault="003133F1">
      <w:pPr>
        <w:autoSpaceDE w:val="0"/>
        <w:autoSpaceDN w:val="0"/>
        <w:adjustRightInd w:val="0"/>
        <w:snapToGrid w:val="0"/>
        <w:spacing w:line="360" w:lineRule="auto"/>
        <w:ind w:firstLineChars="200" w:firstLine="482"/>
        <w:jc w:val="left"/>
        <w:rPr>
          <w:rFonts w:ascii="宋体" w:hAnsi="宋体"/>
          <w:szCs w:val="24"/>
        </w:rPr>
      </w:pPr>
      <w:r>
        <w:rPr>
          <w:rFonts w:ascii="宋体" w:hAnsi="宋体" w:hint="eastAsia"/>
          <w:b/>
          <w:kern w:val="0"/>
          <w:sz w:val="24"/>
        </w:rPr>
        <w:t>（十八）</w:t>
      </w:r>
      <w:r w:rsidR="00C86CDB" w:rsidRPr="00BB248E">
        <w:rPr>
          <w:rFonts w:ascii="宋体" w:hAnsi="宋体" w:hint="eastAsia"/>
          <w:b/>
          <w:kern w:val="0"/>
          <w:sz w:val="24"/>
        </w:rPr>
        <w:t>其他业务</w:t>
      </w:r>
    </w:p>
    <w:p w14:paraId="2F0EF3A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14:paraId="6BA5824A" w14:textId="77777777" w:rsidR="00435AFE" w:rsidRDefault="00C86CDB" w:rsidP="00435AFE">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47843510" w14:textId="77777777" w:rsidR="001430E9" w:rsidRDefault="00C86CDB">
      <w:pPr>
        <w:pStyle w:val="1"/>
        <w:snapToGrid w:val="0"/>
        <w:spacing w:beforeLines="0" w:before="240" w:after="240"/>
        <w:rPr>
          <w:rFonts w:ascii="宋体" w:hAnsi="宋体"/>
          <w:szCs w:val="30"/>
        </w:rPr>
      </w:pPr>
      <w:bookmarkStart w:id="11" w:name="_Toc137828491"/>
      <w:r>
        <w:rPr>
          <w:rFonts w:ascii="Times New Roman" w:hAnsi="Times New Roman"/>
          <w:sz w:val="30"/>
        </w:rPr>
        <w:lastRenderedPageBreak/>
        <w:t>九、基金的转换</w:t>
      </w:r>
      <w:bookmarkEnd w:id="11"/>
    </w:p>
    <w:p w14:paraId="35F47B1C"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（一）基金转换</w:t>
      </w:r>
    </w:p>
    <w:p w14:paraId="7F23A1E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是指开放式基金份额持有人将其持有某只基金的部分或全部份额转换为同一基金管理人管理的另一只开放式基金份额。基金转换只能在同一销售机构进行。转换的两只基金必须都是该销售机构代理的同一基金管理人管理的、在同一注册登记机构处注册登记的、同一收费模式的开放式基金。</w:t>
      </w:r>
    </w:p>
    <w:p w14:paraId="15073F17"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（二）转换业务办理时间</w:t>
      </w:r>
    </w:p>
    <w:p w14:paraId="62CAA074" w14:textId="72F349EB" w:rsidR="00BD5469" w:rsidRDefault="00C86CDB">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本基金2019年2月14日刊登公告自2019年2月18日起开放</w:t>
      </w:r>
      <w:r w:rsidR="00BD5469" w:rsidRPr="00974806">
        <w:rPr>
          <w:rFonts w:ascii="宋体" w:hAnsi="宋体" w:hint="eastAsia"/>
          <w:sz w:val="24"/>
        </w:rPr>
        <w:t>A类基金份额</w:t>
      </w:r>
      <w:r w:rsidR="00BD5469">
        <w:rPr>
          <w:rFonts w:ascii="宋体" w:hAnsi="宋体" w:hint="eastAsia"/>
          <w:sz w:val="24"/>
        </w:rPr>
        <w:t>的</w:t>
      </w:r>
      <w:r>
        <w:rPr>
          <w:rFonts w:ascii="宋体" w:hAnsi="宋体"/>
          <w:sz w:val="24"/>
        </w:rPr>
        <w:t>日常转换业务。</w:t>
      </w:r>
      <w:r w:rsidR="00BD5469" w:rsidRPr="00974806">
        <w:rPr>
          <w:rFonts w:ascii="宋体" w:hAnsi="宋体" w:hint="eastAsia"/>
          <w:sz w:val="24"/>
        </w:rPr>
        <w:t>本基金</w:t>
      </w:r>
      <w:r w:rsidR="00BD5469">
        <w:rPr>
          <w:rFonts w:ascii="宋体" w:hAnsi="宋体" w:hint="eastAsia"/>
          <w:sz w:val="24"/>
        </w:rPr>
        <w:t>202</w:t>
      </w:r>
      <w:r w:rsidR="00295B60">
        <w:rPr>
          <w:rFonts w:ascii="宋体" w:hAnsi="宋体"/>
          <w:sz w:val="24"/>
        </w:rPr>
        <w:t>4</w:t>
      </w:r>
      <w:r w:rsidR="00BD5469" w:rsidRPr="00974806">
        <w:rPr>
          <w:rFonts w:ascii="宋体" w:hAnsi="宋体" w:hint="eastAsia"/>
          <w:sz w:val="24"/>
        </w:rPr>
        <w:t>年</w:t>
      </w:r>
      <w:r w:rsidR="00295B60">
        <w:rPr>
          <w:rFonts w:ascii="宋体" w:hAnsi="宋体"/>
          <w:sz w:val="24"/>
        </w:rPr>
        <w:t>1</w:t>
      </w:r>
      <w:r w:rsidR="00BD5469" w:rsidRPr="00974806">
        <w:rPr>
          <w:rFonts w:ascii="宋体" w:hAnsi="宋体" w:hint="eastAsia"/>
          <w:sz w:val="24"/>
        </w:rPr>
        <w:t>月</w:t>
      </w:r>
      <w:r w:rsidR="00295B60">
        <w:rPr>
          <w:rFonts w:ascii="宋体" w:hAnsi="宋体"/>
          <w:sz w:val="24"/>
        </w:rPr>
        <w:t>8</w:t>
      </w:r>
      <w:r w:rsidR="00BD5469" w:rsidRPr="00974806">
        <w:rPr>
          <w:rFonts w:ascii="宋体" w:hAnsi="宋体" w:hint="eastAsia"/>
          <w:sz w:val="24"/>
        </w:rPr>
        <w:t>日刊登公告自</w:t>
      </w:r>
      <w:r w:rsidR="00BD5469">
        <w:rPr>
          <w:rFonts w:ascii="宋体" w:hAnsi="宋体" w:hint="eastAsia"/>
          <w:sz w:val="24"/>
        </w:rPr>
        <w:t>202</w:t>
      </w:r>
      <w:r w:rsidR="00295B60">
        <w:rPr>
          <w:rFonts w:ascii="宋体" w:hAnsi="宋体"/>
          <w:sz w:val="24"/>
        </w:rPr>
        <w:t>4</w:t>
      </w:r>
      <w:r w:rsidR="00BD5469" w:rsidRPr="00974806">
        <w:rPr>
          <w:rFonts w:ascii="宋体" w:hAnsi="宋体" w:hint="eastAsia"/>
          <w:sz w:val="24"/>
        </w:rPr>
        <w:t>年</w:t>
      </w:r>
      <w:r w:rsidR="00295B60">
        <w:rPr>
          <w:rFonts w:ascii="宋体" w:hAnsi="宋体"/>
          <w:sz w:val="24"/>
        </w:rPr>
        <w:t>1</w:t>
      </w:r>
      <w:r w:rsidR="00BD5469" w:rsidRPr="00974806">
        <w:rPr>
          <w:rFonts w:ascii="宋体" w:hAnsi="宋体" w:hint="eastAsia"/>
          <w:sz w:val="24"/>
        </w:rPr>
        <w:t>月</w:t>
      </w:r>
      <w:r w:rsidR="00295B60">
        <w:rPr>
          <w:rFonts w:ascii="宋体" w:hAnsi="宋体"/>
          <w:sz w:val="24"/>
        </w:rPr>
        <w:t>9</w:t>
      </w:r>
      <w:r w:rsidR="00BD5469" w:rsidRPr="00974806">
        <w:rPr>
          <w:rFonts w:ascii="宋体" w:hAnsi="宋体" w:hint="eastAsia"/>
          <w:sz w:val="24"/>
        </w:rPr>
        <w:t>日起增设C类基金份额并开通C类基金份额的日常转换业务。</w:t>
      </w:r>
    </w:p>
    <w:p w14:paraId="520C07EE" w14:textId="19942135"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办理基金间转换的时间为上海证券交易所、深圳证券交易所交易日。若出现新的证券交易市场或交易所交易时间更改或其它原因，基金管理人将视情况进行相应的调整并公告。</w:t>
      </w:r>
    </w:p>
    <w:p w14:paraId="3299269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在基金开放日申请办理基金转换业务，具体办理时间与基金申购、赎回业务办理时间相同。由于各销售机构的系统差异以及业务安排等原因，开展该业务的时间可能有所不同，投资人应以各销售机构公告的时间为准。</w:t>
      </w:r>
    </w:p>
    <w:p w14:paraId="386AC66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本基金转换业务具体开通销售机构名单参见相关公告。</w:t>
      </w:r>
    </w:p>
    <w:p w14:paraId="734B0D53"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（三）基金转换的程序</w:t>
      </w:r>
    </w:p>
    <w:p w14:paraId="214B1F2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1、申请方式：书面申请或销售机构公布的其他方式。</w:t>
      </w:r>
    </w:p>
    <w:p w14:paraId="59F76B6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2、基金转换申请的确认</w:t>
      </w:r>
    </w:p>
    <w:p w14:paraId="03DFD31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正常情况下，T日规定时间受理的申请，注册登记机构在T＋1日内为投资人对该交易的有效性进行确认，在T＋2日后(包括该日)投资人可向销售机构查询转换的确认情况。</w:t>
      </w:r>
    </w:p>
    <w:p w14:paraId="3CB0F0B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3、基金转换的注册登记</w:t>
      </w:r>
    </w:p>
    <w:p w14:paraId="6B0E950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登记机构以收到有效转换申请的当天作为转换申请日（T日）。投资人转换基金成功的，注册登记机构将在T＋1日对投资人T日的基金转换业务申请进行有效性确认，办理转出基金的权益扣除以及转入基金的权益登记，在T＋2日后（包括该日）投资人可向销售机构查询基金转换的成交情况，并有权转换或赎回该部分基金份额。</w:t>
      </w:r>
    </w:p>
    <w:p w14:paraId="29775E58"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lastRenderedPageBreak/>
        <w:t>（四）基金转换的数额限制</w:t>
      </w:r>
    </w:p>
    <w:p w14:paraId="636B301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基金转换以份额为单位进行申请，申请转换份额精确到小数点后两位，小数点后两位以后的部分四舍五入，误差部分归基金财产。</w:t>
      </w:r>
    </w:p>
    <w:p w14:paraId="2221695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本基金遵循“份额转换”的原则，单笔转换份额不得低于1份。基金持有人可将其全部或部分基金份额转换成其它基金，单笔转换申请不受转入基金最低申购限额限制。</w:t>
      </w:r>
    </w:p>
    <w:p w14:paraId="76D390F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于各基金关于投资人在单个交易账户最低保留余额的规定，每个工作日投资人在单个交易账户保留的某基金基金份额余额少于该基金的最低保留余额时，若当日该账户同时有该基金的基金份额减少类业务（如赎回、转换出等）被确认，基金管理人有权将投资人在该账户保留的该基金基金份额一次性全部赎回。因此，如果某笔转换申请确认后转出基金的单个交易账户的基金份额余额少于转出基金的最低保留余额，则转出基金在该账户剩余的基金份额将被全部赎回。如果某笔转换申请确认后转入基金的单个交易账户的基金份额余额少于转入基金的最低保留余额且该账户当日有转入基金的基金份额减少类业务被确认，则转入基金在该账户剩余的基金份额（包括该部分转换入确认份额）将随即被强制赎回。</w:t>
      </w:r>
    </w:p>
    <w:p w14:paraId="2D6D2375"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（五）基金转换费用</w:t>
      </w:r>
    </w:p>
    <w:p w14:paraId="4EF5FD2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1、每笔基金转换视为一笔赎回和一笔申购，基金转换费用相应由转出基金的赎回费用及转出、转入基金的申购补差费用构成。</w:t>
      </w:r>
    </w:p>
    <w:p w14:paraId="4DFE474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2、转出基金的赎回费用</w:t>
      </w:r>
    </w:p>
    <w:p w14:paraId="2F00E41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用按照各基金最新的更新招募说明书及相关公告规定的赎回费率和计费方式收取，赎回费用按一定比例归入基金财产（收取标准遵循各基金最新的更新招募说明书相关规定），其余部分用于支付注册登记费等相关手续费。</w:t>
      </w:r>
    </w:p>
    <w:p w14:paraId="503AAE1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3、前端收费模式下转出与转入基金的申购补差费用</w:t>
      </w:r>
    </w:p>
    <w:p w14:paraId="763514C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从不收取申购费用的基金或前端申购费用低的基金向前端申购费用高的基金转换，收取前端申购补差费用；从前端申购费用高的基金向前端申购费用低的基金或不收取申购费用的基金转换，不收取前端申购补差费用。申购补差费用原则上按照转出确认金额对应的转入基金前端申购费率减去转出基金前端申购费率差额进行计算补差，若遇固定费用，则按实际产生补差费用收取。</w:t>
      </w:r>
    </w:p>
    <w:p w14:paraId="6D6BC6A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4、后端收费模式下转出与转入基金的申购补差费用</w:t>
      </w:r>
    </w:p>
    <w:p w14:paraId="5AB0C7E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从不收取申购费用的基金或后端申购费用低的基金向后端申购费用高的基金转</w:t>
      </w:r>
      <w:r>
        <w:rPr>
          <w:rFonts w:ascii="宋体" w:hAnsi="宋体"/>
          <w:sz w:val="24"/>
        </w:rPr>
        <w:lastRenderedPageBreak/>
        <w:t>换，不收取后端申购补差费用，但转入的基金份额赎回的时候需全额收取转入基金的后端申购费；从后端申购费用高的基金向后端申购费用低的基金或不收取申购费用的基金转换，收取后端申购补差费用，且转入的基金份额赎回的时候需全额收取转入基金的后端申购费。后端申购补差费用按照转出份额持有时间对应分档的转出基金后端申购费率减去转入基金后端申购费率差额进行补差。</w:t>
      </w:r>
    </w:p>
    <w:p w14:paraId="4AF22E5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5、网上直销的申购补差费率优惠</w:t>
      </w:r>
    </w:p>
    <w:p w14:paraId="47E9247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更好服务投资者，本基金管理人已开通基金网上直销业务，个人投资者可以通过“网上直销交易平台”办理基金转换业务，其中部分转换业务可享受转换费率优惠，优惠费率只适用于转出与转入基金申购补差费用，转出基金的赎回费用无优惠。可通过网上直销交易平台办理的转换业务范围及转换费率优惠的具体情况请参阅本基金管理人网站。</w:t>
      </w:r>
    </w:p>
    <w:p w14:paraId="5627AC2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管理人可以根据法律法规及基金合同的规定对上述转换费用收费方式和费率进行调整，并应于调整后的收费方式和费率实施前依照《证券投资基金信息披露管理办法》的有关规定在中国证监会指定媒介上公告。</w:t>
      </w:r>
    </w:p>
    <w:p w14:paraId="4B057C90"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（六）基金转换份额的计算公式</w:t>
      </w:r>
    </w:p>
    <w:p w14:paraId="2C8872F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1、前端收费模式下基金转换份额的计算公式及举例</w:t>
      </w:r>
    </w:p>
    <w:p w14:paraId="09AF084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转出确认金额=转出的基金份额×转换申请当日转出基金的基金份额净值</w:t>
      </w:r>
    </w:p>
    <w:p w14:paraId="1ADC8AF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转出基金的赎回费=转出确认金额×对应的转出基金的赎回费率</w:t>
      </w:r>
    </w:p>
    <w:p w14:paraId="19CD02E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转入确认金额=转出确认金额-转出基金的赎回费</w:t>
      </w:r>
    </w:p>
    <w:p w14:paraId="68F4F61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转出与转入基金的申购补差费=转入确认金额×对应的转出与转入基金的申购补差费率/（1+对应的转出与转入基金的申购补差费率）</w:t>
      </w:r>
    </w:p>
    <w:p w14:paraId="1892981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（注：若转出基金申购费率不低于转入基金申购费率，转出与转入基金的申购补差费为零）</w:t>
      </w:r>
    </w:p>
    <w:p w14:paraId="4AE1973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对于涉及固定费用的，转出与转入基金的申购补差费＝MAX（0，转出基金和转入基金申购费用之差）</w:t>
      </w:r>
    </w:p>
    <w:p w14:paraId="4B7362F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转入基金确认份额=（转入确认金额-转出与转入基金的申购补差费+A）/转换申请当日转入基金的基金份额净值</w:t>
      </w:r>
    </w:p>
    <w:p w14:paraId="24A9525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w:t>
      </w:r>
    </w:p>
    <w:p w14:paraId="0EC9741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A为货币市场基金转出的基金份额按比例结转的账户当前累计待支付收益（仅限转出基金为货币市场基金的情形，否则A为0）。</w:t>
      </w:r>
    </w:p>
    <w:p w14:paraId="6177093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转入基金确认份额的计算精确到小数点后两位，小数点后两位以后的部分四舍五入，误差部分归基金财产。</w:t>
      </w:r>
    </w:p>
    <w:p w14:paraId="2EAA718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一：某投资者持有交银趋势前端收费模式的A类基金份额100,000份，持有期半年，转换申请当日交银趋势的A类基金份额净值为1.0100元，交银成长的基金份额净值为2.2700元。若该投资者将100,000份交银趋势前端A类基金份额转换为交银成长前端基金份额，则转入交银成长确认的基金份额为：</w:t>
      </w:r>
    </w:p>
    <w:p w14:paraId="5BD2385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转出确认金额=100,000×1.0100=101,000元</w:t>
      </w:r>
    </w:p>
    <w:p w14:paraId="2AC905F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转出基金的赎回费=101,000×0.5%=505元</w:t>
      </w:r>
    </w:p>
    <w:p w14:paraId="7CF7188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转入确认金额=101,000-505=100,495元</w:t>
      </w:r>
    </w:p>
    <w:p w14:paraId="2E7471D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转出与转入基金的申购补差费=100,495×0/（1+0）=0元</w:t>
      </w:r>
    </w:p>
    <w:p w14:paraId="444048E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转入基金确认份额=（100,495-0）/2.2700=44,270.93份</w:t>
      </w:r>
    </w:p>
    <w:p w14:paraId="7139B32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二：某投资者持有交银增利A类基金份额1,000,000份，持有期一年半，转换申请当日交银增利A类基金份额的基金份额净值为1.0200元，交银趋势的A类基金份额净值为1.0100元。若该投资者将1,000,000份交银增利A类基金份额转换为交银趋势前端A类基金份额，则转入交银趋势确认的A类基金份额为：</w:t>
      </w:r>
    </w:p>
    <w:p w14:paraId="4D9B25A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转出确认金额=1,000,000×1.0200=1,020,000元</w:t>
      </w:r>
    </w:p>
    <w:p w14:paraId="540057F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转出基金的赎回费=1,020,000×0.05%=510元</w:t>
      </w:r>
    </w:p>
    <w:p w14:paraId="2C3AEEC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转入确认金额=1,020,000-510=1,019,490元</w:t>
      </w:r>
    </w:p>
    <w:p w14:paraId="6BE7188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转出与转入基金的申购补差费=1,019,490×0.5%/（1+0.5%）=5,072.09元</w:t>
      </w:r>
    </w:p>
    <w:p w14:paraId="1BA5549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转入基金确认份额=（1,019,490-5,072.09）/1.0100=1,004,374.17份</w:t>
      </w:r>
    </w:p>
    <w:p w14:paraId="30AA81B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三：某投资者持有交银增利C类基金份额100,000份，持有期一年半，转换申请当日交银增利C类基金份额净值为1.2500元，交银精选的基金份额净值为2.2700元。若该投资者将100,000份交银增利C类基金份额转换为交银精选前端基金份额，则转入交银精选确认的基金份额为：</w:t>
      </w:r>
    </w:p>
    <w:p w14:paraId="183F1C0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14:paraId="4823FF0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14:paraId="27FAB2D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转入确认金额=125,000-0=125,000元</w:t>
      </w:r>
    </w:p>
    <w:p w14:paraId="57AC988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转出与转入基金的申购补差费=125,000×1.5%/（1+1.5%）=1,847.29元</w:t>
      </w:r>
    </w:p>
    <w:p w14:paraId="136487D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转入基金确认份额=（125,000-1,847.29）/2.2700=54,252.30份</w:t>
      </w:r>
    </w:p>
    <w:p w14:paraId="12BC85F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例四：某投资者持有交银货币A级基金份额100,000份，该100,000份基金份额</w:t>
      </w:r>
      <w:r>
        <w:rPr>
          <w:rFonts w:ascii="宋体" w:hAnsi="宋体"/>
          <w:sz w:val="24"/>
        </w:rPr>
        <w:lastRenderedPageBreak/>
        <w:t>未结转的待支付收益为61.52元，转换申请当日交银增利A类基金份额净值为1.2700元，交银货币的基金份额净值为1.00元。若该投资者将100,000份交银货币A级基金份额转换为交银增利A类基金份额，则转入确认的交银增利A类基金份额为：</w:t>
      </w:r>
    </w:p>
    <w:p w14:paraId="656D4C4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转出确认金额=100,000×1.00=100,000元</w:t>
      </w:r>
    </w:p>
    <w:p w14:paraId="2D13DB9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14:paraId="6DDC189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转入确认金额=100,000-0=100,000元</w:t>
      </w:r>
    </w:p>
    <w:p w14:paraId="2FA8C99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转出与转入基金的申购补差费=100,000×0.8%/（1+0.8%）=793.65元</w:t>
      </w:r>
    </w:p>
    <w:p w14:paraId="794AE3F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转入基金确认份额=（100,000-793.65+61.52）/1.2700=78,163.68份</w:t>
      </w:r>
    </w:p>
    <w:p w14:paraId="4917B44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2、后端收费模式下基金转换份额的计算公式及举例</w:t>
      </w:r>
    </w:p>
    <w:p w14:paraId="2D6CAB5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转出确认金额=转出的基金份额×转换申请当日转出基金的基金份额净值</w:t>
      </w:r>
    </w:p>
    <w:p w14:paraId="3CF5F96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转出基金的赎回费=转出确认金额×对应的转出基金的赎回费率</w:t>
      </w:r>
    </w:p>
    <w:p w14:paraId="436CD0B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转入确认金额=转出确认金额-转出基金的赎回费</w:t>
      </w:r>
    </w:p>
    <w:p w14:paraId="4090959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转出与转入基金的申购补差费=转入确认金额×对应的转出与转入基金的申购补差费率</w:t>
      </w:r>
    </w:p>
    <w:p w14:paraId="05C86F4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转入基金确认份额=（转入确认金额-转出与转入基金的申购补差费+A）/转换申请当日转入基金的基金份额净值</w:t>
      </w:r>
    </w:p>
    <w:p w14:paraId="7562601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w:t>
      </w:r>
    </w:p>
    <w:p w14:paraId="5A0E50D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A为货币市场基金转出的基金份额按比例结转的账户当前累计待支付收益（仅限转出基金为货币市场基金的情形，否则A为0）。</w:t>
      </w:r>
    </w:p>
    <w:p w14:paraId="724112C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转入基金确认份额的计算精确到小数点后两位，小数点后两位以后的部分四舍五入，误差部分归基金财产。</w:t>
      </w:r>
    </w:p>
    <w:p w14:paraId="4579B2E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五：某投资者持有交银主题后端收费模式的A类基金份额100,000份，持有期一年半，转换申请当日交银主题的A类基金份额净值为1.2500元，交银稳健的基金份额净值为2.2700元。若该投资者将100,000份交银主题后端A类基金份额转换为交银稳健后端基金份额，则转入交银稳健确认的基金份额为：</w:t>
      </w:r>
    </w:p>
    <w:p w14:paraId="68D24A7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14:paraId="667FE10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转出基金的赎回费=125,000×0.2%=250元</w:t>
      </w:r>
    </w:p>
    <w:p w14:paraId="52E8473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转入确认金额=125,000-250=124,750元</w:t>
      </w:r>
    </w:p>
    <w:p w14:paraId="3401175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转出与转入基金的申购补差费=124,750×0=0元</w:t>
      </w:r>
    </w:p>
    <w:p w14:paraId="28E9694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转入基金确认份额=（124,750-0）/2.2700=54,955.95份</w:t>
      </w:r>
    </w:p>
    <w:p w14:paraId="1D79A31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例六：某投资者持有交银先锋后端收费模式的A类基金份额100,000份，持有期一年半，转换申请当日交银先锋的A类基金份额净值为1.2500元，交银货币的基金份额净值为1.00元。若该投资者将100,000份交银先锋后端A类基金份额转换为交银货币，则转入交银货币的基金份额为：</w:t>
      </w:r>
    </w:p>
    <w:p w14:paraId="5E7357D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14:paraId="09FDB7D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转出基金的赎回费=125,000×0.2%=250元</w:t>
      </w:r>
    </w:p>
    <w:p w14:paraId="65815ED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转入确认金额=125,000-250=124,750元</w:t>
      </w:r>
    </w:p>
    <w:p w14:paraId="2F1FFB0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转出与转入基金的申购补差费=124,750×1.2%=1497元</w:t>
      </w:r>
    </w:p>
    <w:p w14:paraId="78EE19B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转入基金确认份额=（124,750-1497）/1.00=123,253.00份</w:t>
      </w:r>
    </w:p>
    <w:p w14:paraId="615DDAC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七：某投资者持有交银蓝筹后端收费模式的基金份额100,000份，持有期三年半，转换申请当日交银蓝筹的基金份额净值为0.8500元，交银增利B类基金份额的基金份额净值为1.0500。若该投资者将100,000份交银蓝筹后端基金份额转换为交银增利B类基金份额，则转入交银增利B类基金份额的基金份额为：</w:t>
      </w:r>
    </w:p>
    <w:p w14:paraId="689EAE7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转出确认金额=100,000×0.8500=85,000元</w:t>
      </w:r>
    </w:p>
    <w:p w14:paraId="2A98624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转出基金的赎回费=85,000×0=0元</w:t>
      </w:r>
    </w:p>
    <w:p w14:paraId="32FEFD1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转入确认金额=85,000-0=85,000元</w:t>
      </w:r>
    </w:p>
    <w:p w14:paraId="7B40E14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转出与转入基金的申购补差费=85,000×0.2%=170元</w:t>
      </w:r>
    </w:p>
    <w:p w14:paraId="031047C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转入基金确认份额=（85,000-170）/1.0500=80,790.48份</w:t>
      </w:r>
    </w:p>
    <w:p w14:paraId="229E5A1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八：某投资者持有交银货币A级基金份额100,000份，该100,000份基金份额未结转的待支付收益为61.52元，转换申请当日交银增利B类基金份额净值为1.2700元，交银货币的基金份额净值为1.00元。若该投资者将100,000份交银货币A级基金份额转换为交银增利B类基金份额，则转入确认的交银增利B类基金份额为：</w:t>
      </w:r>
    </w:p>
    <w:p w14:paraId="2FF1D73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转出确认金额=100,000×1.00=100,000元</w:t>
      </w:r>
    </w:p>
    <w:p w14:paraId="6BD9C9F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14:paraId="1D2708E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转入确认金额=100,000-0=100,000元</w:t>
      </w:r>
    </w:p>
    <w:p w14:paraId="7D8CD0C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转出与转入基金的申购补差费=100,000×0=0元</w:t>
      </w:r>
    </w:p>
    <w:p w14:paraId="1E32DDE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转入基金确认份额=（100,000-0+61.52）/1.2700=78,788.60份</w:t>
      </w:r>
    </w:p>
    <w:p w14:paraId="2077BEF6"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（七）业务规则</w:t>
      </w:r>
    </w:p>
    <w:p w14:paraId="2CE5A74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1、基金转换只能在同一销售机构进行。转换的两只基金必须都是该销售机构销售的同一基金管理人管理的、在同一注册登记机构处注册登记的基金。投资人办</w:t>
      </w:r>
      <w:r>
        <w:rPr>
          <w:rFonts w:ascii="宋体" w:hAnsi="宋体"/>
          <w:sz w:val="24"/>
        </w:rPr>
        <w:lastRenderedPageBreak/>
        <w:t>理基金转换业务时，转出方的基金必须处于可赎回状态，转入方的基金必须处于可申购状态。</w:t>
      </w:r>
    </w:p>
    <w:p w14:paraId="014E31D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人只能在相同收费模式下进行基金转换。前端收费模式的开放式基金只能转换到前端收费模式的其他基金，后端收费模式的基金只能转换到后端收费模式的其他基金。交银货币、债券基金C类基金份额与其他基金之间的转换不受上述收费模式的限制。</w:t>
      </w:r>
    </w:p>
    <w:p w14:paraId="2FDA0A8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3、基金转换采取未知价法，即基金的转换价格以申请受理当日各转出、转入基金的基金份额净值为基础进行计算。（货币市场基金的基金份额净值为固定价1.00元）。</w:t>
      </w:r>
    </w:p>
    <w:p w14:paraId="5AD28A3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4、投资人申请转出其账户内货币市场基金的基金份额时，注册登记机构将自动结转该转出份额对应的待支付收益，该收益将一并计入转出金额并折算为转入基金的基金份额，但收益部分不收取转换费用。</w:t>
      </w:r>
    </w:p>
    <w:p w14:paraId="5A0DA65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5、转换后，转入基金份额的持有时间将重新计算，即转入基金份额的持有期将自转入基金份额被确认日起重新开始计算。</w:t>
      </w:r>
    </w:p>
    <w:p w14:paraId="58B3B398"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（八）暂停基金转换</w:t>
      </w:r>
    </w:p>
    <w:p w14:paraId="00FDB37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视同为转出基金的赎回和转入基金的申购，因此有关转出基金和转入基金关于暂停或拒绝申购、暂停赎回的有关规定也一般适用于暂停基金转换。具体暂停或恢复基金转换的相关业务请详见届时本基金管理人发布的相关公告。</w:t>
      </w:r>
    </w:p>
    <w:p w14:paraId="1FDA057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单个开放日，基金净赎回申请份额（该基金赎回申请总份额加上基金转换中转出申请总份额扣除申购申请总份额及基金转换中转入申请总份额后的余额）超过上一日基金总份额的10%时，为巨额赎回。发生巨额赎回时，基金转出与基金赎回具有相同的优先级，本基金管理人可根据基金资产组合情况，决定全额转出或部分转出，并且对于基金转出和基金赎回，将采取相同的比例确认。在转出申请得到部分确认的情况下，未确认的转出申请将自动予以撤销，不再视为下一开放日的基金转换申请。</w:t>
      </w:r>
    </w:p>
    <w:p w14:paraId="0A107309" w14:textId="77777777" w:rsidR="00435AFE" w:rsidRDefault="00C86CDB" w:rsidP="00435AFE">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3419E637" w14:textId="77777777" w:rsidR="001430E9" w:rsidRDefault="00C86CDB">
      <w:pPr>
        <w:pStyle w:val="1"/>
        <w:snapToGrid w:val="0"/>
        <w:spacing w:beforeLines="0" w:before="240" w:after="240"/>
        <w:rPr>
          <w:rFonts w:ascii="宋体" w:hAnsi="宋体"/>
          <w:szCs w:val="30"/>
        </w:rPr>
      </w:pPr>
      <w:bookmarkStart w:id="12" w:name="_Toc137828492"/>
      <w:r>
        <w:rPr>
          <w:rFonts w:ascii="Times New Roman" w:hAnsi="Times New Roman"/>
          <w:sz w:val="30"/>
        </w:rPr>
        <w:lastRenderedPageBreak/>
        <w:t>十、基金的投资</w:t>
      </w:r>
      <w:bookmarkEnd w:id="12"/>
    </w:p>
    <w:p w14:paraId="60A1A82E"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（一）投资目标</w:t>
      </w:r>
    </w:p>
    <w:p w14:paraId="34BDC6E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本基金主要投资于具有核心资产的上市公司，在合理控制风险并保持基金资产良好流动性的前提下，力争实现基金资产的长期稳定增值。</w:t>
      </w:r>
    </w:p>
    <w:p w14:paraId="6F83D046"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（二）投资范围</w:t>
      </w:r>
    </w:p>
    <w:p w14:paraId="2ED9F72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范围为具有良好流动性的金融工具，包括内地依法发行上市的股票（含中小板、创业板及其他经中国证监会核准上市的股票、存托凭证）、港股通标的股票、债券（含国债、央行票据、金融债券、政府支持债券、政府支持机构债券、地方政府债券、企业债券、公司债券、可转换债券（含可分离交易可转换债券）、可交换公司债券、次级债券、中期票据、短期融资券、超短期融资券等）、资产支持证券、货币市场工具、债券回购、同业存单、银行存款（含协议存款、定期存款及其他银行存款）、股指期货、权证以及法律法规或中国证监会允许基金投资的其他金融工具（但须符合中国证监会相关规定）。</w:t>
      </w:r>
    </w:p>
    <w:p w14:paraId="7AEB786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如法律法规或监管机构以后允许基金投资其他品种，基金管理人在履行适当程序后，可以将其纳入投资范围。</w:t>
      </w:r>
    </w:p>
    <w:p w14:paraId="3676A3B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比例为：股票投资（含存托凭证）占基金资产的比例为50%-95%(其中，投资于内地依法发行上市的股票的比例占基金资产的50-95%，投资于港股通标的股票的比例占股票资产的0-50%），其中投资于核心资产主题相关证券的比例不低于非现金基金资产的80%；每个交易日日终在扣除股指期货合约需缴纳的交易保证金后，本基金保留的现金或者投资于到期日在一年以内的政府债券的比例合计不低于基金资产净值的5%，其中现金不包括结算备付金、存出保证金、应收申购款等。</w:t>
      </w:r>
    </w:p>
    <w:p w14:paraId="00747CF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如果法律法规或中国证监会变更投资品种的投资比例限制，基金管理人在履行适当程序后，可以调整上述投资品种的投资比例。</w:t>
      </w:r>
    </w:p>
    <w:p w14:paraId="0FEB4B34"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（三）投资策略</w:t>
      </w:r>
    </w:p>
    <w:p w14:paraId="50B0CF3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充分发挥基金管理人的研究优势，在分析和判断宏观经济周期和金融市场运行趋势的基础上，运用修正后的投资时钟分析框架，自上而下调整基金大类资产配置，确定债券组合久期和债券类别配置；在严谨深入的股票和债券研究分析基础上，自下而上精选个券；在保持总体风险水平相对稳定的基础上，力争获取投资</w:t>
      </w:r>
      <w:r>
        <w:rPr>
          <w:rFonts w:ascii="宋体" w:hAnsi="宋体"/>
          <w:sz w:val="24"/>
        </w:rPr>
        <w:lastRenderedPageBreak/>
        <w:t>组合的较高回报。</w:t>
      </w:r>
    </w:p>
    <w:p w14:paraId="2A09BD8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1、大类资产配置</w:t>
      </w:r>
    </w:p>
    <w:p w14:paraId="52B94FC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利用经交银施罗德研究团队修正后的投资时钟分析框架，通过“自上而下”的定性分析和定量分析相结合形成对不同资产市场表现的预测和判断，确定基金资产在沪深A股、港股、债券及货币市场工具等各类别资产间的分配比例，并随着各类证券风险收益特征的相对变化，在基金合同约定的范围内动态调整组合中各类资产的比例，以规避或控制市场风险，提高基金收益率。</w:t>
      </w:r>
    </w:p>
    <w:p w14:paraId="2A35FCF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2、股票投资策略</w:t>
      </w:r>
    </w:p>
    <w:p w14:paraId="7436D67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主要运用交银施罗德股票研究分析方法等投资分析工具，在把握宏观经济运行趋势和股票市场行业轮动的基础上，充分发挥公司股票研究团队“自下而上”的主动选股能力，基于对个股深入的基本面研究和细致的实地调研，精选股票构建股票投资组合。</w:t>
      </w:r>
    </w:p>
    <w:p w14:paraId="76CD7BC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（1）具有核心资产的公司股票的界定</w:t>
      </w:r>
    </w:p>
    <w:p w14:paraId="44133DB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所称具有“核心资产”的公司是指公司在历史诚信记录良好的基础上，具有专注提升公司主营业务的特定垄断资源、不可替代性技术的生产或经营条件等可推动公司可持续发展的核心竞争力。本基金对上市公司的“核心资产”主要从以下几个方面进行考量：</w:t>
      </w:r>
    </w:p>
    <w:p w14:paraId="3133720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1）研发创新能力</w:t>
      </w:r>
    </w:p>
    <w:p w14:paraId="1DA9E9C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具备突出的研发创新能力，同时拥有技术转换、技术保护能力，提高生产效率、保持产品差异性，这种内在的增长动力可随外部环境变化做出快速反应，赋予公司强大的竞争优势、带来专业技术壁垒，一定时期内难以被其他竞争对手模仿、替代或超越。</w:t>
      </w:r>
    </w:p>
    <w:p w14:paraId="1A7B625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2）特定垄断资源</w:t>
      </w:r>
    </w:p>
    <w:p w14:paraId="0A77BF8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特定资源的垄断性开发、经营或使用权，如生产原材料、交通条件、信息条件等，还包括公司所独有的政策条件，如享有政策优惠待遇等，这些垄断优势与稀缺性资源能赋予公司得天独厚的竞争优势。</w:t>
      </w:r>
    </w:p>
    <w:p w14:paraId="2EFA77E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3）成本优势</w:t>
      </w:r>
    </w:p>
    <w:p w14:paraId="59D7A48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成本优势主要指公司具有较强议价能力、规模效益等优势，能以更低的价格参与市场竞争，使客户可以以较少的支出获得更多的产品和服务，提高公司的市场占有率。</w:t>
      </w:r>
    </w:p>
    <w:p w14:paraId="40D08CD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4）品牌影响力</w:t>
      </w:r>
    </w:p>
    <w:p w14:paraId="1BB6EE5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品牌影响力反应了消费者对品牌的认可程度，优秀的品牌拥有诚信度、知名度、美誉度等，是给公司带来溢价、产生增值的一种无形资产。强大的品牌影响力使得公司拥有行业领军的市场份额和广阔的增长远景。</w:t>
      </w:r>
    </w:p>
    <w:p w14:paraId="53E347B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以核心资产为主题，本基金将重点配置相关行业中拥有上述核心资源或技术的上市公司发行的股票。</w:t>
      </w:r>
    </w:p>
    <w:p w14:paraId="514320D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同时，本基金将对有关公司的发展进行密切跟踪，随着公司的不断发展，相关上市公司的范围也会相应改变，本基金在履行适当程序后可调整上述界定标准。本基金由于上述原因调整界定范围应及时告知基金托管人，并在更新的招募说明书中进行公告。</w:t>
      </w:r>
    </w:p>
    <w:p w14:paraId="174F4DB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（2）个股投资策略</w:t>
      </w:r>
    </w:p>
    <w:p w14:paraId="58644F9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1）品质筛选</w:t>
      </w:r>
    </w:p>
    <w:p w14:paraId="1B4F7C2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筛选出在公司治理、财务及管理品质上符合基本品质要求的公司，构建备选股票池。主要筛选指标包括：</w:t>
      </w:r>
    </w:p>
    <w:p w14:paraId="535B960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盈利能力指标：如市盈率（P/E）、市现率（P/Cash Flow）、股价与每股自由现金流比率（P/FCF）、市销率（P/S）、股价与每股息税前利润比率（P/EBIT）等；</w:t>
      </w:r>
    </w:p>
    <w:p w14:paraId="7B974F8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经营效率指标：如净资产收益率（ROE）、资产收益率（ROA）、经营资产回报率（Return on operating assets）等；</w:t>
      </w:r>
    </w:p>
    <w:p w14:paraId="76D3B93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财务状况指标：如资产负债率（D/A）、流动比率等。</w:t>
      </w:r>
    </w:p>
    <w:p w14:paraId="3375BA3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2）价值评估</w:t>
      </w:r>
    </w:p>
    <w:p w14:paraId="4675A93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股票估值水平的高低将最终决定投资回报率的高低。由于驱动公司价值创造的因素不同，本基金将借鉴市场通用估值理念，针对不同类型公司以及公司发展中所处的不同阶段，采用不同的价值评估指标对公司的内在价值进行评估，筛选出估值具有吸引力的公司作为投资目标。</w:t>
      </w:r>
    </w:p>
    <w:p w14:paraId="2AE9AFF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（3）港股通标的股票投资策略</w:t>
      </w:r>
    </w:p>
    <w:p w14:paraId="62119DA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本基金可通过内地与香港股票市场交易互联互通机制投资于香港股票市场。本基金将遵循核心资产相关股票的投资策略，优先将基本面健康、业绩向上弹性较大、具有估值优势的港股纳入本基金的股票投资组合。</w:t>
      </w:r>
    </w:p>
    <w:p w14:paraId="58D91B1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最后，本基金根据对个股价值的评估和市场机会的判断构建股票组合，其中投</w:t>
      </w:r>
      <w:r>
        <w:rPr>
          <w:rFonts w:ascii="宋体" w:hAnsi="宋体"/>
          <w:sz w:val="24"/>
        </w:rPr>
        <w:lastRenderedPageBreak/>
        <w:t>资于核心资产主题相关证券的比例不低于非现金基金资产的80%。</w:t>
      </w:r>
    </w:p>
    <w:p w14:paraId="1BF0B63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（4）存托凭证的投资策略</w:t>
      </w:r>
    </w:p>
    <w:p w14:paraId="7C8A4D2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本基金投资存托凭证的策略依照境内上市交易的股票投资策略执行。</w:t>
      </w:r>
    </w:p>
    <w:p w14:paraId="60BF3C8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3、债券投资策略</w:t>
      </w:r>
    </w:p>
    <w:p w14:paraId="2381825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本基金的债券投资采取主动的投资管理方式，获得与风险相匹配的投资收益，以实现在一定程度上规避股票市场的系统性风险和保证基金资产的流动性。</w:t>
      </w:r>
    </w:p>
    <w:p w14:paraId="3A7172F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运用久期控制策略、期限结构配置策略、类属配置策略、骑乘策略、杠杆放大策略和换券等多种策略，获取债券市场的长期稳定收益。</w:t>
      </w:r>
    </w:p>
    <w:p w14:paraId="2D54F64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4、权证投资策略</w:t>
      </w:r>
    </w:p>
    <w:p w14:paraId="2F79D02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权证投资以权证的市场价值分析为基础，配以权证定价模型寻求其合理估值水平，以主动式的科学投资管理为手段，充分考虑权证资产的收益性、流动性及风险性特征，通过资产配置、品种与类属选择，追求基金资产稳定的当期收益。</w:t>
      </w:r>
    </w:p>
    <w:p w14:paraId="6F32218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5、资产支持证券投资策略</w:t>
      </w:r>
    </w:p>
    <w:p w14:paraId="713D4A4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14:paraId="57585B6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6、股指期货投资策略</w:t>
      </w:r>
    </w:p>
    <w:p w14:paraId="73B6E91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14:paraId="4B17ED9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14:paraId="7001BD19"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（四）投资限制</w:t>
      </w:r>
    </w:p>
    <w:p w14:paraId="0DC057B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1、组合限制</w:t>
      </w:r>
    </w:p>
    <w:p w14:paraId="26F246E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基金的投资组合应遵循以下限制：</w:t>
      </w:r>
    </w:p>
    <w:p w14:paraId="3797A91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股票投资（含存托凭证）占基金资产的比例为50%-95%(其中，投资于内地依法发行上市的股票的比例占基金资产的50-95%，投资于港股通标的股票的比例占股票资产的0-50%），其中投资于核心资产主题相关证券的比例不低于非现金基金资产的80%；</w:t>
      </w:r>
    </w:p>
    <w:p w14:paraId="503EE3F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（2）每个交易日日终在扣除股指期货合约需缴纳的交易保证金后，保持不低于基金资产净值5%的现金或者到期日在一年以内的政府债券，其中现金不包括结算备付金、存出保证金、应收申购款等；</w:t>
      </w:r>
    </w:p>
    <w:p w14:paraId="17BD852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（3）本基金持有一家公司发行的证券（同一家公司在内地和香港同时上市的A+H 股合计计算），其市值不超过基金资产净值的10%；</w:t>
      </w:r>
    </w:p>
    <w:p w14:paraId="5CAA090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（4）本基金管理人管理的全部基金持有一家公司发行的证券（同一家公司在内地和香港同时上市的A+H 股合计计算），不超过该证券的10%；</w:t>
      </w:r>
    </w:p>
    <w:p w14:paraId="02282B0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（5）本基金持有的全部权证，其市值不得超过基金资产净值的3%；</w:t>
      </w:r>
    </w:p>
    <w:p w14:paraId="5A087AB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（6）本基金管理人管理的全部基金持有的同一权证，不得超过该权证的10%；</w:t>
      </w:r>
    </w:p>
    <w:p w14:paraId="1257EAD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（7）本基金在任何交易日买入权证的总金额，不得超过上一交易日基金资产净值的0.5%；</w:t>
      </w:r>
    </w:p>
    <w:p w14:paraId="51D9F5D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31B996A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主动投资于流动性受限资产的市值合计不得超过本基金资产净值的15%；因证券市场波动、上市公司股票停牌、基金规模变动等基金管理人之外的因素致使基金不符合该比例限制的，基金管理人不得主动新增流动性受限资产的投资；</w:t>
      </w:r>
    </w:p>
    <w:p w14:paraId="37D5FC3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（10）本基金与私募类证券资管产品及中国证监会认定的其他主体为交易对手开展逆回购交易的，可接受质押品的资质要求应当与基金合同约定的投资范围保持一致；</w:t>
      </w:r>
    </w:p>
    <w:p w14:paraId="273A42A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（11）本基金投资于同一原始权益人的各类资产支持证券的比例，不得超过基金资产净值的10%；</w:t>
      </w:r>
    </w:p>
    <w:p w14:paraId="011C6EC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（12）本基金持有的全部资产支持证券，其市值不得超过基金资产净值的20%；</w:t>
      </w:r>
    </w:p>
    <w:p w14:paraId="3AD31EF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（13）本基金持有的同一（指同一信用级别）资产支持证券的比例，不得超过该资产支持证券规模的10%；</w:t>
      </w:r>
    </w:p>
    <w:p w14:paraId="5057AC9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（14）本基金管理人管理的全部基金投资于同一原始权益人的各类资产支持证券，不得超过其各类资产支持证券合计规模的10%；</w:t>
      </w:r>
    </w:p>
    <w:p w14:paraId="4E841CE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（15）本基金应投资于信用级别评级为BBB以上（含BBB）的资产支持证券。基金持有资产支持证券期间，如果其信用等级下降、不再符合投资标准，应在评级报告发布之日起3个月内予以全部卖出；</w:t>
      </w:r>
    </w:p>
    <w:p w14:paraId="3D54B44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（16）基金财产参与股票发行申购，本基金所申报的金额不超过本基金的总资产，本基金所申报的股票数量不超过拟发行股票公司本次发行股票的总量；</w:t>
      </w:r>
    </w:p>
    <w:p w14:paraId="7595387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（17）本基金进入全国银行间同业市场进行债券回购的资金余额不得超过基金资产净值的40%，本基金在全国银行间同业市场中的债券回购最长期限为1年，债券回购到期后不得展期；</w:t>
      </w:r>
    </w:p>
    <w:p w14:paraId="78A45FA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（18）本基金参与股指期货交易，则：</w:t>
      </w:r>
    </w:p>
    <w:p w14:paraId="54F5B66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1）本基金在任何交易日日终，持有的买入股指期货合约价值，不得超过基金资产净值的10%；</w:t>
      </w:r>
    </w:p>
    <w:p w14:paraId="71642EB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在任何交易日日终，持有的买入股指期货合约价值与有价证券市值之和，不得超过基金资产净值的95%。其中，有价证券指股票、债券（不含到期日在一年以内的政府债券）、权证、资产支持证券、买入返售金融资产（不含质押式回购）等；</w:t>
      </w:r>
    </w:p>
    <w:p w14:paraId="2B61086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3）本基金在任何交易日日终，持有的卖出股指期货合约价值不得超过基金持有的股票总市值的20%；</w:t>
      </w:r>
    </w:p>
    <w:p w14:paraId="448B72A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4）本基金所持有的股票市值和买入、卖出股指期货合约价值，合计（轧差计算）应当符合基金合同关于股票投资比例的有关约定；</w:t>
      </w:r>
    </w:p>
    <w:p w14:paraId="34B9CBA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5）本基金在任何交易日内交易（不包括平仓）的股指期货合约的成交金额不得超过上一交易日基金资产净值的20%；</w:t>
      </w:r>
    </w:p>
    <w:p w14:paraId="56C6A9D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（19）本基金的基金资产总值不得超过基金资产净值的140%；</w:t>
      </w:r>
    </w:p>
    <w:p w14:paraId="1E6EBE0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（20）本基金投资存托凭证的比例限制依照境内上市交易的股票执行；</w:t>
      </w:r>
    </w:p>
    <w:p w14:paraId="197DD8D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（21）法律法规及中国证监会规定的和《基金合同》约定的其他投资限制。</w:t>
      </w:r>
    </w:p>
    <w:p w14:paraId="0BF5252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第（2）项、第（9）项、第（10）项、第（15）项以外，因证券、期货市场波动、证券发行人合并或基金规模变动等基金管理人之外的因素致使基金投资比例不符合上述规定投资比例的，基金管理人应当在10个交易日内进行调整，但中国证监会规定的特殊情形除外。法律法规另有规定的，从其规定。</w:t>
      </w:r>
    </w:p>
    <w:p w14:paraId="569DEEC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法律法规或监管部门另有规定的，从其规定。</w:t>
      </w:r>
    </w:p>
    <w:p w14:paraId="03DD297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上述投资组合限制条款中，若属法律法规或监管部门的强制性规定，则当法律法规或监管部门取消或修改上述限制，如适用于本基金，基金管理人在履行适当程序后，本基金投资所受限制相应调整或取消。</w:t>
      </w:r>
    </w:p>
    <w:p w14:paraId="568BD14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2、禁止行为</w:t>
      </w:r>
    </w:p>
    <w:p w14:paraId="4CE7987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为维护基金份额持有人的合法权益，基金财产不得用于下列投资或者活动：</w:t>
      </w:r>
    </w:p>
    <w:p w14:paraId="6BD0A54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（1）承销证券；</w:t>
      </w:r>
    </w:p>
    <w:p w14:paraId="3E61A0C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（2）违反规定向他人贷款或者提供担保；</w:t>
      </w:r>
    </w:p>
    <w:p w14:paraId="4261180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（3）从事承担无限责任的投资；</w:t>
      </w:r>
    </w:p>
    <w:p w14:paraId="21E2BCE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（4）买卖其他基金份额，但是中国证监会另有规定的除外；</w:t>
      </w:r>
    </w:p>
    <w:p w14:paraId="12768C6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（5）向其基金管理人、基金托管人出资；</w:t>
      </w:r>
    </w:p>
    <w:p w14:paraId="68F5A0D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（6）从事内幕交易、操纵证券交易价格及其他不正当的证券交易活动；</w:t>
      </w:r>
    </w:p>
    <w:p w14:paraId="3227316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（7）法律、行政法规和中国证监会规定禁止的其他活动。</w:t>
      </w:r>
    </w:p>
    <w:p w14:paraId="249E9D6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如法律、行政法规或监管部门取消上述禁止性规定，如适用于本基金，基金管理人在履行适当程序后，本基金可不受上述规定的限制。</w:t>
      </w:r>
    </w:p>
    <w:p w14:paraId="7409244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w:t>
      </w:r>
      <w:r>
        <w:rPr>
          <w:rFonts w:ascii="宋体" w:hAnsi="宋体"/>
          <w:sz w:val="24"/>
        </w:rPr>
        <w:lastRenderedPageBreak/>
        <w:t>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DC08F0F"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（五）业绩比较基准</w:t>
      </w:r>
    </w:p>
    <w:p w14:paraId="7F3CE3D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沪深300指数收益率×50%+恒生指数收益率×30%+中证综合债券指数收益率×20%</w:t>
      </w:r>
    </w:p>
    <w:p w14:paraId="5DFD0A6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沪深300指数是沪深证券交易所第一次联合发布的反映A股市场整体走势的指数，由中证指数有限公司编制和维护，是在上海和深圳证券市场中选取300只A股作为样本编制而成。该指数样本对沪深市场的覆盖度高，具有良好的市场代表性，投资者可以方便地从报纸、互联网等财经媒体中获取。沪深300指数引进国际指数编制和管理的经验，编制方法清晰透明，具有独立性和良好的市场流动性；与市场整体表现具有较高的相关度，且指数历史表现强于市场平均收益水平，适合作为本基金A股资产投资的业绩比较基准。</w:t>
      </w:r>
    </w:p>
    <w:p w14:paraId="4F84782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恒生指数是由恒生指数服务有限公司编制，以香港股票市场中的50 家上市股票为成份股样本，以其发行量为权数的加权平均股价指数，是反映香港股市价幅趋势最有影响的一种股价指数，适合作为本基金港股资产投资的业绩比较基准。</w:t>
      </w:r>
    </w:p>
    <w:p w14:paraId="2802DB4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证综合债券指数是综合反映银行间债券市场和沪深交易所债券市场国债、金融债、企业债、央行票据及短期融资券整体走势的跨市场债券指数，该指数旨在更全面地反映我国债券市场的整体价格变动趋势，具有较强的市场代表性，适合作为本基金债券资产投资的业绩比较基准。</w:t>
      </w:r>
    </w:p>
    <w:p w14:paraId="10A3A5A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根据本基金的投资范围和投资比例，选用上述业绩比较基准能够客观、合理地反映本基金的风险收益特征。</w:t>
      </w:r>
    </w:p>
    <w:p w14:paraId="71162C7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w:t>
      </w:r>
    </w:p>
    <w:p w14:paraId="7AB3B6CD"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（六）风险收益特征</w:t>
      </w:r>
    </w:p>
    <w:p w14:paraId="5B78C8E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本基金是一只混合型基金，其预期风险和预期收益高于债券型基金和货币市场基金，低于股票型基金。</w:t>
      </w:r>
    </w:p>
    <w:p w14:paraId="43BF946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本基金可投资港股通标的股票，会面临港股通机制下因投资环境、投资标的、市场制度以及交易规则等差异带来的特有风险。</w:t>
      </w:r>
    </w:p>
    <w:p w14:paraId="27AC97B2"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（七）基金管理人代表基金行使股东及债权人权利的处理原则及方法</w:t>
      </w:r>
    </w:p>
    <w:p w14:paraId="2344599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1、基金管理人按照国家有关规定代表基金独立行使股东及债权人权利，保护基金份额持有人的利益；</w:t>
      </w:r>
    </w:p>
    <w:p w14:paraId="102CB13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2、不谋求对上市公司的控股，不参与所投资上市公司的经营管理；</w:t>
      </w:r>
    </w:p>
    <w:p w14:paraId="1D987FC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3、有利于基金财产的安全与增值；</w:t>
      </w:r>
    </w:p>
    <w:p w14:paraId="7E69B59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4、不通过关联交易为自身、雇员、授权代理人或任何存在利害关系的第三人牟取任何不当利益。</w:t>
      </w:r>
    </w:p>
    <w:p w14:paraId="321551E5" w14:textId="77777777" w:rsidR="002A6BBD" w:rsidRPr="00A302AC" w:rsidRDefault="00C86CDB" w:rsidP="002A6BBD">
      <w:pPr>
        <w:autoSpaceDE w:val="0"/>
        <w:autoSpaceDN w:val="0"/>
        <w:adjustRightInd w:val="0"/>
        <w:snapToGrid w:val="0"/>
        <w:spacing w:line="360" w:lineRule="auto"/>
        <w:ind w:firstLineChars="200" w:firstLine="482"/>
        <w:jc w:val="left"/>
        <w:rPr>
          <w:rFonts w:ascii="宋体" w:hAnsi="宋体"/>
          <w:b/>
          <w:kern w:val="0"/>
          <w:sz w:val="24"/>
        </w:rPr>
      </w:pPr>
      <w:r w:rsidRPr="00BB248E">
        <w:rPr>
          <w:rFonts w:ascii="宋体" w:hAnsi="宋体" w:hint="eastAsia"/>
          <w:b/>
          <w:kern w:val="0"/>
          <w:sz w:val="24"/>
        </w:rPr>
        <w:t>（八）</w:t>
      </w:r>
      <w:r w:rsidR="002A6BBD" w:rsidRPr="00A302AC">
        <w:rPr>
          <w:rFonts w:ascii="宋体" w:hAnsi="宋体" w:hint="eastAsia"/>
          <w:b/>
          <w:kern w:val="0"/>
          <w:sz w:val="24"/>
        </w:rPr>
        <w:t>侧袋机制的实施和投资运作安排</w:t>
      </w:r>
    </w:p>
    <w:p w14:paraId="76F38B4A" w14:textId="77777777" w:rsidR="002A6BBD" w:rsidRPr="00A302AC" w:rsidRDefault="002A6BBD" w:rsidP="002A6BBD">
      <w:pPr>
        <w:autoSpaceDE w:val="0"/>
        <w:autoSpaceDN w:val="0"/>
        <w:adjustRightInd w:val="0"/>
        <w:snapToGrid w:val="0"/>
        <w:spacing w:line="360" w:lineRule="auto"/>
        <w:ind w:firstLineChars="200" w:firstLine="480"/>
        <w:jc w:val="left"/>
        <w:rPr>
          <w:rFonts w:ascii="宋体" w:hAnsi="宋体"/>
          <w:sz w:val="24"/>
        </w:rPr>
      </w:pPr>
      <w:r w:rsidRPr="00A302AC">
        <w:rPr>
          <w:rFonts w:ascii="宋体" w:hAnsi="宋体" w:hint="eastAsia"/>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7833928F" w14:textId="77777777" w:rsidR="002A6BBD" w:rsidRPr="00A302AC" w:rsidRDefault="002A6BBD" w:rsidP="002A6BBD">
      <w:pPr>
        <w:autoSpaceDE w:val="0"/>
        <w:autoSpaceDN w:val="0"/>
        <w:adjustRightInd w:val="0"/>
        <w:snapToGrid w:val="0"/>
        <w:spacing w:line="360" w:lineRule="auto"/>
        <w:ind w:firstLineChars="200" w:firstLine="480"/>
        <w:jc w:val="left"/>
        <w:rPr>
          <w:rFonts w:ascii="宋体" w:hAnsi="宋体"/>
          <w:sz w:val="24"/>
        </w:rPr>
      </w:pPr>
      <w:r w:rsidRPr="00A302AC">
        <w:rPr>
          <w:rFonts w:ascii="宋体" w:hAnsi="宋体" w:hint="eastAsia"/>
          <w:sz w:val="24"/>
        </w:rPr>
        <w:t>侧袋机制实施期间，本部分约定的投资组合比例、投资策略、组合限制、业绩比较基准、风险收益特征等约定仅适用于主袋账户。</w:t>
      </w:r>
    </w:p>
    <w:p w14:paraId="6D8A81BD" w14:textId="77777777" w:rsidR="002A6BBD" w:rsidRDefault="002A6BBD" w:rsidP="002A6BBD">
      <w:pPr>
        <w:autoSpaceDE w:val="0"/>
        <w:autoSpaceDN w:val="0"/>
        <w:adjustRightInd w:val="0"/>
        <w:snapToGrid w:val="0"/>
        <w:spacing w:line="360" w:lineRule="auto"/>
        <w:ind w:firstLineChars="200" w:firstLine="480"/>
        <w:jc w:val="left"/>
        <w:rPr>
          <w:rFonts w:ascii="宋体" w:hAnsi="宋体"/>
          <w:b/>
          <w:kern w:val="0"/>
          <w:sz w:val="24"/>
        </w:rPr>
      </w:pPr>
      <w:r w:rsidRPr="00A302AC">
        <w:rPr>
          <w:rFonts w:ascii="宋体" w:hAnsi="宋体" w:hint="eastAsia"/>
          <w:sz w:val="24"/>
        </w:rPr>
        <w:t>侧袋账户的实施条件、实施程序、运作安排、投资安排、特定资产的处置变现和支付等对投资者权益有重大影响的事项详见本招募说明书“侧袋机制”部分的规定。</w:t>
      </w:r>
    </w:p>
    <w:p w14:paraId="3869A2E7" w14:textId="75A0315C" w:rsidR="001430E9" w:rsidRDefault="002A6BBD" w:rsidP="002A6BBD">
      <w:pPr>
        <w:autoSpaceDE w:val="0"/>
        <w:autoSpaceDN w:val="0"/>
        <w:adjustRightInd w:val="0"/>
        <w:snapToGrid w:val="0"/>
        <w:spacing w:line="360" w:lineRule="auto"/>
        <w:ind w:firstLineChars="200" w:firstLine="482"/>
        <w:jc w:val="left"/>
        <w:rPr>
          <w:rFonts w:ascii="宋体" w:hAnsi="宋体"/>
          <w:szCs w:val="24"/>
        </w:rPr>
      </w:pPr>
      <w:r>
        <w:rPr>
          <w:rFonts w:ascii="宋体" w:hAnsi="宋体" w:hint="eastAsia"/>
          <w:b/>
          <w:kern w:val="0"/>
          <w:sz w:val="24"/>
        </w:rPr>
        <w:t>（九）</w:t>
      </w:r>
      <w:r w:rsidR="00C86CDB" w:rsidRPr="00BB248E">
        <w:rPr>
          <w:rFonts w:ascii="宋体" w:hAnsi="宋体" w:hint="eastAsia"/>
          <w:b/>
          <w:kern w:val="0"/>
          <w:sz w:val="24"/>
        </w:rPr>
        <w:t>投资决策依据和投资流程</w:t>
      </w:r>
    </w:p>
    <w:p w14:paraId="479B416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1、投资决策依据</w:t>
      </w:r>
    </w:p>
    <w:p w14:paraId="2A29AD5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（1）国家有关法律法规和基金合同的有关规定；</w:t>
      </w:r>
    </w:p>
    <w:p w14:paraId="1BEBCC0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（2）公司投资及风险控制政策；</w:t>
      </w:r>
    </w:p>
    <w:p w14:paraId="3FFF183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（3）宏观经济发展态势、证券市场运行环境和走势，以及上市公司的基本面；</w:t>
      </w:r>
    </w:p>
    <w:p w14:paraId="384FB5A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（4）投资对象的预期收益和预期风险的匹配关系，本基金将在承担适度风险的范围内，选择收益风险配比最佳的品种进行投资。</w:t>
      </w:r>
    </w:p>
    <w:p w14:paraId="64F8240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2、投资决策机制</w:t>
      </w:r>
    </w:p>
    <w:p w14:paraId="1E8A028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投资决策委员会领导下的基金经理负责制。投资决策委员会的主要职责是对基金的资产配置提出指导性意见，审批重大单项投资决定，审视投资组合风险状况等。投资总监是投资决策委员会的执行代表。</w:t>
      </w:r>
    </w:p>
    <w:p w14:paraId="2F8F7F1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基金经理的主要职责是在投资决策委员会确定的资产配置范围内构建和调整投资组合，并向中央交易室下达投资指令。</w:t>
      </w:r>
    </w:p>
    <w:p w14:paraId="2F0B2F8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中央交易室负责交易执行和一线监控。通过严格的交易制度和实时的一线监控功能，保证基金经理的投资指令在合法、合规的前提下得到高效的执行。</w:t>
      </w:r>
    </w:p>
    <w:p w14:paraId="5B2A50C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3、投资管理流程</w:t>
      </w:r>
    </w:p>
    <w:p w14:paraId="01692E1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决策委员会是本基金的最高决策机构，投资决策委员会定期就投资管理业务的重大问题进行讨论。基金经理、分析师、交易员在投资管理过程中既密切合作，又责任明确，在各自职责内按照业务程序独立工作并合理地相互制衡。具体的投资管理程序如下：</w:t>
      </w:r>
    </w:p>
    <w:p w14:paraId="3B192B3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（1）研究部宏观分析师、策略分析师、行业分析师、信用分析师、数量分析师各自独立完成相应的研究报告，为投资决策提供依据；</w:t>
      </w:r>
    </w:p>
    <w:p w14:paraId="4F9C1CD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（2）投资决策委员会每月召开投资决策会议，对资产配置比例提出指导性意见，并讨论股票、债券的投资重点等；</w:t>
      </w:r>
    </w:p>
    <w:p w14:paraId="330C834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经理根据投资决策委员会决议，依据宏观分析师、策略分析师的宏观经济分析和策略建议、行业分析师的行业分析和个股研究、信用分析师的债券市场研究和券种选择、数量分析师的定量投资策略研究，结合本基金产品定位及风险控制的要求，在权限范围内制定具体的投资组合方案；</w:t>
      </w:r>
    </w:p>
    <w:p w14:paraId="02154D0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（4）基金经理根据基金投资组合方案，向中央交易室下达交易指令；</w:t>
      </w:r>
    </w:p>
    <w:p w14:paraId="0639DB2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（5）交易指令通过风控系统的自动合规核查后，由中央交易室执行，中央交易室对交易情况及时反馈；</w:t>
      </w:r>
    </w:p>
    <w:p w14:paraId="7498D1B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（6）基金经理对每日交易执行情况进行回顾，并审视基金投资组合的变动情况；</w:t>
      </w:r>
    </w:p>
    <w:p w14:paraId="25B3327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（7）风险管理部定期完成有关投资风险监控报告，量化投资部定期完成基金业绩评估报告。</w:t>
      </w:r>
    </w:p>
    <w:p w14:paraId="66A2EE3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投资决策委员会有权根据市场变化和实际情况的需要，对上述投资管理程序作出调整。</w:t>
      </w:r>
    </w:p>
    <w:p w14:paraId="139AAE85" w14:textId="7A67BD18"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w:t>
      </w:r>
      <w:r w:rsidR="002A6BBD">
        <w:rPr>
          <w:rFonts w:ascii="宋体" w:hAnsi="宋体" w:hint="eastAsia"/>
          <w:b/>
          <w:kern w:val="0"/>
          <w:sz w:val="24"/>
        </w:rPr>
        <w:t>十</w:t>
      </w:r>
      <w:r w:rsidRPr="00BB248E">
        <w:rPr>
          <w:rFonts w:ascii="宋体" w:hAnsi="宋体" w:hint="eastAsia"/>
          <w:b/>
          <w:kern w:val="0"/>
          <w:sz w:val="24"/>
        </w:rPr>
        <w:t>）基金投资组合报告</w:t>
      </w:r>
    </w:p>
    <w:p w14:paraId="3025F0A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基金管理人的董事会及董事保证本报告所载资料不存在虚假记载、误导性陈述或重大遗漏，并对其内容的真实性、准确性和完整性承担个别及连带责任。</w:t>
      </w:r>
    </w:p>
    <w:p w14:paraId="3A8EAD7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基金托管人中国农业银行股份有限公司根据本基金合同规定，于2023年04月20</w:t>
      </w:r>
      <w:r>
        <w:rPr>
          <w:rFonts w:ascii="宋体" w:hAnsi="宋体"/>
          <w:sz w:val="24"/>
        </w:rPr>
        <w:lastRenderedPageBreak/>
        <w:t>日复核了本报告中的财务指标、净值表现和投资组合报告等内容，保证复核内容不存在虚假记载、误导性陈述或者重大遗漏。</w:t>
      </w:r>
    </w:p>
    <w:p w14:paraId="0EA22DF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本报告期自2023年01月01日起至03月31日止。本报告财务资料未经审计师审计。</w:t>
      </w:r>
    </w:p>
    <w:p w14:paraId="7ECA0DE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1、报告期末基金资产组合情况</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1430E9" w14:paraId="5A44182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14:paraId="288376F0"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567694F3"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项目</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1E3D1E39"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14:paraId="29BD326C"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占基金总资产的比例（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1430E9" w14:paraId="083B2A6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1604002"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64842F0B"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权益投资</w:t>
            </w:r>
          </w:p>
        </w:tc>
        <w:tc>
          <w:tcPr>
            <w:tcW w:w="750" w:type="pct"/>
            <w:tcBorders>
              <w:top w:val="single" w:sz="4" w:space="0" w:color="auto"/>
              <w:left w:val="single" w:sz="4" w:space="0" w:color="auto"/>
              <w:bottom w:val="single" w:sz="4" w:space="0" w:color="auto"/>
              <w:right w:val="single" w:sz="4" w:space="0" w:color="auto"/>
            </w:tcBorders>
            <w:vAlign w:val="center"/>
          </w:tcPr>
          <w:p w14:paraId="3E0D9A2E"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50,446,840.86</w:t>
            </w:r>
          </w:p>
        </w:tc>
        <w:tc>
          <w:tcPr>
            <w:tcW w:w="400" w:type="pct"/>
            <w:tcBorders>
              <w:top w:val="single" w:sz="4" w:space="0" w:color="auto"/>
              <w:left w:val="single" w:sz="4" w:space="0" w:color="auto"/>
              <w:bottom w:val="single" w:sz="4" w:space="0" w:color="auto"/>
              <w:right w:val="single" w:sz="4" w:space="0" w:color="auto"/>
            </w:tcBorders>
            <w:vAlign w:val="center"/>
          </w:tcPr>
          <w:p w14:paraId="2AE0AC35"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87.11</w:t>
            </w:r>
          </w:p>
        </w:tc>
      </w:tr>
      <w:tr w:rsidR="001430E9" w14:paraId="1DC44D0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0D646EC" w14:textId="77777777" w:rsidR="001430E9" w:rsidRDefault="001430E9">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176BAA99"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其中：股票</w:t>
            </w:r>
          </w:p>
        </w:tc>
        <w:tc>
          <w:tcPr>
            <w:tcW w:w="750" w:type="pct"/>
            <w:tcBorders>
              <w:top w:val="single" w:sz="4" w:space="0" w:color="auto"/>
              <w:left w:val="single" w:sz="4" w:space="0" w:color="auto"/>
              <w:bottom w:val="single" w:sz="4" w:space="0" w:color="auto"/>
              <w:right w:val="single" w:sz="4" w:space="0" w:color="auto"/>
            </w:tcBorders>
            <w:vAlign w:val="center"/>
          </w:tcPr>
          <w:p w14:paraId="187C6169"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50,446,840.86</w:t>
            </w:r>
          </w:p>
        </w:tc>
        <w:tc>
          <w:tcPr>
            <w:tcW w:w="400" w:type="pct"/>
            <w:tcBorders>
              <w:top w:val="single" w:sz="4" w:space="0" w:color="auto"/>
              <w:left w:val="single" w:sz="4" w:space="0" w:color="auto"/>
              <w:bottom w:val="single" w:sz="4" w:space="0" w:color="auto"/>
              <w:right w:val="single" w:sz="4" w:space="0" w:color="auto"/>
            </w:tcBorders>
            <w:vAlign w:val="center"/>
          </w:tcPr>
          <w:p w14:paraId="76B1CAF7"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87.11</w:t>
            </w:r>
          </w:p>
        </w:tc>
      </w:tr>
      <w:tr w:rsidR="001430E9" w14:paraId="407DE9B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ECCFE83"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694C94B2"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基金投资</w:t>
            </w:r>
          </w:p>
        </w:tc>
        <w:tc>
          <w:tcPr>
            <w:tcW w:w="750" w:type="pct"/>
            <w:tcBorders>
              <w:top w:val="single" w:sz="4" w:space="0" w:color="auto"/>
              <w:left w:val="single" w:sz="4" w:space="0" w:color="auto"/>
              <w:bottom w:val="single" w:sz="4" w:space="0" w:color="auto"/>
              <w:right w:val="single" w:sz="4" w:space="0" w:color="auto"/>
            </w:tcBorders>
            <w:vAlign w:val="center"/>
          </w:tcPr>
          <w:p w14:paraId="39F157D7"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7AC3B183"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1430E9" w14:paraId="31C02CA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97B3C4A"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47C4A891"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固定收益投资</w:t>
            </w:r>
          </w:p>
        </w:tc>
        <w:tc>
          <w:tcPr>
            <w:tcW w:w="750" w:type="pct"/>
            <w:tcBorders>
              <w:top w:val="single" w:sz="4" w:space="0" w:color="auto"/>
              <w:left w:val="single" w:sz="4" w:space="0" w:color="auto"/>
              <w:bottom w:val="single" w:sz="4" w:space="0" w:color="auto"/>
              <w:right w:val="single" w:sz="4" w:space="0" w:color="auto"/>
            </w:tcBorders>
            <w:vAlign w:val="center"/>
          </w:tcPr>
          <w:p w14:paraId="5E8399AA"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79AB0A89"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1430E9" w14:paraId="0058CC6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47E828D" w14:textId="77777777" w:rsidR="001430E9" w:rsidRDefault="001430E9">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74631A4F"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其中：债券</w:t>
            </w:r>
          </w:p>
        </w:tc>
        <w:tc>
          <w:tcPr>
            <w:tcW w:w="750" w:type="pct"/>
            <w:tcBorders>
              <w:top w:val="single" w:sz="4" w:space="0" w:color="auto"/>
              <w:left w:val="single" w:sz="4" w:space="0" w:color="auto"/>
              <w:bottom w:val="single" w:sz="4" w:space="0" w:color="auto"/>
              <w:right w:val="single" w:sz="4" w:space="0" w:color="auto"/>
            </w:tcBorders>
            <w:vAlign w:val="center"/>
          </w:tcPr>
          <w:p w14:paraId="18F546A8"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14A45B8C"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1430E9" w14:paraId="6E1C58D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9A623EB" w14:textId="77777777" w:rsidR="001430E9" w:rsidRDefault="001430E9">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25BCD76D"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资产支持证券</w:t>
            </w:r>
          </w:p>
        </w:tc>
        <w:tc>
          <w:tcPr>
            <w:tcW w:w="750" w:type="pct"/>
            <w:tcBorders>
              <w:top w:val="single" w:sz="4" w:space="0" w:color="auto"/>
              <w:left w:val="single" w:sz="4" w:space="0" w:color="auto"/>
              <w:bottom w:val="single" w:sz="4" w:space="0" w:color="auto"/>
              <w:right w:val="single" w:sz="4" w:space="0" w:color="auto"/>
            </w:tcBorders>
            <w:vAlign w:val="center"/>
          </w:tcPr>
          <w:p w14:paraId="58A1256C"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39257C3F"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1430E9" w14:paraId="3B7CC8F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0886B9F"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1C958C01"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贵金属投资</w:t>
            </w:r>
          </w:p>
        </w:tc>
        <w:tc>
          <w:tcPr>
            <w:tcW w:w="750" w:type="pct"/>
            <w:tcBorders>
              <w:top w:val="single" w:sz="4" w:space="0" w:color="auto"/>
              <w:left w:val="single" w:sz="4" w:space="0" w:color="auto"/>
              <w:bottom w:val="single" w:sz="4" w:space="0" w:color="auto"/>
              <w:right w:val="single" w:sz="4" w:space="0" w:color="auto"/>
            </w:tcBorders>
            <w:vAlign w:val="center"/>
          </w:tcPr>
          <w:p w14:paraId="3028C2A7"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26C054AA"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1430E9" w14:paraId="5B5CF2E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D375379"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0E8A2054"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金融衍生品投资</w:t>
            </w:r>
          </w:p>
        </w:tc>
        <w:tc>
          <w:tcPr>
            <w:tcW w:w="750" w:type="pct"/>
            <w:tcBorders>
              <w:top w:val="single" w:sz="4" w:space="0" w:color="auto"/>
              <w:left w:val="single" w:sz="4" w:space="0" w:color="auto"/>
              <w:bottom w:val="single" w:sz="4" w:space="0" w:color="auto"/>
              <w:right w:val="single" w:sz="4" w:space="0" w:color="auto"/>
            </w:tcBorders>
            <w:vAlign w:val="center"/>
          </w:tcPr>
          <w:p w14:paraId="6406E20C"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771AD4A7"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1430E9" w14:paraId="4FD9FEC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7DF0825"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62483BD2"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14:paraId="082BD2F7"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144901E2"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1430E9" w14:paraId="167961B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90F5980" w14:textId="77777777" w:rsidR="001430E9" w:rsidRDefault="001430E9">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5CE97B75"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其中：买断式回购的买入返售金融资产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14:paraId="0432305E"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1476391A"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1430E9" w14:paraId="4CBF734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9A60644"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14:paraId="014B2A4F"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银行存款和结算备付金合计</w:t>
            </w:r>
          </w:p>
        </w:tc>
        <w:tc>
          <w:tcPr>
            <w:tcW w:w="750" w:type="pct"/>
            <w:tcBorders>
              <w:top w:val="single" w:sz="4" w:space="0" w:color="auto"/>
              <w:left w:val="single" w:sz="4" w:space="0" w:color="auto"/>
              <w:bottom w:val="single" w:sz="4" w:space="0" w:color="auto"/>
              <w:right w:val="single" w:sz="4" w:space="0" w:color="auto"/>
            </w:tcBorders>
            <w:vAlign w:val="center"/>
          </w:tcPr>
          <w:p w14:paraId="3BA2D6BE"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7,442,374.45</w:t>
            </w:r>
          </w:p>
        </w:tc>
        <w:tc>
          <w:tcPr>
            <w:tcW w:w="400" w:type="pct"/>
            <w:tcBorders>
              <w:top w:val="single" w:sz="4" w:space="0" w:color="auto"/>
              <w:left w:val="single" w:sz="4" w:space="0" w:color="auto"/>
              <w:bottom w:val="single" w:sz="4" w:space="0" w:color="auto"/>
              <w:right w:val="single" w:sz="4" w:space="0" w:color="auto"/>
            </w:tcBorders>
            <w:vAlign w:val="center"/>
          </w:tcPr>
          <w:p w14:paraId="7114F9C8"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12.85</w:t>
            </w:r>
          </w:p>
        </w:tc>
      </w:tr>
      <w:tr w:rsidR="001430E9" w14:paraId="6A2DE24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7B5595B"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14:paraId="3331E29C"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其他资产</w:t>
            </w:r>
          </w:p>
        </w:tc>
        <w:tc>
          <w:tcPr>
            <w:tcW w:w="750" w:type="pct"/>
            <w:tcBorders>
              <w:top w:val="single" w:sz="4" w:space="0" w:color="auto"/>
              <w:left w:val="single" w:sz="4" w:space="0" w:color="auto"/>
              <w:bottom w:val="single" w:sz="4" w:space="0" w:color="auto"/>
              <w:right w:val="single" w:sz="4" w:space="0" w:color="auto"/>
            </w:tcBorders>
            <w:vAlign w:val="center"/>
          </w:tcPr>
          <w:p w14:paraId="1BCF3964"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25,014.67</w:t>
            </w:r>
          </w:p>
        </w:tc>
        <w:tc>
          <w:tcPr>
            <w:tcW w:w="400" w:type="pct"/>
            <w:tcBorders>
              <w:top w:val="single" w:sz="4" w:space="0" w:color="auto"/>
              <w:left w:val="single" w:sz="4" w:space="0" w:color="auto"/>
              <w:bottom w:val="single" w:sz="4" w:space="0" w:color="auto"/>
              <w:right w:val="single" w:sz="4" w:space="0" w:color="auto"/>
            </w:tcBorders>
            <w:vAlign w:val="center"/>
          </w:tcPr>
          <w:p w14:paraId="77D96613"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0.04</w:t>
            </w:r>
          </w:p>
        </w:tc>
      </w:tr>
      <w:tr w:rsidR="001430E9" w14:paraId="188C8E0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D4FD0D4"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14:paraId="7A0B56F0"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14:paraId="20133431"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57,914,229.98</w:t>
            </w:r>
          </w:p>
        </w:tc>
        <w:tc>
          <w:tcPr>
            <w:tcW w:w="400" w:type="pct"/>
            <w:tcBorders>
              <w:top w:val="single" w:sz="4" w:space="0" w:color="auto"/>
              <w:left w:val="single" w:sz="4" w:space="0" w:color="auto"/>
              <w:bottom w:val="single" w:sz="4" w:space="0" w:color="auto"/>
              <w:right w:val="single" w:sz="4" w:space="0" w:color="auto"/>
            </w:tcBorders>
            <w:vAlign w:val="center"/>
          </w:tcPr>
          <w:p w14:paraId="1BC61126"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w:t>
            </w:r>
          </w:p>
        </w:tc>
      </w:tr>
    </w:tbl>
    <w:p w14:paraId="6330CD3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注：本基金本报告期末通过港股通机制投资香港股票的公允价值为17,988,493.70元，占基金资产净值比例为31.33%。</w:t>
      </w:r>
    </w:p>
    <w:p w14:paraId="623CFBA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2、报告期末按行业分类的股票投资组合</w:t>
      </w:r>
    </w:p>
    <w:p w14:paraId="588E7B7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 报告期末按行业分类的境内股票投资组合</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1430E9" w14:paraId="0E7EC32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14:paraId="6D22BF72"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69175BFE"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行业类别</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4031088C"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14:paraId="3421C491"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1430E9" w14:paraId="54F1B5F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0104AF0"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p>
        </w:tc>
        <w:tc>
          <w:tcPr>
            <w:tcW w:w="750" w:type="pct"/>
            <w:tcBorders>
              <w:top w:val="single" w:sz="4" w:space="0" w:color="auto"/>
              <w:left w:val="single" w:sz="4" w:space="0" w:color="auto"/>
              <w:bottom w:val="single" w:sz="4" w:space="0" w:color="auto"/>
              <w:right w:val="single" w:sz="4" w:space="0" w:color="auto"/>
            </w:tcBorders>
            <w:vAlign w:val="center"/>
          </w:tcPr>
          <w:p w14:paraId="7C17A862"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农、林、牧、渔业</w:t>
            </w:r>
          </w:p>
        </w:tc>
        <w:tc>
          <w:tcPr>
            <w:tcW w:w="750" w:type="pct"/>
            <w:tcBorders>
              <w:top w:val="single" w:sz="4" w:space="0" w:color="auto"/>
              <w:left w:val="single" w:sz="4" w:space="0" w:color="auto"/>
              <w:bottom w:val="single" w:sz="4" w:space="0" w:color="auto"/>
              <w:right w:val="single" w:sz="4" w:space="0" w:color="auto"/>
            </w:tcBorders>
            <w:vAlign w:val="center"/>
          </w:tcPr>
          <w:p w14:paraId="32A3B795"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4DC68BE5"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1430E9" w14:paraId="0AEAAC6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7DDD204"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B</w:t>
            </w:r>
          </w:p>
        </w:tc>
        <w:tc>
          <w:tcPr>
            <w:tcW w:w="750" w:type="pct"/>
            <w:tcBorders>
              <w:top w:val="single" w:sz="4" w:space="0" w:color="auto"/>
              <w:left w:val="single" w:sz="4" w:space="0" w:color="auto"/>
              <w:bottom w:val="single" w:sz="4" w:space="0" w:color="auto"/>
              <w:right w:val="single" w:sz="4" w:space="0" w:color="auto"/>
            </w:tcBorders>
            <w:vAlign w:val="center"/>
          </w:tcPr>
          <w:p w14:paraId="73CEB9C5"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采矿业</w:t>
            </w:r>
          </w:p>
        </w:tc>
        <w:tc>
          <w:tcPr>
            <w:tcW w:w="750" w:type="pct"/>
            <w:tcBorders>
              <w:top w:val="single" w:sz="4" w:space="0" w:color="auto"/>
              <w:left w:val="single" w:sz="4" w:space="0" w:color="auto"/>
              <w:bottom w:val="single" w:sz="4" w:space="0" w:color="auto"/>
              <w:right w:val="single" w:sz="4" w:space="0" w:color="auto"/>
            </w:tcBorders>
            <w:vAlign w:val="center"/>
          </w:tcPr>
          <w:p w14:paraId="5CB99DFF"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1,499,112.00</w:t>
            </w:r>
          </w:p>
        </w:tc>
        <w:tc>
          <w:tcPr>
            <w:tcW w:w="400" w:type="pct"/>
            <w:tcBorders>
              <w:top w:val="single" w:sz="4" w:space="0" w:color="auto"/>
              <w:left w:val="single" w:sz="4" w:space="0" w:color="auto"/>
              <w:bottom w:val="single" w:sz="4" w:space="0" w:color="auto"/>
              <w:right w:val="single" w:sz="4" w:space="0" w:color="auto"/>
            </w:tcBorders>
            <w:vAlign w:val="center"/>
          </w:tcPr>
          <w:p w14:paraId="57EF1AF9"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2.61</w:t>
            </w:r>
          </w:p>
        </w:tc>
      </w:tr>
      <w:tr w:rsidR="001430E9" w14:paraId="18E0A86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7E4E579"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C</w:t>
            </w:r>
          </w:p>
        </w:tc>
        <w:tc>
          <w:tcPr>
            <w:tcW w:w="750" w:type="pct"/>
            <w:tcBorders>
              <w:top w:val="single" w:sz="4" w:space="0" w:color="auto"/>
              <w:left w:val="single" w:sz="4" w:space="0" w:color="auto"/>
              <w:bottom w:val="single" w:sz="4" w:space="0" w:color="auto"/>
              <w:right w:val="single" w:sz="4" w:space="0" w:color="auto"/>
            </w:tcBorders>
            <w:vAlign w:val="center"/>
          </w:tcPr>
          <w:p w14:paraId="53444F0A"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制造业</w:t>
            </w:r>
          </w:p>
        </w:tc>
        <w:tc>
          <w:tcPr>
            <w:tcW w:w="750" w:type="pct"/>
            <w:tcBorders>
              <w:top w:val="single" w:sz="4" w:space="0" w:color="auto"/>
              <w:left w:val="single" w:sz="4" w:space="0" w:color="auto"/>
              <w:bottom w:val="single" w:sz="4" w:space="0" w:color="auto"/>
              <w:right w:val="single" w:sz="4" w:space="0" w:color="auto"/>
            </w:tcBorders>
            <w:vAlign w:val="center"/>
          </w:tcPr>
          <w:p w14:paraId="7E9904AD"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20,720,560.26</w:t>
            </w:r>
          </w:p>
        </w:tc>
        <w:tc>
          <w:tcPr>
            <w:tcW w:w="400" w:type="pct"/>
            <w:tcBorders>
              <w:top w:val="single" w:sz="4" w:space="0" w:color="auto"/>
              <w:left w:val="single" w:sz="4" w:space="0" w:color="auto"/>
              <w:bottom w:val="single" w:sz="4" w:space="0" w:color="auto"/>
              <w:right w:val="single" w:sz="4" w:space="0" w:color="auto"/>
            </w:tcBorders>
            <w:vAlign w:val="center"/>
          </w:tcPr>
          <w:p w14:paraId="4F555D14"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36.09</w:t>
            </w:r>
          </w:p>
        </w:tc>
      </w:tr>
      <w:tr w:rsidR="001430E9" w14:paraId="158C3A0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DA92C9D"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D</w:t>
            </w:r>
          </w:p>
        </w:tc>
        <w:tc>
          <w:tcPr>
            <w:tcW w:w="750" w:type="pct"/>
            <w:tcBorders>
              <w:top w:val="single" w:sz="4" w:space="0" w:color="auto"/>
              <w:left w:val="single" w:sz="4" w:space="0" w:color="auto"/>
              <w:bottom w:val="single" w:sz="4" w:space="0" w:color="auto"/>
              <w:right w:val="single" w:sz="4" w:space="0" w:color="auto"/>
            </w:tcBorders>
            <w:vAlign w:val="center"/>
          </w:tcPr>
          <w:p w14:paraId="5E2181E3"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电力、热力、燃气及水生产和供应业</w:t>
            </w:r>
          </w:p>
        </w:tc>
        <w:tc>
          <w:tcPr>
            <w:tcW w:w="750" w:type="pct"/>
            <w:tcBorders>
              <w:top w:val="single" w:sz="4" w:space="0" w:color="auto"/>
              <w:left w:val="single" w:sz="4" w:space="0" w:color="auto"/>
              <w:bottom w:val="single" w:sz="4" w:space="0" w:color="auto"/>
              <w:right w:val="single" w:sz="4" w:space="0" w:color="auto"/>
            </w:tcBorders>
            <w:vAlign w:val="center"/>
          </w:tcPr>
          <w:p w14:paraId="4680CF3C"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6,347.90</w:t>
            </w:r>
          </w:p>
        </w:tc>
        <w:tc>
          <w:tcPr>
            <w:tcW w:w="400" w:type="pct"/>
            <w:tcBorders>
              <w:top w:val="single" w:sz="4" w:space="0" w:color="auto"/>
              <w:left w:val="single" w:sz="4" w:space="0" w:color="auto"/>
              <w:bottom w:val="single" w:sz="4" w:space="0" w:color="auto"/>
              <w:right w:val="single" w:sz="4" w:space="0" w:color="auto"/>
            </w:tcBorders>
            <w:vAlign w:val="center"/>
          </w:tcPr>
          <w:p w14:paraId="569B0E9B"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0.01</w:t>
            </w:r>
          </w:p>
        </w:tc>
      </w:tr>
      <w:tr w:rsidR="001430E9" w14:paraId="7F964A5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F9B2A0F"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E</w:t>
            </w:r>
          </w:p>
        </w:tc>
        <w:tc>
          <w:tcPr>
            <w:tcW w:w="750" w:type="pct"/>
            <w:tcBorders>
              <w:top w:val="single" w:sz="4" w:space="0" w:color="auto"/>
              <w:left w:val="single" w:sz="4" w:space="0" w:color="auto"/>
              <w:bottom w:val="single" w:sz="4" w:space="0" w:color="auto"/>
              <w:right w:val="single" w:sz="4" w:space="0" w:color="auto"/>
            </w:tcBorders>
            <w:vAlign w:val="center"/>
          </w:tcPr>
          <w:p w14:paraId="3EA96388"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建筑业</w:t>
            </w:r>
          </w:p>
        </w:tc>
        <w:tc>
          <w:tcPr>
            <w:tcW w:w="750" w:type="pct"/>
            <w:tcBorders>
              <w:top w:val="single" w:sz="4" w:space="0" w:color="auto"/>
              <w:left w:val="single" w:sz="4" w:space="0" w:color="auto"/>
              <w:bottom w:val="single" w:sz="4" w:space="0" w:color="auto"/>
              <w:right w:val="single" w:sz="4" w:space="0" w:color="auto"/>
            </w:tcBorders>
            <w:vAlign w:val="center"/>
          </w:tcPr>
          <w:p w14:paraId="035C2955"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01AA5BF4"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1430E9" w14:paraId="656CEB2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3AF26B4"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F</w:t>
            </w:r>
          </w:p>
        </w:tc>
        <w:tc>
          <w:tcPr>
            <w:tcW w:w="750" w:type="pct"/>
            <w:tcBorders>
              <w:top w:val="single" w:sz="4" w:space="0" w:color="auto"/>
              <w:left w:val="single" w:sz="4" w:space="0" w:color="auto"/>
              <w:bottom w:val="single" w:sz="4" w:space="0" w:color="auto"/>
              <w:right w:val="single" w:sz="4" w:space="0" w:color="auto"/>
            </w:tcBorders>
            <w:vAlign w:val="center"/>
          </w:tcPr>
          <w:p w14:paraId="316C9BD6"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批发和零售业</w:t>
            </w:r>
          </w:p>
        </w:tc>
        <w:tc>
          <w:tcPr>
            <w:tcW w:w="750" w:type="pct"/>
            <w:tcBorders>
              <w:top w:val="single" w:sz="4" w:space="0" w:color="auto"/>
              <w:left w:val="single" w:sz="4" w:space="0" w:color="auto"/>
              <w:bottom w:val="single" w:sz="4" w:space="0" w:color="auto"/>
              <w:right w:val="single" w:sz="4" w:space="0" w:color="auto"/>
            </w:tcBorders>
            <w:vAlign w:val="center"/>
          </w:tcPr>
          <w:p w14:paraId="2EA32F6B"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2,971,824.00</w:t>
            </w:r>
          </w:p>
        </w:tc>
        <w:tc>
          <w:tcPr>
            <w:tcW w:w="400" w:type="pct"/>
            <w:tcBorders>
              <w:top w:val="single" w:sz="4" w:space="0" w:color="auto"/>
              <w:left w:val="single" w:sz="4" w:space="0" w:color="auto"/>
              <w:bottom w:val="single" w:sz="4" w:space="0" w:color="auto"/>
              <w:right w:val="single" w:sz="4" w:space="0" w:color="auto"/>
            </w:tcBorders>
            <w:vAlign w:val="center"/>
          </w:tcPr>
          <w:p w14:paraId="455EEB12"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5.18</w:t>
            </w:r>
          </w:p>
        </w:tc>
      </w:tr>
      <w:tr w:rsidR="001430E9" w14:paraId="03C8511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E861A4D"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G</w:t>
            </w:r>
          </w:p>
        </w:tc>
        <w:tc>
          <w:tcPr>
            <w:tcW w:w="750" w:type="pct"/>
            <w:tcBorders>
              <w:top w:val="single" w:sz="4" w:space="0" w:color="auto"/>
              <w:left w:val="single" w:sz="4" w:space="0" w:color="auto"/>
              <w:bottom w:val="single" w:sz="4" w:space="0" w:color="auto"/>
              <w:right w:val="single" w:sz="4" w:space="0" w:color="auto"/>
            </w:tcBorders>
            <w:vAlign w:val="center"/>
          </w:tcPr>
          <w:p w14:paraId="19ABBB5D"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交通运输、仓储和邮政业</w:t>
            </w:r>
          </w:p>
        </w:tc>
        <w:tc>
          <w:tcPr>
            <w:tcW w:w="750" w:type="pct"/>
            <w:tcBorders>
              <w:top w:val="single" w:sz="4" w:space="0" w:color="auto"/>
              <w:left w:val="single" w:sz="4" w:space="0" w:color="auto"/>
              <w:bottom w:val="single" w:sz="4" w:space="0" w:color="auto"/>
              <w:right w:val="single" w:sz="4" w:space="0" w:color="auto"/>
            </w:tcBorders>
            <w:vAlign w:val="center"/>
          </w:tcPr>
          <w:p w14:paraId="6C3FABE2"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2,530,866.00</w:t>
            </w:r>
          </w:p>
        </w:tc>
        <w:tc>
          <w:tcPr>
            <w:tcW w:w="400" w:type="pct"/>
            <w:tcBorders>
              <w:top w:val="single" w:sz="4" w:space="0" w:color="auto"/>
              <w:left w:val="single" w:sz="4" w:space="0" w:color="auto"/>
              <w:bottom w:val="single" w:sz="4" w:space="0" w:color="auto"/>
              <w:right w:val="single" w:sz="4" w:space="0" w:color="auto"/>
            </w:tcBorders>
            <w:vAlign w:val="center"/>
          </w:tcPr>
          <w:p w14:paraId="61B1F9C8"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4.41</w:t>
            </w:r>
          </w:p>
        </w:tc>
      </w:tr>
      <w:tr w:rsidR="001430E9" w14:paraId="7CBADD9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6DB9441"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H</w:t>
            </w:r>
          </w:p>
        </w:tc>
        <w:tc>
          <w:tcPr>
            <w:tcW w:w="750" w:type="pct"/>
            <w:tcBorders>
              <w:top w:val="single" w:sz="4" w:space="0" w:color="auto"/>
              <w:left w:val="single" w:sz="4" w:space="0" w:color="auto"/>
              <w:bottom w:val="single" w:sz="4" w:space="0" w:color="auto"/>
              <w:right w:val="single" w:sz="4" w:space="0" w:color="auto"/>
            </w:tcBorders>
            <w:vAlign w:val="center"/>
          </w:tcPr>
          <w:p w14:paraId="20D36499"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住宿和餐饮业</w:t>
            </w:r>
          </w:p>
        </w:tc>
        <w:tc>
          <w:tcPr>
            <w:tcW w:w="750" w:type="pct"/>
            <w:tcBorders>
              <w:top w:val="single" w:sz="4" w:space="0" w:color="auto"/>
              <w:left w:val="single" w:sz="4" w:space="0" w:color="auto"/>
              <w:bottom w:val="single" w:sz="4" w:space="0" w:color="auto"/>
              <w:right w:val="single" w:sz="4" w:space="0" w:color="auto"/>
            </w:tcBorders>
            <w:vAlign w:val="center"/>
          </w:tcPr>
          <w:p w14:paraId="68C6F308"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3366759D"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1430E9" w14:paraId="5F06FBE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7D4476C"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I</w:t>
            </w:r>
          </w:p>
        </w:tc>
        <w:tc>
          <w:tcPr>
            <w:tcW w:w="750" w:type="pct"/>
            <w:tcBorders>
              <w:top w:val="single" w:sz="4" w:space="0" w:color="auto"/>
              <w:left w:val="single" w:sz="4" w:space="0" w:color="auto"/>
              <w:bottom w:val="single" w:sz="4" w:space="0" w:color="auto"/>
              <w:right w:val="single" w:sz="4" w:space="0" w:color="auto"/>
            </w:tcBorders>
            <w:vAlign w:val="center"/>
          </w:tcPr>
          <w:p w14:paraId="15C4B20F"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信息传输、软件和信息技术服务业</w:t>
            </w:r>
          </w:p>
        </w:tc>
        <w:tc>
          <w:tcPr>
            <w:tcW w:w="750" w:type="pct"/>
            <w:tcBorders>
              <w:top w:val="single" w:sz="4" w:space="0" w:color="auto"/>
              <w:left w:val="single" w:sz="4" w:space="0" w:color="auto"/>
              <w:bottom w:val="single" w:sz="4" w:space="0" w:color="auto"/>
              <w:right w:val="single" w:sz="4" w:space="0" w:color="auto"/>
            </w:tcBorders>
            <w:vAlign w:val="center"/>
          </w:tcPr>
          <w:p w14:paraId="35EFA94A"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2,098,161.00</w:t>
            </w:r>
          </w:p>
        </w:tc>
        <w:tc>
          <w:tcPr>
            <w:tcW w:w="400" w:type="pct"/>
            <w:tcBorders>
              <w:top w:val="single" w:sz="4" w:space="0" w:color="auto"/>
              <w:left w:val="single" w:sz="4" w:space="0" w:color="auto"/>
              <w:bottom w:val="single" w:sz="4" w:space="0" w:color="auto"/>
              <w:right w:val="single" w:sz="4" w:space="0" w:color="auto"/>
            </w:tcBorders>
            <w:vAlign w:val="center"/>
          </w:tcPr>
          <w:p w14:paraId="463E4C6E"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3.65</w:t>
            </w:r>
          </w:p>
        </w:tc>
      </w:tr>
      <w:tr w:rsidR="001430E9" w14:paraId="049FA42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9FB25B0"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J</w:t>
            </w:r>
          </w:p>
        </w:tc>
        <w:tc>
          <w:tcPr>
            <w:tcW w:w="750" w:type="pct"/>
            <w:tcBorders>
              <w:top w:val="single" w:sz="4" w:space="0" w:color="auto"/>
              <w:left w:val="single" w:sz="4" w:space="0" w:color="auto"/>
              <w:bottom w:val="single" w:sz="4" w:space="0" w:color="auto"/>
              <w:right w:val="single" w:sz="4" w:space="0" w:color="auto"/>
            </w:tcBorders>
            <w:vAlign w:val="center"/>
          </w:tcPr>
          <w:p w14:paraId="22E19713"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金融业</w:t>
            </w:r>
          </w:p>
        </w:tc>
        <w:tc>
          <w:tcPr>
            <w:tcW w:w="750" w:type="pct"/>
            <w:tcBorders>
              <w:top w:val="single" w:sz="4" w:space="0" w:color="auto"/>
              <w:left w:val="single" w:sz="4" w:space="0" w:color="auto"/>
              <w:bottom w:val="single" w:sz="4" w:space="0" w:color="auto"/>
              <w:right w:val="single" w:sz="4" w:space="0" w:color="auto"/>
            </w:tcBorders>
            <w:vAlign w:val="center"/>
          </w:tcPr>
          <w:p w14:paraId="436D67FA"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694,620.00</w:t>
            </w:r>
          </w:p>
        </w:tc>
        <w:tc>
          <w:tcPr>
            <w:tcW w:w="400" w:type="pct"/>
            <w:tcBorders>
              <w:top w:val="single" w:sz="4" w:space="0" w:color="auto"/>
              <w:left w:val="single" w:sz="4" w:space="0" w:color="auto"/>
              <w:bottom w:val="single" w:sz="4" w:space="0" w:color="auto"/>
              <w:right w:val="single" w:sz="4" w:space="0" w:color="auto"/>
            </w:tcBorders>
            <w:vAlign w:val="center"/>
          </w:tcPr>
          <w:p w14:paraId="573AC4E0"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1.21</w:t>
            </w:r>
          </w:p>
        </w:tc>
      </w:tr>
      <w:tr w:rsidR="001430E9" w14:paraId="251468A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B698A1D"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K</w:t>
            </w:r>
          </w:p>
        </w:tc>
        <w:tc>
          <w:tcPr>
            <w:tcW w:w="750" w:type="pct"/>
            <w:tcBorders>
              <w:top w:val="single" w:sz="4" w:space="0" w:color="auto"/>
              <w:left w:val="single" w:sz="4" w:space="0" w:color="auto"/>
              <w:bottom w:val="single" w:sz="4" w:space="0" w:color="auto"/>
              <w:right w:val="single" w:sz="4" w:space="0" w:color="auto"/>
            </w:tcBorders>
            <w:vAlign w:val="center"/>
          </w:tcPr>
          <w:p w14:paraId="1AE476D8"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房地产业</w:t>
            </w:r>
          </w:p>
        </w:tc>
        <w:tc>
          <w:tcPr>
            <w:tcW w:w="750" w:type="pct"/>
            <w:tcBorders>
              <w:top w:val="single" w:sz="4" w:space="0" w:color="auto"/>
              <w:left w:val="single" w:sz="4" w:space="0" w:color="auto"/>
              <w:bottom w:val="single" w:sz="4" w:space="0" w:color="auto"/>
              <w:right w:val="single" w:sz="4" w:space="0" w:color="auto"/>
            </w:tcBorders>
            <w:vAlign w:val="center"/>
          </w:tcPr>
          <w:p w14:paraId="49AFFD22"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7F8ED1D2"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1430E9" w14:paraId="0CD2441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AFF1F17"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L</w:t>
            </w:r>
          </w:p>
        </w:tc>
        <w:tc>
          <w:tcPr>
            <w:tcW w:w="750" w:type="pct"/>
            <w:tcBorders>
              <w:top w:val="single" w:sz="4" w:space="0" w:color="auto"/>
              <w:left w:val="single" w:sz="4" w:space="0" w:color="auto"/>
              <w:bottom w:val="single" w:sz="4" w:space="0" w:color="auto"/>
              <w:right w:val="single" w:sz="4" w:space="0" w:color="auto"/>
            </w:tcBorders>
            <w:vAlign w:val="center"/>
          </w:tcPr>
          <w:p w14:paraId="48588215"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租赁和商务服务业</w:t>
            </w:r>
          </w:p>
        </w:tc>
        <w:tc>
          <w:tcPr>
            <w:tcW w:w="750" w:type="pct"/>
            <w:tcBorders>
              <w:top w:val="single" w:sz="4" w:space="0" w:color="auto"/>
              <w:left w:val="single" w:sz="4" w:space="0" w:color="auto"/>
              <w:bottom w:val="single" w:sz="4" w:space="0" w:color="auto"/>
              <w:right w:val="single" w:sz="4" w:space="0" w:color="auto"/>
            </w:tcBorders>
            <w:vAlign w:val="center"/>
          </w:tcPr>
          <w:p w14:paraId="06833979"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73408243"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1430E9" w14:paraId="5C10C39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98B1B04"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M</w:t>
            </w:r>
          </w:p>
        </w:tc>
        <w:tc>
          <w:tcPr>
            <w:tcW w:w="750" w:type="pct"/>
            <w:tcBorders>
              <w:top w:val="single" w:sz="4" w:space="0" w:color="auto"/>
              <w:left w:val="single" w:sz="4" w:space="0" w:color="auto"/>
              <w:bottom w:val="single" w:sz="4" w:space="0" w:color="auto"/>
              <w:right w:val="single" w:sz="4" w:space="0" w:color="auto"/>
            </w:tcBorders>
            <w:vAlign w:val="center"/>
          </w:tcPr>
          <w:p w14:paraId="68986189"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科学研究和技术服务业</w:t>
            </w:r>
          </w:p>
        </w:tc>
        <w:tc>
          <w:tcPr>
            <w:tcW w:w="750" w:type="pct"/>
            <w:tcBorders>
              <w:top w:val="single" w:sz="4" w:space="0" w:color="auto"/>
              <w:left w:val="single" w:sz="4" w:space="0" w:color="auto"/>
              <w:bottom w:val="single" w:sz="4" w:space="0" w:color="auto"/>
              <w:right w:val="single" w:sz="4" w:space="0" w:color="auto"/>
            </w:tcBorders>
            <w:vAlign w:val="center"/>
          </w:tcPr>
          <w:p w14:paraId="38E2B2FD"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6BF9752A"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1430E9" w14:paraId="04C1E6A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A2D6BE1"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N</w:t>
            </w:r>
          </w:p>
        </w:tc>
        <w:tc>
          <w:tcPr>
            <w:tcW w:w="750" w:type="pct"/>
            <w:tcBorders>
              <w:top w:val="single" w:sz="4" w:space="0" w:color="auto"/>
              <w:left w:val="single" w:sz="4" w:space="0" w:color="auto"/>
              <w:bottom w:val="single" w:sz="4" w:space="0" w:color="auto"/>
              <w:right w:val="single" w:sz="4" w:space="0" w:color="auto"/>
            </w:tcBorders>
            <w:vAlign w:val="center"/>
          </w:tcPr>
          <w:p w14:paraId="0B90444C"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水利、环境和公共设施管理业</w:t>
            </w:r>
          </w:p>
        </w:tc>
        <w:tc>
          <w:tcPr>
            <w:tcW w:w="750" w:type="pct"/>
            <w:tcBorders>
              <w:top w:val="single" w:sz="4" w:space="0" w:color="auto"/>
              <w:left w:val="single" w:sz="4" w:space="0" w:color="auto"/>
              <w:bottom w:val="single" w:sz="4" w:space="0" w:color="auto"/>
              <w:right w:val="single" w:sz="4" w:space="0" w:color="auto"/>
            </w:tcBorders>
            <w:vAlign w:val="center"/>
          </w:tcPr>
          <w:p w14:paraId="3898DBDF"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726,400.00</w:t>
            </w:r>
          </w:p>
        </w:tc>
        <w:tc>
          <w:tcPr>
            <w:tcW w:w="400" w:type="pct"/>
            <w:tcBorders>
              <w:top w:val="single" w:sz="4" w:space="0" w:color="auto"/>
              <w:left w:val="single" w:sz="4" w:space="0" w:color="auto"/>
              <w:bottom w:val="single" w:sz="4" w:space="0" w:color="auto"/>
              <w:right w:val="single" w:sz="4" w:space="0" w:color="auto"/>
            </w:tcBorders>
            <w:vAlign w:val="center"/>
          </w:tcPr>
          <w:p w14:paraId="5B37BFB2"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1.27</w:t>
            </w:r>
          </w:p>
        </w:tc>
      </w:tr>
      <w:tr w:rsidR="001430E9" w14:paraId="63DBEF0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DBA9074"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O</w:t>
            </w:r>
          </w:p>
        </w:tc>
        <w:tc>
          <w:tcPr>
            <w:tcW w:w="750" w:type="pct"/>
            <w:tcBorders>
              <w:top w:val="single" w:sz="4" w:space="0" w:color="auto"/>
              <w:left w:val="single" w:sz="4" w:space="0" w:color="auto"/>
              <w:bottom w:val="single" w:sz="4" w:space="0" w:color="auto"/>
              <w:right w:val="single" w:sz="4" w:space="0" w:color="auto"/>
            </w:tcBorders>
            <w:vAlign w:val="center"/>
          </w:tcPr>
          <w:p w14:paraId="19446851"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居民服务、修理和其他服务业</w:t>
            </w:r>
          </w:p>
        </w:tc>
        <w:tc>
          <w:tcPr>
            <w:tcW w:w="750" w:type="pct"/>
            <w:tcBorders>
              <w:top w:val="single" w:sz="4" w:space="0" w:color="auto"/>
              <w:left w:val="single" w:sz="4" w:space="0" w:color="auto"/>
              <w:bottom w:val="single" w:sz="4" w:space="0" w:color="auto"/>
              <w:right w:val="single" w:sz="4" w:space="0" w:color="auto"/>
            </w:tcBorders>
            <w:vAlign w:val="center"/>
          </w:tcPr>
          <w:p w14:paraId="7062AB69"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1456DFFF"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1430E9" w14:paraId="3330906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76EFFD9"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P</w:t>
            </w:r>
          </w:p>
        </w:tc>
        <w:tc>
          <w:tcPr>
            <w:tcW w:w="750" w:type="pct"/>
            <w:tcBorders>
              <w:top w:val="single" w:sz="4" w:space="0" w:color="auto"/>
              <w:left w:val="single" w:sz="4" w:space="0" w:color="auto"/>
              <w:bottom w:val="single" w:sz="4" w:space="0" w:color="auto"/>
              <w:right w:val="single" w:sz="4" w:space="0" w:color="auto"/>
            </w:tcBorders>
            <w:vAlign w:val="center"/>
          </w:tcPr>
          <w:p w14:paraId="4859E2CD"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教育</w:t>
            </w:r>
          </w:p>
        </w:tc>
        <w:tc>
          <w:tcPr>
            <w:tcW w:w="750" w:type="pct"/>
            <w:tcBorders>
              <w:top w:val="single" w:sz="4" w:space="0" w:color="auto"/>
              <w:left w:val="single" w:sz="4" w:space="0" w:color="auto"/>
              <w:bottom w:val="single" w:sz="4" w:space="0" w:color="auto"/>
              <w:right w:val="single" w:sz="4" w:space="0" w:color="auto"/>
            </w:tcBorders>
            <w:vAlign w:val="center"/>
          </w:tcPr>
          <w:p w14:paraId="3B5EAA70"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39BD6DF8"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1430E9" w14:paraId="13591CE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9214417"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Q</w:t>
            </w:r>
          </w:p>
        </w:tc>
        <w:tc>
          <w:tcPr>
            <w:tcW w:w="750" w:type="pct"/>
            <w:tcBorders>
              <w:top w:val="single" w:sz="4" w:space="0" w:color="auto"/>
              <w:left w:val="single" w:sz="4" w:space="0" w:color="auto"/>
              <w:bottom w:val="single" w:sz="4" w:space="0" w:color="auto"/>
              <w:right w:val="single" w:sz="4" w:space="0" w:color="auto"/>
            </w:tcBorders>
            <w:vAlign w:val="center"/>
          </w:tcPr>
          <w:p w14:paraId="3C3E23C9"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卫生和社会工作</w:t>
            </w:r>
          </w:p>
        </w:tc>
        <w:tc>
          <w:tcPr>
            <w:tcW w:w="750" w:type="pct"/>
            <w:tcBorders>
              <w:top w:val="single" w:sz="4" w:space="0" w:color="auto"/>
              <w:left w:val="single" w:sz="4" w:space="0" w:color="auto"/>
              <w:bottom w:val="single" w:sz="4" w:space="0" w:color="auto"/>
              <w:right w:val="single" w:sz="4" w:space="0" w:color="auto"/>
            </w:tcBorders>
            <w:vAlign w:val="center"/>
          </w:tcPr>
          <w:p w14:paraId="36EFB268"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590,330.00</w:t>
            </w:r>
          </w:p>
        </w:tc>
        <w:tc>
          <w:tcPr>
            <w:tcW w:w="400" w:type="pct"/>
            <w:tcBorders>
              <w:top w:val="single" w:sz="4" w:space="0" w:color="auto"/>
              <w:left w:val="single" w:sz="4" w:space="0" w:color="auto"/>
              <w:bottom w:val="single" w:sz="4" w:space="0" w:color="auto"/>
              <w:right w:val="single" w:sz="4" w:space="0" w:color="auto"/>
            </w:tcBorders>
            <w:vAlign w:val="center"/>
          </w:tcPr>
          <w:p w14:paraId="249C1833"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1.03</w:t>
            </w:r>
          </w:p>
        </w:tc>
      </w:tr>
      <w:tr w:rsidR="001430E9" w14:paraId="74F375D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CB631CA"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R</w:t>
            </w:r>
          </w:p>
        </w:tc>
        <w:tc>
          <w:tcPr>
            <w:tcW w:w="750" w:type="pct"/>
            <w:tcBorders>
              <w:top w:val="single" w:sz="4" w:space="0" w:color="auto"/>
              <w:left w:val="single" w:sz="4" w:space="0" w:color="auto"/>
              <w:bottom w:val="single" w:sz="4" w:space="0" w:color="auto"/>
              <w:right w:val="single" w:sz="4" w:space="0" w:color="auto"/>
            </w:tcBorders>
            <w:vAlign w:val="center"/>
          </w:tcPr>
          <w:p w14:paraId="54A0FFDA"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文化、体育和娱乐业</w:t>
            </w:r>
          </w:p>
        </w:tc>
        <w:tc>
          <w:tcPr>
            <w:tcW w:w="750" w:type="pct"/>
            <w:tcBorders>
              <w:top w:val="single" w:sz="4" w:space="0" w:color="auto"/>
              <w:left w:val="single" w:sz="4" w:space="0" w:color="auto"/>
              <w:bottom w:val="single" w:sz="4" w:space="0" w:color="auto"/>
              <w:right w:val="single" w:sz="4" w:space="0" w:color="auto"/>
            </w:tcBorders>
            <w:vAlign w:val="center"/>
          </w:tcPr>
          <w:p w14:paraId="3F84367F"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620,126.00</w:t>
            </w:r>
          </w:p>
        </w:tc>
        <w:tc>
          <w:tcPr>
            <w:tcW w:w="400" w:type="pct"/>
            <w:tcBorders>
              <w:top w:val="single" w:sz="4" w:space="0" w:color="auto"/>
              <w:left w:val="single" w:sz="4" w:space="0" w:color="auto"/>
              <w:bottom w:val="single" w:sz="4" w:space="0" w:color="auto"/>
              <w:right w:val="single" w:sz="4" w:space="0" w:color="auto"/>
            </w:tcBorders>
            <w:vAlign w:val="center"/>
          </w:tcPr>
          <w:p w14:paraId="4E2B79FB"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1.08</w:t>
            </w:r>
          </w:p>
        </w:tc>
      </w:tr>
      <w:tr w:rsidR="001430E9" w14:paraId="67BFEB8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AFC82E9"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S</w:t>
            </w:r>
          </w:p>
        </w:tc>
        <w:tc>
          <w:tcPr>
            <w:tcW w:w="750" w:type="pct"/>
            <w:tcBorders>
              <w:top w:val="single" w:sz="4" w:space="0" w:color="auto"/>
              <w:left w:val="single" w:sz="4" w:space="0" w:color="auto"/>
              <w:bottom w:val="single" w:sz="4" w:space="0" w:color="auto"/>
              <w:right w:val="single" w:sz="4" w:space="0" w:color="auto"/>
            </w:tcBorders>
            <w:vAlign w:val="center"/>
          </w:tcPr>
          <w:p w14:paraId="0436FB57"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综合</w:t>
            </w:r>
          </w:p>
        </w:tc>
        <w:tc>
          <w:tcPr>
            <w:tcW w:w="750" w:type="pct"/>
            <w:tcBorders>
              <w:top w:val="single" w:sz="4" w:space="0" w:color="auto"/>
              <w:left w:val="single" w:sz="4" w:space="0" w:color="auto"/>
              <w:bottom w:val="single" w:sz="4" w:space="0" w:color="auto"/>
              <w:right w:val="single" w:sz="4" w:space="0" w:color="auto"/>
            </w:tcBorders>
            <w:vAlign w:val="center"/>
          </w:tcPr>
          <w:p w14:paraId="4C54F226"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14:paraId="71DA88D3"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1430E9" w14:paraId="06796BA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8BAA096" w14:textId="77777777" w:rsidR="001430E9" w:rsidRDefault="001430E9">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14:paraId="3AAF6379"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14:paraId="7587EFA5"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32,458,347.16</w:t>
            </w:r>
          </w:p>
        </w:tc>
        <w:tc>
          <w:tcPr>
            <w:tcW w:w="400" w:type="pct"/>
            <w:tcBorders>
              <w:top w:val="single" w:sz="4" w:space="0" w:color="auto"/>
              <w:left w:val="single" w:sz="4" w:space="0" w:color="auto"/>
              <w:bottom w:val="single" w:sz="4" w:space="0" w:color="auto"/>
              <w:right w:val="single" w:sz="4" w:space="0" w:color="auto"/>
            </w:tcBorders>
            <w:vAlign w:val="center"/>
          </w:tcPr>
          <w:p w14:paraId="7B019336"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56.53</w:t>
            </w:r>
          </w:p>
        </w:tc>
      </w:tr>
    </w:tbl>
    <w:p w14:paraId="7B23312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 报告期末按行业分类的港股通投资股票投资组合</w:t>
      </w:r>
    </w:p>
    <w:tbl>
      <w:tblPr>
        <w:tblW w:w="5000" w:type="pct"/>
        <w:tblCellMar>
          <w:left w:w="0" w:type="dxa"/>
          <w:right w:w="0" w:type="dxa"/>
        </w:tblCellMar>
        <w:tblLook w:val="0000" w:firstRow="0" w:lastRow="0" w:firstColumn="0" w:lastColumn="0" w:noHBand="0" w:noVBand="0"/>
      </w:tblPr>
      <w:tblGrid>
        <w:gridCol w:w="1544"/>
        <w:gridCol w:w="4634"/>
        <w:gridCol w:w="2472"/>
      </w:tblGrid>
      <w:tr w:rsidR="001430E9" w14:paraId="169F588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14:paraId="1021259F"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行业类别</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62ACFBD5"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公允价值（人民币）</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14:paraId="214607A0"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1430E9" w14:paraId="0000BD7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A13C685"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工业</w:t>
            </w:r>
          </w:p>
        </w:tc>
        <w:tc>
          <w:tcPr>
            <w:tcW w:w="750" w:type="pct"/>
            <w:tcBorders>
              <w:top w:val="single" w:sz="4" w:space="0" w:color="auto"/>
              <w:left w:val="single" w:sz="4" w:space="0" w:color="auto"/>
              <w:bottom w:val="single" w:sz="4" w:space="0" w:color="auto"/>
              <w:right w:val="single" w:sz="4" w:space="0" w:color="auto"/>
            </w:tcBorders>
            <w:vAlign w:val="center"/>
          </w:tcPr>
          <w:p w14:paraId="63B3E535"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5,042,011.44</w:t>
            </w:r>
          </w:p>
        </w:tc>
        <w:tc>
          <w:tcPr>
            <w:tcW w:w="400" w:type="pct"/>
            <w:tcBorders>
              <w:top w:val="single" w:sz="4" w:space="0" w:color="auto"/>
              <w:left w:val="single" w:sz="4" w:space="0" w:color="auto"/>
              <w:bottom w:val="single" w:sz="4" w:space="0" w:color="auto"/>
              <w:right w:val="single" w:sz="4" w:space="0" w:color="auto"/>
            </w:tcBorders>
            <w:vAlign w:val="center"/>
          </w:tcPr>
          <w:p w14:paraId="076D1D11"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8.78</w:t>
            </w:r>
          </w:p>
        </w:tc>
      </w:tr>
      <w:tr w:rsidR="001430E9" w14:paraId="2886DE4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772339C"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通信服务</w:t>
            </w:r>
          </w:p>
        </w:tc>
        <w:tc>
          <w:tcPr>
            <w:tcW w:w="750" w:type="pct"/>
            <w:tcBorders>
              <w:top w:val="single" w:sz="4" w:space="0" w:color="auto"/>
              <w:left w:val="single" w:sz="4" w:space="0" w:color="auto"/>
              <w:bottom w:val="single" w:sz="4" w:space="0" w:color="auto"/>
              <w:right w:val="single" w:sz="4" w:space="0" w:color="auto"/>
            </w:tcBorders>
            <w:vAlign w:val="center"/>
          </w:tcPr>
          <w:p w14:paraId="3332C14A"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4,270,709.57</w:t>
            </w:r>
          </w:p>
        </w:tc>
        <w:tc>
          <w:tcPr>
            <w:tcW w:w="400" w:type="pct"/>
            <w:tcBorders>
              <w:top w:val="single" w:sz="4" w:space="0" w:color="auto"/>
              <w:left w:val="single" w:sz="4" w:space="0" w:color="auto"/>
              <w:bottom w:val="single" w:sz="4" w:space="0" w:color="auto"/>
              <w:right w:val="single" w:sz="4" w:space="0" w:color="auto"/>
            </w:tcBorders>
            <w:vAlign w:val="center"/>
          </w:tcPr>
          <w:p w14:paraId="3D2DFE70"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7.44</w:t>
            </w:r>
          </w:p>
        </w:tc>
      </w:tr>
      <w:tr w:rsidR="001430E9" w14:paraId="6E53345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909866E"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房地产</w:t>
            </w:r>
          </w:p>
        </w:tc>
        <w:tc>
          <w:tcPr>
            <w:tcW w:w="750" w:type="pct"/>
            <w:tcBorders>
              <w:top w:val="single" w:sz="4" w:space="0" w:color="auto"/>
              <w:left w:val="single" w:sz="4" w:space="0" w:color="auto"/>
              <w:bottom w:val="single" w:sz="4" w:space="0" w:color="auto"/>
              <w:right w:val="single" w:sz="4" w:space="0" w:color="auto"/>
            </w:tcBorders>
            <w:vAlign w:val="center"/>
          </w:tcPr>
          <w:p w14:paraId="5D771ED9"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2,381,815.53</w:t>
            </w:r>
          </w:p>
        </w:tc>
        <w:tc>
          <w:tcPr>
            <w:tcW w:w="400" w:type="pct"/>
            <w:tcBorders>
              <w:top w:val="single" w:sz="4" w:space="0" w:color="auto"/>
              <w:left w:val="single" w:sz="4" w:space="0" w:color="auto"/>
              <w:bottom w:val="single" w:sz="4" w:space="0" w:color="auto"/>
              <w:right w:val="single" w:sz="4" w:space="0" w:color="auto"/>
            </w:tcBorders>
            <w:vAlign w:val="center"/>
          </w:tcPr>
          <w:p w14:paraId="3DE75275"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4.15</w:t>
            </w:r>
          </w:p>
        </w:tc>
      </w:tr>
      <w:tr w:rsidR="001430E9" w14:paraId="539358E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90C8FCE"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w:t>
            </w:r>
          </w:p>
        </w:tc>
        <w:tc>
          <w:tcPr>
            <w:tcW w:w="750" w:type="pct"/>
            <w:tcBorders>
              <w:top w:val="single" w:sz="4" w:space="0" w:color="auto"/>
              <w:left w:val="single" w:sz="4" w:space="0" w:color="auto"/>
              <w:bottom w:val="single" w:sz="4" w:space="0" w:color="auto"/>
              <w:right w:val="single" w:sz="4" w:space="0" w:color="auto"/>
            </w:tcBorders>
            <w:vAlign w:val="center"/>
          </w:tcPr>
          <w:p w14:paraId="41F59858"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1,712,512.06</w:t>
            </w:r>
          </w:p>
        </w:tc>
        <w:tc>
          <w:tcPr>
            <w:tcW w:w="400" w:type="pct"/>
            <w:tcBorders>
              <w:top w:val="single" w:sz="4" w:space="0" w:color="auto"/>
              <w:left w:val="single" w:sz="4" w:space="0" w:color="auto"/>
              <w:bottom w:val="single" w:sz="4" w:space="0" w:color="auto"/>
              <w:right w:val="single" w:sz="4" w:space="0" w:color="auto"/>
            </w:tcBorders>
            <w:vAlign w:val="center"/>
          </w:tcPr>
          <w:p w14:paraId="05E23EE4"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2.98</w:t>
            </w:r>
          </w:p>
        </w:tc>
      </w:tr>
      <w:tr w:rsidR="001430E9" w14:paraId="3A44B44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6C6E9AA"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主要消费</w:t>
            </w:r>
          </w:p>
        </w:tc>
        <w:tc>
          <w:tcPr>
            <w:tcW w:w="750" w:type="pct"/>
            <w:tcBorders>
              <w:top w:val="single" w:sz="4" w:space="0" w:color="auto"/>
              <w:left w:val="single" w:sz="4" w:space="0" w:color="auto"/>
              <w:bottom w:val="single" w:sz="4" w:space="0" w:color="auto"/>
              <w:right w:val="single" w:sz="4" w:space="0" w:color="auto"/>
            </w:tcBorders>
            <w:vAlign w:val="center"/>
          </w:tcPr>
          <w:p w14:paraId="27FF04BD"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1,200,362.19</w:t>
            </w:r>
          </w:p>
        </w:tc>
        <w:tc>
          <w:tcPr>
            <w:tcW w:w="400" w:type="pct"/>
            <w:tcBorders>
              <w:top w:val="single" w:sz="4" w:space="0" w:color="auto"/>
              <w:left w:val="single" w:sz="4" w:space="0" w:color="auto"/>
              <w:bottom w:val="single" w:sz="4" w:space="0" w:color="auto"/>
              <w:right w:val="single" w:sz="4" w:space="0" w:color="auto"/>
            </w:tcBorders>
            <w:vAlign w:val="center"/>
          </w:tcPr>
          <w:p w14:paraId="7D65824D"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2.09</w:t>
            </w:r>
          </w:p>
        </w:tc>
      </w:tr>
      <w:tr w:rsidR="001430E9" w14:paraId="37A6482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8C55F82"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信息技术</w:t>
            </w:r>
          </w:p>
        </w:tc>
        <w:tc>
          <w:tcPr>
            <w:tcW w:w="750" w:type="pct"/>
            <w:tcBorders>
              <w:top w:val="single" w:sz="4" w:space="0" w:color="auto"/>
              <w:left w:val="single" w:sz="4" w:space="0" w:color="auto"/>
              <w:bottom w:val="single" w:sz="4" w:space="0" w:color="auto"/>
              <w:right w:val="single" w:sz="4" w:space="0" w:color="auto"/>
            </w:tcBorders>
            <w:vAlign w:val="center"/>
          </w:tcPr>
          <w:p w14:paraId="46EDFC42"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1,122,122.42</w:t>
            </w:r>
          </w:p>
        </w:tc>
        <w:tc>
          <w:tcPr>
            <w:tcW w:w="400" w:type="pct"/>
            <w:tcBorders>
              <w:top w:val="single" w:sz="4" w:space="0" w:color="auto"/>
              <w:left w:val="single" w:sz="4" w:space="0" w:color="auto"/>
              <w:bottom w:val="single" w:sz="4" w:space="0" w:color="auto"/>
              <w:right w:val="single" w:sz="4" w:space="0" w:color="auto"/>
            </w:tcBorders>
            <w:vAlign w:val="center"/>
          </w:tcPr>
          <w:p w14:paraId="32F33789"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1.95</w:t>
            </w:r>
          </w:p>
        </w:tc>
      </w:tr>
      <w:tr w:rsidR="001430E9" w14:paraId="6E630DC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12AE1A7"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医药卫生</w:t>
            </w:r>
          </w:p>
        </w:tc>
        <w:tc>
          <w:tcPr>
            <w:tcW w:w="750" w:type="pct"/>
            <w:tcBorders>
              <w:top w:val="single" w:sz="4" w:space="0" w:color="auto"/>
              <w:left w:val="single" w:sz="4" w:space="0" w:color="auto"/>
              <w:bottom w:val="single" w:sz="4" w:space="0" w:color="auto"/>
              <w:right w:val="single" w:sz="4" w:space="0" w:color="auto"/>
            </w:tcBorders>
            <w:vAlign w:val="center"/>
          </w:tcPr>
          <w:p w14:paraId="651F8335"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995,026.02</w:t>
            </w:r>
          </w:p>
        </w:tc>
        <w:tc>
          <w:tcPr>
            <w:tcW w:w="400" w:type="pct"/>
            <w:tcBorders>
              <w:top w:val="single" w:sz="4" w:space="0" w:color="auto"/>
              <w:left w:val="single" w:sz="4" w:space="0" w:color="auto"/>
              <w:bottom w:val="single" w:sz="4" w:space="0" w:color="auto"/>
              <w:right w:val="single" w:sz="4" w:space="0" w:color="auto"/>
            </w:tcBorders>
            <w:vAlign w:val="center"/>
          </w:tcPr>
          <w:p w14:paraId="04F9634C"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1.73</w:t>
            </w:r>
          </w:p>
        </w:tc>
      </w:tr>
      <w:tr w:rsidR="001430E9" w14:paraId="39A71EF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914B42E"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原材料</w:t>
            </w:r>
          </w:p>
        </w:tc>
        <w:tc>
          <w:tcPr>
            <w:tcW w:w="750" w:type="pct"/>
            <w:tcBorders>
              <w:top w:val="single" w:sz="4" w:space="0" w:color="auto"/>
              <w:left w:val="single" w:sz="4" w:space="0" w:color="auto"/>
              <w:bottom w:val="single" w:sz="4" w:space="0" w:color="auto"/>
              <w:right w:val="single" w:sz="4" w:space="0" w:color="auto"/>
            </w:tcBorders>
            <w:vAlign w:val="center"/>
          </w:tcPr>
          <w:p w14:paraId="5A5132BC"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713,161.51</w:t>
            </w:r>
          </w:p>
        </w:tc>
        <w:tc>
          <w:tcPr>
            <w:tcW w:w="400" w:type="pct"/>
            <w:tcBorders>
              <w:top w:val="single" w:sz="4" w:space="0" w:color="auto"/>
              <w:left w:val="single" w:sz="4" w:space="0" w:color="auto"/>
              <w:bottom w:val="single" w:sz="4" w:space="0" w:color="auto"/>
              <w:right w:val="single" w:sz="4" w:space="0" w:color="auto"/>
            </w:tcBorders>
            <w:vAlign w:val="center"/>
          </w:tcPr>
          <w:p w14:paraId="781430F5"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1.24</w:t>
            </w:r>
          </w:p>
        </w:tc>
      </w:tr>
      <w:tr w:rsidR="001430E9" w14:paraId="15E1699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B5BBC3A"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可选消费</w:t>
            </w:r>
          </w:p>
        </w:tc>
        <w:tc>
          <w:tcPr>
            <w:tcW w:w="750" w:type="pct"/>
            <w:tcBorders>
              <w:top w:val="single" w:sz="4" w:space="0" w:color="auto"/>
              <w:left w:val="single" w:sz="4" w:space="0" w:color="auto"/>
              <w:bottom w:val="single" w:sz="4" w:space="0" w:color="auto"/>
              <w:right w:val="single" w:sz="4" w:space="0" w:color="auto"/>
            </w:tcBorders>
            <w:vAlign w:val="center"/>
          </w:tcPr>
          <w:p w14:paraId="6950D662"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550,772.96</w:t>
            </w:r>
          </w:p>
        </w:tc>
        <w:tc>
          <w:tcPr>
            <w:tcW w:w="400" w:type="pct"/>
            <w:tcBorders>
              <w:top w:val="single" w:sz="4" w:space="0" w:color="auto"/>
              <w:left w:val="single" w:sz="4" w:space="0" w:color="auto"/>
              <w:bottom w:val="single" w:sz="4" w:space="0" w:color="auto"/>
              <w:right w:val="single" w:sz="4" w:space="0" w:color="auto"/>
            </w:tcBorders>
            <w:vAlign w:val="center"/>
          </w:tcPr>
          <w:p w14:paraId="5D3D5B38"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0.96</w:t>
            </w:r>
          </w:p>
        </w:tc>
      </w:tr>
      <w:tr w:rsidR="001430E9" w14:paraId="18D113E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39C44BC"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14:paraId="1D059E57"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17,988,493.70</w:t>
            </w:r>
          </w:p>
        </w:tc>
        <w:tc>
          <w:tcPr>
            <w:tcW w:w="400" w:type="pct"/>
            <w:tcBorders>
              <w:top w:val="single" w:sz="4" w:space="0" w:color="auto"/>
              <w:left w:val="single" w:sz="4" w:space="0" w:color="auto"/>
              <w:bottom w:val="single" w:sz="4" w:space="0" w:color="auto"/>
              <w:right w:val="single" w:sz="4" w:space="0" w:color="auto"/>
            </w:tcBorders>
            <w:vAlign w:val="center"/>
          </w:tcPr>
          <w:p w14:paraId="7B98325D"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31.33</w:t>
            </w:r>
          </w:p>
        </w:tc>
      </w:tr>
    </w:tbl>
    <w:p w14:paraId="27F5FB3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注：本报告采用中证CICS一级分类标准编制。</w:t>
      </w:r>
    </w:p>
    <w:p w14:paraId="22B2FC1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3、期末按公允价值占基金资产净值比例大小排序的股票投资明细</w:t>
      </w:r>
    </w:p>
    <w:p w14:paraId="477ED8E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 报告期末按公允价值占基金资产净值比例大小排序的前十名股票投资明细</w:t>
      </w:r>
    </w:p>
    <w:tbl>
      <w:tblPr>
        <w:tblW w:w="5000" w:type="pct"/>
        <w:tblCellMar>
          <w:left w:w="0" w:type="dxa"/>
          <w:right w:w="0" w:type="dxa"/>
        </w:tblCellMar>
        <w:tblLook w:val="0000" w:firstRow="0" w:lastRow="0" w:firstColumn="0" w:lastColumn="0" w:noHBand="0" w:noVBand="0"/>
      </w:tblPr>
      <w:tblGrid>
        <w:gridCol w:w="540"/>
        <w:gridCol w:w="1622"/>
        <w:gridCol w:w="1622"/>
        <w:gridCol w:w="1622"/>
        <w:gridCol w:w="1622"/>
        <w:gridCol w:w="1622"/>
      </w:tblGrid>
      <w:tr w:rsidR="001430E9" w14:paraId="365B2A7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14:paraId="6853CCC3"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71E3538A"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3908DB41"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23D02BD9"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数量（股）</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042EF881"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19002A15"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1430E9" w14:paraId="68D714BA"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278F1F8"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54E78FA8"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00700 HK</w:t>
            </w:r>
          </w:p>
        </w:tc>
        <w:tc>
          <w:tcPr>
            <w:tcW w:w="750" w:type="pct"/>
            <w:tcBorders>
              <w:top w:val="single" w:sz="4" w:space="0" w:color="auto"/>
              <w:left w:val="single" w:sz="4" w:space="0" w:color="auto"/>
              <w:bottom w:val="single" w:sz="4" w:space="0" w:color="auto"/>
              <w:right w:val="single" w:sz="4" w:space="0" w:color="auto"/>
            </w:tcBorders>
            <w:vAlign w:val="center"/>
          </w:tcPr>
          <w:p w14:paraId="527F14B2"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腾讯控股</w:t>
            </w:r>
          </w:p>
        </w:tc>
        <w:tc>
          <w:tcPr>
            <w:tcW w:w="750" w:type="pct"/>
            <w:tcBorders>
              <w:top w:val="single" w:sz="4" w:space="0" w:color="auto"/>
              <w:left w:val="single" w:sz="4" w:space="0" w:color="auto"/>
              <w:bottom w:val="single" w:sz="4" w:space="0" w:color="auto"/>
              <w:right w:val="single" w:sz="4" w:space="0" w:color="auto"/>
            </w:tcBorders>
            <w:vAlign w:val="center"/>
          </w:tcPr>
          <w:p w14:paraId="7049C362"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11,000</w:t>
            </w:r>
          </w:p>
        </w:tc>
        <w:tc>
          <w:tcPr>
            <w:tcW w:w="750" w:type="pct"/>
            <w:tcBorders>
              <w:top w:val="single" w:sz="4" w:space="0" w:color="auto"/>
              <w:left w:val="single" w:sz="4" w:space="0" w:color="auto"/>
              <w:bottom w:val="single" w:sz="4" w:space="0" w:color="auto"/>
              <w:right w:val="single" w:sz="4" w:space="0" w:color="auto"/>
            </w:tcBorders>
            <w:vAlign w:val="center"/>
          </w:tcPr>
          <w:p w14:paraId="58D974D2"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3,715,064.96</w:t>
            </w:r>
          </w:p>
        </w:tc>
        <w:tc>
          <w:tcPr>
            <w:tcW w:w="750" w:type="pct"/>
            <w:tcBorders>
              <w:top w:val="single" w:sz="4" w:space="0" w:color="auto"/>
              <w:left w:val="single" w:sz="4" w:space="0" w:color="auto"/>
              <w:bottom w:val="single" w:sz="4" w:space="0" w:color="auto"/>
              <w:right w:val="single" w:sz="4" w:space="0" w:color="auto"/>
            </w:tcBorders>
            <w:vAlign w:val="center"/>
          </w:tcPr>
          <w:p w14:paraId="29637D9F"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6.47</w:t>
            </w:r>
          </w:p>
        </w:tc>
      </w:tr>
      <w:tr w:rsidR="001430E9" w14:paraId="52937EB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E4306DA"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0C6AA686"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002352</w:t>
            </w:r>
          </w:p>
        </w:tc>
        <w:tc>
          <w:tcPr>
            <w:tcW w:w="750" w:type="pct"/>
            <w:tcBorders>
              <w:top w:val="single" w:sz="4" w:space="0" w:color="auto"/>
              <w:left w:val="single" w:sz="4" w:space="0" w:color="auto"/>
              <w:bottom w:val="single" w:sz="4" w:space="0" w:color="auto"/>
              <w:right w:val="single" w:sz="4" w:space="0" w:color="auto"/>
            </w:tcBorders>
            <w:vAlign w:val="center"/>
          </w:tcPr>
          <w:p w14:paraId="72832789"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顺丰控股</w:t>
            </w:r>
          </w:p>
        </w:tc>
        <w:tc>
          <w:tcPr>
            <w:tcW w:w="750" w:type="pct"/>
            <w:tcBorders>
              <w:top w:val="single" w:sz="4" w:space="0" w:color="auto"/>
              <w:left w:val="single" w:sz="4" w:space="0" w:color="auto"/>
              <w:bottom w:val="single" w:sz="4" w:space="0" w:color="auto"/>
              <w:right w:val="single" w:sz="4" w:space="0" w:color="auto"/>
            </w:tcBorders>
            <w:vAlign w:val="center"/>
          </w:tcPr>
          <w:p w14:paraId="2C90B033"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45,700</w:t>
            </w:r>
          </w:p>
        </w:tc>
        <w:tc>
          <w:tcPr>
            <w:tcW w:w="750" w:type="pct"/>
            <w:tcBorders>
              <w:top w:val="single" w:sz="4" w:space="0" w:color="auto"/>
              <w:left w:val="single" w:sz="4" w:space="0" w:color="auto"/>
              <w:bottom w:val="single" w:sz="4" w:space="0" w:color="auto"/>
              <w:right w:val="single" w:sz="4" w:space="0" w:color="auto"/>
            </w:tcBorders>
            <w:vAlign w:val="center"/>
          </w:tcPr>
          <w:p w14:paraId="45C47110"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2,530,866.00</w:t>
            </w:r>
          </w:p>
        </w:tc>
        <w:tc>
          <w:tcPr>
            <w:tcW w:w="750" w:type="pct"/>
            <w:tcBorders>
              <w:top w:val="single" w:sz="4" w:space="0" w:color="auto"/>
              <w:left w:val="single" w:sz="4" w:space="0" w:color="auto"/>
              <w:bottom w:val="single" w:sz="4" w:space="0" w:color="auto"/>
              <w:right w:val="single" w:sz="4" w:space="0" w:color="auto"/>
            </w:tcBorders>
            <w:vAlign w:val="center"/>
          </w:tcPr>
          <w:p w14:paraId="1C32592B"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4.41</w:t>
            </w:r>
          </w:p>
        </w:tc>
      </w:tr>
      <w:tr w:rsidR="001430E9" w14:paraId="64A3A10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F721ABB"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577884B9"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01109 HK</w:t>
            </w:r>
          </w:p>
        </w:tc>
        <w:tc>
          <w:tcPr>
            <w:tcW w:w="750" w:type="pct"/>
            <w:tcBorders>
              <w:top w:val="single" w:sz="4" w:space="0" w:color="auto"/>
              <w:left w:val="single" w:sz="4" w:space="0" w:color="auto"/>
              <w:bottom w:val="single" w:sz="4" w:space="0" w:color="auto"/>
              <w:right w:val="single" w:sz="4" w:space="0" w:color="auto"/>
            </w:tcBorders>
            <w:vAlign w:val="center"/>
          </w:tcPr>
          <w:p w14:paraId="458892BC"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华润置地</w:t>
            </w:r>
          </w:p>
        </w:tc>
        <w:tc>
          <w:tcPr>
            <w:tcW w:w="750" w:type="pct"/>
            <w:tcBorders>
              <w:top w:val="single" w:sz="4" w:space="0" w:color="auto"/>
              <w:left w:val="single" w:sz="4" w:space="0" w:color="auto"/>
              <w:bottom w:val="single" w:sz="4" w:space="0" w:color="auto"/>
              <w:right w:val="single" w:sz="4" w:space="0" w:color="auto"/>
            </w:tcBorders>
            <w:vAlign w:val="center"/>
          </w:tcPr>
          <w:p w14:paraId="237214DC"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76,000</w:t>
            </w:r>
          </w:p>
        </w:tc>
        <w:tc>
          <w:tcPr>
            <w:tcW w:w="750" w:type="pct"/>
            <w:tcBorders>
              <w:top w:val="single" w:sz="4" w:space="0" w:color="auto"/>
              <w:left w:val="single" w:sz="4" w:space="0" w:color="auto"/>
              <w:bottom w:val="single" w:sz="4" w:space="0" w:color="auto"/>
              <w:right w:val="single" w:sz="4" w:space="0" w:color="auto"/>
            </w:tcBorders>
            <w:vAlign w:val="center"/>
          </w:tcPr>
          <w:p w14:paraId="6A96F83D"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2,381,815.53</w:t>
            </w:r>
          </w:p>
        </w:tc>
        <w:tc>
          <w:tcPr>
            <w:tcW w:w="750" w:type="pct"/>
            <w:tcBorders>
              <w:top w:val="single" w:sz="4" w:space="0" w:color="auto"/>
              <w:left w:val="single" w:sz="4" w:space="0" w:color="auto"/>
              <w:bottom w:val="single" w:sz="4" w:space="0" w:color="auto"/>
              <w:right w:val="single" w:sz="4" w:space="0" w:color="auto"/>
            </w:tcBorders>
            <w:vAlign w:val="center"/>
          </w:tcPr>
          <w:p w14:paraId="3CBE1E77"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4.15</w:t>
            </w:r>
          </w:p>
        </w:tc>
      </w:tr>
      <w:tr w:rsidR="001430E9" w14:paraId="71C8E0F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4669084"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4</w:t>
            </w:r>
          </w:p>
        </w:tc>
        <w:tc>
          <w:tcPr>
            <w:tcW w:w="750" w:type="pct"/>
            <w:tcBorders>
              <w:top w:val="single" w:sz="4" w:space="0" w:color="auto"/>
              <w:left w:val="single" w:sz="4" w:space="0" w:color="auto"/>
              <w:bottom w:val="single" w:sz="4" w:space="0" w:color="auto"/>
              <w:right w:val="single" w:sz="4" w:space="0" w:color="auto"/>
            </w:tcBorders>
            <w:vAlign w:val="center"/>
          </w:tcPr>
          <w:p w14:paraId="1DC31084"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000963</w:t>
            </w:r>
          </w:p>
        </w:tc>
        <w:tc>
          <w:tcPr>
            <w:tcW w:w="750" w:type="pct"/>
            <w:tcBorders>
              <w:top w:val="single" w:sz="4" w:space="0" w:color="auto"/>
              <w:left w:val="single" w:sz="4" w:space="0" w:color="auto"/>
              <w:bottom w:val="single" w:sz="4" w:space="0" w:color="auto"/>
              <w:right w:val="single" w:sz="4" w:space="0" w:color="auto"/>
            </w:tcBorders>
            <w:vAlign w:val="center"/>
          </w:tcPr>
          <w:p w14:paraId="5F5D5578"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华东医药</w:t>
            </w:r>
          </w:p>
        </w:tc>
        <w:tc>
          <w:tcPr>
            <w:tcW w:w="750" w:type="pct"/>
            <w:tcBorders>
              <w:top w:val="single" w:sz="4" w:space="0" w:color="auto"/>
              <w:left w:val="single" w:sz="4" w:space="0" w:color="auto"/>
              <w:bottom w:val="single" w:sz="4" w:space="0" w:color="auto"/>
              <w:right w:val="single" w:sz="4" w:space="0" w:color="auto"/>
            </w:tcBorders>
            <w:vAlign w:val="center"/>
          </w:tcPr>
          <w:p w14:paraId="1AA4BB4E"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48,600</w:t>
            </w:r>
          </w:p>
        </w:tc>
        <w:tc>
          <w:tcPr>
            <w:tcW w:w="750" w:type="pct"/>
            <w:tcBorders>
              <w:top w:val="single" w:sz="4" w:space="0" w:color="auto"/>
              <w:left w:val="single" w:sz="4" w:space="0" w:color="auto"/>
              <w:bottom w:val="single" w:sz="4" w:space="0" w:color="auto"/>
              <w:right w:val="single" w:sz="4" w:space="0" w:color="auto"/>
            </w:tcBorders>
            <w:vAlign w:val="center"/>
          </w:tcPr>
          <w:p w14:paraId="3CB26997"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2,252,124.00</w:t>
            </w:r>
          </w:p>
        </w:tc>
        <w:tc>
          <w:tcPr>
            <w:tcW w:w="750" w:type="pct"/>
            <w:tcBorders>
              <w:top w:val="single" w:sz="4" w:space="0" w:color="auto"/>
              <w:left w:val="single" w:sz="4" w:space="0" w:color="auto"/>
              <w:bottom w:val="single" w:sz="4" w:space="0" w:color="auto"/>
              <w:right w:val="single" w:sz="4" w:space="0" w:color="auto"/>
            </w:tcBorders>
            <w:vAlign w:val="center"/>
          </w:tcPr>
          <w:p w14:paraId="23899FEC"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3.92</w:t>
            </w:r>
          </w:p>
        </w:tc>
      </w:tr>
      <w:tr w:rsidR="001430E9" w14:paraId="424F14C3"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26A974E"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0E3B5AB0"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000858</w:t>
            </w:r>
          </w:p>
        </w:tc>
        <w:tc>
          <w:tcPr>
            <w:tcW w:w="750" w:type="pct"/>
            <w:tcBorders>
              <w:top w:val="single" w:sz="4" w:space="0" w:color="auto"/>
              <w:left w:val="single" w:sz="4" w:space="0" w:color="auto"/>
              <w:bottom w:val="single" w:sz="4" w:space="0" w:color="auto"/>
              <w:right w:val="single" w:sz="4" w:space="0" w:color="auto"/>
            </w:tcBorders>
            <w:vAlign w:val="center"/>
          </w:tcPr>
          <w:p w14:paraId="1612D321"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五</w:t>
            </w:r>
            <w:r>
              <w:rPr>
                <w:rFonts w:ascii="Times New Roman" w:hAnsi="Times New Roman"/>
                <w:color w:val="000000"/>
                <w:kern w:val="0"/>
                <w:sz w:val="25"/>
                <w:szCs w:val="24"/>
              </w:rPr>
              <w:t xml:space="preserve"> </w:t>
            </w:r>
            <w:r>
              <w:rPr>
                <w:rFonts w:ascii="Times New Roman" w:hAnsi="Times New Roman"/>
                <w:color w:val="000000"/>
                <w:kern w:val="0"/>
                <w:sz w:val="25"/>
                <w:szCs w:val="24"/>
              </w:rPr>
              <w:t>粮</w:t>
            </w:r>
            <w:r>
              <w:rPr>
                <w:rFonts w:ascii="Times New Roman" w:hAnsi="Times New Roman"/>
                <w:color w:val="000000"/>
                <w:kern w:val="0"/>
                <w:sz w:val="25"/>
                <w:szCs w:val="24"/>
              </w:rPr>
              <w:t xml:space="preserve"> </w:t>
            </w:r>
            <w:r>
              <w:rPr>
                <w:rFonts w:ascii="Times New Roman" w:hAnsi="Times New Roman"/>
                <w:color w:val="000000"/>
                <w:kern w:val="0"/>
                <w:sz w:val="25"/>
                <w:szCs w:val="24"/>
              </w:rPr>
              <w:t>液</w:t>
            </w:r>
          </w:p>
        </w:tc>
        <w:tc>
          <w:tcPr>
            <w:tcW w:w="750" w:type="pct"/>
            <w:tcBorders>
              <w:top w:val="single" w:sz="4" w:space="0" w:color="auto"/>
              <w:left w:val="single" w:sz="4" w:space="0" w:color="auto"/>
              <w:bottom w:val="single" w:sz="4" w:space="0" w:color="auto"/>
              <w:right w:val="single" w:sz="4" w:space="0" w:color="auto"/>
            </w:tcBorders>
            <w:vAlign w:val="center"/>
          </w:tcPr>
          <w:p w14:paraId="6B3A4D83"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9,500</w:t>
            </w:r>
          </w:p>
        </w:tc>
        <w:tc>
          <w:tcPr>
            <w:tcW w:w="750" w:type="pct"/>
            <w:tcBorders>
              <w:top w:val="single" w:sz="4" w:space="0" w:color="auto"/>
              <w:left w:val="single" w:sz="4" w:space="0" w:color="auto"/>
              <w:bottom w:val="single" w:sz="4" w:space="0" w:color="auto"/>
              <w:right w:val="single" w:sz="4" w:space="0" w:color="auto"/>
            </w:tcBorders>
            <w:vAlign w:val="center"/>
          </w:tcPr>
          <w:p w14:paraId="36BC8118"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1,871,500.00</w:t>
            </w:r>
          </w:p>
        </w:tc>
        <w:tc>
          <w:tcPr>
            <w:tcW w:w="750" w:type="pct"/>
            <w:tcBorders>
              <w:top w:val="single" w:sz="4" w:space="0" w:color="auto"/>
              <w:left w:val="single" w:sz="4" w:space="0" w:color="auto"/>
              <w:bottom w:val="single" w:sz="4" w:space="0" w:color="auto"/>
              <w:right w:val="single" w:sz="4" w:space="0" w:color="auto"/>
            </w:tcBorders>
            <w:vAlign w:val="center"/>
          </w:tcPr>
          <w:p w14:paraId="78B13BC6"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3.26</w:t>
            </w:r>
          </w:p>
        </w:tc>
      </w:tr>
      <w:tr w:rsidR="001430E9" w14:paraId="4E03A9C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EDC642A"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17FB8B9B"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600276</w:t>
            </w:r>
          </w:p>
        </w:tc>
        <w:tc>
          <w:tcPr>
            <w:tcW w:w="750" w:type="pct"/>
            <w:tcBorders>
              <w:top w:val="single" w:sz="4" w:space="0" w:color="auto"/>
              <w:left w:val="single" w:sz="4" w:space="0" w:color="auto"/>
              <w:bottom w:val="single" w:sz="4" w:space="0" w:color="auto"/>
              <w:right w:val="single" w:sz="4" w:space="0" w:color="auto"/>
            </w:tcBorders>
            <w:vAlign w:val="center"/>
          </w:tcPr>
          <w:p w14:paraId="282785F6"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恒瑞医药</w:t>
            </w:r>
          </w:p>
        </w:tc>
        <w:tc>
          <w:tcPr>
            <w:tcW w:w="750" w:type="pct"/>
            <w:tcBorders>
              <w:top w:val="single" w:sz="4" w:space="0" w:color="auto"/>
              <w:left w:val="single" w:sz="4" w:space="0" w:color="auto"/>
              <w:bottom w:val="single" w:sz="4" w:space="0" w:color="auto"/>
              <w:right w:val="single" w:sz="4" w:space="0" w:color="auto"/>
            </w:tcBorders>
            <w:vAlign w:val="center"/>
          </w:tcPr>
          <w:p w14:paraId="0F4B013E"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41,800</w:t>
            </w:r>
          </w:p>
        </w:tc>
        <w:tc>
          <w:tcPr>
            <w:tcW w:w="750" w:type="pct"/>
            <w:tcBorders>
              <w:top w:val="single" w:sz="4" w:space="0" w:color="auto"/>
              <w:left w:val="single" w:sz="4" w:space="0" w:color="auto"/>
              <w:bottom w:val="single" w:sz="4" w:space="0" w:color="auto"/>
              <w:right w:val="single" w:sz="4" w:space="0" w:color="auto"/>
            </w:tcBorders>
            <w:vAlign w:val="center"/>
          </w:tcPr>
          <w:p w14:paraId="4B7B56F4"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1,789,876.00</w:t>
            </w:r>
          </w:p>
        </w:tc>
        <w:tc>
          <w:tcPr>
            <w:tcW w:w="750" w:type="pct"/>
            <w:tcBorders>
              <w:top w:val="single" w:sz="4" w:space="0" w:color="auto"/>
              <w:left w:val="single" w:sz="4" w:space="0" w:color="auto"/>
              <w:bottom w:val="single" w:sz="4" w:space="0" w:color="auto"/>
              <w:right w:val="single" w:sz="4" w:space="0" w:color="auto"/>
            </w:tcBorders>
            <w:vAlign w:val="center"/>
          </w:tcPr>
          <w:p w14:paraId="55C3A7A8"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3.12</w:t>
            </w:r>
          </w:p>
        </w:tc>
      </w:tr>
      <w:tr w:rsidR="001430E9" w14:paraId="66A5795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D9517A6"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14:paraId="5BB92BC5"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01398 HK</w:t>
            </w:r>
          </w:p>
        </w:tc>
        <w:tc>
          <w:tcPr>
            <w:tcW w:w="750" w:type="pct"/>
            <w:tcBorders>
              <w:top w:val="single" w:sz="4" w:space="0" w:color="auto"/>
              <w:left w:val="single" w:sz="4" w:space="0" w:color="auto"/>
              <w:bottom w:val="single" w:sz="4" w:space="0" w:color="auto"/>
              <w:right w:val="single" w:sz="4" w:space="0" w:color="auto"/>
            </w:tcBorders>
            <w:vAlign w:val="center"/>
          </w:tcPr>
          <w:p w14:paraId="69D11721"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工商银行</w:t>
            </w:r>
          </w:p>
        </w:tc>
        <w:tc>
          <w:tcPr>
            <w:tcW w:w="750" w:type="pct"/>
            <w:tcBorders>
              <w:top w:val="single" w:sz="4" w:space="0" w:color="auto"/>
              <w:left w:val="single" w:sz="4" w:space="0" w:color="auto"/>
              <w:bottom w:val="single" w:sz="4" w:space="0" w:color="auto"/>
              <w:right w:val="single" w:sz="4" w:space="0" w:color="auto"/>
            </w:tcBorders>
            <w:vAlign w:val="center"/>
          </w:tcPr>
          <w:p w14:paraId="157142C7"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468,000</w:t>
            </w:r>
          </w:p>
        </w:tc>
        <w:tc>
          <w:tcPr>
            <w:tcW w:w="750" w:type="pct"/>
            <w:tcBorders>
              <w:top w:val="single" w:sz="4" w:space="0" w:color="auto"/>
              <w:left w:val="single" w:sz="4" w:space="0" w:color="auto"/>
              <w:bottom w:val="single" w:sz="4" w:space="0" w:color="auto"/>
              <w:right w:val="single" w:sz="4" w:space="0" w:color="auto"/>
            </w:tcBorders>
            <w:vAlign w:val="center"/>
          </w:tcPr>
          <w:p w14:paraId="351B9473"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1,712,512.06</w:t>
            </w:r>
          </w:p>
        </w:tc>
        <w:tc>
          <w:tcPr>
            <w:tcW w:w="750" w:type="pct"/>
            <w:tcBorders>
              <w:top w:val="single" w:sz="4" w:space="0" w:color="auto"/>
              <w:left w:val="single" w:sz="4" w:space="0" w:color="auto"/>
              <w:bottom w:val="single" w:sz="4" w:space="0" w:color="auto"/>
              <w:right w:val="single" w:sz="4" w:space="0" w:color="auto"/>
            </w:tcBorders>
            <w:vAlign w:val="center"/>
          </w:tcPr>
          <w:p w14:paraId="7E1AD68A"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2.98</w:t>
            </w:r>
          </w:p>
        </w:tc>
      </w:tr>
      <w:tr w:rsidR="001430E9" w14:paraId="42ACE33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52E1A7C"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14:paraId="04BAF33F"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600875</w:t>
            </w:r>
          </w:p>
        </w:tc>
        <w:tc>
          <w:tcPr>
            <w:tcW w:w="750" w:type="pct"/>
            <w:tcBorders>
              <w:top w:val="single" w:sz="4" w:space="0" w:color="auto"/>
              <w:left w:val="single" w:sz="4" w:space="0" w:color="auto"/>
              <w:bottom w:val="single" w:sz="4" w:space="0" w:color="auto"/>
              <w:right w:val="single" w:sz="4" w:space="0" w:color="auto"/>
            </w:tcBorders>
            <w:vAlign w:val="center"/>
          </w:tcPr>
          <w:p w14:paraId="13127674"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东方电气</w:t>
            </w:r>
          </w:p>
        </w:tc>
        <w:tc>
          <w:tcPr>
            <w:tcW w:w="750" w:type="pct"/>
            <w:tcBorders>
              <w:top w:val="single" w:sz="4" w:space="0" w:color="auto"/>
              <w:left w:val="single" w:sz="4" w:space="0" w:color="auto"/>
              <w:bottom w:val="single" w:sz="4" w:space="0" w:color="auto"/>
              <w:right w:val="single" w:sz="4" w:space="0" w:color="auto"/>
            </w:tcBorders>
            <w:vAlign w:val="center"/>
          </w:tcPr>
          <w:p w14:paraId="46570D51"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90,000</w:t>
            </w:r>
          </w:p>
        </w:tc>
        <w:tc>
          <w:tcPr>
            <w:tcW w:w="750" w:type="pct"/>
            <w:tcBorders>
              <w:top w:val="single" w:sz="4" w:space="0" w:color="auto"/>
              <w:left w:val="single" w:sz="4" w:space="0" w:color="auto"/>
              <w:bottom w:val="single" w:sz="4" w:space="0" w:color="auto"/>
              <w:right w:val="single" w:sz="4" w:space="0" w:color="auto"/>
            </w:tcBorders>
            <w:vAlign w:val="center"/>
          </w:tcPr>
          <w:p w14:paraId="14A6B9B7"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1,706,400.00</w:t>
            </w:r>
          </w:p>
        </w:tc>
        <w:tc>
          <w:tcPr>
            <w:tcW w:w="750" w:type="pct"/>
            <w:tcBorders>
              <w:top w:val="single" w:sz="4" w:space="0" w:color="auto"/>
              <w:left w:val="single" w:sz="4" w:space="0" w:color="auto"/>
              <w:bottom w:val="single" w:sz="4" w:space="0" w:color="auto"/>
              <w:right w:val="single" w:sz="4" w:space="0" w:color="auto"/>
            </w:tcBorders>
            <w:vAlign w:val="center"/>
          </w:tcPr>
          <w:p w14:paraId="5B2F5A6D"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2.97</w:t>
            </w:r>
          </w:p>
        </w:tc>
      </w:tr>
      <w:tr w:rsidR="001430E9" w14:paraId="63C9494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D965441"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14:paraId="0B2B2B31"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01055 HK</w:t>
            </w:r>
          </w:p>
        </w:tc>
        <w:tc>
          <w:tcPr>
            <w:tcW w:w="750" w:type="pct"/>
            <w:tcBorders>
              <w:top w:val="single" w:sz="4" w:space="0" w:color="auto"/>
              <w:left w:val="single" w:sz="4" w:space="0" w:color="auto"/>
              <w:bottom w:val="single" w:sz="4" w:space="0" w:color="auto"/>
              <w:right w:val="single" w:sz="4" w:space="0" w:color="auto"/>
            </w:tcBorders>
            <w:vAlign w:val="center"/>
          </w:tcPr>
          <w:p w14:paraId="1224A7BB"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中国南方航空股份</w:t>
            </w:r>
          </w:p>
        </w:tc>
        <w:tc>
          <w:tcPr>
            <w:tcW w:w="750" w:type="pct"/>
            <w:tcBorders>
              <w:top w:val="single" w:sz="4" w:space="0" w:color="auto"/>
              <w:left w:val="single" w:sz="4" w:space="0" w:color="auto"/>
              <w:bottom w:val="single" w:sz="4" w:space="0" w:color="auto"/>
              <w:right w:val="single" w:sz="4" w:space="0" w:color="auto"/>
            </w:tcBorders>
            <w:vAlign w:val="center"/>
          </w:tcPr>
          <w:p w14:paraId="23437BDD"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346,000</w:t>
            </w:r>
          </w:p>
        </w:tc>
        <w:tc>
          <w:tcPr>
            <w:tcW w:w="750" w:type="pct"/>
            <w:tcBorders>
              <w:top w:val="single" w:sz="4" w:space="0" w:color="auto"/>
              <w:left w:val="single" w:sz="4" w:space="0" w:color="auto"/>
              <w:bottom w:val="single" w:sz="4" w:space="0" w:color="auto"/>
              <w:right w:val="single" w:sz="4" w:space="0" w:color="auto"/>
            </w:tcBorders>
            <w:vAlign w:val="center"/>
          </w:tcPr>
          <w:p w14:paraId="6EF39956"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1,696,194.42</w:t>
            </w:r>
          </w:p>
        </w:tc>
        <w:tc>
          <w:tcPr>
            <w:tcW w:w="750" w:type="pct"/>
            <w:tcBorders>
              <w:top w:val="single" w:sz="4" w:space="0" w:color="auto"/>
              <w:left w:val="single" w:sz="4" w:space="0" w:color="auto"/>
              <w:bottom w:val="single" w:sz="4" w:space="0" w:color="auto"/>
              <w:right w:val="single" w:sz="4" w:space="0" w:color="auto"/>
            </w:tcBorders>
            <w:vAlign w:val="center"/>
          </w:tcPr>
          <w:p w14:paraId="124E6019"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2.95</w:t>
            </w:r>
          </w:p>
        </w:tc>
      </w:tr>
      <w:tr w:rsidR="001430E9" w14:paraId="7CD651B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C0C99A8"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4A6FA7B5"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300760</w:t>
            </w:r>
          </w:p>
        </w:tc>
        <w:tc>
          <w:tcPr>
            <w:tcW w:w="750" w:type="pct"/>
            <w:tcBorders>
              <w:top w:val="single" w:sz="4" w:space="0" w:color="auto"/>
              <w:left w:val="single" w:sz="4" w:space="0" w:color="auto"/>
              <w:bottom w:val="single" w:sz="4" w:space="0" w:color="auto"/>
              <w:right w:val="single" w:sz="4" w:space="0" w:color="auto"/>
            </w:tcBorders>
            <w:vAlign w:val="center"/>
          </w:tcPr>
          <w:p w14:paraId="3881B740"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迈瑞医疗</w:t>
            </w:r>
          </w:p>
        </w:tc>
        <w:tc>
          <w:tcPr>
            <w:tcW w:w="750" w:type="pct"/>
            <w:tcBorders>
              <w:top w:val="single" w:sz="4" w:space="0" w:color="auto"/>
              <w:left w:val="single" w:sz="4" w:space="0" w:color="auto"/>
              <w:bottom w:val="single" w:sz="4" w:space="0" w:color="auto"/>
              <w:right w:val="single" w:sz="4" w:space="0" w:color="auto"/>
            </w:tcBorders>
            <w:vAlign w:val="center"/>
          </w:tcPr>
          <w:p w14:paraId="635FECB0"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5,400</w:t>
            </w:r>
          </w:p>
        </w:tc>
        <w:tc>
          <w:tcPr>
            <w:tcW w:w="750" w:type="pct"/>
            <w:tcBorders>
              <w:top w:val="single" w:sz="4" w:space="0" w:color="auto"/>
              <w:left w:val="single" w:sz="4" w:space="0" w:color="auto"/>
              <w:bottom w:val="single" w:sz="4" w:space="0" w:color="auto"/>
              <w:right w:val="single" w:sz="4" w:space="0" w:color="auto"/>
            </w:tcBorders>
            <w:vAlign w:val="center"/>
          </w:tcPr>
          <w:p w14:paraId="7207FEFD"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1,683,234.00</w:t>
            </w:r>
          </w:p>
        </w:tc>
        <w:tc>
          <w:tcPr>
            <w:tcW w:w="750" w:type="pct"/>
            <w:tcBorders>
              <w:top w:val="single" w:sz="4" w:space="0" w:color="auto"/>
              <w:left w:val="single" w:sz="4" w:space="0" w:color="auto"/>
              <w:bottom w:val="single" w:sz="4" w:space="0" w:color="auto"/>
              <w:right w:val="single" w:sz="4" w:space="0" w:color="auto"/>
            </w:tcBorders>
            <w:vAlign w:val="center"/>
          </w:tcPr>
          <w:p w14:paraId="37CE350F"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2.93</w:t>
            </w:r>
          </w:p>
        </w:tc>
      </w:tr>
    </w:tbl>
    <w:p w14:paraId="450AE94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4、报告期末按债券品种分类的债券投资组合</w:t>
      </w:r>
    </w:p>
    <w:p w14:paraId="4EA4EB7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27E917E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5、报告期末按公允价值占基金资产净值比例大小排序的前五名债券投资明细</w:t>
      </w:r>
    </w:p>
    <w:p w14:paraId="3447E30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44DE182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6、报告期末按公允价值占基金资产净值比例大小排序的前十名资产支持证券投资明细</w:t>
      </w:r>
    </w:p>
    <w:p w14:paraId="175267D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4F676A3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7、报告期末按公允价值占基金资产净值比例大小排序的前五名贵金属投资明细</w:t>
      </w:r>
    </w:p>
    <w:p w14:paraId="4D63A80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03314C9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8、报告期末按公允价值占基金资产净值比例大小排序的前五名权证投资明细</w:t>
      </w:r>
    </w:p>
    <w:p w14:paraId="1554EE7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764E07E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9、报告期末本基金投资的股指期货交易情况说明</w:t>
      </w:r>
    </w:p>
    <w:p w14:paraId="2A9124B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9.1 报告期末本基金投资的股指期货持仓和损益明细</w:t>
      </w:r>
    </w:p>
    <w:p w14:paraId="1D3B7D5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0E44572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9.2 本基金投资股指期货的投资政策</w:t>
      </w:r>
    </w:p>
    <w:p w14:paraId="6ED0909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5247E2B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10、报告期末本基金投资的国债期货交易情况说明</w:t>
      </w:r>
    </w:p>
    <w:p w14:paraId="2AD296D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10.1 本期国债期货投资政策</w:t>
      </w:r>
    </w:p>
    <w:p w14:paraId="6BF0E38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1355D22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10.2 报告期末本基金投资的国债期货持仓和损益明细</w:t>
      </w:r>
    </w:p>
    <w:p w14:paraId="5E6C758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01E618A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10.3 本期国债期货投资评价</w:t>
      </w:r>
    </w:p>
    <w:p w14:paraId="734BCF1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3E54E08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11、投资组合报告附注</w:t>
      </w:r>
    </w:p>
    <w:p w14:paraId="593681E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11.1 本基金投资的前十名证券的发行主体本期是否出现被监管部门立案调查，或在报告编制日前一年内受到公开谴责、处罚的情形</w:t>
      </w:r>
    </w:p>
    <w:p w14:paraId="1B22FD4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报告期内本基金投资的前十名证券的发行主体出现被监管部门立案调查，或在报告编制日前一年内受到公开谴责、处罚的情形披露如下：</w:t>
      </w:r>
    </w:p>
    <w:p w14:paraId="285B254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xml:space="preserve">　　本报告编制日前一年内，国家市场监督管理总局公示国市监处〔2022〕20、21、22、23、27、28、30以及31号行政处罚决定书，给予腾讯50万元人民币罚款的行政处罚。</w:t>
      </w:r>
    </w:p>
    <w:p w14:paraId="4BB2974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xml:space="preserve">　　本基金管理人对证券投资决策程序的说明如下：本基金管理人对证券投资特别是重仓证券的投资有严格的投资决策流程控制，对上述主体发行证券的投资决策程序符合公司投资制度的规定。</w:t>
      </w:r>
    </w:p>
    <w:p w14:paraId="1D630B6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xml:space="preserve">　　除上述主体外，本基金投资的前十名证券的其他发行主体本期没有出现被监管部门立案调查，或在报告编制日前一年内受到公开谴责、处罚的情形。</w:t>
      </w:r>
    </w:p>
    <w:p w14:paraId="7BB99BF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11.2 基金投资的前十名股票是否超出基金合同规定的备选股票库</w:t>
      </w:r>
    </w:p>
    <w:p w14:paraId="1AA0AD3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本基金投资的前十名股票中，没有超出基金合同规定的备选股票库之外的股票。</w:t>
      </w:r>
    </w:p>
    <w:p w14:paraId="21210AA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11.3 其他资产构成</w:t>
      </w:r>
    </w:p>
    <w:tbl>
      <w:tblPr>
        <w:tblW w:w="5000" w:type="pct"/>
        <w:tblCellMar>
          <w:left w:w="0" w:type="dxa"/>
          <w:right w:w="0" w:type="dxa"/>
        </w:tblCellMar>
        <w:tblLook w:val="0000" w:firstRow="0" w:lastRow="0" w:firstColumn="0" w:lastColumn="0" w:noHBand="0" w:noVBand="0"/>
      </w:tblPr>
      <w:tblGrid>
        <w:gridCol w:w="1544"/>
        <w:gridCol w:w="4634"/>
        <w:gridCol w:w="2472"/>
      </w:tblGrid>
      <w:tr w:rsidR="001430E9" w14:paraId="7E15FA9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14:paraId="0BA20741"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14:paraId="61FCFBA3"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名称</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14:paraId="414E90CE"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r>
      <w:tr w:rsidR="001430E9" w14:paraId="105DA98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C3B3ED6"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77E65268"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存出保证金</w:t>
            </w:r>
          </w:p>
        </w:tc>
        <w:tc>
          <w:tcPr>
            <w:tcW w:w="400" w:type="pct"/>
            <w:tcBorders>
              <w:top w:val="single" w:sz="4" w:space="0" w:color="auto"/>
              <w:left w:val="single" w:sz="4" w:space="0" w:color="auto"/>
              <w:bottom w:val="single" w:sz="4" w:space="0" w:color="auto"/>
              <w:right w:val="single" w:sz="4" w:space="0" w:color="auto"/>
            </w:tcBorders>
            <w:vAlign w:val="center"/>
          </w:tcPr>
          <w:p w14:paraId="59F46899"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19,809.33</w:t>
            </w:r>
          </w:p>
        </w:tc>
      </w:tr>
      <w:tr w:rsidR="001430E9" w14:paraId="67927E2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43C46E6"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4778D69F"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应收证券清算款</w:t>
            </w:r>
          </w:p>
        </w:tc>
        <w:tc>
          <w:tcPr>
            <w:tcW w:w="400" w:type="pct"/>
            <w:tcBorders>
              <w:top w:val="single" w:sz="4" w:space="0" w:color="auto"/>
              <w:left w:val="single" w:sz="4" w:space="0" w:color="auto"/>
              <w:bottom w:val="single" w:sz="4" w:space="0" w:color="auto"/>
              <w:right w:val="single" w:sz="4" w:space="0" w:color="auto"/>
            </w:tcBorders>
            <w:vAlign w:val="center"/>
          </w:tcPr>
          <w:p w14:paraId="01CE6F5A"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1430E9" w14:paraId="3F93983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9FE6952"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301B66C0"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应收股利</w:t>
            </w:r>
          </w:p>
        </w:tc>
        <w:tc>
          <w:tcPr>
            <w:tcW w:w="400" w:type="pct"/>
            <w:tcBorders>
              <w:top w:val="single" w:sz="4" w:space="0" w:color="auto"/>
              <w:left w:val="single" w:sz="4" w:space="0" w:color="auto"/>
              <w:bottom w:val="single" w:sz="4" w:space="0" w:color="auto"/>
              <w:right w:val="single" w:sz="4" w:space="0" w:color="auto"/>
            </w:tcBorders>
            <w:vAlign w:val="center"/>
          </w:tcPr>
          <w:p w14:paraId="2641A63F"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1430E9" w14:paraId="2020F0F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C42CA26"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4951E3AE"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应收利息</w:t>
            </w:r>
          </w:p>
        </w:tc>
        <w:tc>
          <w:tcPr>
            <w:tcW w:w="400" w:type="pct"/>
            <w:tcBorders>
              <w:top w:val="single" w:sz="4" w:space="0" w:color="auto"/>
              <w:left w:val="single" w:sz="4" w:space="0" w:color="auto"/>
              <w:bottom w:val="single" w:sz="4" w:space="0" w:color="auto"/>
              <w:right w:val="single" w:sz="4" w:space="0" w:color="auto"/>
            </w:tcBorders>
            <w:vAlign w:val="center"/>
          </w:tcPr>
          <w:p w14:paraId="659855D0"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1430E9" w14:paraId="66DA78D1"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AC91CDB"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0064D155"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应收申购款</w:t>
            </w:r>
          </w:p>
        </w:tc>
        <w:tc>
          <w:tcPr>
            <w:tcW w:w="400" w:type="pct"/>
            <w:tcBorders>
              <w:top w:val="single" w:sz="4" w:space="0" w:color="auto"/>
              <w:left w:val="single" w:sz="4" w:space="0" w:color="auto"/>
              <w:bottom w:val="single" w:sz="4" w:space="0" w:color="auto"/>
              <w:right w:val="single" w:sz="4" w:space="0" w:color="auto"/>
            </w:tcBorders>
            <w:vAlign w:val="center"/>
          </w:tcPr>
          <w:p w14:paraId="36BF6034"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5,205.34</w:t>
            </w:r>
          </w:p>
        </w:tc>
      </w:tr>
      <w:tr w:rsidR="001430E9" w14:paraId="5C584BA0"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659CE8D"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1E55F541"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其他应收款</w:t>
            </w:r>
          </w:p>
        </w:tc>
        <w:tc>
          <w:tcPr>
            <w:tcW w:w="400" w:type="pct"/>
            <w:tcBorders>
              <w:top w:val="single" w:sz="4" w:space="0" w:color="auto"/>
              <w:left w:val="single" w:sz="4" w:space="0" w:color="auto"/>
              <w:bottom w:val="single" w:sz="4" w:space="0" w:color="auto"/>
              <w:right w:val="single" w:sz="4" w:space="0" w:color="auto"/>
            </w:tcBorders>
            <w:vAlign w:val="center"/>
          </w:tcPr>
          <w:p w14:paraId="62AE8605"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1430E9" w14:paraId="7187FD6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25A22D9"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14:paraId="16F7C3FD"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400" w:type="pct"/>
            <w:tcBorders>
              <w:top w:val="single" w:sz="4" w:space="0" w:color="auto"/>
              <w:left w:val="single" w:sz="4" w:space="0" w:color="auto"/>
              <w:bottom w:val="single" w:sz="4" w:space="0" w:color="auto"/>
              <w:right w:val="single" w:sz="4" w:space="0" w:color="auto"/>
            </w:tcBorders>
            <w:vAlign w:val="center"/>
          </w:tcPr>
          <w:p w14:paraId="3A267CA1"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1430E9" w14:paraId="38EF924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9118595"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14:paraId="003E4FEB"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400" w:type="pct"/>
            <w:tcBorders>
              <w:top w:val="single" w:sz="4" w:space="0" w:color="auto"/>
              <w:left w:val="single" w:sz="4" w:space="0" w:color="auto"/>
              <w:bottom w:val="single" w:sz="4" w:space="0" w:color="auto"/>
              <w:right w:val="single" w:sz="4" w:space="0" w:color="auto"/>
            </w:tcBorders>
            <w:vAlign w:val="center"/>
          </w:tcPr>
          <w:p w14:paraId="718C92FB" w14:textId="77777777" w:rsidR="001430E9" w:rsidRDefault="00C86CDB">
            <w:pPr>
              <w:widowControl/>
              <w:snapToGrid w:val="0"/>
              <w:jc w:val="right"/>
              <w:rPr>
                <w:rFonts w:ascii="宋体" w:hAnsi="宋体"/>
                <w:color w:val="000000"/>
                <w:kern w:val="0"/>
                <w:sz w:val="25"/>
                <w:szCs w:val="24"/>
              </w:rPr>
            </w:pPr>
            <w:r>
              <w:rPr>
                <w:rFonts w:ascii="Times New Roman" w:hAnsi="Times New Roman"/>
                <w:color w:val="000000"/>
                <w:kern w:val="0"/>
                <w:sz w:val="25"/>
                <w:szCs w:val="24"/>
              </w:rPr>
              <w:t>25,014.67</w:t>
            </w:r>
          </w:p>
        </w:tc>
      </w:tr>
    </w:tbl>
    <w:p w14:paraId="59CAC59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11.4 报告期末持有的处于转股期的可转换债券明细</w:t>
      </w:r>
    </w:p>
    <w:p w14:paraId="530A327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493F544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11.5 报告期末前十名股票中存在流通受限情况的说明</w:t>
      </w:r>
    </w:p>
    <w:p w14:paraId="1D90049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14:paraId="390D4A4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11.6 投资组合报告附注的其他文字描述部分</w:t>
      </w:r>
    </w:p>
    <w:p w14:paraId="4DE6964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由于四舍五入的原因，分项之和与合计项之间可能存在尾差。</w:t>
      </w:r>
    </w:p>
    <w:p w14:paraId="2220D706" w14:textId="77777777" w:rsidR="00435AFE" w:rsidRDefault="00C86CDB" w:rsidP="00435AFE">
      <w:pPr>
        <w:autoSpaceDE w:val="0"/>
        <w:autoSpaceDN w:val="0"/>
        <w:adjustRightInd w:val="0"/>
        <w:spacing w:line="360" w:lineRule="auto"/>
        <w:ind w:firstLineChars="200" w:firstLine="480"/>
        <w:rPr>
          <w:rFonts w:ascii="宋体" w:hAnsi="宋体"/>
          <w:szCs w:val="24"/>
        </w:rPr>
      </w:pPr>
      <w:r>
        <w:rPr>
          <w:rFonts w:ascii="宋体" w:hAnsi="宋体"/>
          <w:sz w:val="24"/>
        </w:rPr>
        <w:lastRenderedPageBreak/>
        <w:br w:type="page"/>
      </w:r>
    </w:p>
    <w:p w14:paraId="60E5CCDB" w14:textId="77777777" w:rsidR="001430E9" w:rsidRDefault="00C86CDB">
      <w:pPr>
        <w:pStyle w:val="1"/>
        <w:snapToGrid w:val="0"/>
        <w:spacing w:beforeLines="0" w:before="240" w:after="240"/>
        <w:rPr>
          <w:rFonts w:ascii="宋体" w:hAnsi="宋体"/>
          <w:szCs w:val="30"/>
        </w:rPr>
      </w:pPr>
      <w:bookmarkStart w:id="13" w:name="_Toc137828493"/>
      <w:r>
        <w:rPr>
          <w:rFonts w:ascii="Times New Roman" w:hAnsi="Times New Roman"/>
          <w:sz w:val="30"/>
        </w:rPr>
        <w:lastRenderedPageBreak/>
        <w:t>十一、基金的业绩</w:t>
      </w:r>
      <w:bookmarkEnd w:id="13"/>
    </w:p>
    <w:p w14:paraId="6AF0D8E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基金业绩截止日为2023年03月31日，所载财务数据未经审计师审计。</w:t>
      </w:r>
    </w:p>
    <w:p w14:paraId="34BF077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14:paraId="1F8E346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下述基金业绩指标不包括持有人认购或交易基金的各项费用，计入费用后实际收益水平要低于所列数字。</w:t>
      </w:r>
    </w:p>
    <w:p w14:paraId="2D7C200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1、本报告期基金份额净值增长率及其与同期业绩比较基准收益率的比较</w:t>
      </w:r>
    </w:p>
    <w:tbl>
      <w:tblPr>
        <w:tblW w:w="5000" w:type="pct"/>
        <w:tblCellMar>
          <w:left w:w="0" w:type="dxa"/>
          <w:right w:w="0" w:type="dxa"/>
        </w:tblCellMar>
        <w:tblLook w:val="0000" w:firstRow="0" w:lastRow="0" w:firstColumn="0" w:lastColumn="0" w:noHBand="0" w:noVBand="0"/>
      </w:tblPr>
      <w:tblGrid>
        <w:gridCol w:w="1297"/>
        <w:gridCol w:w="1297"/>
        <w:gridCol w:w="1297"/>
        <w:gridCol w:w="1298"/>
        <w:gridCol w:w="1298"/>
        <w:gridCol w:w="1298"/>
        <w:gridCol w:w="865"/>
      </w:tblGrid>
      <w:tr w:rsidR="001430E9" w14:paraId="7210AB68"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0DE5FF52"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阶段</w:t>
            </w:r>
          </w:p>
        </w:tc>
        <w:tc>
          <w:tcPr>
            <w:tcW w:w="750" w:type="pct"/>
            <w:tcBorders>
              <w:top w:val="single" w:sz="4" w:space="0" w:color="auto"/>
              <w:left w:val="single" w:sz="4" w:space="0" w:color="auto"/>
              <w:bottom w:val="single" w:sz="4" w:space="0" w:color="auto"/>
              <w:right w:val="single" w:sz="4" w:space="0" w:color="auto"/>
            </w:tcBorders>
            <w:vAlign w:val="center"/>
          </w:tcPr>
          <w:p w14:paraId="4B809E8B"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w:t>
            </w:r>
            <w:r>
              <w:rPr>
                <w:rFonts w:ascii="Times New Roman" w:hAnsi="Times New Roman"/>
                <w:color w:val="000000"/>
                <w:kern w:val="0"/>
                <w:sz w:val="25"/>
                <w:szCs w:val="24"/>
              </w:rPr>
              <w:t>①</w:t>
            </w:r>
          </w:p>
        </w:tc>
        <w:tc>
          <w:tcPr>
            <w:tcW w:w="750" w:type="pct"/>
            <w:tcBorders>
              <w:top w:val="single" w:sz="4" w:space="0" w:color="auto"/>
              <w:left w:val="single" w:sz="4" w:space="0" w:color="auto"/>
              <w:bottom w:val="single" w:sz="4" w:space="0" w:color="auto"/>
              <w:right w:val="single" w:sz="4" w:space="0" w:color="auto"/>
            </w:tcBorders>
            <w:vAlign w:val="center"/>
          </w:tcPr>
          <w:p w14:paraId="204F055A"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净值增长率标准差</w:t>
            </w:r>
            <w:r>
              <w:rPr>
                <w:rFonts w:ascii="Times New Roman" w:hAnsi="Times New Roman"/>
                <w:color w:val="000000"/>
                <w:kern w:val="0"/>
                <w:sz w:val="25"/>
                <w:szCs w:val="24"/>
              </w:rPr>
              <w:t>②</w:t>
            </w:r>
          </w:p>
        </w:tc>
        <w:tc>
          <w:tcPr>
            <w:tcW w:w="750" w:type="pct"/>
            <w:tcBorders>
              <w:top w:val="single" w:sz="4" w:space="0" w:color="auto"/>
              <w:left w:val="single" w:sz="4" w:space="0" w:color="auto"/>
              <w:bottom w:val="single" w:sz="4" w:space="0" w:color="auto"/>
              <w:right w:val="single" w:sz="4" w:space="0" w:color="auto"/>
            </w:tcBorders>
            <w:vAlign w:val="center"/>
          </w:tcPr>
          <w:p w14:paraId="128D12C8"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14:paraId="49164844"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业绩比较基准收益率标准差</w:t>
            </w:r>
            <w:r>
              <w:rPr>
                <w:rFonts w:ascii="Times New Roman" w:hAnsi="Times New Roman"/>
                <w:color w:val="000000"/>
                <w:kern w:val="0"/>
                <w:sz w:val="25"/>
                <w:szCs w:val="24"/>
              </w:rPr>
              <w:t>④</w:t>
            </w:r>
          </w:p>
        </w:tc>
        <w:tc>
          <w:tcPr>
            <w:tcW w:w="750" w:type="pct"/>
            <w:tcBorders>
              <w:top w:val="single" w:sz="4" w:space="0" w:color="auto"/>
              <w:left w:val="single" w:sz="4" w:space="0" w:color="auto"/>
              <w:bottom w:val="single" w:sz="4" w:space="0" w:color="auto"/>
              <w:right w:val="single" w:sz="4" w:space="0" w:color="auto"/>
            </w:tcBorders>
            <w:vAlign w:val="center"/>
          </w:tcPr>
          <w:p w14:paraId="76DF28B9"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①-③</w:t>
            </w:r>
          </w:p>
        </w:tc>
        <w:tc>
          <w:tcPr>
            <w:tcW w:w="750" w:type="pct"/>
            <w:tcBorders>
              <w:top w:val="single" w:sz="4" w:space="0" w:color="auto"/>
              <w:left w:val="single" w:sz="4" w:space="0" w:color="auto"/>
              <w:bottom w:val="single" w:sz="4" w:space="0" w:color="auto"/>
              <w:right w:val="single" w:sz="4" w:space="0" w:color="auto"/>
            </w:tcBorders>
            <w:vAlign w:val="center"/>
          </w:tcPr>
          <w:p w14:paraId="6A2A411B"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②-④</w:t>
            </w:r>
          </w:p>
        </w:tc>
      </w:tr>
      <w:tr w:rsidR="001430E9" w14:paraId="5D3D216D"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048CA5A1"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过去三个月</w:t>
            </w:r>
          </w:p>
        </w:tc>
        <w:tc>
          <w:tcPr>
            <w:tcW w:w="750" w:type="pct"/>
            <w:tcBorders>
              <w:top w:val="single" w:sz="4" w:space="0" w:color="auto"/>
              <w:left w:val="single" w:sz="4" w:space="0" w:color="auto"/>
              <w:bottom w:val="single" w:sz="4" w:space="0" w:color="auto"/>
              <w:right w:val="single" w:sz="4" w:space="0" w:color="auto"/>
            </w:tcBorders>
            <w:vAlign w:val="center"/>
          </w:tcPr>
          <w:p w14:paraId="22BAB3E2"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0.68%</w:t>
            </w:r>
          </w:p>
        </w:tc>
        <w:tc>
          <w:tcPr>
            <w:tcW w:w="750" w:type="pct"/>
            <w:tcBorders>
              <w:top w:val="single" w:sz="4" w:space="0" w:color="auto"/>
              <w:left w:val="single" w:sz="4" w:space="0" w:color="auto"/>
              <w:bottom w:val="single" w:sz="4" w:space="0" w:color="auto"/>
              <w:right w:val="single" w:sz="4" w:space="0" w:color="auto"/>
            </w:tcBorders>
            <w:vAlign w:val="center"/>
          </w:tcPr>
          <w:p w14:paraId="6F93A6E3"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0.87%</w:t>
            </w:r>
          </w:p>
        </w:tc>
        <w:tc>
          <w:tcPr>
            <w:tcW w:w="750" w:type="pct"/>
            <w:tcBorders>
              <w:top w:val="single" w:sz="4" w:space="0" w:color="auto"/>
              <w:left w:val="single" w:sz="4" w:space="0" w:color="auto"/>
              <w:bottom w:val="single" w:sz="4" w:space="0" w:color="auto"/>
              <w:right w:val="single" w:sz="4" w:space="0" w:color="auto"/>
            </w:tcBorders>
            <w:vAlign w:val="center"/>
          </w:tcPr>
          <w:p w14:paraId="0E763EBD"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3.55%</w:t>
            </w:r>
          </w:p>
        </w:tc>
        <w:tc>
          <w:tcPr>
            <w:tcW w:w="750" w:type="pct"/>
            <w:tcBorders>
              <w:top w:val="single" w:sz="4" w:space="0" w:color="auto"/>
              <w:left w:val="single" w:sz="4" w:space="0" w:color="auto"/>
              <w:bottom w:val="single" w:sz="4" w:space="0" w:color="auto"/>
              <w:right w:val="single" w:sz="4" w:space="0" w:color="auto"/>
            </w:tcBorders>
            <w:vAlign w:val="center"/>
          </w:tcPr>
          <w:p w14:paraId="69519E44"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0.79%</w:t>
            </w:r>
          </w:p>
        </w:tc>
        <w:tc>
          <w:tcPr>
            <w:tcW w:w="750" w:type="pct"/>
            <w:tcBorders>
              <w:top w:val="single" w:sz="4" w:space="0" w:color="auto"/>
              <w:left w:val="single" w:sz="4" w:space="0" w:color="auto"/>
              <w:bottom w:val="single" w:sz="4" w:space="0" w:color="auto"/>
              <w:right w:val="single" w:sz="4" w:space="0" w:color="auto"/>
            </w:tcBorders>
            <w:vAlign w:val="center"/>
          </w:tcPr>
          <w:p w14:paraId="7B318D16"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-2.87%</w:t>
            </w:r>
          </w:p>
        </w:tc>
        <w:tc>
          <w:tcPr>
            <w:tcW w:w="750" w:type="pct"/>
            <w:tcBorders>
              <w:top w:val="single" w:sz="4" w:space="0" w:color="auto"/>
              <w:left w:val="single" w:sz="4" w:space="0" w:color="auto"/>
              <w:bottom w:val="single" w:sz="4" w:space="0" w:color="auto"/>
              <w:right w:val="single" w:sz="4" w:space="0" w:color="auto"/>
            </w:tcBorders>
            <w:vAlign w:val="center"/>
          </w:tcPr>
          <w:p w14:paraId="36FE84E5"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0.08%</w:t>
            </w:r>
          </w:p>
        </w:tc>
      </w:tr>
      <w:tr w:rsidR="001430E9" w14:paraId="710EC1FC"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0D384371"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2022</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42800EA8"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-14.56%</w:t>
            </w:r>
          </w:p>
        </w:tc>
        <w:tc>
          <w:tcPr>
            <w:tcW w:w="750" w:type="pct"/>
            <w:tcBorders>
              <w:top w:val="single" w:sz="4" w:space="0" w:color="auto"/>
              <w:left w:val="single" w:sz="4" w:space="0" w:color="auto"/>
              <w:bottom w:val="single" w:sz="4" w:space="0" w:color="auto"/>
              <w:right w:val="single" w:sz="4" w:space="0" w:color="auto"/>
            </w:tcBorders>
            <w:vAlign w:val="center"/>
          </w:tcPr>
          <w:p w14:paraId="45BF1D3F"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1.22%</w:t>
            </w:r>
          </w:p>
        </w:tc>
        <w:tc>
          <w:tcPr>
            <w:tcW w:w="750" w:type="pct"/>
            <w:tcBorders>
              <w:top w:val="single" w:sz="4" w:space="0" w:color="auto"/>
              <w:left w:val="single" w:sz="4" w:space="0" w:color="auto"/>
              <w:bottom w:val="single" w:sz="4" w:space="0" w:color="auto"/>
              <w:right w:val="single" w:sz="4" w:space="0" w:color="auto"/>
            </w:tcBorders>
            <w:vAlign w:val="center"/>
          </w:tcPr>
          <w:p w14:paraId="4FD1C809"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-14.57%</w:t>
            </w:r>
          </w:p>
        </w:tc>
        <w:tc>
          <w:tcPr>
            <w:tcW w:w="750" w:type="pct"/>
            <w:tcBorders>
              <w:top w:val="single" w:sz="4" w:space="0" w:color="auto"/>
              <w:left w:val="single" w:sz="4" w:space="0" w:color="auto"/>
              <w:bottom w:val="single" w:sz="4" w:space="0" w:color="auto"/>
              <w:right w:val="single" w:sz="4" w:space="0" w:color="auto"/>
            </w:tcBorders>
            <w:vAlign w:val="center"/>
          </w:tcPr>
          <w:p w14:paraId="3DF3EC6B"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1.17%</w:t>
            </w:r>
          </w:p>
        </w:tc>
        <w:tc>
          <w:tcPr>
            <w:tcW w:w="750" w:type="pct"/>
            <w:tcBorders>
              <w:top w:val="single" w:sz="4" w:space="0" w:color="auto"/>
              <w:left w:val="single" w:sz="4" w:space="0" w:color="auto"/>
              <w:bottom w:val="single" w:sz="4" w:space="0" w:color="auto"/>
              <w:right w:val="single" w:sz="4" w:space="0" w:color="auto"/>
            </w:tcBorders>
            <w:vAlign w:val="center"/>
          </w:tcPr>
          <w:p w14:paraId="51C194F8"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c>
          <w:tcPr>
            <w:tcW w:w="750" w:type="pct"/>
            <w:tcBorders>
              <w:top w:val="single" w:sz="4" w:space="0" w:color="auto"/>
              <w:left w:val="single" w:sz="4" w:space="0" w:color="auto"/>
              <w:bottom w:val="single" w:sz="4" w:space="0" w:color="auto"/>
              <w:right w:val="single" w:sz="4" w:space="0" w:color="auto"/>
            </w:tcBorders>
            <w:vAlign w:val="center"/>
          </w:tcPr>
          <w:p w14:paraId="0A7CCE9B"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0.05%</w:t>
            </w:r>
          </w:p>
        </w:tc>
      </w:tr>
      <w:tr w:rsidR="001430E9" w14:paraId="12DA7300"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5E34CACB"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2021</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2A54BD77"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2.36%</w:t>
            </w:r>
          </w:p>
        </w:tc>
        <w:tc>
          <w:tcPr>
            <w:tcW w:w="750" w:type="pct"/>
            <w:tcBorders>
              <w:top w:val="single" w:sz="4" w:space="0" w:color="auto"/>
              <w:left w:val="single" w:sz="4" w:space="0" w:color="auto"/>
              <w:bottom w:val="single" w:sz="4" w:space="0" w:color="auto"/>
              <w:right w:val="single" w:sz="4" w:space="0" w:color="auto"/>
            </w:tcBorders>
            <w:vAlign w:val="center"/>
          </w:tcPr>
          <w:p w14:paraId="0FF55167"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1.25%</w:t>
            </w:r>
          </w:p>
        </w:tc>
        <w:tc>
          <w:tcPr>
            <w:tcW w:w="750" w:type="pct"/>
            <w:tcBorders>
              <w:top w:val="single" w:sz="4" w:space="0" w:color="auto"/>
              <w:left w:val="single" w:sz="4" w:space="0" w:color="auto"/>
              <w:bottom w:val="single" w:sz="4" w:space="0" w:color="auto"/>
              <w:right w:val="single" w:sz="4" w:space="0" w:color="auto"/>
            </w:tcBorders>
            <w:vAlign w:val="center"/>
          </w:tcPr>
          <w:p w14:paraId="5140A7B8"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-5.57%</w:t>
            </w:r>
          </w:p>
        </w:tc>
        <w:tc>
          <w:tcPr>
            <w:tcW w:w="750" w:type="pct"/>
            <w:tcBorders>
              <w:top w:val="single" w:sz="4" w:space="0" w:color="auto"/>
              <w:left w:val="single" w:sz="4" w:space="0" w:color="auto"/>
              <w:bottom w:val="single" w:sz="4" w:space="0" w:color="auto"/>
              <w:right w:val="single" w:sz="4" w:space="0" w:color="auto"/>
            </w:tcBorders>
            <w:vAlign w:val="center"/>
          </w:tcPr>
          <w:p w14:paraId="386F2CBD"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0.87%</w:t>
            </w:r>
          </w:p>
        </w:tc>
        <w:tc>
          <w:tcPr>
            <w:tcW w:w="750" w:type="pct"/>
            <w:tcBorders>
              <w:top w:val="single" w:sz="4" w:space="0" w:color="auto"/>
              <w:left w:val="single" w:sz="4" w:space="0" w:color="auto"/>
              <w:bottom w:val="single" w:sz="4" w:space="0" w:color="auto"/>
              <w:right w:val="single" w:sz="4" w:space="0" w:color="auto"/>
            </w:tcBorders>
            <w:vAlign w:val="center"/>
          </w:tcPr>
          <w:p w14:paraId="1C1421E8"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7.93%</w:t>
            </w:r>
          </w:p>
        </w:tc>
        <w:tc>
          <w:tcPr>
            <w:tcW w:w="750" w:type="pct"/>
            <w:tcBorders>
              <w:top w:val="single" w:sz="4" w:space="0" w:color="auto"/>
              <w:left w:val="single" w:sz="4" w:space="0" w:color="auto"/>
              <w:bottom w:val="single" w:sz="4" w:space="0" w:color="auto"/>
              <w:right w:val="single" w:sz="4" w:space="0" w:color="auto"/>
            </w:tcBorders>
            <w:vAlign w:val="center"/>
          </w:tcPr>
          <w:p w14:paraId="4B65938D"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0.38%</w:t>
            </w:r>
          </w:p>
        </w:tc>
      </w:tr>
      <w:tr w:rsidR="001430E9" w14:paraId="15B2CECD"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617A7441"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2020</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14:paraId="31CAD6BA"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54.78%</w:t>
            </w:r>
          </w:p>
        </w:tc>
        <w:tc>
          <w:tcPr>
            <w:tcW w:w="750" w:type="pct"/>
            <w:tcBorders>
              <w:top w:val="single" w:sz="4" w:space="0" w:color="auto"/>
              <w:left w:val="single" w:sz="4" w:space="0" w:color="auto"/>
              <w:bottom w:val="single" w:sz="4" w:space="0" w:color="auto"/>
              <w:right w:val="single" w:sz="4" w:space="0" w:color="auto"/>
            </w:tcBorders>
            <w:vAlign w:val="center"/>
          </w:tcPr>
          <w:p w14:paraId="4D9C73BD"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1.65%</w:t>
            </w:r>
          </w:p>
        </w:tc>
        <w:tc>
          <w:tcPr>
            <w:tcW w:w="750" w:type="pct"/>
            <w:tcBorders>
              <w:top w:val="single" w:sz="4" w:space="0" w:color="auto"/>
              <w:left w:val="single" w:sz="4" w:space="0" w:color="auto"/>
              <w:bottom w:val="single" w:sz="4" w:space="0" w:color="auto"/>
              <w:right w:val="single" w:sz="4" w:space="0" w:color="auto"/>
            </w:tcBorders>
            <w:vAlign w:val="center"/>
          </w:tcPr>
          <w:p w14:paraId="0610EF28"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13.03%</w:t>
            </w:r>
          </w:p>
        </w:tc>
        <w:tc>
          <w:tcPr>
            <w:tcW w:w="750" w:type="pct"/>
            <w:tcBorders>
              <w:top w:val="single" w:sz="4" w:space="0" w:color="auto"/>
              <w:left w:val="single" w:sz="4" w:space="0" w:color="auto"/>
              <w:bottom w:val="single" w:sz="4" w:space="0" w:color="auto"/>
              <w:right w:val="single" w:sz="4" w:space="0" w:color="auto"/>
            </w:tcBorders>
            <w:vAlign w:val="center"/>
          </w:tcPr>
          <w:p w14:paraId="52B38EAC"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1.08%</w:t>
            </w:r>
          </w:p>
        </w:tc>
        <w:tc>
          <w:tcPr>
            <w:tcW w:w="750" w:type="pct"/>
            <w:tcBorders>
              <w:top w:val="single" w:sz="4" w:space="0" w:color="auto"/>
              <w:left w:val="single" w:sz="4" w:space="0" w:color="auto"/>
              <w:bottom w:val="single" w:sz="4" w:space="0" w:color="auto"/>
              <w:right w:val="single" w:sz="4" w:space="0" w:color="auto"/>
            </w:tcBorders>
            <w:vAlign w:val="center"/>
          </w:tcPr>
          <w:p w14:paraId="4D753EB7"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41.75%</w:t>
            </w:r>
          </w:p>
        </w:tc>
        <w:tc>
          <w:tcPr>
            <w:tcW w:w="750" w:type="pct"/>
            <w:tcBorders>
              <w:top w:val="single" w:sz="4" w:space="0" w:color="auto"/>
              <w:left w:val="single" w:sz="4" w:space="0" w:color="auto"/>
              <w:bottom w:val="single" w:sz="4" w:space="0" w:color="auto"/>
              <w:right w:val="single" w:sz="4" w:space="0" w:color="auto"/>
            </w:tcBorders>
            <w:vAlign w:val="center"/>
          </w:tcPr>
          <w:p w14:paraId="25F3D157"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0.57%</w:t>
            </w:r>
          </w:p>
        </w:tc>
      </w:tr>
      <w:tr w:rsidR="001430E9" w14:paraId="21064C92" w14:textId="77777777">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14:paraId="07B439EF"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2019</w:t>
            </w:r>
            <w:r>
              <w:rPr>
                <w:rFonts w:ascii="Times New Roman" w:hAnsi="Times New Roman"/>
                <w:color w:val="000000"/>
                <w:kern w:val="0"/>
                <w:sz w:val="25"/>
                <w:szCs w:val="24"/>
              </w:rPr>
              <w:t>年（自基金合同生效起至</w:t>
            </w:r>
            <w:r>
              <w:rPr>
                <w:rFonts w:ascii="Times New Roman" w:hAnsi="Times New Roman"/>
                <w:color w:val="000000"/>
                <w:kern w:val="0"/>
                <w:sz w:val="25"/>
                <w:szCs w:val="24"/>
              </w:rPr>
              <w:t>2019</w:t>
            </w:r>
            <w:r>
              <w:rPr>
                <w:rFonts w:ascii="Times New Roman" w:hAnsi="Times New Roman"/>
                <w:color w:val="000000"/>
                <w:kern w:val="0"/>
                <w:sz w:val="25"/>
                <w:szCs w:val="24"/>
              </w:rPr>
              <w:t>年</w:t>
            </w:r>
            <w:r>
              <w:rPr>
                <w:rFonts w:ascii="Times New Roman" w:hAnsi="Times New Roman"/>
                <w:color w:val="000000"/>
                <w:kern w:val="0"/>
                <w:sz w:val="25"/>
                <w:szCs w:val="24"/>
              </w:rPr>
              <w:t>12</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14:paraId="281F46CA"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24.49%</w:t>
            </w:r>
          </w:p>
        </w:tc>
        <w:tc>
          <w:tcPr>
            <w:tcW w:w="750" w:type="pct"/>
            <w:tcBorders>
              <w:top w:val="single" w:sz="4" w:space="0" w:color="auto"/>
              <w:left w:val="single" w:sz="4" w:space="0" w:color="auto"/>
              <w:bottom w:val="single" w:sz="4" w:space="0" w:color="auto"/>
              <w:right w:val="single" w:sz="4" w:space="0" w:color="auto"/>
            </w:tcBorders>
            <w:vAlign w:val="center"/>
          </w:tcPr>
          <w:p w14:paraId="52EB795D"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0.96%</w:t>
            </w:r>
          </w:p>
        </w:tc>
        <w:tc>
          <w:tcPr>
            <w:tcW w:w="750" w:type="pct"/>
            <w:tcBorders>
              <w:top w:val="single" w:sz="4" w:space="0" w:color="auto"/>
              <w:left w:val="single" w:sz="4" w:space="0" w:color="auto"/>
              <w:bottom w:val="single" w:sz="4" w:space="0" w:color="auto"/>
              <w:right w:val="single" w:sz="4" w:space="0" w:color="auto"/>
            </w:tcBorders>
            <w:vAlign w:val="center"/>
          </w:tcPr>
          <w:p w14:paraId="2E9BD7A7"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17.95%</w:t>
            </w:r>
          </w:p>
        </w:tc>
        <w:tc>
          <w:tcPr>
            <w:tcW w:w="750" w:type="pct"/>
            <w:tcBorders>
              <w:top w:val="single" w:sz="4" w:space="0" w:color="auto"/>
              <w:left w:val="single" w:sz="4" w:space="0" w:color="auto"/>
              <w:bottom w:val="single" w:sz="4" w:space="0" w:color="auto"/>
              <w:right w:val="single" w:sz="4" w:space="0" w:color="auto"/>
            </w:tcBorders>
            <w:vAlign w:val="center"/>
          </w:tcPr>
          <w:p w14:paraId="2BACE69B"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0.83%</w:t>
            </w:r>
          </w:p>
        </w:tc>
        <w:tc>
          <w:tcPr>
            <w:tcW w:w="750" w:type="pct"/>
            <w:tcBorders>
              <w:top w:val="single" w:sz="4" w:space="0" w:color="auto"/>
              <w:left w:val="single" w:sz="4" w:space="0" w:color="auto"/>
              <w:bottom w:val="single" w:sz="4" w:space="0" w:color="auto"/>
              <w:right w:val="single" w:sz="4" w:space="0" w:color="auto"/>
            </w:tcBorders>
            <w:vAlign w:val="center"/>
          </w:tcPr>
          <w:p w14:paraId="23177FFB"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6.54%</w:t>
            </w:r>
          </w:p>
        </w:tc>
        <w:tc>
          <w:tcPr>
            <w:tcW w:w="750" w:type="pct"/>
            <w:tcBorders>
              <w:top w:val="single" w:sz="4" w:space="0" w:color="auto"/>
              <w:left w:val="single" w:sz="4" w:space="0" w:color="auto"/>
              <w:bottom w:val="single" w:sz="4" w:space="0" w:color="auto"/>
              <w:right w:val="single" w:sz="4" w:space="0" w:color="auto"/>
            </w:tcBorders>
            <w:vAlign w:val="center"/>
          </w:tcPr>
          <w:p w14:paraId="57959873"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0.13%</w:t>
            </w:r>
          </w:p>
        </w:tc>
      </w:tr>
    </w:tbl>
    <w:p w14:paraId="09B439E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2、自基金合同生效以来基金份额累计净值增长率变动及其与同期业绩比较基准收益率变动的比较</w:t>
      </w:r>
    </w:p>
    <w:p w14:paraId="621D5975" w14:textId="77777777" w:rsidR="001430E9" w:rsidRDefault="00C86CDB">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交银施罗德核心资产混合型证券投资基金</w:t>
      </w:r>
    </w:p>
    <w:p w14:paraId="1AFDCCDA" w14:textId="77777777" w:rsidR="001430E9" w:rsidRDefault="00C86CDB">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份额累计净值增长率与业绩比较基准收益率历史走势对比图</w:t>
      </w:r>
    </w:p>
    <w:p w14:paraId="15A87787" w14:textId="77777777" w:rsidR="001430E9" w:rsidRDefault="00C86CDB">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（2019年1月18日至2023年03月31日）</w:t>
      </w:r>
    </w:p>
    <w:p w14:paraId="7AFE2F96" w14:textId="5674573C" w:rsidR="001430E9" w:rsidRDefault="002370F2">
      <w:pPr>
        <w:autoSpaceDE w:val="0"/>
        <w:autoSpaceDN w:val="0"/>
        <w:adjustRightInd w:val="0"/>
        <w:snapToGrid w:val="0"/>
        <w:spacing w:line="360" w:lineRule="auto"/>
        <w:ind w:firstLineChars="200" w:firstLine="480"/>
        <w:jc w:val="left"/>
        <w:rPr>
          <w:rFonts w:ascii="宋体" w:hAnsi="宋体"/>
          <w:szCs w:val="24"/>
        </w:rPr>
      </w:pPr>
      <w:r>
        <w:rPr>
          <w:rFonts w:ascii="宋体" w:hAnsi="宋体"/>
          <w:noProof/>
          <w:kern w:val="0"/>
          <w:sz w:val="24"/>
        </w:rPr>
        <w:lastRenderedPageBreak/>
        <w:drawing>
          <wp:inline distT="0" distB="0" distL="0" distR="0" wp14:anchorId="21A5442A" wp14:editId="369A3F1F">
            <wp:extent cx="5581650" cy="3409950"/>
            <wp:effectExtent l="0" t="0" r="0" b="0"/>
            <wp:docPr id="3" name="图片 2"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212566102420208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1650" cy="3409950"/>
                    </a:xfrm>
                    <a:prstGeom prst="rect">
                      <a:avLst/>
                    </a:prstGeom>
                    <a:noFill/>
                    <a:ln>
                      <a:noFill/>
                    </a:ln>
                  </pic:spPr>
                </pic:pic>
              </a:graphicData>
            </a:graphic>
          </wp:inline>
        </w:drawing>
      </w:r>
    </w:p>
    <w:p w14:paraId="04747A8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注：本基金建仓期为自基金合同生效日起的6个月。截至建仓期结束，本基金各项资产配置比例符合基金合同及招募说明书有关投资比例的约定。</w:t>
      </w:r>
    </w:p>
    <w:p w14:paraId="038CD886" w14:textId="77777777" w:rsidR="00435AFE" w:rsidRDefault="00C86CDB" w:rsidP="00435AFE">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4D5B337E" w14:textId="77777777" w:rsidR="001430E9" w:rsidRDefault="00C86CDB">
      <w:pPr>
        <w:pStyle w:val="1"/>
        <w:snapToGrid w:val="0"/>
        <w:spacing w:beforeLines="0" w:before="240" w:after="240"/>
        <w:rPr>
          <w:rFonts w:ascii="宋体" w:hAnsi="宋体"/>
          <w:szCs w:val="30"/>
        </w:rPr>
      </w:pPr>
      <w:bookmarkStart w:id="14" w:name="_Toc137828494"/>
      <w:r>
        <w:rPr>
          <w:rFonts w:ascii="Times New Roman" w:hAnsi="Times New Roman"/>
          <w:sz w:val="30"/>
        </w:rPr>
        <w:lastRenderedPageBreak/>
        <w:t>十二、基金的财产</w:t>
      </w:r>
      <w:bookmarkEnd w:id="14"/>
    </w:p>
    <w:p w14:paraId="3ED3460F"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（一）基金资产总值</w:t>
      </w:r>
    </w:p>
    <w:p w14:paraId="4A338CC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基金资产总值是指基金拥有的各类有价证券、股指期货合约、银行存款本息、基金应收申购款及其他资产的价值总和。</w:t>
      </w:r>
    </w:p>
    <w:p w14:paraId="36ABCA1D"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（二）基金资产净值</w:t>
      </w:r>
    </w:p>
    <w:p w14:paraId="777599F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基金资产净值是指基金资产总值减去基金负债后的价值。</w:t>
      </w:r>
    </w:p>
    <w:p w14:paraId="75A18ED8"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（三）基金财产的账户</w:t>
      </w:r>
    </w:p>
    <w:p w14:paraId="51F1F21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根据相关法律法规、规范性文件为本基金开立资金账户、证券账户以及投资所需的其他专用账户，协助开立股指期货业务相关账户及交易编码。开立的基金专用账户与基金管理人、基金托管人、基金销售机构和基金登记机构自有的财产账户以及其他基金财产账户相独立。</w:t>
      </w:r>
    </w:p>
    <w:p w14:paraId="49E280A1"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（四）基金财产的保管和处分</w:t>
      </w:r>
    </w:p>
    <w:p w14:paraId="116D738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2EF525F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0DBDF8C8" w14:textId="77777777" w:rsidR="00435AFE" w:rsidRDefault="00C86CDB" w:rsidP="00435AFE">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4BFDBCCA" w14:textId="77777777" w:rsidR="001430E9" w:rsidRDefault="00C86CDB">
      <w:pPr>
        <w:pStyle w:val="1"/>
        <w:snapToGrid w:val="0"/>
        <w:spacing w:beforeLines="0" w:before="240" w:after="240"/>
        <w:rPr>
          <w:rFonts w:ascii="宋体" w:hAnsi="宋体"/>
          <w:szCs w:val="30"/>
        </w:rPr>
      </w:pPr>
      <w:bookmarkStart w:id="15" w:name="_Toc137828495"/>
      <w:r>
        <w:rPr>
          <w:rFonts w:ascii="Times New Roman" w:hAnsi="Times New Roman"/>
          <w:sz w:val="30"/>
        </w:rPr>
        <w:lastRenderedPageBreak/>
        <w:t>十三、基金资产的估值</w:t>
      </w:r>
      <w:bookmarkEnd w:id="15"/>
    </w:p>
    <w:p w14:paraId="60406AB2"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（一）估值日</w:t>
      </w:r>
    </w:p>
    <w:p w14:paraId="224A1C4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本基金的估值日为本基金相关的证券交易场所的交易日以及国家法律法规规定需要对外披露基金净值的非交易日。</w:t>
      </w:r>
    </w:p>
    <w:p w14:paraId="102BEC65"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（二）估值对象</w:t>
      </w:r>
    </w:p>
    <w:p w14:paraId="0018AA4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基金所拥有的股票、债券、衍生工具和其他投资等持续以公允价值计量的金融资产及负债。</w:t>
      </w:r>
    </w:p>
    <w:p w14:paraId="4D49E3A6"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（三）估值方法</w:t>
      </w:r>
    </w:p>
    <w:p w14:paraId="26AF406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1、证券交易所上市的有价证券的估值</w:t>
      </w:r>
    </w:p>
    <w:p w14:paraId="2C479D5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交易所上市的有价证券（包括股票、权证等，另有规定的除外），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526CFE1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（2）交易所市场上市交易或挂牌转让的固定收益品种（另有规定的除外），选取第三方估值机构提供的相应品种当日的估值净价进行估值；</w:t>
      </w:r>
    </w:p>
    <w:p w14:paraId="3A5C4AC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交易所市场上市交易的可转换债券，按估值日收盘价减去可转换债券收盘价中所含债券应收利息后得到的净价进行估值；交易所上市实行全价交易的债券（可转债除外），选取第三方估值机构提供的估值全价减去估值全价中所含的债券（税后）应收利息得到的净价进行估值；</w:t>
      </w:r>
    </w:p>
    <w:p w14:paraId="01ADF51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（4）交易所市场挂牌转让的资产支持证券和私募债券，采用估值技术确定公允价值。</w:t>
      </w:r>
    </w:p>
    <w:p w14:paraId="09A00E5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2、证券交易所发行未上市期间的有价证券应区分如下情况处理：</w:t>
      </w:r>
    </w:p>
    <w:p w14:paraId="5C52955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（1）送股、转增股、配股和公开增发的新股，按估值日在证券交易所挂牌的同一股票的估值方法估值；</w:t>
      </w:r>
    </w:p>
    <w:p w14:paraId="67381FD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（2）首次公开发行未上市的股票和权证，采用估值技术确定公允价值；</w:t>
      </w:r>
    </w:p>
    <w:p w14:paraId="6F2B0FB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（3）发行时明确一定期限限售期的股票，包括但不限于非公开发行股票、首次公开发行股票时公司股东公开发售股份、通过大宗交易取得的带限售期的股票</w:t>
      </w:r>
      <w:r>
        <w:rPr>
          <w:rFonts w:ascii="宋体" w:hAnsi="宋体"/>
          <w:sz w:val="24"/>
        </w:rPr>
        <w:lastRenderedPageBreak/>
        <w:t>等，按监管机构或行业协会有关规定确定公允价值；</w:t>
      </w:r>
    </w:p>
    <w:p w14:paraId="6207B72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（4）交易所市场发行未上市或未挂牌转让的债券，采用估值技术确定公允价值。</w:t>
      </w:r>
    </w:p>
    <w:p w14:paraId="5D0B1A6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3、银行间市场上市交易的固定收益品种，选取第三方估值机构提供的相应品种当日的估值净价进行估值。银行间市场发行未上市的固定收益品种，采用估值技术确定公允价值。</w:t>
      </w:r>
    </w:p>
    <w:p w14:paraId="0DFFDDB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4、本基金投资股指期货合约，一般以估值当日结算价进行估值，估值当日无结算价的，且最近交易日后经济环境未发生重大变化的，采用最近交易日结算价估值。</w:t>
      </w:r>
    </w:p>
    <w:p w14:paraId="2BE8C31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5、估值计算中涉及港币对人民币汇率的，将依据下列信息提供机构所提供的汇率为基准：当日中国人民银行公布的人民币与港币的中间价。</w:t>
      </w:r>
    </w:p>
    <w:p w14:paraId="1B902F0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05680C5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7、如有确凿证据表明按上述方法进行估值不能客观反映其公允价值的，基金管理人可根据具体情况与基金托管人商定后，按最能反映公允价值的方法估值。</w:t>
      </w:r>
    </w:p>
    <w:p w14:paraId="03AD0F7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8、当发生大额申购或赎回情形时，基金管理人可以对本基金采用摆动定价机制，以确保基金估值的公平性。</w:t>
      </w:r>
    </w:p>
    <w:p w14:paraId="2136F6C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9、本基金投资存托凭证的估值核算依照境内上市交易的股票执行。</w:t>
      </w:r>
    </w:p>
    <w:p w14:paraId="54A568F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10、相关法律法规以及监管部门有强制规定的，从其规定。如有新增事项，按法律法规以及监管部门最新规定估值。</w:t>
      </w:r>
    </w:p>
    <w:p w14:paraId="68B8823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0967E0C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71261A1C"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（四）估值程序</w:t>
      </w:r>
    </w:p>
    <w:p w14:paraId="5DC4A7BF" w14:textId="168F9A54"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w:t>
      </w:r>
      <w:r w:rsidR="0008702E" w:rsidRPr="0072506A">
        <w:rPr>
          <w:rFonts w:ascii="宋体" w:hAnsi="宋体" w:hint="eastAsia"/>
          <w:sz w:val="24"/>
        </w:rPr>
        <w:t>各类基金份额的</w:t>
      </w:r>
      <w:r>
        <w:rPr>
          <w:rFonts w:ascii="宋体" w:hAnsi="宋体"/>
          <w:sz w:val="24"/>
        </w:rPr>
        <w:t>基金份额净值是按照每个工作日闭市后，</w:t>
      </w:r>
      <w:r w:rsidR="0008702E" w:rsidRPr="0072506A">
        <w:rPr>
          <w:rFonts w:ascii="宋体" w:hAnsi="宋体" w:hint="eastAsia"/>
          <w:sz w:val="24"/>
        </w:rPr>
        <w:t>该类基金份额的</w:t>
      </w:r>
      <w:r>
        <w:rPr>
          <w:rFonts w:ascii="宋体" w:hAnsi="宋体"/>
          <w:sz w:val="24"/>
        </w:rPr>
        <w:t>基金资产净值除以当日</w:t>
      </w:r>
      <w:r w:rsidR="0008702E">
        <w:rPr>
          <w:rFonts w:ascii="宋体" w:hAnsi="宋体" w:hint="eastAsia"/>
          <w:sz w:val="24"/>
        </w:rPr>
        <w:t>该类</w:t>
      </w:r>
      <w:r>
        <w:rPr>
          <w:rFonts w:ascii="宋体" w:hAnsi="宋体"/>
          <w:sz w:val="24"/>
        </w:rPr>
        <w:t>基金份额的余额数量计算，</w:t>
      </w:r>
      <w:r w:rsidR="00633430">
        <w:rPr>
          <w:rFonts w:ascii="宋体" w:hAnsi="宋体" w:hint="eastAsia"/>
          <w:sz w:val="24"/>
        </w:rPr>
        <w:t>均</w:t>
      </w:r>
      <w:r>
        <w:rPr>
          <w:rFonts w:ascii="宋体" w:hAnsi="宋体"/>
          <w:sz w:val="24"/>
        </w:rPr>
        <w:t>精确到0.0001元，小数点后第五位四舍五入。国家另有规定的，从其规定。</w:t>
      </w:r>
    </w:p>
    <w:p w14:paraId="5C6422BA" w14:textId="598EFCA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基金管理人于每个工作日计算</w:t>
      </w:r>
      <w:r w:rsidR="0008702E" w:rsidRPr="00C4652D">
        <w:rPr>
          <w:rFonts w:ascii="宋体" w:hAnsi="宋体" w:hint="eastAsia"/>
          <w:sz w:val="24"/>
        </w:rPr>
        <w:t>各类基金份额的</w:t>
      </w:r>
      <w:r>
        <w:rPr>
          <w:rFonts w:ascii="宋体" w:hAnsi="宋体"/>
          <w:sz w:val="24"/>
        </w:rPr>
        <w:t>基金资产净值及基金份额净值，并按规定公告。如遇特殊情况，经中国证监会同意，可以适当延迟计算或公告。</w:t>
      </w:r>
    </w:p>
    <w:p w14:paraId="08951955" w14:textId="7C698CC0"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2、基金管理人应每个工作日对基金资产估值，但基金管理人根据法律法规或基金合同的规定暂停估值时除外。基金管理人每个工作日对基金资产估值后，将</w:t>
      </w:r>
      <w:r w:rsidR="0008702E">
        <w:rPr>
          <w:rFonts w:ascii="Times New Roman" w:hAnsi="Times New Roman" w:hint="eastAsia"/>
          <w:sz w:val="24"/>
        </w:rPr>
        <w:t>各类</w:t>
      </w:r>
      <w:r>
        <w:rPr>
          <w:rFonts w:ascii="宋体" w:hAnsi="宋体"/>
          <w:sz w:val="24"/>
        </w:rPr>
        <w:t>基金份额净值结果发送基金托管人，经基金托管人复核无误后，由基金管理人依据基金合同的约定和相关法律法规的规定对外公布。</w:t>
      </w:r>
    </w:p>
    <w:p w14:paraId="5AF98A99"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（五）估值错误的处理</w:t>
      </w:r>
    </w:p>
    <w:p w14:paraId="3246FCA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基金管理人和基金托管人将采取必要、适当、合理的措施确保基金资产估值的准确性、及时性。当基金份额净值小数点后第4位以内（含第4位）发生估值错误时，视为基金份额净值错误。</w:t>
      </w:r>
    </w:p>
    <w:p w14:paraId="685864A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一方当事人提供的信息错误，另一方当事人在采取了必要合理的措施后仍不能发现该错误，进而导致基金资产净值计算错误造成投资人或基金的损失，以及由此造成以后交易日基金资产净值计算顺延错误而引起的投资人或基金的损失，由提供错误信息的当事人一方负责赔偿。</w:t>
      </w:r>
    </w:p>
    <w:p w14:paraId="221ADC9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基金合同的当事人应按照以下约定处理：</w:t>
      </w:r>
    </w:p>
    <w:p w14:paraId="7B8CAED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1、估值错误类型</w:t>
      </w:r>
    </w:p>
    <w:p w14:paraId="5F1B89B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3E7E88F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上述估值错误的主要类型包括但不限于：资料申报差错、数据传输差错、数据计算差错、系统故障差错、下达指令差错等。</w:t>
      </w:r>
    </w:p>
    <w:p w14:paraId="17587B7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对于因技术原因引起的差错，若系同行业现有技术水平无法预见、无法避免、无法抗拒，则属不可抗力。</w:t>
      </w:r>
    </w:p>
    <w:p w14:paraId="3886408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1165636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2、估值错误处理原则</w:t>
      </w:r>
    </w:p>
    <w:p w14:paraId="79A2B49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1F6E6B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（2）估值错误的责任方对有关当事人的直接损失负责，不对间接损失负责，并且仅对估值错误的有关直接当事人负责，不对第三方负责。</w:t>
      </w:r>
    </w:p>
    <w:p w14:paraId="27FDB6A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B54D2C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（4）估值错误调整采用尽量恢复至假设未发生估值错误的正确情形的方式。</w:t>
      </w:r>
    </w:p>
    <w:p w14:paraId="1025DE6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（5）按法律法规规定的其他原则处理估值错误。</w:t>
      </w:r>
    </w:p>
    <w:p w14:paraId="17D2CAC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3、估值错误处理程序</w:t>
      </w:r>
    </w:p>
    <w:p w14:paraId="0CBACDB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估值错误被发现后，有关的当事人应当及时进行处理，处理的程序如下：</w:t>
      </w:r>
    </w:p>
    <w:p w14:paraId="7573155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（1）查明估值错误发生的原因，列明所有的当事人，并根据估值错误发生的原因确定估值错误的责任方；</w:t>
      </w:r>
    </w:p>
    <w:p w14:paraId="5B0669F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（2）根据估值错误处理原则或当事人协商的方法对因估值错误造成的损失进行评估；</w:t>
      </w:r>
    </w:p>
    <w:p w14:paraId="201D28E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（3）根据估值错误处理原则或当事人协商的方法由估值错误的责任方进行更正和赔偿损失；</w:t>
      </w:r>
    </w:p>
    <w:p w14:paraId="19B670B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（4）根据估值错误处理的方法，需要修改基金登记机构交易数据的，由基金登记机构进行更正，并就估值错误的更正向有关当事人进行确认。</w:t>
      </w:r>
    </w:p>
    <w:p w14:paraId="070F1E0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4、基金份额净值估值错误处理的方法如下：</w:t>
      </w:r>
    </w:p>
    <w:p w14:paraId="69FFF4E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（1）基金份额净值计算出现错误时，基金管理人应当立即予以纠正，通报基</w:t>
      </w:r>
      <w:r>
        <w:rPr>
          <w:rFonts w:ascii="宋体" w:hAnsi="宋体"/>
          <w:sz w:val="24"/>
        </w:rPr>
        <w:lastRenderedPageBreak/>
        <w:t>金托管人，并采取合理的措施防止损失进一步扩大。</w:t>
      </w:r>
    </w:p>
    <w:p w14:paraId="1B63B75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（2）错误偏差达到基金份额净值的0.25%时，基金管理人应当通报基金托管人并报中国证监会备案；错误偏差达到基金份额净值的0.5%时，基金管理人应当公告并报中国证监会备案。</w:t>
      </w:r>
    </w:p>
    <w:p w14:paraId="5B7C26A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（3）前述内容如法律法规或监管机关另有规定的，从其规定处理。</w:t>
      </w:r>
    </w:p>
    <w:p w14:paraId="44E44736"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（六）暂停估值的情形</w:t>
      </w:r>
    </w:p>
    <w:p w14:paraId="048CBB5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1、基金投资所涉及的证券、期货交易市场遇法定节假日或因其他原因暂停营业时；</w:t>
      </w:r>
    </w:p>
    <w:p w14:paraId="25FB881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2、因不可抗力致使基金管理人、基金托管人无法准确评估基金资产价值时；</w:t>
      </w:r>
    </w:p>
    <w:p w14:paraId="3DA1B161" w14:textId="0A55A79F"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w:t>
      </w:r>
      <w:r w:rsidR="00633430" w:rsidRPr="00CD3787">
        <w:rPr>
          <w:rFonts w:hint="eastAsia"/>
          <w:bCs/>
          <w:sz w:val="24"/>
        </w:rPr>
        <w:t>当特定资产占前</w:t>
      </w:r>
      <w:r w:rsidR="00633430">
        <w:rPr>
          <w:rFonts w:hint="eastAsia"/>
          <w:bCs/>
          <w:sz w:val="24"/>
        </w:rPr>
        <w:t>一估值日基金资产净值</w:t>
      </w:r>
      <w:r w:rsidR="00633430">
        <w:rPr>
          <w:bCs/>
          <w:sz w:val="24"/>
        </w:rPr>
        <w:t>50%</w:t>
      </w:r>
      <w:r w:rsidR="00633430">
        <w:rPr>
          <w:rFonts w:hint="eastAsia"/>
          <w:bCs/>
          <w:sz w:val="24"/>
        </w:rPr>
        <w:t>以上的，经与基金托管人协商确认后，基金管理人应当暂停估值</w:t>
      </w:r>
      <w:r>
        <w:rPr>
          <w:rFonts w:ascii="宋体" w:hAnsi="宋体"/>
          <w:sz w:val="24"/>
        </w:rPr>
        <w:t>；</w:t>
      </w:r>
    </w:p>
    <w:p w14:paraId="7F1E9ED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4、法律法规或中国证监会规定的和基金合同约定的其他情形。</w:t>
      </w:r>
    </w:p>
    <w:p w14:paraId="54C09EAE"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（七）基金净值的确认</w:t>
      </w:r>
    </w:p>
    <w:p w14:paraId="7C946DB9" w14:textId="5404E11E"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用于基金信息披露的</w:t>
      </w:r>
      <w:r w:rsidR="0008702E" w:rsidRPr="00612ABC">
        <w:rPr>
          <w:rFonts w:ascii="宋体" w:hAnsi="宋体" w:hint="eastAsia"/>
          <w:sz w:val="24"/>
        </w:rPr>
        <w:t>各类基金份额的</w:t>
      </w:r>
      <w:r>
        <w:rPr>
          <w:rFonts w:ascii="宋体" w:hAnsi="宋体"/>
          <w:sz w:val="24"/>
        </w:rPr>
        <w:t>基金资产净值和基金份额净值由基金管理人负责计算，基金托管人负责进行复核。基金管理人应于每个开放日交易结束后计算当日</w:t>
      </w:r>
      <w:r w:rsidR="0008702E" w:rsidRPr="00C5032A">
        <w:rPr>
          <w:rFonts w:ascii="Times New Roman" w:hAnsi="Times New Roman" w:hint="eastAsia"/>
          <w:sz w:val="24"/>
        </w:rPr>
        <w:t>各类基金份额</w:t>
      </w:r>
      <w:r>
        <w:rPr>
          <w:rFonts w:ascii="宋体" w:hAnsi="宋体"/>
          <w:sz w:val="24"/>
        </w:rPr>
        <w:t>的基金资产净值和基金份额净值并发送给基金托管人。基金托管人对净值计算结果复核确认后发送给基金管理人，由基金管理人依据基金合同和相关法律法规的规定对基金净值予以公布。</w:t>
      </w:r>
    </w:p>
    <w:p w14:paraId="65423D5A"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（八）特殊情形的处理</w:t>
      </w:r>
    </w:p>
    <w:p w14:paraId="39389C4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1、基金管理人或基金托管人按估值方法的第7项进行估值时，所造成的误差不作为基金资产估值错误处理。</w:t>
      </w:r>
    </w:p>
    <w:p w14:paraId="54825FB7" w14:textId="77777777" w:rsidR="00633430" w:rsidRDefault="00C86CDB" w:rsidP="00633430">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2、由于不可抗力原因，或由于证券、期货交易所、证券经纪机构、期货公司及登记结算公司发送的数据错误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14:paraId="04C82B6D" w14:textId="3CE912C8" w:rsidR="00633430" w:rsidRPr="00190EBC" w:rsidRDefault="00633430" w:rsidP="00E917EA">
      <w:pPr>
        <w:autoSpaceDE w:val="0"/>
        <w:autoSpaceDN w:val="0"/>
        <w:adjustRightInd w:val="0"/>
        <w:snapToGrid w:val="0"/>
        <w:spacing w:line="360" w:lineRule="auto"/>
        <w:ind w:firstLineChars="200" w:firstLine="482"/>
        <w:jc w:val="left"/>
        <w:rPr>
          <w:rFonts w:ascii="宋体" w:hAnsi="宋体"/>
          <w:sz w:val="24"/>
        </w:rPr>
      </w:pPr>
      <w:r w:rsidRPr="002A5D4E">
        <w:rPr>
          <w:rFonts w:ascii="宋体" w:hAnsi="宋体" w:hint="eastAsia"/>
          <w:b/>
          <w:sz w:val="24"/>
          <w:szCs w:val="24"/>
        </w:rPr>
        <w:t>（九）实施侧袋机制期间的基金资产估值</w:t>
      </w:r>
    </w:p>
    <w:p w14:paraId="6151545B" w14:textId="0E36A72D" w:rsidR="00633430" w:rsidRDefault="00633430" w:rsidP="00633430">
      <w:pPr>
        <w:autoSpaceDE w:val="0"/>
        <w:autoSpaceDN w:val="0"/>
        <w:adjustRightInd w:val="0"/>
        <w:snapToGrid w:val="0"/>
        <w:spacing w:line="360" w:lineRule="auto"/>
        <w:ind w:firstLineChars="200" w:firstLine="480"/>
        <w:jc w:val="left"/>
        <w:rPr>
          <w:rFonts w:ascii="宋体" w:hAnsi="宋体"/>
          <w:szCs w:val="24"/>
        </w:rPr>
      </w:pPr>
      <w:r w:rsidRPr="002A5D4E">
        <w:rPr>
          <w:rFonts w:ascii="宋体" w:hAnsi="宋体" w:hint="eastAsia"/>
          <w:sz w:val="24"/>
          <w:szCs w:val="24"/>
        </w:rPr>
        <w:t>本基金实施侧袋机制的，应根据本部分的约定对主袋账户资产进行估值并披露主袋账户的基金净值信息，暂停披露侧袋账户份额净值。</w:t>
      </w:r>
    </w:p>
    <w:p w14:paraId="372EAA75" w14:textId="77777777" w:rsidR="00435AFE" w:rsidRDefault="00C86CDB" w:rsidP="00435AFE">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144E0F24" w14:textId="77777777" w:rsidR="001430E9" w:rsidRDefault="00C86CDB">
      <w:pPr>
        <w:pStyle w:val="1"/>
        <w:snapToGrid w:val="0"/>
        <w:spacing w:beforeLines="0" w:before="240" w:after="240"/>
        <w:rPr>
          <w:rFonts w:ascii="宋体" w:hAnsi="宋体"/>
          <w:szCs w:val="30"/>
        </w:rPr>
      </w:pPr>
      <w:bookmarkStart w:id="16" w:name="_Toc137828496"/>
      <w:r>
        <w:rPr>
          <w:rFonts w:ascii="Times New Roman" w:hAnsi="Times New Roman"/>
          <w:sz w:val="30"/>
        </w:rPr>
        <w:lastRenderedPageBreak/>
        <w:t>十四、基金收益与分配</w:t>
      </w:r>
      <w:bookmarkEnd w:id="16"/>
    </w:p>
    <w:p w14:paraId="11A79A3E"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（一）基金利润的构成</w:t>
      </w:r>
    </w:p>
    <w:p w14:paraId="65D4FEE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基金利润指基金利息收入、投资收益、公允价值变动收益和其他收入扣除相关费用后的余额，基金已实现收益指基金利润减去公允价值变动收益后的余额。</w:t>
      </w:r>
    </w:p>
    <w:p w14:paraId="374407F0"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（二）基金可供分配利润</w:t>
      </w:r>
    </w:p>
    <w:p w14:paraId="47F14D1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基金可供分配利润指截至收益分配基准日基金未分配利润与未分配利润中已实现收益的孰低数。</w:t>
      </w:r>
    </w:p>
    <w:p w14:paraId="0F2843F4"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（三）基金收益分配原则</w:t>
      </w:r>
    </w:p>
    <w:p w14:paraId="16C3A92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1、若《基金合同》生效不满3个月可不进行收益分配；</w:t>
      </w:r>
    </w:p>
    <w:p w14:paraId="6B3C2762" w14:textId="50196074" w:rsidR="001430E9" w:rsidRPr="00190EBC" w:rsidRDefault="00C86CDB">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2、本基金收益分配方式分两种：现金分红与红利再投资，投资者可选择现金红利或将现金红利自动转为</w:t>
      </w:r>
      <w:r w:rsidR="0008702E" w:rsidRPr="007C2C1A">
        <w:rPr>
          <w:rFonts w:hAnsi="宋体" w:hint="eastAsia"/>
          <w:sz w:val="24"/>
        </w:rPr>
        <w:t>相应类别的</w:t>
      </w:r>
      <w:r>
        <w:rPr>
          <w:rFonts w:ascii="宋体" w:hAnsi="宋体"/>
          <w:sz w:val="24"/>
        </w:rPr>
        <w:t>基金份额进行再投资；若投资者不选择，本基金默认的收益分配方式是现金分红；</w:t>
      </w:r>
      <w:r w:rsidR="0008702E" w:rsidRPr="00190EBC">
        <w:rPr>
          <w:rFonts w:ascii="宋体" w:hAnsi="宋体" w:hint="eastAsia"/>
          <w:sz w:val="24"/>
        </w:rPr>
        <w:t>基金份额持有人可对其持有的</w:t>
      </w:r>
      <w:r w:rsidR="0008702E" w:rsidRPr="00190EBC">
        <w:rPr>
          <w:rFonts w:ascii="宋体" w:hAnsi="宋体"/>
          <w:sz w:val="24"/>
        </w:rPr>
        <w:t>A</w:t>
      </w:r>
      <w:r w:rsidR="0008702E" w:rsidRPr="00190EBC">
        <w:rPr>
          <w:rFonts w:ascii="宋体" w:hAnsi="宋体" w:hint="eastAsia"/>
          <w:sz w:val="24"/>
        </w:rPr>
        <w:t>类基金份额和</w:t>
      </w:r>
      <w:r w:rsidR="0008702E" w:rsidRPr="00190EBC">
        <w:rPr>
          <w:rFonts w:ascii="宋体" w:hAnsi="宋体"/>
          <w:sz w:val="24"/>
        </w:rPr>
        <w:t>C</w:t>
      </w:r>
      <w:r w:rsidR="0008702E" w:rsidRPr="00190EBC">
        <w:rPr>
          <w:rFonts w:ascii="宋体" w:hAnsi="宋体" w:hint="eastAsia"/>
          <w:sz w:val="24"/>
        </w:rPr>
        <w:t>类基金份额分别选择不同的收益分配方式；</w:t>
      </w:r>
    </w:p>
    <w:p w14:paraId="7DBFD6FB" w14:textId="1201C37C"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3、基金收益分配后</w:t>
      </w:r>
      <w:r w:rsidR="0008702E">
        <w:rPr>
          <w:rFonts w:hint="eastAsia"/>
          <w:bCs/>
          <w:sz w:val="24"/>
        </w:rPr>
        <w:t>任一类</w:t>
      </w:r>
      <w:r>
        <w:rPr>
          <w:rFonts w:ascii="宋体" w:hAnsi="宋体"/>
          <w:sz w:val="24"/>
        </w:rPr>
        <w:t>基金份额净值不能低于面值，即基金收益分配基准日的</w:t>
      </w:r>
      <w:r w:rsidR="0008702E">
        <w:rPr>
          <w:rFonts w:hint="eastAsia"/>
          <w:bCs/>
          <w:sz w:val="24"/>
        </w:rPr>
        <w:t>任一类</w:t>
      </w:r>
      <w:r>
        <w:rPr>
          <w:rFonts w:ascii="宋体" w:hAnsi="宋体"/>
          <w:sz w:val="24"/>
        </w:rPr>
        <w:t>基金份额净值减去每单位</w:t>
      </w:r>
      <w:r w:rsidR="0008702E">
        <w:rPr>
          <w:rFonts w:hint="eastAsia"/>
          <w:bCs/>
          <w:sz w:val="24"/>
        </w:rPr>
        <w:t>该类</w:t>
      </w:r>
      <w:r>
        <w:rPr>
          <w:rFonts w:ascii="宋体" w:hAnsi="宋体"/>
          <w:sz w:val="24"/>
        </w:rPr>
        <w:t>基金份额收益分配金额后不能低于面值；</w:t>
      </w:r>
    </w:p>
    <w:p w14:paraId="43A7491A" w14:textId="1F8EFF32"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w:t>
      </w:r>
      <w:r w:rsidR="0008702E" w:rsidRPr="0008702E">
        <w:rPr>
          <w:rFonts w:ascii="宋体" w:hAnsi="宋体" w:hint="eastAsia"/>
          <w:sz w:val="24"/>
        </w:rPr>
        <w:t>由于本基金A类基金份额不收取销售服务费，C类基金份额收取销售服务费，各基金份额类别对应的可供分配利润将有所不同；本基金同一基金份额类别的</w:t>
      </w:r>
      <w:r>
        <w:rPr>
          <w:rFonts w:ascii="宋体" w:hAnsi="宋体"/>
          <w:sz w:val="24"/>
        </w:rPr>
        <w:t>每一基金份额享有同等分配权；</w:t>
      </w:r>
    </w:p>
    <w:p w14:paraId="03AC564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5、法律法规或监管机构另有规定的，从其规定。</w:t>
      </w:r>
    </w:p>
    <w:p w14:paraId="05765728"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（四）收益分配方案</w:t>
      </w:r>
    </w:p>
    <w:p w14:paraId="27FA54F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基金收益分配方案中应载明截止收益分配基准日的可供分配利润、基金收益分配对象、分配时间、分配数额及比例、分配方式等内容。</w:t>
      </w:r>
    </w:p>
    <w:p w14:paraId="4999C9B1"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（五）收益分配方案的确定、公告与实施</w:t>
      </w:r>
    </w:p>
    <w:p w14:paraId="2BDB55D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本基金收益分配方案由基金管理人拟定，并由基金托管人复核，依照《信息披露办法》的有关规定在指定媒介公告。</w:t>
      </w:r>
    </w:p>
    <w:p w14:paraId="1879822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基金红利发放日距离收益分配基准日（即可供分配利润计算截止日）的时间不得超过15个工作日。</w:t>
      </w:r>
    </w:p>
    <w:p w14:paraId="0882287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法律法规或监管机关另有规定的，从其规定。</w:t>
      </w:r>
    </w:p>
    <w:p w14:paraId="04566BF1"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（六）基金收益分配中发生的费用</w:t>
      </w:r>
    </w:p>
    <w:p w14:paraId="0277BDD1" w14:textId="306636AB" w:rsidR="001430E9" w:rsidRDefault="00C86CDB">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lastRenderedPageBreak/>
        <w:t>基金收益分配时所发生的银行转账或其他手续费用由投资者自行承担。当投资者的现金红利小于一定金额，不足以支付银行转账或其他手续费用时，登记机构可将基金份额持有人的现金红利自动转为</w:t>
      </w:r>
      <w:r w:rsidR="0008702E" w:rsidRPr="00242128">
        <w:rPr>
          <w:rFonts w:hint="eastAsia"/>
          <w:bCs/>
          <w:sz w:val="24"/>
        </w:rPr>
        <w:t>相应类别的</w:t>
      </w:r>
      <w:r>
        <w:rPr>
          <w:rFonts w:ascii="宋体" w:hAnsi="宋体"/>
          <w:sz w:val="24"/>
        </w:rPr>
        <w:t>基金份额。红利再投资的计算方法，依照《业务规则》执行。</w:t>
      </w:r>
    </w:p>
    <w:p w14:paraId="5C4C01C8" w14:textId="29CE508B" w:rsidR="00633430" w:rsidRDefault="00633430" w:rsidP="00633430">
      <w:pPr>
        <w:autoSpaceDE w:val="0"/>
        <w:autoSpaceDN w:val="0"/>
        <w:adjustRightInd w:val="0"/>
        <w:snapToGrid w:val="0"/>
        <w:spacing w:line="360" w:lineRule="auto"/>
        <w:ind w:firstLineChars="200" w:firstLine="482"/>
        <w:jc w:val="left"/>
        <w:rPr>
          <w:rFonts w:ascii="宋体" w:hAnsi="宋体"/>
          <w:b/>
          <w:kern w:val="0"/>
          <w:sz w:val="24"/>
        </w:rPr>
      </w:pPr>
      <w:r w:rsidRPr="00190EBC">
        <w:rPr>
          <w:rFonts w:ascii="宋体" w:hAnsi="宋体" w:hint="eastAsia"/>
          <w:b/>
          <w:kern w:val="0"/>
          <w:sz w:val="24"/>
        </w:rPr>
        <w:t>（七）实施侧袋机制期间的收益分配</w:t>
      </w:r>
    </w:p>
    <w:p w14:paraId="6AF4B68B" w14:textId="3184B836" w:rsidR="00633430" w:rsidRPr="00190EBC" w:rsidRDefault="00633430" w:rsidP="00190EBC">
      <w:pPr>
        <w:autoSpaceDE w:val="0"/>
        <w:autoSpaceDN w:val="0"/>
        <w:adjustRightInd w:val="0"/>
        <w:snapToGrid w:val="0"/>
        <w:spacing w:line="360" w:lineRule="auto"/>
        <w:ind w:firstLineChars="200" w:firstLine="480"/>
        <w:jc w:val="left"/>
        <w:rPr>
          <w:rFonts w:ascii="宋体" w:hAnsi="宋体"/>
          <w:kern w:val="0"/>
          <w:sz w:val="24"/>
        </w:rPr>
      </w:pPr>
      <w:r w:rsidRPr="00190EBC">
        <w:rPr>
          <w:rFonts w:ascii="宋体" w:hAnsi="宋体" w:hint="eastAsia"/>
          <w:kern w:val="0"/>
          <w:sz w:val="24"/>
        </w:rPr>
        <w:t>本基金实施侧袋机制的，侧袋账户不进行收益分配。</w:t>
      </w:r>
    </w:p>
    <w:p w14:paraId="46B9B66B" w14:textId="130C3576"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w:t>
      </w:r>
      <w:r w:rsidR="00633430">
        <w:rPr>
          <w:rFonts w:ascii="宋体" w:hAnsi="宋体" w:hint="eastAsia"/>
          <w:b/>
          <w:kern w:val="0"/>
          <w:sz w:val="24"/>
        </w:rPr>
        <w:t>八</w:t>
      </w:r>
      <w:r w:rsidRPr="00BB248E">
        <w:rPr>
          <w:rFonts w:ascii="宋体" w:hAnsi="宋体" w:hint="eastAsia"/>
          <w:b/>
          <w:kern w:val="0"/>
          <w:sz w:val="24"/>
        </w:rPr>
        <w:t>）收益分配方式的修改</w:t>
      </w:r>
    </w:p>
    <w:p w14:paraId="5D98094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投资人可至销售机构办理收益分配方式的修改，投资人对本基金不同的交易账户可设置不同的收益分配方式。</w:t>
      </w:r>
    </w:p>
    <w:p w14:paraId="2CA7E00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投资人同一日多次申报收益分配方式变更的，按照《业务规则》执行，最终确认的收益分配方式以登记机构记录为准。</w:t>
      </w:r>
    </w:p>
    <w:p w14:paraId="3F4B199B" w14:textId="77777777" w:rsidR="00435AFE" w:rsidRDefault="00C86CDB" w:rsidP="00435AFE">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3F2222B4" w14:textId="77777777" w:rsidR="001430E9" w:rsidRDefault="00C86CDB">
      <w:pPr>
        <w:pStyle w:val="1"/>
        <w:snapToGrid w:val="0"/>
        <w:spacing w:beforeLines="0" w:before="240" w:after="240"/>
        <w:rPr>
          <w:rFonts w:ascii="宋体" w:hAnsi="宋体"/>
          <w:szCs w:val="30"/>
        </w:rPr>
      </w:pPr>
      <w:bookmarkStart w:id="17" w:name="_Toc137828497"/>
      <w:r>
        <w:rPr>
          <w:rFonts w:ascii="Times New Roman" w:hAnsi="Times New Roman"/>
          <w:sz w:val="30"/>
        </w:rPr>
        <w:lastRenderedPageBreak/>
        <w:t>十五、基金的费用与税收</w:t>
      </w:r>
      <w:bookmarkEnd w:id="17"/>
    </w:p>
    <w:p w14:paraId="1B9A339A"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（一）基金费用的种类</w:t>
      </w:r>
    </w:p>
    <w:p w14:paraId="05BA571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14:paraId="58ACC7E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14:paraId="777DD6F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3、《基金合同》生效后与基金相关的信息披露费用；</w:t>
      </w:r>
    </w:p>
    <w:p w14:paraId="31AD7B3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4、《基金合同》生效后与基金相关的会计师费、律师费、仲裁费和诉讼费；</w:t>
      </w:r>
    </w:p>
    <w:p w14:paraId="675D5FA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5、基金份额持有人大会费用；</w:t>
      </w:r>
    </w:p>
    <w:p w14:paraId="042C302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6、基金的证券、期货交易费用；</w:t>
      </w:r>
    </w:p>
    <w:p w14:paraId="2E3F82B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7、基金的银行汇划费用；</w:t>
      </w:r>
    </w:p>
    <w:p w14:paraId="55864B5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8、基金的开户费用、账户维护费用；</w:t>
      </w:r>
    </w:p>
    <w:p w14:paraId="1C0556E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9、因投资港股通标的股票而产生的各项合理费用；</w:t>
      </w:r>
    </w:p>
    <w:p w14:paraId="30AA1408" w14:textId="77777777" w:rsidR="0008702E" w:rsidRPr="0008702E" w:rsidRDefault="00C86CDB" w:rsidP="0008702E">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10、</w:t>
      </w:r>
      <w:r w:rsidR="0008702E" w:rsidRPr="0008702E">
        <w:rPr>
          <w:rFonts w:ascii="宋体" w:hAnsi="宋体" w:hint="eastAsia"/>
          <w:sz w:val="24"/>
        </w:rPr>
        <w:t>本基金从C类基金份额的基金财产中计提的销售服务费；</w:t>
      </w:r>
    </w:p>
    <w:p w14:paraId="13E36690" w14:textId="07CF54B8" w:rsidR="001430E9" w:rsidRDefault="0008702E" w:rsidP="0008702E">
      <w:pPr>
        <w:autoSpaceDE w:val="0"/>
        <w:autoSpaceDN w:val="0"/>
        <w:adjustRightInd w:val="0"/>
        <w:snapToGrid w:val="0"/>
        <w:spacing w:line="360" w:lineRule="auto"/>
        <w:ind w:firstLineChars="200" w:firstLine="480"/>
        <w:jc w:val="left"/>
        <w:rPr>
          <w:rFonts w:ascii="宋体" w:hAnsi="宋体"/>
          <w:szCs w:val="24"/>
        </w:rPr>
      </w:pPr>
      <w:r w:rsidRPr="0008702E">
        <w:rPr>
          <w:rFonts w:ascii="宋体" w:hAnsi="宋体" w:hint="eastAsia"/>
          <w:sz w:val="24"/>
        </w:rPr>
        <w:t>11、</w:t>
      </w:r>
      <w:r w:rsidR="00C86CDB">
        <w:rPr>
          <w:rFonts w:ascii="宋体" w:hAnsi="宋体"/>
          <w:sz w:val="24"/>
        </w:rPr>
        <w:t>按照国家有关规定和《基金合同》约定，可以在基金财产中列支的其他费用。</w:t>
      </w:r>
    </w:p>
    <w:p w14:paraId="15E24DD9"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（二）基金费用计提方法、计提标准和支付方式</w:t>
      </w:r>
    </w:p>
    <w:p w14:paraId="25D145C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1、与基金运作有关的费用</w:t>
      </w:r>
    </w:p>
    <w:p w14:paraId="686E321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14:paraId="6683830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本基金的管理费按前一日基金资产净值的1.</w:t>
      </w:r>
      <w:r w:rsidR="001113D4">
        <w:rPr>
          <w:rFonts w:ascii="宋体" w:hAnsi="宋体"/>
          <w:sz w:val="24"/>
        </w:rPr>
        <w:t>2</w:t>
      </w:r>
      <w:r>
        <w:rPr>
          <w:rFonts w:ascii="宋体" w:hAnsi="宋体"/>
          <w:sz w:val="24"/>
        </w:rPr>
        <w:t>%年费率计提。管理费的计算方法如下：</w:t>
      </w:r>
    </w:p>
    <w:p w14:paraId="5E47717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H＝E×1.</w:t>
      </w:r>
      <w:r w:rsidR="001113D4">
        <w:rPr>
          <w:rFonts w:ascii="宋体" w:hAnsi="宋体"/>
          <w:sz w:val="24"/>
        </w:rPr>
        <w:t>2</w:t>
      </w:r>
      <w:r>
        <w:rPr>
          <w:rFonts w:ascii="宋体" w:hAnsi="宋体"/>
          <w:sz w:val="24"/>
        </w:rPr>
        <w:t>%÷当年天数</w:t>
      </w:r>
    </w:p>
    <w:p w14:paraId="75DA04E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H为每日应计提的基金管理费</w:t>
      </w:r>
    </w:p>
    <w:p w14:paraId="47FBF89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E为前一日的基金资产净值</w:t>
      </w:r>
    </w:p>
    <w:p w14:paraId="287CF33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基金管理费每日计提，按月支付。由基金管理人向基金托管人发送基金管理费划付指令，经基金托管人复核后于次月首日起3个工作日内从基金资产中一次性支付给基金管理人。</w:t>
      </w:r>
    </w:p>
    <w:p w14:paraId="5C8AE1C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若遇法定节假日、休息日或不可抗力致使无法按时支付的，顺延至最近可支付日支付。</w:t>
      </w:r>
    </w:p>
    <w:p w14:paraId="5703E7C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14:paraId="4BE0AE3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本基金的托管费按前一日基金资产净值的0.2%的年费率计提。托管费的计算方</w:t>
      </w:r>
      <w:r>
        <w:rPr>
          <w:rFonts w:ascii="宋体" w:hAnsi="宋体"/>
          <w:sz w:val="24"/>
        </w:rPr>
        <w:lastRenderedPageBreak/>
        <w:t>法如下：</w:t>
      </w:r>
    </w:p>
    <w:p w14:paraId="0589434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H＝E×0.2%÷当年天数</w:t>
      </w:r>
    </w:p>
    <w:p w14:paraId="7DE71B4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H为每日应计提的基金托管费</w:t>
      </w:r>
    </w:p>
    <w:p w14:paraId="260EC29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E为前一日的基金资产净值</w:t>
      </w:r>
    </w:p>
    <w:p w14:paraId="1F4B290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基金托管费每日计提，按月支付。由基金管理人向基金托管人发送基金托管费划付指令，经基金托管人复核后于次月首日起3个工作日内从基金资产中一次性支付给基金托管人。</w:t>
      </w:r>
    </w:p>
    <w:p w14:paraId="217241D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若遇法定节假日、休息日或不可抗力致使无法按时支付的，顺延至最近可支付日支付。</w:t>
      </w:r>
    </w:p>
    <w:p w14:paraId="6047FB96" w14:textId="77777777" w:rsidR="0008702E" w:rsidRPr="0008702E" w:rsidRDefault="00C86CDB" w:rsidP="0008702E">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（3）</w:t>
      </w:r>
      <w:r w:rsidR="0008702E" w:rsidRPr="0008702E">
        <w:rPr>
          <w:rFonts w:ascii="宋体" w:hAnsi="宋体" w:hint="eastAsia"/>
          <w:sz w:val="24"/>
        </w:rPr>
        <w:t>C类基金份额的销售服务费</w:t>
      </w:r>
    </w:p>
    <w:p w14:paraId="448B9730" w14:textId="4C63A78B" w:rsidR="0008702E" w:rsidRPr="0008702E" w:rsidRDefault="0008702E" w:rsidP="0008702E">
      <w:pPr>
        <w:autoSpaceDE w:val="0"/>
        <w:autoSpaceDN w:val="0"/>
        <w:adjustRightInd w:val="0"/>
        <w:snapToGrid w:val="0"/>
        <w:spacing w:line="360" w:lineRule="auto"/>
        <w:ind w:firstLineChars="200" w:firstLine="480"/>
        <w:jc w:val="left"/>
        <w:rPr>
          <w:rFonts w:ascii="宋体" w:hAnsi="宋体"/>
          <w:sz w:val="24"/>
        </w:rPr>
      </w:pPr>
      <w:r w:rsidRPr="0008702E">
        <w:rPr>
          <w:rFonts w:ascii="宋体" w:hAnsi="宋体" w:hint="eastAsia"/>
          <w:sz w:val="24"/>
        </w:rPr>
        <w:t>本基金A类基金份额不收取销售服务费，C类基金份额的销售服务费按前一日C类基金资产净值的0.6%年费率计提。计算方法如下：</w:t>
      </w:r>
    </w:p>
    <w:p w14:paraId="3A33E348" w14:textId="77777777" w:rsidR="0008702E" w:rsidRPr="0008702E" w:rsidRDefault="0008702E" w:rsidP="0008702E">
      <w:pPr>
        <w:autoSpaceDE w:val="0"/>
        <w:autoSpaceDN w:val="0"/>
        <w:adjustRightInd w:val="0"/>
        <w:snapToGrid w:val="0"/>
        <w:spacing w:line="360" w:lineRule="auto"/>
        <w:ind w:firstLineChars="200" w:firstLine="480"/>
        <w:jc w:val="left"/>
        <w:rPr>
          <w:rFonts w:ascii="宋体" w:hAnsi="宋体"/>
          <w:sz w:val="24"/>
        </w:rPr>
      </w:pPr>
      <w:r w:rsidRPr="0008702E">
        <w:rPr>
          <w:rFonts w:ascii="宋体" w:hAnsi="宋体" w:hint="eastAsia"/>
          <w:sz w:val="24"/>
        </w:rPr>
        <w:t>H＝E×0.6%÷当年天数</w:t>
      </w:r>
    </w:p>
    <w:p w14:paraId="73A308A3" w14:textId="77777777" w:rsidR="0008702E" w:rsidRPr="0008702E" w:rsidRDefault="0008702E" w:rsidP="0008702E">
      <w:pPr>
        <w:autoSpaceDE w:val="0"/>
        <w:autoSpaceDN w:val="0"/>
        <w:adjustRightInd w:val="0"/>
        <w:snapToGrid w:val="0"/>
        <w:spacing w:line="360" w:lineRule="auto"/>
        <w:ind w:firstLineChars="200" w:firstLine="480"/>
        <w:jc w:val="left"/>
        <w:rPr>
          <w:rFonts w:ascii="宋体" w:hAnsi="宋体"/>
          <w:sz w:val="24"/>
        </w:rPr>
      </w:pPr>
      <w:r w:rsidRPr="0008702E">
        <w:rPr>
          <w:rFonts w:ascii="宋体" w:hAnsi="宋体" w:hint="eastAsia"/>
          <w:sz w:val="24"/>
        </w:rPr>
        <w:t>H为C类基金份额每日应计提的销售服务费</w:t>
      </w:r>
    </w:p>
    <w:p w14:paraId="508F39FE" w14:textId="77777777" w:rsidR="0008702E" w:rsidRPr="0008702E" w:rsidRDefault="0008702E" w:rsidP="0008702E">
      <w:pPr>
        <w:autoSpaceDE w:val="0"/>
        <w:autoSpaceDN w:val="0"/>
        <w:adjustRightInd w:val="0"/>
        <w:snapToGrid w:val="0"/>
        <w:spacing w:line="360" w:lineRule="auto"/>
        <w:ind w:firstLineChars="200" w:firstLine="480"/>
        <w:jc w:val="left"/>
        <w:rPr>
          <w:rFonts w:ascii="宋体" w:hAnsi="宋体"/>
          <w:sz w:val="24"/>
        </w:rPr>
      </w:pPr>
      <w:r w:rsidRPr="0008702E">
        <w:rPr>
          <w:rFonts w:ascii="宋体" w:hAnsi="宋体" w:hint="eastAsia"/>
          <w:sz w:val="24"/>
        </w:rPr>
        <w:t>E为C类基金份额前一日基金资产净值</w:t>
      </w:r>
    </w:p>
    <w:p w14:paraId="36B664EE" w14:textId="77777777" w:rsidR="006A7043" w:rsidRDefault="0008702E" w:rsidP="0008702E">
      <w:pPr>
        <w:autoSpaceDE w:val="0"/>
        <w:autoSpaceDN w:val="0"/>
        <w:adjustRightInd w:val="0"/>
        <w:snapToGrid w:val="0"/>
        <w:spacing w:line="360" w:lineRule="auto"/>
        <w:ind w:firstLineChars="200" w:firstLine="480"/>
        <w:jc w:val="left"/>
        <w:rPr>
          <w:rFonts w:ascii="宋体" w:hAnsi="宋体"/>
          <w:sz w:val="24"/>
        </w:rPr>
      </w:pPr>
      <w:r w:rsidRPr="0008702E">
        <w:rPr>
          <w:rFonts w:ascii="宋体" w:hAnsi="宋体" w:hint="eastAsia"/>
          <w:sz w:val="24"/>
        </w:rPr>
        <w:t>C类基金份额销售服务费每日计提，按月支付。由基金管理人向基金托管人发送销售服务费划款指令，经基金托管人复核后于次月首日起5个工作日内从基金财产中一次性支付给基金管理人，由基金管理人代付给销售机构。</w:t>
      </w:r>
    </w:p>
    <w:p w14:paraId="21B0AAF4" w14:textId="1B8ACBBA" w:rsidR="0008702E" w:rsidRPr="0008702E" w:rsidRDefault="0008702E" w:rsidP="0008702E">
      <w:pPr>
        <w:autoSpaceDE w:val="0"/>
        <w:autoSpaceDN w:val="0"/>
        <w:adjustRightInd w:val="0"/>
        <w:snapToGrid w:val="0"/>
        <w:spacing w:line="360" w:lineRule="auto"/>
        <w:ind w:firstLineChars="200" w:firstLine="480"/>
        <w:jc w:val="left"/>
        <w:rPr>
          <w:rFonts w:ascii="宋体" w:hAnsi="宋体"/>
          <w:sz w:val="24"/>
        </w:rPr>
      </w:pPr>
      <w:r w:rsidRPr="0008702E">
        <w:rPr>
          <w:rFonts w:ascii="宋体" w:hAnsi="宋体" w:hint="eastAsia"/>
          <w:sz w:val="24"/>
        </w:rPr>
        <w:t>若遇法定节假日、休息日或不可抗力致使无法按时支付的，顺延至最近可支付日支付。</w:t>
      </w:r>
    </w:p>
    <w:p w14:paraId="119B18C7" w14:textId="77777777" w:rsidR="0008702E" w:rsidRPr="0008702E" w:rsidRDefault="0008702E" w:rsidP="0008702E">
      <w:pPr>
        <w:autoSpaceDE w:val="0"/>
        <w:autoSpaceDN w:val="0"/>
        <w:adjustRightInd w:val="0"/>
        <w:snapToGrid w:val="0"/>
        <w:spacing w:line="360" w:lineRule="auto"/>
        <w:ind w:firstLineChars="200" w:firstLine="480"/>
        <w:jc w:val="left"/>
        <w:rPr>
          <w:rFonts w:ascii="宋体" w:hAnsi="宋体"/>
          <w:sz w:val="24"/>
        </w:rPr>
      </w:pPr>
      <w:r w:rsidRPr="0008702E">
        <w:rPr>
          <w:rFonts w:ascii="宋体" w:hAnsi="宋体" w:hint="eastAsia"/>
          <w:sz w:val="24"/>
        </w:rPr>
        <w:t>C类基金份额的销售服务费将专门用于本基金的市场推广、销售与基金份额持有人服务。</w:t>
      </w:r>
    </w:p>
    <w:p w14:paraId="3754D3CF" w14:textId="7DD5D110" w:rsidR="001430E9" w:rsidRDefault="0008702E" w:rsidP="0008702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w:t>
      </w:r>
      <w:r w:rsidR="00C86CDB">
        <w:rPr>
          <w:rFonts w:ascii="宋体" w:hAnsi="宋体"/>
          <w:sz w:val="24"/>
        </w:rPr>
        <w:t>上述“（一）基金费用的种类”中第3－</w:t>
      </w:r>
      <w:r w:rsidR="00CD31BE" w:rsidRPr="00CD31BE">
        <w:rPr>
          <w:rFonts w:ascii="宋体" w:hAnsi="宋体" w:hint="eastAsia"/>
          <w:sz w:val="24"/>
        </w:rPr>
        <w:t>9项、第11项</w:t>
      </w:r>
      <w:r w:rsidR="00C86CDB">
        <w:rPr>
          <w:rFonts w:ascii="宋体" w:hAnsi="宋体"/>
          <w:sz w:val="24"/>
        </w:rPr>
        <w:t>费用，根据有关法规及相应协议规定，按费用实际支出金额列入当期费用，由基金托管人从基金财产中支付。</w:t>
      </w:r>
    </w:p>
    <w:p w14:paraId="4C4E8BF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2、与基金销售有关的费用</w:t>
      </w:r>
    </w:p>
    <w:p w14:paraId="7C5C151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（1）申购费</w:t>
      </w:r>
    </w:p>
    <w:p w14:paraId="73A1DA1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本基金申购费的费率水平、计算公式和收取方式详见“基金份额的申购与赎回”一章。</w:t>
      </w:r>
    </w:p>
    <w:p w14:paraId="233869D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w:t>
      </w:r>
    </w:p>
    <w:p w14:paraId="4640391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本基金赎回费的费率水平、计算公式和收取方式详见“基金份额的申购与赎回”一章。</w:t>
      </w:r>
    </w:p>
    <w:p w14:paraId="28DAE9BE"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（三）不列入基金费用的项目</w:t>
      </w:r>
    </w:p>
    <w:p w14:paraId="7145F55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下列费用不列入基金费用：</w:t>
      </w:r>
    </w:p>
    <w:p w14:paraId="23E0EF5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1、基金管理人和基金托管人因未履行或未完全履行义务导致的费用支出或基金财产的损失；</w:t>
      </w:r>
    </w:p>
    <w:p w14:paraId="074B421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2、基金管理人和基金托管人处理与基金运作无关的事项发生的费用；</w:t>
      </w:r>
    </w:p>
    <w:p w14:paraId="6D34140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3、《基金合同》生效前的相关费用；</w:t>
      </w:r>
    </w:p>
    <w:p w14:paraId="01F0FA9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4、其他根据相关法律法规及中国证监会的有关规定不得列入基金费用的项目。</w:t>
      </w:r>
    </w:p>
    <w:p w14:paraId="2B89DEC2" w14:textId="33DDB534" w:rsidR="00633430" w:rsidRDefault="00C86CDB">
      <w:pPr>
        <w:autoSpaceDE w:val="0"/>
        <w:autoSpaceDN w:val="0"/>
        <w:adjustRightInd w:val="0"/>
        <w:snapToGrid w:val="0"/>
        <w:spacing w:line="360" w:lineRule="auto"/>
        <w:ind w:firstLineChars="200" w:firstLine="482"/>
        <w:jc w:val="left"/>
        <w:rPr>
          <w:rFonts w:ascii="宋体" w:hAnsi="宋体"/>
          <w:b/>
          <w:kern w:val="0"/>
          <w:sz w:val="24"/>
        </w:rPr>
      </w:pPr>
      <w:r w:rsidRPr="00BB248E">
        <w:rPr>
          <w:rFonts w:ascii="宋体" w:hAnsi="宋体" w:hint="eastAsia"/>
          <w:b/>
          <w:kern w:val="0"/>
          <w:sz w:val="24"/>
        </w:rPr>
        <w:t>（四）</w:t>
      </w:r>
      <w:r w:rsidR="00633430" w:rsidRPr="00633430">
        <w:rPr>
          <w:rFonts w:ascii="宋体" w:hAnsi="宋体" w:hint="eastAsia"/>
          <w:b/>
          <w:kern w:val="0"/>
          <w:sz w:val="24"/>
        </w:rPr>
        <w:t>实施侧袋机制期间的基金费用</w:t>
      </w:r>
    </w:p>
    <w:p w14:paraId="5B7D67FA" w14:textId="4BDFBF67" w:rsidR="00633430" w:rsidRDefault="00633430">
      <w:pPr>
        <w:autoSpaceDE w:val="0"/>
        <w:autoSpaceDN w:val="0"/>
        <w:adjustRightInd w:val="0"/>
        <w:snapToGrid w:val="0"/>
        <w:spacing w:line="360" w:lineRule="auto"/>
        <w:ind w:firstLineChars="200" w:firstLine="480"/>
        <w:jc w:val="left"/>
        <w:rPr>
          <w:rFonts w:ascii="宋体" w:hAnsi="宋体"/>
          <w:b/>
          <w:kern w:val="0"/>
          <w:sz w:val="24"/>
        </w:rPr>
      </w:pPr>
      <w:r w:rsidRPr="0046368E">
        <w:rPr>
          <w:rFonts w:hint="eastAsia"/>
          <w:bCs/>
          <w:sz w:val="24"/>
        </w:rPr>
        <w:t>本基金实施侧袋机制的，与侧袋账户有关的费用可以从侧袋账户中列支，但应待侧袋账户资产变现后方可列支，有关费用可酌情收取或减免，但不得收取管理费，详见</w:t>
      </w:r>
      <w:r>
        <w:rPr>
          <w:rFonts w:ascii="宋体" w:hAnsi="宋体" w:hint="eastAsia"/>
          <w:bCs/>
          <w:kern w:val="0"/>
          <w:sz w:val="24"/>
        </w:rPr>
        <w:t>本</w:t>
      </w:r>
      <w:r w:rsidRPr="0037162A">
        <w:rPr>
          <w:rFonts w:ascii="宋体" w:hAnsi="宋体" w:hint="eastAsia"/>
          <w:bCs/>
          <w:kern w:val="0"/>
          <w:sz w:val="24"/>
        </w:rPr>
        <w:t>招募说明书</w:t>
      </w:r>
      <w:r w:rsidRPr="00766A8A">
        <w:rPr>
          <w:rFonts w:ascii="宋体" w:hAnsi="宋体" w:hint="eastAsia"/>
          <w:sz w:val="24"/>
        </w:rPr>
        <w:t>“侧袋机制”部分</w:t>
      </w:r>
      <w:r w:rsidRPr="0046368E">
        <w:rPr>
          <w:rFonts w:hint="eastAsia"/>
          <w:bCs/>
          <w:sz w:val="24"/>
        </w:rPr>
        <w:t>的规定</w:t>
      </w:r>
      <w:r>
        <w:rPr>
          <w:rFonts w:hint="eastAsia"/>
          <w:bCs/>
          <w:sz w:val="24"/>
        </w:rPr>
        <w:t>。</w:t>
      </w:r>
    </w:p>
    <w:p w14:paraId="14C9D5DC" w14:textId="708EEBFC" w:rsidR="001430E9" w:rsidRDefault="00633430">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w:t>
      </w:r>
      <w:r>
        <w:rPr>
          <w:rFonts w:ascii="宋体" w:hAnsi="宋体" w:hint="eastAsia"/>
          <w:b/>
          <w:kern w:val="0"/>
          <w:sz w:val="24"/>
        </w:rPr>
        <w:t>五</w:t>
      </w:r>
      <w:r w:rsidRPr="00BB248E">
        <w:rPr>
          <w:rFonts w:ascii="宋体" w:hAnsi="宋体" w:hint="eastAsia"/>
          <w:b/>
          <w:kern w:val="0"/>
          <w:sz w:val="24"/>
        </w:rPr>
        <w:t>）</w:t>
      </w:r>
      <w:r w:rsidR="00C86CDB" w:rsidRPr="00BB248E">
        <w:rPr>
          <w:rFonts w:ascii="宋体" w:hAnsi="宋体" w:hint="eastAsia"/>
          <w:b/>
          <w:kern w:val="0"/>
          <w:sz w:val="24"/>
        </w:rPr>
        <w:t>基金税收</w:t>
      </w:r>
    </w:p>
    <w:p w14:paraId="1E1E277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本基金运作过程中涉及的各纳税主体，其纳税义务按国家税收法律、法规执行。</w:t>
      </w:r>
    </w:p>
    <w:p w14:paraId="05DC3F0C" w14:textId="77777777" w:rsidR="00435AFE" w:rsidRDefault="00C86CDB" w:rsidP="00435AFE">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6D6B61C9" w14:textId="77777777" w:rsidR="001430E9" w:rsidRDefault="00C86CDB">
      <w:pPr>
        <w:pStyle w:val="1"/>
        <w:snapToGrid w:val="0"/>
        <w:spacing w:beforeLines="0" w:before="240" w:after="240"/>
        <w:rPr>
          <w:rFonts w:ascii="宋体" w:hAnsi="宋体"/>
          <w:szCs w:val="30"/>
        </w:rPr>
      </w:pPr>
      <w:bookmarkStart w:id="18" w:name="_Toc137828498"/>
      <w:r>
        <w:rPr>
          <w:rFonts w:ascii="Times New Roman" w:hAnsi="Times New Roman"/>
          <w:sz w:val="30"/>
        </w:rPr>
        <w:lastRenderedPageBreak/>
        <w:t>十六、基金的会计与审计</w:t>
      </w:r>
      <w:bookmarkEnd w:id="18"/>
    </w:p>
    <w:p w14:paraId="4B933F39"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（一）基金会计政策</w:t>
      </w:r>
    </w:p>
    <w:p w14:paraId="6AED5A6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1、基金管理人为本基金的基金会计责任方；</w:t>
      </w:r>
    </w:p>
    <w:p w14:paraId="2EB2F6F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2、基金的会计年度为公历年度的1月1日至12月31日；</w:t>
      </w:r>
    </w:p>
    <w:p w14:paraId="22B8526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3、基金核算以人民币为记账本位币，以人民币元为记账单位；</w:t>
      </w:r>
    </w:p>
    <w:p w14:paraId="143DB42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4、会计制度执行国家有关会计制度；</w:t>
      </w:r>
    </w:p>
    <w:p w14:paraId="1E35E0C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5、本基金独立建账、独立核算；</w:t>
      </w:r>
    </w:p>
    <w:p w14:paraId="13FC7E7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6、基金管理人及基金托管人各自保留完整的会计账目、凭证并进行日常的会计核算，按照有关规定编制基金会计报表；</w:t>
      </w:r>
    </w:p>
    <w:p w14:paraId="588B9A9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7、基金托管人每月与基金管理人就基金的会计核算、报表编制等进行核对并以书面方式确认。</w:t>
      </w:r>
    </w:p>
    <w:p w14:paraId="7EB5FE52"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（二）基金的年度审计</w:t>
      </w:r>
    </w:p>
    <w:p w14:paraId="26EA98D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1、基金管理人聘请与基金管理人、基金托管人相互独立的具有证券、期货相关业务资格的会计师事务所及其注册会计师对本基金的年度财务报表进行审计。</w:t>
      </w:r>
    </w:p>
    <w:p w14:paraId="10F605C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2、会计师事务所更换经办注册会计师，应事先征得基金管理人同意。</w:t>
      </w:r>
    </w:p>
    <w:p w14:paraId="4947D04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3、基金管理人认为有充足理由更换会计师事务所，须通报基金托管人。更换会计师事务所需按照《信息披露办法》的有关规定在指定媒介公告。</w:t>
      </w:r>
    </w:p>
    <w:p w14:paraId="630DDD60" w14:textId="77777777" w:rsidR="00435AFE" w:rsidRDefault="00C86CDB" w:rsidP="00435AFE">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25F2A4D0" w14:textId="77777777" w:rsidR="001430E9" w:rsidRDefault="00C86CDB">
      <w:pPr>
        <w:pStyle w:val="1"/>
        <w:snapToGrid w:val="0"/>
        <w:spacing w:beforeLines="0" w:before="240" w:after="240"/>
        <w:rPr>
          <w:rFonts w:ascii="宋体" w:hAnsi="宋体"/>
          <w:szCs w:val="30"/>
        </w:rPr>
      </w:pPr>
      <w:bookmarkStart w:id="19" w:name="_Toc137828499"/>
      <w:r>
        <w:rPr>
          <w:rFonts w:ascii="Times New Roman" w:hAnsi="Times New Roman"/>
          <w:sz w:val="30"/>
        </w:rPr>
        <w:lastRenderedPageBreak/>
        <w:t>十七、基金的信息披露</w:t>
      </w:r>
      <w:bookmarkEnd w:id="19"/>
    </w:p>
    <w:p w14:paraId="68A9797B"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（一）本基金的信息披露应符合《基金法》、《运作办法》、《信息披露办法》、《流动性规定》、《基金合同》及其他有关规定。</w:t>
      </w:r>
    </w:p>
    <w:p w14:paraId="48A64D2F"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（二）信息披露义务人</w:t>
      </w:r>
    </w:p>
    <w:p w14:paraId="2EEBD45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本基金信息披露义务人包括基金管理人、基金托管人、召集基金份额持有人大会的基金份额持有人等法律法规和中国证监会规定的自然人、法人和非法人组织。</w:t>
      </w:r>
    </w:p>
    <w:p w14:paraId="283D3C3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本基金信息披露义务人以保护基金份额持有人利益为根本出发点，按照法律法规和中国证监会的规定披露基金信息，并保证所披露信息的真实性、准确性、完整性、及时性、简明性和易得性。</w:t>
      </w:r>
    </w:p>
    <w:p w14:paraId="503C999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14:paraId="3FDD4737"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（三）本基金信息披露义务人承诺公开披露的基金信息，不得有下列行为：</w:t>
      </w:r>
    </w:p>
    <w:p w14:paraId="2701F18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1、虚假记载、误导性陈述或者重大遗漏；</w:t>
      </w:r>
    </w:p>
    <w:p w14:paraId="109ACA9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2、对证券投资业绩进行预测；</w:t>
      </w:r>
    </w:p>
    <w:p w14:paraId="1D5BC05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3、违规承诺收益或者承担损失；</w:t>
      </w:r>
    </w:p>
    <w:p w14:paraId="63EE217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4、诋毁其他基金管理人、基金托管人或者基金销售机构；</w:t>
      </w:r>
    </w:p>
    <w:p w14:paraId="4185DE7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5、登载任何自然人、法人和非法人组织的祝贺性、恭维性或推荐性的文字；</w:t>
      </w:r>
    </w:p>
    <w:p w14:paraId="47B4631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6、中国证监会禁止的其他行为。</w:t>
      </w:r>
    </w:p>
    <w:p w14:paraId="6E49ED06"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（四）本基金公开披露的信息应采用中文文本。如同时采用外文文本的，基金信息披露义务人应保证不同文本的内容一致。不同文本之间发生歧义的，以中文文本为准。</w:t>
      </w:r>
    </w:p>
    <w:p w14:paraId="2516FB9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本基金公开披露的信息采用阿拉伯数字；除特别说明外，货币单位为人民币元。</w:t>
      </w:r>
    </w:p>
    <w:p w14:paraId="7DBD8ADE"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（五）公开披露的基金信息</w:t>
      </w:r>
    </w:p>
    <w:p w14:paraId="6B85526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公开披露的基金信息包括：</w:t>
      </w:r>
    </w:p>
    <w:p w14:paraId="74B6CE5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1、基金招募说明书、《基金合同》、基金托管协议、基金产品资料概要</w:t>
      </w:r>
    </w:p>
    <w:p w14:paraId="241613B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（1）《基金合同》是界定《基金合同》当事人的各项权利、义务关系，明确基</w:t>
      </w:r>
      <w:r>
        <w:rPr>
          <w:rFonts w:ascii="宋体" w:hAnsi="宋体"/>
          <w:sz w:val="24"/>
        </w:rPr>
        <w:lastRenderedPageBreak/>
        <w:t>金份额持有人大会召开的规则及具体程序，说明基金产品的特性等涉及基金投资者重大利益的事项的法律文件。</w:t>
      </w:r>
    </w:p>
    <w:p w14:paraId="7DFEBA3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303B3B1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（3）基金托管协议是界定基金托管人和基金管理人在基金财产保管及基金运作监督等活动中的权利、义务关系的法律文件。</w:t>
      </w:r>
    </w:p>
    <w:p w14:paraId="6B57545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104BB67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基金募集申请经中国证监会注册后，基金管理人在基金份额发售的3日前，将基金招募说明书、《基金合同》摘要登载在指定媒介上；基金管理人、基金托管人应当将《基金合同》、基金托管协议登载在网站上。</w:t>
      </w:r>
    </w:p>
    <w:p w14:paraId="43A4E9C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2、基金份额发售公告</w:t>
      </w:r>
    </w:p>
    <w:p w14:paraId="28AA11C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基金管理人应当就基金份额发售的具体事宜编制基金份额发售公告，并在披露招募说明书的当日登载于指定媒介上。</w:t>
      </w:r>
    </w:p>
    <w:p w14:paraId="1F78AA8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3、《基金合同》生效公告</w:t>
      </w:r>
    </w:p>
    <w:p w14:paraId="7332CF7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基金管理人应当在收到中国证监会确认文件的次日在指定媒介上登载《基金合同》生效公告。</w:t>
      </w:r>
    </w:p>
    <w:p w14:paraId="7F4DDA9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4、基金净值信息</w:t>
      </w:r>
    </w:p>
    <w:p w14:paraId="68C72B3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《基金合同》生效后，在开始办理基金份额申购或者赎回前，基金管理人应当至少每周在指定网站披露一次基金份额净值和基金份额累计净值。</w:t>
      </w:r>
    </w:p>
    <w:p w14:paraId="3BD1D9E3" w14:textId="65BD5EBA"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在开始办理基金份额申购或者赎回后，基金管理人应当在不晚于每个开放日的次日，通过指定网站、销售机构网站或者营业网点</w:t>
      </w:r>
      <w:r w:rsidR="00CD31BE">
        <w:rPr>
          <w:rFonts w:ascii="宋体" w:hAnsi="宋体" w:hint="eastAsia"/>
          <w:sz w:val="24"/>
        </w:rPr>
        <w:t>分别</w:t>
      </w:r>
      <w:r>
        <w:rPr>
          <w:rFonts w:ascii="宋体" w:hAnsi="宋体"/>
          <w:sz w:val="24"/>
        </w:rPr>
        <w:t>披露开放日</w:t>
      </w:r>
      <w:r w:rsidR="00CD31BE" w:rsidRPr="00CD31BE">
        <w:rPr>
          <w:rFonts w:ascii="宋体" w:hAnsi="宋体" w:hint="eastAsia"/>
          <w:sz w:val="24"/>
        </w:rPr>
        <w:t>A类基金份额和C</w:t>
      </w:r>
      <w:r w:rsidR="00CD31BE" w:rsidRPr="00CD31BE">
        <w:rPr>
          <w:rFonts w:ascii="宋体" w:hAnsi="宋体" w:hint="eastAsia"/>
          <w:sz w:val="24"/>
        </w:rPr>
        <w:lastRenderedPageBreak/>
        <w:t>类基金份额所对应</w:t>
      </w:r>
      <w:r>
        <w:rPr>
          <w:rFonts w:ascii="宋体" w:hAnsi="宋体"/>
          <w:sz w:val="24"/>
        </w:rPr>
        <w:t>的基金份额净值和基金份额累计净值。</w:t>
      </w:r>
    </w:p>
    <w:p w14:paraId="7CA0AB6F" w14:textId="31A57B05"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基金管理人应当在不晚于半年度和年度最后一日的次日，在指定网站披露半年度和年度最后一日</w:t>
      </w:r>
      <w:r w:rsidR="00CD31BE" w:rsidRPr="00CD31BE">
        <w:rPr>
          <w:rFonts w:ascii="宋体" w:hAnsi="宋体" w:hint="eastAsia"/>
          <w:sz w:val="24"/>
        </w:rPr>
        <w:t>A类基金份额和C类基金份额所对应</w:t>
      </w:r>
      <w:r>
        <w:rPr>
          <w:rFonts w:ascii="宋体" w:hAnsi="宋体"/>
          <w:sz w:val="24"/>
        </w:rPr>
        <w:t>的基金份额净值和基金份额累计净值。</w:t>
      </w:r>
    </w:p>
    <w:p w14:paraId="3ADDB69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5、基金份额申购、赎回价格</w:t>
      </w:r>
    </w:p>
    <w:p w14:paraId="66B27CA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p w14:paraId="6865A6B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6、基金定期报告，包括基金年度报告、基金中期报告和基金季度报告</w:t>
      </w:r>
    </w:p>
    <w:p w14:paraId="1EB9278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402E1B3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基金管理人应当在上半年结束之日起两个月内，编制完成基金中期报告，将中期报告登载在指定网站上，并将中期报告提示性公告登载在指定报刊上。</w:t>
      </w:r>
    </w:p>
    <w:p w14:paraId="43D7F20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基金管理人应当在季度结束之日起15个工作日内，编制完成基金季度报告，将季度报告登载在指定网站上，并将季度报告提示性公告登载在指定报刊上。</w:t>
      </w:r>
    </w:p>
    <w:p w14:paraId="4E6C4AC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《基金合同》生效不足2个月的，基金管理人可以不编制当期季度报告、中期报告或者年度报告。</w:t>
      </w:r>
    </w:p>
    <w:p w14:paraId="2B7DD7D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15CF00C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基金管理人应当在基金年度报告和中期报告中披露基金组合资产情况及其流动性风险分析等。</w:t>
      </w:r>
    </w:p>
    <w:p w14:paraId="415D43F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7、临时报告</w:t>
      </w:r>
    </w:p>
    <w:p w14:paraId="3205D9C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本基金发生重大事件，有关信息披露义务人应当在2日内编制临时报告书，并登载在指定报刊和指定网站上。</w:t>
      </w:r>
    </w:p>
    <w:p w14:paraId="2580D98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前款所称重大事件，是指可能对基金份额持有人权益或者基金份额的价格产生重大影响的下列事件：</w:t>
      </w:r>
    </w:p>
    <w:p w14:paraId="5B26AE6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（1）基金份额持有人大会的召开及决定的事项；</w:t>
      </w:r>
    </w:p>
    <w:p w14:paraId="75FE218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（2）《基金合同》终止、基金清算；</w:t>
      </w:r>
    </w:p>
    <w:p w14:paraId="315A008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（3）转换基金运作方式、基金合并；</w:t>
      </w:r>
    </w:p>
    <w:p w14:paraId="64D320D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（4）更换基金管理人、基金托管人、基金份额登记机构，基金改聘会计师事务所；</w:t>
      </w:r>
    </w:p>
    <w:p w14:paraId="12A0DF1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（5）基金管理人委托基金服务机构代为办理基金的份额登记、核算、估值等事项，基金托管人委托基金服务机构代为办理基金的核算、估值、复核等事项；</w:t>
      </w:r>
    </w:p>
    <w:p w14:paraId="409AFAD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（6）基金管理人、基金托管人的法定名称、住所发生变更；</w:t>
      </w:r>
    </w:p>
    <w:p w14:paraId="1495547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（7）基金管理人变更持有百分之五以上股权的股东、基金管理人的实际控制人变更；</w:t>
      </w:r>
    </w:p>
    <w:p w14:paraId="3FD5E43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（8）基金募集期延长或提前结束募集；</w:t>
      </w:r>
    </w:p>
    <w:p w14:paraId="0BA2134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（9）基金管理人的高级管理人员、基金经理和基金托管人专门基金托管部门负责人发生变动；</w:t>
      </w:r>
    </w:p>
    <w:p w14:paraId="63C9CB0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（10）基金管理人的董事在最近12个月内变更超过百分之五十，基金管理人、基金托管人专门基金托管部门的主要业务人员在最近12个月内变动超过百分之三十；</w:t>
      </w:r>
    </w:p>
    <w:p w14:paraId="4F7EB5A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（11）涉及基金财产、基金管理业务、基金托管业务的诉讼或仲裁；</w:t>
      </w:r>
    </w:p>
    <w:p w14:paraId="4B0B363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（12）基金管理人或其高级管理人员、基金经理因基金管理业务相关行为受到重大行政处罚、刑事处罚，基金托管人或其专门基金托管部门负责人因基金托管业务相关行为受到重大行政处罚、刑事处罚；</w:t>
      </w:r>
    </w:p>
    <w:p w14:paraId="082B831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0851028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（14）基金收益分配事项；</w:t>
      </w:r>
    </w:p>
    <w:p w14:paraId="26DA50C8" w14:textId="19C05470"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（15）管理费、托管费、</w:t>
      </w:r>
      <w:r w:rsidR="00CD31BE" w:rsidRPr="00173C18">
        <w:rPr>
          <w:rFonts w:hint="eastAsia"/>
          <w:bCs/>
          <w:sz w:val="24"/>
        </w:rPr>
        <w:t>销售服务费、</w:t>
      </w:r>
      <w:r>
        <w:rPr>
          <w:rFonts w:ascii="宋体" w:hAnsi="宋体"/>
          <w:sz w:val="24"/>
        </w:rPr>
        <w:t>申购费、赎回费等费用计提标准、计提方式和费率发生变更；</w:t>
      </w:r>
    </w:p>
    <w:p w14:paraId="2059BF6E" w14:textId="32474708"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w:t>
      </w:r>
      <w:r w:rsidR="00CD31BE">
        <w:rPr>
          <w:bCs/>
          <w:sz w:val="24"/>
        </w:rPr>
        <w:t>任一类</w:t>
      </w:r>
      <w:r>
        <w:rPr>
          <w:rFonts w:ascii="宋体" w:hAnsi="宋体"/>
          <w:sz w:val="24"/>
        </w:rPr>
        <w:t>基金份额净值计价错误达</w:t>
      </w:r>
      <w:r w:rsidR="00CD31BE">
        <w:rPr>
          <w:rFonts w:hint="eastAsia"/>
          <w:bCs/>
          <w:sz w:val="24"/>
        </w:rPr>
        <w:t>该类</w:t>
      </w:r>
      <w:r>
        <w:rPr>
          <w:rFonts w:ascii="宋体" w:hAnsi="宋体"/>
          <w:sz w:val="24"/>
        </w:rPr>
        <w:t>基金份额净值百分之零点五；</w:t>
      </w:r>
    </w:p>
    <w:p w14:paraId="2E11B05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（17）本基金开始办理申购、赎回；</w:t>
      </w:r>
    </w:p>
    <w:p w14:paraId="77A690C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（18）本基金发生巨额赎回并延期办理；</w:t>
      </w:r>
    </w:p>
    <w:p w14:paraId="4C0C412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（19）本基金连续发生巨额赎回并暂停接受赎回申请或延缓支付赎回款项；</w:t>
      </w:r>
    </w:p>
    <w:p w14:paraId="0D2D98B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（20）本基金暂停接受申购、赎回申请或重新接受申购、赎回申请；</w:t>
      </w:r>
    </w:p>
    <w:p w14:paraId="2947985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（21）本基金采用摆动定价机制进行估值；</w:t>
      </w:r>
    </w:p>
    <w:p w14:paraId="3AAD0E5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（22）发生涉及基金申购、赎回事项调整或潜在影响投资者赎回等重大事项时；</w:t>
      </w:r>
    </w:p>
    <w:p w14:paraId="1A55A8C0" w14:textId="77777777" w:rsidR="00CD31BE" w:rsidRPr="00CD31BE" w:rsidRDefault="00C86CDB" w:rsidP="00CD31BE">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（23）</w:t>
      </w:r>
      <w:r w:rsidR="00CD31BE" w:rsidRPr="00CD31BE">
        <w:rPr>
          <w:rFonts w:ascii="宋体" w:hAnsi="宋体" w:hint="eastAsia"/>
          <w:sz w:val="24"/>
        </w:rPr>
        <w:t>本基金增加或调整基金份额类别；</w:t>
      </w:r>
    </w:p>
    <w:p w14:paraId="1C0CD2D0" w14:textId="58480E8E" w:rsidR="001430E9" w:rsidRDefault="00CD31BE" w:rsidP="00CD31B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w:t>
      </w:r>
      <w:r w:rsidR="00C86CDB">
        <w:rPr>
          <w:rFonts w:ascii="宋体" w:hAnsi="宋体"/>
          <w:sz w:val="24"/>
        </w:rPr>
        <w:t>基金信息披露义务人认为可能对基金份额持有人权益或者基金份额的价格产生重大影响的其他事项或中国证监会规定的其他事项。</w:t>
      </w:r>
    </w:p>
    <w:p w14:paraId="330044E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8、澄清公告</w:t>
      </w:r>
    </w:p>
    <w:p w14:paraId="2C60863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0E09070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9、基金份额持有人大会决议</w:t>
      </w:r>
    </w:p>
    <w:p w14:paraId="0B60643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基金份额持有人大会决定的事项，应当依法报中国证监会备案，并予以公告。</w:t>
      </w:r>
    </w:p>
    <w:p w14:paraId="0BF1CB2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基金份额持有人依法自行召集基金份额持有人大会，基金管理人、基金托管人对基金份额持有人大会决定的事项不依法履行信息披露义务的，召集人应当履行相关信息披露义务。</w:t>
      </w:r>
    </w:p>
    <w:p w14:paraId="560A847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10、清算报告</w:t>
      </w:r>
    </w:p>
    <w:p w14:paraId="6C8863A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终止的，基金管理人应当依法组织清算组对基金财产进行清算并作出清算报告。清算报告应当经过具有证券、期货相关业务资格的会计师事务所审计，并由律师事务所出具法律意见书。清算组应当将清算报告登载在指定网站上，并将清算报告提示性公告登载在指定报刊上。</w:t>
      </w:r>
    </w:p>
    <w:p w14:paraId="4764E89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本基金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053CF08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本基金投资资产支持证券，基金管理人应在基金年度报告及中期报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0DE36F6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13、本基金投资流通受限证券，基金管理人应在本基金投资非公开发行股票后两个交易日内，在中国证监会指定媒介披露所投资非公开发行股票的名称、数量、总成本、账面价值，以及总成本和账面价值占基金资产净值的比例、锁定期等信息。</w:t>
      </w:r>
    </w:p>
    <w:p w14:paraId="6935F43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14、参与港股通交易的信息披露</w:t>
      </w:r>
    </w:p>
    <w:p w14:paraId="55E709D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在季度报告、中期报告、年度报告等定期报告和招募说明书（更新）等文件中披露参与港股通交易的相关情况。</w:t>
      </w:r>
    </w:p>
    <w:p w14:paraId="729A2AE3" w14:textId="77777777" w:rsidR="00B37F03" w:rsidRPr="00B37F03" w:rsidRDefault="00C86CDB" w:rsidP="00B37F03">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15、</w:t>
      </w:r>
      <w:r w:rsidR="00B37F03" w:rsidRPr="00B37F03">
        <w:rPr>
          <w:rFonts w:ascii="宋体" w:hAnsi="宋体" w:hint="eastAsia"/>
          <w:sz w:val="24"/>
        </w:rPr>
        <w:t>实施侧袋机制期间的信息披露</w:t>
      </w:r>
    </w:p>
    <w:p w14:paraId="176B5F92" w14:textId="73FFC856" w:rsidR="00B37F03" w:rsidRDefault="00B37F03" w:rsidP="00E917EA">
      <w:pPr>
        <w:autoSpaceDE w:val="0"/>
        <w:autoSpaceDN w:val="0"/>
        <w:adjustRightInd w:val="0"/>
        <w:snapToGrid w:val="0"/>
        <w:spacing w:line="360" w:lineRule="auto"/>
        <w:ind w:firstLineChars="200" w:firstLine="480"/>
        <w:jc w:val="left"/>
        <w:rPr>
          <w:rFonts w:ascii="宋体" w:hAnsi="宋体"/>
          <w:sz w:val="24"/>
        </w:rPr>
      </w:pPr>
      <w:r w:rsidRPr="00B37F03">
        <w:rPr>
          <w:rFonts w:ascii="宋体" w:hAnsi="宋体" w:hint="eastAsia"/>
          <w:sz w:val="24"/>
        </w:rPr>
        <w:t>本基金实施侧袋机制的，相关信息披露义务人应当根据法律法规、基金合同和招募说明书的规定进行信息披露，详见</w:t>
      </w:r>
      <w:r w:rsidRPr="005E2B54">
        <w:rPr>
          <w:rFonts w:ascii="宋体" w:hAnsi="宋体" w:hint="eastAsia"/>
          <w:bCs/>
          <w:sz w:val="24"/>
        </w:rPr>
        <w:t>本招募说明书</w:t>
      </w:r>
      <w:r w:rsidRPr="005E2B54">
        <w:rPr>
          <w:rFonts w:ascii="宋体" w:hAnsi="宋体" w:hint="eastAsia"/>
          <w:sz w:val="24"/>
        </w:rPr>
        <w:t>“侧袋机制”部分</w:t>
      </w:r>
      <w:r w:rsidRPr="005E2B54">
        <w:rPr>
          <w:rFonts w:ascii="宋体" w:hAnsi="宋体" w:hint="eastAsia"/>
          <w:bCs/>
          <w:sz w:val="24"/>
        </w:rPr>
        <w:t>的</w:t>
      </w:r>
      <w:r w:rsidRPr="00B37F03">
        <w:rPr>
          <w:rFonts w:ascii="宋体" w:hAnsi="宋体" w:hint="eastAsia"/>
          <w:sz w:val="24"/>
        </w:rPr>
        <w:t>规定。</w:t>
      </w:r>
    </w:p>
    <w:p w14:paraId="1B709256" w14:textId="0A71D488" w:rsidR="001430E9" w:rsidRDefault="00B37F0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w:t>
      </w:r>
      <w:r>
        <w:rPr>
          <w:rFonts w:ascii="宋体" w:hAnsi="宋体" w:hint="eastAsia"/>
          <w:sz w:val="24"/>
        </w:rPr>
        <w:t>、</w:t>
      </w:r>
      <w:r w:rsidR="00C86CDB">
        <w:rPr>
          <w:rFonts w:ascii="宋体" w:hAnsi="宋体"/>
          <w:sz w:val="24"/>
        </w:rPr>
        <w:t>中国证监会规定的其他信息。</w:t>
      </w:r>
    </w:p>
    <w:p w14:paraId="48AAA6F0"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（六）信息披露事务管理</w:t>
      </w:r>
    </w:p>
    <w:p w14:paraId="55D319C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基金管理人、基金托管人应当建立健全信息披露管理制度，指定专门部门及高级管理人员负责管理信息披露事务。</w:t>
      </w:r>
    </w:p>
    <w:p w14:paraId="1E90EA4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基金信息披露义务人公开披露基金信息，应当符合中国证监会相关基金信息披露内容与格式准则等法规规定。</w:t>
      </w:r>
    </w:p>
    <w:p w14:paraId="38782006" w14:textId="40967321"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基金托管人应当按照相关法律法规、中国证监会的规定和《基金合同》的约定，对基金管理人编制的基金资产净值、</w:t>
      </w:r>
      <w:r w:rsidR="00403231" w:rsidRPr="004868C0">
        <w:rPr>
          <w:rFonts w:hint="eastAsia"/>
          <w:bCs/>
          <w:sz w:val="24"/>
        </w:rPr>
        <w:t>各类</w:t>
      </w:r>
      <w:r>
        <w:rPr>
          <w:rFonts w:ascii="宋体" w:hAnsi="宋体"/>
          <w:sz w:val="24"/>
        </w:rPr>
        <w:t>基金份额净值、基金份额申购赎回价格、基金定期报告、更新的招募说明书、基金产品资料概要、基金清算报告等公开披露的相关基金信息进行复核、审查，并向基金管理人进行书面或电子确认。</w:t>
      </w:r>
    </w:p>
    <w:p w14:paraId="7371608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5F91909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6E64871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为基金信息披露义务人公开披露的基金信息出具审计报告、法律意见书的专业机构，应当制作工作底稿，并将相关档案至少保存到《基金合同》终止后10年。</w:t>
      </w:r>
    </w:p>
    <w:p w14:paraId="21A014F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基金管理人、基金托管人除按法律法规要求披露信息外，也可着眼于为投资者决策提供有用信息的角度，在保证公平对待投资者、不误导投资者、不影响基金正</w:t>
      </w:r>
      <w:r>
        <w:rPr>
          <w:rFonts w:ascii="宋体" w:hAnsi="宋体"/>
          <w:sz w:val="24"/>
        </w:rPr>
        <w:lastRenderedPageBreak/>
        <w:t>常投资操作的前提下，自主提升信息披露服务的质量。具体要求应当符合中国证监会及自律规则的相关规定。前述自主披露如产生信息披露费用，该费用不得从基金财产中列支。</w:t>
      </w:r>
    </w:p>
    <w:p w14:paraId="15520342"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（七）信息披露文件的存放与查阅</w:t>
      </w:r>
    </w:p>
    <w:p w14:paraId="0653AA2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依法必须披露的信息发布后，基金管理人、基金托管人应当按照相关法律法规规定将信息置备于各自住所，供社会公众查阅、复制。</w:t>
      </w:r>
    </w:p>
    <w:p w14:paraId="52B4912F"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（八）本基金信息披露事项以法律法规规定及本章节约定的内容为准。</w:t>
      </w:r>
    </w:p>
    <w:p w14:paraId="3E9D0EEB" w14:textId="341D3C19" w:rsidR="00B37F03" w:rsidRDefault="00C86CDB" w:rsidP="00B37F03">
      <w:pPr>
        <w:pStyle w:val="1"/>
        <w:spacing w:before="240" w:after="240"/>
        <w:rPr>
          <w:rFonts w:ascii="Times New Roman" w:hAnsi="Times New Roman"/>
          <w:sz w:val="30"/>
        </w:rPr>
      </w:pPr>
      <w:r>
        <w:rPr>
          <w:rFonts w:ascii="宋体" w:hAnsi="宋体"/>
          <w:sz w:val="24"/>
        </w:rPr>
        <w:br w:type="page"/>
      </w:r>
      <w:r w:rsidR="00B37F03">
        <w:rPr>
          <w:rFonts w:ascii="Times New Roman" w:hAnsi="Times New Roman"/>
          <w:sz w:val="30"/>
        </w:rPr>
        <w:lastRenderedPageBreak/>
        <w:t>十</w:t>
      </w:r>
      <w:r w:rsidR="00B37F03">
        <w:rPr>
          <w:rFonts w:ascii="Times New Roman" w:hAnsi="Times New Roman" w:hint="eastAsia"/>
          <w:sz w:val="30"/>
        </w:rPr>
        <w:t>八</w:t>
      </w:r>
      <w:r w:rsidR="00B37F03">
        <w:rPr>
          <w:rFonts w:ascii="Times New Roman" w:hAnsi="Times New Roman"/>
          <w:sz w:val="30"/>
        </w:rPr>
        <w:t>、</w:t>
      </w:r>
      <w:r w:rsidR="00B37F03" w:rsidRPr="00546294">
        <w:rPr>
          <w:rFonts w:ascii="Times New Roman" w:hAnsi="Times New Roman" w:hint="eastAsia"/>
          <w:sz w:val="30"/>
        </w:rPr>
        <w:t>侧袋机制</w:t>
      </w:r>
    </w:p>
    <w:p w14:paraId="2A522CAE" w14:textId="77777777" w:rsidR="00B37F03" w:rsidRPr="00A302AC" w:rsidRDefault="00B37F03" w:rsidP="00B37F03">
      <w:pPr>
        <w:autoSpaceDE w:val="0"/>
        <w:autoSpaceDN w:val="0"/>
        <w:adjustRightInd w:val="0"/>
        <w:snapToGrid w:val="0"/>
        <w:spacing w:line="360" w:lineRule="auto"/>
        <w:ind w:firstLineChars="200" w:firstLine="482"/>
        <w:jc w:val="left"/>
        <w:rPr>
          <w:rFonts w:ascii="宋体" w:hAnsi="宋体"/>
          <w:b/>
          <w:kern w:val="0"/>
          <w:sz w:val="24"/>
        </w:rPr>
      </w:pPr>
      <w:r w:rsidRPr="00A302AC">
        <w:rPr>
          <w:rFonts w:ascii="宋体" w:hAnsi="宋体" w:hint="eastAsia"/>
          <w:b/>
          <w:kern w:val="0"/>
          <w:sz w:val="24"/>
        </w:rPr>
        <w:t>（一）侧袋机制的实施条件</w:t>
      </w:r>
    </w:p>
    <w:p w14:paraId="2D88EADA" w14:textId="77777777" w:rsidR="00B37F03" w:rsidRPr="00ED0D33" w:rsidRDefault="00B37F03" w:rsidP="00B37F03">
      <w:pPr>
        <w:snapToGrid w:val="0"/>
        <w:spacing w:line="360" w:lineRule="auto"/>
        <w:ind w:firstLineChars="200" w:firstLine="480"/>
        <w:jc w:val="left"/>
        <w:rPr>
          <w:rFonts w:ascii="Times New Roman" w:hAnsi="Times New Roman"/>
          <w:bCs/>
          <w:sz w:val="24"/>
          <w:szCs w:val="24"/>
        </w:rPr>
      </w:pPr>
      <w:r w:rsidRPr="00ED0D33">
        <w:rPr>
          <w:rFonts w:ascii="Times New Roman" w:hAnsi="Times New Roman" w:hint="eastAsia"/>
          <w:bCs/>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78A6664A" w14:textId="77777777" w:rsidR="00B37F03" w:rsidRPr="00ED0D33" w:rsidRDefault="00B37F03" w:rsidP="00B37F03">
      <w:pPr>
        <w:snapToGrid w:val="0"/>
        <w:spacing w:line="360" w:lineRule="auto"/>
        <w:ind w:firstLineChars="200" w:firstLine="480"/>
        <w:jc w:val="left"/>
        <w:rPr>
          <w:rFonts w:ascii="Times New Roman" w:hAnsi="Times New Roman"/>
          <w:bCs/>
          <w:sz w:val="24"/>
          <w:szCs w:val="24"/>
        </w:rPr>
      </w:pPr>
      <w:r w:rsidRPr="00ED0D33">
        <w:rPr>
          <w:rFonts w:ascii="Times New Roman" w:hAnsi="Times New Roman" w:hint="eastAsia"/>
          <w:bCs/>
          <w:sz w:val="24"/>
          <w:szCs w:val="24"/>
        </w:rPr>
        <w:t>基金管理人应当在启用侧袋机制后及时发布临时公告，并在五个工作日内聘请侧袋机制启用日发表意见且符合《中华人民共和国证券法》规定的会计师事务所进行审计并披露专项审计意见。</w:t>
      </w:r>
    </w:p>
    <w:p w14:paraId="22AF0E75" w14:textId="77777777" w:rsidR="00B37F03" w:rsidRPr="00A302AC" w:rsidRDefault="00B37F03" w:rsidP="00B37F03">
      <w:pPr>
        <w:autoSpaceDE w:val="0"/>
        <w:autoSpaceDN w:val="0"/>
        <w:adjustRightInd w:val="0"/>
        <w:snapToGrid w:val="0"/>
        <w:spacing w:line="360" w:lineRule="auto"/>
        <w:ind w:firstLineChars="200" w:firstLine="482"/>
        <w:jc w:val="left"/>
        <w:rPr>
          <w:rFonts w:ascii="宋体" w:hAnsi="宋体"/>
          <w:b/>
          <w:kern w:val="0"/>
          <w:sz w:val="24"/>
        </w:rPr>
      </w:pPr>
      <w:r w:rsidRPr="00A302AC">
        <w:rPr>
          <w:rFonts w:ascii="宋体" w:hAnsi="宋体" w:hint="eastAsia"/>
          <w:b/>
          <w:kern w:val="0"/>
          <w:sz w:val="24"/>
        </w:rPr>
        <w:t>（二）实施侧袋机制期间基金份额的申购与赎回</w:t>
      </w:r>
    </w:p>
    <w:p w14:paraId="30CA75CC" w14:textId="77777777" w:rsidR="00B37F03" w:rsidRPr="00ED0D33" w:rsidRDefault="00B37F03" w:rsidP="00B37F03">
      <w:pPr>
        <w:snapToGrid w:val="0"/>
        <w:spacing w:line="360" w:lineRule="auto"/>
        <w:ind w:firstLineChars="200" w:firstLine="480"/>
        <w:jc w:val="left"/>
        <w:rPr>
          <w:rFonts w:ascii="Times New Roman" w:hAnsi="Times New Roman"/>
          <w:bCs/>
          <w:sz w:val="24"/>
          <w:szCs w:val="24"/>
        </w:rPr>
      </w:pPr>
      <w:r w:rsidRPr="00ED0D33">
        <w:rPr>
          <w:rFonts w:ascii="Times New Roman" w:hAnsi="Times New Roman"/>
          <w:bCs/>
          <w:sz w:val="24"/>
          <w:szCs w:val="24"/>
        </w:rPr>
        <w:t>1</w:t>
      </w:r>
      <w:r w:rsidRPr="00ED0D33">
        <w:rPr>
          <w:rFonts w:ascii="Times New Roman" w:hAnsi="Times New Roman"/>
          <w:bCs/>
          <w:sz w:val="24"/>
          <w:szCs w:val="24"/>
        </w:rPr>
        <w:t>、启用</w:t>
      </w:r>
      <w:r w:rsidRPr="00ED0D33">
        <w:rPr>
          <w:rFonts w:ascii="Times New Roman" w:hAnsi="Times New Roman" w:hint="eastAsia"/>
          <w:bCs/>
          <w:sz w:val="24"/>
          <w:szCs w:val="24"/>
        </w:rPr>
        <w:t>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14:paraId="6215DE09" w14:textId="77777777" w:rsidR="00B37F03" w:rsidRPr="00ED0D33" w:rsidRDefault="00B37F03" w:rsidP="00B37F03">
      <w:pPr>
        <w:snapToGrid w:val="0"/>
        <w:spacing w:line="360" w:lineRule="auto"/>
        <w:ind w:firstLineChars="200" w:firstLine="480"/>
        <w:jc w:val="left"/>
        <w:rPr>
          <w:rFonts w:ascii="Times New Roman" w:hAnsi="Times New Roman"/>
          <w:bCs/>
          <w:sz w:val="24"/>
          <w:szCs w:val="24"/>
        </w:rPr>
      </w:pPr>
      <w:r w:rsidRPr="00ED0D33">
        <w:rPr>
          <w:rFonts w:ascii="Times New Roman" w:hAnsi="Times New Roman"/>
          <w:bCs/>
          <w:sz w:val="24"/>
          <w:szCs w:val="24"/>
        </w:rPr>
        <w:t>2</w:t>
      </w:r>
      <w:r w:rsidRPr="00ED0D33">
        <w:rPr>
          <w:rFonts w:ascii="Times New Roman" w:hAnsi="Times New Roman"/>
          <w:bCs/>
          <w:sz w:val="24"/>
          <w:szCs w:val="24"/>
        </w:rPr>
        <w:t>、实施</w:t>
      </w:r>
      <w:r w:rsidRPr="00ED0D33">
        <w:rPr>
          <w:rFonts w:ascii="Times New Roman" w:hAnsi="Times New Roman" w:hint="eastAsia"/>
          <w:bCs/>
          <w:sz w:val="24"/>
          <w:szCs w:val="24"/>
        </w:rPr>
        <w:t>侧袋机制期间，基金管理人不办理侧袋账户份额的申购、赎回和转换；同时，基金管理人按照基金合同和招募说明书的约定办理主袋账户份额的赎回，并根据主袋账户运作情况确定是否暂停申购。</w:t>
      </w:r>
    </w:p>
    <w:p w14:paraId="7BF3F1AF" w14:textId="77777777" w:rsidR="00B37F03" w:rsidRPr="00ED0D33" w:rsidRDefault="00B37F03" w:rsidP="00B37F03">
      <w:pPr>
        <w:snapToGrid w:val="0"/>
        <w:spacing w:line="360" w:lineRule="auto"/>
        <w:ind w:firstLineChars="200" w:firstLine="480"/>
        <w:jc w:val="left"/>
        <w:rPr>
          <w:rFonts w:ascii="Times New Roman" w:hAnsi="Times New Roman"/>
          <w:bCs/>
          <w:sz w:val="24"/>
          <w:szCs w:val="24"/>
        </w:rPr>
      </w:pPr>
      <w:r w:rsidRPr="00ED0D33">
        <w:rPr>
          <w:rFonts w:ascii="Times New Roman" w:hAnsi="Times New Roman"/>
          <w:bCs/>
          <w:sz w:val="24"/>
          <w:szCs w:val="24"/>
        </w:rPr>
        <w:t>3</w:t>
      </w:r>
      <w:r w:rsidRPr="00ED0D33">
        <w:rPr>
          <w:rFonts w:ascii="Times New Roman" w:hAnsi="Times New Roman"/>
          <w:bCs/>
          <w:sz w:val="24"/>
          <w:szCs w:val="24"/>
        </w:rPr>
        <w:t>、除基金管理人应</w:t>
      </w:r>
      <w:r w:rsidRPr="00ED0D33">
        <w:rPr>
          <w:rFonts w:ascii="Times New Roman" w:hAnsi="Times New Roman" w:hint="eastAsia"/>
          <w:bCs/>
          <w:sz w:val="24"/>
          <w:szCs w:val="24"/>
        </w:rPr>
        <w:t>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w:t>
      </w:r>
      <w:r w:rsidRPr="00ED0D33">
        <w:rPr>
          <w:rFonts w:ascii="Times New Roman" w:hAnsi="Times New Roman"/>
          <w:bCs/>
          <w:sz w:val="24"/>
          <w:szCs w:val="24"/>
        </w:rPr>
        <w:t>10%</w:t>
      </w:r>
      <w:r w:rsidRPr="00ED0D33">
        <w:rPr>
          <w:rFonts w:ascii="Times New Roman" w:hAnsi="Times New Roman"/>
          <w:bCs/>
          <w:sz w:val="24"/>
          <w:szCs w:val="24"/>
        </w:rPr>
        <w:t>认定。</w:t>
      </w:r>
    </w:p>
    <w:p w14:paraId="588BAE6C" w14:textId="77777777" w:rsidR="00B37F03" w:rsidRPr="00A302AC" w:rsidRDefault="00B37F03" w:rsidP="00B37F03">
      <w:pPr>
        <w:autoSpaceDE w:val="0"/>
        <w:autoSpaceDN w:val="0"/>
        <w:adjustRightInd w:val="0"/>
        <w:snapToGrid w:val="0"/>
        <w:spacing w:line="360" w:lineRule="auto"/>
        <w:ind w:firstLineChars="200" w:firstLine="482"/>
        <w:jc w:val="left"/>
        <w:rPr>
          <w:rFonts w:ascii="宋体" w:hAnsi="宋体"/>
          <w:b/>
          <w:kern w:val="0"/>
          <w:sz w:val="24"/>
        </w:rPr>
      </w:pPr>
      <w:r w:rsidRPr="00A302AC">
        <w:rPr>
          <w:rFonts w:ascii="宋体" w:hAnsi="宋体" w:hint="eastAsia"/>
          <w:b/>
          <w:kern w:val="0"/>
          <w:sz w:val="24"/>
        </w:rPr>
        <w:t>（三）实施侧袋机制期间的基金投资</w:t>
      </w:r>
    </w:p>
    <w:p w14:paraId="01AF5C26" w14:textId="77777777" w:rsidR="00B37F03" w:rsidRPr="00ED0D33" w:rsidRDefault="00B37F03" w:rsidP="00B37F03">
      <w:pPr>
        <w:adjustRightInd w:val="0"/>
        <w:snapToGrid w:val="0"/>
        <w:spacing w:line="360" w:lineRule="auto"/>
        <w:ind w:firstLineChars="200" w:firstLine="480"/>
        <w:jc w:val="left"/>
        <w:rPr>
          <w:rFonts w:ascii="Times New Roman" w:hAnsi="Times New Roman"/>
          <w:bCs/>
          <w:sz w:val="24"/>
          <w:szCs w:val="24"/>
        </w:rPr>
      </w:pPr>
      <w:r w:rsidRPr="00ED0D33">
        <w:rPr>
          <w:rFonts w:ascii="Times New Roman" w:hAnsi="Times New Roman" w:hint="eastAsia"/>
          <w:bCs/>
          <w:sz w:val="24"/>
          <w:szCs w:val="24"/>
        </w:rPr>
        <w:t>侧袋机制实施期间，招募说明书“基金的投资”部分约定的</w:t>
      </w:r>
      <w:r w:rsidRPr="00ED0D33">
        <w:rPr>
          <w:rFonts w:ascii="Times New Roman" w:hAnsi="Times New Roman"/>
          <w:bCs/>
          <w:sz w:val="24"/>
          <w:szCs w:val="24"/>
        </w:rPr>
        <w:t>投资组合比例</w:t>
      </w:r>
      <w:r w:rsidRPr="00ED0D33">
        <w:rPr>
          <w:rFonts w:ascii="Times New Roman" w:hAnsi="Times New Roman" w:hint="eastAsia"/>
          <w:bCs/>
          <w:sz w:val="24"/>
          <w:szCs w:val="24"/>
        </w:rPr>
        <w:t>、投资策略、</w:t>
      </w:r>
      <w:r w:rsidRPr="00ED0D33">
        <w:rPr>
          <w:rFonts w:ascii="Times New Roman" w:hAnsi="Times New Roman"/>
          <w:bCs/>
          <w:sz w:val="24"/>
          <w:szCs w:val="24"/>
        </w:rPr>
        <w:t>组合限制</w:t>
      </w:r>
      <w:r w:rsidRPr="00ED0D33">
        <w:rPr>
          <w:rFonts w:ascii="Times New Roman" w:hAnsi="Times New Roman" w:hint="eastAsia"/>
          <w:bCs/>
          <w:sz w:val="24"/>
          <w:szCs w:val="24"/>
        </w:rPr>
        <w:t>、业绩比较基准、风险收益特征等约定仅适用于主袋账户。基金管理人计算各项投资运作指标和基金业绩指标时仅需考虑主袋账户资产。</w:t>
      </w:r>
    </w:p>
    <w:p w14:paraId="3F6EDB65" w14:textId="77777777" w:rsidR="00B37F03" w:rsidRPr="00ED0D33" w:rsidRDefault="00B37F03" w:rsidP="00B37F03">
      <w:pPr>
        <w:adjustRightInd w:val="0"/>
        <w:snapToGrid w:val="0"/>
        <w:spacing w:line="360" w:lineRule="auto"/>
        <w:ind w:firstLineChars="200" w:firstLine="480"/>
        <w:jc w:val="left"/>
        <w:rPr>
          <w:rFonts w:ascii="Times New Roman" w:hAnsi="Times New Roman"/>
          <w:bCs/>
          <w:sz w:val="24"/>
          <w:szCs w:val="24"/>
        </w:rPr>
      </w:pPr>
      <w:r w:rsidRPr="00ED0D33">
        <w:rPr>
          <w:rFonts w:ascii="Times New Roman" w:hAnsi="Times New Roman" w:hint="eastAsia"/>
          <w:bCs/>
          <w:sz w:val="24"/>
          <w:szCs w:val="24"/>
        </w:rPr>
        <w:t>基金管理人原则上应当在侧袋</w:t>
      </w:r>
      <w:r w:rsidRPr="00ED0D33">
        <w:rPr>
          <w:rFonts w:ascii="Times New Roman" w:hAnsi="Times New Roman"/>
          <w:bCs/>
          <w:sz w:val="24"/>
          <w:szCs w:val="24"/>
        </w:rPr>
        <w:t>机制启用后</w:t>
      </w:r>
      <w:r w:rsidRPr="00ED0D33">
        <w:rPr>
          <w:rFonts w:ascii="Times New Roman" w:hAnsi="Times New Roman"/>
          <w:bCs/>
          <w:sz w:val="24"/>
          <w:szCs w:val="24"/>
        </w:rPr>
        <w:t>20</w:t>
      </w:r>
      <w:r w:rsidRPr="00ED0D33">
        <w:rPr>
          <w:rFonts w:ascii="Times New Roman" w:hAnsi="Times New Roman"/>
          <w:bCs/>
          <w:sz w:val="24"/>
          <w:szCs w:val="24"/>
        </w:rPr>
        <w:t>个交易日内完成对主袋账户投资组合的调整，</w:t>
      </w:r>
      <w:r w:rsidRPr="00ED0D33">
        <w:rPr>
          <w:rFonts w:ascii="Times New Roman" w:hAnsi="Times New Roman" w:hint="eastAsia"/>
          <w:bCs/>
          <w:sz w:val="24"/>
          <w:szCs w:val="24"/>
        </w:rPr>
        <w:t>因资产流动性受限等中国证监会规定的情形除外。</w:t>
      </w:r>
    </w:p>
    <w:p w14:paraId="1AE39760" w14:textId="77777777" w:rsidR="00B37F03" w:rsidRPr="00ED0D33" w:rsidRDefault="00B37F03" w:rsidP="00B37F03">
      <w:pPr>
        <w:snapToGrid w:val="0"/>
        <w:spacing w:line="360" w:lineRule="auto"/>
        <w:ind w:firstLineChars="200" w:firstLine="480"/>
        <w:jc w:val="left"/>
        <w:rPr>
          <w:rFonts w:ascii="Times New Roman" w:hAnsi="Times New Roman"/>
          <w:bCs/>
          <w:sz w:val="24"/>
          <w:szCs w:val="24"/>
        </w:rPr>
      </w:pPr>
      <w:r w:rsidRPr="00ED0D33">
        <w:rPr>
          <w:rFonts w:ascii="Times New Roman" w:hAnsi="Times New Roman" w:hint="eastAsia"/>
          <w:bCs/>
          <w:sz w:val="24"/>
          <w:szCs w:val="24"/>
        </w:rPr>
        <w:t>基金管理人不得在侧袋账户中进行除特定资产处置变现以外的其他投资操作。</w:t>
      </w:r>
    </w:p>
    <w:p w14:paraId="2832F4A6" w14:textId="77777777" w:rsidR="00B37F03" w:rsidRPr="00A302AC" w:rsidRDefault="00B37F03" w:rsidP="00B37F03">
      <w:pPr>
        <w:autoSpaceDE w:val="0"/>
        <w:autoSpaceDN w:val="0"/>
        <w:adjustRightInd w:val="0"/>
        <w:snapToGrid w:val="0"/>
        <w:spacing w:line="360" w:lineRule="auto"/>
        <w:ind w:firstLineChars="200" w:firstLine="482"/>
        <w:jc w:val="left"/>
        <w:rPr>
          <w:rFonts w:ascii="宋体" w:hAnsi="宋体"/>
          <w:b/>
          <w:kern w:val="0"/>
          <w:sz w:val="24"/>
        </w:rPr>
      </w:pPr>
      <w:r w:rsidRPr="00A302AC">
        <w:rPr>
          <w:rFonts w:ascii="宋体" w:hAnsi="宋体" w:hint="eastAsia"/>
          <w:b/>
          <w:kern w:val="0"/>
          <w:sz w:val="24"/>
        </w:rPr>
        <w:t>（四）实施侧袋机制期间的基金估值</w:t>
      </w:r>
    </w:p>
    <w:p w14:paraId="45E055AD" w14:textId="77777777" w:rsidR="00B37F03" w:rsidRPr="00ED0D33" w:rsidRDefault="00B37F03" w:rsidP="00B37F03">
      <w:pPr>
        <w:adjustRightInd w:val="0"/>
        <w:snapToGrid w:val="0"/>
        <w:spacing w:line="360" w:lineRule="auto"/>
        <w:ind w:firstLineChars="200" w:firstLine="480"/>
        <w:jc w:val="left"/>
        <w:rPr>
          <w:rFonts w:ascii="Times New Roman" w:hAnsi="Times New Roman"/>
          <w:bCs/>
          <w:sz w:val="24"/>
          <w:szCs w:val="24"/>
        </w:rPr>
      </w:pPr>
      <w:r w:rsidRPr="00ED0D33">
        <w:rPr>
          <w:rFonts w:ascii="Times New Roman" w:hAnsi="Times New Roman" w:hint="eastAsia"/>
          <w:bCs/>
          <w:sz w:val="24"/>
          <w:szCs w:val="24"/>
        </w:rPr>
        <w:t>本基金实施侧袋机制的，基金管理人和基金托管人应对主袋账户资产进行估值</w:t>
      </w:r>
      <w:r w:rsidRPr="00ED0D33">
        <w:rPr>
          <w:rFonts w:ascii="Times New Roman" w:hAnsi="Times New Roman" w:hint="eastAsia"/>
          <w:bCs/>
          <w:sz w:val="24"/>
          <w:szCs w:val="24"/>
        </w:rPr>
        <w:lastRenderedPageBreak/>
        <w:t>并披露主袋账户的基金净值信息，暂停披露侧袋账户份额净值。侧袋账户的会计核算应符合《企业会计准则》的相关要求。</w:t>
      </w:r>
    </w:p>
    <w:p w14:paraId="4A43B1BA" w14:textId="77777777" w:rsidR="00B37F03" w:rsidRPr="00A302AC" w:rsidRDefault="00B37F03" w:rsidP="00B37F03">
      <w:pPr>
        <w:autoSpaceDE w:val="0"/>
        <w:autoSpaceDN w:val="0"/>
        <w:adjustRightInd w:val="0"/>
        <w:snapToGrid w:val="0"/>
        <w:spacing w:line="360" w:lineRule="auto"/>
        <w:ind w:firstLineChars="200" w:firstLine="482"/>
        <w:jc w:val="left"/>
        <w:rPr>
          <w:rFonts w:ascii="宋体" w:hAnsi="宋体"/>
          <w:b/>
          <w:kern w:val="0"/>
          <w:sz w:val="24"/>
        </w:rPr>
      </w:pPr>
      <w:r w:rsidRPr="00A302AC">
        <w:rPr>
          <w:rFonts w:ascii="宋体" w:hAnsi="宋体" w:hint="eastAsia"/>
          <w:b/>
          <w:kern w:val="0"/>
          <w:sz w:val="24"/>
        </w:rPr>
        <w:t>（五）实施侧袋账户期间的基金费用</w:t>
      </w:r>
    </w:p>
    <w:p w14:paraId="22060B48" w14:textId="77777777" w:rsidR="00B37F03" w:rsidRPr="00ED0D33" w:rsidRDefault="00B37F03" w:rsidP="00B37F03">
      <w:pPr>
        <w:adjustRightInd w:val="0"/>
        <w:snapToGrid w:val="0"/>
        <w:spacing w:line="360" w:lineRule="auto"/>
        <w:ind w:firstLineChars="200" w:firstLine="480"/>
        <w:jc w:val="left"/>
        <w:rPr>
          <w:rFonts w:ascii="Times New Roman" w:hAnsi="Times New Roman"/>
          <w:bCs/>
          <w:sz w:val="24"/>
          <w:szCs w:val="24"/>
        </w:rPr>
      </w:pPr>
      <w:r w:rsidRPr="00ED0D33">
        <w:rPr>
          <w:rFonts w:ascii="Times New Roman" w:hAnsi="Times New Roman"/>
          <w:bCs/>
          <w:sz w:val="24"/>
          <w:szCs w:val="24"/>
        </w:rPr>
        <w:t>1</w:t>
      </w:r>
      <w:r w:rsidRPr="00ED0D33">
        <w:rPr>
          <w:rFonts w:ascii="Times New Roman" w:hAnsi="Times New Roman" w:hint="eastAsia"/>
          <w:bCs/>
          <w:sz w:val="24"/>
          <w:szCs w:val="24"/>
        </w:rPr>
        <w:t>、本基金实施侧袋机制的，管理费和托管费</w:t>
      </w:r>
      <w:r>
        <w:rPr>
          <w:rFonts w:ascii="Times New Roman" w:hAnsi="Times New Roman" w:hint="eastAsia"/>
          <w:bCs/>
          <w:sz w:val="24"/>
          <w:szCs w:val="24"/>
        </w:rPr>
        <w:t>等</w:t>
      </w:r>
      <w:r w:rsidRPr="00ED0D33">
        <w:rPr>
          <w:rFonts w:ascii="Times New Roman" w:hAnsi="Times New Roman" w:hint="eastAsia"/>
          <w:bCs/>
          <w:sz w:val="24"/>
          <w:szCs w:val="24"/>
        </w:rPr>
        <w:t>按主袋账户基金资产净值作为基数计提。</w:t>
      </w:r>
    </w:p>
    <w:p w14:paraId="5CEB9369" w14:textId="77777777" w:rsidR="00B37F03" w:rsidRPr="00ED0D33" w:rsidRDefault="00B37F03" w:rsidP="00B37F03">
      <w:pPr>
        <w:adjustRightInd w:val="0"/>
        <w:snapToGrid w:val="0"/>
        <w:spacing w:line="360" w:lineRule="auto"/>
        <w:ind w:firstLineChars="200" w:firstLine="480"/>
        <w:jc w:val="left"/>
        <w:rPr>
          <w:rFonts w:ascii="Times New Roman" w:hAnsi="Times New Roman"/>
          <w:bCs/>
          <w:sz w:val="24"/>
          <w:szCs w:val="24"/>
        </w:rPr>
      </w:pPr>
      <w:r w:rsidRPr="00ED0D33">
        <w:rPr>
          <w:rFonts w:ascii="Times New Roman" w:hAnsi="Times New Roman"/>
          <w:bCs/>
          <w:sz w:val="24"/>
          <w:szCs w:val="24"/>
        </w:rPr>
        <w:t>2</w:t>
      </w:r>
      <w:r w:rsidRPr="00ED0D33">
        <w:rPr>
          <w:rFonts w:ascii="Times New Roman" w:hAnsi="Times New Roman" w:hint="eastAsia"/>
          <w:bCs/>
          <w:sz w:val="24"/>
          <w:szCs w:val="24"/>
        </w:rPr>
        <w:t>、与侧袋账户有关的费用可从侧袋账户中列支，但应待侧袋账户资产变现后方可列支，有关费用可酌情收取或减免，但不得收取管理费。</w:t>
      </w:r>
    </w:p>
    <w:p w14:paraId="5482FD35" w14:textId="77777777" w:rsidR="00B37F03" w:rsidRPr="00A302AC" w:rsidRDefault="00B37F03" w:rsidP="00B37F03">
      <w:pPr>
        <w:autoSpaceDE w:val="0"/>
        <w:autoSpaceDN w:val="0"/>
        <w:adjustRightInd w:val="0"/>
        <w:snapToGrid w:val="0"/>
        <w:spacing w:line="360" w:lineRule="auto"/>
        <w:ind w:firstLineChars="200" w:firstLine="482"/>
        <w:jc w:val="left"/>
        <w:rPr>
          <w:rFonts w:ascii="宋体" w:hAnsi="宋体"/>
          <w:b/>
          <w:kern w:val="0"/>
          <w:sz w:val="24"/>
        </w:rPr>
      </w:pPr>
      <w:r w:rsidRPr="00A302AC">
        <w:rPr>
          <w:rFonts w:ascii="宋体" w:hAnsi="宋体" w:hint="eastAsia"/>
          <w:b/>
          <w:kern w:val="0"/>
          <w:sz w:val="24"/>
        </w:rPr>
        <w:t>（六）侧袋账户中特定资产的处置变现和支付</w:t>
      </w:r>
    </w:p>
    <w:p w14:paraId="4038C0D5" w14:textId="77777777" w:rsidR="00B37F03" w:rsidRPr="00ED0D33" w:rsidRDefault="00B37F03" w:rsidP="00B37F03">
      <w:pPr>
        <w:adjustRightInd w:val="0"/>
        <w:snapToGrid w:val="0"/>
        <w:spacing w:line="360" w:lineRule="auto"/>
        <w:ind w:firstLineChars="200" w:firstLine="480"/>
        <w:jc w:val="left"/>
        <w:rPr>
          <w:rFonts w:ascii="Times New Roman" w:hAnsi="Times New Roman"/>
          <w:bCs/>
          <w:sz w:val="24"/>
          <w:szCs w:val="24"/>
        </w:rPr>
      </w:pPr>
      <w:r w:rsidRPr="00ED0D33">
        <w:rPr>
          <w:rFonts w:ascii="Times New Roman" w:hAnsi="Times New Roman" w:hint="eastAsia"/>
          <w:bCs/>
          <w:sz w:val="24"/>
          <w:szCs w:val="24"/>
        </w:rPr>
        <w:t>特定资产以可出售、可转让、恢复交易等方式恢复流动性后，基金管理人应当按照基金份额持有人利益最大化原则，采取将特定资产予以处置变现等方式，及时向侧袋账户份额持有人支付对应变现款项。</w:t>
      </w:r>
    </w:p>
    <w:p w14:paraId="5C4A7867" w14:textId="77777777" w:rsidR="00B37F03" w:rsidRPr="00ED0D33" w:rsidRDefault="00B37F03" w:rsidP="00B37F03">
      <w:pPr>
        <w:adjustRightInd w:val="0"/>
        <w:snapToGrid w:val="0"/>
        <w:spacing w:line="360" w:lineRule="auto"/>
        <w:ind w:firstLineChars="200" w:firstLine="480"/>
        <w:jc w:val="left"/>
        <w:rPr>
          <w:rFonts w:ascii="Times New Roman" w:hAnsi="Times New Roman"/>
          <w:bCs/>
          <w:sz w:val="24"/>
          <w:szCs w:val="24"/>
        </w:rPr>
      </w:pPr>
      <w:r w:rsidRPr="00ED0D33">
        <w:rPr>
          <w:rFonts w:ascii="Times New Roman" w:hAnsi="Times New Roman" w:hint="eastAsia"/>
          <w:bCs/>
          <w:sz w:val="24"/>
          <w:szCs w:val="24"/>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14:paraId="2FF9FD22" w14:textId="77777777" w:rsidR="00B37F03" w:rsidRPr="00ED0D33" w:rsidRDefault="00B37F03" w:rsidP="00B37F03">
      <w:pPr>
        <w:adjustRightInd w:val="0"/>
        <w:snapToGrid w:val="0"/>
        <w:spacing w:line="360" w:lineRule="auto"/>
        <w:ind w:firstLineChars="200" w:firstLine="480"/>
        <w:jc w:val="left"/>
        <w:rPr>
          <w:rFonts w:ascii="Times New Roman" w:hAnsi="Times New Roman"/>
          <w:bCs/>
          <w:sz w:val="24"/>
          <w:szCs w:val="24"/>
        </w:rPr>
      </w:pPr>
      <w:r w:rsidRPr="00ED0D33">
        <w:rPr>
          <w:rFonts w:ascii="Times New Roman" w:hAnsi="Times New Roman" w:hint="eastAsia"/>
          <w:bCs/>
          <w:sz w:val="24"/>
          <w:szCs w:val="24"/>
        </w:rPr>
        <w:t>侧袋账户资产全部完成变现并终止侧袋机制后，基金管理人应及时聘请符合《中华人民共和国证券法》规定的会计师事务所进行审计并披露专项审计意见。</w:t>
      </w:r>
    </w:p>
    <w:p w14:paraId="2470C28B" w14:textId="77777777" w:rsidR="00B37F03" w:rsidRPr="00A302AC" w:rsidRDefault="00B37F03" w:rsidP="00B37F03">
      <w:pPr>
        <w:autoSpaceDE w:val="0"/>
        <w:autoSpaceDN w:val="0"/>
        <w:adjustRightInd w:val="0"/>
        <w:snapToGrid w:val="0"/>
        <w:spacing w:line="360" w:lineRule="auto"/>
        <w:ind w:firstLineChars="200" w:firstLine="482"/>
        <w:jc w:val="left"/>
        <w:rPr>
          <w:rFonts w:ascii="宋体" w:hAnsi="宋体"/>
          <w:b/>
          <w:kern w:val="0"/>
          <w:sz w:val="24"/>
        </w:rPr>
      </w:pPr>
      <w:r w:rsidRPr="00A302AC">
        <w:rPr>
          <w:rFonts w:ascii="宋体" w:hAnsi="宋体" w:hint="eastAsia"/>
          <w:b/>
          <w:kern w:val="0"/>
          <w:sz w:val="24"/>
        </w:rPr>
        <w:t>（七）侧袋机制的信息披露</w:t>
      </w:r>
    </w:p>
    <w:p w14:paraId="14E40306" w14:textId="77777777" w:rsidR="00B37F03" w:rsidRPr="00ED0D33" w:rsidRDefault="00B37F03" w:rsidP="00B37F03">
      <w:pPr>
        <w:autoSpaceDE w:val="0"/>
        <w:autoSpaceDN w:val="0"/>
        <w:adjustRightInd w:val="0"/>
        <w:snapToGrid w:val="0"/>
        <w:spacing w:line="360" w:lineRule="auto"/>
        <w:ind w:firstLineChars="200" w:firstLine="480"/>
        <w:jc w:val="left"/>
        <w:rPr>
          <w:rFonts w:ascii="Times New Roman" w:hAnsi="Times New Roman"/>
          <w:bCs/>
          <w:sz w:val="24"/>
          <w:szCs w:val="24"/>
        </w:rPr>
      </w:pPr>
      <w:r w:rsidRPr="00ED0D33">
        <w:rPr>
          <w:rFonts w:ascii="Times New Roman" w:hAnsi="Times New Roman"/>
          <w:bCs/>
          <w:sz w:val="24"/>
          <w:szCs w:val="24"/>
        </w:rPr>
        <w:t>1</w:t>
      </w:r>
      <w:r w:rsidRPr="00ED0D33">
        <w:rPr>
          <w:rFonts w:ascii="Times New Roman" w:hAnsi="Times New Roman" w:hint="eastAsia"/>
          <w:bCs/>
          <w:sz w:val="24"/>
          <w:szCs w:val="24"/>
        </w:rPr>
        <w:t>、临时公告</w:t>
      </w:r>
    </w:p>
    <w:p w14:paraId="0A54BD52" w14:textId="77777777" w:rsidR="00B37F03" w:rsidRPr="00ED0D33" w:rsidRDefault="00B37F03" w:rsidP="00B37F03">
      <w:pPr>
        <w:adjustRightInd w:val="0"/>
        <w:snapToGrid w:val="0"/>
        <w:spacing w:line="360" w:lineRule="auto"/>
        <w:ind w:firstLineChars="200" w:firstLine="480"/>
        <w:jc w:val="left"/>
        <w:rPr>
          <w:rFonts w:ascii="Times New Roman" w:hAnsi="Times New Roman"/>
          <w:bCs/>
          <w:sz w:val="24"/>
          <w:szCs w:val="24"/>
        </w:rPr>
      </w:pPr>
      <w:r w:rsidRPr="00ED0D33">
        <w:rPr>
          <w:rFonts w:ascii="Times New Roman" w:hAnsi="Times New Roman" w:hint="eastAsia"/>
          <w:bCs/>
          <w:sz w:val="24"/>
          <w:szCs w:val="24"/>
        </w:rPr>
        <w:t>在启用侧袋机制、处置特定资产、终止侧袋机制以及发生其他可能对投资者利益产生重大影响的事项后基金管理人应及时发布临时公告。</w:t>
      </w:r>
    </w:p>
    <w:p w14:paraId="6FEFB8D8" w14:textId="77777777" w:rsidR="00B37F03" w:rsidRPr="004A68A1" w:rsidRDefault="00B37F03" w:rsidP="00B37F03">
      <w:pPr>
        <w:autoSpaceDE w:val="0"/>
        <w:autoSpaceDN w:val="0"/>
        <w:adjustRightInd w:val="0"/>
        <w:snapToGrid w:val="0"/>
        <w:spacing w:line="360" w:lineRule="auto"/>
        <w:ind w:firstLineChars="200" w:firstLine="480"/>
        <w:jc w:val="left"/>
        <w:rPr>
          <w:rFonts w:ascii="Times New Roman" w:hAnsi="Times New Roman"/>
          <w:bCs/>
          <w:sz w:val="24"/>
          <w:szCs w:val="24"/>
        </w:rPr>
      </w:pPr>
      <w:r w:rsidRPr="004A68A1">
        <w:rPr>
          <w:rFonts w:ascii="Times New Roman" w:hAnsi="Times New Roman"/>
          <w:bCs/>
          <w:sz w:val="24"/>
          <w:szCs w:val="24"/>
        </w:rPr>
        <w:t>2</w:t>
      </w:r>
      <w:r w:rsidRPr="004A68A1">
        <w:rPr>
          <w:rFonts w:ascii="Times New Roman" w:hAnsi="Times New Roman" w:hint="eastAsia"/>
          <w:bCs/>
          <w:sz w:val="24"/>
          <w:szCs w:val="24"/>
        </w:rPr>
        <w:t>、基金净值信息</w:t>
      </w:r>
    </w:p>
    <w:p w14:paraId="5A93304D" w14:textId="77777777" w:rsidR="00B37F03" w:rsidRPr="00ED0D33" w:rsidRDefault="00B37F03" w:rsidP="00B37F03">
      <w:pPr>
        <w:adjustRightInd w:val="0"/>
        <w:snapToGrid w:val="0"/>
        <w:spacing w:line="360" w:lineRule="auto"/>
        <w:ind w:firstLineChars="200" w:firstLine="480"/>
        <w:jc w:val="left"/>
        <w:rPr>
          <w:rFonts w:ascii="Times New Roman" w:hAnsi="Times New Roman"/>
          <w:bCs/>
          <w:sz w:val="24"/>
          <w:szCs w:val="24"/>
        </w:rPr>
      </w:pPr>
      <w:r w:rsidRPr="00ED0D33">
        <w:rPr>
          <w:rFonts w:ascii="Times New Roman" w:hAnsi="Times New Roman" w:hint="eastAsia"/>
          <w:bCs/>
          <w:sz w:val="24"/>
          <w:szCs w:val="24"/>
        </w:rPr>
        <w:t>基金管理人应按照招募说明书“基金的信息披露”部分规定的基金净值信息披露方式和频率披露主袋账户份额的基金净值信息。实施侧袋机制期间本基金暂停披露侧袋账户份额净值和累计净值。</w:t>
      </w:r>
    </w:p>
    <w:p w14:paraId="5BB0E14C" w14:textId="77777777" w:rsidR="00B37F03" w:rsidRPr="004A68A1" w:rsidRDefault="00B37F03" w:rsidP="00B37F03">
      <w:pPr>
        <w:autoSpaceDE w:val="0"/>
        <w:autoSpaceDN w:val="0"/>
        <w:adjustRightInd w:val="0"/>
        <w:snapToGrid w:val="0"/>
        <w:spacing w:line="360" w:lineRule="auto"/>
        <w:ind w:firstLineChars="200" w:firstLine="480"/>
        <w:jc w:val="left"/>
        <w:rPr>
          <w:rFonts w:ascii="Times New Roman" w:hAnsi="Times New Roman"/>
          <w:bCs/>
          <w:sz w:val="24"/>
          <w:szCs w:val="24"/>
        </w:rPr>
      </w:pPr>
      <w:r w:rsidRPr="004A68A1">
        <w:rPr>
          <w:rFonts w:ascii="Times New Roman" w:hAnsi="Times New Roman"/>
          <w:bCs/>
          <w:sz w:val="24"/>
          <w:szCs w:val="24"/>
        </w:rPr>
        <w:t>3</w:t>
      </w:r>
      <w:r w:rsidRPr="004A68A1">
        <w:rPr>
          <w:rFonts w:ascii="Times New Roman" w:hAnsi="Times New Roman" w:hint="eastAsia"/>
          <w:bCs/>
          <w:sz w:val="24"/>
          <w:szCs w:val="24"/>
        </w:rPr>
        <w:t>、定期报告</w:t>
      </w:r>
    </w:p>
    <w:p w14:paraId="7432962E" w14:textId="01BDDF83" w:rsidR="00435AFE" w:rsidRPr="00190EBC" w:rsidRDefault="00B37F03" w:rsidP="00190EBC">
      <w:pPr>
        <w:adjustRightInd w:val="0"/>
        <w:snapToGrid w:val="0"/>
        <w:spacing w:line="360" w:lineRule="auto"/>
        <w:ind w:firstLineChars="200" w:firstLine="480"/>
        <w:jc w:val="left"/>
        <w:rPr>
          <w:rFonts w:ascii="Times New Roman" w:hAnsi="Times New Roman"/>
          <w:bCs/>
          <w:sz w:val="24"/>
          <w:szCs w:val="24"/>
        </w:rPr>
      </w:pPr>
      <w:r w:rsidRPr="004A68A1">
        <w:rPr>
          <w:rFonts w:ascii="Times New Roman" w:hAnsi="Times New Roman" w:hint="eastAsia"/>
          <w:bCs/>
          <w:sz w:val="24"/>
          <w:szCs w:val="24"/>
        </w:rPr>
        <w:t>侧袋机制实施期间，基金管理人应当在基金定期报告中披露报告期内侧袋账户相关信息，基金定期报告中的基金会计报表仅需针对主袋账户进行编制。会计师事务所对基金年度报告进行审计时，应对报告期内基金侧袋机制运行相关的会计核算和年度报告披露等发表审计意见</w:t>
      </w:r>
      <w:r>
        <w:rPr>
          <w:rFonts w:ascii="Times New Roman" w:hAnsi="Times New Roman" w:hint="eastAsia"/>
          <w:bCs/>
          <w:sz w:val="24"/>
          <w:szCs w:val="24"/>
        </w:rPr>
        <w:t>。</w:t>
      </w:r>
    </w:p>
    <w:p w14:paraId="53B8684F" w14:textId="0EC25784" w:rsidR="001430E9" w:rsidRDefault="00C86CDB">
      <w:pPr>
        <w:pStyle w:val="1"/>
        <w:snapToGrid w:val="0"/>
        <w:spacing w:beforeLines="0" w:before="240" w:after="240"/>
        <w:rPr>
          <w:rFonts w:ascii="宋体" w:hAnsi="宋体"/>
          <w:szCs w:val="30"/>
        </w:rPr>
      </w:pPr>
      <w:bookmarkStart w:id="20" w:name="_Toc137828500"/>
      <w:r>
        <w:rPr>
          <w:rFonts w:ascii="Times New Roman" w:hAnsi="Times New Roman"/>
          <w:sz w:val="30"/>
        </w:rPr>
        <w:lastRenderedPageBreak/>
        <w:t>十</w:t>
      </w:r>
      <w:r w:rsidR="00B37F03">
        <w:rPr>
          <w:rFonts w:ascii="Times New Roman" w:hAnsi="Times New Roman" w:hint="eastAsia"/>
          <w:sz w:val="30"/>
        </w:rPr>
        <w:t>九</w:t>
      </w:r>
      <w:r>
        <w:rPr>
          <w:rFonts w:ascii="Times New Roman" w:hAnsi="Times New Roman"/>
          <w:sz w:val="30"/>
        </w:rPr>
        <w:t>、风险揭示</w:t>
      </w:r>
      <w:bookmarkEnd w:id="20"/>
    </w:p>
    <w:p w14:paraId="6486737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14:paraId="1507A09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在投资运作过程中可能面临各种风险，既包括市场风险，也包括基金自身的管理风险、技术风险和合规风险等。巨额赎回风险是开放式基金所特有的一种风险，即当单个开放日基金的净赎回申请（赎回申请份额总数加上基金转换中转出申请份额总数后扣除申购申请份额总数及基金转换中转入申请份额总数后的余额）超过上一开放日基金总份额的百分之十时，投资人将可能无法及时赎回持有的全部基金份额。基金分为股票型基金、混合型基金、债券型基金、货币市场基金等不同类型，投资人投资不同类型的基金将获得不同的收益预期，也将承担不同程度的风险。一般来说，基金的收益预期越高，投资人承担的风险也越大。</w:t>
      </w:r>
    </w:p>
    <w:p w14:paraId="60A8F2A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认真阅读《基金合同》、《招募说明书》、基金产品资料概要等基金法律文件，了解基金的风险收益特征，并根据自身的投资目的、投资期限、投资经验、资产状况等判断基金是否和投资人的风险承受能力相适应。</w:t>
      </w:r>
    </w:p>
    <w:p w14:paraId="4C72188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5023084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拆分、分红等行为导致基金份额净值变化，不会改变基金的风险收益特征，不会降低基金投资风险或提高基金投资收益。以1元初始面值开展基金募集或因拆分、分红等行为导致基金份额净值调整至1元初始面值或1元附近，在市场波动等因素的影响下，基金投资仍有可能出现亏损或基金净值仍有可能低于初始面值。</w:t>
      </w:r>
    </w:p>
    <w:p w14:paraId="6B011F1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以诚实信用、勤勉尽责的原则管理和运用基金资产，但不保证本基金一定盈利，也不保证最低收益。基金管理人管理的其他基金的业绩不构成对本基金业绩表现的保证。基金管理人提醒投资人基金投资的“买者自负”原则，在做出投资决策后，基金运营状况与基金净值变化引致的投资风险，由投资人自行负担。</w:t>
      </w:r>
    </w:p>
    <w:p w14:paraId="2513E33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基金份额持有人须了解并承受以下风险：</w:t>
      </w:r>
    </w:p>
    <w:p w14:paraId="0700B809"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（一）市场风险</w:t>
      </w:r>
    </w:p>
    <w:p w14:paraId="41A0D8D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证券市场价格因受到经济因素、政治因素、投资心理和交易制度等各种因素的影响而引起的波动，将对基金收益水平产生潜在风险，主要包括：</w:t>
      </w:r>
    </w:p>
    <w:p w14:paraId="52AB399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1、政策风险。因国家宏观政策（如货币政策、财政政策、行业政策、地区发展政策等）和证券市场监管政策发生变化，导致市场价格波动而产生风险。</w:t>
      </w:r>
    </w:p>
    <w:p w14:paraId="0DCE653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2、经济周期风险。证券市场受宏观经济运行的影响，而经济运行具有周期性的特点，宏观经济运行状况将对证券市场的收益水平产生影响，从而对基金收益造成影响。</w:t>
      </w:r>
    </w:p>
    <w:p w14:paraId="420E1B1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14:paraId="323223F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市公司经营风险。上市公司的经营状况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14:paraId="489A6FB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5、购买力风险。基金投资的目的是基金资产的保值增值，如果发生通货膨胀，基金投资于证券所获得的收益可能会被通货膨胀抵消，从而使基金的实际收益下降，影响基金资产的保值增值。</w:t>
      </w:r>
    </w:p>
    <w:p w14:paraId="67BC3656"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（二）管理风险</w:t>
      </w:r>
    </w:p>
    <w:p w14:paraId="3A7D7B4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14:paraId="7AF00EB0"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（三）流动性风险</w:t>
      </w:r>
    </w:p>
    <w:p w14:paraId="66706E5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属于开放式基金，在基金的所有开放日，基金管理人都有义务接受投资人的赎回。如果基金资产不能迅速转变成现金，或者变现为现金时使资金净值产生不利的影响，都会影响基金运作和收益水平。尤其是在发生巨额赎回时，如果基金资产变现能力差，可能会产生基金仓位调整的困难，导致流动性风险，可能影响基</w:t>
      </w:r>
      <w:r>
        <w:rPr>
          <w:rFonts w:ascii="宋体" w:hAnsi="宋体"/>
          <w:sz w:val="24"/>
        </w:rPr>
        <w:lastRenderedPageBreak/>
        <w:t>金份额净值。</w:t>
      </w:r>
    </w:p>
    <w:p w14:paraId="0246224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1、本基金的申购、赎回安排</w:t>
      </w:r>
    </w:p>
    <w:p w14:paraId="579DBE6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开放方式运作，基金管理人在开放日办理基金份额的申购和赎回，具体办理时间为上海证券交易所、深圳证券交易所的正常交易日（若该工作日为非港股通交易日，则本基金不开放）的交易时间，但基金管理人根据法律法规、中国证监会的要求或基金合同的规定公告暂停申购、赎回时除外。基金管理人自基金合同生效之日起不超过3个月开始办理申购和赎回业务，具体业务办理时间在申购赎回开始公告中规定。</w:t>
      </w:r>
    </w:p>
    <w:p w14:paraId="599D7F1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2、投资市场、行业及资产的流动性风险评估</w:t>
      </w:r>
    </w:p>
    <w:p w14:paraId="0A2226E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市场主要为证券交易所、全国银行间债券市场等流动性较好的规范型交易场所，主要投资对象为具有良好流动性的金融工具，同时本基金基于分散投资的原则在行业和个券方面未有高集中度的特征，综合评估在正常市场环境下本基金的流动性风险适中。</w:t>
      </w:r>
    </w:p>
    <w:p w14:paraId="5B3BE5B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3、巨额赎回情形下的流动性风险管理措施</w:t>
      </w:r>
    </w:p>
    <w:p w14:paraId="23E9010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3CD9A8C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当基金出现巨额赎回时，基金管理人可以根据基金当时的资产组合状况决定全额赎回或部分延期赎回。</w:t>
      </w:r>
    </w:p>
    <w:p w14:paraId="052C094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（1）全额赎回：当基金管理人认为有能力支付投资人的全部赎回申请时，按正常赎回程序执行。</w:t>
      </w:r>
    </w:p>
    <w:p w14:paraId="056D74E4" w14:textId="7E40C514"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sidR="001F252D">
        <w:rPr>
          <w:rFonts w:ascii="Times New Roman" w:hAnsi="Times New Roman"/>
          <w:sz w:val="24"/>
        </w:rPr>
        <w:t>该类</w:t>
      </w:r>
      <w:r>
        <w:rPr>
          <w:rFonts w:ascii="宋体" w:hAnsi="宋体"/>
          <w:sz w:val="24"/>
        </w:rPr>
        <w:t>基金份额净值为基础计算赎回金额，以此类推，直到全部赎回</w:t>
      </w:r>
      <w:r>
        <w:rPr>
          <w:rFonts w:ascii="宋体" w:hAnsi="宋体"/>
          <w:sz w:val="24"/>
        </w:rPr>
        <w:lastRenderedPageBreak/>
        <w:t>为止。如投资人在提交赎回申请时未作明确选择，投资人未能赎回部分作自动延期赎回处理。</w:t>
      </w:r>
    </w:p>
    <w:p w14:paraId="5329FED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（3）本基金发生巨额赎回且单个基金份额持有人的赎回申请超过上一日基金总份额20%的情形下，基金管理人可以采取如下措施：</w:t>
      </w:r>
    </w:p>
    <w:p w14:paraId="0D2301F6" w14:textId="0585E2D0"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对于基金份额持有人当日超过20%的赎回申请，可以对其赎回申请延期办理，延期的赎回申请转入下一个开放日继续赎回，直到全部赎回为止。</w:t>
      </w:r>
    </w:p>
    <w:p w14:paraId="130EEB26" w14:textId="7C5AEFD2"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基金份额持有人当日未超过20%的赎回申请，基金管理人认为有能力支付投资人的全部赎回申请时，按正常赎回程序执行；基金管理人认为支付投资人的赎回申请有困难或认为因支付投资人的赎回申请而进行的财产变现可能会对基金资产净值造成较大波动时，基金管理人在当日接受赎回比例不低于上一开放日基金总份额的10%的前提下，对当日的其余赎回申请按单个账户赎回申请量占赎回申请总量的比例，确定当日受理的赎回份额；对于未能赎回部分，基金管理人可对其赎回申请进行延期办理，延期的赎回申请转入下一个开放日继续赎回，直到全部赎回为止。</w:t>
      </w:r>
    </w:p>
    <w:p w14:paraId="3E5FCDCC" w14:textId="47AF3636"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延期的赎回申请与下一开放日赎回申请一并处理，无优先权并以下一开放日的</w:t>
      </w:r>
      <w:r w:rsidR="00403231">
        <w:rPr>
          <w:rFonts w:ascii="Times New Roman" w:hAnsi="Times New Roman"/>
          <w:sz w:val="24"/>
        </w:rPr>
        <w:t>该类</w:t>
      </w:r>
      <w:r>
        <w:rPr>
          <w:rFonts w:ascii="宋体" w:hAnsi="宋体"/>
          <w:sz w:val="24"/>
        </w:rPr>
        <w:t>基金份额净值为基础计算赎回金额，以此类推，直到全部赎回为止。但是，如基金份额持有人在当日选择取消赎回，则其当日未获受理的部分赎回申请将被撤销。</w:t>
      </w:r>
    </w:p>
    <w:p w14:paraId="7C66DF6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暂停赎回：连续2个开放日以上（含本数）发生巨额赎回，如基金管理人认为有必要，可暂停接受基金的赎回申请；已经接受的赎回申请可以延缓支付赎回款项，但不得超过20个工作日，并应当在指定媒介上进行公告。</w:t>
      </w:r>
    </w:p>
    <w:p w14:paraId="1195598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4、实施备用的流动性风险管理工具的情形、程序及对投资者的潜在影响</w:t>
      </w:r>
    </w:p>
    <w:p w14:paraId="29981AC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本基金在面临大规模赎回的情况下有可能因为无法变现造成流动性风险。</w:t>
      </w:r>
    </w:p>
    <w:p w14:paraId="4B475D57" w14:textId="21C46759" w:rsidR="001430E9" w:rsidRDefault="00C86CDB">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如果出现流动性风险，基金管理人经与基金托管人协商，在确保投资者得到公平对待的前提下，可实施备用的流动性风险管理工具，包括但不限于延期办理巨额赎回申请、暂停接受赎回申请、延缓支付赎回款项、收取短期赎回费、摆动定价、暂停基金估值</w:t>
      </w:r>
      <w:r w:rsidR="00B37F03" w:rsidRPr="004F154F">
        <w:rPr>
          <w:rFonts w:ascii="宋体" w:hAnsi="宋体" w:hint="eastAsia"/>
          <w:sz w:val="24"/>
        </w:rPr>
        <w:t>、实施侧袋机制</w:t>
      </w:r>
      <w:r>
        <w:rPr>
          <w:rFonts w:ascii="宋体" w:hAnsi="宋体"/>
          <w:sz w:val="24"/>
        </w:rPr>
        <w:t>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14:paraId="313C0C93" w14:textId="77777777" w:rsidR="00B37F03" w:rsidRPr="0047704F" w:rsidRDefault="00B37F03" w:rsidP="00B37F03">
      <w:pPr>
        <w:autoSpaceDE w:val="0"/>
        <w:autoSpaceDN w:val="0"/>
        <w:adjustRightInd w:val="0"/>
        <w:snapToGrid w:val="0"/>
        <w:spacing w:line="360" w:lineRule="auto"/>
        <w:ind w:firstLineChars="200" w:firstLine="480"/>
        <w:jc w:val="left"/>
        <w:rPr>
          <w:rFonts w:ascii="宋体" w:hAnsi="宋体"/>
          <w:sz w:val="24"/>
        </w:rPr>
      </w:pPr>
      <w:r w:rsidRPr="0047704F">
        <w:rPr>
          <w:rFonts w:ascii="宋体" w:hAnsi="宋体" w:hint="eastAsia"/>
          <w:sz w:val="24"/>
        </w:rPr>
        <w:lastRenderedPageBreak/>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14:paraId="67BB2B42" w14:textId="77777777" w:rsidR="00B37F03" w:rsidRPr="0047704F" w:rsidRDefault="00B37F03" w:rsidP="00B37F03">
      <w:pPr>
        <w:autoSpaceDE w:val="0"/>
        <w:autoSpaceDN w:val="0"/>
        <w:adjustRightInd w:val="0"/>
        <w:snapToGrid w:val="0"/>
        <w:spacing w:line="360" w:lineRule="auto"/>
        <w:ind w:firstLineChars="200" w:firstLine="480"/>
        <w:jc w:val="left"/>
        <w:rPr>
          <w:rFonts w:ascii="宋体" w:hAnsi="宋体"/>
          <w:sz w:val="24"/>
        </w:rPr>
      </w:pPr>
      <w:r w:rsidRPr="0047704F">
        <w:rPr>
          <w:rFonts w:ascii="宋体" w:hAnsi="宋体" w:hint="eastAsia"/>
          <w:sz w:val="24"/>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1277643D" w14:textId="77777777" w:rsidR="00B37F03" w:rsidRPr="0047704F" w:rsidRDefault="00B37F03" w:rsidP="00B37F03">
      <w:pPr>
        <w:autoSpaceDE w:val="0"/>
        <w:autoSpaceDN w:val="0"/>
        <w:adjustRightInd w:val="0"/>
        <w:snapToGrid w:val="0"/>
        <w:spacing w:line="360" w:lineRule="auto"/>
        <w:ind w:firstLineChars="200" w:firstLine="480"/>
        <w:jc w:val="left"/>
        <w:rPr>
          <w:rFonts w:ascii="宋体" w:hAnsi="宋体"/>
          <w:sz w:val="24"/>
        </w:rPr>
      </w:pPr>
      <w:r w:rsidRPr="0047704F">
        <w:rPr>
          <w:rFonts w:ascii="宋体" w:hAnsi="宋体" w:hint="eastAsia"/>
          <w:sz w:val="24"/>
        </w:rPr>
        <w:t>基金管理人将根据主袋账户运作情况合理确定申购政策</w:t>
      </w:r>
      <w:r>
        <w:rPr>
          <w:rFonts w:ascii="宋体" w:hAnsi="宋体" w:hint="eastAsia"/>
          <w:sz w:val="24"/>
        </w:rPr>
        <w:t>，</w:t>
      </w:r>
      <w:r w:rsidRPr="0047704F">
        <w:rPr>
          <w:rFonts w:ascii="宋体" w:hAnsi="宋体" w:hint="eastAsia"/>
          <w:sz w:val="24"/>
        </w:rPr>
        <w:t>因此实施侧袋机制后主袋账户份额存在暂停申购的可能。</w:t>
      </w:r>
    </w:p>
    <w:p w14:paraId="06BD8FA3" w14:textId="6F3CAD25" w:rsidR="00B37F03" w:rsidRDefault="00B37F03" w:rsidP="00B37F03">
      <w:pPr>
        <w:autoSpaceDE w:val="0"/>
        <w:autoSpaceDN w:val="0"/>
        <w:adjustRightInd w:val="0"/>
        <w:snapToGrid w:val="0"/>
        <w:spacing w:line="360" w:lineRule="auto"/>
        <w:ind w:firstLineChars="200" w:firstLine="480"/>
        <w:jc w:val="left"/>
        <w:rPr>
          <w:rFonts w:ascii="宋体" w:hAnsi="宋体"/>
          <w:szCs w:val="24"/>
        </w:rPr>
      </w:pPr>
      <w:r w:rsidRPr="0047704F">
        <w:rPr>
          <w:rFonts w:ascii="宋体" w:hAnsi="宋体" w:hint="eastAsia"/>
          <w:sz w:val="24"/>
        </w:rPr>
        <w:t>启用侧袋机制后，基金管理人计算各项投资运作指标和基金业绩指标时仅需考虑主袋账户资产，基金业绩指标应当以主袋账户资产为基准，因此本基金披露的业绩指标不能反映特定资产的真实价值及变化情况</w:t>
      </w:r>
      <w:r>
        <w:rPr>
          <w:rFonts w:ascii="宋体" w:hAnsi="宋体" w:hint="eastAsia"/>
          <w:sz w:val="24"/>
        </w:rPr>
        <w:t>。</w:t>
      </w:r>
    </w:p>
    <w:p w14:paraId="0BD4BCC8"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（四）信用风险</w:t>
      </w:r>
    </w:p>
    <w:p w14:paraId="7B5B06E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基金在交易过程中发生交收违约，或者基金所投资债券之发行人出现违约、拒绝支付到期本息，都可能导致基金资产损失和收益变化，从而产生风险。</w:t>
      </w:r>
    </w:p>
    <w:p w14:paraId="6E24488B"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（五）本基金投资策略所特有的风险</w:t>
      </w:r>
    </w:p>
    <w:p w14:paraId="00FFF61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属于混合型基金，通过在股票、债券等各类资产之间进行配置来降低风险，提高收益。如果股票市场和债券市场同时出现下跌，本基金将不能完全抵御两个市场同时下跌的风险，基金净值将出现下降。此外，本基金在调整资产配置比例时，可能由于基金经理的预判与市场的实际表现存在较大差异，出现资产配置不合理的风险，从而对基金收益造成不利影响。</w:t>
      </w:r>
    </w:p>
    <w:p w14:paraId="76913C2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宏观经济趋势、政策以及上市公司基本面研究是否准确、深入，以及对股票的优选和判断是否科学、准确将影响本基金的收益。基本面研究及上市公司分析的错误均可能导致所选择的证券不能完全符合本基金的预期目标。</w:t>
      </w:r>
    </w:p>
    <w:p w14:paraId="3CBD95E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3、本基金可投资港股通标的股票，会面临港股通机制下因投资环境、投资标的、市场制度以及交易规则等差异带来的特有风险，具体如下：</w:t>
      </w:r>
    </w:p>
    <w:p w14:paraId="502CE6A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（1）港股交易失败风险</w:t>
      </w:r>
    </w:p>
    <w:p w14:paraId="659A95A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港股通业务目前存在每日额度。在香港联合交易所开市前阶段，当日额度使用完毕的，新增的买单申报将面临失败的风险；在香港联合交易所持续交易时段，当日额度使用完毕的，当日本基金将面临不能通过港股通进行买入交易的风险。</w:t>
      </w:r>
    </w:p>
    <w:p w14:paraId="766BE57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（2）汇率风险</w:t>
      </w:r>
    </w:p>
    <w:p w14:paraId="244F9A4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将投资港股通标的股票，在交易时间内提交订单依据的港币买入参考汇率和卖出参考汇率，并不等于最终结算汇率。港股通交易日日终，中国证券登记结算有限责任公司进行净额换汇，将换汇成本按成交金额分摊至每笔交易，确定交易实际适用的结算汇率。</w:t>
      </w:r>
    </w:p>
    <w:p w14:paraId="1CDE02D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以人民币募集和计价，港币相对于人民币的汇率变化将会影响本基金以人民币计价的基金资产价值，从而导致基金资产面临潜在风险。人民币对港币的汇率的波动也可能加大基金净值的波动，从而对基金业绩产生影响。故本基金投资面临汇率风险，汇率波动可能对基金的投资收益造成损失。</w:t>
      </w:r>
    </w:p>
    <w:p w14:paraId="0C1FA74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（3）境外市场的风险</w:t>
      </w:r>
    </w:p>
    <w:p w14:paraId="356233D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将通过港股通投资于香港市场，在市场进入、投资额度、可投资对象、税务政策等方面都有一定的限制，而且此类限制可能会不断调整，这些限制因素的变化可能对本基金进入或退出当地市场造成障碍，从而对投资收益以及正常的申购赎回产生直接或间接的影响。</w:t>
      </w:r>
    </w:p>
    <w:p w14:paraId="136B135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2）香港市场交易规则有别于内地A 股市场规则，此外，在“内地与香港股票市场交易互联互通机制”下参与香港股票投资还将面临包括但不限于如下特殊风险：</w:t>
      </w:r>
    </w:p>
    <w:p w14:paraId="0DD2142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a）香港市场实行T+0 回转交易机制（即当日买入的股票，在交收前可以于当日卖出），且证券交易价格并无涨跌幅上下限的规定，因此每日涨跌幅空间相对较大，可能表现出比A股更为剧烈的股价波动；</w:t>
      </w:r>
    </w:p>
    <w:p w14:paraId="4F5CC9D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b）只有沪港深三地均为交易日且能够满足结算安排的交易日才为港股通交易日，存在港股通交易日不连贯的情形（如内地市场因放假等原因休市而香港市场照常交易或内地市场开市香港市场休市但港股通不能如常进行交易），而导致港股不能及时卖出带来一定的流动性风险；以及基金所持的港股组合在后续港股通交易日开市交易中集中体现市场反应而造成其价格波动骤然增大，进而导致本基金所持港股组合在资产估值上出现波动增大的风险；</w:t>
      </w:r>
    </w:p>
    <w:p w14:paraId="35B7AEC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c）香港出现台风、黑色暴雨或者香港联合交易所规定的其他情形时，香港联合交易所将可能停市，投资者将面临在停市期间无法进行港股通交易的风险；出现上海证券交易所及深圳证券交易所证券交易服务公司认定的交易异常情况时，上海证券交易所及深圳证券交易所证券交易服务公司将可能暂停提供部分或者全部港股通服务，投资者将面临在暂停服务期间无法进行港股通交易的风险；</w:t>
      </w:r>
    </w:p>
    <w:p w14:paraId="62B9875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d）投资者因港股通股票权益分派、转换、上市公司被收购等情形或者异常情况，所取得的港股通股票以外的香港联合交易所上市证券，只能通过港股通卖出，但不得买入，上海证券交易所及深圳证券交易所另有规定的除外；因港股通股票发行人供股、港股通股票权益分派或者转换等情形取得的香港联合交易所上市股票的认购权利凭证在香港联合交易所上市的，可以通过港股通卖出，但不得买入，其行权等事宜按照中国证监会、中国证券登记结算有限责任公司的相关规定处理；因港股通股票权益分派、转换或者上市公司被收购等所取得的非香港联合交易所上市证券，不得通过港股通买入或卖出；</w:t>
      </w:r>
    </w:p>
    <w:p w14:paraId="028A46D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代理投票。由于中国证券登记结算有限责任公司是在汇总投资者意愿后再向香港中央结算有限公司提交投票意愿，中国证券登记结算有限责任公司对投资者设定的意愿征集期比香港中央结算有限公司的征集期稍早结束；投票没有权益登记日的，以投票截止日的持有作为计算基准；投票数量超出持有数量的，按照比例分配持有基数。</w:t>
      </w:r>
    </w:p>
    <w:p w14:paraId="0DCD447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（4）本基金可根据投资策略需要或不同配置地市场环境的变化，选择将部分基金资产投资于港股或选择不将基金资产投资于港股，基金资产并非必然投资港股。</w:t>
      </w:r>
    </w:p>
    <w:p w14:paraId="16C9055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以上所述因素可能会给本基金投资带来特殊交易风险。</w:t>
      </w:r>
    </w:p>
    <w:p w14:paraId="38DFBA1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4、本基金可投资创业板股票，创业板个股上市后的前五个交易日不设价格涨跌幅限制，第六个交易日开始涨跌幅限制比例为20%。</w:t>
      </w:r>
    </w:p>
    <w:p w14:paraId="79F3077A"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（六）投资股指期货的特定风险</w:t>
      </w:r>
    </w:p>
    <w:p w14:paraId="7B72CE9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投资于股指期货，股指期货作为一种金融衍生品，其价值取决于一种或多种基础资产或指数，其评价主要源自于对挂钩资产的价格与价格波动的预期。投资股指期货所面临的风险主要是市场风险、流动性风险、基差风险、保证金风险、信用风险和操作风险。具体为：</w:t>
      </w:r>
    </w:p>
    <w:p w14:paraId="7E6BD5F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（1）市场风险是指由于股指期货价格变动而给投资者带来的风险。市场风险</w:t>
      </w:r>
      <w:r>
        <w:rPr>
          <w:rFonts w:ascii="宋体" w:hAnsi="宋体"/>
          <w:sz w:val="24"/>
        </w:rPr>
        <w:lastRenderedPageBreak/>
        <w:t>是股指期货投资中最主要的风险。</w:t>
      </w:r>
    </w:p>
    <w:p w14:paraId="09FC224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（2）流动性风险是指由于股指期货合约无法及时变现所带来的风险。</w:t>
      </w:r>
    </w:p>
    <w:p w14:paraId="28BAA9A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（3）基差风险是指股指期货合约价格和指数价格之间的价格差的波动所造成的风险，以及不同股指期货合约价格之间价格差的波动所造成的期现价差风险。</w:t>
      </w:r>
    </w:p>
    <w:p w14:paraId="1C0BFCB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（4）保证金风险是指由于无法及时筹措资金满足建立或者维持股指期货合约头寸所要求的保证金而带来的风险。</w:t>
      </w:r>
    </w:p>
    <w:p w14:paraId="12EA81B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（5）信用风险是指期货经纪公司违约而产生损失的风险。</w:t>
      </w:r>
    </w:p>
    <w:p w14:paraId="497E709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（6）操作风险是指由于内部流程的不完善，业务人员出现差错或者疏漏，或者系统出现故障等原因造成损失的风险。</w:t>
      </w:r>
    </w:p>
    <w:p w14:paraId="12B326E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此外，由于衍生品通常具有杠杆效应，价格波动比标的工具更为剧烈，并且其定价相当复杂，不适当的估值也有可能使基金资产面临损失风险。</w:t>
      </w:r>
    </w:p>
    <w:p w14:paraId="7DE84D06"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（七）投资资产支持证券的特定风险</w:t>
      </w:r>
    </w:p>
    <w:p w14:paraId="53DFC89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资产支持证券具有一定的价格波动风险、流动性风险、信用风险等风险，基金管理人将本着谨慎和控制风险的原则进行资产支持证券投资，请基金份额持有人关注包括投资资产支持证券可能导致的基金净值波动在内的各项风险。</w:t>
      </w:r>
    </w:p>
    <w:p w14:paraId="4B1FABAA"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（八）投资流通受限证券的特定风险</w:t>
      </w:r>
    </w:p>
    <w:p w14:paraId="19096BE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券和个股的流动性风险等。</w:t>
      </w:r>
    </w:p>
    <w:p w14:paraId="197E54C4"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（九）投资科创板股票的特定风险</w:t>
      </w:r>
    </w:p>
    <w:p w14:paraId="1E86ABB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根据投资策略需要或市场环境的变化，选择将部分基金资产投资于科创板股票或选择不将基金资产投资于科创板股票，基金资产并非必然投资于科创板股票。基金资产投资于科创板股票，会面临科创板机制下因投资标的、市场制度以及交易规则等差异带来的特有风险，包括但不限于市场风险、流动性风险、退市风险、集中度风险、系统性风险、政策风险等。</w:t>
      </w:r>
    </w:p>
    <w:p w14:paraId="2F771E8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（1）市场风险</w:t>
      </w:r>
    </w:p>
    <w:p w14:paraId="07DB8CC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个股集中来自新一代信息技术、高端装备、新材料、新能源、节能环保及生物医药等高新技术和战略新兴产业领域。大多数企业为初创型公司，企业未来盈利、现金流、估值均存在不确定性，与传统二级市场投资存在差异，整体投资难</w:t>
      </w:r>
      <w:r>
        <w:rPr>
          <w:rFonts w:ascii="宋体" w:hAnsi="宋体"/>
          <w:sz w:val="24"/>
        </w:rPr>
        <w:lastRenderedPageBreak/>
        <w:t>度加大，个股市场风险加大。</w:t>
      </w:r>
    </w:p>
    <w:p w14:paraId="0CB425F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科创板个股上市前五日无涨跌停限制，第六日开始涨跌幅限制在正负20%以内，个股波动幅度较其他股票加大，市场风险随之上升。</w:t>
      </w:r>
    </w:p>
    <w:p w14:paraId="7621BB7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（2）流动性风险</w:t>
      </w:r>
    </w:p>
    <w:p w14:paraId="0720ACC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整体投资门槛较高，个人投资者必须满足交易满两年并且资金在50万以上才可参与，二级市场上个人投资者参与度相对较低，机构持有个股大量流通盘导致个股流动性较差，基金组合存在无法及时变现及其他相关流动性风险。</w:t>
      </w:r>
    </w:p>
    <w:p w14:paraId="0B920AB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（3）退市风险</w:t>
      </w:r>
    </w:p>
    <w:p w14:paraId="7CB1EAF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退市制度较主板更为严格，退市时间更短，退市速度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市风险更大。</w:t>
      </w:r>
    </w:p>
    <w:p w14:paraId="508EFEE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（4）集中度风险</w:t>
      </w:r>
    </w:p>
    <w:p w14:paraId="18D6F98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科创板为新设板块，初期可投标的较少，投资者容易集中投资于少量个股，市场可能存在高集中度状况，整体存在集中度风险。</w:t>
      </w:r>
    </w:p>
    <w:p w14:paraId="0A2EAC2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（5）系统性风险</w:t>
      </w:r>
    </w:p>
    <w:p w14:paraId="3B8FD37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科创板企业均为市场认可度较高的科技创新企业，在企业经营及盈利模式上存在趋同，所以科创板个股相关性较高，市场表现不佳时，系统性风险将更为显著。</w:t>
      </w:r>
    </w:p>
    <w:p w14:paraId="17AFB6D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（6）政策风险</w:t>
      </w:r>
    </w:p>
    <w:p w14:paraId="4B06750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国家对高新技术产业扶持力度及重视程度的变化会对科创板企业带来较大影响，国际经济形势变化对战略新兴产业及科创板个股也会带来政策影响。</w:t>
      </w:r>
    </w:p>
    <w:p w14:paraId="51C47159"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（十）投资存托凭证的特定风险</w:t>
      </w:r>
    </w:p>
    <w:p w14:paraId="783D3B1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w:t>
      </w:r>
    </w:p>
    <w:p w14:paraId="6010164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具体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w:t>
      </w:r>
      <w:r>
        <w:rPr>
          <w:rFonts w:ascii="宋体" w:hAnsi="宋体"/>
          <w:sz w:val="24"/>
        </w:rPr>
        <w:lastRenderedPageBreak/>
        <w:t>险；存托凭证退市的风险；已在境外上市的基础证券发行人，在持续信息披露监管方面与境内可能存在差异的风险；境内外法律制度、监管环境差异可能导致的其他风险。</w:t>
      </w:r>
    </w:p>
    <w:p w14:paraId="64337BA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本基金可根据投资策略需要或市场环境的变化，选择将部分基金资产投资于存托凭证或选择不将基金资产投资于存托凭证，基金资产并非必然投资存托凭证。</w:t>
      </w:r>
    </w:p>
    <w:p w14:paraId="261AC786"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（十一）其他风险</w:t>
      </w:r>
    </w:p>
    <w:p w14:paraId="6C65391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1、因技术因素而产生的风险，如电脑系统不可靠产生的风险；</w:t>
      </w:r>
    </w:p>
    <w:p w14:paraId="024B35C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2、因基金业务快速发展，在制度建设、人员配备、内控制度建立等方面的不完善产生的风险；</w:t>
      </w:r>
    </w:p>
    <w:p w14:paraId="1A5A6BF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3、因人为因素而产生的风险、如内幕交易、欺诈行为等产生的风险；</w:t>
      </w:r>
    </w:p>
    <w:p w14:paraId="19EC61F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4、对主要业务人员如基金经理的依赖而可能产生的风险；</w:t>
      </w:r>
    </w:p>
    <w:p w14:paraId="1C77D21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5、因业务竞争压力可能产生的风险；</w:t>
      </w:r>
    </w:p>
    <w:p w14:paraId="3BC2C7F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6、战争、自然灾害等不可抗力可能导致基金财产的损失，影响基金收益水平，从而带来风险；</w:t>
      </w:r>
    </w:p>
    <w:p w14:paraId="3A7F31B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7、其他意外导致的风险。</w:t>
      </w:r>
    </w:p>
    <w:p w14:paraId="3CA41107" w14:textId="77777777" w:rsidR="00435AFE" w:rsidRDefault="00C86CDB" w:rsidP="00435AFE">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7D2E0C8F" w14:textId="27BF9740" w:rsidR="001430E9" w:rsidRDefault="00B37F03">
      <w:pPr>
        <w:pStyle w:val="1"/>
        <w:snapToGrid w:val="0"/>
        <w:spacing w:beforeLines="0" w:before="240" w:after="240"/>
        <w:rPr>
          <w:rFonts w:ascii="宋体" w:hAnsi="宋体"/>
          <w:szCs w:val="30"/>
        </w:rPr>
      </w:pPr>
      <w:bookmarkStart w:id="21" w:name="_Toc137828501"/>
      <w:r>
        <w:rPr>
          <w:rFonts w:ascii="Times New Roman" w:hAnsi="Times New Roman" w:hint="eastAsia"/>
          <w:sz w:val="30"/>
        </w:rPr>
        <w:lastRenderedPageBreak/>
        <w:t>二</w:t>
      </w:r>
      <w:r w:rsidR="00C86CDB">
        <w:rPr>
          <w:rFonts w:ascii="Times New Roman" w:hAnsi="Times New Roman"/>
          <w:sz w:val="30"/>
        </w:rPr>
        <w:t>十、基金合同的变更、终止与基金财产的清算</w:t>
      </w:r>
      <w:bookmarkEnd w:id="21"/>
    </w:p>
    <w:p w14:paraId="6AA4D40A"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（一）《基金合同》的变更</w:t>
      </w:r>
    </w:p>
    <w:p w14:paraId="50677AD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变更基金合同涉及法律法规规定或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2CE089E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2、关于《基金合同》变更的基金份额持有人大会决议生效后方可执行，并自表决通过之日起生效，生效后依照《信息披露办法》的规定在指定媒介公告。</w:t>
      </w:r>
    </w:p>
    <w:p w14:paraId="3D186B05"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（二）《基金合同》的终止事由</w:t>
      </w:r>
    </w:p>
    <w:p w14:paraId="6CCE667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有下列情形之一的，《基金合同》应当终止：</w:t>
      </w:r>
    </w:p>
    <w:p w14:paraId="453D162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14:paraId="5386CD6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2、基金管理人、基金托管人职责终止，在6个月内没有新基金管理人、新基金托管人承接的；</w:t>
      </w:r>
    </w:p>
    <w:p w14:paraId="7583957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3、本基金作为被合并方与其他基金进行合并的；</w:t>
      </w:r>
    </w:p>
    <w:p w14:paraId="540A631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4、《基金合同》约定的其他情形；</w:t>
      </w:r>
    </w:p>
    <w:p w14:paraId="2D87D68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5、相关法律法规和中国证监会规定的其他情况。</w:t>
      </w:r>
    </w:p>
    <w:p w14:paraId="4F3EA25C"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（三）基金财产的清算</w:t>
      </w:r>
    </w:p>
    <w:p w14:paraId="30E773A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1、基金财产清算小组：自出现《基金合同》终止事由之日起30个工作日内成立清算小组，基金管理人组织基金财产清算小组并在中国证监会的监督下进行基金清算。</w:t>
      </w:r>
    </w:p>
    <w:p w14:paraId="3A4D559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43D86B7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3、基金财产清算小组职责：基金财产清算小组负责基金财产的保管、清理、估价、变现和分配。基金财产清算小组可以依法进行必要的民事活动。</w:t>
      </w:r>
    </w:p>
    <w:p w14:paraId="609FEBF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4、基金财产清算程序：</w:t>
      </w:r>
    </w:p>
    <w:p w14:paraId="722BD82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（1）《基金合同》终止情形出现时，由基金财产清算小组统一接管基金财产；</w:t>
      </w:r>
    </w:p>
    <w:p w14:paraId="1710AC0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（2）对基金财产和债权债务进行清理和确认；</w:t>
      </w:r>
    </w:p>
    <w:p w14:paraId="75A3A02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（3）对基金财产进行估值和变现；</w:t>
      </w:r>
    </w:p>
    <w:p w14:paraId="21446A7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（4）制作清算报告；</w:t>
      </w:r>
    </w:p>
    <w:p w14:paraId="58B6015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（5）聘请会计师事务所对清算报告进行外部审计，聘请律师事务所对清算报告出具法律意见书；</w:t>
      </w:r>
    </w:p>
    <w:p w14:paraId="595F69A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（6）将清算报告报中国证监会备案并公告；</w:t>
      </w:r>
    </w:p>
    <w:p w14:paraId="3C66460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（7）对基金剩余财产进行分配。</w:t>
      </w:r>
    </w:p>
    <w:p w14:paraId="3A9A34A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5、基金财产清算的期限为6个月，因本基金所持证券流通性受到限制、结算保证金相关规定等客观因素，清算期限可相应延长。</w:t>
      </w:r>
    </w:p>
    <w:p w14:paraId="48E26233"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（四）清算费用</w:t>
      </w:r>
    </w:p>
    <w:p w14:paraId="2FDE2A9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清算费用是指基金财产清算小组在进行基金清算过程中发生的所有合理费用，清算费用由基金财产清算小组优先从基金财产中支付。</w:t>
      </w:r>
    </w:p>
    <w:p w14:paraId="79142064"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（五）基金财产清算剩余资产的分配</w:t>
      </w:r>
    </w:p>
    <w:p w14:paraId="142B981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依据基金财产清算的分配方案，将基金财产清算后的全部剩余资产扣除基金财产清算费用、交纳所欠税款并清偿基金债务后，按基金份额持有人持有的基金份额比例进行分配。</w:t>
      </w:r>
    </w:p>
    <w:p w14:paraId="677746B5"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（六）基金财产清算的公告</w:t>
      </w:r>
    </w:p>
    <w:p w14:paraId="65E0741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14:paraId="6ED30E4A"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（七）基金财产清算账册及文件的保存</w:t>
      </w:r>
    </w:p>
    <w:p w14:paraId="31D82EF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基金财产清算账册及有关文件由基金托管人保存15年以上。</w:t>
      </w:r>
    </w:p>
    <w:p w14:paraId="4D8E536E" w14:textId="77777777" w:rsidR="00435AFE" w:rsidRDefault="00C86CDB" w:rsidP="00435AFE">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68238869" w14:textId="1D2E8D52" w:rsidR="001430E9" w:rsidRDefault="00C86CDB">
      <w:pPr>
        <w:pStyle w:val="1"/>
        <w:snapToGrid w:val="0"/>
        <w:spacing w:beforeLines="0" w:before="240" w:after="240"/>
        <w:rPr>
          <w:rFonts w:ascii="宋体" w:hAnsi="宋体"/>
          <w:szCs w:val="30"/>
        </w:rPr>
      </w:pPr>
      <w:bookmarkStart w:id="22" w:name="_Toc137828502"/>
      <w:bookmarkStart w:id="23" w:name="_Hlk151122702"/>
      <w:r>
        <w:rPr>
          <w:rFonts w:ascii="Times New Roman" w:hAnsi="Times New Roman"/>
          <w:sz w:val="30"/>
        </w:rPr>
        <w:lastRenderedPageBreak/>
        <w:t>二十</w:t>
      </w:r>
      <w:r w:rsidR="00B37F03">
        <w:rPr>
          <w:rFonts w:ascii="Times New Roman" w:hAnsi="Times New Roman" w:hint="eastAsia"/>
          <w:sz w:val="30"/>
        </w:rPr>
        <w:t>一</w:t>
      </w:r>
      <w:r>
        <w:rPr>
          <w:rFonts w:ascii="Times New Roman" w:hAnsi="Times New Roman"/>
          <w:sz w:val="30"/>
        </w:rPr>
        <w:t>、基金合同内容摘要</w:t>
      </w:r>
      <w:bookmarkEnd w:id="22"/>
    </w:p>
    <w:p w14:paraId="3635221A"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（一）基金份额持有人、基金管理人和基金托管人的权利与义务</w:t>
      </w:r>
    </w:p>
    <w:p w14:paraId="2F69FFE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1、基金管理人的权利与义务</w:t>
      </w:r>
    </w:p>
    <w:p w14:paraId="108A630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根据《基金法》、《运作办法》及其他有关规定，基金管理人的权利包括但不限于：</w:t>
      </w:r>
    </w:p>
    <w:p w14:paraId="2806134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w:t>
      </w:r>
    </w:p>
    <w:p w14:paraId="0C1D8D4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（2）自《基金合同》生效之日起，根据法律法规和《基金合同》独立运用并管理基金财产；</w:t>
      </w:r>
    </w:p>
    <w:p w14:paraId="64C2203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（3）依照《基金合同》收取基金管理费以及法律法规规定或中国证监会批准的其他费用；</w:t>
      </w:r>
    </w:p>
    <w:p w14:paraId="065A604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（4）销售基金份额；</w:t>
      </w:r>
    </w:p>
    <w:p w14:paraId="542D5C0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（5）按照规定召集基金份额持有人大会；</w:t>
      </w:r>
    </w:p>
    <w:p w14:paraId="6B2FCA7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（6）依据《基金合同》及有关法律规定监督基金托管人，如认为基金托管人违反了《基金合同》及国家有关法律规定，应呈报中国证监会和其他监管部门，并采取必要措施保护基金投资者的利益；</w:t>
      </w:r>
    </w:p>
    <w:p w14:paraId="2376F5D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（7）在基金托管人更换时，提名新的基金托管人；</w:t>
      </w:r>
    </w:p>
    <w:p w14:paraId="25C3402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（8）选择、更换基金销售机构，对基金销售机构的相关行为进行监督和处理；</w:t>
      </w:r>
    </w:p>
    <w:p w14:paraId="4E8117B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（9）担任或委托其他符合条件的机构担任基金登记机构办理基金登记业务并获得《基金合同》规定的费用；</w:t>
      </w:r>
    </w:p>
    <w:p w14:paraId="4976E75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（10）依据《基金合同》及有关法律规定决定基金收益的分配方案；</w:t>
      </w:r>
    </w:p>
    <w:p w14:paraId="7196197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（11）在《基金合同》约定的范围内，拒绝或暂停受理申购、赎回或转换申请；</w:t>
      </w:r>
    </w:p>
    <w:p w14:paraId="265B1BA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（12）依照法律法规为基金的利益对被投资公司行使股东权利，为基金的利益行使因基金财产投资于证券所产生的权利；</w:t>
      </w:r>
    </w:p>
    <w:p w14:paraId="103FDB0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（13）在法律法规允许的前提下，为基金的利益依法为基金进行融资；</w:t>
      </w:r>
    </w:p>
    <w:p w14:paraId="7CC1CEA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（14）以基金管理人的名义，代表基金份额持有人的利益行使诉讼权利或者实施其他法律行为；</w:t>
      </w:r>
    </w:p>
    <w:p w14:paraId="3222420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（15）选择、更换律师事务所、会计师事务所、证券经纪商、期货经纪机构或</w:t>
      </w:r>
      <w:r>
        <w:rPr>
          <w:rFonts w:ascii="宋体" w:hAnsi="宋体"/>
          <w:sz w:val="24"/>
        </w:rPr>
        <w:lastRenderedPageBreak/>
        <w:t>其他为基金提供服务的外部机构；</w:t>
      </w:r>
    </w:p>
    <w:p w14:paraId="674BBA2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（16）在符合有关法律、法规的前提下，制定和调整有关基金认购、申购、赎回、转换等的业务规则；</w:t>
      </w:r>
    </w:p>
    <w:p w14:paraId="5F31E33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（17）法律法规及中国证监会规定的和《基金合同》约定的其他权利。</w:t>
      </w:r>
    </w:p>
    <w:p w14:paraId="17E71F9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根据《基金法》、《运作办法》及其他有关规定，基金管理人的义务包括但不限于：</w:t>
      </w:r>
    </w:p>
    <w:p w14:paraId="18B3661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（1）依法募集资金，办理或者委托经中国证监会认定的其他机构办理基金份额的发售、申购、赎回和登记事宜；</w:t>
      </w:r>
    </w:p>
    <w:p w14:paraId="3560DE8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14:paraId="60455D7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（3）自《基金合同》生效之日起，以诚实信用、谨慎勤勉的原则管理和运用基金财产；</w:t>
      </w:r>
    </w:p>
    <w:p w14:paraId="601EC30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（4）配备足够的具有专业资格的人员进行基金投资分析、决策，以专业化的经营方式管理和运作基金财产；</w:t>
      </w:r>
    </w:p>
    <w:p w14:paraId="172D54A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（5）建立健全内部风险控制、监察与稽核、财务管理及人事管理等制度，保证所管理的基金财产和基金管理人的财产相互独立，对所管理的不同基金分别管理，分别记账，进行证券投资；</w:t>
      </w:r>
    </w:p>
    <w:p w14:paraId="4115C52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（6）除依据《基金法》、《基金合同》及其他有关规定外，不得利用基金财产为自己及任何第三人谋取利益，不得委托第三人运作基金财产；</w:t>
      </w:r>
    </w:p>
    <w:p w14:paraId="7B39BA1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（7）依法接受基金托管人的监督；</w:t>
      </w:r>
    </w:p>
    <w:p w14:paraId="70A407E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（8）采取适当合理的措施使计算基金份额认购、申购、赎回和注销价格的方法符合《基金合同》等法律文件的规定，按有关规定计算并公告基金净值信息，确定基金份额申购、赎回的价格；</w:t>
      </w:r>
    </w:p>
    <w:p w14:paraId="5FCFE7C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（9）进行基金会计核算并编制基金财务会计报告；</w:t>
      </w:r>
    </w:p>
    <w:p w14:paraId="45FBCCC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（10）编制季度报告、中期报告和年度报告；</w:t>
      </w:r>
    </w:p>
    <w:p w14:paraId="67EBE86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（11）严格按照《基金法》、《基金合同》及其他有关规定，履行信息披露及报告义务；</w:t>
      </w:r>
    </w:p>
    <w:p w14:paraId="60407A4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（12）保守基金商业秘密，不泄露基金投资计划、投资意向等。除《基金法》、《基金合同》及其他有关规定另有规定外，在基金信息公开披露前应予保密，不向他人泄露；</w:t>
      </w:r>
    </w:p>
    <w:p w14:paraId="24A0107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（13）按《基金合同》的约定确定基金收益分配方案，及时向基金份额持有人</w:t>
      </w:r>
      <w:r>
        <w:rPr>
          <w:rFonts w:ascii="宋体" w:hAnsi="宋体"/>
          <w:sz w:val="24"/>
        </w:rPr>
        <w:lastRenderedPageBreak/>
        <w:t>分配基金收益；</w:t>
      </w:r>
    </w:p>
    <w:p w14:paraId="2BA3BBA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（14）按规定受理申购与赎回申请，及时、足额支付赎回款项；</w:t>
      </w:r>
    </w:p>
    <w:p w14:paraId="4362F87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（15）依据《基金法》、《基金合同》及其他有关规定召集基金份额持有人大会或配合基金托管人、基金份额持有人依法召集基金份额持有人大会；</w:t>
      </w:r>
    </w:p>
    <w:p w14:paraId="46E3D92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（16）按规定保存基金财产管理业务活动的会计账册、报表、记录和其他相关资料15年以上；</w:t>
      </w:r>
    </w:p>
    <w:p w14:paraId="2E0EB62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56E380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（18）组织并参加基金财产清算小组，参与基金财产的保管、清理、估价、变现和分配；</w:t>
      </w:r>
    </w:p>
    <w:p w14:paraId="706934A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（19）面临解散、依法被撤销或者被依法宣告破产时，及时报告中国证监会并通知基金托管人；</w:t>
      </w:r>
    </w:p>
    <w:p w14:paraId="0F167E2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（20）因违反《基金合同》导致基金财产的损失或损害基金份额持有人合法权益时，应当承担赔偿责任，其赔偿责任不因其退任而免除；</w:t>
      </w:r>
    </w:p>
    <w:p w14:paraId="6CF3808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（21）监督基金托管人按法律法规和《基金合同》规定履行自己的义务，基金托管人违反《基金合同》造成基金财产损失时，基金管理人应为基金份额持有人利益向基金托管人追偿；</w:t>
      </w:r>
    </w:p>
    <w:p w14:paraId="5495ADE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（22）当基金管理人将其义务委托第三方处理时，应当对第三方处理有关基金事务的行为承担责任；</w:t>
      </w:r>
    </w:p>
    <w:p w14:paraId="0D3C627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（23）以基金管理人名义，代表基金份额持有人利益行使诉讼权利或实施其他法律行为；</w:t>
      </w:r>
    </w:p>
    <w:p w14:paraId="609B0F6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基金管理人在募集期间未能达到基金的备案条件，《基金合同》不能生效，基金管理人承担因募集行为而产生的债务和费用，将已募集资金并加计银行同期活期存款利息在基金募集期结束后30日内退还基金认购人；</w:t>
      </w:r>
    </w:p>
    <w:p w14:paraId="37AAD2E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（25）执行生效的基金份额持有人大会的决议；</w:t>
      </w:r>
    </w:p>
    <w:p w14:paraId="2F691A9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（26）建立并保存基金份额持有人名册；</w:t>
      </w:r>
    </w:p>
    <w:p w14:paraId="6E2E01A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（27）法律法规及中国证监会规定的和《基金合同》约定的其他义务。</w:t>
      </w:r>
    </w:p>
    <w:p w14:paraId="7603161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2、基金托管人的权利与义务</w:t>
      </w:r>
    </w:p>
    <w:p w14:paraId="6F74A02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根据《基金法》、《运作办法》及其他有关规定，基金托管人的权利包括但不限</w:t>
      </w:r>
      <w:r>
        <w:rPr>
          <w:rFonts w:ascii="宋体" w:hAnsi="宋体"/>
          <w:sz w:val="24"/>
        </w:rPr>
        <w:lastRenderedPageBreak/>
        <w:t>于：</w:t>
      </w:r>
    </w:p>
    <w:p w14:paraId="683163A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（1）自《基金合同》生效之日起，依法律法规和《基金合同》的规定安全保管基金财产；</w:t>
      </w:r>
    </w:p>
    <w:p w14:paraId="49C96D1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（2）依《基金合同》约定获得基金托管费以及法律法规规定或监管部门批准的其他费用；</w:t>
      </w:r>
    </w:p>
    <w:p w14:paraId="4F69E5C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CA059B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（4）根据相关市场规则，为基金开设资金账户、证券账户等投资所需账户、协助开立股指期货业务相关账户及交易编码、为基金办理证券、期货交易资金清算；</w:t>
      </w:r>
    </w:p>
    <w:p w14:paraId="1E9E55D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（5）提议召开或召集基金份额持有人大会；</w:t>
      </w:r>
    </w:p>
    <w:p w14:paraId="3B50C25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（6）在基金管理人更换时，提名新的基金管理人；</w:t>
      </w:r>
    </w:p>
    <w:p w14:paraId="243C999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（7）法律法规及中国证监会规定的和《基金合同》约定的其他权利。</w:t>
      </w:r>
    </w:p>
    <w:p w14:paraId="43DDE83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根据《基金法》、《运作办法》及其他有关规定，基金托管人的义务包括但不限于：</w:t>
      </w:r>
    </w:p>
    <w:p w14:paraId="33233B9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（1）以诚实信用、勤勉尽责的原则持有并安全保管基金财产；</w:t>
      </w:r>
    </w:p>
    <w:p w14:paraId="69B1B1A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（2）设立专门的基金托管部门，具有符合要求的营业场所，配备足够的、合格的熟悉基金托管业务的专职人员，负责基金财产托管事宜；</w:t>
      </w:r>
    </w:p>
    <w:p w14:paraId="60F9041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C1E0D6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（4）除依据《基金法》、《基金合同》及其他有关规定外，不得利用基金财产为自己及任何第三人谋取利益，不得委托第三人托管基金财产；</w:t>
      </w:r>
    </w:p>
    <w:p w14:paraId="37F5846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（5）保管由基金管理人代表基金签订的与基金有关的重大合同及有关凭证；</w:t>
      </w:r>
    </w:p>
    <w:p w14:paraId="60E56F0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（6）按规定开设基金财产的资金账户和证券账户等投资所需账户，协助开立股指期货业务相关账户及交易编码，按照《基金合同》的约定，根据基金管理人的投资指令，及时办理清算、交割事宜；</w:t>
      </w:r>
    </w:p>
    <w:p w14:paraId="5CE088C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（7）保守基金商业秘密，除《基金法》、《基金合同》及其他有关规定另有规</w:t>
      </w:r>
      <w:r>
        <w:rPr>
          <w:rFonts w:ascii="宋体" w:hAnsi="宋体"/>
          <w:sz w:val="24"/>
        </w:rPr>
        <w:lastRenderedPageBreak/>
        <w:t>定外，在基金信息公开披露前予以保密，不得向他人泄露；</w:t>
      </w:r>
    </w:p>
    <w:p w14:paraId="2CEC0719" w14:textId="0B42D0FC"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（8）复核、审查基金管理人计算的基金资产净值、</w:t>
      </w:r>
      <w:r w:rsidR="00AF5AF1">
        <w:rPr>
          <w:rFonts w:hint="eastAsia"/>
          <w:bCs/>
          <w:sz w:val="24"/>
        </w:rPr>
        <w:t>各类</w:t>
      </w:r>
      <w:r>
        <w:rPr>
          <w:rFonts w:ascii="宋体" w:hAnsi="宋体"/>
          <w:sz w:val="24"/>
        </w:rPr>
        <w:t>基金份额净值、基金份额申购、赎回价格；</w:t>
      </w:r>
    </w:p>
    <w:p w14:paraId="75D9048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（9）办理与基金托管业务活动有关的信息披露事项；</w:t>
      </w:r>
    </w:p>
    <w:p w14:paraId="218F7C9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18ABAD0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（11）保存基金托管业务活动的记录、账册、报表和其他相关资料15年以上；</w:t>
      </w:r>
    </w:p>
    <w:p w14:paraId="0D1AEA2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（12）从基金管理人或其委托的登记机构处接收并保存基金份额持有人名册；</w:t>
      </w:r>
    </w:p>
    <w:p w14:paraId="5C9480A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（13）按规定制作相关账册并与基金管理人核对；</w:t>
      </w:r>
    </w:p>
    <w:p w14:paraId="481854E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（14）依据基金管理人的指令或有关规定向基金份额持有人支付基金收益和赎回款项；</w:t>
      </w:r>
    </w:p>
    <w:p w14:paraId="687DA0F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（15）依据《基金法》、《基金合同》及其他有关规定，召集基金份额持有人大会或配合基金管理人、基金份额持有人依法召集基金份额持有人大会；</w:t>
      </w:r>
    </w:p>
    <w:p w14:paraId="36942FE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（16）按照法律法规和《基金合同》的规定监督基金管理人的投资运作；</w:t>
      </w:r>
    </w:p>
    <w:p w14:paraId="6DFE1EB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（17）参加基金财产清算小组，参与基金财产的保管、清理、估价、变现和分配；</w:t>
      </w:r>
    </w:p>
    <w:p w14:paraId="48ED00A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（18）面临解散、依法被撤销或者被依法宣告破产时，及时报告中国证监会和银行业监督管理机构，并通知基金管理人；</w:t>
      </w:r>
    </w:p>
    <w:p w14:paraId="473E42D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（19）因违反《基金合同》导致基金财产损失时，应承担赔偿责任，其赔偿责任不因其退任而免除；</w:t>
      </w:r>
    </w:p>
    <w:p w14:paraId="3A97BD0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（20）按规定监督基金管理人按法律法规和《基金合同》规定履行自己的义务，基金管理人因违反《基金合同》造成基金财产损失时，应为基金份额持有人利益向基金管理人追偿；</w:t>
      </w:r>
    </w:p>
    <w:p w14:paraId="6A3A82F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（21）执行生效的基金份额持有人大会的决议；</w:t>
      </w:r>
    </w:p>
    <w:p w14:paraId="61C0038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（22）法律法规及中国证监会规定的和《基金合同》约定的其他义务。</w:t>
      </w:r>
    </w:p>
    <w:p w14:paraId="1E53D67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3、基金份额持有人的权利与义务</w:t>
      </w:r>
    </w:p>
    <w:p w14:paraId="1157623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基金投资者持有本基金基金份额的行为即视为对《基金合同》的承认和接受，基金投资者自依据《基金合同》取得本基金的基金份额，即成为本基金份额持有人</w:t>
      </w:r>
      <w:r>
        <w:rPr>
          <w:rFonts w:ascii="宋体" w:hAnsi="宋体"/>
          <w:sz w:val="24"/>
        </w:rPr>
        <w:lastRenderedPageBreak/>
        <w:t>和《基金合同》的当事人，直至其不再持有本基金的基金份额。基金份额持有人作为《基金合同》当事人并不以在《基金合同》上书面签章或签字为必要条件。</w:t>
      </w:r>
    </w:p>
    <w:p w14:paraId="605F4FF6" w14:textId="4EC65022" w:rsidR="001430E9" w:rsidRDefault="00AF5AF1">
      <w:pPr>
        <w:autoSpaceDE w:val="0"/>
        <w:autoSpaceDN w:val="0"/>
        <w:adjustRightInd w:val="0"/>
        <w:snapToGrid w:val="0"/>
        <w:spacing w:line="360" w:lineRule="auto"/>
        <w:ind w:firstLineChars="200" w:firstLine="480"/>
        <w:jc w:val="left"/>
        <w:rPr>
          <w:rFonts w:ascii="宋体" w:hAnsi="宋体"/>
          <w:szCs w:val="24"/>
        </w:rPr>
      </w:pPr>
      <w:r w:rsidRPr="001B793E">
        <w:rPr>
          <w:rFonts w:ascii="宋体" w:hAnsi="宋体" w:hint="eastAsia"/>
          <w:sz w:val="24"/>
        </w:rPr>
        <w:t>同一类别的</w:t>
      </w:r>
      <w:r w:rsidR="00C86CDB">
        <w:rPr>
          <w:rFonts w:ascii="宋体" w:hAnsi="宋体"/>
          <w:sz w:val="24"/>
        </w:rPr>
        <w:t>每份基金份额具有同等的合法权益。</w:t>
      </w:r>
    </w:p>
    <w:p w14:paraId="438B7FD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根据《基金法》、《运作办法》及其他有关规定，基金份额持有人的权利包括但不限于：</w:t>
      </w:r>
    </w:p>
    <w:p w14:paraId="59B4FF8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（1）分享基金财产收益；</w:t>
      </w:r>
    </w:p>
    <w:p w14:paraId="0FBC9BE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（2）参与分配清算后的剩余基金财产；</w:t>
      </w:r>
    </w:p>
    <w:p w14:paraId="51B5413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（3）依法并按照基金合同和招募说明书的规定申请赎回或转让其持有的基金份额；</w:t>
      </w:r>
    </w:p>
    <w:p w14:paraId="3194789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（4）按照规定要求召开基金份额持有人大会或者召集基金份额持有人大会；</w:t>
      </w:r>
    </w:p>
    <w:p w14:paraId="27E3BC0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（5）出席或者委派代表出席基金份额持有人大会，对基金份额持有人大会审议事项行使表决权；</w:t>
      </w:r>
    </w:p>
    <w:p w14:paraId="66B1640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（6）查阅或者复制公开披露的基金信息资料；</w:t>
      </w:r>
    </w:p>
    <w:p w14:paraId="3E58758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（7）监督基金管理人的投资运作；</w:t>
      </w:r>
    </w:p>
    <w:p w14:paraId="62A1B35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（8）对基金管理人、基金托管人、基金服务机构损害其合法权益的行为依法提起诉讼或仲裁；</w:t>
      </w:r>
    </w:p>
    <w:p w14:paraId="70697DF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（9）法律法规及中国证监会规定的和《基金合同》约定的其他权利。</w:t>
      </w:r>
    </w:p>
    <w:p w14:paraId="1A11A45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根据《基金法》、《运作办法》及其他有关规定，基金份额持有人的义务包括但不限于：</w:t>
      </w:r>
    </w:p>
    <w:p w14:paraId="31DAD8D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（1）认真阅读并遵守《基金合同》、招募说明书等信息披露文件；</w:t>
      </w:r>
    </w:p>
    <w:p w14:paraId="33BDF9F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（2）了解所投资基金产品，了解自身风险承受能力，自主判断基金的投资价值，自主做出投资决策，自行承担投资风险；</w:t>
      </w:r>
    </w:p>
    <w:p w14:paraId="1A2B393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（3）关注基金信息披露，及时行使权利和履行义务；</w:t>
      </w:r>
    </w:p>
    <w:p w14:paraId="073FE86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（4）缴纳基金认购、申购款项及法律法规和《基金合同》所规定的费用；</w:t>
      </w:r>
    </w:p>
    <w:p w14:paraId="39C45C7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（5）在其持有的基金份额范围内，承担基金亏损或者《基金合同》终止的有限责任；</w:t>
      </w:r>
    </w:p>
    <w:p w14:paraId="3D1C03E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（6）不从事任何有损基金及其他《基金合同》当事人合法权益的活动；</w:t>
      </w:r>
    </w:p>
    <w:p w14:paraId="76CF1B2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（7）执行生效的基金份额持有人大会的决议；</w:t>
      </w:r>
    </w:p>
    <w:p w14:paraId="025247C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（8）返还在基金交易过程中因任何原因获得的不当得利；</w:t>
      </w:r>
    </w:p>
    <w:p w14:paraId="2999044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（9）遵守基金管理人、基金托管人、销售机构和登记机构的相关交易及业务</w:t>
      </w:r>
      <w:r>
        <w:rPr>
          <w:rFonts w:ascii="宋体" w:hAnsi="宋体"/>
          <w:sz w:val="24"/>
        </w:rPr>
        <w:lastRenderedPageBreak/>
        <w:t>规则；</w:t>
      </w:r>
    </w:p>
    <w:p w14:paraId="6E46B16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（10）提供基金管理人和监管机构依法要求提供的信息，以及不时的更新和补充，并保证其真实性；</w:t>
      </w:r>
    </w:p>
    <w:p w14:paraId="290F919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（11）法律法规及中国证监会规定的和《基金合同》约定的其他义务。</w:t>
      </w:r>
    </w:p>
    <w:p w14:paraId="5550D592"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（二）基金份额持有人大会召集、议事及表决的程序和规则</w:t>
      </w:r>
    </w:p>
    <w:p w14:paraId="191E371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基金份额持有人大会由基金份额持有人组成，基金份额持有人的合法授权代表有权代表基金份额持有人出席会议并表决。基金份额持有人持有的每一基金份额拥有平等的投票权。</w:t>
      </w:r>
    </w:p>
    <w:p w14:paraId="3733C97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本基金份额持有人大会不设日常机构。</w:t>
      </w:r>
    </w:p>
    <w:p w14:paraId="58C4B3D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1、召开事由</w:t>
      </w:r>
    </w:p>
    <w:p w14:paraId="0D34489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（1）当出现或需要决定下列事由之一的，应当召开基金份额持有人大会，法律法规和中国证监会另有规定的除外：</w:t>
      </w:r>
    </w:p>
    <w:p w14:paraId="29D1FB5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1）终止《基金合同》；</w:t>
      </w:r>
    </w:p>
    <w:p w14:paraId="77A3DF5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2）更换基金管理人；</w:t>
      </w:r>
    </w:p>
    <w:p w14:paraId="64BC094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3）更换基金托管人；</w:t>
      </w:r>
    </w:p>
    <w:p w14:paraId="1CBD18F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4）转换基金运作方式；</w:t>
      </w:r>
    </w:p>
    <w:p w14:paraId="1D72FD8B" w14:textId="348F7BBD"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5）调整基金管理人、基金托管人的报酬标准</w:t>
      </w:r>
      <w:r w:rsidR="00AF5AF1" w:rsidRPr="001B793E">
        <w:rPr>
          <w:rFonts w:ascii="宋体" w:hAnsi="宋体" w:hint="eastAsia"/>
          <w:sz w:val="24"/>
        </w:rPr>
        <w:t>或提高销售服务费率</w:t>
      </w:r>
      <w:r>
        <w:rPr>
          <w:rFonts w:ascii="宋体" w:hAnsi="宋体"/>
          <w:sz w:val="24"/>
        </w:rPr>
        <w:t>；</w:t>
      </w:r>
    </w:p>
    <w:p w14:paraId="5F757A1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6）变更基金类别；</w:t>
      </w:r>
    </w:p>
    <w:p w14:paraId="38DA825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7）本基金与其他基金的合并；</w:t>
      </w:r>
    </w:p>
    <w:p w14:paraId="31C78C0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8）变更基金投资目标、范围或策略，基金合同另有约定的除外；</w:t>
      </w:r>
    </w:p>
    <w:p w14:paraId="4F54313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9）变更基金份额持有人大会程序，基金合同另有约定的除外；</w:t>
      </w:r>
    </w:p>
    <w:p w14:paraId="6BF05C0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10）基金管理人或基金托管人要求召开基金份额持有人大会；</w:t>
      </w:r>
    </w:p>
    <w:p w14:paraId="7F064A1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11）单独或合计持有本基金总份额10%以上（含10%）基金份额的基金份额持有人（以基金管理人收到提议当日的基金份额计算，下同）就同一事项书面要求召开基金份额持有人大会；</w:t>
      </w:r>
    </w:p>
    <w:p w14:paraId="2F55F36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12）对基金合同当事人权利和义务产生重大影响的其他事项；</w:t>
      </w:r>
    </w:p>
    <w:p w14:paraId="0F67B18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13）法律法规、《基金合同》或中国证监会规定的其他应当召开基金份额持有人大会的事项。</w:t>
      </w:r>
    </w:p>
    <w:p w14:paraId="18124C3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（2）在符合法律法规和《基金合同》规定的范围内、并且对基金份额持有人利益无实质不利影响的前提下，以下情况可由基金管理人和基金托管人协商后修</w:t>
      </w:r>
      <w:r>
        <w:rPr>
          <w:rFonts w:ascii="宋体" w:hAnsi="宋体"/>
          <w:sz w:val="24"/>
        </w:rPr>
        <w:lastRenderedPageBreak/>
        <w:t>改，不需召开基金份额持有人大会：</w:t>
      </w:r>
    </w:p>
    <w:p w14:paraId="1103322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1）调低除基金管理费、基金托管费之外的其他应由本基金或基金份额持有人承担的费用；</w:t>
      </w:r>
    </w:p>
    <w:p w14:paraId="42A7B6E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2）法律法规要求增加的基金费用的收取；</w:t>
      </w:r>
    </w:p>
    <w:p w14:paraId="37212A6A" w14:textId="60E92BFA"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3）调整本基金的申购费率、调低赎回费率</w:t>
      </w:r>
      <w:r w:rsidR="00AF5AF1" w:rsidRPr="001B793E">
        <w:rPr>
          <w:rFonts w:ascii="宋体" w:hAnsi="宋体" w:hint="eastAsia"/>
          <w:sz w:val="24"/>
        </w:rPr>
        <w:t>及销售服务费率</w:t>
      </w:r>
      <w:r>
        <w:rPr>
          <w:rFonts w:ascii="宋体" w:hAnsi="宋体"/>
          <w:sz w:val="24"/>
        </w:rPr>
        <w:t>、变更或增加收费方式；</w:t>
      </w:r>
    </w:p>
    <w:p w14:paraId="0E65049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4）因相应的法律法规、登记机构的相关业务规则发生变动而应当对《基金合同》进行修改；</w:t>
      </w:r>
    </w:p>
    <w:p w14:paraId="546D034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5）对《基金合同》的修改对基金份额持有人利益无实质性不利影响或修改不涉及《基金合同》当事人权利义务关系发生重大变化；</w:t>
      </w:r>
    </w:p>
    <w:p w14:paraId="75234AA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6）在法律法规允许的情况下，且在对现有基金份额持有人利益无实质性不利影响的前提下，基金推出新业务或服务；</w:t>
      </w:r>
    </w:p>
    <w:p w14:paraId="65F4BC2B" w14:textId="5AE391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7）在符合法律法规及本基金合同规定、并且对基金份额持有人利益无实质不利影响的前提下，增加基金份额类别或调整本基金份额类别的设置；</w:t>
      </w:r>
    </w:p>
    <w:p w14:paraId="78E3980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8）在不违反法律法规及对基金份额持有人利益无实质性不利影响的前提下，基金管理人、登记机构、销售机构调整有关基金认购、申购、赎回、转换、非交易过户、转托管等业务的规则；</w:t>
      </w:r>
    </w:p>
    <w:p w14:paraId="4E4D5A8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9）按照法律法规和《基金合同》规定不需召开基金份额持有人大会的其他情形。</w:t>
      </w:r>
    </w:p>
    <w:p w14:paraId="0895E5C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2、会议召集人及召集方式</w:t>
      </w:r>
    </w:p>
    <w:p w14:paraId="799DA24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（1）除法律法规规定或《基金合同》另有约定外，基金份额持有人大会由基金管理人召集；</w:t>
      </w:r>
    </w:p>
    <w:p w14:paraId="2F66FEC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（2）基金管理人未按规定召集或不能召集时，由基金托管人召集；</w:t>
      </w:r>
    </w:p>
    <w:p w14:paraId="1D488CF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0355429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（4）代表基金份额10%以上（含10%）的基金份额持有人就同一事项书面要求</w:t>
      </w:r>
      <w:r>
        <w:rPr>
          <w:rFonts w:ascii="宋体" w:hAnsi="宋体"/>
          <w:sz w:val="24"/>
        </w:rPr>
        <w:lastRenderedPageBreak/>
        <w:t>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78E95B2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2B5B948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（6）基金份额持有人会议的召集人负责选择确定开会时间、地点、方式和权益登记日。</w:t>
      </w:r>
    </w:p>
    <w:p w14:paraId="735E056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3、召开基金份额持有人大会的通知时间、通知内容、通知方式</w:t>
      </w:r>
    </w:p>
    <w:p w14:paraId="79019AF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（1）召开基金份额持有人大会，召集人应于会议召开前30日，在指定媒介公告。基金份额持有人大会通知应至少载明以下内容：</w:t>
      </w:r>
    </w:p>
    <w:p w14:paraId="4DA2635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1）会议召开的时间、地点和会议形式；</w:t>
      </w:r>
    </w:p>
    <w:p w14:paraId="69CB208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2）会议拟审议的事项、议事程序和表决方式；</w:t>
      </w:r>
    </w:p>
    <w:p w14:paraId="30ABE64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3）有权出席基金份额持有人大会的基金份额持有人的权益登记日；</w:t>
      </w:r>
    </w:p>
    <w:p w14:paraId="4DAD5E8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4）授权委托证明的内容要求（包括但不限于代理人身份，代理权限和代理有效期限等）、送达时间和地点；</w:t>
      </w:r>
    </w:p>
    <w:p w14:paraId="0F11024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5）会务常设联系人姓名及联系电话；</w:t>
      </w:r>
    </w:p>
    <w:p w14:paraId="1A90C9A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6）出席会议者必须准备的文件和必须履行的手续；</w:t>
      </w:r>
    </w:p>
    <w:p w14:paraId="3F94516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7）召集人需要通知的其他事项。</w:t>
      </w:r>
    </w:p>
    <w:p w14:paraId="38029D9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5763F81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（3）如召集人为基金管理人，还应另行书面通知基金托管人到指定地点对表</w:t>
      </w:r>
      <w:r>
        <w:rPr>
          <w:rFonts w:ascii="宋体" w:hAnsi="宋体"/>
          <w:sz w:val="24"/>
        </w:rPr>
        <w:lastRenderedPageBreak/>
        <w:t>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3131E64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4、基金份额持有人出席会议的方式</w:t>
      </w:r>
    </w:p>
    <w:p w14:paraId="625BC35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基金份额持有人大会可通过现场开会方式、通讯开会方式或法律法规和监管机关允许的其他方式召开，会议的召开方式由会议召集人确定。</w:t>
      </w:r>
    </w:p>
    <w:p w14:paraId="7561345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2D21209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AEBB21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基金份额应不少于在权益登记日基金总份额的三分之一（含三分之一）。</w:t>
      </w:r>
    </w:p>
    <w:p w14:paraId="6F1C24D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（2）通讯开会。通讯开会系指基金份额持有人将其对表决事项的投票以会议通知载明的形式在表决截止日以前送达至召集人指定的地址或系统。</w:t>
      </w:r>
    </w:p>
    <w:p w14:paraId="25BF7D6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在同时符合以下条件时，通讯开会的方式视为有效：</w:t>
      </w:r>
    </w:p>
    <w:p w14:paraId="3E3B35D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1）会议召集人按《基金合同》约定公布会议通知后，在2个工作日内连续公布相关提示性公告；</w:t>
      </w:r>
    </w:p>
    <w:p w14:paraId="008CFC8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w:t>
      </w:r>
      <w:r>
        <w:rPr>
          <w:rFonts w:ascii="宋体" w:hAnsi="宋体"/>
          <w:sz w:val="24"/>
        </w:rPr>
        <w:lastRenderedPageBreak/>
        <w:t>规定的方式收取基金份额持有人的表决意见；基金托管人或基金管理人经通知不参加收取表决意见的，不影响表决效力；</w:t>
      </w:r>
    </w:p>
    <w:p w14:paraId="3BC194B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基金总份额三分之一以上（含三分之一）基金份额的持有人直接出具表决意见或授权他人代表出具表决意见；</w:t>
      </w:r>
    </w:p>
    <w:p w14:paraId="0C726AF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1C7DBC0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14:paraId="1EA2300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5、议事内容与程序</w:t>
      </w:r>
    </w:p>
    <w:p w14:paraId="4F19693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（1）议事内容及提案权</w:t>
      </w:r>
    </w:p>
    <w:p w14:paraId="1CE53ED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14:paraId="21A78C6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基金份额持有人大会的召集人发出召集会议的通知后，对原有提案的修改应当在基金份额持有人大会召开前及时公告。</w:t>
      </w:r>
    </w:p>
    <w:p w14:paraId="33C11E6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基金份额持有人大会不得对未事先公告的议事内容进行表决。</w:t>
      </w:r>
    </w:p>
    <w:p w14:paraId="12B86C5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（2）议事程序</w:t>
      </w:r>
    </w:p>
    <w:p w14:paraId="48207F3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14:paraId="21BE7E9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在现场开会的方式下，首先由大会主持人按照下列第7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或代理人作为该次基金份额持有人大会的主持人。基金管理人和基金托管人拒不出席或主持基金份额持有人大会，不影响基金份额持有人大会作出的决议的效力。</w:t>
      </w:r>
    </w:p>
    <w:p w14:paraId="240B0D2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会议召集人应当制作出席会议人员的签名册。签名册载明参加会议人员姓名（或单位名称）、身份证明文件号码、持有或代表有表决权的基金份额、委托人姓名（或单位名称）和联系方式等事项。</w:t>
      </w:r>
    </w:p>
    <w:p w14:paraId="5704175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w:t>
      </w:r>
    </w:p>
    <w:p w14:paraId="52FF2DD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在通讯开会的情况下，首先由召集人提前30日公布提案，在所通知的表决截止日期后2个工作日内在公证机关监督下由召集人统计全部有效表决，在公证机关监督下形成决议。</w:t>
      </w:r>
    </w:p>
    <w:p w14:paraId="228F039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6、表决</w:t>
      </w:r>
    </w:p>
    <w:p w14:paraId="6388F02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基金份额持有人所持每份基金份额有一票表决权。</w:t>
      </w:r>
    </w:p>
    <w:p w14:paraId="1771C22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基金份额持有人大会决议分为一般决议和特别决议：</w:t>
      </w:r>
    </w:p>
    <w:p w14:paraId="02328F5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68B2AEE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特别决议，特别决议应当经参加大会的基金份额持有人或其代理人所持表决权的三分之二以上（含三分之二）通过方可做出。转换基金运作方式、更换基金管理人或者基金托管人、终止《基金合同》、本基金与其他基金合并（就上述情形，法律法规、《基金合同》和中国证监会另有规定的除外）以特别决议通过方为有效。</w:t>
      </w:r>
    </w:p>
    <w:p w14:paraId="29ED0F7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基金份额持有人大会采取记名方式进行投票表决。</w:t>
      </w:r>
    </w:p>
    <w:p w14:paraId="06772B8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w:t>
      </w:r>
      <w:r>
        <w:rPr>
          <w:rFonts w:ascii="宋体" w:hAnsi="宋体"/>
          <w:sz w:val="24"/>
        </w:rPr>
        <w:lastRenderedPageBreak/>
        <w:t>表决，但应当计入出具表决意见的基金份额持有人所代表的基金份额总数。</w:t>
      </w:r>
    </w:p>
    <w:p w14:paraId="24CD0DE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基金份额持有人大会的各项提案或同一项提案内并列的各项议题应当分开审议、逐项表决。</w:t>
      </w:r>
    </w:p>
    <w:p w14:paraId="699BB53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7、计票</w:t>
      </w:r>
    </w:p>
    <w:p w14:paraId="15846F8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14:paraId="14B65DE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333CA5E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2）监票人应当在基金份额持有人表决后立即进行清点并由大会主持人当场公布计票结果。</w:t>
      </w:r>
    </w:p>
    <w:p w14:paraId="38B48F7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01F0A33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4）计票过程应由公证机关予以公证，基金管理人或基金托管人拒不出席大会的，不影响计票的效力。</w:t>
      </w:r>
    </w:p>
    <w:p w14:paraId="07B17C4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w:t>
      </w:r>
    </w:p>
    <w:p w14:paraId="3EF94B5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7CCD3FF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8、生效与公告</w:t>
      </w:r>
    </w:p>
    <w:p w14:paraId="691C983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基金份额持有人大会的决议，召集人应当自通过之日起5日内报中国证监会备案。基金份额持有人大会的决议自表决通过之日起生效。</w:t>
      </w:r>
    </w:p>
    <w:p w14:paraId="09083E9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基金份额持有人大会决议自生效之日起2日内在指定媒介上公告。如果采用通讯方式进行表决，在公告基金份额持有人大会决议时，必须将公证书全文、公证机构、公证员姓名等一同公告。</w:t>
      </w:r>
    </w:p>
    <w:p w14:paraId="1C55DAB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基金管理人、基金托管人和基金份额持有人应当执行生效的基金份额持有人大会的决议。生效的基金份额持有人大会决议对全体基金份额持有人、基金管理人、基金托管人均有约束力。</w:t>
      </w:r>
    </w:p>
    <w:p w14:paraId="4DBD7354" w14:textId="15BCDBE4" w:rsidR="00E917EA" w:rsidRDefault="00C86CDB">
      <w:pPr>
        <w:autoSpaceDE w:val="0"/>
        <w:autoSpaceDN w:val="0"/>
        <w:adjustRightInd w:val="0"/>
        <w:snapToGrid w:val="0"/>
        <w:spacing w:line="360" w:lineRule="auto"/>
        <w:ind w:firstLineChars="200" w:firstLine="480"/>
        <w:jc w:val="left"/>
        <w:rPr>
          <w:rFonts w:ascii="宋体" w:hAnsi="宋体"/>
          <w:sz w:val="24"/>
        </w:rPr>
      </w:pPr>
      <w:r>
        <w:rPr>
          <w:rFonts w:ascii="宋体" w:hAnsi="宋体"/>
          <w:sz w:val="24"/>
        </w:rPr>
        <w:t>9、</w:t>
      </w:r>
      <w:r w:rsidR="00E917EA" w:rsidRPr="00E917EA">
        <w:rPr>
          <w:rFonts w:ascii="宋体" w:hAnsi="宋体" w:hint="eastAsia"/>
          <w:sz w:val="24"/>
        </w:rPr>
        <w:t>实施侧袋机制期间基金份额持有人大会的特殊约定</w:t>
      </w:r>
    </w:p>
    <w:p w14:paraId="55F94C5D" w14:textId="77777777" w:rsidR="00E917EA" w:rsidRPr="001A2404" w:rsidRDefault="00E917EA" w:rsidP="00E917EA">
      <w:pPr>
        <w:spacing w:line="360" w:lineRule="auto"/>
        <w:ind w:firstLineChars="200" w:firstLine="480"/>
        <w:rPr>
          <w:bCs/>
          <w:sz w:val="24"/>
        </w:rPr>
      </w:pPr>
      <w:r w:rsidRPr="001A2404">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57F35D88" w14:textId="78E78926" w:rsidR="00E917EA" w:rsidRPr="001A2404" w:rsidRDefault="00E917EA" w:rsidP="00E917EA">
      <w:pPr>
        <w:spacing w:line="360" w:lineRule="auto"/>
        <w:ind w:firstLineChars="200" w:firstLine="480"/>
        <w:rPr>
          <w:bCs/>
          <w:sz w:val="24"/>
        </w:rPr>
      </w:pPr>
      <w:r w:rsidRPr="00190EBC">
        <w:rPr>
          <w:rFonts w:ascii="Times New Roman" w:eastAsiaTheme="minorEastAsia" w:hAnsi="Times New Roman" w:hint="eastAsia"/>
          <w:bCs/>
          <w:sz w:val="24"/>
        </w:rPr>
        <w:t>（</w:t>
      </w:r>
      <w:r w:rsidRPr="00190EBC">
        <w:rPr>
          <w:rFonts w:ascii="Times New Roman" w:eastAsiaTheme="minorEastAsia" w:hAnsi="Times New Roman"/>
          <w:bCs/>
          <w:sz w:val="24"/>
        </w:rPr>
        <w:t>1</w:t>
      </w:r>
      <w:r w:rsidRPr="00190EBC">
        <w:rPr>
          <w:rFonts w:ascii="Times New Roman" w:eastAsiaTheme="minorEastAsia" w:hAnsi="Times New Roman" w:hint="eastAsia"/>
          <w:bCs/>
          <w:sz w:val="24"/>
        </w:rPr>
        <w:t>）</w:t>
      </w:r>
      <w:r w:rsidRPr="001A2404">
        <w:rPr>
          <w:rFonts w:hint="eastAsia"/>
          <w:bCs/>
          <w:sz w:val="24"/>
        </w:rPr>
        <w:t>基金份额持有人行使提议权、召集权、提名权所需单独或合计代表相关基金份额</w:t>
      </w:r>
      <w:r w:rsidRPr="001A2404">
        <w:rPr>
          <w:rFonts w:hint="eastAsia"/>
          <w:bCs/>
          <w:sz w:val="24"/>
        </w:rPr>
        <w:t>10%</w:t>
      </w:r>
      <w:r w:rsidRPr="001A2404">
        <w:rPr>
          <w:rFonts w:hint="eastAsia"/>
          <w:bCs/>
          <w:sz w:val="24"/>
        </w:rPr>
        <w:t>以上（含</w:t>
      </w:r>
      <w:r w:rsidRPr="001A2404">
        <w:rPr>
          <w:rFonts w:hint="eastAsia"/>
          <w:bCs/>
          <w:sz w:val="24"/>
        </w:rPr>
        <w:t>10%</w:t>
      </w:r>
      <w:r w:rsidRPr="001A2404">
        <w:rPr>
          <w:rFonts w:hint="eastAsia"/>
          <w:bCs/>
          <w:sz w:val="24"/>
        </w:rPr>
        <w:t>）；</w:t>
      </w:r>
    </w:p>
    <w:p w14:paraId="2E580AC4" w14:textId="35045997" w:rsidR="00E917EA" w:rsidRPr="001A2404" w:rsidRDefault="00E917EA" w:rsidP="00E917EA">
      <w:pPr>
        <w:spacing w:line="360" w:lineRule="auto"/>
        <w:ind w:firstLineChars="200" w:firstLine="480"/>
        <w:rPr>
          <w:bCs/>
          <w:sz w:val="24"/>
        </w:rPr>
      </w:pPr>
      <w:r w:rsidRPr="00190EBC">
        <w:rPr>
          <w:rFonts w:ascii="Times New Roman" w:hAnsi="Times New Roman" w:hint="eastAsia"/>
          <w:bCs/>
          <w:sz w:val="24"/>
        </w:rPr>
        <w:t>（</w:t>
      </w:r>
      <w:r w:rsidRPr="00190EBC">
        <w:rPr>
          <w:rFonts w:ascii="Times New Roman" w:hAnsi="Times New Roman"/>
          <w:bCs/>
          <w:sz w:val="24"/>
        </w:rPr>
        <w:t>2</w:t>
      </w:r>
      <w:r w:rsidRPr="00190EBC">
        <w:rPr>
          <w:rFonts w:ascii="Times New Roman" w:hAnsi="Times New Roman" w:hint="eastAsia"/>
          <w:bCs/>
          <w:sz w:val="24"/>
        </w:rPr>
        <w:t>）</w:t>
      </w:r>
      <w:r w:rsidRPr="001A2404">
        <w:rPr>
          <w:rFonts w:hint="eastAsia"/>
          <w:bCs/>
          <w:sz w:val="24"/>
        </w:rPr>
        <w:t>现场开会的到会者在权益登记日代表的基金份额不少于本基金在权益登记日相关基金份额的二分之一（含二分之一）；</w:t>
      </w:r>
    </w:p>
    <w:p w14:paraId="02A1CB50" w14:textId="29589D83" w:rsidR="00E917EA" w:rsidRPr="001A2404" w:rsidRDefault="00E917EA" w:rsidP="00E917EA">
      <w:pPr>
        <w:spacing w:line="360" w:lineRule="auto"/>
        <w:ind w:firstLineChars="200" w:firstLine="480"/>
        <w:rPr>
          <w:bCs/>
          <w:sz w:val="24"/>
        </w:rPr>
      </w:pPr>
      <w:r w:rsidRPr="00190EBC">
        <w:rPr>
          <w:rFonts w:ascii="Times New Roman" w:hAnsi="Times New Roman" w:hint="eastAsia"/>
          <w:bCs/>
          <w:sz w:val="24"/>
        </w:rPr>
        <w:t>（</w:t>
      </w:r>
      <w:r w:rsidRPr="00190EBC">
        <w:rPr>
          <w:rFonts w:ascii="Times New Roman" w:hAnsi="Times New Roman"/>
          <w:bCs/>
          <w:sz w:val="24"/>
        </w:rPr>
        <w:t>3</w:t>
      </w:r>
      <w:r w:rsidRPr="00190EBC">
        <w:rPr>
          <w:rFonts w:ascii="Times New Roman" w:hAnsi="Times New Roman" w:hint="eastAsia"/>
          <w:bCs/>
          <w:sz w:val="24"/>
        </w:rPr>
        <w:t>）</w:t>
      </w:r>
      <w:r w:rsidRPr="001A2404">
        <w:rPr>
          <w:rFonts w:hint="eastAsia"/>
          <w:bCs/>
          <w:sz w:val="24"/>
        </w:rPr>
        <w:t>通讯开会的直接出具表决意见或授权他人代表出具表决意见的基金份额持有人所持有的基金份额不小于在权益登记日相关基金份额的二分之一（含二分之一）；</w:t>
      </w:r>
    </w:p>
    <w:p w14:paraId="140161D4" w14:textId="70C141F3" w:rsidR="00E917EA" w:rsidRPr="001A2404" w:rsidRDefault="00E917EA" w:rsidP="00E917EA">
      <w:pPr>
        <w:spacing w:line="360" w:lineRule="auto"/>
        <w:ind w:firstLineChars="200" w:firstLine="480"/>
        <w:rPr>
          <w:bCs/>
          <w:sz w:val="24"/>
        </w:rPr>
      </w:pPr>
      <w:r w:rsidRPr="00190EBC">
        <w:rPr>
          <w:rFonts w:ascii="Times New Roman" w:hAnsi="Times New Roman" w:hint="eastAsia"/>
          <w:bCs/>
          <w:sz w:val="24"/>
        </w:rPr>
        <w:t>（</w:t>
      </w:r>
      <w:r w:rsidRPr="00190EBC">
        <w:rPr>
          <w:rFonts w:ascii="Times New Roman" w:hAnsi="Times New Roman"/>
          <w:bCs/>
          <w:sz w:val="24"/>
        </w:rPr>
        <w:t>4</w:t>
      </w:r>
      <w:r w:rsidRPr="00190EBC">
        <w:rPr>
          <w:rFonts w:ascii="Times New Roman" w:hAnsi="Times New Roman" w:hint="eastAsia"/>
          <w:bCs/>
          <w:sz w:val="24"/>
        </w:rPr>
        <w:t>）</w:t>
      </w:r>
      <w:r w:rsidRPr="001A2404">
        <w:rPr>
          <w:rFonts w:hint="eastAsia"/>
          <w:bCs/>
          <w:sz w:val="24"/>
        </w:rPr>
        <w:t>在参与基金份额持有人大会投票的基金份额持有人所持有的基金份额小于在权益登记日相关基金份额的二分之一、召集人在原公告的基金份额持有人大会召开时间的</w:t>
      </w:r>
      <w:r w:rsidRPr="001A2404">
        <w:rPr>
          <w:rFonts w:hint="eastAsia"/>
          <w:bCs/>
          <w:sz w:val="24"/>
        </w:rPr>
        <w:t>3</w:t>
      </w:r>
      <w:r w:rsidRPr="001A2404">
        <w:rPr>
          <w:rFonts w:hint="eastAsia"/>
          <w:bCs/>
          <w:sz w:val="24"/>
        </w:rPr>
        <w:t>个月以后、</w:t>
      </w:r>
      <w:r w:rsidRPr="001A2404">
        <w:rPr>
          <w:rFonts w:hint="eastAsia"/>
          <w:bCs/>
          <w:sz w:val="24"/>
        </w:rPr>
        <w:t>6</w:t>
      </w:r>
      <w:r w:rsidRPr="001A2404">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1412CA7A" w14:textId="57CD05BA" w:rsidR="00E917EA" w:rsidRPr="001A2404" w:rsidRDefault="00E917EA" w:rsidP="00E917EA">
      <w:pPr>
        <w:spacing w:line="360" w:lineRule="auto"/>
        <w:ind w:firstLineChars="200" w:firstLine="480"/>
        <w:rPr>
          <w:bCs/>
          <w:sz w:val="24"/>
        </w:rPr>
      </w:pPr>
      <w:r w:rsidRPr="00190EBC">
        <w:rPr>
          <w:rFonts w:ascii="Times New Roman" w:hAnsi="Times New Roman" w:hint="eastAsia"/>
          <w:bCs/>
          <w:sz w:val="24"/>
        </w:rPr>
        <w:t>（</w:t>
      </w:r>
      <w:r w:rsidRPr="00190EBC">
        <w:rPr>
          <w:rFonts w:ascii="Times New Roman" w:hAnsi="Times New Roman"/>
          <w:bCs/>
          <w:sz w:val="24"/>
        </w:rPr>
        <w:t>5</w:t>
      </w:r>
      <w:r w:rsidRPr="00190EBC">
        <w:rPr>
          <w:rFonts w:ascii="Times New Roman" w:hAnsi="Times New Roman" w:hint="eastAsia"/>
          <w:bCs/>
          <w:sz w:val="24"/>
        </w:rPr>
        <w:t>）</w:t>
      </w:r>
      <w:r w:rsidRPr="001A2404">
        <w:rPr>
          <w:rFonts w:hint="eastAsia"/>
          <w:bCs/>
          <w:sz w:val="24"/>
        </w:rPr>
        <w:t>现场开会由出席大会的基金份额持有人和代理人所持表决权的</w:t>
      </w:r>
      <w:r w:rsidRPr="001A2404">
        <w:rPr>
          <w:rFonts w:hint="eastAsia"/>
          <w:bCs/>
          <w:sz w:val="24"/>
        </w:rPr>
        <w:t>50%</w:t>
      </w:r>
      <w:r w:rsidRPr="001A2404">
        <w:rPr>
          <w:rFonts w:hint="eastAsia"/>
          <w:bCs/>
          <w:sz w:val="24"/>
        </w:rPr>
        <w:t>以上（含</w:t>
      </w:r>
      <w:r w:rsidRPr="001A2404">
        <w:rPr>
          <w:rFonts w:hint="eastAsia"/>
          <w:bCs/>
          <w:sz w:val="24"/>
        </w:rPr>
        <w:t>50%</w:t>
      </w:r>
      <w:r w:rsidRPr="001A2404">
        <w:rPr>
          <w:rFonts w:hint="eastAsia"/>
          <w:bCs/>
          <w:sz w:val="24"/>
        </w:rPr>
        <w:t>）选举产生一名基金份额持有人或代理人作为该次基金份额持有人大会的主持人；</w:t>
      </w:r>
    </w:p>
    <w:p w14:paraId="2FEE673D" w14:textId="7C092667" w:rsidR="00E917EA" w:rsidRPr="001A2404" w:rsidRDefault="00E917EA" w:rsidP="00E917EA">
      <w:pPr>
        <w:spacing w:line="360" w:lineRule="auto"/>
        <w:ind w:firstLineChars="200" w:firstLine="480"/>
        <w:rPr>
          <w:bCs/>
          <w:sz w:val="24"/>
        </w:rPr>
      </w:pPr>
      <w:r w:rsidRPr="00190EBC">
        <w:rPr>
          <w:rFonts w:ascii="Times New Roman" w:hAnsi="Times New Roman" w:hint="eastAsia"/>
          <w:bCs/>
          <w:sz w:val="24"/>
        </w:rPr>
        <w:t>（</w:t>
      </w:r>
      <w:r w:rsidRPr="00190EBC">
        <w:rPr>
          <w:rFonts w:ascii="Times New Roman" w:hAnsi="Times New Roman"/>
          <w:bCs/>
          <w:sz w:val="24"/>
        </w:rPr>
        <w:t>6</w:t>
      </w:r>
      <w:r w:rsidRPr="00190EBC">
        <w:rPr>
          <w:rFonts w:ascii="Times New Roman" w:hAnsi="Times New Roman" w:hint="eastAsia"/>
          <w:bCs/>
          <w:sz w:val="24"/>
        </w:rPr>
        <w:t>）</w:t>
      </w:r>
      <w:r w:rsidRPr="001A2404">
        <w:rPr>
          <w:rFonts w:hint="eastAsia"/>
          <w:bCs/>
          <w:sz w:val="24"/>
        </w:rPr>
        <w:t>一般决议须经参加大会的基金份额持有人或其代理人所持表决权的二分之一以上（含二分之一）通过；</w:t>
      </w:r>
    </w:p>
    <w:p w14:paraId="67FB5C7C" w14:textId="314BA79F" w:rsidR="00E917EA" w:rsidRPr="001A2404" w:rsidRDefault="00E917EA" w:rsidP="00E917EA">
      <w:pPr>
        <w:spacing w:line="360" w:lineRule="auto"/>
        <w:ind w:firstLineChars="200" w:firstLine="480"/>
        <w:rPr>
          <w:bCs/>
          <w:sz w:val="24"/>
        </w:rPr>
      </w:pPr>
      <w:r w:rsidRPr="00190EBC">
        <w:rPr>
          <w:rFonts w:ascii="Times New Roman" w:hAnsi="Times New Roman" w:hint="eastAsia"/>
          <w:bCs/>
          <w:sz w:val="24"/>
        </w:rPr>
        <w:t>（</w:t>
      </w:r>
      <w:r w:rsidRPr="00190EBC">
        <w:rPr>
          <w:rFonts w:ascii="Times New Roman" w:hAnsi="Times New Roman"/>
          <w:bCs/>
          <w:sz w:val="24"/>
        </w:rPr>
        <w:t>7</w:t>
      </w:r>
      <w:r w:rsidRPr="00190EBC">
        <w:rPr>
          <w:rFonts w:ascii="Times New Roman" w:hAnsi="Times New Roman" w:hint="eastAsia"/>
          <w:bCs/>
          <w:sz w:val="24"/>
        </w:rPr>
        <w:t>）</w:t>
      </w:r>
      <w:r w:rsidRPr="001A2404">
        <w:rPr>
          <w:rFonts w:hint="eastAsia"/>
          <w:bCs/>
          <w:sz w:val="24"/>
        </w:rPr>
        <w:t>特别决议应当经参加大会的基金份额持有人或其代理人所持表决权的三分之二以上（含三分之二）通过。</w:t>
      </w:r>
    </w:p>
    <w:p w14:paraId="094C7147" w14:textId="3117EC45" w:rsidR="00E917EA" w:rsidRDefault="00E917EA" w:rsidP="00E917EA">
      <w:pPr>
        <w:autoSpaceDE w:val="0"/>
        <w:autoSpaceDN w:val="0"/>
        <w:adjustRightInd w:val="0"/>
        <w:snapToGrid w:val="0"/>
        <w:spacing w:line="360" w:lineRule="auto"/>
        <w:ind w:firstLineChars="200" w:firstLine="480"/>
        <w:jc w:val="left"/>
        <w:rPr>
          <w:rFonts w:ascii="宋体" w:hAnsi="宋体"/>
          <w:sz w:val="24"/>
        </w:rPr>
      </w:pPr>
      <w:r w:rsidRPr="001A2404">
        <w:rPr>
          <w:rFonts w:hint="eastAsia"/>
          <w:bCs/>
          <w:sz w:val="24"/>
        </w:rPr>
        <w:t>同一主侧袋账户内的每份基金份额具有平等的表决权。</w:t>
      </w:r>
    </w:p>
    <w:p w14:paraId="24B41FE8" w14:textId="1636A7F2" w:rsidR="001430E9" w:rsidRDefault="00E917EA">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w:t>
      </w:r>
      <w:r>
        <w:rPr>
          <w:rFonts w:ascii="宋体" w:hAnsi="宋体" w:hint="eastAsia"/>
          <w:sz w:val="24"/>
        </w:rPr>
        <w:t>、</w:t>
      </w:r>
      <w:r w:rsidR="00C86CDB">
        <w:rPr>
          <w:rFonts w:ascii="宋体" w:hAnsi="宋体"/>
          <w:sz w:val="24"/>
        </w:rPr>
        <w:t>本部分对基金份额持有人大会召开事由、召开条件、议事程序、表决条件等规定，凡是直接引用法律法规或监管规则的部分，如将来法律法规或监管规则修</w:t>
      </w:r>
      <w:r w:rsidR="00C86CDB">
        <w:rPr>
          <w:rFonts w:ascii="宋体" w:hAnsi="宋体"/>
          <w:sz w:val="24"/>
        </w:rPr>
        <w:lastRenderedPageBreak/>
        <w:t>改导致相关内容被取消或变更的，基金管理人经与基金托管人协商一致并提前公告后，可直接对本部分内容进行修改和调整，无需召开基金份额持有人大会审议。</w:t>
      </w:r>
    </w:p>
    <w:p w14:paraId="2D38CC11"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（三）基金合同解除和终止的事由、程序</w:t>
      </w:r>
    </w:p>
    <w:p w14:paraId="76F9784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1、《基金合同》的变更</w:t>
      </w:r>
    </w:p>
    <w:p w14:paraId="5B87F5F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09F2D03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（2）关于《基金合同》变更的基金份额持有人大会决议生效后方可执行，并自表决通过之日起生效，生效后依照《信息披露办法》的规定在指定媒介公告。</w:t>
      </w:r>
    </w:p>
    <w:p w14:paraId="432B2B5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2、《基金合同》的终止事由</w:t>
      </w:r>
    </w:p>
    <w:p w14:paraId="6A29B1F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有下列情形之一的，《基金合同》应当终止：</w:t>
      </w:r>
    </w:p>
    <w:p w14:paraId="5C9E48D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14:paraId="3F5E668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（2）基金管理人、基金托管人职责终止，在6个月内没有新基金管理人、新基金托管人承接的；</w:t>
      </w:r>
    </w:p>
    <w:p w14:paraId="239143B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（3）本基金作为被合并方与其他基金进行合并的；</w:t>
      </w:r>
    </w:p>
    <w:p w14:paraId="16E0373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（4）《基金合同》约定的其他情形；</w:t>
      </w:r>
    </w:p>
    <w:p w14:paraId="32B35AD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（5）相关法律法规和中国证监会规定的其他情况。</w:t>
      </w:r>
    </w:p>
    <w:p w14:paraId="25B037A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3、基金财产的清算</w:t>
      </w:r>
    </w:p>
    <w:p w14:paraId="7454DEA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（1）基金财产清算小组：自出现《基金合同》终止事由之日起30个工作日内成立清算小组，基金管理人组织基金财产清算小组并在中国证监会的监督下进行基金清算。</w:t>
      </w:r>
    </w:p>
    <w:p w14:paraId="76EFBC8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6621A3D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（3）基金财产清算小组职责：基金财产清算小组负责基金财产的保管、清理、估价、变现和分配。基金财产清算小组可以依法进行必要的民事活动。</w:t>
      </w:r>
    </w:p>
    <w:p w14:paraId="3396A27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（4）基金财产清算程序：</w:t>
      </w:r>
    </w:p>
    <w:p w14:paraId="34E31CF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1）《基金合同》终止情形出现时，由基金财产清算小组统一接管基金财产；</w:t>
      </w:r>
    </w:p>
    <w:p w14:paraId="07DA63D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2）对基金财产和债权债务进行清理和确认；</w:t>
      </w:r>
    </w:p>
    <w:p w14:paraId="603495C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3）对基金财产进行估值和变现；</w:t>
      </w:r>
    </w:p>
    <w:p w14:paraId="5C62E45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4）制作清算报告；</w:t>
      </w:r>
    </w:p>
    <w:p w14:paraId="58DF7AE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5）聘请会计师事务所对清算报告进行外部审计，聘请律师事务所对清算报告出具法律意见书；</w:t>
      </w:r>
    </w:p>
    <w:p w14:paraId="107BF0A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6）将清算报告报中国证监会备案并公告；</w:t>
      </w:r>
    </w:p>
    <w:p w14:paraId="7DCCEC1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7）对基金剩余财产进行分配。</w:t>
      </w:r>
    </w:p>
    <w:p w14:paraId="398B41D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（5）基金财产清算的期限为6个月，因本基金所持证券流通性受到限制、结算保证金相关规定等客观因素，清算期限可相应延长。</w:t>
      </w:r>
    </w:p>
    <w:p w14:paraId="2E69DA8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4、清算费用</w:t>
      </w:r>
    </w:p>
    <w:p w14:paraId="2DF2405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清算费用是指基金财产清算小组在进行基金清算过程中发生的所有合理费用，清算费用由基金财产清算小组优先从基金财产中支付。</w:t>
      </w:r>
    </w:p>
    <w:p w14:paraId="419A4F3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5、基金财产清算剩余资产的分配</w:t>
      </w:r>
    </w:p>
    <w:p w14:paraId="57DF0C5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依据基金财产清算的分配方案，将基金财产清算后的全部剩余资产扣除基金财产清算费用、交纳所欠税款并清偿基金债务后，按基金份额持有人持有的基金份额比例进行分配。</w:t>
      </w:r>
    </w:p>
    <w:p w14:paraId="22E9210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6、基金财产清算的公告</w:t>
      </w:r>
    </w:p>
    <w:p w14:paraId="64A4BE9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14:paraId="1F3097C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7、基金财产清算账册及文件的保存</w:t>
      </w:r>
    </w:p>
    <w:p w14:paraId="263B568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基金财产清算账册及有关文件由基金托管人保存15年以上。</w:t>
      </w:r>
    </w:p>
    <w:p w14:paraId="4D7268F5"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（四）争议解决方式</w:t>
      </w:r>
    </w:p>
    <w:p w14:paraId="39314D8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除非仲裁裁决另有规定，仲裁费由败诉方承担。</w:t>
      </w:r>
    </w:p>
    <w:p w14:paraId="33781BA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争议处理期间，双方当事人应恪守基金管理人和基金托管人职责，各自继续忠实、勤勉、尽责地履行基金合同规定的义务，维护基金份额持有人的合法权益。</w:t>
      </w:r>
    </w:p>
    <w:p w14:paraId="21CA50F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《基金合同》受中国法律管辖。</w:t>
      </w:r>
    </w:p>
    <w:p w14:paraId="69916933"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（五）基金合同存放地和投资者取得基金合同的方式</w:t>
      </w:r>
    </w:p>
    <w:p w14:paraId="0A7DB65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《基金合同》正本一式六份，除上报有关监管机构一式二份外，基金管理人、基金托管人各持有二份，每份具有同等的法律效力。</w:t>
      </w:r>
    </w:p>
    <w:p w14:paraId="13C85E1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《基金合同》可印制成册，供投资者在基金管理人、基金托管人、销售机构的办公场所和营业场所查阅，但应以《基金合同》正本为准。</w:t>
      </w:r>
    </w:p>
    <w:p w14:paraId="08CEDE05" w14:textId="77777777" w:rsidR="00435AFE" w:rsidRDefault="00C86CDB" w:rsidP="00435AFE">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03281FBD" w14:textId="35A5BCEE" w:rsidR="001430E9" w:rsidRDefault="00C86CDB">
      <w:pPr>
        <w:pStyle w:val="1"/>
        <w:snapToGrid w:val="0"/>
        <w:spacing w:beforeLines="0" w:before="240" w:after="240"/>
        <w:rPr>
          <w:rFonts w:ascii="宋体" w:hAnsi="宋体"/>
          <w:szCs w:val="30"/>
        </w:rPr>
      </w:pPr>
      <w:bookmarkStart w:id="24" w:name="_Toc137828503"/>
      <w:bookmarkStart w:id="25" w:name="_Hlk151123244"/>
      <w:bookmarkEnd w:id="23"/>
      <w:r>
        <w:rPr>
          <w:rFonts w:ascii="Times New Roman" w:hAnsi="Times New Roman"/>
          <w:sz w:val="30"/>
        </w:rPr>
        <w:lastRenderedPageBreak/>
        <w:t>二十</w:t>
      </w:r>
      <w:r w:rsidR="00B37F03">
        <w:rPr>
          <w:rFonts w:ascii="Times New Roman" w:hAnsi="Times New Roman" w:hint="eastAsia"/>
          <w:sz w:val="30"/>
        </w:rPr>
        <w:t>二</w:t>
      </w:r>
      <w:r>
        <w:rPr>
          <w:rFonts w:ascii="Times New Roman" w:hAnsi="Times New Roman"/>
          <w:sz w:val="30"/>
        </w:rPr>
        <w:t>、托管协议的内容摘要</w:t>
      </w:r>
      <w:bookmarkStart w:id="26" w:name="_GoBack"/>
      <w:bookmarkEnd w:id="24"/>
      <w:bookmarkEnd w:id="26"/>
    </w:p>
    <w:p w14:paraId="355658CC"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（一）托管协议当事人</w:t>
      </w:r>
    </w:p>
    <w:p w14:paraId="4C995A5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w:t>
      </w:r>
    </w:p>
    <w:p w14:paraId="322C5A8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14:paraId="6A98F3F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注册地址：中国(上海)自由贸易试验区银城中路188号交通银行大楼二层（裙）</w:t>
      </w:r>
    </w:p>
    <w:p w14:paraId="08D3E9D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14:paraId="44BE2C1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邮政编码：200120</w:t>
      </w:r>
    </w:p>
    <w:p w14:paraId="4EAEC33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14:paraId="2184637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成立日期：2005年8月4日</w:t>
      </w:r>
    </w:p>
    <w:p w14:paraId="6EE9569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批准设立机关及批准设立文号：中国证监会证监基金字[2005]128号</w:t>
      </w:r>
    </w:p>
    <w:p w14:paraId="08AC218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组织形式：有限责任公司</w:t>
      </w:r>
    </w:p>
    <w:p w14:paraId="4E8EC18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注册资本：2亿元人民币</w:t>
      </w:r>
    </w:p>
    <w:p w14:paraId="55A4676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14:paraId="1F20068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经营范围：基金募集、基金销售、资产管理和中国证监会许可的其它业务</w:t>
      </w:r>
    </w:p>
    <w:p w14:paraId="2AA74BA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w:t>
      </w:r>
    </w:p>
    <w:p w14:paraId="6F0DFAA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名称：中国农业银行股份有限公司</w:t>
      </w:r>
    </w:p>
    <w:p w14:paraId="06554F8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注册地址：北京市东城区建国门内大街69号</w:t>
      </w:r>
    </w:p>
    <w:p w14:paraId="11D8C1E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办公地址：北京市西城区复兴门内大街28号凯晨世贸中心东座九层</w:t>
      </w:r>
    </w:p>
    <w:p w14:paraId="4393051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邮政编码：100031</w:t>
      </w:r>
    </w:p>
    <w:p w14:paraId="7A384010" w14:textId="324DBA59"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w:t>
      </w:r>
      <w:r w:rsidR="00DC7944" w:rsidRPr="00DC7944">
        <w:rPr>
          <w:rFonts w:ascii="宋体" w:hAnsi="宋体" w:hint="eastAsia"/>
          <w:sz w:val="24"/>
        </w:rPr>
        <w:t>谷澎</w:t>
      </w:r>
    </w:p>
    <w:p w14:paraId="5AFEA2C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成立时间：2009年1月15日</w:t>
      </w:r>
    </w:p>
    <w:p w14:paraId="75B81EA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基金托管资格批准文号：中国证监会证监基字[1998]23号</w:t>
      </w:r>
    </w:p>
    <w:p w14:paraId="337E10B8" w14:textId="6AF2B189"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w:t>
      </w:r>
      <w:r w:rsidR="00DC7944" w:rsidRPr="00DC7944">
        <w:rPr>
          <w:rFonts w:ascii="宋体" w:hAnsi="宋体"/>
          <w:sz w:val="24"/>
        </w:rPr>
        <w:t>34,998,303.4</w:t>
      </w:r>
      <w:r>
        <w:rPr>
          <w:rFonts w:ascii="宋体" w:hAnsi="宋体"/>
          <w:sz w:val="24"/>
        </w:rPr>
        <w:t>万元人民币</w:t>
      </w:r>
    </w:p>
    <w:p w14:paraId="0654211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14:paraId="648706D6" w14:textId="7B91C05D"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范围：吸收公众存款；发放短期、中期、长期贷款；办理国内外结算；办理票据承兑与贴现；发行金融债券；代理发行、代理兑付、承销政府债券；买卖政府债券、金融债券；从事同业拆借；买卖、代理买卖外汇；结汇、售汇；从事银行卡业务；提供信用证服务及担保；代理收付款项；提供保管箱服务；代理资金清</w:t>
      </w:r>
      <w:r>
        <w:rPr>
          <w:rFonts w:ascii="宋体" w:hAnsi="宋体"/>
          <w:sz w:val="24"/>
        </w:rPr>
        <w:lastRenderedPageBreak/>
        <w:t>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券投资托管业务；代理开放式基金业务；电话银行、手机银行、网上银行业务；金融衍生产品交易业务；经国务院银行业监督管理机构等监管部门批准的其他业务</w:t>
      </w:r>
      <w:r w:rsidR="00DC7944" w:rsidRPr="00DC7944">
        <w:rPr>
          <w:rFonts w:ascii="宋体" w:hAnsi="宋体" w:hint="eastAsia"/>
          <w:sz w:val="24"/>
        </w:rPr>
        <w:t>；保险兼业代理业务</w:t>
      </w:r>
      <w:r>
        <w:rPr>
          <w:rFonts w:ascii="宋体" w:hAnsi="宋体"/>
          <w:sz w:val="24"/>
        </w:rPr>
        <w:t>。</w:t>
      </w:r>
    </w:p>
    <w:p w14:paraId="2B1E2D84"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（二）基金托管人对基金管理人的业务监督和核查</w:t>
      </w:r>
    </w:p>
    <w:p w14:paraId="3FC4D86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14:paraId="7DAEAAC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范围为具有良好流动性的金融工具，包括内地依法发行上市的股票（含中小板、创业板及其他经中国证监会核准上市的股票、存托凭证）、港股通标的股票、债券（含国债、央行票据、金融债券、政府支持债券、政府支持机构债券、地方政府债券、企业债券、公司债券、可转换债券（含可分离交易可转换债券）、可交换公司债券、次级债券、中期票据、短期融资券、超短期融资券等）、资产支持证券、货币市场工具、债券回购、同业存单、银行存款（含协议存款、定期存款及其他银行存款）、股指期货、权证以及法律法规或中国证监会允许基金投资的其他金融工具（但须符合中国证监会相关规定）。</w:t>
      </w:r>
    </w:p>
    <w:p w14:paraId="30DA797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如法律法规或监管机构以后允许基金投资其他品种，基金管理人在履行适当程序后，可以将其纳入投资范围。</w:t>
      </w:r>
    </w:p>
    <w:p w14:paraId="4871ECA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比例为：股票投资（含存托凭证）占基金资产的比例为50%-95%(其中，投资于内地依法发行上市的股票的比例占基金资产的50-95%，投资于港股通标的股票的比例占股票资产的0-50%），其中投资于核心资产主题相关证券的比例不低于非现金基金资产的80%；每个交易日日终在扣除股指期货合约需缴纳的交易保证金后，本基金保留的现金或者投资于到期日在一年以内的政府债券的比例合</w:t>
      </w:r>
      <w:r>
        <w:rPr>
          <w:rFonts w:ascii="宋体" w:hAnsi="宋体"/>
          <w:sz w:val="24"/>
        </w:rPr>
        <w:lastRenderedPageBreak/>
        <w:t>计不低于基金资产净值的5%，其中现金不包括结算备付金、存出保证金、应收申购款等。</w:t>
      </w:r>
    </w:p>
    <w:p w14:paraId="559054C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如果法律法规或中国证监会变更投资品种的投资比例限制，基金管理人在履行适当程序后，可以调整上述投资品种的投资比例。</w:t>
      </w:r>
    </w:p>
    <w:p w14:paraId="1D1214A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2、基金托管人根据有关法律法规的规定及基金合同的约定，对基金投资、融资比例进行监督。基金托管人按下述比例和调整期限进行监督：</w:t>
      </w:r>
    </w:p>
    <w:p w14:paraId="59AF8F9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股票投资（含存托凭证）占基金资产的比例为50%-95%(其中，投资于内地依法发行上市的股票的比例占基金资产的50-95%，投资于港股通标的股票的比例占股票资产的0-50%），其中投资于核心资产主题相关证券的比例不低于非现金基金资产的80%；</w:t>
      </w:r>
    </w:p>
    <w:p w14:paraId="3F24081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（2）每个交易日日终在扣除股指期货合约需缴纳的交易保证金后，保持不低于基金资产净值5%的现金或者到期日在一年以内的政府债券，其中现金不包括结算备付金、存出保证金、应收申购款等；</w:t>
      </w:r>
    </w:p>
    <w:p w14:paraId="645746B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（3）本基金持有一家公司发行的证券（同一家公司在内地和香港同时上市的A+H 股合计计算），其市值不超过基金资产净值的10%；</w:t>
      </w:r>
    </w:p>
    <w:p w14:paraId="034033E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（4）本基金管理人管理的、且由本基金托管人托管的全部基金持有一家公司发行的证券（同一家公司在内地和香港同时上市的A+H 股合计计算），不超过该证券的10%；</w:t>
      </w:r>
    </w:p>
    <w:p w14:paraId="51139D2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（5）本基金持有的全部权证，其市值不得超过基金资产净值的3%；</w:t>
      </w:r>
    </w:p>
    <w:p w14:paraId="787FB2A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（6）本基金管理人管理的、且由本基金托管人托管的全部基金持有的同一权证，不得超过该权证的10%；</w:t>
      </w:r>
    </w:p>
    <w:p w14:paraId="55F5ECA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（7）本基金在任何交易日买入权证的总金额，不得超过上一交易日基金资产净值的0.5%；</w:t>
      </w:r>
    </w:p>
    <w:p w14:paraId="5685058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管理人管理的、且由本基金托管人托管的全部开放式基金（包括开放式基金以及处于开放期的定期开放基金）持有一家上市公司发行的可流通股票，不得超过该上市公司可流通股票的15%；本基金管理人管理的、且由本基金托管人托管的全部投资组合持有一家上市公司发行的可流通股票，不得超过该上市公司可流通股票的30%；</w:t>
      </w:r>
    </w:p>
    <w:p w14:paraId="4833039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（9）本基金主动投资于流动性受限资产的市值合计不得超过本基金资产净值的15%；因证券市场波动、上市公司股票停牌、基金规模变动等基金管理人之外的</w:t>
      </w:r>
      <w:r>
        <w:rPr>
          <w:rFonts w:ascii="宋体" w:hAnsi="宋体"/>
          <w:sz w:val="24"/>
        </w:rPr>
        <w:lastRenderedPageBreak/>
        <w:t>因素致使基金不符合该比例限制的，基金管理人不得主动新增流动性受限资产的投资；</w:t>
      </w:r>
    </w:p>
    <w:p w14:paraId="681D53A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（10）本基金与私募类证券资管产品及中国证监会认定的其他主体为交易对手开展逆回购交易的，可接受质押品的资质要求应当与基金合同约定的投资范围保持一致；</w:t>
      </w:r>
    </w:p>
    <w:p w14:paraId="481F166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（11）本基金投资于同一原始权益人的各类资产支持证券的比例，不得超过基金资产净值的10%；</w:t>
      </w:r>
    </w:p>
    <w:p w14:paraId="6BABDE2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（12）本基金持有的全部资产支持证券，其市值不得超过基金资产净值的20%；</w:t>
      </w:r>
    </w:p>
    <w:p w14:paraId="3B76BC3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（13）本基金持有的同一（指同一信用级别）资产支持证券的比例，不得超过该资产支持证券规模的10%；</w:t>
      </w:r>
    </w:p>
    <w:p w14:paraId="551E497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（14）本基金管理人管理的、且由本基金托管人托管的全部基金投资于同一原始权益人的各类资产支持证券，不得超过其各类资产支持证券合计规模的10%；</w:t>
      </w:r>
    </w:p>
    <w:p w14:paraId="05F6284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（15）本基金应投资于信用级别评级为BBB以上(含BBB)的资产支持证券。基金持有资产支持证券期间，如果其信用等级下降、不再符合投资标准，应在评级报告发布之日起3个月内予以全部卖出；</w:t>
      </w:r>
    </w:p>
    <w:p w14:paraId="4F7362B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（16）基金财产参与股票发行申购，本基金所申报的金额不超过本基金的总资产，本基金所申报的股票数量不超过拟发行股票公司本次发行股票的总量；</w:t>
      </w:r>
    </w:p>
    <w:p w14:paraId="189FC2A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（17）本基金进入全国银行间同业市场进行债券回购的资金余额不得超过基金资产净值的40%，本基金在全国银行间同业市场中的债券回购最长期限为1年，债券回购到期后不得展期；</w:t>
      </w:r>
    </w:p>
    <w:p w14:paraId="43FC54C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（18）本基金参与股指期货交易,则：</w:t>
      </w:r>
    </w:p>
    <w:p w14:paraId="424CCEF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1）本基金在任何交易日日终，持有的买入股指期货合约价值，不得超过基金资产净值的10%；</w:t>
      </w:r>
    </w:p>
    <w:p w14:paraId="17AC21C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在任何交易日日终，持有的买入股指期货合约价值与有价证券市值之和，不得超过基金资产净值的95%。其中，有价证券指股票、债券（不含到期日在一年以内的政府债券）、权证、资产支持证券、买入返售金融资产（不含质押式回购）等；</w:t>
      </w:r>
    </w:p>
    <w:p w14:paraId="4197F56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3）本基金在任何交易日日终，持有的卖出股指期货合约价值不得超过基金持有的股票总市值的20%；</w:t>
      </w:r>
    </w:p>
    <w:p w14:paraId="7DAD654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4）本基金所持有的股票市值和买入、卖出股指期货合约价值，合计（轧差计算）应当符合基金合同关于股票投资比例的有关约定；</w:t>
      </w:r>
    </w:p>
    <w:p w14:paraId="001322D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5）本基金在任何交易日内交易（不包括平仓）的股指期货合约的成交金额不得超过上一交易日基金资产净值的20%；</w:t>
      </w:r>
    </w:p>
    <w:p w14:paraId="792D82F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（19）本基金的基金资产总值不得超过基金资产净值的140%；</w:t>
      </w:r>
    </w:p>
    <w:p w14:paraId="620692F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（20）本基金投资存托凭证的比例限制依照境内上市交易的股票执行；</w:t>
      </w:r>
    </w:p>
    <w:p w14:paraId="3141668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（21）法律法规及中国证监会规定的和《基金合同》约定的其他投资限制。</w:t>
      </w:r>
    </w:p>
    <w:p w14:paraId="350602A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第（2）项、第（9）项、第（10）项、第（15）项以外，因证券、期货市场波动、证券发行人合并或基金规模变动等基金管理人之外的因素致使基金投资比例不符合上述规定投资比例的，基金管理人应当在10个交易日内进行调整，但中国证监会规定的特殊情形除外。法律法规另有规定的，从其规定。</w:t>
      </w:r>
    </w:p>
    <w:p w14:paraId="429FDB4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法律法规或监管部门另有规定的，从其规定。</w:t>
      </w:r>
    </w:p>
    <w:p w14:paraId="09AC88F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上述投资组合限制条款中，若属法律法规或监管部门的强制性规定，则当法律法规或监管部门取消或修改上述限制，如适用于本基金，基金管理人在履行适当程序后，本基金投资所受限制相应调整或取消。</w:t>
      </w:r>
    </w:p>
    <w:p w14:paraId="3B0E3DF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3、基金托管人根据有关法律法规的规定及基金合同的约定，对本协议第十五条第（十一）项基金投资禁止行为进行监督。</w:t>
      </w:r>
    </w:p>
    <w:p w14:paraId="2C6C4AAE"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法律法规有关基金从事的关联交易的规定，基金管理人和基金托管人应事先相互提供与本机构有控股关系的股东或与本机构有其他重大利害关系的公司名单及其更新，并以双方约定的方式提交，确保所提供的关联交易名单的真实性、完整性、全面性。基金管理人有责任保管真实、完整、全面的关联交易名单，并负责及时更新该名单。名单变更后基金管理人应及时发送基金托管人，基金托管人应及时确认已知名单的变更。如果基金托管人在运作中严格遵循了监督流程，基金管理人仍违规进行关联交易，并造成基金资产损失的，由基金管理人承担责任，基金托管人并有权向中国证监会报告。</w:t>
      </w:r>
    </w:p>
    <w:p w14:paraId="5179CB2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基金管理人运用基金财产买卖基金管理人、基金托管人及其控股股东、实际控制人或者与其有重大利害关系的公司发行的证券或者承销期内承销的证券，或者从</w:t>
      </w:r>
      <w:r>
        <w:rPr>
          <w:rFonts w:ascii="宋体" w:hAnsi="宋体"/>
          <w:sz w:val="24"/>
        </w:rPr>
        <w:lastRenderedPageBreak/>
        <w:t>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8737E1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根据有关法律法规的规定及基金合同的约定，对基金管理人参与银行间债券市场进行监督。基金管理人应在基金投资运作之前向基金托管人提供经慎重选择的、本基金适用的银行间债券市场交易对手名单。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2个工作日内与基金托管人协商解决。基金管理人与基金托管人完成确认后，被确认调整的名单开始生效，新名单生效前已与本次剔除的交易对手所进行但尚未结算的交易，仍应按照协议进行结算。基金管理人负责对交易对手的资信控制，按银行间债券市场的交易规则进行交易，基金托管人则根据银行间债券市场成交单对合同履行情况进行监督，但不承担交易对手不履行合同造成的损失。如基金托管人事后发现基金管理人没有按照事先约定的交易对手进行交易时，基金托管人应及时提醒基金管理人，基金托管人不承担由此造成的任何损失和责任。</w:t>
      </w:r>
    </w:p>
    <w:p w14:paraId="11BA34C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5、基金托管人根据有关法律法规的规定及基金合同的约定，对基金管理人投资银行存款进行监督。</w:t>
      </w:r>
    </w:p>
    <w:p w14:paraId="2F87245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基金投资银行存款的，基金管理人应根据法律法规的规定及基金合同的约定，建立投资制度、审慎选择存款银行，做好风险控制；并按照基金托管人的要求配合基金托管人完成相关业务办理。</w:t>
      </w:r>
    </w:p>
    <w:p w14:paraId="6E88D41F" w14:textId="3804D5D0"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6、基金托管人根据有关法律法规的规定及基金合同的约定，对基金资产净值计算、</w:t>
      </w:r>
      <w:r w:rsidR="00DC7944" w:rsidRPr="00DC7944">
        <w:rPr>
          <w:rFonts w:ascii="宋体" w:hAnsi="宋体" w:hint="eastAsia"/>
          <w:sz w:val="24"/>
        </w:rPr>
        <w:t>各类</w:t>
      </w:r>
      <w:r>
        <w:rPr>
          <w:rFonts w:ascii="宋体" w:hAnsi="宋体"/>
          <w:sz w:val="24"/>
        </w:rPr>
        <w:t>基金份额净值计算、应收资金到账、基金费用开支及收入确定、基金收益分配、相关信息披露、基金宣传推介材料中登载基金业绩表现数据等进行监督和核查。</w:t>
      </w:r>
    </w:p>
    <w:p w14:paraId="123E98E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如果基金管理人未经基金托管人的审核擅自将不实的业绩表现数据印制在宣传推介材料上，则基金托管人对此不承担任何责任，并将在发现后立即报告中国证监会。</w:t>
      </w:r>
    </w:p>
    <w:p w14:paraId="067CC8A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7、基金托管人根据有关法律法规的规定及基金合同的约定，对基金投资流通受限证券进行监督。</w:t>
      </w:r>
    </w:p>
    <w:p w14:paraId="7C29CC3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（1）基金投资流通受限证券，应遵守《关于基金投资非公开发行股票等流通受限证券有关问题的通知》等有关法律法规规定。</w:t>
      </w:r>
    </w:p>
    <w:p w14:paraId="6A8C19E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14:paraId="1BCA3DC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首次投资流通受限证券之前，基金管理人应当制定相关投资决策流程、风险控制制度、流动性风险控制预案等规章制度。基金管理人应当根据基金流动性的需要合理安排流通受限证券的投资比例，并在风险控制制度中明确具体比例，避免基金出现流动性风险。上述规章制度须经基金管理人董事会批准。上述规章制度经董事会通过之后，基金管理人应当将上述规章制度以及董事会批准上述规章制度的决议提交给基金托管人。基金托管人据此监督基金管理人的流通受限证券投资行为。</w:t>
      </w:r>
    </w:p>
    <w:p w14:paraId="38B1087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（4）在投资流通受限证券之前，基金管理人应至少提前一个交易日向基金托管人提供有关流通受限证券的相关信息，具体应当包括但不限于如下文件（如有）：</w:t>
      </w:r>
    </w:p>
    <w:p w14:paraId="7A9E526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拟发行数量、定价依据、监管机构的批准证明文件复印件、基金管理人与承销商签订的销售协议复印件、缴款通知书、基金拟认购的数量、价格、总成本、划款账号、划款金额、划款时间文件等。基金管理人应保证上述信息的真实、完整。</w:t>
      </w:r>
    </w:p>
    <w:p w14:paraId="26CD55A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在监督基金管理人投资流通受限证券的过程中，如认为因市场出现剧烈变化导致基金管理人的具体投资行为可能对基金财产造成较大风险，基金托管人有权要求基金管理人对该风险的消除或防范措施进行补充和整改，并做出书面说明。否则，基金托管人经事先书面告知基金管理人，有权拒绝执行其有关指令。因拒绝执行该指令造成基金财产损失的，基金托管人不承担任何责任，并有权报告中国证监会。</w:t>
      </w:r>
    </w:p>
    <w:p w14:paraId="2E5C904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应保证基金投资的流通受限证券登记存管在本基金名下，并保证基金托管人能够正常查询。因基金管理人原因产生的流通受限证券登记存管问题，造成基金财产的损失或基金托管人无法安全保管基金财产的责任与损失，由基</w:t>
      </w:r>
      <w:r>
        <w:rPr>
          <w:rFonts w:ascii="宋体" w:hAnsi="宋体"/>
          <w:sz w:val="24"/>
        </w:rPr>
        <w:lastRenderedPageBreak/>
        <w:t>金管理人承担。</w:t>
      </w:r>
    </w:p>
    <w:p w14:paraId="301904F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如果基金管理人未按照本协议的约定向基金托管人报送相关数据或者报送了虚假的数据，导致基金托管人不能履行托管人职责的，基金管理人应依法承担相应法律后果。除基金托管人未能依据法律法规、基金合同及本协议履行职责外，因投资流通受限证券产生的损失，基金托管人按照本协议履行监督职责后不承担上述损失。</w:t>
      </w:r>
    </w:p>
    <w:p w14:paraId="4AE0182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14:paraId="120C42C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规要求需向中国证监会报送基金监督报告的事项，基金管理人应积极配合提供相关数据资料和制度等。</w:t>
      </w:r>
    </w:p>
    <w:p w14:paraId="7B6A8A4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14:paraId="4146E822"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（三）基金管理人对基金托管人的业务核查</w:t>
      </w:r>
    </w:p>
    <w:p w14:paraId="58443864" w14:textId="5AF09AB2"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对基金托管人履行托管职责情况进行核查，核查事项包括基金托管人安全保管基金财产、开设基金财产的资金账户、证券账户等投资所需账户、协助开立股指期货业务相关账户及交易编码、复核基金管理人计算的基金资产净值</w:t>
      </w:r>
      <w:r>
        <w:rPr>
          <w:rFonts w:ascii="宋体" w:hAnsi="宋体"/>
          <w:sz w:val="24"/>
        </w:rPr>
        <w:lastRenderedPageBreak/>
        <w:t>和</w:t>
      </w:r>
      <w:r w:rsidR="00DC7944" w:rsidRPr="00DC7944">
        <w:rPr>
          <w:rFonts w:ascii="宋体" w:hAnsi="宋体" w:hint="eastAsia"/>
          <w:sz w:val="24"/>
        </w:rPr>
        <w:t>各类</w:t>
      </w:r>
      <w:r>
        <w:rPr>
          <w:rFonts w:ascii="宋体" w:hAnsi="宋体"/>
          <w:sz w:val="24"/>
        </w:rPr>
        <w:t>基金份额净值、根据基金管理人指令办理清算交收、相关信息披露和监督基金投资运作等行为。</w:t>
      </w:r>
    </w:p>
    <w:p w14:paraId="4C343E9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0B517CF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503421B1"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（四）基金财产保管</w:t>
      </w:r>
    </w:p>
    <w:p w14:paraId="7AFD56D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1、基金财产保管的原则</w:t>
      </w:r>
    </w:p>
    <w:p w14:paraId="63F98A9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（1）基金财产应独立于基金管理人、基金托管人的固有财产。</w:t>
      </w:r>
    </w:p>
    <w:p w14:paraId="7747837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（2）基金托管人应安全保管基金财产。未经基金管理人依据合法程序作出的合法合规指令，基金托管人不得自行运用、处分、分配基金的任何财产。</w:t>
      </w:r>
    </w:p>
    <w:p w14:paraId="0D8B9C0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（3）基金托管人按照规定开设基金财产的资金账户、证券账户等投资所需账户、协助开立股指期货业务相关账户及交易编码。</w:t>
      </w:r>
    </w:p>
    <w:p w14:paraId="3FECFE0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（4）基金托管人对所托管的不同基金财产分别设置账户，与基金托管人的其他业务和其他基金的托管业务实行严格的分账管理，确保基金财产的完整与独立。</w:t>
      </w:r>
    </w:p>
    <w:p w14:paraId="01DA0B5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（5）基金托管人根据基金管理人的指令，按照基金合同和本协议的约定保管基金财产，如有特殊情况双方可另行协商解决。</w:t>
      </w:r>
    </w:p>
    <w:p w14:paraId="24F1D64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对于因为基金申购、投资产生的应收资产，应由基金管理人负责与有关当事人确定到账日期并通知基金托管人，到账日基金财产没有到达基金账户的，基金托管人应及时通知基金管理人采取措施进行催收。由此给基金财产造成损失的，</w:t>
      </w:r>
      <w:r>
        <w:rPr>
          <w:rFonts w:ascii="宋体" w:hAnsi="宋体"/>
          <w:sz w:val="24"/>
        </w:rPr>
        <w:lastRenderedPageBreak/>
        <w:t>基金托管人对此不承担任何责任。</w:t>
      </w:r>
    </w:p>
    <w:p w14:paraId="6CB7560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（7）除依据法律法规和基金合同的规定外，基金托管人不得委托第三人托管基金财产。</w:t>
      </w:r>
    </w:p>
    <w:p w14:paraId="506C971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2、基金募集期间及募集资金的验资</w:t>
      </w:r>
    </w:p>
    <w:p w14:paraId="70ED6F6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（1）基金募集期间的认购款项应存于专用账户。该账户由基金管理人或基金管理人委托的登记机构开立并管理。</w:t>
      </w:r>
    </w:p>
    <w:p w14:paraId="5FD87E2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募集期满或基金停止募集时，募集的基金份额总额、基金募集金额、基金份额持有人人数符合《基金法》、《运作办法》等有关规定后，基金管理人应将募集到的属于基金财产的全部资金划入基金托管人为本基金开立的基金托管资金账户，同时在规定时间内，聘请具有从事证券相关业务资格的会计师事务所进行验资，出具验资报告。出具的验资报告由参加验资的2名或2名以上中国注册会计师签字方为有效。</w:t>
      </w:r>
    </w:p>
    <w:p w14:paraId="0F6CFBE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（3）若基金募集期限届满，未能达到基金备案的条件，由基金管理人按规定办理退款等事宜，基金托管人应提供充分协助。</w:t>
      </w:r>
    </w:p>
    <w:p w14:paraId="6307D2C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3、基金资金账户的开立和管理</w:t>
      </w:r>
    </w:p>
    <w:p w14:paraId="3E2E400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（1）基金托管人应负责本基金的资金账户的开设和管理。</w:t>
      </w:r>
    </w:p>
    <w:p w14:paraId="0F5A888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应以本基金的名义在其营业机构开设本基金的资金账户，并根据基金管理人合法合规的指令办理资金收付。本基金的银行预留印鉴由基金托管人保管和使用。本基金的一切货币收支活动，包括但不限于投资、支付赎回金额、支付基金收益、收取申购款，均需通过本基金的资金账户进行。</w:t>
      </w:r>
    </w:p>
    <w:p w14:paraId="1F33BFC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（3）基金托管资金账户的开立和使用，限于满足开展本基金业务的需要。基金托管人和基金管理人不得假借本基金的名义开立任何其他银行账户；亦不得使用基金的任何账户进行本基金业务以外的活动。</w:t>
      </w:r>
    </w:p>
    <w:p w14:paraId="1F50823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（4）基金托管资金账户的开立和管理应符合相关法律法规的有关规定。</w:t>
      </w:r>
    </w:p>
    <w:p w14:paraId="6E9F704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（5）在符合法律法规规定的条件下，基金托管人可以通过基金托管人专用账户办理基金资产的支付。</w:t>
      </w:r>
    </w:p>
    <w:p w14:paraId="75A37C3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4、基金证券账户和结算备付金账户的开立和管理</w:t>
      </w:r>
    </w:p>
    <w:p w14:paraId="1BE1C9D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（1）基金托管人在中国证券登记结算有限责任公司上海分公司、深圳分公司为本基金开立基金托管人与基金联名的证券账户。</w:t>
      </w:r>
    </w:p>
    <w:p w14:paraId="4009E27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（2）基金证券账户的开立和使用，限于满足开展本基金业务的需要。基金托</w:t>
      </w:r>
      <w:r>
        <w:rPr>
          <w:rFonts w:ascii="宋体" w:hAnsi="宋体"/>
          <w:sz w:val="24"/>
        </w:rPr>
        <w:lastRenderedPageBreak/>
        <w:t>管人和基金管理人不得出借或未经对方同意擅自转让基金的任何证券账户，亦不得使用基金的任何账户进行本基金业务以外的活动。</w:t>
      </w:r>
    </w:p>
    <w:p w14:paraId="5641345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以自身法人名义在中国证券登记结算有限责任公司开立结算备付金账户，并代表所托管的基金完成与中国证券登记结算有限责任公司的一级法人清算工作，基金管理人应予以积极协助。结算备付金的收取按照中国证券登记结算有限责任公司的规定执行。</w:t>
      </w:r>
    </w:p>
    <w:p w14:paraId="1E81A9E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（4）基金证券账户的开立和证券账户卡的保管由基金托管人负责，账户资产的管理和运用由基金管理人负责。</w:t>
      </w:r>
    </w:p>
    <w:p w14:paraId="6F60A50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在本托管协议生效日之后，本基金被允许从事其他投资品种的投资业务，涉及相关账户的开设、使用的，按有关规定开设、使用并管理；若无相关规定，则基金托管人应当比照并遵守上述关于账户开设、使用的规定。</w:t>
      </w:r>
    </w:p>
    <w:p w14:paraId="69A8567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5、债券托管专户的开设和管理</w:t>
      </w:r>
    </w:p>
    <w:p w14:paraId="7A09C10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基金托管人根据中国人民银行、中央国债登记结算有限责任公司的有关规定，以本基金的名义在中央国债登记结算有限责任公司、银行间市场清算所股份有限公司开立债券托管与结算账户，并代表基金进行银行间市场债券的结算。基金管理人和基金托管人同时代表基金签订全国银行间债券市场债券回购主协议。</w:t>
      </w:r>
    </w:p>
    <w:p w14:paraId="633E694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6、其他账户的开立和管理</w:t>
      </w:r>
    </w:p>
    <w:p w14:paraId="6C58C27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（1）因业务发展需要而开立的其他账户，可以根据法律法规和基金合同的规定，在基金管理人和基金托管人商议后开立。新账户按有关规则使用并管理。</w:t>
      </w:r>
    </w:p>
    <w:p w14:paraId="2428757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（2）法律法规等有关规定对相关账户的开立和管理另有规定的，从其规定办理。</w:t>
      </w:r>
    </w:p>
    <w:p w14:paraId="3F2F3F5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7、基金财产投资的有关有价凭证等的保管</w:t>
      </w:r>
    </w:p>
    <w:p w14:paraId="129E59D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投资的有关实物证券、银行定期存款存单等有价凭证由基金托管人负责妥善保管，保管凭证由基金托管人持有。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不承担保管责任。</w:t>
      </w:r>
    </w:p>
    <w:p w14:paraId="5FE8F6B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8、与基金财产有关的重大合同的保管</w:t>
      </w:r>
    </w:p>
    <w:p w14:paraId="074D255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由基金管理人代表基金签署的、与基金有关的重大合同的原件分别由基金管理</w:t>
      </w:r>
      <w:r>
        <w:rPr>
          <w:rFonts w:ascii="宋体" w:hAnsi="宋体"/>
          <w:sz w:val="24"/>
        </w:rPr>
        <w:lastRenderedPageBreak/>
        <w:t>人、基金托管人保管。除协议另有规定外，基金管理人在代表基金签署与基金有关的重大合同时应保证基金一方持有两份以上的正本，以便基金管理人和基金托管人至少各持有一份正本的原件。重大合同的保管期限为基金合同终止后15年。</w:t>
      </w:r>
    </w:p>
    <w:p w14:paraId="359D6AAB"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（五）基金资产净值计算与复核</w:t>
      </w:r>
    </w:p>
    <w:p w14:paraId="7311FE9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1、基金资产净值</w:t>
      </w:r>
    </w:p>
    <w:p w14:paraId="1460798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基金资产净值是指基金资产总值减去基金负债后的价值。</w:t>
      </w:r>
    </w:p>
    <w:p w14:paraId="54227945" w14:textId="6430DA41" w:rsidR="001430E9" w:rsidRDefault="00DC7944">
      <w:pPr>
        <w:autoSpaceDE w:val="0"/>
        <w:autoSpaceDN w:val="0"/>
        <w:adjustRightInd w:val="0"/>
        <w:snapToGrid w:val="0"/>
        <w:spacing w:line="360" w:lineRule="auto"/>
        <w:ind w:firstLineChars="200" w:firstLine="480"/>
        <w:jc w:val="left"/>
        <w:rPr>
          <w:rFonts w:ascii="宋体" w:hAnsi="宋体"/>
          <w:szCs w:val="24"/>
        </w:rPr>
      </w:pPr>
      <w:r w:rsidRPr="00B33E53">
        <w:rPr>
          <w:rFonts w:ascii="宋体" w:hAnsi="宋体" w:hint="eastAsia"/>
          <w:sz w:val="24"/>
        </w:rPr>
        <w:t>各类基金份额的</w:t>
      </w:r>
      <w:r w:rsidR="00C86CDB">
        <w:rPr>
          <w:rFonts w:ascii="宋体" w:hAnsi="宋体"/>
          <w:sz w:val="24"/>
        </w:rPr>
        <w:t>基金份额净值是指计算日</w:t>
      </w:r>
      <w:r w:rsidRPr="00B33E53">
        <w:rPr>
          <w:rFonts w:ascii="宋体" w:hAnsi="宋体" w:hint="eastAsia"/>
          <w:sz w:val="24"/>
        </w:rPr>
        <w:t>该类基金份额的</w:t>
      </w:r>
      <w:r w:rsidR="00C86CDB">
        <w:rPr>
          <w:rFonts w:ascii="宋体" w:hAnsi="宋体"/>
          <w:sz w:val="24"/>
        </w:rPr>
        <w:t>基金资产净值除以计算日</w:t>
      </w:r>
      <w:r w:rsidRPr="00B33E53">
        <w:rPr>
          <w:rFonts w:ascii="宋体" w:hAnsi="宋体" w:hint="eastAsia"/>
          <w:sz w:val="24"/>
        </w:rPr>
        <w:t>该类</w:t>
      </w:r>
      <w:r w:rsidR="00C86CDB">
        <w:rPr>
          <w:rFonts w:ascii="宋体" w:hAnsi="宋体"/>
          <w:sz w:val="24"/>
        </w:rPr>
        <w:t>基金份额总数后得到的数值。</w:t>
      </w:r>
      <w:r w:rsidRPr="00B33E53">
        <w:rPr>
          <w:rFonts w:ascii="宋体" w:hAnsi="宋体" w:hint="eastAsia"/>
          <w:sz w:val="24"/>
        </w:rPr>
        <w:t>各类基金份额的</w:t>
      </w:r>
      <w:r w:rsidR="00C86CDB">
        <w:rPr>
          <w:rFonts w:ascii="宋体" w:hAnsi="宋体"/>
          <w:sz w:val="24"/>
        </w:rPr>
        <w:t>基金份额净值的计算，</w:t>
      </w:r>
      <w:r>
        <w:rPr>
          <w:rFonts w:ascii="宋体" w:hAnsi="宋体" w:hint="eastAsia"/>
          <w:sz w:val="24"/>
        </w:rPr>
        <w:t>均</w:t>
      </w:r>
      <w:r w:rsidR="00C86CDB">
        <w:rPr>
          <w:rFonts w:ascii="宋体" w:hAnsi="宋体"/>
          <w:sz w:val="24"/>
        </w:rPr>
        <w:t>精确到0.0001元，小数点后第五位四舍五入，由此产生的误差计入基金财产。国家另有规定的，从其规定。</w:t>
      </w:r>
    </w:p>
    <w:p w14:paraId="49932E5F" w14:textId="42264C4F"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基金管理人于每工作日计算</w:t>
      </w:r>
      <w:r w:rsidR="00DC7944" w:rsidRPr="002641B4">
        <w:rPr>
          <w:rFonts w:ascii="宋体" w:hAnsi="宋体" w:hint="eastAsia"/>
          <w:sz w:val="24"/>
        </w:rPr>
        <w:t>各类基金份额的</w:t>
      </w:r>
      <w:r>
        <w:rPr>
          <w:rFonts w:ascii="宋体" w:hAnsi="宋体"/>
          <w:sz w:val="24"/>
        </w:rPr>
        <w:t>基金资产净值及基金份额净值，并按规定公告，如遇特殊情况，经中国证监会同意，可以适当延迟计算或公告。</w:t>
      </w:r>
    </w:p>
    <w:p w14:paraId="2E66D85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2、复核程序</w:t>
      </w:r>
    </w:p>
    <w:p w14:paraId="3A8655AD" w14:textId="1B95C108"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基金管理人每工作日对基金资产进行估值后，将</w:t>
      </w:r>
      <w:r w:rsidR="00DC7944" w:rsidRPr="002641B4">
        <w:rPr>
          <w:rFonts w:ascii="宋体" w:hAnsi="宋体" w:hint="eastAsia"/>
          <w:sz w:val="24"/>
        </w:rPr>
        <w:t>各类</w:t>
      </w:r>
      <w:r>
        <w:rPr>
          <w:rFonts w:ascii="宋体" w:hAnsi="宋体"/>
          <w:sz w:val="24"/>
        </w:rPr>
        <w:t>基金份额净值结果发送基金托管人，经基金托管人复核无误后，由基金管理人依据基金合同和相关法律法规的规定对外公布。月末、年中和年末估值复核与基金会计账目的核对同时进行。</w:t>
      </w:r>
    </w:p>
    <w:p w14:paraId="4E91A00B"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（六）基金份额持有人名册的登记与保管</w:t>
      </w:r>
    </w:p>
    <w:p w14:paraId="43B5A9C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基金管理人和基金托管人须分别妥善保管的基金份额持有人名册，包括基金合同生效日、基金合同终止日、基金权益登记日、基金份额持有人大会权益登记日、每年6月30日、12月31日的基金份额持有人名册。基金份额持有人名册的内容至少应包括持有人的名称和持有的基金份额。</w:t>
      </w:r>
    </w:p>
    <w:p w14:paraId="2B3FF53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名册由登记机构编制，由基金管理人审核并提交基金托管人保管。基金托管人有权要求基金管理人提供任意一个交易日或全部交易日的基金份额持有人名册，基金管理人应及时提供，不得拖延或拒绝提供。</w:t>
      </w:r>
    </w:p>
    <w:p w14:paraId="4FAF0D5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及时向基金托管人提交基金份额持有人名册。每年6月30日和12月31日的基金份额持有人名册应于下月前十个工作日内提交；基金合同生效日、基金合同终止日等涉及到基金重要事项日期的基金份额持有人名册应于发生日后十个工作日内提交。</w:t>
      </w:r>
    </w:p>
    <w:p w14:paraId="09A035C0"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基金管理人和基金托管人应妥善保管基金份额持有人名册，保存期限为15年。基金托管人不得将所保管的基金份额持有人名册用于基金托管业务以外的其他用</w:t>
      </w:r>
      <w:r>
        <w:rPr>
          <w:rFonts w:ascii="宋体" w:hAnsi="宋体"/>
          <w:sz w:val="24"/>
        </w:rPr>
        <w:lastRenderedPageBreak/>
        <w:t>途，并应遵守保密义务。若基金管理人或基金托管人由于自身原因无法妥善保管基金份额持有人名册，应按有关法规规定各自承担相应的责任。</w:t>
      </w:r>
    </w:p>
    <w:p w14:paraId="623ACA7C"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（七）争议解决方式</w:t>
      </w:r>
    </w:p>
    <w:p w14:paraId="0476D8A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由败诉方承担。</w:t>
      </w:r>
    </w:p>
    <w:p w14:paraId="5E6358AF"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争议处理期间，双方当事人应恪守基金管理人和基金托管人职责，各自继续忠实、勤勉、尽责地履行基金合同和本托管协议规定的义务，维护基金份额持有人的合法权益。</w:t>
      </w:r>
    </w:p>
    <w:p w14:paraId="244E2AB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本协议适用中华人民共和国法律并从其解释。</w:t>
      </w:r>
    </w:p>
    <w:p w14:paraId="65CA3D1F"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（八）托管协议的变更与终止</w:t>
      </w:r>
    </w:p>
    <w:p w14:paraId="1A97AB6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1、托管协议的变更程序</w:t>
      </w:r>
    </w:p>
    <w:p w14:paraId="4797396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本协议双方当事人经协商一致，可以对协议进行修改。修改后的新协议，其内容不得与基金合同的规定有任何冲突。基金托管协议的变更应报中国证监会备案。</w:t>
      </w:r>
    </w:p>
    <w:p w14:paraId="0F82EE7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2、基金托管协议终止的情形</w:t>
      </w:r>
    </w:p>
    <w:p w14:paraId="2D039D0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w:t>
      </w:r>
    </w:p>
    <w:p w14:paraId="7EAC062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（2）基金托管人解散、依法被撤销、破产或由其他基金托管人接管基金资产；</w:t>
      </w:r>
    </w:p>
    <w:p w14:paraId="28752CF6"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（3）基金管理人解散、依法被撤销、破产或由其他基金管理人接管基金管理权；</w:t>
      </w:r>
    </w:p>
    <w:p w14:paraId="324A99B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（4）发生法律法规、中国证监会或基金合同规定的其他终止事项。</w:t>
      </w:r>
    </w:p>
    <w:p w14:paraId="72F875E5" w14:textId="77777777" w:rsidR="00435AFE" w:rsidRDefault="00C86CDB" w:rsidP="00435AFE">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40CFBFA9" w14:textId="218DA9B2" w:rsidR="001430E9" w:rsidRDefault="00C86CDB">
      <w:pPr>
        <w:pStyle w:val="1"/>
        <w:snapToGrid w:val="0"/>
        <w:spacing w:beforeLines="0" w:before="240" w:after="240"/>
        <w:rPr>
          <w:rFonts w:ascii="宋体" w:hAnsi="宋体"/>
          <w:szCs w:val="30"/>
        </w:rPr>
      </w:pPr>
      <w:bookmarkStart w:id="27" w:name="_Toc137828504"/>
      <w:bookmarkEnd w:id="25"/>
      <w:r>
        <w:rPr>
          <w:rFonts w:ascii="Times New Roman" w:hAnsi="Times New Roman"/>
          <w:sz w:val="30"/>
        </w:rPr>
        <w:lastRenderedPageBreak/>
        <w:t>二十</w:t>
      </w:r>
      <w:r w:rsidR="00B37F03">
        <w:rPr>
          <w:rFonts w:ascii="Times New Roman" w:hAnsi="Times New Roman" w:hint="eastAsia"/>
          <w:sz w:val="30"/>
        </w:rPr>
        <w:t>三</w:t>
      </w:r>
      <w:r>
        <w:rPr>
          <w:rFonts w:ascii="Times New Roman" w:hAnsi="Times New Roman"/>
          <w:sz w:val="30"/>
        </w:rPr>
        <w:t>、对基金份额持有人的服务</w:t>
      </w:r>
      <w:bookmarkEnd w:id="27"/>
    </w:p>
    <w:p w14:paraId="7CF89EC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基金管理人承诺为基金份额持有人提供一系列的服务。基金管理人根据基金份额持有人的需要和市场的变化，有权增加或变更服务项目。主要服务内容如下：</w:t>
      </w:r>
    </w:p>
    <w:p w14:paraId="68EFC661"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（一）持有人交易资料的寄送服务</w:t>
      </w:r>
    </w:p>
    <w:p w14:paraId="519A56C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1、基金合同生效后的每次交易结束后，投资人可在T+2个工作日后通过销售机构的网点查询和打印确认单；</w:t>
      </w:r>
    </w:p>
    <w:p w14:paraId="28FFB41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2、本基金管理人将向持有人提供电子或纸质对账单，需要订阅或取消的客户可与本基金管理人客户服务中心（400-700-5000，021-61055000）联系。</w:t>
      </w:r>
    </w:p>
    <w:p w14:paraId="74AD6944"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（二）网上直销服务</w:t>
      </w:r>
    </w:p>
    <w:p w14:paraId="3BAC4067" w14:textId="2C878238"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本基金管理人已开通基金网上直销业务，个人投资者可以直接通过本基金管理人网站的网上直销交易平台办理开户和本基金前端</w:t>
      </w:r>
      <w:r w:rsidR="00DC7944" w:rsidRPr="00DC7944">
        <w:rPr>
          <w:rFonts w:ascii="宋体" w:hAnsi="宋体" w:hint="eastAsia"/>
          <w:sz w:val="24"/>
        </w:rPr>
        <w:t>A类</w:t>
      </w:r>
      <w:r>
        <w:rPr>
          <w:rFonts w:ascii="宋体" w:hAnsi="宋体"/>
          <w:sz w:val="24"/>
        </w:rPr>
        <w:t>基金份额</w:t>
      </w:r>
      <w:r w:rsidR="00DC7944" w:rsidRPr="00DC7944">
        <w:rPr>
          <w:rFonts w:ascii="宋体" w:hAnsi="宋体" w:hint="eastAsia"/>
          <w:sz w:val="24"/>
        </w:rPr>
        <w:t>和C类基金份额</w:t>
      </w:r>
      <w:r>
        <w:rPr>
          <w:rFonts w:ascii="宋体" w:hAnsi="宋体"/>
          <w:sz w:val="24"/>
        </w:rPr>
        <w:t>的申购、赎回、定期定额投资和转换等业务。本公司暂不开展网上直销后端基金份额的认/申购业务，通过转托管转入网上直销账户的后端收费模式的基金份额只能办理赎回业务。通过网上直销交易平台办理本基金前端</w:t>
      </w:r>
      <w:r w:rsidR="00DC7944" w:rsidRPr="00DC7944">
        <w:rPr>
          <w:rFonts w:ascii="宋体" w:hAnsi="宋体" w:hint="eastAsia"/>
          <w:sz w:val="24"/>
        </w:rPr>
        <w:t>A类基金份额</w:t>
      </w:r>
      <w:r>
        <w:rPr>
          <w:rFonts w:ascii="宋体" w:hAnsi="宋体"/>
          <w:sz w:val="24"/>
        </w:rPr>
        <w:t>申购和定期定额投资业务的个人投资者将享受前端申购费率的优惠，通过网上直销交易平台进行基金转换，从各基金招募说明书所载的零申购费率的基金转换入非零申购费率的基金，转出与转入基金的前端申购补差费率将享受优惠，其他费率标准不变。具体优惠费率请参见公司网站列示的网上直销交易平台申购、定期定额投资及转换费率表或相关公告。</w:t>
      </w:r>
    </w:p>
    <w:p w14:paraId="5A2F7C1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基金网上直销交易平台已开通的银行卡及各银行卡交易金额限额请参阅本基金管理人网站。</w:t>
      </w:r>
    </w:p>
    <w:p w14:paraId="6AB7916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在条件成熟的时候，本基金管理人将根据基金网上直销业务的发展状况，适时调整可用于网上直销交易平台的银行卡种类，敬请投资人留意相关公告。</w:t>
      </w:r>
    </w:p>
    <w:p w14:paraId="1F523EF1"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（三）信息咨询、查询服务</w:t>
      </w:r>
    </w:p>
    <w:p w14:paraId="3145563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如果想查询申购和赎回等交易情况、分红方式状态、基金账户余额、基金产品与服务等信息，请拨打本基金管理人客户服务电话（400-700-5000，021-61055000）或登录本基金管理人网站（www.fund001.com）进行咨询、查询。</w:t>
      </w:r>
    </w:p>
    <w:p w14:paraId="4C08DAA3"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本基金管理人为投资人预设基金查询密码，预设的基金查询密码为投资人开户证件号码的后6位数字，不足6位数字的，前面加“0”补足。基金查询密码用于投</w:t>
      </w:r>
      <w:r>
        <w:rPr>
          <w:rFonts w:ascii="宋体" w:hAnsi="宋体"/>
          <w:sz w:val="24"/>
        </w:rPr>
        <w:lastRenderedPageBreak/>
        <w:t>资人通过客户服务电话查询基金账户下的账户和交易信息。投资人请在其知晓基金账号后，及时拨打本基金管理人客户服务电话修改基金查询密码。</w:t>
      </w:r>
    </w:p>
    <w:p w14:paraId="0AB87F9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投资人可以拨打本基金管理人客户服务电话投诉直销机构的人员和服务。</w:t>
      </w:r>
    </w:p>
    <w:p w14:paraId="6302F481"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（四）基金转换业务</w:t>
      </w:r>
    </w:p>
    <w:p w14:paraId="036AEB5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本基金已开通转换业务，具体实施方法请参见相关公告。</w:t>
      </w:r>
    </w:p>
    <w:p w14:paraId="37D3CA84"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（五）定期定额投资计划</w:t>
      </w:r>
    </w:p>
    <w:p w14:paraId="530CF63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本基金已开通定期定额投资计划，具体实施方法请参见相关公告。</w:t>
      </w:r>
    </w:p>
    <w:p w14:paraId="334F0BD4"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服务联系方式：</w:t>
      </w:r>
    </w:p>
    <w:p w14:paraId="7A85880C"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本基金管理人的互联网地址及电子信箱</w:t>
      </w:r>
    </w:p>
    <w:p w14:paraId="6FC131D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14:paraId="61A2CEB7"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电子信箱：services@jysld.com</w:t>
      </w:r>
    </w:p>
    <w:p w14:paraId="3DE11DD2"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投资者也可登录本基金管理人网站，直接提出有关本基金的问题和建议。</w:t>
      </w:r>
    </w:p>
    <w:p w14:paraId="0041C4E1" w14:textId="77777777" w:rsidR="001430E9" w:rsidRDefault="00C86CDB">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（六）如本招募说明书存在任何您/贵机构无法理解的内容，请通过上述方式联系基金管理人。请确保投资前，您/贵机构已经全面理解了本招募说明书。</w:t>
      </w:r>
    </w:p>
    <w:p w14:paraId="762A9911" w14:textId="77777777" w:rsidR="00435AFE" w:rsidRDefault="00C86CDB" w:rsidP="00435AFE">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5B3F1D42" w14:textId="332D3072" w:rsidR="001430E9" w:rsidRDefault="00C86CDB">
      <w:pPr>
        <w:pStyle w:val="1"/>
        <w:snapToGrid w:val="0"/>
        <w:spacing w:beforeLines="0" w:before="240" w:after="240"/>
        <w:rPr>
          <w:rFonts w:ascii="宋体" w:hAnsi="宋体"/>
          <w:szCs w:val="30"/>
        </w:rPr>
      </w:pPr>
      <w:bookmarkStart w:id="28" w:name="_Toc137828505"/>
      <w:r>
        <w:rPr>
          <w:rFonts w:ascii="Times New Roman" w:hAnsi="Times New Roman"/>
          <w:sz w:val="30"/>
        </w:rPr>
        <w:lastRenderedPageBreak/>
        <w:t>二十</w:t>
      </w:r>
      <w:r w:rsidR="00B37F03">
        <w:rPr>
          <w:rFonts w:ascii="Times New Roman" w:hAnsi="Times New Roman" w:hint="eastAsia"/>
          <w:sz w:val="30"/>
        </w:rPr>
        <w:t>四</w:t>
      </w:r>
      <w:r>
        <w:rPr>
          <w:rFonts w:ascii="Times New Roman" w:hAnsi="Times New Roman"/>
          <w:sz w:val="30"/>
        </w:rPr>
        <w:t>、其他应披露事项</w:t>
      </w:r>
      <w:bookmarkEnd w:id="28"/>
    </w:p>
    <w:p w14:paraId="1F524D6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基金合同如有未尽事宜，由基金合同当事人各方按有关法律法规协商解决。</w:t>
      </w:r>
    </w:p>
    <w:p w14:paraId="33708638"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本招募说明书更新期间基金披露的其他重要事项</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1430E9" w14:paraId="3A1CD066"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ED9DA59"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vAlign w:val="center"/>
          </w:tcPr>
          <w:p w14:paraId="069A7788"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公告事项</w:t>
            </w:r>
          </w:p>
        </w:tc>
        <w:tc>
          <w:tcPr>
            <w:tcW w:w="750" w:type="pct"/>
            <w:tcBorders>
              <w:top w:val="single" w:sz="4" w:space="0" w:color="auto"/>
              <w:left w:val="single" w:sz="4" w:space="0" w:color="auto"/>
              <w:bottom w:val="single" w:sz="4" w:space="0" w:color="auto"/>
              <w:right w:val="single" w:sz="4" w:space="0" w:color="auto"/>
            </w:tcBorders>
            <w:vAlign w:val="center"/>
          </w:tcPr>
          <w:p w14:paraId="6EE83ECC"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法定披露方式</w:t>
            </w:r>
          </w:p>
        </w:tc>
        <w:tc>
          <w:tcPr>
            <w:tcW w:w="400" w:type="pct"/>
            <w:tcBorders>
              <w:top w:val="single" w:sz="4" w:space="0" w:color="auto"/>
              <w:left w:val="single" w:sz="4" w:space="0" w:color="auto"/>
              <w:bottom w:val="single" w:sz="4" w:space="0" w:color="auto"/>
              <w:right w:val="single" w:sz="4" w:space="0" w:color="auto"/>
            </w:tcBorders>
            <w:vAlign w:val="center"/>
          </w:tcPr>
          <w:p w14:paraId="5EBE0042"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法定披露日期</w:t>
            </w:r>
          </w:p>
        </w:tc>
      </w:tr>
      <w:tr w:rsidR="001430E9" w14:paraId="6BC2662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7E73AC85"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14:paraId="36AE77DB"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交银施罗德核心资产混合型证券投资基金</w:t>
            </w:r>
            <w:r>
              <w:rPr>
                <w:rFonts w:ascii="Times New Roman" w:hAnsi="Times New Roman"/>
                <w:color w:val="000000"/>
                <w:kern w:val="0"/>
                <w:sz w:val="25"/>
                <w:szCs w:val="24"/>
              </w:rPr>
              <w:t>(</w:t>
            </w:r>
            <w:r>
              <w:rPr>
                <w:rFonts w:ascii="Times New Roman" w:hAnsi="Times New Roman"/>
                <w:color w:val="000000"/>
                <w:kern w:val="0"/>
                <w:sz w:val="25"/>
                <w:szCs w:val="24"/>
              </w:rPr>
              <w:t>更新</w:t>
            </w:r>
            <w:r>
              <w:rPr>
                <w:rFonts w:ascii="Times New Roman" w:hAnsi="Times New Roman"/>
                <w:color w:val="000000"/>
                <w:kern w:val="0"/>
                <w:sz w:val="25"/>
                <w:szCs w:val="24"/>
              </w:rPr>
              <w:t>)</w:t>
            </w:r>
            <w:r>
              <w:rPr>
                <w:rFonts w:ascii="Times New Roman" w:hAnsi="Times New Roman"/>
                <w:color w:val="000000"/>
                <w:kern w:val="0"/>
                <w:sz w:val="25"/>
                <w:szCs w:val="24"/>
              </w:rPr>
              <w:t>招募说明书</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5E38EB0B"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489DE0B5"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2022-06-24</w:t>
            </w:r>
          </w:p>
        </w:tc>
      </w:tr>
      <w:tr w:rsidR="001430E9" w14:paraId="61190F69"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BD6D82B"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14:paraId="1C2F9B00"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交银施罗德核心资产混合型证券投资基金基金产品资料概要更新</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14:paraId="695A1D5F"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4125C590"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2022-06-24</w:t>
            </w:r>
          </w:p>
        </w:tc>
      </w:tr>
      <w:tr w:rsidR="001430E9" w14:paraId="4F1186C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97110C7"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14:paraId="219D6FC5"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交银施罗德核心资产混合型证券投资基金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2</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14:paraId="2FD5AB5D"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331BDD9C"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2022-07-20</w:t>
            </w:r>
          </w:p>
        </w:tc>
      </w:tr>
      <w:tr w:rsidR="001430E9" w14:paraId="730DB2ED"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E6D8492"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14:paraId="7A83B8EA"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交银施罗德基金管理有限公司关于高级管理人员变更的公告</w:t>
            </w:r>
          </w:p>
        </w:tc>
        <w:tc>
          <w:tcPr>
            <w:tcW w:w="750" w:type="pct"/>
            <w:tcBorders>
              <w:top w:val="single" w:sz="4" w:space="0" w:color="auto"/>
              <w:left w:val="single" w:sz="4" w:space="0" w:color="auto"/>
              <w:bottom w:val="single" w:sz="4" w:space="0" w:color="auto"/>
              <w:right w:val="single" w:sz="4" w:space="0" w:color="auto"/>
            </w:tcBorders>
            <w:vAlign w:val="center"/>
          </w:tcPr>
          <w:p w14:paraId="2A59EE28"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571245D4"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2022-07-30</w:t>
            </w:r>
          </w:p>
        </w:tc>
      </w:tr>
      <w:tr w:rsidR="001430E9" w14:paraId="19FCE7E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6F9610ED"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14:paraId="6B14446A"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交银施罗德基金管理有限公司关于增加中信建投证券股份有限公司为旗下基金销售机构的公告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03917B24"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7F2DC574"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2022-08-04</w:t>
            </w:r>
          </w:p>
        </w:tc>
      </w:tr>
      <w:tr w:rsidR="001430E9" w14:paraId="35318F8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6587C95"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14:paraId="5BB00B70"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交银施罗德核心资产混合型证券投资基金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年中期报告</w:t>
            </w:r>
          </w:p>
        </w:tc>
        <w:tc>
          <w:tcPr>
            <w:tcW w:w="750" w:type="pct"/>
            <w:tcBorders>
              <w:top w:val="single" w:sz="4" w:space="0" w:color="auto"/>
              <w:left w:val="single" w:sz="4" w:space="0" w:color="auto"/>
              <w:bottom w:val="single" w:sz="4" w:space="0" w:color="auto"/>
              <w:right w:val="single" w:sz="4" w:space="0" w:color="auto"/>
            </w:tcBorders>
            <w:vAlign w:val="center"/>
          </w:tcPr>
          <w:p w14:paraId="0BB3A115"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05374A7F"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2022-08-30</w:t>
            </w:r>
          </w:p>
        </w:tc>
      </w:tr>
      <w:tr w:rsidR="001430E9" w14:paraId="5EA70904"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95BFA05"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14:paraId="689372B2"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交银施罗德基金管理有限公司关于调整直销中心柜台投资者最低认申购金额限制的公告</w:t>
            </w:r>
          </w:p>
        </w:tc>
        <w:tc>
          <w:tcPr>
            <w:tcW w:w="750" w:type="pct"/>
            <w:tcBorders>
              <w:top w:val="single" w:sz="4" w:space="0" w:color="auto"/>
              <w:left w:val="single" w:sz="4" w:space="0" w:color="auto"/>
              <w:bottom w:val="single" w:sz="4" w:space="0" w:color="auto"/>
              <w:right w:val="single" w:sz="4" w:space="0" w:color="auto"/>
            </w:tcBorders>
            <w:vAlign w:val="center"/>
          </w:tcPr>
          <w:p w14:paraId="7BA4118B"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6041FD80"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2022-09-03</w:t>
            </w:r>
          </w:p>
        </w:tc>
      </w:tr>
      <w:tr w:rsidR="001430E9" w14:paraId="1581DCFC"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4911BF69"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14:paraId="48E8FAA2"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交银施罗德基金管理有限公司关于固有资金拟购买旗下偏股型基金的公告</w:t>
            </w:r>
          </w:p>
        </w:tc>
        <w:tc>
          <w:tcPr>
            <w:tcW w:w="750" w:type="pct"/>
            <w:tcBorders>
              <w:top w:val="single" w:sz="4" w:space="0" w:color="auto"/>
              <w:left w:val="single" w:sz="4" w:space="0" w:color="auto"/>
              <w:bottom w:val="single" w:sz="4" w:space="0" w:color="auto"/>
              <w:right w:val="single" w:sz="4" w:space="0" w:color="auto"/>
            </w:tcBorders>
            <w:vAlign w:val="center"/>
          </w:tcPr>
          <w:p w14:paraId="2CE3EA60"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3EA33054"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2022-10-19</w:t>
            </w:r>
          </w:p>
        </w:tc>
      </w:tr>
      <w:tr w:rsidR="001430E9" w14:paraId="063BBA77"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2077A8D"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14:paraId="63F5463E"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交银施罗德核心资产混合型证券投资基金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3</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14:paraId="53949C41"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073B3A64"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2022-10-25</w:t>
            </w:r>
          </w:p>
        </w:tc>
      </w:tr>
      <w:tr w:rsidR="001430E9" w14:paraId="55E00BE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C6D1A2F"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14:paraId="40924455"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交银施罗德基金管理有限公司关于增加海通证券股份有限公司为旗下基金销售机构的公告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465440C1"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2944F7B8"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2022-11-11</w:t>
            </w:r>
          </w:p>
        </w:tc>
      </w:tr>
      <w:tr w:rsidR="001430E9" w14:paraId="76C71F98"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F34C63B"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11</w:t>
            </w:r>
          </w:p>
        </w:tc>
        <w:tc>
          <w:tcPr>
            <w:tcW w:w="750" w:type="pct"/>
            <w:tcBorders>
              <w:top w:val="single" w:sz="4" w:space="0" w:color="auto"/>
              <w:left w:val="single" w:sz="4" w:space="0" w:color="auto"/>
              <w:bottom w:val="single" w:sz="4" w:space="0" w:color="auto"/>
              <w:right w:val="single" w:sz="4" w:space="0" w:color="auto"/>
            </w:tcBorders>
            <w:vAlign w:val="center"/>
          </w:tcPr>
          <w:p w14:paraId="76A572D6"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交银施罗德基金管理有限公司关于旗下部分基金于</w:t>
            </w:r>
            <w:r>
              <w:rPr>
                <w:rFonts w:ascii="Times New Roman" w:hAnsi="Times New Roman"/>
                <w:color w:val="000000"/>
                <w:kern w:val="0"/>
                <w:sz w:val="25"/>
                <w:szCs w:val="24"/>
              </w:rPr>
              <w:t>2023</w:t>
            </w:r>
            <w:r>
              <w:rPr>
                <w:rFonts w:ascii="Times New Roman" w:hAnsi="Times New Roman"/>
                <w:color w:val="000000"/>
                <w:kern w:val="0"/>
                <w:sz w:val="25"/>
                <w:szCs w:val="24"/>
              </w:rPr>
              <w:t>年非港股通交易日暂停基金交易业务的提示性公告</w:t>
            </w:r>
          </w:p>
        </w:tc>
        <w:tc>
          <w:tcPr>
            <w:tcW w:w="750" w:type="pct"/>
            <w:tcBorders>
              <w:top w:val="single" w:sz="4" w:space="0" w:color="auto"/>
              <w:left w:val="single" w:sz="4" w:space="0" w:color="auto"/>
              <w:bottom w:val="single" w:sz="4" w:space="0" w:color="auto"/>
              <w:right w:val="single" w:sz="4" w:space="0" w:color="auto"/>
            </w:tcBorders>
            <w:vAlign w:val="center"/>
          </w:tcPr>
          <w:p w14:paraId="44337ECB"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0693FFC0"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2022-12-29</w:t>
            </w:r>
          </w:p>
        </w:tc>
      </w:tr>
      <w:tr w:rsidR="001430E9" w14:paraId="331DC1B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01408EC"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12</w:t>
            </w:r>
          </w:p>
        </w:tc>
        <w:tc>
          <w:tcPr>
            <w:tcW w:w="750" w:type="pct"/>
            <w:tcBorders>
              <w:top w:val="single" w:sz="4" w:space="0" w:color="auto"/>
              <w:left w:val="single" w:sz="4" w:space="0" w:color="auto"/>
              <w:bottom w:val="single" w:sz="4" w:space="0" w:color="auto"/>
              <w:right w:val="single" w:sz="4" w:space="0" w:color="auto"/>
            </w:tcBorders>
            <w:vAlign w:val="center"/>
          </w:tcPr>
          <w:p w14:paraId="2BA72592"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交银施罗德核心资产混合型证券投资基金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4</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14:paraId="465911BA"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6209F58B"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2023-01-19</w:t>
            </w:r>
          </w:p>
        </w:tc>
      </w:tr>
      <w:tr w:rsidR="001430E9" w14:paraId="48EF5792"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179C883B"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13</w:t>
            </w:r>
          </w:p>
        </w:tc>
        <w:tc>
          <w:tcPr>
            <w:tcW w:w="750" w:type="pct"/>
            <w:tcBorders>
              <w:top w:val="single" w:sz="4" w:space="0" w:color="auto"/>
              <w:left w:val="single" w:sz="4" w:space="0" w:color="auto"/>
              <w:bottom w:val="single" w:sz="4" w:space="0" w:color="auto"/>
              <w:right w:val="single" w:sz="4" w:space="0" w:color="auto"/>
            </w:tcBorders>
            <w:vAlign w:val="center"/>
          </w:tcPr>
          <w:p w14:paraId="6B230C9C"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交银施罗德基金管理有限公司关于增加济安财富（北京）基金销售有限公司为旗下基金销售机构的公告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3AA799F5"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4ACA2B63"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2023-02-10</w:t>
            </w:r>
          </w:p>
        </w:tc>
      </w:tr>
      <w:tr w:rsidR="001430E9" w14:paraId="158AA5A5"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20FF5761"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14</w:t>
            </w:r>
          </w:p>
        </w:tc>
        <w:tc>
          <w:tcPr>
            <w:tcW w:w="750" w:type="pct"/>
            <w:tcBorders>
              <w:top w:val="single" w:sz="4" w:space="0" w:color="auto"/>
              <w:left w:val="single" w:sz="4" w:space="0" w:color="auto"/>
              <w:bottom w:val="single" w:sz="4" w:space="0" w:color="auto"/>
              <w:right w:val="single" w:sz="4" w:space="0" w:color="auto"/>
            </w:tcBorders>
            <w:vAlign w:val="center"/>
          </w:tcPr>
          <w:p w14:paraId="7EC7E7D2"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交银施罗德核心资产混合型证券投资基金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年年度报告</w:t>
            </w:r>
          </w:p>
        </w:tc>
        <w:tc>
          <w:tcPr>
            <w:tcW w:w="750" w:type="pct"/>
            <w:tcBorders>
              <w:top w:val="single" w:sz="4" w:space="0" w:color="auto"/>
              <w:left w:val="single" w:sz="4" w:space="0" w:color="auto"/>
              <w:bottom w:val="single" w:sz="4" w:space="0" w:color="auto"/>
              <w:right w:val="single" w:sz="4" w:space="0" w:color="auto"/>
            </w:tcBorders>
            <w:vAlign w:val="center"/>
          </w:tcPr>
          <w:p w14:paraId="56155D59"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0CAAF521"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2023-03-30</w:t>
            </w:r>
          </w:p>
        </w:tc>
      </w:tr>
      <w:tr w:rsidR="001430E9" w14:paraId="63E70D7F"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03015654"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14:paraId="65598E82"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交银施罗德核心资产混合型证券投资基金</w:t>
            </w:r>
            <w:r>
              <w:rPr>
                <w:rFonts w:ascii="Times New Roman" w:hAnsi="Times New Roman"/>
                <w:color w:val="000000"/>
                <w:kern w:val="0"/>
                <w:sz w:val="25"/>
                <w:szCs w:val="24"/>
              </w:rPr>
              <w:t>2023</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14:paraId="37BD01B2"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68F6ECCB"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2023-04-21</w:t>
            </w:r>
          </w:p>
        </w:tc>
      </w:tr>
      <w:tr w:rsidR="001430E9" w14:paraId="20DD02D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31FDB49A"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16</w:t>
            </w:r>
          </w:p>
        </w:tc>
        <w:tc>
          <w:tcPr>
            <w:tcW w:w="750" w:type="pct"/>
            <w:tcBorders>
              <w:top w:val="single" w:sz="4" w:space="0" w:color="auto"/>
              <w:left w:val="single" w:sz="4" w:space="0" w:color="auto"/>
              <w:bottom w:val="single" w:sz="4" w:space="0" w:color="auto"/>
              <w:right w:val="single" w:sz="4" w:space="0" w:color="auto"/>
            </w:tcBorders>
            <w:vAlign w:val="center"/>
          </w:tcPr>
          <w:p w14:paraId="6D064E43"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交银施罗德基金管理有限公司关于增加大连网金基金销售有限公司为旗下基金销售机构的公告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14:paraId="25F543C6"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4D35B7E7"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2023-04-25</w:t>
            </w:r>
          </w:p>
        </w:tc>
      </w:tr>
      <w:tr w:rsidR="001430E9" w14:paraId="1BED5B7E" w14:textId="77777777">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14:paraId="59C3D258"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17</w:t>
            </w:r>
          </w:p>
        </w:tc>
        <w:tc>
          <w:tcPr>
            <w:tcW w:w="750" w:type="pct"/>
            <w:tcBorders>
              <w:top w:val="single" w:sz="4" w:space="0" w:color="auto"/>
              <w:left w:val="single" w:sz="4" w:space="0" w:color="auto"/>
              <w:bottom w:val="single" w:sz="4" w:space="0" w:color="auto"/>
              <w:right w:val="single" w:sz="4" w:space="0" w:color="auto"/>
            </w:tcBorders>
            <w:vAlign w:val="center"/>
          </w:tcPr>
          <w:p w14:paraId="48694FB0"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交银施罗德基金管理有限公司关于旗下部分基金在</w:t>
            </w:r>
            <w:r>
              <w:rPr>
                <w:rFonts w:ascii="Times New Roman" w:hAnsi="Times New Roman"/>
                <w:color w:val="000000"/>
                <w:kern w:val="0"/>
                <w:sz w:val="25"/>
                <w:szCs w:val="24"/>
              </w:rPr>
              <w:t>2023</w:t>
            </w:r>
            <w:r>
              <w:rPr>
                <w:rFonts w:ascii="Times New Roman" w:hAnsi="Times New Roman"/>
                <w:color w:val="000000"/>
                <w:kern w:val="0"/>
                <w:sz w:val="25"/>
                <w:szCs w:val="24"/>
              </w:rPr>
              <w:t>年度新增港股通交易日照常开放申购、赎回、转换、定期定额投资业务的公告</w:t>
            </w:r>
          </w:p>
        </w:tc>
        <w:tc>
          <w:tcPr>
            <w:tcW w:w="750" w:type="pct"/>
            <w:tcBorders>
              <w:top w:val="single" w:sz="4" w:space="0" w:color="auto"/>
              <w:left w:val="single" w:sz="4" w:space="0" w:color="auto"/>
              <w:bottom w:val="single" w:sz="4" w:space="0" w:color="auto"/>
              <w:right w:val="single" w:sz="4" w:space="0" w:color="auto"/>
            </w:tcBorders>
            <w:vAlign w:val="center"/>
          </w:tcPr>
          <w:p w14:paraId="0B22E4FD" w14:textId="77777777" w:rsidR="001430E9" w:rsidRDefault="00C86CDB">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14:paraId="54B76D6A" w14:textId="77777777" w:rsidR="001430E9" w:rsidRDefault="00C86CDB">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2023-05-16</w:t>
            </w:r>
          </w:p>
        </w:tc>
      </w:tr>
    </w:tbl>
    <w:p w14:paraId="7BDBBE65" w14:textId="77777777" w:rsidR="00435AFE" w:rsidRDefault="00C86CDB" w:rsidP="00435AFE">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38242FCA" w14:textId="13517AE5" w:rsidR="001430E9" w:rsidRDefault="00C86CDB">
      <w:pPr>
        <w:pStyle w:val="1"/>
        <w:snapToGrid w:val="0"/>
        <w:spacing w:beforeLines="0" w:before="240" w:after="240"/>
        <w:rPr>
          <w:rFonts w:ascii="宋体" w:hAnsi="宋体"/>
          <w:szCs w:val="30"/>
        </w:rPr>
      </w:pPr>
      <w:bookmarkStart w:id="29" w:name="_Toc137828506"/>
      <w:r>
        <w:rPr>
          <w:rFonts w:ascii="Times New Roman" w:hAnsi="Times New Roman"/>
          <w:sz w:val="30"/>
        </w:rPr>
        <w:lastRenderedPageBreak/>
        <w:t>二十</w:t>
      </w:r>
      <w:r w:rsidR="00B37F03">
        <w:rPr>
          <w:rFonts w:ascii="Times New Roman" w:hAnsi="Times New Roman" w:hint="eastAsia"/>
          <w:sz w:val="30"/>
        </w:rPr>
        <w:t>五</w:t>
      </w:r>
      <w:r>
        <w:rPr>
          <w:rFonts w:ascii="Times New Roman" w:hAnsi="Times New Roman"/>
          <w:sz w:val="30"/>
        </w:rPr>
        <w:t>、招募说明书的存放及查阅方式</w:t>
      </w:r>
      <w:bookmarkEnd w:id="29"/>
    </w:p>
    <w:p w14:paraId="5F4A1F0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招募说明书存放在基金管理人、基金托管人和基金销售机构的办公场所，投资人可在办公时间查阅；投资人在支付工本费后，可在合理时间内取得上述文件复制件或复印件。对投资人按此种方式所获得的文件及其复印件，基金管理人和基金托管人保证文本的内容与所公告的内容完全一致。</w:t>
      </w:r>
    </w:p>
    <w:p w14:paraId="3995A77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投资人还可以直接登录基金管理人的网站（www.fund001.com）查阅和下载招募说明书。</w:t>
      </w:r>
    </w:p>
    <w:p w14:paraId="3D472C9E" w14:textId="77777777" w:rsidR="00435AFE" w:rsidRDefault="00C86CDB" w:rsidP="00435AFE">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14:paraId="6E878ACD" w14:textId="1AE2D78B" w:rsidR="001430E9" w:rsidRDefault="00C86CDB">
      <w:pPr>
        <w:pStyle w:val="1"/>
        <w:snapToGrid w:val="0"/>
        <w:spacing w:beforeLines="0" w:before="240" w:after="240"/>
        <w:rPr>
          <w:rFonts w:ascii="宋体" w:hAnsi="宋体"/>
          <w:szCs w:val="30"/>
        </w:rPr>
      </w:pPr>
      <w:bookmarkStart w:id="30" w:name="_Toc137828507"/>
      <w:r>
        <w:rPr>
          <w:rFonts w:ascii="Times New Roman" w:hAnsi="Times New Roman"/>
          <w:sz w:val="30"/>
        </w:rPr>
        <w:lastRenderedPageBreak/>
        <w:t>二十</w:t>
      </w:r>
      <w:r w:rsidR="00B37F03">
        <w:rPr>
          <w:rFonts w:ascii="Times New Roman" w:hAnsi="Times New Roman" w:hint="eastAsia"/>
          <w:sz w:val="30"/>
        </w:rPr>
        <w:t>六</w:t>
      </w:r>
      <w:r>
        <w:rPr>
          <w:rFonts w:ascii="Times New Roman" w:hAnsi="Times New Roman"/>
          <w:sz w:val="30"/>
        </w:rPr>
        <w:t>、备查文件</w:t>
      </w:r>
      <w:bookmarkEnd w:id="30"/>
    </w:p>
    <w:p w14:paraId="60E4DFC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以下备查文件存放在基金管理人的办公场所，在办公时间可供免费查阅。</w:t>
      </w:r>
    </w:p>
    <w:p w14:paraId="476967CD"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（一）中国证监会准予交银施罗德核心资产混合型证券投资基金募集注册的文件</w:t>
      </w:r>
    </w:p>
    <w:p w14:paraId="31BFF825"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（二）《交银施罗德核心资产混合型证券投资基金基金合同》</w:t>
      </w:r>
    </w:p>
    <w:p w14:paraId="2C9F60A9"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（三）《交银施罗德核心资产混合型证券投资基金托管协议》</w:t>
      </w:r>
    </w:p>
    <w:p w14:paraId="794BF63A"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（四）基金管理人业务资格批件、营业执照</w:t>
      </w:r>
    </w:p>
    <w:p w14:paraId="7232102B"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（五）基金托管人业务资格批件、营业执照</w:t>
      </w:r>
    </w:p>
    <w:p w14:paraId="05A340A1" w14:textId="77777777" w:rsidR="001430E9" w:rsidRDefault="00C86CDB">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（六）关于申请募集注册交银施罗德核心资产混合型证券投资基金的法律意见书</w:t>
      </w:r>
    </w:p>
    <w:sectPr w:rsidR="001430E9">
      <w:footerReference w:type="default" r:id="rId14"/>
      <w:pgSz w:w="11920" w:h="16840"/>
      <w:pgMar w:top="1360" w:right="1580" w:bottom="280" w:left="1680" w:header="0" w:footer="1186"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E4F938" w16cid:durableId="2904B9B8"/>
  <w16cid:commentId w16cid:paraId="69282F18" w16cid:durableId="2901DC22"/>
  <w16cid:commentId w16cid:paraId="3028B334" w16cid:durableId="2904BB03"/>
  <w16cid:commentId w16cid:paraId="47BEE038" w16cid:durableId="2901DC23"/>
  <w16cid:commentId w16cid:paraId="11511D8B" w16cid:durableId="2904CA45"/>
  <w16cid:commentId w16cid:paraId="097F6EE3" w16cid:durableId="2904CB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F78B3" w14:textId="77777777" w:rsidR="00AD13CB" w:rsidRDefault="00AD13CB">
      <w:r>
        <w:separator/>
      </w:r>
    </w:p>
  </w:endnote>
  <w:endnote w:type="continuationSeparator" w:id="0">
    <w:p w14:paraId="1A4C6F0D" w14:textId="77777777" w:rsidR="00AD13CB" w:rsidRDefault="00AD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43868" w14:textId="1986B667" w:rsidR="00B72837" w:rsidRDefault="00B72837">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8752" behindDoc="1" locked="0" layoutInCell="0" allowOverlap="1" wp14:anchorId="7349087E" wp14:editId="5E846E42">
              <wp:simplePos x="0" y="0"/>
              <wp:positionH relativeFrom="page">
                <wp:posOffset>3726180</wp:posOffset>
              </wp:positionH>
              <wp:positionV relativeFrom="page">
                <wp:posOffset>9939020</wp:posOffset>
              </wp:positionV>
              <wp:extent cx="27432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5F92E" w14:textId="3BEAF7D2" w:rsidR="00B72837" w:rsidRDefault="00B72837">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190EBC">
                            <w:rPr>
                              <w:rFonts w:ascii="Times New Roman" w:hAnsi="Times New Roman"/>
                              <w:noProof/>
                              <w:kern w:val="0"/>
                              <w:sz w:val="18"/>
                              <w:szCs w:val="18"/>
                            </w:rPr>
                            <w:t>1</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9087E" id="_x0000_t202" coordsize="21600,21600" o:spt="202" path="m,l,21600r21600,l21600,xe">
              <v:stroke joinstyle="miter"/>
              <v:path gradientshapeok="t" o:connecttype="rect"/>
            </v:shapetype>
            <v:shape id="Text Box 1" o:spid="_x0000_s1026" type="#_x0000_t202" style="position:absolute;margin-left:293.4pt;margin-top:782.6pt;width:21.6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FrA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" o:allowincell="f" filled="f" stroked="f">
              <v:textbox inset="0,0,0,0">
                <w:txbxContent>
                  <w:p w14:paraId="47A5F92E" w14:textId="3BEAF7D2" w:rsidR="00B72837" w:rsidRDefault="00B72837">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190EBC">
                      <w:rPr>
                        <w:rFonts w:ascii="Times New Roman" w:hAnsi="Times New Roman"/>
                        <w:noProof/>
                        <w:kern w:val="0"/>
                        <w:sz w:val="18"/>
                        <w:szCs w:val="18"/>
                      </w:rPr>
                      <w:t>1</w:t>
                    </w:r>
                    <w:r>
                      <w:rPr>
                        <w:rFonts w:ascii="Times New Roman" w:hAnsi="Times New Roman"/>
                        <w:kern w:val="0"/>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F5AC9" w14:textId="4A0D7054" w:rsidR="00B72837" w:rsidRDefault="00B72837">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9776" behindDoc="1" locked="0" layoutInCell="0" allowOverlap="1" wp14:anchorId="66A79FAF" wp14:editId="69DFCECD">
              <wp:simplePos x="0" y="0"/>
              <wp:positionH relativeFrom="page">
                <wp:posOffset>3698875</wp:posOffset>
              </wp:positionH>
              <wp:positionV relativeFrom="page">
                <wp:posOffset>9827895</wp:posOffset>
              </wp:positionV>
              <wp:extent cx="425450" cy="1397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C155E" w14:textId="67DC656B" w:rsidR="00B72837" w:rsidRDefault="00B72837">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190EBC">
                            <w:rPr>
                              <w:rFonts w:ascii="Times New Roman" w:hAnsi="Times New Roman"/>
                              <w:noProof/>
                              <w:kern w:val="0"/>
                              <w:sz w:val="18"/>
                              <w:szCs w:val="18"/>
                            </w:rPr>
                            <w:t>138</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79FAF" id="_x0000_t202" coordsize="21600,21600" o:spt="202" path="m,l,21600r21600,l21600,xe">
              <v:stroke joinstyle="miter"/>
              <v:path gradientshapeok="t" o:connecttype="rect"/>
            </v:shapetype>
            <v:shape id="Text Box 20" o:spid="_x0000_s1027" type="#_x0000_t202" style="position:absolute;margin-left:291.25pt;margin-top:773.85pt;width:33.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cqsQIAALA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" o:allowincell="f" filled="f" stroked="f">
              <v:textbox inset="0,0,0,0">
                <w:txbxContent>
                  <w:p w14:paraId="710C155E" w14:textId="67DC656B" w:rsidR="00B72837" w:rsidRDefault="00B72837">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190EBC">
                      <w:rPr>
                        <w:rFonts w:ascii="Times New Roman" w:hAnsi="Times New Roman"/>
                        <w:noProof/>
                        <w:kern w:val="0"/>
                        <w:sz w:val="18"/>
                        <w:szCs w:val="18"/>
                      </w:rPr>
                      <w:t>138</w:t>
                    </w:r>
                    <w:r>
                      <w:rPr>
                        <w:rFonts w:ascii="Times New Roman" w:hAnsi="Times New Roman"/>
                        <w:kern w:val="0"/>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AE5CE" w14:textId="77777777" w:rsidR="00AD13CB" w:rsidRDefault="00AD13CB">
      <w:r>
        <w:separator/>
      </w:r>
    </w:p>
  </w:footnote>
  <w:footnote w:type="continuationSeparator" w:id="0">
    <w:p w14:paraId="2523B227" w14:textId="77777777" w:rsidR="00AD13CB" w:rsidRDefault="00AD1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A3782" w14:textId="72A38214" w:rsidR="00B72837" w:rsidRDefault="00B72837">
    <w:pPr>
      <w:pStyle w:val="a3"/>
      <w:jc w:val="right"/>
    </w:pPr>
    <w:r>
      <w:rPr>
        <w:noProof/>
      </w:rPr>
      <w:drawing>
        <wp:anchor distT="0" distB="0" distL="114300" distR="114300" simplePos="0" relativeHeight="251655680" behindDoc="0" locked="0" layoutInCell="1" allowOverlap="1" wp14:anchorId="3AEB6330" wp14:editId="474D1175">
          <wp:simplePos x="0" y="0"/>
          <wp:positionH relativeFrom="column">
            <wp:posOffset>19050</wp:posOffset>
          </wp:positionH>
          <wp:positionV relativeFrom="paragraph">
            <wp:posOffset>-152400</wp:posOffset>
          </wp:positionV>
          <wp:extent cx="1714500" cy="238125"/>
          <wp:effectExtent l="0" t="0" r="0" b="0"/>
          <wp:wrapNone/>
          <wp:docPr id="23"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14:paraId="3A6049C6" w14:textId="77777777" w:rsidR="00B72837" w:rsidRDefault="00B72837">
    <w:pPr>
      <w:pStyle w:val="a3"/>
      <w:jc w:val="right"/>
      <w:rPr>
        <w:rFonts w:ascii="宋体" w:hAnsi="宋体"/>
      </w:rPr>
    </w:pPr>
    <w:r>
      <w:rPr>
        <w:rFonts w:ascii="宋体" w:hAnsi="宋体" w:hint="eastAsia"/>
      </w:rPr>
      <w:t>交银施罗德核心资产混合型证券投资基金(更新)招募说明书(2023年第1号)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5D894" w14:textId="77777777" w:rsidR="00B72837" w:rsidRDefault="00B72837">
    <w:pPr>
      <w:pStyle w:val="11"/>
      <w:jc w:val="right"/>
    </w:pPr>
  </w:p>
  <w:p w14:paraId="1E529CAE" w14:textId="77777777" w:rsidR="00B72837" w:rsidRDefault="00B72837">
    <w:pPr>
      <w:pStyle w:val="11"/>
      <w:jc w:val="right"/>
    </w:pPr>
  </w:p>
  <w:p w14:paraId="62517CE0" w14:textId="77777777" w:rsidR="00B72837" w:rsidRDefault="00B72837">
    <w:pPr>
      <w:pStyle w:val="a3"/>
      <w:jc w:val="right"/>
    </w:pPr>
  </w:p>
  <w:p w14:paraId="6B308A05" w14:textId="14C5BDAE" w:rsidR="00B72837" w:rsidRDefault="00B72837">
    <w:pPr>
      <w:pStyle w:val="a3"/>
      <w:jc w:val="right"/>
    </w:pPr>
    <w:r>
      <w:rPr>
        <w:noProof/>
      </w:rPr>
      <w:drawing>
        <wp:anchor distT="0" distB="0" distL="114300" distR="114300" simplePos="0" relativeHeight="251656704" behindDoc="0" locked="0" layoutInCell="1" allowOverlap="1" wp14:anchorId="53D7C4BB" wp14:editId="1C9ED7B3">
          <wp:simplePos x="0" y="0"/>
          <wp:positionH relativeFrom="column">
            <wp:posOffset>19050</wp:posOffset>
          </wp:positionH>
          <wp:positionV relativeFrom="paragraph">
            <wp:posOffset>-152400</wp:posOffset>
          </wp:positionV>
          <wp:extent cx="1714500" cy="238125"/>
          <wp:effectExtent l="0" t="0" r="0" b="0"/>
          <wp:wrapNone/>
          <wp:docPr id="2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14:paraId="402BCA31" w14:textId="17110285" w:rsidR="00B72837" w:rsidRDefault="00B72837">
    <w:pPr>
      <w:pStyle w:val="a3"/>
      <w:jc w:val="right"/>
      <w:rPr>
        <w:rFonts w:ascii="宋体" w:hAnsi="宋体"/>
      </w:rPr>
    </w:pPr>
    <w:r>
      <w:rPr>
        <w:rFonts w:ascii="宋体" w:hAnsi="宋体" w:hint="eastAsia"/>
      </w:rPr>
      <w:t>交银施罗德核心资产混合型证券投资基金(更新)招募说明书(202</w:t>
    </w:r>
    <w:r w:rsidR="00BC6BC9">
      <w:rPr>
        <w:rFonts w:ascii="宋体" w:hAnsi="宋体"/>
      </w:rPr>
      <w:t>4</w:t>
    </w:r>
    <w:r>
      <w:rPr>
        <w:rFonts w:ascii="宋体" w:hAnsi="宋体" w:hint="eastAsia"/>
      </w:rPr>
      <w:t>年第</w:t>
    </w:r>
    <w:r w:rsidR="00BC6BC9">
      <w:rPr>
        <w:rFonts w:ascii="宋体" w:hAnsi="宋体"/>
      </w:rPr>
      <w:t>1</w:t>
    </w:r>
    <w:r>
      <w:rPr>
        <w:rFonts w:ascii="宋体" w:hAnsi="宋体" w:hint="eastAsia"/>
      </w:rPr>
      <w:t>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D0A70" w14:textId="77777777" w:rsidR="00B72837" w:rsidRDefault="00B72837">
    <w:pPr>
      <w:pStyle w:val="a3"/>
      <w:jc w:val="right"/>
    </w:pPr>
  </w:p>
  <w:p w14:paraId="3B36571C" w14:textId="77777777" w:rsidR="00B72837" w:rsidRDefault="00B72837">
    <w:pPr>
      <w:pStyle w:val="a3"/>
      <w:jc w:val="right"/>
    </w:pPr>
  </w:p>
  <w:p w14:paraId="2EB8A0A5" w14:textId="77777777" w:rsidR="00B72837" w:rsidRDefault="00B72837">
    <w:pPr>
      <w:pStyle w:val="a3"/>
      <w:jc w:val="right"/>
    </w:pPr>
  </w:p>
  <w:p w14:paraId="7BF79AC0" w14:textId="3F360A45" w:rsidR="00B72837" w:rsidRDefault="00B72837">
    <w:pPr>
      <w:pStyle w:val="a3"/>
      <w:jc w:val="right"/>
    </w:pPr>
    <w:r>
      <w:rPr>
        <w:noProof/>
      </w:rPr>
      <w:drawing>
        <wp:anchor distT="0" distB="0" distL="114300" distR="114300" simplePos="0" relativeHeight="251657728" behindDoc="0" locked="0" layoutInCell="1" allowOverlap="1" wp14:anchorId="17A3169F" wp14:editId="7178B7F4">
          <wp:simplePos x="0" y="0"/>
          <wp:positionH relativeFrom="column">
            <wp:posOffset>19050</wp:posOffset>
          </wp:positionH>
          <wp:positionV relativeFrom="paragraph">
            <wp:posOffset>-152400</wp:posOffset>
          </wp:positionV>
          <wp:extent cx="1714500" cy="238125"/>
          <wp:effectExtent l="0" t="0" r="0" b="0"/>
          <wp:wrapNone/>
          <wp:docPr id="21" name="图片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14:paraId="64F8BC85" w14:textId="608E8DAD" w:rsidR="00B72837" w:rsidRDefault="00B72837">
    <w:pPr>
      <w:pStyle w:val="a3"/>
      <w:jc w:val="right"/>
      <w:rPr>
        <w:rFonts w:ascii="宋体" w:hAnsi="宋体"/>
      </w:rPr>
    </w:pPr>
    <w:r>
      <w:rPr>
        <w:rFonts w:ascii="宋体" w:hAnsi="宋体" w:hint="eastAsia"/>
      </w:rPr>
      <w:t>交银施罗德核心资产混合型证券投资基金(更新)招募说明书(202</w:t>
    </w:r>
    <w:r w:rsidR="00295DE8">
      <w:rPr>
        <w:rFonts w:ascii="宋体" w:hAnsi="宋体"/>
      </w:rPr>
      <w:t>4</w:t>
    </w:r>
    <w:r>
      <w:rPr>
        <w:rFonts w:ascii="宋体" w:hAnsi="宋体" w:hint="eastAsia"/>
      </w:rPr>
      <w:t>年第</w:t>
    </w:r>
    <w:r w:rsidR="00295DE8">
      <w:rPr>
        <w:rFonts w:ascii="宋体" w:hAnsi="宋体"/>
      </w:rPr>
      <w:t>1</w:t>
    </w:r>
    <w:r>
      <w:rPr>
        <w:rFonts w:ascii="宋体" w:hAnsi="宋体"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D73EE"/>
    <w:multiLevelType w:val="multilevel"/>
    <w:tmpl w:val="547D73EE"/>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738" w:hanging="454"/>
      </w:pPr>
      <w:rPr>
        <w:rFonts w:hint="eastAsia"/>
      </w:rPr>
    </w:lvl>
    <w:lvl w:ilvl="2">
      <w:start w:val="1"/>
      <w:numFmt w:val="decimal"/>
      <w:pStyle w:val="XBRLTitle3"/>
      <w:suff w:val="space"/>
      <w:lvlText w:val="%1.%2.%3"/>
      <w:lvlJc w:val="left"/>
      <w:pPr>
        <w:ind w:left="624" w:hanging="624"/>
      </w:p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trackRevisions/>
  <w:defaultTabStop w:val="720"/>
  <w:drawingGridHorizontalSpacing w:val="105"/>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C9"/>
    <w:rsid w:val="000002A2"/>
    <w:rsid w:val="00001EEA"/>
    <w:rsid w:val="00003EC9"/>
    <w:rsid w:val="0000560A"/>
    <w:rsid w:val="0001266E"/>
    <w:rsid w:val="00026A29"/>
    <w:rsid w:val="00026D00"/>
    <w:rsid w:val="00027C73"/>
    <w:rsid w:val="00030964"/>
    <w:rsid w:val="00030F3E"/>
    <w:rsid w:val="000368A2"/>
    <w:rsid w:val="00044AFD"/>
    <w:rsid w:val="00044E2C"/>
    <w:rsid w:val="000457B7"/>
    <w:rsid w:val="0004614E"/>
    <w:rsid w:val="00046212"/>
    <w:rsid w:val="000500B8"/>
    <w:rsid w:val="000506ED"/>
    <w:rsid w:val="000543D5"/>
    <w:rsid w:val="00055792"/>
    <w:rsid w:val="00055F52"/>
    <w:rsid w:val="00061C0D"/>
    <w:rsid w:val="0006212F"/>
    <w:rsid w:val="0006220F"/>
    <w:rsid w:val="000647B8"/>
    <w:rsid w:val="0006506B"/>
    <w:rsid w:val="0006551A"/>
    <w:rsid w:val="000700AC"/>
    <w:rsid w:val="000705A6"/>
    <w:rsid w:val="0007638A"/>
    <w:rsid w:val="00076B6E"/>
    <w:rsid w:val="000816EA"/>
    <w:rsid w:val="00081744"/>
    <w:rsid w:val="000828CE"/>
    <w:rsid w:val="000833CB"/>
    <w:rsid w:val="00083491"/>
    <w:rsid w:val="00084078"/>
    <w:rsid w:val="000843B3"/>
    <w:rsid w:val="000869C2"/>
    <w:rsid w:val="0008702E"/>
    <w:rsid w:val="00087F4C"/>
    <w:rsid w:val="00090648"/>
    <w:rsid w:val="00094253"/>
    <w:rsid w:val="00095030"/>
    <w:rsid w:val="000A01A0"/>
    <w:rsid w:val="000A352B"/>
    <w:rsid w:val="000B0F8B"/>
    <w:rsid w:val="000B359E"/>
    <w:rsid w:val="000B3894"/>
    <w:rsid w:val="000B4E04"/>
    <w:rsid w:val="000C1E1E"/>
    <w:rsid w:val="000C38F1"/>
    <w:rsid w:val="000C5E77"/>
    <w:rsid w:val="000C68E9"/>
    <w:rsid w:val="000D0ADE"/>
    <w:rsid w:val="000D179E"/>
    <w:rsid w:val="000D4F2F"/>
    <w:rsid w:val="000D66DC"/>
    <w:rsid w:val="000E1F3B"/>
    <w:rsid w:val="000E3AB4"/>
    <w:rsid w:val="000E7544"/>
    <w:rsid w:val="000E7D93"/>
    <w:rsid w:val="000F0C17"/>
    <w:rsid w:val="000F2904"/>
    <w:rsid w:val="000F34A1"/>
    <w:rsid w:val="000F5226"/>
    <w:rsid w:val="000F5583"/>
    <w:rsid w:val="000F6050"/>
    <w:rsid w:val="000F66FF"/>
    <w:rsid w:val="000F698D"/>
    <w:rsid w:val="000F7D42"/>
    <w:rsid w:val="001008A5"/>
    <w:rsid w:val="00100C86"/>
    <w:rsid w:val="001113D4"/>
    <w:rsid w:val="0011339C"/>
    <w:rsid w:val="001135B0"/>
    <w:rsid w:val="00113FAA"/>
    <w:rsid w:val="00115AE5"/>
    <w:rsid w:val="00116489"/>
    <w:rsid w:val="0011648B"/>
    <w:rsid w:val="001166C1"/>
    <w:rsid w:val="00116874"/>
    <w:rsid w:val="001177A3"/>
    <w:rsid w:val="001240EB"/>
    <w:rsid w:val="0012443D"/>
    <w:rsid w:val="00127053"/>
    <w:rsid w:val="0013182D"/>
    <w:rsid w:val="00131CEE"/>
    <w:rsid w:val="0013315B"/>
    <w:rsid w:val="00134FCF"/>
    <w:rsid w:val="00135AD8"/>
    <w:rsid w:val="0013630D"/>
    <w:rsid w:val="001367F2"/>
    <w:rsid w:val="001412E8"/>
    <w:rsid w:val="0014250F"/>
    <w:rsid w:val="001430E9"/>
    <w:rsid w:val="00144B52"/>
    <w:rsid w:val="00153D66"/>
    <w:rsid w:val="0015725E"/>
    <w:rsid w:val="00162F69"/>
    <w:rsid w:val="00164946"/>
    <w:rsid w:val="00165756"/>
    <w:rsid w:val="0017362C"/>
    <w:rsid w:val="0017392F"/>
    <w:rsid w:val="0018184C"/>
    <w:rsid w:val="0018198F"/>
    <w:rsid w:val="00181C62"/>
    <w:rsid w:val="00183642"/>
    <w:rsid w:val="001860C4"/>
    <w:rsid w:val="00186FAE"/>
    <w:rsid w:val="00190EBC"/>
    <w:rsid w:val="001917D4"/>
    <w:rsid w:val="001917FC"/>
    <w:rsid w:val="00191D7F"/>
    <w:rsid w:val="001925A2"/>
    <w:rsid w:val="00195218"/>
    <w:rsid w:val="00197A55"/>
    <w:rsid w:val="00197F7E"/>
    <w:rsid w:val="001A1623"/>
    <w:rsid w:val="001A2263"/>
    <w:rsid w:val="001B4531"/>
    <w:rsid w:val="001B5BDB"/>
    <w:rsid w:val="001B75F9"/>
    <w:rsid w:val="001C2B9E"/>
    <w:rsid w:val="001C38DA"/>
    <w:rsid w:val="001C7A48"/>
    <w:rsid w:val="001C7C12"/>
    <w:rsid w:val="001D2797"/>
    <w:rsid w:val="001D2B67"/>
    <w:rsid w:val="001D3730"/>
    <w:rsid w:val="001D4727"/>
    <w:rsid w:val="001D5665"/>
    <w:rsid w:val="001D61DC"/>
    <w:rsid w:val="001D6377"/>
    <w:rsid w:val="001D68A8"/>
    <w:rsid w:val="001D6B88"/>
    <w:rsid w:val="001D6C5F"/>
    <w:rsid w:val="001D7ECC"/>
    <w:rsid w:val="001E144C"/>
    <w:rsid w:val="001E25FD"/>
    <w:rsid w:val="001E2A4F"/>
    <w:rsid w:val="001E3F8F"/>
    <w:rsid w:val="001E5250"/>
    <w:rsid w:val="001F158A"/>
    <w:rsid w:val="001F252D"/>
    <w:rsid w:val="001F33EB"/>
    <w:rsid w:val="001F4DEA"/>
    <w:rsid w:val="001F4ECB"/>
    <w:rsid w:val="001F7353"/>
    <w:rsid w:val="00201F27"/>
    <w:rsid w:val="00201F9B"/>
    <w:rsid w:val="00203597"/>
    <w:rsid w:val="002076AC"/>
    <w:rsid w:val="00212B27"/>
    <w:rsid w:val="00212BBA"/>
    <w:rsid w:val="0021469C"/>
    <w:rsid w:val="00215523"/>
    <w:rsid w:val="00216962"/>
    <w:rsid w:val="00217CA4"/>
    <w:rsid w:val="00221112"/>
    <w:rsid w:val="00221A1B"/>
    <w:rsid w:val="002220A4"/>
    <w:rsid w:val="00223C19"/>
    <w:rsid w:val="00224421"/>
    <w:rsid w:val="00226503"/>
    <w:rsid w:val="00226A60"/>
    <w:rsid w:val="00230309"/>
    <w:rsid w:val="0023578C"/>
    <w:rsid w:val="00235AC5"/>
    <w:rsid w:val="002370F2"/>
    <w:rsid w:val="002377E0"/>
    <w:rsid w:val="00240BB6"/>
    <w:rsid w:val="002432CA"/>
    <w:rsid w:val="00243D40"/>
    <w:rsid w:val="00245250"/>
    <w:rsid w:val="002477CB"/>
    <w:rsid w:val="00247BF6"/>
    <w:rsid w:val="00250A33"/>
    <w:rsid w:val="00251047"/>
    <w:rsid w:val="00251126"/>
    <w:rsid w:val="002524D2"/>
    <w:rsid w:val="00252802"/>
    <w:rsid w:val="00261A50"/>
    <w:rsid w:val="002634C3"/>
    <w:rsid w:val="00265B3A"/>
    <w:rsid w:val="0027052E"/>
    <w:rsid w:val="00271E9D"/>
    <w:rsid w:val="00271F7D"/>
    <w:rsid w:val="00274E85"/>
    <w:rsid w:val="002777F6"/>
    <w:rsid w:val="00277907"/>
    <w:rsid w:val="00280C42"/>
    <w:rsid w:val="00281B73"/>
    <w:rsid w:val="002833C9"/>
    <w:rsid w:val="00285E5C"/>
    <w:rsid w:val="00290B63"/>
    <w:rsid w:val="00290E73"/>
    <w:rsid w:val="00291347"/>
    <w:rsid w:val="00293415"/>
    <w:rsid w:val="00294689"/>
    <w:rsid w:val="0029539A"/>
    <w:rsid w:val="00295B60"/>
    <w:rsid w:val="00295DE8"/>
    <w:rsid w:val="002A1A82"/>
    <w:rsid w:val="002A2FB0"/>
    <w:rsid w:val="002A4D32"/>
    <w:rsid w:val="002A5F87"/>
    <w:rsid w:val="002A6BBD"/>
    <w:rsid w:val="002B017B"/>
    <w:rsid w:val="002B0DC0"/>
    <w:rsid w:val="002B2664"/>
    <w:rsid w:val="002B4E21"/>
    <w:rsid w:val="002B5000"/>
    <w:rsid w:val="002B78AA"/>
    <w:rsid w:val="002C383C"/>
    <w:rsid w:val="002D15BB"/>
    <w:rsid w:val="002D1C13"/>
    <w:rsid w:val="002D3109"/>
    <w:rsid w:val="002D378C"/>
    <w:rsid w:val="002D6413"/>
    <w:rsid w:val="002D6F14"/>
    <w:rsid w:val="002D74D5"/>
    <w:rsid w:val="002E4922"/>
    <w:rsid w:val="002E4B2C"/>
    <w:rsid w:val="002E5261"/>
    <w:rsid w:val="002F00BB"/>
    <w:rsid w:val="002F1DE7"/>
    <w:rsid w:val="002F2627"/>
    <w:rsid w:val="002F2748"/>
    <w:rsid w:val="002F6445"/>
    <w:rsid w:val="002F6580"/>
    <w:rsid w:val="002F6DE8"/>
    <w:rsid w:val="002F74D8"/>
    <w:rsid w:val="002F7C72"/>
    <w:rsid w:val="002F7EDC"/>
    <w:rsid w:val="003003A8"/>
    <w:rsid w:val="0030091B"/>
    <w:rsid w:val="00301E62"/>
    <w:rsid w:val="00304063"/>
    <w:rsid w:val="0030555F"/>
    <w:rsid w:val="00305A3B"/>
    <w:rsid w:val="00305BB4"/>
    <w:rsid w:val="0030645F"/>
    <w:rsid w:val="003117B9"/>
    <w:rsid w:val="00311C71"/>
    <w:rsid w:val="00313073"/>
    <w:rsid w:val="00313185"/>
    <w:rsid w:val="0031336C"/>
    <w:rsid w:val="0031339F"/>
    <w:rsid w:val="003133F1"/>
    <w:rsid w:val="00313F3E"/>
    <w:rsid w:val="00323F65"/>
    <w:rsid w:val="00326147"/>
    <w:rsid w:val="0033051E"/>
    <w:rsid w:val="0033401D"/>
    <w:rsid w:val="00334456"/>
    <w:rsid w:val="003356EE"/>
    <w:rsid w:val="00336150"/>
    <w:rsid w:val="00336E99"/>
    <w:rsid w:val="00342417"/>
    <w:rsid w:val="003454EC"/>
    <w:rsid w:val="00346537"/>
    <w:rsid w:val="00347B94"/>
    <w:rsid w:val="003527DD"/>
    <w:rsid w:val="003547A2"/>
    <w:rsid w:val="00355171"/>
    <w:rsid w:val="0035733A"/>
    <w:rsid w:val="003619C4"/>
    <w:rsid w:val="00362702"/>
    <w:rsid w:val="00362A37"/>
    <w:rsid w:val="00362CF0"/>
    <w:rsid w:val="00362D5D"/>
    <w:rsid w:val="00364AC5"/>
    <w:rsid w:val="00365D15"/>
    <w:rsid w:val="0036702F"/>
    <w:rsid w:val="00367F3A"/>
    <w:rsid w:val="00370BDF"/>
    <w:rsid w:val="00372FA2"/>
    <w:rsid w:val="003735E9"/>
    <w:rsid w:val="003739FE"/>
    <w:rsid w:val="003749D5"/>
    <w:rsid w:val="0038254F"/>
    <w:rsid w:val="003828EC"/>
    <w:rsid w:val="00383488"/>
    <w:rsid w:val="003843BB"/>
    <w:rsid w:val="003859DA"/>
    <w:rsid w:val="00386153"/>
    <w:rsid w:val="00386BA7"/>
    <w:rsid w:val="00390B48"/>
    <w:rsid w:val="0039213A"/>
    <w:rsid w:val="00393BF6"/>
    <w:rsid w:val="00395D4D"/>
    <w:rsid w:val="00396D64"/>
    <w:rsid w:val="00397A06"/>
    <w:rsid w:val="003A0FAF"/>
    <w:rsid w:val="003A38BD"/>
    <w:rsid w:val="003A38C8"/>
    <w:rsid w:val="003A6045"/>
    <w:rsid w:val="003A72D0"/>
    <w:rsid w:val="003B22FD"/>
    <w:rsid w:val="003B3004"/>
    <w:rsid w:val="003B3A47"/>
    <w:rsid w:val="003B4168"/>
    <w:rsid w:val="003B42FF"/>
    <w:rsid w:val="003B62D2"/>
    <w:rsid w:val="003B66A3"/>
    <w:rsid w:val="003C27F7"/>
    <w:rsid w:val="003C62C1"/>
    <w:rsid w:val="003C6FA4"/>
    <w:rsid w:val="003D0B3E"/>
    <w:rsid w:val="003D2352"/>
    <w:rsid w:val="003D3863"/>
    <w:rsid w:val="003D3D0A"/>
    <w:rsid w:val="003D63F1"/>
    <w:rsid w:val="003E0800"/>
    <w:rsid w:val="003E1584"/>
    <w:rsid w:val="003E33DE"/>
    <w:rsid w:val="003E3593"/>
    <w:rsid w:val="003E585F"/>
    <w:rsid w:val="003E6049"/>
    <w:rsid w:val="003E67F9"/>
    <w:rsid w:val="003F0D27"/>
    <w:rsid w:val="003F1C98"/>
    <w:rsid w:val="003F317C"/>
    <w:rsid w:val="003F4813"/>
    <w:rsid w:val="00403231"/>
    <w:rsid w:val="00406654"/>
    <w:rsid w:val="0041100B"/>
    <w:rsid w:val="004114F3"/>
    <w:rsid w:val="00412894"/>
    <w:rsid w:val="004130C3"/>
    <w:rsid w:val="00413E71"/>
    <w:rsid w:val="00415454"/>
    <w:rsid w:val="00421363"/>
    <w:rsid w:val="00421921"/>
    <w:rsid w:val="00422100"/>
    <w:rsid w:val="004254D3"/>
    <w:rsid w:val="0042746B"/>
    <w:rsid w:val="00433B69"/>
    <w:rsid w:val="00435AFE"/>
    <w:rsid w:val="004369AD"/>
    <w:rsid w:val="00436DD6"/>
    <w:rsid w:val="00444FB7"/>
    <w:rsid w:val="00450674"/>
    <w:rsid w:val="004533FE"/>
    <w:rsid w:val="00454715"/>
    <w:rsid w:val="00454D80"/>
    <w:rsid w:val="00456785"/>
    <w:rsid w:val="00462EB0"/>
    <w:rsid w:val="00463933"/>
    <w:rsid w:val="00464346"/>
    <w:rsid w:val="00470325"/>
    <w:rsid w:val="00470F42"/>
    <w:rsid w:val="00471605"/>
    <w:rsid w:val="0047297A"/>
    <w:rsid w:val="00474709"/>
    <w:rsid w:val="00480184"/>
    <w:rsid w:val="00480516"/>
    <w:rsid w:val="00480658"/>
    <w:rsid w:val="00480D3C"/>
    <w:rsid w:val="0048170B"/>
    <w:rsid w:val="00481BD4"/>
    <w:rsid w:val="00482AA2"/>
    <w:rsid w:val="00484504"/>
    <w:rsid w:val="0048579F"/>
    <w:rsid w:val="00487005"/>
    <w:rsid w:val="004901A7"/>
    <w:rsid w:val="00490F93"/>
    <w:rsid w:val="004A084F"/>
    <w:rsid w:val="004A1FA1"/>
    <w:rsid w:val="004A3225"/>
    <w:rsid w:val="004A3F90"/>
    <w:rsid w:val="004A5F59"/>
    <w:rsid w:val="004A6F1F"/>
    <w:rsid w:val="004B17D8"/>
    <w:rsid w:val="004B2323"/>
    <w:rsid w:val="004B240F"/>
    <w:rsid w:val="004B62C3"/>
    <w:rsid w:val="004B6854"/>
    <w:rsid w:val="004C0BC8"/>
    <w:rsid w:val="004C461A"/>
    <w:rsid w:val="004C7D23"/>
    <w:rsid w:val="004D0783"/>
    <w:rsid w:val="004D11CB"/>
    <w:rsid w:val="004D49E3"/>
    <w:rsid w:val="004D7163"/>
    <w:rsid w:val="004E0366"/>
    <w:rsid w:val="004E1C30"/>
    <w:rsid w:val="004E3342"/>
    <w:rsid w:val="004E45AC"/>
    <w:rsid w:val="004E4672"/>
    <w:rsid w:val="004E5593"/>
    <w:rsid w:val="004E7A1E"/>
    <w:rsid w:val="004E7F1A"/>
    <w:rsid w:val="004F0352"/>
    <w:rsid w:val="004F0740"/>
    <w:rsid w:val="004F415D"/>
    <w:rsid w:val="004F4980"/>
    <w:rsid w:val="004F66F4"/>
    <w:rsid w:val="004F7710"/>
    <w:rsid w:val="00502A45"/>
    <w:rsid w:val="0050542C"/>
    <w:rsid w:val="00511BE0"/>
    <w:rsid w:val="00512DC1"/>
    <w:rsid w:val="00514C6B"/>
    <w:rsid w:val="005161EC"/>
    <w:rsid w:val="0051709F"/>
    <w:rsid w:val="005175EB"/>
    <w:rsid w:val="00521A18"/>
    <w:rsid w:val="00522079"/>
    <w:rsid w:val="00522622"/>
    <w:rsid w:val="0052450E"/>
    <w:rsid w:val="00525410"/>
    <w:rsid w:val="00530703"/>
    <w:rsid w:val="00530763"/>
    <w:rsid w:val="00534EFD"/>
    <w:rsid w:val="00535CD6"/>
    <w:rsid w:val="005362F2"/>
    <w:rsid w:val="00543B42"/>
    <w:rsid w:val="0054651A"/>
    <w:rsid w:val="00546EA9"/>
    <w:rsid w:val="005474CD"/>
    <w:rsid w:val="005501B7"/>
    <w:rsid w:val="0055152E"/>
    <w:rsid w:val="00552094"/>
    <w:rsid w:val="00553D73"/>
    <w:rsid w:val="00554BAF"/>
    <w:rsid w:val="00555A15"/>
    <w:rsid w:val="00556291"/>
    <w:rsid w:val="005569E4"/>
    <w:rsid w:val="00560E11"/>
    <w:rsid w:val="00561147"/>
    <w:rsid w:val="00561463"/>
    <w:rsid w:val="00561F8F"/>
    <w:rsid w:val="005620E7"/>
    <w:rsid w:val="00563A0E"/>
    <w:rsid w:val="005647D0"/>
    <w:rsid w:val="00574C59"/>
    <w:rsid w:val="00576CE2"/>
    <w:rsid w:val="005770AC"/>
    <w:rsid w:val="00577C1A"/>
    <w:rsid w:val="00577FAA"/>
    <w:rsid w:val="0058041D"/>
    <w:rsid w:val="005826AA"/>
    <w:rsid w:val="00583CE7"/>
    <w:rsid w:val="005856E9"/>
    <w:rsid w:val="005867BB"/>
    <w:rsid w:val="00587452"/>
    <w:rsid w:val="00591C2A"/>
    <w:rsid w:val="00592461"/>
    <w:rsid w:val="00592539"/>
    <w:rsid w:val="00596A05"/>
    <w:rsid w:val="00596D6D"/>
    <w:rsid w:val="00597284"/>
    <w:rsid w:val="00597F8F"/>
    <w:rsid w:val="005A1EA2"/>
    <w:rsid w:val="005A2467"/>
    <w:rsid w:val="005A5858"/>
    <w:rsid w:val="005A6E51"/>
    <w:rsid w:val="005A7C7F"/>
    <w:rsid w:val="005A7D88"/>
    <w:rsid w:val="005B130C"/>
    <w:rsid w:val="005B14FF"/>
    <w:rsid w:val="005B3B71"/>
    <w:rsid w:val="005B4B1B"/>
    <w:rsid w:val="005B4F0F"/>
    <w:rsid w:val="005B58F0"/>
    <w:rsid w:val="005C0E62"/>
    <w:rsid w:val="005C0F5B"/>
    <w:rsid w:val="005C2E15"/>
    <w:rsid w:val="005C403B"/>
    <w:rsid w:val="005C63CB"/>
    <w:rsid w:val="005D0AA6"/>
    <w:rsid w:val="005D165F"/>
    <w:rsid w:val="005D21F3"/>
    <w:rsid w:val="005D3CE5"/>
    <w:rsid w:val="005D3CF8"/>
    <w:rsid w:val="005D5D89"/>
    <w:rsid w:val="005E0D2D"/>
    <w:rsid w:val="005E3FB6"/>
    <w:rsid w:val="005F4583"/>
    <w:rsid w:val="005F4ABB"/>
    <w:rsid w:val="005F5FAB"/>
    <w:rsid w:val="005F6066"/>
    <w:rsid w:val="005F6562"/>
    <w:rsid w:val="005F6C6D"/>
    <w:rsid w:val="005F6F09"/>
    <w:rsid w:val="005F787A"/>
    <w:rsid w:val="006019C7"/>
    <w:rsid w:val="00601E7B"/>
    <w:rsid w:val="00601EBC"/>
    <w:rsid w:val="00602D32"/>
    <w:rsid w:val="00603A84"/>
    <w:rsid w:val="006067DC"/>
    <w:rsid w:val="00610629"/>
    <w:rsid w:val="00611BCD"/>
    <w:rsid w:val="0061258D"/>
    <w:rsid w:val="006142EC"/>
    <w:rsid w:val="006155A5"/>
    <w:rsid w:val="00617824"/>
    <w:rsid w:val="00624214"/>
    <w:rsid w:val="00625419"/>
    <w:rsid w:val="00626D1A"/>
    <w:rsid w:val="00627429"/>
    <w:rsid w:val="00627FAE"/>
    <w:rsid w:val="0063089C"/>
    <w:rsid w:val="00632A91"/>
    <w:rsid w:val="00633430"/>
    <w:rsid w:val="006345E8"/>
    <w:rsid w:val="0063765C"/>
    <w:rsid w:val="006403CB"/>
    <w:rsid w:val="006410B0"/>
    <w:rsid w:val="0064139F"/>
    <w:rsid w:val="00641404"/>
    <w:rsid w:val="00641EDA"/>
    <w:rsid w:val="00642B97"/>
    <w:rsid w:val="00643680"/>
    <w:rsid w:val="00644453"/>
    <w:rsid w:val="00644B32"/>
    <w:rsid w:val="0064639A"/>
    <w:rsid w:val="0064646F"/>
    <w:rsid w:val="00646523"/>
    <w:rsid w:val="00647BDD"/>
    <w:rsid w:val="0065273C"/>
    <w:rsid w:val="00656A74"/>
    <w:rsid w:val="00657221"/>
    <w:rsid w:val="00661FC1"/>
    <w:rsid w:val="00663FED"/>
    <w:rsid w:val="00664B64"/>
    <w:rsid w:val="006678E3"/>
    <w:rsid w:val="00667A9C"/>
    <w:rsid w:val="006712E8"/>
    <w:rsid w:val="00677DA7"/>
    <w:rsid w:val="00680212"/>
    <w:rsid w:val="00680C90"/>
    <w:rsid w:val="00681036"/>
    <w:rsid w:val="006823AD"/>
    <w:rsid w:val="00682C29"/>
    <w:rsid w:val="00685872"/>
    <w:rsid w:val="00685AD7"/>
    <w:rsid w:val="00691963"/>
    <w:rsid w:val="00692124"/>
    <w:rsid w:val="00692D96"/>
    <w:rsid w:val="0069374A"/>
    <w:rsid w:val="00693C96"/>
    <w:rsid w:val="00696339"/>
    <w:rsid w:val="00696982"/>
    <w:rsid w:val="006A3F85"/>
    <w:rsid w:val="006A48FA"/>
    <w:rsid w:val="006A56F1"/>
    <w:rsid w:val="006A6E5C"/>
    <w:rsid w:val="006A7043"/>
    <w:rsid w:val="006B0972"/>
    <w:rsid w:val="006B3153"/>
    <w:rsid w:val="006B4D0A"/>
    <w:rsid w:val="006B5871"/>
    <w:rsid w:val="006B6BB1"/>
    <w:rsid w:val="006B7212"/>
    <w:rsid w:val="006C14C3"/>
    <w:rsid w:val="006C4B6F"/>
    <w:rsid w:val="006C589D"/>
    <w:rsid w:val="006C769C"/>
    <w:rsid w:val="006C7A95"/>
    <w:rsid w:val="006D11E8"/>
    <w:rsid w:val="006D4B0E"/>
    <w:rsid w:val="006D753C"/>
    <w:rsid w:val="006E0A00"/>
    <w:rsid w:val="006E306D"/>
    <w:rsid w:val="006E4BEC"/>
    <w:rsid w:val="006E6968"/>
    <w:rsid w:val="006F04C6"/>
    <w:rsid w:val="006F08A0"/>
    <w:rsid w:val="006F202F"/>
    <w:rsid w:val="006F2A97"/>
    <w:rsid w:val="006F7AD7"/>
    <w:rsid w:val="00702627"/>
    <w:rsid w:val="0070359F"/>
    <w:rsid w:val="0070464C"/>
    <w:rsid w:val="00705474"/>
    <w:rsid w:val="00705B46"/>
    <w:rsid w:val="007076B2"/>
    <w:rsid w:val="00711BBB"/>
    <w:rsid w:val="0071340A"/>
    <w:rsid w:val="00713FC7"/>
    <w:rsid w:val="00716FD1"/>
    <w:rsid w:val="00720D0F"/>
    <w:rsid w:val="007218A9"/>
    <w:rsid w:val="0072241C"/>
    <w:rsid w:val="00723197"/>
    <w:rsid w:val="007245A5"/>
    <w:rsid w:val="00731628"/>
    <w:rsid w:val="00733DC9"/>
    <w:rsid w:val="00734108"/>
    <w:rsid w:val="007343AD"/>
    <w:rsid w:val="0073448D"/>
    <w:rsid w:val="00735087"/>
    <w:rsid w:val="00736FA0"/>
    <w:rsid w:val="0074053E"/>
    <w:rsid w:val="0075000E"/>
    <w:rsid w:val="00752156"/>
    <w:rsid w:val="00753A7A"/>
    <w:rsid w:val="00756E77"/>
    <w:rsid w:val="007577C2"/>
    <w:rsid w:val="0076038F"/>
    <w:rsid w:val="00760D77"/>
    <w:rsid w:val="007617E5"/>
    <w:rsid w:val="0077124E"/>
    <w:rsid w:val="00772FA7"/>
    <w:rsid w:val="0077578C"/>
    <w:rsid w:val="00781ACA"/>
    <w:rsid w:val="007823CF"/>
    <w:rsid w:val="00783E35"/>
    <w:rsid w:val="00784F67"/>
    <w:rsid w:val="00786754"/>
    <w:rsid w:val="00786D49"/>
    <w:rsid w:val="00787061"/>
    <w:rsid w:val="00790F0A"/>
    <w:rsid w:val="00790F5E"/>
    <w:rsid w:val="007927A6"/>
    <w:rsid w:val="00797F6E"/>
    <w:rsid w:val="007A1F4C"/>
    <w:rsid w:val="007A53F8"/>
    <w:rsid w:val="007B05BD"/>
    <w:rsid w:val="007B31A5"/>
    <w:rsid w:val="007B3327"/>
    <w:rsid w:val="007B3533"/>
    <w:rsid w:val="007B4996"/>
    <w:rsid w:val="007B6926"/>
    <w:rsid w:val="007B6FA3"/>
    <w:rsid w:val="007B705D"/>
    <w:rsid w:val="007C1F4D"/>
    <w:rsid w:val="007C5764"/>
    <w:rsid w:val="007C61D0"/>
    <w:rsid w:val="007C6FAA"/>
    <w:rsid w:val="007C768F"/>
    <w:rsid w:val="007D251F"/>
    <w:rsid w:val="007D4FA2"/>
    <w:rsid w:val="007E0874"/>
    <w:rsid w:val="007E0FAD"/>
    <w:rsid w:val="007E60E9"/>
    <w:rsid w:val="007E63F3"/>
    <w:rsid w:val="007E6F5A"/>
    <w:rsid w:val="007F0916"/>
    <w:rsid w:val="007F1E7D"/>
    <w:rsid w:val="007F2A79"/>
    <w:rsid w:val="007F3026"/>
    <w:rsid w:val="007F42DD"/>
    <w:rsid w:val="007F4E0F"/>
    <w:rsid w:val="007F77CA"/>
    <w:rsid w:val="008011ED"/>
    <w:rsid w:val="00801636"/>
    <w:rsid w:val="00802907"/>
    <w:rsid w:val="00803935"/>
    <w:rsid w:val="00804166"/>
    <w:rsid w:val="008045D0"/>
    <w:rsid w:val="008059B8"/>
    <w:rsid w:val="00810333"/>
    <w:rsid w:val="0081415C"/>
    <w:rsid w:val="00814F63"/>
    <w:rsid w:val="0081590D"/>
    <w:rsid w:val="00815E57"/>
    <w:rsid w:val="008166F5"/>
    <w:rsid w:val="0081677E"/>
    <w:rsid w:val="00817467"/>
    <w:rsid w:val="0082043E"/>
    <w:rsid w:val="00822905"/>
    <w:rsid w:val="0082299E"/>
    <w:rsid w:val="00827CD1"/>
    <w:rsid w:val="00832164"/>
    <w:rsid w:val="00832F53"/>
    <w:rsid w:val="008331F0"/>
    <w:rsid w:val="00834003"/>
    <w:rsid w:val="0083455F"/>
    <w:rsid w:val="00834EA0"/>
    <w:rsid w:val="00843042"/>
    <w:rsid w:val="00843C37"/>
    <w:rsid w:val="00844886"/>
    <w:rsid w:val="00844C2D"/>
    <w:rsid w:val="00846D68"/>
    <w:rsid w:val="008518E5"/>
    <w:rsid w:val="00852B15"/>
    <w:rsid w:val="00856135"/>
    <w:rsid w:val="00857A96"/>
    <w:rsid w:val="00861FE5"/>
    <w:rsid w:val="0086376D"/>
    <w:rsid w:val="008640C1"/>
    <w:rsid w:val="008703C2"/>
    <w:rsid w:val="0087209F"/>
    <w:rsid w:val="00875AED"/>
    <w:rsid w:val="008806CC"/>
    <w:rsid w:val="008849E6"/>
    <w:rsid w:val="0088513E"/>
    <w:rsid w:val="00886300"/>
    <w:rsid w:val="0089099F"/>
    <w:rsid w:val="00890AAF"/>
    <w:rsid w:val="00892F7A"/>
    <w:rsid w:val="00894CEB"/>
    <w:rsid w:val="00896A62"/>
    <w:rsid w:val="00897B88"/>
    <w:rsid w:val="008A113D"/>
    <w:rsid w:val="008A4CFA"/>
    <w:rsid w:val="008A678B"/>
    <w:rsid w:val="008B0034"/>
    <w:rsid w:val="008B0702"/>
    <w:rsid w:val="008B2397"/>
    <w:rsid w:val="008B33B5"/>
    <w:rsid w:val="008B3CD6"/>
    <w:rsid w:val="008B6003"/>
    <w:rsid w:val="008B691D"/>
    <w:rsid w:val="008C4D11"/>
    <w:rsid w:val="008D54FA"/>
    <w:rsid w:val="008D5C05"/>
    <w:rsid w:val="008D6490"/>
    <w:rsid w:val="008D6FFD"/>
    <w:rsid w:val="008E1191"/>
    <w:rsid w:val="008E342E"/>
    <w:rsid w:val="008E4D9C"/>
    <w:rsid w:val="008E566D"/>
    <w:rsid w:val="008E588C"/>
    <w:rsid w:val="008F52D9"/>
    <w:rsid w:val="008F6BC6"/>
    <w:rsid w:val="008F7B20"/>
    <w:rsid w:val="00902B4C"/>
    <w:rsid w:val="00903FC5"/>
    <w:rsid w:val="0090403F"/>
    <w:rsid w:val="00906278"/>
    <w:rsid w:val="009071FF"/>
    <w:rsid w:val="00907459"/>
    <w:rsid w:val="009108DB"/>
    <w:rsid w:val="009112EB"/>
    <w:rsid w:val="00913191"/>
    <w:rsid w:val="009131F2"/>
    <w:rsid w:val="00916431"/>
    <w:rsid w:val="00917DBE"/>
    <w:rsid w:val="00924998"/>
    <w:rsid w:val="0092605A"/>
    <w:rsid w:val="0092689A"/>
    <w:rsid w:val="0093228E"/>
    <w:rsid w:val="009325E1"/>
    <w:rsid w:val="00933602"/>
    <w:rsid w:val="009338B2"/>
    <w:rsid w:val="009351EF"/>
    <w:rsid w:val="0093698F"/>
    <w:rsid w:val="00940914"/>
    <w:rsid w:val="009409E8"/>
    <w:rsid w:val="00942250"/>
    <w:rsid w:val="00942706"/>
    <w:rsid w:val="00942E51"/>
    <w:rsid w:val="00946A6A"/>
    <w:rsid w:val="00947EB7"/>
    <w:rsid w:val="0095056B"/>
    <w:rsid w:val="00951FC3"/>
    <w:rsid w:val="009520BD"/>
    <w:rsid w:val="00952B29"/>
    <w:rsid w:val="00953DBA"/>
    <w:rsid w:val="00954137"/>
    <w:rsid w:val="00955882"/>
    <w:rsid w:val="00955ABF"/>
    <w:rsid w:val="00956F74"/>
    <w:rsid w:val="00956F84"/>
    <w:rsid w:val="009575A0"/>
    <w:rsid w:val="00957C6C"/>
    <w:rsid w:val="00960AA2"/>
    <w:rsid w:val="009649DC"/>
    <w:rsid w:val="0096686E"/>
    <w:rsid w:val="00966EB2"/>
    <w:rsid w:val="00970C67"/>
    <w:rsid w:val="00974456"/>
    <w:rsid w:val="00977714"/>
    <w:rsid w:val="00984A4C"/>
    <w:rsid w:val="00991483"/>
    <w:rsid w:val="0099296D"/>
    <w:rsid w:val="009935AA"/>
    <w:rsid w:val="00993F94"/>
    <w:rsid w:val="009951B2"/>
    <w:rsid w:val="009A039C"/>
    <w:rsid w:val="009A2859"/>
    <w:rsid w:val="009A2A36"/>
    <w:rsid w:val="009A4E90"/>
    <w:rsid w:val="009A50B8"/>
    <w:rsid w:val="009A737B"/>
    <w:rsid w:val="009B1823"/>
    <w:rsid w:val="009B406F"/>
    <w:rsid w:val="009B443A"/>
    <w:rsid w:val="009B4D09"/>
    <w:rsid w:val="009B6DD1"/>
    <w:rsid w:val="009C08BC"/>
    <w:rsid w:val="009C1332"/>
    <w:rsid w:val="009C4A4F"/>
    <w:rsid w:val="009C6D34"/>
    <w:rsid w:val="009C7F4C"/>
    <w:rsid w:val="009D2E97"/>
    <w:rsid w:val="009D328E"/>
    <w:rsid w:val="009D3438"/>
    <w:rsid w:val="009D3B88"/>
    <w:rsid w:val="009D40B6"/>
    <w:rsid w:val="009D4D3A"/>
    <w:rsid w:val="009D7AD4"/>
    <w:rsid w:val="009E1231"/>
    <w:rsid w:val="009E1A57"/>
    <w:rsid w:val="009E36CA"/>
    <w:rsid w:val="009E4B6B"/>
    <w:rsid w:val="009E6470"/>
    <w:rsid w:val="009E7175"/>
    <w:rsid w:val="009F08CB"/>
    <w:rsid w:val="009F1E5E"/>
    <w:rsid w:val="009F497B"/>
    <w:rsid w:val="009F5331"/>
    <w:rsid w:val="009F6453"/>
    <w:rsid w:val="009F6AD6"/>
    <w:rsid w:val="009F6F30"/>
    <w:rsid w:val="009F7BFB"/>
    <w:rsid w:val="00A0081F"/>
    <w:rsid w:val="00A01B61"/>
    <w:rsid w:val="00A03BCB"/>
    <w:rsid w:val="00A03EDF"/>
    <w:rsid w:val="00A04529"/>
    <w:rsid w:val="00A048F3"/>
    <w:rsid w:val="00A04CA6"/>
    <w:rsid w:val="00A052DD"/>
    <w:rsid w:val="00A06E6F"/>
    <w:rsid w:val="00A12A49"/>
    <w:rsid w:val="00A135C4"/>
    <w:rsid w:val="00A13CB5"/>
    <w:rsid w:val="00A13FEC"/>
    <w:rsid w:val="00A200C3"/>
    <w:rsid w:val="00A21038"/>
    <w:rsid w:val="00A21103"/>
    <w:rsid w:val="00A21E3C"/>
    <w:rsid w:val="00A23419"/>
    <w:rsid w:val="00A23654"/>
    <w:rsid w:val="00A24BBD"/>
    <w:rsid w:val="00A26D62"/>
    <w:rsid w:val="00A27D2E"/>
    <w:rsid w:val="00A30D78"/>
    <w:rsid w:val="00A31032"/>
    <w:rsid w:val="00A31CCF"/>
    <w:rsid w:val="00A31D78"/>
    <w:rsid w:val="00A32598"/>
    <w:rsid w:val="00A33EF8"/>
    <w:rsid w:val="00A3432E"/>
    <w:rsid w:val="00A40DFB"/>
    <w:rsid w:val="00A435BF"/>
    <w:rsid w:val="00A448B0"/>
    <w:rsid w:val="00A46981"/>
    <w:rsid w:val="00A5210B"/>
    <w:rsid w:val="00A524EC"/>
    <w:rsid w:val="00A52B73"/>
    <w:rsid w:val="00A52F4A"/>
    <w:rsid w:val="00A531D6"/>
    <w:rsid w:val="00A54346"/>
    <w:rsid w:val="00A55211"/>
    <w:rsid w:val="00A569C9"/>
    <w:rsid w:val="00A57E0C"/>
    <w:rsid w:val="00A6039D"/>
    <w:rsid w:val="00A631B5"/>
    <w:rsid w:val="00A63351"/>
    <w:rsid w:val="00A6487D"/>
    <w:rsid w:val="00A65DF5"/>
    <w:rsid w:val="00A66D3E"/>
    <w:rsid w:val="00A676CE"/>
    <w:rsid w:val="00A7001C"/>
    <w:rsid w:val="00A70A43"/>
    <w:rsid w:val="00A75807"/>
    <w:rsid w:val="00A77913"/>
    <w:rsid w:val="00A8209D"/>
    <w:rsid w:val="00A82652"/>
    <w:rsid w:val="00A82740"/>
    <w:rsid w:val="00A860C9"/>
    <w:rsid w:val="00A9137F"/>
    <w:rsid w:val="00A9483B"/>
    <w:rsid w:val="00A94F2C"/>
    <w:rsid w:val="00A972E1"/>
    <w:rsid w:val="00AA3F8C"/>
    <w:rsid w:val="00AA6E6B"/>
    <w:rsid w:val="00AB3052"/>
    <w:rsid w:val="00AB4248"/>
    <w:rsid w:val="00AB4520"/>
    <w:rsid w:val="00AB572D"/>
    <w:rsid w:val="00AB5A86"/>
    <w:rsid w:val="00AB6170"/>
    <w:rsid w:val="00AB707C"/>
    <w:rsid w:val="00AC0B37"/>
    <w:rsid w:val="00AC0E4A"/>
    <w:rsid w:val="00AC2185"/>
    <w:rsid w:val="00AC3068"/>
    <w:rsid w:val="00AC3C48"/>
    <w:rsid w:val="00AC4067"/>
    <w:rsid w:val="00AC53DF"/>
    <w:rsid w:val="00AC54F8"/>
    <w:rsid w:val="00AC692A"/>
    <w:rsid w:val="00AD0F08"/>
    <w:rsid w:val="00AD13CB"/>
    <w:rsid w:val="00AD1585"/>
    <w:rsid w:val="00AD1747"/>
    <w:rsid w:val="00AD235B"/>
    <w:rsid w:val="00AD560B"/>
    <w:rsid w:val="00AD5BBB"/>
    <w:rsid w:val="00AE02B5"/>
    <w:rsid w:val="00AE0494"/>
    <w:rsid w:val="00AE0B28"/>
    <w:rsid w:val="00AE0C8D"/>
    <w:rsid w:val="00AE0D50"/>
    <w:rsid w:val="00AE1947"/>
    <w:rsid w:val="00AE242E"/>
    <w:rsid w:val="00AE2D8E"/>
    <w:rsid w:val="00AE4ACD"/>
    <w:rsid w:val="00AE4C9F"/>
    <w:rsid w:val="00AE7A40"/>
    <w:rsid w:val="00AE7EF9"/>
    <w:rsid w:val="00AF3F73"/>
    <w:rsid w:val="00AF4A88"/>
    <w:rsid w:val="00AF5AF1"/>
    <w:rsid w:val="00AF60FC"/>
    <w:rsid w:val="00AF619D"/>
    <w:rsid w:val="00B01A75"/>
    <w:rsid w:val="00B02D39"/>
    <w:rsid w:val="00B03711"/>
    <w:rsid w:val="00B03B6B"/>
    <w:rsid w:val="00B04CC3"/>
    <w:rsid w:val="00B10501"/>
    <w:rsid w:val="00B12E2B"/>
    <w:rsid w:val="00B17DE2"/>
    <w:rsid w:val="00B2096A"/>
    <w:rsid w:val="00B20E8D"/>
    <w:rsid w:val="00B257DA"/>
    <w:rsid w:val="00B32541"/>
    <w:rsid w:val="00B3267F"/>
    <w:rsid w:val="00B35F87"/>
    <w:rsid w:val="00B379DA"/>
    <w:rsid w:val="00B37A67"/>
    <w:rsid w:val="00B37F03"/>
    <w:rsid w:val="00B410B7"/>
    <w:rsid w:val="00B41203"/>
    <w:rsid w:val="00B41500"/>
    <w:rsid w:val="00B5297F"/>
    <w:rsid w:val="00B52E16"/>
    <w:rsid w:val="00B53812"/>
    <w:rsid w:val="00B53C36"/>
    <w:rsid w:val="00B623DA"/>
    <w:rsid w:val="00B62736"/>
    <w:rsid w:val="00B62A71"/>
    <w:rsid w:val="00B62EF9"/>
    <w:rsid w:val="00B630C6"/>
    <w:rsid w:val="00B65DC0"/>
    <w:rsid w:val="00B67C2D"/>
    <w:rsid w:val="00B70D91"/>
    <w:rsid w:val="00B72837"/>
    <w:rsid w:val="00B72FA0"/>
    <w:rsid w:val="00B73209"/>
    <w:rsid w:val="00B7708B"/>
    <w:rsid w:val="00B7721B"/>
    <w:rsid w:val="00B80E25"/>
    <w:rsid w:val="00B81006"/>
    <w:rsid w:val="00B8347E"/>
    <w:rsid w:val="00B84B4A"/>
    <w:rsid w:val="00B8589C"/>
    <w:rsid w:val="00B86BAC"/>
    <w:rsid w:val="00B94592"/>
    <w:rsid w:val="00B94828"/>
    <w:rsid w:val="00B97B35"/>
    <w:rsid w:val="00BA3196"/>
    <w:rsid w:val="00BA3509"/>
    <w:rsid w:val="00BA5877"/>
    <w:rsid w:val="00BB124C"/>
    <w:rsid w:val="00BB17E3"/>
    <w:rsid w:val="00BB1CC2"/>
    <w:rsid w:val="00BB1CDB"/>
    <w:rsid w:val="00BB2110"/>
    <w:rsid w:val="00BB3645"/>
    <w:rsid w:val="00BB547E"/>
    <w:rsid w:val="00BB69B7"/>
    <w:rsid w:val="00BC2581"/>
    <w:rsid w:val="00BC3F55"/>
    <w:rsid w:val="00BC481A"/>
    <w:rsid w:val="00BC4D26"/>
    <w:rsid w:val="00BC555D"/>
    <w:rsid w:val="00BC658E"/>
    <w:rsid w:val="00BC6BC9"/>
    <w:rsid w:val="00BD0218"/>
    <w:rsid w:val="00BD1869"/>
    <w:rsid w:val="00BD200B"/>
    <w:rsid w:val="00BD5469"/>
    <w:rsid w:val="00BD63DF"/>
    <w:rsid w:val="00BD64D4"/>
    <w:rsid w:val="00BD7C4B"/>
    <w:rsid w:val="00BE33E8"/>
    <w:rsid w:val="00BF2BEB"/>
    <w:rsid w:val="00BF3197"/>
    <w:rsid w:val="00BF5E23"/>
    <w:rsid w:val="00BF6AD1"/>
    <w:rsid w:val="00BF772E"/>
    <w:rsid w:val="00C01DB8"/>
    <w:rsid w:val="00C02851"/>
    <w:rsid w:val="00C0300F"/>
    <w:rsid w:val="00C04C13"/>
    <w:rsid w:val="00C0523E"/>
    <w:rsid w:val="00C06C3C"/>
    <w:rsid w:val="00C0751C"/>
    <w:rsid w:val="00C07D81"/>
    <w:rsid w:val="00C07F14"/>
    <w:rsid w:val="00C11B64"/>
    <w:rsid w:val="00C1218B"/>
    <w:rsid w:val="00C12B6B"/>
    <w:rsid w:val="00C12C8F"/>
    <w:rsid w:val="00C135F1"/>
    <w:rsid w:val="00C140D0"/>
    <w:rsid w:val="00C14775"/>
    <w:rsid w:val="00C150A5"/>
    <w:rsid w:val="00C22B21"/>
    <w:rsid w:val="00C23593"/>
    <w:rsid w:val="00C23845"/>
    <w:rsid w:val="00C31846"/>
    <w:rsid w:val="00C32A33"/>
    <w:rsid w:val="00C367FB"/>
    <w:rsid w:val="00C41389"/>
    <w:rsid w:val="00C41BB7"/>
    <w:rsid w:val="00C42379"/>
    <w:rsid w:val="00C44004"/>
    <w:rsid w:val="00C445F4"/>
    <w:rsid w:val="00C54DF3"/>
    <w:rsid w:val="00C610B6"/>
    <w:rsid w:val="00C6257F"/>
    <w:rsid w:val="00C62D77"/>
    <w:rsid w:val="00C63117"/>
    <w:rsid w:val="00C63B1D"/>
    <w:rsid w:val="00C640C7"/>
    <w:rsid w:val="00C65784"/>
    <w:rsid w:val="00C67BDD"/>
    <w:rsid w:val="00C70F24"/>
    <w:rsid w:val="00C717F6"/>
    <w:rsid w:val="00C72FD7"/>
    <w:rsid w:val="00C8155C"/>
    <w:rsid w:val="00C86CDB"/>
    <w:rsid w:val="00C907F0"/>
    <w:rsid w:val="00C93A91"/>
    <w:rsid w:val="00C95601"/>
    <w:rsid w:val="00CA1947"/>
    <w:rsid w:val="00CA1C91"/>
    <w:rsid w:val="00CA323D"/>
    <w:rsid w:val="00CA54A0"/>
    <w:rsid w:val="00CB5515"/>
    <w:rsid w:val="00CB76EF"/>
    <w:rsid w:val="00CB7840"/>
    <w:rsid w:val="00CC0E24"/>
    <w:rsid w:val="00CC2390"/>
    <w:rsid w:val="00CC34E2"/>
    <w:rsid w:val="00CC4A5C"/>
    <w:rsid w:val="00CC5BB7"/>
    <w:rsid w:val="00CC5F62"/>
    <w:rsid w:val="00CC69B4"/>
    <w:rsid w:val="00CC6D17"/>
    <w:rsid w:val="00CC7102"/>
    <w:rsid w:val="00CC7CF3"/>
    <w:rsid w:val="00CD1E85"/>
    <w:rsid w:val="00CD31BE"/>
    <w:rsid w:val="00CD3AEA"/>
    <w:rsid w:val="00CD3C32"/>
    <w:rsid w:val="00CD4235"/>
    <w:rsid w:val="00CD56D7"/>
    <w:rsid w:val="00CD57FC"/>
    <w:rsid w:val="00CD632A"/>
    <w:rsid w:val="00CE0B6D"/>
    <w:rsid w:val="00CE127E"/>
    <w:rsid w:val="00CE1C10"/>
    <w:rsid w:val="00CE217C"/>
    <w:rsid w:val="00CE4AE9"/>
    <w:rsid w:val="00CF15E9"/>
    <w:rsid w:val="00CF41D0"/>
    <w:rsid w:val="00D00CF9"/>
    <w:rsid w:val="00D012FF"/>
    <w:rsid w:val="00D02A19"/>
    <w:rsid w:val="00D04CD8"/>
    <w:rsid w:val="00D04DEC"/>
    <w:rsid w:val="00D105EF"/>
    <w:rsid w:val="00D114ED"/>
    <w:rsid w:val="00D1261E"/>
    <w:rsid w:val="00D13F32"/>
    <w:rsid w:val="00D14B5E"/>
    <w:rsid w:val="00D1685E"/>
    <w:rsid w:val="00D171BA"/>
    <w:rsid w:val="00D20502"/>
    <w:rsid w:val="00D25B74"/>
    <w:rsid w:val="00D25CA1"/>
    <w:rsid w:val="00D2751D"/>
    <w:rsid w:val="00D309AD"/>
    <w:rsid w:val="00D31474"/>
    <w:rsid w:val="00D32933"/>
    <w:rsid w:val="00D3579F"/>
    <w:rsid w:val="00D36B62"/>
    <w:rsid w:val="00D37BF5"/>
    <w:rsid w:val="00D421A7"/>
    <w:rsid w:val="00D42987"/>
    <w:rsid w:val="00D42C18"/>
    <w:rsid w:val="00D43F5E"/>
    <w:rsid w:val="00D44623"/>
    <w:rsid w:val="00D47CF6"/>
    <w:rsid w:val="00D50820"/>
    <w:rsid w:val="00D511C3"/>
    <w:rsid w:val="00D5481D"/>
    <w:rsid w:val="00D55B2D"/>
    <w:rsid w:val="00D60045"/>
    <w:rsid w:val="00D628AE"/>
    <w:rsid w:val="00D647C9"/>
    <w:rsid w:val="00D6632B"/>
    <w:rsid w:val="00D67995"/>
    <w:rsid w:val="00D7163F"/>
    <w:rsid w:val="00D7298C"/>
    <w:rsid w:val="00D73998"/>
    <w:rsid w:val="00D76FD9"/>
    <w:rsid w:val="00D77D4D"/>
    <w:rsid w:val="00D800BD"/>
    <w:rsid w:val="00D816C8"/>
    <w:rsid w:val="00D81BC5"/>
    <w:rsid w:val="00D827CE"/>
    <w:rsid w:val="00D84DEB"/>
    <w:rsid w:val="00D877A6"/>
    <w:rsid w:val="00D904D9"/>
    <w:rsid w:val="00D946F0"/>
    <w:rsid w:val="00D95156"/>
    <w:rsid w:val="00D95BD9"/>
    <w:rsid w:val="00D95DC3"/>
    <w:rsid w:val="00D96A46"/>
    <w:rsid w:val="00D96A67"/>
    <w:rsid w:val="00DA12D5"/>
    <w:rsid w:val="00DA3326"/>
    <w:rsid w:val="00DA3644"/>
    <w:rsid w:val="00DA3FCB"/>
    <w:rsid w:val="00DA630F"/>
    <w:rsid w:val="00DA6A38"/>
    <w:rsid w:val="00DA6B30"/>
    <w:rsid w:val="00DA7040"/>
    <w:rsid w:val="00DB07B5"/>
    <w:rsid w:val="00DB07F9"/>
    <w:rsid w:val="00DB3CAF"/>
    <w:rsid w:val="00DB4966"/>
    <w:rsid w:val="00DC1386"/>
    <w:rsid w:val="00DC7944"/>
    <w:rsid w:val="00DC7A46"/>
    <w:rsid w:val="00DD0C9C"/>
    <w:rsid w:val="00DD0F54"/>
    <w:rsid w:val="00DD4F7A"/>
    <w:rsid w:val="00DD5050"/>
    <w:rsid w:val="00DD5306"/>
    <w:rsid w:val="00DD5903"/>
    <w:rsid w:val="00DD5E1E"/>
    <w:rsid w:val="00DD74EE"/>
    <w:rsid w:val="00DE229B"/>
    <w:rsid w:val="00DE292E"/>
    <w:rsid w:val="00DE3A2B"/>
    <w:rsid w:val="00DE4A81"/>
    <w:rsid w:val="00DE7AB8"/>
    <w:rsid w:val="00DF3188"/>
    <w:rsid w:val="00DF5529"/>
    <w:rsid w:val="00DF6DE8"/>
    <w:rsid w:val="00DF6FB0"/>
    <w:rsid w:val="00DF76B3"/>
    <w:rsid w:val="00DF76F2"/>
    <w:rsid w:val="00E00083"/>
    <w:rsid w:val="00E009E2"/>
    <w:rsid w:val="00E01DE7"/>
    <w:rsid w:val="00E0411F"/>
    <w:rsid w:val="00E0572E"/>
    <w:rsid w:val="00E10005"/>
    <w:rsid w:val="00E1238E"/>
    <w:rsid w:val="00E124B9"/>
    <w:rsid w:val="00E13F21"/>
    <w:rsid w:val="00E1612B"/>
    <w:rsid w:val="00E17515"/>
    <w:rsid w:val="00E20591"/>
    <w:rsid w:val="00E22766"/>
    <w:rsid w:val="00E2572E"/>
    <w:rsid w:val="00E2574E"/>
    <w:rsid w:val="00E2692D"/>
    <w:rsid w:val="00E271C2"/>
    <w:rsid w:val="00E27AC2"/>
    <w:rsid w:val="00E27EF1"/>
    <w:rsid w:val="00E30031"/>
    <w:rsid w:val="00E329A6"/>
    <w:rsid w:val="00E34CB5"/>
    <w:rsid w:val="00E36419"/>
    <w:rsid w:val="00E37789"/>
    <w:rsid w:val="00E42265"/>
    <w:rsid w:val="00E4246E"/>
    <w:rsid w:val="00E45DAA"/>
    <w:rsid w:val="00E46560"/>
    <w:rsid w:val="00E47307"/>
    <w:rsid w:val="00E47601"/>
    <w:rsid w:val="00E50DB1"/>
    <w:rsid w:val="00E51053"/>
    <w:rsid w:val="00E51A6B"/>
    <w:rsid w:val="00E51A9F"/>
    <w:rsid w:val="00E52CA8"/>
    <w:rsid w:val="00E550CE"/>
    <w:rsid w:val="00E60B86"/>
    <w:rsid w:val="00E62E45"/>
    <w:rsid w:val="00E62F7D"/>
    <w:rsid w:val="00E700B8"/>
    <w:rsid w:val="00E702B9"/>
    <w:rsid w:val="00E70588"/>
    <w:rsid w:val="00E75FA1"/>
    <w:rsid w:val="00E76419"/>
    <w:rsid w:val="00E77787"/>
    <w:rsid w:val="00E77CD7"/>
    <w:rsid w:val="00E82017"/>
    <w:rsid w:val="00E82792"/>
    <w:rsid w:val="00E844D7"/>
    <w:rsid w:val="00E86FE7"/>
    <w:rsid w:val="00E917EA"/>
    <w:rsid w:val="00E92E9D"/>
    <w:rsid w:val="00E93B3C"/>
    <w:rsid w:val="00E96A7F"/>
    <w:rsid w:val="00EA031A"/>
    <w:rsid w:val="00EA0CE9"/>
    <w:rsid w:val="00EA1A40"/>
    <w:rsid w:val="00EA330D"/>
    <w:rsid w:val="00EA5190"/>
    <w:rsid w:val="00EA5F4C"/>
    <w:rsid w:val="00EA6109"/>
    <w:rsid w:val="00EB2688"/>
    <w:rsid w:val="00EB6181"/>
    <w:rsid w:val="00EB664F"/>
    <w:rsid w:val="00EB7E37"/>
    <w:rsid w:val="00EC12E8"/>
    <w:rsid w:val="00EC1357"/>
    <w:rsid w:val="00EC5ACF"/>
    <w:rsid w:val="00ED22A8"/>
    <w:rsid w:val="00ED2479"/>
    <w:rsid w:val="00ED4EB4"/>
    <w:rsid w:val="00ED5D09"/>
    <w:rsid w:val="00ED7107"/>
    <w:rsid w:val="00EE2221"/>
    <w:rsid w:val="00EE276F"/>
    <w:rsid w:val="00EE2982"/>
    <w:rsid w:val="00EE634F"/>
    <w:rsid w:val="00EF369D"/>
    <w:rsid w:val="00EF38A7"/>
    <w:rsid w:val="00EF6A39"/>
    <w:rsid w:val="00F00B38"/>
    <w:rsid w:val="00F0376E"/>
    <w:rsid w:val="00F044B3"/>
    <w:rsid w:val="00F05E83"/>
    <w:rsid w:val="00F07DC4"/>
    <w:rsid w:val="00F07E05"/>
    <w:rsid w:val="00F10842"/>
    <w:rsid w:val="00F124A2"/>
    <w:rsid w:val="00F13C42"/>
    <w:rsid w:val="00F161F7"/>
    <w:rsid w:val="00F206E8"/>
    <w:rsid w:val="00F20871"/>
    <w:rsid w:val="00F21755"/>
    <w:rsid w:val="00F21F2E"/>
    <w:rsid w:val="00F23947"/>
    <w:rsid w:val="00F23B61"/>
    <w:rsid w:val="00F276F1"/>
    <w:rsid w:val="00F32680"/>
    <w:rsid w:val="00F33A66"/>
    <w:rsid w:val="00F34368"/>
    <w:rsid w:val="00F34E5A"/>
    <w:rsid w:val="00F35452"/>
    <w:rsid w:val="00F45532"/>
    <w:rsid w:val="00F45ED2"/>
    <w:rsid w:val="00F53C4F"/>
    <w:rsid w:val="00F56A51"/>
    <w:rsid w:val="00F61899"/>
    <w:rsid w:val="00F6368B"/>
    <w:rsid w:val="00F66CD4"/>
    <w:rsid w:val="00F66E01"/>
    <w:rsid w:val="00F7129A"/>
    <w:rsid w:val="00F7180D"/>
    <w:rsid w:val="00F727A7"/>
    <w:rsid w:val="00F729D7"/>
    <w:rsid w:val="00F774CD"/>
    <w:rsid w:val="00F80F59"/>
    <w:rsid w:val="00F82E69"/>
    <w:rsid w:val="00F8414D"/>
    <w:rsid w:val="00F84181"/>
    <w:rsid w:val="00F84C5D"/>
    <w:rsid w:val="00F86271"/>
    <w:rsid w:val="00F86A9C"/>
    <w:rsid w:val="00F87176"/>
    <w:rsid w:val="00F87303"/>
    <w:rsid w:val="00F91287"/>
    <w:rsid w:val="00F917FA"/>
    <w:rsid w:val="00F91B28"/>
    <w:rsid w:val="00F91DA0"/>
    <w:rsid w:val="00F9306F"/>
    <w:rsid w:val="00F94B4E"/>
    <w:rsid w:val="00F978B7"/>
    <w:rsid w:val="00FA2FCD"/>
    <w:rsid w:val="00FA3FA8"/>
    <w:rsid w:val="00FA4718"/>
    <w:rsid w:val="00FA6E64"/>
    <w:rsid w:val="00FB1DCD"/>
    <w:rsid w:val="00FB2F0E"/>
    <w:rsid w:val="00FB31CC"/>
    <w:rsid w:val="00FC05EE"/>
    <w:rsid w:val="00FC2EC6"/>
    <w:rsid w:val="00FC339A"/>
    <w:rsid w:val="00FC36E0"/>
    <w:rsid w:val="00FC546F"/>
    <w:rsid w:val="00FC6F5E"/>
    <w:rsid w:val="00FC711A"/>
    <w:rsid w:val="00FC7D31"/>
    <w:rsid w:val="00FD13AC"/>
    <w:rsid w:val="00FD2D28"/>
    <w:rsid w:val="00FD6BFE"/>
    <w:rsid w:val="00FE1100"/>
    <w:rsid w:val="00FE3FF3"/>
    <w:rsid w:val="00FE6D8B"/>
    <w:rsid w:val="00FF459F"/>
    <w:rsid w:val="00FF4D4F"/>
    <w:rsid w:val="1A113708"/>
    <w:rsid w:val="4D821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655051"/>
  <w15:docId w15:val="{7C717062-8545-498F-B20E-261AFD454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Lines="100" w:before="100" w:afterLines="100" w:after="100" w:line="360" w:lineRule="auto"/>
      <w:jc w:val="center"/>
      <w:outlineLvl w:val="0"/>
    </w:pPr>
    <w:rPr>
      <w:b/>
      <w:bCs/>
      <w:kern w:val="44"/>
      <w:sz w:val="28"/>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Cambria" w:hAnsi="Cambria"/>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pBdr>
        <w:bottom w:val="single" w:sz="6" w:space="1" w:color="auto"/>
      </w:pBdr>
      <w:tabs>
        <w:tab w:val="center" w:pos="4153"/>
        <w:tab w:val="right" w:pos="8306"/>
      </w:tabs>
      <w:snapToGrid w:val="0"/>
      <w:jc w:val="center"/>
    </w:pPr>
    <w:rPr>
      <w:kern w:val="0"/>
      <w:sz w:val="18"/>
      <w:szCs w:val="18"/>
    </w:rPr>
  </w:style>
  <w:style w:type="paragraph" w:styleId="a5">
    <w:name w:val="annotation subject"/>
    <w:basedOn w:val="a6"/>
    <w:next w:val="a6"/>
    <w:link w:val="a7"/>
    <w:uiPriority w:val="99"/>
    <w:unhideWhenUsed/>
    <w:rPr>
      <w:b/>
      <w:bCs/>
    </w:rPr>
  </w:style>
  <w:style w:type="paragraph" w:styleId="a6">
    <w:name w:val="annotation text"/>
    <w:basedOn w:val="a"/>
    <w:link w:val="a8"/>
    <w:unhideWhenUsed/>
    <w:pPr>
      <w:jc w:val="left"/>
    </w:pPr>
  </w:style>
  <w:style w:type="paragraph" w:styleId="a9">
    <w:name w:val="Document Map"/>
    <w:basedOn w:val="a"/>
    <w:link w:val="aa"/>
    <w:uiPriority w:val="99"/>
    <w:unhideWhenUsed/>
    <w:rPr>
      <w:rFonts w:ascii="宋体"/>
      <w:sz w:val="18"/>
      <w:szCs w:val="18"/>
    </w:rPr>
  </w:style>
  <w:style w:type="paragraph" w:styleId="ab">
    <w:name w:val="Balloon Text"/>
    <w:basedOn w:val="a"/>
    <w:semiHidden/>
    <w:rPr>
      <w:sz w:val="18"/>
      <w:szCs w:val="18"/>
    </w:rPr>
  </w:style>
  <w:style w:type="paragraph" w:styleId="ac">
    <w:name w:val="footer"/>
    <w:basedOn w:val="a"/>
    <w:link w:val="ad"/>
    <w:uiPriority w:val="99"/>
    <w:unhideWhenUsed/>
    <w:pPr>
      <w:tabs>
        <w:tab w:val="center" w:pos="4153"/>
        <w:tab w:val="right" w:pos="8306"/>
      </w:tabs>
      <w:snapToGrid w:val="0"/>
      <w:jc w:val="left"/>
    </w:pPr>
    <w:rPr>
      <w:kern w:val="0"/>
      <w:sz w:val="18"/>
      <w:szCs w:val="18"/>
    </w:rPr>
  </w:style>
  <w:style w:type="paragraph" w:styleId="11">
    <w:name w:val="toc 1"/>
    <w:basedOn w:val="a"/>
    <w:next w:val="a"/>
    <w:uiPriority w:val="39"/>
    <w:unhideWhenUsed/>
  </w:style>
  <w:style w:type="paragraph" w:styleId="ae">
    <w:name w:val="Subtitle"/>
    <w:basedOn w:val="a"/>
    <w:next w:val="a"/>
    <w:link w:val="af"/>
    <w:qFormat/>
    <w:pPr>
      <w:spacing w:before="240" w:after="60" w:line="312" w:lineRule="auto"/>
      <w:jc w:val="center"/>
      <w:outlineLvl w:val="1"/>
    </w:pPr>
    <w:rPr>
      <w:rFonts w:ascii="Cambria" w:hAnsi="Cambria"/>
      <w:b/>
      <w:bCs/>
      <w:kern w:val="28"/>
      <w:sz w:val="32"/>
      <w:szCs w:val="32"/>
    </w:rPr>
  </w:style>
  <w:style w:type="paragraph" w:styleId="21">
    <w:name w:val="toc 2"/>
    <w:basedOn w:val="a"/>
    <w:next w:val="a"/>
    <w:uiPriority w:val="39"/>
    <w:unhideWhenUsed/>
    <w:pPr>
      <w:ind w:leftChars="200" w:left="480"/>
    </w:pPr>
  </w:style>
  <w:style w:type="character" w:styleId="af0">
    <w:name w:val="Hyperlink"/>
    <w:uiPriority w:val="99"/>
    <w:unhideWhenUsed/>
    <w:rPr>
      <w:color w:val="0000FF"/>
      <w:u w:val="single"/>
    </w:rPr>
  </w:style>
  <w:style w:type="character" w:styleId="af1">
    <w:name w:val="annotation reference"/>
    <w:unhideWhenUsed/>
    <w:rPr>
      <w:sz w:val="21"/>
      <w:szCs w:val="21"/>
    </w:rPr>
  </w:style>
  <w:style w:type="table" w:styleId="af2">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Shading Accent 5"/>
    <w:basedOn w:val="a1"/>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paragraph" w:customStyle="1" w:styleId="af3">
    <w:basedOn w:val="1"/>
    <w:next w:val="a"/>
    <w:uiPriority w:val="39"/>
    <w:qFormat/>
    <w:pPr>
      <w:widowControl/>
      <w:spacing w:beforeLines="0" w:before="480" w:line="276" w:lineRule="auto"/>
      <w:jc w:val="left"/>
      <w:outlineLvl w:val="9"/>
    </w:pPr>
    <w:rPr>
      <w:rFonts w:ascii="Cambria" w:hAnsi="Cambria"/>
      <w:color w:val="365F91"/>
      <w:kern w:val="0"/>
      <w:szCs w:val="28"/>
    </w:rPr>
  </w:style>
  <w:style w:type="paragraph" w:customStyle="1" w:styleId="XBRLTitle6">
    <w:name w:val="XBRLTitle6"/>
    <w:basedOn w:val="ae"/>
    <w:next w:val="4"/>
    <w:qFormat/>
    <w:pPr>
      <w:keepNext/>
      <w:keepLines/>
      <w:numPr>
        <w:ilvl w:val="5"/>
        <w:numId w:val="1"/>
      </w:numPr>
      <w:ind w:left="0" w:firstLine="0"/>
      <w:jc w:val="left"/>
    </w:pPr>
    <w:rPr>
      <w:bCs w:val="0"/>
      <w:sz w:val="24"/>
    </w:rPr>
  </w:style>
  <w:style w:type="paragraph" w:customStyle="1" w:styleId="af4">
    <w:uiPriority w:val="99"/>
    <w:semiHidden/>
    <w:rPr>
      <w:kern w:val="2"/>
      <w:sz w:val="21"/>
      <w:szCs w:val="22"/>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XBRLTitle1">
    <w:name w:val="XBRLTitle1"/>
    <w:basedOn w:val="1"/>
    <w:next w:val="2"/>
    <w:qFormat/>
    <w:pPr>
      <w:numPr>
        <w:numId w:val="1"/>
      </w:numPr>
      <w:spacing w:beforeLines="50" w:before="340" w:afterLines="50" w:after="330" w:line="240" w:lineRule="auto"/>
    </w:pPr>
    <w:rPr>
      <w:rFonts w:ascii="Cambria" w:hAnsi="Cambria"/>
    </w:rPr>
  </w:style>
  <w:style w:type="paragraph" w:customStyle="1" w:styleId="XBRLTitle2">
    <w:name w:val="XBRLTitle2"/>
    <w:basedOn w:val="ae"/>
    <w:next w:val="4"/>
    <w:qFormat/>
    <w:pPr>
      <w:keepNext/>
      <w:keepLines/>
      <w:numPr>
        <w:ilvl w:val="1"/>
        <w:numId w:val="1"/>
      </w:numPr>
      <w:jc w:val="left"/>
    </w:pPr>
    <w:rPr>
      <w:bCs w:val="0"/>
      <w:sz w:val="24"/>
    </w:rPr>
  </w:style>
  <w:style w:type="paragraph" w:customStyle="1" w:styleId="XBRLTitle3">
    <w:name w:val="XBRLTitle3"/>
    <w:basedOn w:val="ae"/>
    <w:next w:val="4"/>
    <w:qFormat/>
    <w:pPr>
      <w:keepNext/>
      <w:keepLines/>
      <w:numPr>
        <w:ilvl w:val="2"/>
        <w:numId w:val="1"/>
      </w:numPr>
      <w:ind w:left="0" w:firstLine="0"/>
      <w:jc w:val="left"/>
    </w:pPr>
    <w:rPr>
      <w:bCs w:val="0"/>
      <w:sz w:val="24"/>
    </w:rPr>
  </w:style>
  <w:style w:type="paragraph" w:customStyle="1" w:styleId="XBRLTitle5">
    <w:name w:val="XBRLTitle5"/>
    <w:basedOn w:val="ae"/>
    <w:next w:val="4"/>
    <w:qFormat/>
    <w:pPr>
      <w:keepNext/>
      <w:keepLines/>
      <w:numPr>
        <w:ilvl w:val="4"/>
        <w:numId w:val="1"/>
      </w:numPr>
      <w:ind w:left="0" w:firstLine="0"/>
      <w:jc w:val="left"/>
    </w:pPr>
    <w:rPr>
      <w:bCs w:val="0"/>
      <w:sz w:val="24"/>
    </w:rPr>
  </w:style>
  <w:style w:type="paragraph" w:customStyle="1" w:styleId="XBRLTitle4">
    <w:name w:val="XBRLTitle4"/>
    <w:basedOn w:val="ae"/>
    <w:next w:val="4"/>
    <w:qFormat/>
    <w:pPr>
      <w:keepNext/>
      <w:keepLines/>
      <w:numPr>
        <w:ilvl w:val="3"/>
        <w:numId w:val="1"/>
      </w:numPr>
      <w:ind w:left="0" w:firstLine="0"/>
      <w:jc w:val="left"/>
    </w:pPr>
    <w:rPr>
      <w:bCs w:val="0"/>
      <w:sz w:val="24"/>
    </w:rPr>
  </w:style>
  <w:style w:type="character" w:customStyle="1" w:styleId="Char1">
    <w:name w:val="副标题 Char1"/>
    <w:rPr>
      <w:rFonts w:ascii="Cambria" w:hAnsi="Cambria"/>
      <w:b/>
      <w:kern w:val="28"/>
      <w:sz w:val="24"/>
      <w:szCs w:val="32"/>
    </w:rPr>
  </w:style>
  <w:style w:type="character" w:customStyle="1" w:styleId="txtcontent11">
    <w:name w:val="txtcontent11"/>
    <w:rPr>
      <w:rFonts w:ascii="ˎ̥" w:hAnsi="ˎ̥" w:hint="default"/>
      <w:color w:val="000000"/>
      <w:sz w:val="21"/>
      <w:szCs w:val="21"/>
    </w:rPr>
  </w:style>
  <w:style w:type="character" w:customStyle="1" w:styleId="a8">
    <w:name w:val="批注文字 字符"/>
    <w:link w:val="a6"/>
    <w:rPr>
      <w:kern w:val="2"/>
      <w:sz w:val="21"/>
      <w:szCs w:val="22"/>
    </w:rPr>
  </w:style>
  <w:style w:type="character" w:customStyle="1" w:styleId="a7">
    <w:name w:val="批注主题 字符"/>
    <w:link w:val="a5"/>
    <w:uiPriority w:val="99"/>
    <w:semiHidden/>
    <w:rPr>
      <w:b/>
      <w:bCs/>
      <w:kern w:val="2"/>
      <w:sz w:val="21"/>
      <w:szCs w:val="22"/>
    </w:rPr>
  </w:style>
  <w:style w:type="character" w:customStyle="1" w:styleId="a4">
    <w:name w:val="页眉 字符"/>
    <w:link w:val="a3"/>
    <w:uiPriority w:val="99"/>
    <w:rPr>
      <w:sz w:val="18"/>
      <w:szCs w:val="18"/>
    </w:rPr>
  </w:style>
  <w:style w:type="character" w:customStyle="1" w:styleId="af">
    <w:name w:val="副标题 字符"/>
    <w:link w:val="ae"/>
    <w:rPr>
      <w:rFonts w:ascii="Cambria" w:hAnsi="Cambria" w:cs="Times New Roman"/>
      <w:b/>
      <w:bCs/>
      <w:kern w:val="28"/>
      <w:sz w:val="32"/>
      <w:szCs w:val="32"/>
    </w:rPr>
  </w:style>
  <w:style w:type="character" w:customStyle="1" w:styleId="aa">
    <w:name w:val="文档结构图 字符"/>
    <w:link w:val="a9"/>
    <w:uiPriority w:val="99"/>
    <w:semiHidden/>
    <w:rPr>
      <w:rFonts w:ascii="宋体"/>
      <w:kern w:val="2"/>
      <w:sz w:val="18"/>
      <w:szCs w:val="18"/>
    </w:rPr>
  </w:style>
  <w:style w:type="character" w:customStyle="1" w:styleId="ad">
    <w:name w:val="页脚 字符"/>
    <w:link w:val="ac"/>
    <w:uiPriority w:val="99"/>
    <w:rPr>
      <w:sz w:val="18"/>
      <w:szCs w:val="18"/>
    </w:rPr>
  </w:style>
  <w:style w:type="character" w:customStyle="1" w:styleId="20">
    <w:name w:val="标题 2 字符"/>
    <w:link w:val="2"/>
    <w:uiPriority w:val="9"/>
    <w:semiHidden/>
    <w:rPr>
      <w:rFonts w:ascii="Cambria" w:eastAsia="宋体" w:hAnsi="Cambria" w:cs="Times New Roman"/>
      <w:b/>
      <w:bCs/>
      <w:kern w:val="2"/>
      <w:sz w:val="32"/>
      <w:szCs w:val="32"/>
    </w:rPr>
  </w:style>
  <w:style w:type="character" w:customStyle="1" w:styleId="40">
    <w:name w:val="标题 4 字符"/>
    <w:link w:val="4"/>
    <w:uiPriority w:val="9"/>
    <w:semiHidden/>
    <w:rPr>
      <w:rFonts w:ascii="Cambria" w:eastAsia="宋体" w:hAnsi="Cambria" w:cs="Times New Roman"/>
      <w:b/>
      <w:bCs/>
      <w:kern w:val="2"/>
      <w:sz w:val="28"/>
      <w:szCs w:val="28"/>
    </w:rPr>
  </w:style>
  <w:style w:type="character" w:customStyle="1" w:styleId="10">
    <w:name w:val="标题 1 字符"/>
    <w:link w:val="1"/>
    <w:uiPriority w:val="9"/>
    <w:rPr>
      <w:b/>
      <w:bCs/>
      <w:kern w:val="44"/>
      <w:sz w:val="28"/>
      <w:szCs w:val="44"/>
    </w:rPr>
  </w:style>
  <w:style w:type="character" w:customStyle="1" w:styleId="Char">
    <w:name w:val="批注文字 Char"/>
    <w:rsid w:val="006B4D0A"/>
    <w:rPr>
      <w:kern w:val="2"/>
      <w:sz w:val="21"/>
    </w:rPr>
  </w:style>
  <w:style w:type="paragraph" w:styleId="af5">
    <w:name w:val="Revision"/>
    <w:hidden/>
    <w:uiPriority w:val="99"/>
    <w:semiHidden/>
    <w:rsid w:val="00B8100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804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6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157</Pages>
  <Words>16550</Words>
  <Characters>94335</Characters>
  <Application>Microsoft Office Word</Application>
  <DocSecurity>0</DocSecurity>
  <Lines>786</Lines>
  <Paragraphs>221</Paragraphs>
  <ScaleCrop>false</ScaleCrop>
  <Company>Microsoft</Company>
  <LinksUpToDate>false</LinksUpToDate>
  <CharactersWithSpaces>110664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系统用户</dc:creator>
  <cp:lastModifiedBy>张婕茹</cp:lastModifiedBy>
  <cp:revision>68</cp:revision>
  <cp:lastPrinted>2013-02-18T03:10:00Z</cp:lastPrinted>
  <dcterms:created xsi:type="dcterms:W3CDTF">2023-11-19T10:12:00Z</dcterms:created>
  <dcterms:modified xsi:type="dcterms:W3CDTF">2024-01-04T09:23:00Z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