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1B4802" w14:textId="77777777" w:rsidR="00367445" w:rsidRPr="00EB07BC" w:rsidRDefault="00367445">
      <w:pPr>
        <w:rPr>
          <w:sz w:val="32"/>
        </w:rPr>
      </w:pPr>
    </w:p>
    <w:p w14:paraId="41A6638C" w14:textId="77777777" w:rsidR="00367445" w:rsidRPr="00EB07BC" w:rsidRDefault="00367445">
      <w:pPr>
        <w:rPr>
          <w:sz w:val="32"/>
        </w:rPr>
      </w:pPr>
    </w:p>
    <w:p w14:paraId="2745BE23" w14:textId="77777777" w:rsidR="00367445" w:rsidRPr="00EB07BC" w:rsidRDefault="00367445">
      <w:pPr>
        <w:rPr>
          <w:sz w:val="32"/>
        </w:rPr>
      </w:pPr>
    </w:p>
    <w:p w14:paraId="399C1B1C" w14:textId="0433755E" w:rsidR="00367445" w:rsidRPr="00EB07BC" w:rsidRDefault="002D5702">
      <w:pPr>
        <w:jc w:val="center"/>
        <w:rPr>
          <w:sz w:val="32"/>
        </w:rPr>
      </w:pPr>
      <w:r>
        <w:rPr>
          <w:noProof/>
        </w:rPr>
        <w:drawing>
          <wp:inline distT="0" distB="0" distL="0" distR="0" wp14:anchorId="0B6D435F" wp14:editId="5402A2FC">
            <wp:extent cx="4341495" cy="572770"/>
            <wp:effectExtent l="0" t="0" r="0" b="0"/>
            <wp:docPr id="5"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41495" cy="572770"/>
                    </a:xfrm>
                    <a:prstGeom prst="rect">
                      <a:avLst/>
                    </a:prstGeom>
                    <a:noFill/>
                    <a:ln>
                      <a:noFill/>
                    </a:ln>
                  </pic:spPr>
                </pic:pic>
              </a:graphicData>
            </a:graphic>
          </wp:inline>
        </w:drawing>
      </w:r>
    </w:p>
    <w:p w14:paraId="34C8C535" w14:textId="77777777" w:rsidR="001F702C" w:rsidRDefault="001F702C">
      <w:pPr>
        <w:autoSpaceDE w:val="0"/>
        <w:autoSpaceDN w:val="0"/>
        <w:adjustRightInd w:val="0"/>
        <w:snapToGrid w:val="0"/>
        <w:spacing w:before="63" w:line="360" w:lineRule="auto"/>
        <w:ind w:rightChars="6" w:right="13"/>
        <w:jc w:val="center"/>
        <w:rPr>
          <w:rFonts w:ascii="宋体" w:hAnsi="宋体"/>
          <w:b/>
          <w:spacing w:val="2"/>
          <w:w w:val="99"/>
          <w:kern w:val="0"/>
          <w:position w:val="-4"/>
          <w:sz w:val="44"/>
          <w:szCs w:val="44"/>
        </w:rPr>
      </w:pPr>
    </w:p>
    <w:p w14:paraId="15425966" w14:textId="77777777" w:rsidR="001F702C" w:rsidRDefault="001F702C">
      <w:pPr>
        <w:autoSpaceDE w:val="0"/>
        <w:autoSpaceDN w:val="0"/>
        <w:adjustRightInd w:val="0"/>
        <w:snapToGrid w:val="0"/>
        <w:spacing w:before="63" w:line="360" w:lineRule="auto"/>
        <w:ind w:rightChars="6" w:right="13"/>
        <w:jc w:val="center"/>
        <w:rPr>
          <w:rFonts w:ascii="宋体" w:hAnsi="宋体"/>
          <w:b/>
          <w:spacing w:val="2"/>
          <w:w w:val="99"/>
          <w:kern w:val="0"/>
          <w:position w:val="-4"/>
          <w:sz w:val="44"/>
          <w:szCs w:val="44"/>
        </w:rPr>
      </w:pPr>
    </w:p>
    <w:p w14:paraId="2D6C5B0C" w14:textId="77777777" w:rsidR="001F702C" w:rsidRDefault="00BD18A1">
      <w:pPr>
        <w:autoSpaceDE w:val="0"/>
        <w:autoSpaceDN w:val="0"/>
        <w:adjustRightInd w:val="0"/>
        <w:snapToGrid w:val="0"/>
        <w:spacing w:before="63" w:line="360" w:lineRule="auto"/>
        <w:ind w:rightChars="6" w:right="13"/>
        <w:jc w:val="center"/>
        <w:rPr>
          <w:rFonts w:ascii="黑体" w:hAnsi="黑体"/>
          <w:b/>
          <w:spacing w:val="2"/>
          <w:w w:val="99"/>
          <w:kern w:val="0"/>
          <w:position w:val="-4"/>
          <w:sz w:val="44"/>
          <w:szCs w:val="44"/>
        </w:rPr>
      </w:pPr>
      <w:r>
        <w:rPr>
          <w:rFonts w:ascii="Times New Roman" w:hAnsi="Times New Roman"/>
          <w:b/>
          <w:spacing w:val="2"/>
          <w:w w:val="99"/>
          <w:kern w:val="0"/>
          <w:position w:val="-4"/>
          <w:sz w:val="44"/>
          <w:szCs w:val="44"/>
        </w:rPr>
        <w:t>交银施罗德中债</w:t>
      </w:r>
      <w:r>
        <w:rPr>
          <w:rFonts w:ascii="Times New Roman" w:hAnsi="Times New Roman"/>
          <w:b/>
          <w:spacing w:val="2"/>
          <w:w w:val="99"/>
          <w:kern w:val="0"/>
          <w:position w:val="-4"/>
          <w:sz w:val="44"/>
          <w:szCs w:val="44"/>
        </w:rPr>
        <w:t>1-3</w:t>
      </w:r>
      <w:r>
        <w:rPr>
          <w:rFonts w:ascii="Times New Roman" w:hAnsi="Times New Roman"/>
          <w:b/>
          <w:spacing w:val="2"/>
          <w:w w:val="99"/>
          <w:kern w:val="0"/>
          <w:position w:val="-4"/>
          <w:sz w:val="44"/>
          <w:szCs w:val="44"/>
        </w:rPr>
        <w:t>年农发行债券指数证券投资基金</w:t>
      </w:r>
    </w:p>
    <w:p w14:paraId="30EDAFA8" w14:textId="77777777" w:rsidR="001F702C" w:rsidRDefault="00BD18A1">
      <w:pPr>
        <w:autoSpaceDE w:val="0"/>
        <w:autoSpaceDN w:val="0"/>
        <w:adjustRightInd w:val="0"/>
        <w:snapToGrid w:val="0"/>
        <w:spacing w:before="63" w:line="360" w:lineRule="auto"/>
        <w:ind w:rightChars="6" w:right="13"/>
        <w:jc w:val="center"/>
        <w:rPr>
          <w:rFonts w:ascii="宋体" w:hAnsi="宋体"/>
          <w:b/>
          <w:kern w:val="0"/>
          <w:sz w:val="44"/>
          <w:szCs w:val="44"/>
        </w:rPr>
      </w:pPr>
      <w:r>
        <w:rPr>
          <w:rFonts w:ascii="宋体" w:hAnsi="宋体"/>
          <w:b/>
          <w:spacing w:val="2"/>
          <w:w w:val="99"/>
          <w:kern w:val="0"/>
          <w:sz w:val="44"/>
          <w:szCs w:val="44"/>
        </w:rPr>
        <w:t>(更新)招募说明书</w:t>
      </w:r>
    </w:p>
    <w:p w14:paraId="297880C5" w14:textId="068A6D7B" w:rsidR="001F702C" w:rsidRDefault="00BD18A1">
      <w:pPr>
        <w:snapToGrid w:val="0"/>
        <w:spacing w:line="360" w:lineRule="auto"/>
        <w:jc w:val="center"/>
        <w:rPr>
          <w:rFonts w:ascii="宋体" w:hAnsi="宋体"/>
          <w:b/>
          <w:sz w:val="30"/>
          <w:szCs w:val="30"/>
        </w:rPr>
      </w:pPr>
      <w:r>
        <w:rPr>
          <w:rFonts w:ascii="Times New Roman" w:hAnsi="Times New Roman"/>
          <w:b/>
          <w:color w:val="000000"/>
          <w:sz w:val="32"/>
          <w:szCs w:val="32"/>
        </w:rPr>
        <w:t>(</w:t>
      </w:r>
      <w:r w:rsidR="003F3DD0">
        <w:rPr>
          <w:rFonts w:ascii="Times New Roman" w:hAnsi="Times New Roman"/>
          <w:b/>
          <w:color w:val="000000"/>
          <w:sz w:val="32"/>
          <w:szCs w:val="32"/>
        </w:rPr>
        <w:t>202</w:t>
      </w:r>
      <w:r w:rsidR="005C42C4">
        <w:rPr>
          <w:rFonts w:ascii="Times New Roman" w:hAnsi="Times New Roman"/>
          <w:b/>
          <w:color w:val="000000"/>
          <w:sz w:val="32"/>
          <w:szCs w:val="32"/>
        </w:rPr>
        <w:t>3</w:t>
      </w:r>
      <w:r>
        <w:rPr>
          <w:rFonts w:ascii="Times New Roman" w:hAnsi="Times New Roman"/>
          <w:b/>
          <w:color w:val="000000"/>
          <w:sz w:val="32"/>
          <w:szCs w:val="32"/>
        </w:rPr>
        <w:t>年</w:t>
      </w:r>
      <w:r w:rsidR="003F3DD0">
        <w:rPr>
          <w:rFonts w:ascii="Times New Roman" w:hAnsi="Times New Roman"/>
          <w:b/>
          <w:color w:val="000000"/>
          <w:sz w:val="32"/>
          <w:szCs w:val="32"/>
        </w:rPr>
        <w:t>第</w:t>
      </w:r>
      <w:r w:rsidR="005C42C4">
        <w:rPr>
          <w:rFonts w:ascii="Times New Roman" w:hAnsi="Times New Roman"/>
          <w:b/>
          <w:color w:val="000000"/>
          <w:sz w:val="32"/>
          <w:szCs w:val="32"/>
        </w:rPr>
        <w:t>3</w:t>
      </w:r>
      <w:r>
        <w:rPr>
          <w:rFonts w:ascii="Times New Roman" w:hAnsi="Times New Roman"/>
          <w:b/>
          <w:color w:val="000000"/>
          <w:sz w:val="32"/>
          <w:szCs w:val="32"/>
        </w:rPr>
        <w:t>号</w:t>
      </w:r>
      <w:r>
        <w:rPr>
          <w:rFonts w:ascii="Times New Roman" w:hAnsi="Times New Roman"/>
          <w:b/>
          <w:color w:val="000000"/>
          <w:sz w:val="32"/>
          <w:szCs w:val="32"/>
        </w:rPr>
        <w:t>)</w:t>
      </w:r>
    </w:p>
    <w:p w14:paraId="0EF0DD03" w14:textId="77777777" w:rsidR="001F702C" w:rsidRDefault="001F702C">
      <w:pPr>
        <w:autoSpaceDE w:val="0"/>
        <w:autoSpaceDN w:val="0"/>
        <w:adjustRightInd w:val="0"/>
        <w:snapToGrid w:val="0"/>
        <w:spacing w:line="360" w:lineRule="auto"/>
        <w:ind w:rightChars="6" w:right="13"/>
        <w:jc w:val="center"/>
        <w:rPr>
          <w:rFonts w:ascii="宋体" w:hAnsi="宋体"/>
          <w:spacing w:val="2"/>
          <w:w w:val="99"/>
          <w:kern w:val="0"/>
          <w:sz w:val="32"/>
          <w:szCs w:val="32"/>
        </w:rPr>
      </w:pPr>
    </w:p>
    <w:p w14:paraId="495B6E97" w14:textId="77777777" w:rsidR="001F702C" w:rsidRDefault="001F702C">
      <w:pPr>
        <w:autoSpaceDE w:val="0"/>
        <w:autoSpaceDN w:val="0"/>
        <w:adjustRightInd w:val="0"/>
        <w:snapToGrid w:val="0"/>
        <w:spacing w:line="360" w:lineRule="auto"/>
        <w:ind w:rightChars="6" w:right="13"/>
        <w:jc w:val="center"/>
        <w:rPr>
          <w:rFonts w:ascii="宋体" w:hAnsi="宋体"/>
          <w:spacing w:val="2"/>
          <w:w w:val="99"/>
          <w:kern w:val="0"/>
          <w:sz w:val="32"/>
          <w:szCs w:val="32"/>
        </w:rPr>
      </w:pPr>
    </w:p>
    <w:p w14:paraId="53AE8107" w14:textId="77777777" w:rsidR="001F702C" w:rsidRDefault="001F702C">
      <w:pPr>
        <w:autoSpaceDE w:val="0"/>
        <w:autoSpaceDN w:val="0"/>
        <w:adjustRightInd w:val="0"/>
        <w:snapToGrid w:val="0"/>
        <w:spacing w:line="360" w:lineRule="auto"/>
        <w:ind w:rightChars="6" w:right="13"/>
        <w:jc w:val="center"/>
        <w:rPr>
          <w:rFonts w:ascii="宋体" w:hAnsi="宋体"/>
          <w:spacing w:val="2"/>
          <w:w w:val="99"/>
          <w:kern w:val="0"/>
          <w:sz w:val="32"/>
          <w:szCs w:val="32"/>
        </w:rPr>
      </w:pPr>
    </w:p>
    <w:p w14:paraId="6898D224" w14:textId="77777777" w:rsidR="001F702C" w:rsidRDefault="001F702C">
      <w:pPr>
        <w:autoSpaceDE w:val="0"/>
        <w:autoSpaceDN w:val="0"/>
        <w:adjustRightInd w:val="0"/>
        <w:snapToGrid w:val="0"/>
        <w:spacing w:line="360" w:lineRule="auto"/>
        <w:ind w:rightChars="6" w:right="13"/>
        <w:jc w:val="center"/>
        <w:rPr>
          <w:rFonts w:ascii="宋体" w:hAnsi="宋体"/>
          <w:spacing w:val="2"/>
          <w:w w:val="99"/>
          <w:kern w:val="0"/>
          <w:sz w:val="32"/>
          <w:szCs w:val="32"/>
        </w:rPr>
      </w:pPr>
    </w:p>
    <w:p w14:paraId="49C29ECC" w14:textId="77777777" w:rsidR="001F702C" w:rsidRDefault="001F702C">
      <w:pPr>
        <w:autoSpaceDE w:val="0"/>
        <w:autoSpaceDN w:val="0"/>
        <w:adjustRightInd w:val="0"/>
        <w:snapToGrid w:val="0"/>
        <w:spacing w:line="360" w:lineRule="auto"/>
        <w:ind w:rightChars="6" w:right="13"/>
        <w:jc w:val="center"/>
        <w:rPr>
          <w:rFonts w:ascii="宋体" w:hAnsi="宋体"/>
          <w:spacing w:val="2"/>
          <w:w w:val="99"/>
          <w:kern w:val="0"/>
          <w:sz w:val="32"/>
          <w:szCs w:val="32"/>
        </w:rPr>
      </w:pPr>
    </w:p>
    <w:p w14:paraId="4A52CB48" w14:textId="77777777" w:rsidR="001F702C" w:rsidRDefault="001F702C">
      <w:pPr>
        <w:autoSpaceDE w:val="0"/>
        <w:autoSpaceDN w:val="0"/>
        <w:adjustRightInd w:val="0"/>
        <w:snapToGrid w:val="0"/>
        <w:spacing w:line="360" w:lineRule="auto"/>
        <w:ind w:rightChars="6" w:right="13"/>
        <w:jc w:val="center"/>
        <w:rPr>
          <w:rFonts w:ascii="宋体" w:hAnsi="宋体"/>
          <w:spacing w:val="2"/>
          <w:w w:val="99"/>
          <w:kern w:val="0"/>
          <w:sz w:val="32"/>
          <w:szCs w:val="32"/>
        </w:rPr>
      </w:pPr>
    </w:p>
    <w:p w14:paraId="654D5475" w14:textId="77777777" w:rsidR="001F702C" w:rsidRDefault="00BD18A1">
      <w:pPr>
        <w:autoSpaceDE w:val="0"/>
        <w:autoSpaceDN w:val="0"/>
        <w:adjustRightInd w:val="0"/>
        <w:snapToGrid w:val="0"/>
        <w:spacing w:line="360" w:lineRule="auto"/>
        <w:ind w:firstLineChars="500" w:firstLine="1405"/>
        <w:rPr>
          <w:rFonts w:ascii="宋体" w:hAnsi="宋体"/>
          <w:b/>
          <w:w w:val="99"/>
          <w:kern w:val="0"/>
          <w:sz w:val="28"/>
          <w:szCs w:val="32"/>
        </w:rPr>
      </w:pPr>
      <w:r>
        <w:rPr>
          <w:rFonts w:ascii="宋体" w:hAnsi="宋体"/>
          <w:b/>
          <w:spacing w:val="2"/>
          <w:w w:val="99"/>
          <w:kern w:val="0"/>
          <w:sz w:val="28"/>
          <w:szCs w:val="32"/>
        </w:rPr>
        <w:t>基金管理人：交银施罗德基金管理有限公司</w:t>
      </w:r>
    </w:p>
    <w:p w14:paraId="62ADFB65" w14:textId="77777777" w:rsidR="001F702C" w:rsidRDefault="00BD18A1">
      <w:pPr>
        <w:autoSpaceDE w:val="0"/>
        <w:autoSpaceDN w:val="0"/>
        <w:adjustRightInd w:val="0"/>
        <w:snapToGrid w:val="0"/>
        <w:spacing w:line="360" w:lineRule="auto"/>
        <w:ind w:firstLineChars="500" w:firstLine="1405"/>
        <w:rPr>
          <w:rFonts w:ascii="宋体" w:hAnsi="宋体"/>
          <w:b/>
          <w:w w:val="99"/>
          <w:kern w:val="0"/>
          <w:sz w:val="28"/>
          <w:szCs w:val="32"/>
        </w:rPr>
      </w:pPr>
      <w:r>
        <w:rPr>
          <w:rFonts w:ascii="宋体" w:hAnsi="宋体"/>
          <w:b/>
          <w:spacing w:val="2"/>
          <w:w w:val="99"/>
          <w:kern w:val="0"/>
          <w:sz w:val="28"/>
          <w:szCs w:val="32"/>
        </w:rPr>
        <w:t>基金托管人：中国光大银行股份有限公司</w:t>
      </w:r>
    </w:p>
    <w:p w14:paraId="47924B4D" w14:textId="77777777" w:rsidR="001F702C" w:rsidRDefault="001F702C">
      <w:pPr>
        <w:autoSpaceDE w:val="0"/>
        <w:autoSpaceDN w:val="0"/>
        <w:adjustRightInd w:val="0"/>
        <w:snapToGrid w:val="0"/>
        <w:spacing w:line="360" w:lineRule="auto"/>
        <w:ind w:rightChars="6" w:right="13"/>
        <w:jc w:val="center"/>
        <w:rPr>
          <w:rFonts w:ascii="宋体" w:hAnsi="宋体"/>
          <w:spacing w:val="2"/>
          <w:w w:val="99"/>
          <w:kern w:val="0"/>
          <w:sz w:val="32"/>
          <w:szCs w:val="32"/>
        </w:rPr>
      </w:pPr>
    </w:p>
    <w:p w14:paraId="525F9B3E" w14:textId="77777777" w:rsidR="001F702C" w:rsidRDefault="001F702C">
      <w:pPr>
        <w:autoSpaceDE w:val="0"/>
        <w:autoSpaceDN w:val="0"/>
        <w:adjustRightInd w:val="0"/>
        <w:snapToGrid w:val="0"/>
        <w:spacing w:line="360" w:lineRule="auto"/>
        <w:ind w:rightChars="6" w:right="13"/>
        <w:jc w:val="center"/>
        <w:rPr>
          <w:rFonts w:ascii="宋体" w:hAnsi="宋体"/>
          <w:spacing w:val="2"/>
          <w:w w:val="99"/>
          <w:kern w:val="0"/>
          <w:sz w:val="32"/>
          <w:szCs w:val="32"/>
        </w:rPr>
      </w:pPr>
    </w:p>
    <w:p w14:paraId="38D3844C" w14:textId="0796B565" w:rsidR="001F702C" w:rsidRDefault="003F3DD0">
      <w:pPr>
        <w:autoSpaceDE w:val="0"/>
        <w:autoSpaceDN w:val="0"/>
        <w:adjustRightInd w:val="0"/>
        <w:snapToGrid w:val="0"/>
        <w:spacing w:line="360" w:lineRule="auto"/>
        <w:ind w:rightChars="6" w:right="13"/>
        <w:jc w:val="center"/>
        <w:rPr>
          <w:rFonts w:ascii="宋体" w:hAnsi="宋体"/>
          <w:b/>
          <w:kern w:val="0"/>
          <w:sz w:val="28"/>
          <w:szCs w:val="32"/>
        </w:rPr>
      </w:pPr>
      <w:r>
        <w:rPr>
          <w:rFonts w:ascii="Times New Roman" w:hAnsi="Times New Roman"/>
          <w:b/>
          <w:spacing w:val="2"/>
          <w:w w:val="99"/>
          <w:kern w:val="0"/>
          <w:sz w:val="28"/>
          <w:szCs w:val="32"/>
        </w:rPr>
        <w:t>二〇二</w:t>
      </w:r>
      <w:r w:rsidR="005C42C4">
        <w:rPr>
          <w:rFonts w:ascii="Times New Roman" w:hAnsi="Times New Roman" w:hint="eastAsia"/>
          <w:b/>
          <w:spacing w:val="2"/>
          <w:w w:val="99"/>
          <w:kern w:val="0"/>
          <w:sz w:val="28"/>
          <w:szCs w:val="32"/>
        </w:rPr>
        <w:t>三</w:t>
      </w:r>
      <w:r>
        <w:rPr>
          <w:rFonts w:ascii="Times New Roman" w:hAnsi="Times New Roman"/>
          <w:b/>
          <w:spacing w:val="2"/>
          <w:w w:val="99"/>
          <w:kern w:val="0"/>
          <w:sz w:val="28"/>
          <w:szCs w:val="32"/>
        </w:rPr>
        <w:t>年</w:t>
      </w:r>
      <w:r w:rsidR="005C42C4">
        <w:rPr>
          <w:rFonts w:ascii="Times New Roman" w:hAnsi="Times New Roman" w:hint="eastAsia"/>
          <w:b/>
          <w:spacing w:val="2"/>
          <w:w w:val="99"/>
          <w:kern w:val="0"/>
          <w:sz w:val="28"/>
          <w:szCs w:val="32"/>
        </w:rPr>
        <w:t>十二</w:t>
      </w:r>
      <w:r>
        <w:rPr>
          <w:rFonts w:ascii="Times New Roman" w:hAnsi="Times New Roman"/>
          <w:b/>
          <w:spacing w:val="2"/>
          <w:w w:val="99"/>
          <w:kern w:val="0"/>
          <w:sz w:val="28"/>
          <w:szCs w:val="32"/>
        </w:rPr>
        <w:t>月</w:t>
      </w:r>
    </w:p>
    <w:p w14:paraId="25872B3B" w14:textId="77777777" w:rsidR="001F702C" w:rsidRDefault="001F702C">
      <w:pPr>
        <w:autoSpaceDE w:val="0"/>
        <w:autoSpaceDN w:val="0"/>
        <w:adjustRightInd w:val="0"/>
        <w:snapToGrid w:val="0"/>
        <w:spacing w:line="360" w:lineRule="auto"/>
        <w:ind w:left="1347" w:rightChars="6" w:right="13"/>
        <w:rPr>
          <w:rFonts w:ascii="宋体" w:hAnsi="宋体"/>
          <w:kern w:val="0"/>
          <w:sz w:val="32"/>
          <w:szCs w:val="32"/>
        </w:rPr>
        <w:sectPr w:rsidR="001F702C">
          <w:headerReference w:type="default" r:id="rId10"/>
          <w:footerReference w:type="default" r:id="rId11"/>
          <w:headerReference w:type="first" r:id="rId12"/>
          <w:pgSz w:w="11920" w:h="16840"/>
          <w:pgMar w:top="1560" w:right="1680" w:bottom="280" w:left="1680" w:header="0" w:footer="1073" w:gutter="0"/>
          <w:pgNumType w:start="1"/>
          <w:cols w:space="720"/>
          <w:titlePg/>
          <w:docGrid w:linePitch="286"/>
        </w:sectPr>
      </w:pPr>
    </w:p>
    <w:p w14:paraId="4D92452F" w14:textId="77777777" w:rsidR="001F702C" w:rsidRDefault="00BD18A1">
      <w:pPr>
        <w:pStyle w:val="1"/>
        <w:snapToGrid w:val="0"/>
        <w:spacing w:beforeLines="0" w:before="240" w:after="240"/>
        <w:rPr>
          <w:rFonts w:ascii="宋体" w:hAnsi="宋体"/>
          <w:kern w:val="0"/>
        </w:rPr>
      </w:pPr>
      <w:bookmarkStart w:id="0" w:name="_Toc324920538"/>
      <w:bookmarkStart w:id="1" w:name="_Toc496884613"/>
      <w:bookmarkStart w:id="2" w:name="_Toc140049404"/>
      <w:r>
        <w:rPr>
          <w:rFonts w:ascii="Times New Roman" w:hAnsi="Times New Roman"/>
          <w:kern w:val="0"/>
        </w:rPr>
        <w:lastRenderedPageBreak/>
        <w:t>重要提示</w:t>
      </w:r>
      <w:bookmarkEnd w:id="0"/>
      <w:bookmarkEnd w:id="1"/>
      <w:bookmarkEnd w:id="2"/>
    </w:p>
    <w:p w14:paraId="7F74F23D" w14:textId="77777777" w:rsidR="001F702C" w:rsidRDefault="00BD18A1">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交银施罗德中债</w:t>
      </w:r>
      <w:r>
        <w:rPr>
          <w:rFonts w:ascii="Times New Roman" w:hAnsi="Times New Roman"/>
          <w:kern w:val="0"/>
          <w:sz w:val="24"/>
        </w:rPr>
        <w:t>1-3</w:t>
      </w:r>
      <w:r>
        <w:rPr>
          <w:rFonts w:ascii="Times New Roman" w:hAnsi="Times New Roman"/>
          <w:kern w:val="0"/>
          <w:sz w:val="24"/>
        </w:rPr>
        <w:t>年农发行债券指数证券投资基金（以下简称</w:t>
      </w:r>
      <w:r>
        <w:rPr>
          <w:rFonts w:ascii="Times New Roman" w:hAnsi="Times New Roman"/>
          <w:kern w:val="0"/>
          <w:sz w:val="24"/>
        </w:rPr>
        <w:t>“</w:t>
      </w:r>
      <w:r>
        <w:rPr>
          <w:rFonts w:ascii="Times New Roman" w:hAnsi="Times New Roman"/>
          <w:kern w:val="0"/>
          <w:sz w:val="24"/>
        </w:rPr>
        <w:t>本基金</w:t>
      </w:r>
      <w:r>
        <w:rPr>
          <w:rFonts w:ascii="Times New Roman" w:hAnsi="Times New Roman"/>
          <w:kern w:val="0"/>
          <w:sz w:val="24"/>
        </w:rPr>
        <w:t>”</w:t>
      </w:r>
      <w:r>
        <w:rPr>
          <w:rFonts w:ascii="Times New Roman" w:hAnsi="Times New Roman"/>
          <w:kern w:val="0"/>
          <w:sz w:val="24"/>
        </w:rPr>
        <w:t>）经</w:t>
      </w:r>
      <w:r>
        <w:rPr>
          <w:rFonts w:ascii="Times New Roman" w:hAnsi="Times New Roman"/>
          <w:kern w:val="0"/>
          <w:sz w:val="24"/>
        </w:rPr>
        <w:t>2018</w:t>
      </w:r>
      <w:r>
        <w:rPr>
          <w:rFonts w:ascii="Times New Roman" w:hAnsi="Times New Roman"/>
          <w:kern w:val="0"/>
          <w:sz w:val="24"/>
        </w:rPr>
        <w:t>年</w:t>
      </w:r>
      <w:r>
        <w:rPr>
          <w:rFonts w:ascii="Times New Roman" w:hAnsi="Times New Roman"/>
          <w:kern w:val="0"/>
          <w:sz w:val="24"/>
        </w:rPr>
        <w:t>11</w:t>
      </w:r>
      <w:r>
        <w:rPr>
          <w:rFonts w:ascii="Times New Roman" w:hAnsi="Times New Roman"/>
          <w:kern w:val="0"/>
          <w:sz w:val="24"/>
        </w:rPr>
        <w:t>月</w:t>
      </w:r>
      <w:r>
        <w:rPr>
          <w:rFonts w:ascii="Times New Roman" w:hAnsi="Times New Roman"/>
          <w:kern w:val="0"/>
          <w:sz w:val="24"/>
        </w:rPr>
        <w:t>14</w:t>
      </w:r>
      <w:r>
        <w:rPr>
          <w:rFonts w:ascii="Times New Roman" w:hAnsi="Times New Roman"/>
          <w:kern w:val="0"/>
          <w:sz w:val="24"/>
        </w:rPr>
        <w:t>日中国证券监督管理委员会（以下简称</w:t>
      </w:r>
      <w:r>
        <w:rPr>
          <w:rFonts w:ascii="Times New Roman" w:hAnsi="Times New Roman"/>
          <w:kern w:val="0"/>
          <w:sz w:val="24"/>
        </w:rPr>
        <w:t>“</w:t>
      </w:r>
      <w:r>
        <w:rPr>
          <w:rFonts w:ascii="Times New Roman" w:hAnsi="Times New Roman"/>
          <w:kern w:val="0"/>
          <w:sz w:val="24"/>
        </w:rPr>
        <w:t>中国证监会</w:t>
      </w:r>
      <w:r>
        <w:rPr>
          <w:rFonts w:ascii="Times New Roman" w:hAnsi="Times New Roman"/>
          <w:kern w:val="0"/>
          <w:sz w:val="24"/>
        </w:rPr>
        <w:t>”</w:t>
      </w:r>
      <w:r>
        <w:rPr>
          <w:rFonts w:ascii="Times New Roman" w:hAnsi="Times New Roman"/>
          <w:kern w:val="0"/>
          <w:sz w:val="24"/>
        </w:rPr>
        <w:t>）证监许可【</w:t>
      </w:r>
      <w:r>
        <w:rPr>
          <w:rFonts w:ascii="Times New Roman" w:hAnsi="Times New Roman"/>
          <w:kern w:val="0"/>
          <w:sz w:val="24"/>
        </w:rPr>
        <w:t>2018</w:t>
      </w:r>
      <w:r>
        <w:rPr>
          <w:rFonts w:ascii="Times New Roman" w:hAnsi="Times New Roman"/>
          <w:kern w:val="0"/>
          <w:sz w:val="24"/>
        </w:rPr>
        <w:t>】</w:t>
      </w:r>
      <w:r>
        <w:rPr>
          <w:rFonts w:ascii="Times New Roman" w:hAnsi="Times New Roman"/>
          <w:kern w:val="0"/>
          <w:sz w:val="24"/>
        </w:rPr>
        <w:t>1856</w:t>
      </w:r>
      <w:r>
        <w:rPr>
          <w:rFonts w:ascii="Times New Roman" w:hAnsi="Times New Roman"/>
          <w:kern w:val="0"/>
          <w:sz w:val="24"/>
        </w:rPr>
        <w:t>号文准予募集注册。本</w:t>
      </w:r>
      <w:proofErr w:type="gramStart"/>
      <w:r>
        <w:rPr>
          <w:rFonts w:ascii="Times New Roman" w:hAnsi="Times New Roman"/>
          <w:kern w:val="0"/>
          <w:sz w:val="24"/>
        </w:rPr>
        <w:t>基金基金</w:t>
      </w:r>
      <w:proofErr w:type="gramEnd"/>
      <w:r>
        <w:rPr>
          <w:rFonts w:ascii="Times New Roman" w:hAnsi="Times New Roman"/>
          <w:kern w:val="0"/>
          <w:sz w:val="24"/>
        </w:rPr>
        <w:t>合同于</w:t>
      </w:r>
      <w:r>
        <w:rPr>
          <w:rFonts w:ascii="Times New Roman" w:hAnsi="Times New Roman"/>
          <w:kern w:val="0"/>
          <w:sz w:val="24"/>
        </w:rPr>
        <w:t>2019</w:t>
      </w:r>
      <w:r>
        <w:rPr>
          <w:rFonts w:ascii="Times New Roman" w:hAnsi="Times New Roman"/>
          <w:kern w:val="0"/>
          <w:sz w:val="24"/>
        </w:rPr>
        <w:t>年</w:t>
      </w:r>
      <w:r>
        <w:rPr>
          <w:rFonts w:ascii="Times New Roman" w:hAnsi="Times New Roman"/>
          <w:kern w:val="0"/>
          <w:sz w:val="24"/>
        </w:rPr>
        <w:t>1</w:t>
      </w:r>
      <w:r>
        <w:rPr>
          <w:rFonts w:ascii="Times New Roman" w:hAnsi="Times New Roman"/>
          <w:kern w:val="0"/>
          <w:sz w:val="24"/>
        </w:rPr>
        <w:t>月</w:t>
      </w:r>
      <w:r>
        <w:rPr>
          <w:rFonts w:ascii="Times New Roman" w:hAnsi="Times New Roman"/>
          <w:kern w:val="0"/>
          <w:sz w:val="24"/>
        </w:rPr>
        <w:t>23</w:t>
      </w:r>
      <w:r>
        <w:rPr>
          <w:rFonts w:ascii="Times New Roman" w:hAnsi="Times New Roman"/>
          <w:kern w:val="0"/>
          <w:sz w:val="24"/>
        </w:rPr>
        <w:t>日正式生效。</w:t>
      </w:r>
    </w:p>
    <w:p w14:paraId="447E0A04" w14:textId="77777777" w:rsidR="001F702C" w:rsidRDefault="00BD18A1">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基金管理人保证招募说明书的内容真实、准确、完整。本招募说明书经中国证监会注册，但中国证监会对本基金募集的注册，并不表明其对本基金的价值和收益</w:t>
      </w:r>
      <w:proofErr w:type="gramStart"/>
      <w:r>
        <w:rPr>
          <w:rFonts w:ascii="Times New Roman" w:hAnsi="Times New Roman"/>
          <w:kern w:val="0"/>
          <w:sz w:val="24"/>
        </w:rPr>
        <w:t>作出</w:t>
      </w:r>
      <w:proofErr w:type="gramEnd"/>
      <w:r>
        <w:rPr>
          <w:rFonts w:ascii="Times New Roman" w:hAnsi="Times New Roman"/>
          <w:kern w:val="0"/>
          <w:sz w:val="24"/>
        </w:rPr>
        <w:t>实质性判断或保证，也不表明投资于本基金没有风险。中国证监会不对基金的投资价值及市场前景等</w:t>
      </w:r>
      <w:proofErr w:type="gramStart"/>
      <w:r>
        <w:rPr>
          <w:rFonts w:ascii="Times New Roman" w:hAnsi="Times New Roman"/>
          <w:kern w:val="0"/>
          <w:sz w:val="24"/>
        </w:rPr>
        <w:t>作出</w:t>
      </w:r>
      <w:proofErr w:type="gramEnd"/>
      <w:r>
        <w:rPr>
          <w:rFonts w:ascii="Times New Roman" w:hAnsi="Times New Roman"/>
          <w:kern w:val="0"/>
          <w:sz w:val="24"/>
        </w:rPr>
        <w:t>实质性判断或者保证。</w:t>
      </w:r>
    </w:p>
    <w:p w14:paraId="32531F09" w14:textId="77777777" w:rsidR="001F702C" w:rsidRDefault="00BD18A1">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基金管理人依照恪尽职守、诚实信用、勤勉尽责的原则管理和运用基金财产，但不保证投资本基金一定盈利，也不保证基金份额持有人的最低收益；因基金价格可升可跌，亦不保证基金份额持有人能全数取回其原本投资。</w:t>
      </w:r>
    </w:p>
    <w:p w14:paraId="39DA5F1B" w14:textId="77777777" w:rsidR="001F702C" w:rsidRDefault="00BD18A1">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本基金投资于证券市场，基金净值会因为证券市场波动等因素产生波动。投资人在投资本基金前，需全面认识本基金产品的风险收益特征和产品特性，充分考虑自身的风险承受能力，理性判断市场，对投资本基金的意愿、时机、数量等投资行为</w:t>
      </w:r>
      <w:proofErr w:type="gramStart"/>
      <w:r>
        <w:rPr>
          <w:rFonts w:ascii="Times New Roman" w:hAnsi="Times New Roman"/>
          <w:kern w:val="0"/>
          <w:sz w:val="24"/>
        </w:rPr>
        <w:t>作出</w:t>
      </w:r>
      <w:proofErr w:type="gramEnd"/>
      <w:r>
        <w:rPr>
          <w:rFonts w:ascii="Times New Roman" w:hAnsi="Times New Roman"/>
          <w:kern w:val="0"/>
          <w:sz w:val="24"/>
        </w:rPr>
        <w:t>独立决策。投资人根据所持有份额享受基金的收益，但同时也需承担相应的投资风险。投资本基金可能遇到的风险包括：因受到经济因素、政治因素、投资心理和交易制度等各种因素的影响而引起的市场风险；基金管理人在基金管理实施过程中产生的基金管理风险；流动性风险（包括实施</w:t>
      </w:r>
      <w:proofErr w:type="gramStart"/>
      <w:r>
        <w:rPr>
          <w:rFonts w:ascii="Times New Roman" w:hAnsi="Times New Roman"/>
          <w:kern w:val="0"/>
          <w:sz w:val="24"/>
        </w:rPr>
        <w:t>侧袋机制</w:t>
      </w:r>
      <w:proofErr w:type="gramEnd"/>
      <w:r>
        <w:rPr>
          <w:rFonts w:ascii="Times New Roman" w:hAnsi="Times New Roman"/>
          <w:kern w:val="0"/>
          <w:sz w:val="24"/>
        </w:rPr>
        <w:t>时的特定风险）；交易对手违约风险；本基金投资策略所特有的指数</w:t>
      </w:r>
      <w:proofErr w:type="gramStart"/>
      <w:r>
        <w:rPr>
          <w:rFonts w:ascii="Times New Roman" w:hAnsi="Times New Roman"/>
          <w:kern w:val="0"/>
          <w:sz w:val="24"/>
        </w:rPr>
        <w:t>化投资</w:t>
      </w:r>
      <w:proofErr w:type="gramEnd"/>
      <w:r>
        <w:rPr>
          <w:rFonts w:ascii="Times New Roman" w:hAnsi="Times New Roman"/>
          <w:kern w:val="0"/>
          <w:sz w:val="24"/>
        </w:rPr>
        <w:t>风险；本基金的特有风险；连续六十个工作日出现基金份额持有人数量不满</w:t>
      </w:r>
      <w:r>
        <w:rPr>
          <w:rFonts w:ascii="Times New Roman" w:hAnsi="Times New Roman"/>
          <w:kern w:val="0"/>
          <w:sz w:val="24"/>
        </w:rPr>
        <w:t>200</w:t>
      </w:r>
      <w:r>
        <w:rPr>
          <w:rFonts w:ascii="Times New Roman" w:hAnsi="Times New Roman"/>
          <w:kern w:val="0"/>
          <w:sz w:val="24"/>
        </w:rPr>
        <w:t>人或基金资产净值低于</w:t>
      </w:r>
      <w:r>
        <w:rPr>
          <w:rFonts w:ascii="Times New Roman" w:hAnsi="Times New Roman"/>
          <w:kern w:val="0"/>
          <w:sz w:val="24"/>
        </w:rPr>
        <w:t>5000</w:t>
      </w:r>
      <w:r>
        <w:rPr>
          <w:rFonts w:ascii="Times New Roman" w:hAnsi="Times New Roman"/>
          <w:kern w:val="0"/>
          <w:sz w:val="24"/>
        </w:rPr>
        <w:t>万元情形时基金管理人将依基金合同约定提前终止基金合同的风险；其他风险等等。其中指数</w:t>
      </w:r>
      <w:proofErr w:type="gramStart"/>
      <w:r>
        <w:rPr>
          <w:rFonts w:ascii="Times New Roman" w:hAnsi="Times New Roman"/>
          <w:kern w:val="0"/>
          <w:sz w:val="24"/>
        </w:rPr>
        <w:t>化投资</w:t>
      </w:r>
      <w:proofErr w:type="gramEnd"/>
      <w:r>
        <w:rPr>
          <w:rFonts w:ascii="Times New Roman" w:hAnsi="Times New Roman"/>
          <w:kern w:val="0"/>
          <w:sz w:val="24"/>
        </w:rPr>
        <w:t>风险主要包括：标的指数回报与债券市场平均回报偏离的风险、标的指数下跌的风险、基金跟踪偏离风险、标的指数变更的风险、标的指数计算出错的风险、跟踪误差控制未达约定目标的风险、指数编制机构停止服务的风险、成份</w:t>
      </w:r>
      <w:proofErr w:type="gramStart"/>
      <w:r>
        <w:rPr>
          <w:rFonts w:ascii="Times New Roman" w:hAnsi="Times New Roman"/>
          <w:kern w:val="0"/>
          <w:sz w:val="24"/>
        </w:rPr>
        <w:t>券</w:t>
      </w:r>
      <w:proofErr w:type="gramEnd"/>
      <w:r>
        <w:rPr>
          <w:rFonts w:ascii="Times New Roman" w:hAnsi="Times New Roman"/>
          <w:kern w:val="0"/>
          <w:sz w:val="24"/>
        </w:rPr>
        <w:t>停牌或违约的风险等。</w:t>
      </w:r>
    </w:p>
    <w:p w14:paraId="097F698D" w14:textId="77777777" w:rsidR="001F702C" w:rsidRDefault="00BD18A1">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本基金是一只债券型基金，其预期风险与预期收益高于货币市场基金，低于混合型基金和股票型基金。本基金为指数型基金，主要采用抽样复制和动态最优化的方法跟踪标的指数的表现，具有与标的指数、以及标的指数所代表的债券市场相似的风险收益特征。</w:t>
      </w:r>
    </w:p>
    <w:p w14:paraId="7800F86C" w14:textId="77777777" w:rsidR="001F702C" w:rsidRDefault="00BD18A1">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lastRenderedPageBreak/>
        <w:t>本基金为指数基金，投资者投资于本基金面临跟踪误差控制未达约定目标、指数编制机构停止服务、成份</w:t>
      </w:r>
      <w:proofErr w:type="gramStart"/>
      <w:r>
        <w:rPr>
          <w:rFonts w:ascii="Times New Roman" w:hAnsi="Times New Roman"/>
          <w:kern w:val="0"/>
          <w:sz w:val="24"/>
        </w:rPr>
        <w:t>券</w:t>
      </w:r>
      <w:proofErr w:type="gramEnd"/>
      <w:r>
        <w:rPr>
          <w:rFonts w:ascii="Times New Roman" w:hAnsi="Times New Roman"/>
          <w:kern w:val="0"/>
          <w:sz w:val="24"/>
        </w:rPr>
        <w:t>停牌或违约等潜在风险。</w:t>
      </w:r>
    </w:p>
    <w:p w14:paraId="58473BE6" w14:textId="77777777" w:rsidR="001F702C" w:rsidRDefault="00BD18A1">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本基金标的指数为中债</w:t>
      </w:r>
      <w:r>
        <w:rPr>
          <w:rFonts w:ascii="Times New Roman" w:hAnsi="Times New Roman"/>
          <w:kern w:val="0"/>
          <w:sz w:val="24"/>
        </w:rPr>
        <w:t>-1-3</w:t>
      </w:r>
      <w:r>
        <w:rPr>
          <w:rFonts w:ascii="Times New Roman" w:hAnsi="Times New Roman"/>
          <w:kern w:val="0"/>
          <w:sz w:val="24"/>
        </w:rPr>
        <w:t>年农发行债券指数。</w:t>
      </w:r>
    </w:p>
    <w:p w14:paraId="3FD1B95A" w14:textId="77777777" w:rsidR="001F702C" w:rsidRDefault="00BD18A1">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1</w:t>
      </w:r>
      <w:r>
        <w:rPr>
          <w:rFonts w:ascii="Times New Roman" w:hAnsi="Times New Roman"/>
          <w:kern w:val="0"/>
          <w:sz w:val="24"/>
        </w:rPr>
        <w:t>、选样空间</w:t>
      </w:r>
    </w:p>
    <w:p w14:paraId="6BC08084" w14:textId="77777777" w:rsidR="001F702C" w:rsidRDefault="00BD18A1">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成份</w:t>
      </w:r>
      <w:proofErr w:type="gramStart"/>
      <w:r>
        <w:rPr>
          <w:rFonts w:ascii="Times New Roman" w:hAnsi="Times New Roman"/>
          <w:kern w:val="0"/>
          <w:sz w:val="24"/>
        </w:rPr>
        <w:t>券</w:t>
      </w:r>
      <w:proofErr w:type="gramEnd"/>
      <w:r>
        <w:rPr>
          <w:rFonts w:ascii="Times New Roman" w:hAnsi="Times New Roman"/>
          <w:kern w:val="0"/>
          <w:sz w:val="24"/>
        </w:rPr>
        <w:t>包括中国农业发展银行在境内公开发行且上市流通的待偿期</w:t>
      </w:r>
      <w:r>
        <w:rPr>
          <w:rFonts w:ascii="Times New Roman" w:hAnsi="Times New Roman"/>
          <w:kern w:val="0"/>
          <w:sz w:val="24"/>
        </w:rPr>
        <w:t>0.5</w:t>
      </w:r>
      <w:r>
        <w:rPr>
          <w:rFonts w:ascii="Times New Roman" w:hAnsi="Times New Roman"/>
          <w:kern w:val="0"/>
          <w:sz w:val="24"/>
        </w:rPr>
        <w:t>至</w:t>
      </w:r>
      <w:r>
        <w:rPr>
          <w:rFonts w:ascii="Times New Roman" w:hAnsi="Times New Roman"/>
          <w:kern w:val="0"/>
          <w:sz w:val="24"/>
        </w:rPr>
        <w:t>3</w:t>
      </w:r>
      <w:r>
        <w:rPr>
          <w:rFonts w:ascii="Times New Roman" w:hAnsi="Times New Roman"/>
          <w:kern w:val="0"/>
          <w:sz w:val="24"/>
        </w:rPr>
        <w:t>年（包含</w:t>
      </w:r>
      <w:r>
        <w:rPr>
          <w:rFonts w:ascii="Times New Roman" w:hAnsi="Times New Roman"/>
          <w:kern w:val="0"/>
          <w:sz w:val="24"/>
        </w:rPr>
        <w:t>0.5</w:t>
      </w:r>
      <w:r>
        <w:rPr>
          <w:rFonts w:ascii="Times New Roman" w:hAnsi="Times New Roman"/>
          <w:kern w:val="0"/>
          <w:sz w:val="24"/>
        </w:rPr>
        <w:t>年和</w:t>
      </w:r>
      <w:r>
        <w:rPr>
          <w:rFonts w:ascii="Times New Roman" w:hAnsi="Times New Roman"/>
          <w:kern w:val="0"/>
          <w:sz w:val="24"/>
        </w:rPr>
        <w:t>3</w:t>
      </w:r>
      <w:r>
        <w:rPr>
          <w:rFonts w:ascii="Times New Roman" w:hAnsi="Times New Roman"/>
          <w:kern w:val="0"/>
          <w:sz w:val="24"/>
        </w:rPr>
        <w:t>年）的政策性银行债。</w:t>
      </w:r>
    </w:p>
    <w:p w14:paraId="530F4B74" w14:textId="77777777" w:rsidR="001F702C" w:rsidRDefault="00BD18A1">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2</w:t>
      </w:r>
      <w:r>
        <w:rPr>
          <w:rFonts w:ascii="Times New Roman" w:hAnsi="Times New Roman"/>
          <w:kern w:val="0"/>
          <w:sz w:val="24"/>
        </w:rPr>
        <w:t>、选样方法</w:t>
      </w:r>
    </w:p>
    <w:p w14:paraId="0CCE7297" w14:textId="77777777" w:rsidR="001F702C" w:rsidRDefault="00BD18A1">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2.1.</w:t>
      </w:r>
      <w:r>
        <w:rPr>
          <w:rFonts w:ascii="Times New Roman" w:hAnsi="Times New Roman"/>
          <w:kern w:val="0"/>
          <w:sz w:val="24"/>
        </w:rPr>
        <w:t>债券种类</w:t>
      </w:r>
    </w:p>
    <w:p w14:paraId="670ECF56" w14:textId="77777777" w:rsidR="001F702C" w:rsidRDefault="00BD18A1">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政策性银行债、扶贫专项金融债。</w:t>
      </w:r>
    </w:p>
    <w:p w14:paraId="3E351732" w14:textId="77777777" w:rsidR="001F702C" w:rsidRDefault="00BD18A1">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2.2.</w:t>
      </w:r>
      <w:r>
        <w:rPr>
          <w:rFonts w:ascii="Times New Roman" w:hAnsi="Times New Roman"/>
          <w:kern w:val="0"/>
          <w:sz w:val="24"/>
        </w:rPr>
        <w:t>发行人</w:t>
      </w:r>
    </w:p>
    <w:p w14:paraId="15C7A3CC" w14:textId="77777777" w:rsidR="001F702C" w:rsidRDefault="00BD18A1">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中国农业发展银行。</w:t>
      </w:r>
    </w:p>
    <w:p w14:paraId="26E3794A" w14:textId="77777777" w:rsidR="001F702C" w:rsidRDefault="00BD18A1">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2.3.</w:t>
      </w:r>
      <w:r>
        <w:rPr>
          <w:rFonts w:ascii="Times New Roman" w:hAnsi="Times New Roman"/>
          <w:kern w:val="0"/>
          <w:sz w:val="24"/>
        </w:rPr>
        <w:t>上市地点</w:t>
      </w:r>
    </w:p>
    <w:p w14:paraId="7FB0DDDA" w14:textId="77777777" w:rsidR="001F702C" w:rsidRDefault="00BD18A1">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全国银行间债券市场、上海证券交易所、深圳证券交易所。</w:t>
      </w:r>
    </w:p>
    <w:p w14:paraId="3F3BE975" w14:textId="77777777" w:rsidR="001F702C" w:rsidRDefault="00BD18A1">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2.4.</w:t>
      </w:r>
      <w:r>
        <w:rPr>
          <w:rFonts w:ascii="Times New Roman" w:hAnsi="Times New Roman"/>
          <w:kern w:val="0"/>
          <w:sz w:val="24"/>
        </w:rPr>
        <w:t>托管余额</w:t>
      </w:r>
      <w:r>
        <w:rPr>
          <w:rFonts w:ascii="Times New Roman" w:hAnsi="Times New Roman"/>
          <w:kern w:val="0"/>
          <w:sz w:val="24"/>
        </w:rPr>
        <w:t>/</w:t>
      </w:r>
      <w:r>
        <w:rPr>
          <w:rFonts w:ascii="Times New Roman" w:hAnsi="Times New Roman"/>
          <w:kern w:val="0"/>
          <w:sz w:val="24"/>
        </w:rPr>
        <w:t>发行量</w:t>
      </w:r>
    </w:p>
    <w:p w14:paraId="787811AE" w14:textId="77777777" w:rsidR="001F702C" w:rsidRDefault="00BD18A1">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无限制。</w:t>
      </w:r>
    </w:p>
    <w:p w14:paraId="314B3ACB" w14:textId="77777777" w:rsidR="001F702C" w:rsidRDefault="00BD18A1">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2.5.</w:t>
      </w:r>
      <w:r>
        <w:rPr>
          <w:rFonts w:ascii="Times New Roman" w:hAnsi="Times New Roman"/>
          <w:kern w:val="0"/>
          <w:sz w:val="24"/>
        </w:rPr>
        <w:t>债券剩余期限</w:t>
      </w:r>
    </w:p>
    <w:p w14:paraId="2E1B5DE1" w14:textId="77777777" w:rsidR="001F702C" w:rsidRDefault="00BD18A1">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0.5</w:t>
      </w:r>
      <w:r>
        <w:rPr>
          <w:rFonts w:ascii="Times New Roman" w:hAnsi="Times New Roman"/>
          <w:kern w:val="0"/>
          <w:sz w:val="24"/>
        </w:rPr>
        <w:t>年</w:t>
      </w:r>
      <w:r>
        <w:rPr>
          <w:rFonts w:ascii="Times New Roman" w:hAnsi="Times New Roman"/>
          <w:kern w:val="0"/>
          <w:sz w:val="24"/>
        </w:rPr>
        <w:t>-3</w:t>
      </w:r>
      <w:r>
        <w:rPr>
          <w:rFonts w:ascii="Times New Roman" w:hAnsi="Times New Roman"/>
          <w:kern w:val="0"/>
          <w:sz w:val="24"/>
        </w:rPr>
        <w:t>年（包含</w:t>
      </w:r>
      <w:r>
        <w:rPr>
          <w:rFonts w:ascii="Times New Roman" w:hAnsi="Times New Roman"/>
          <w:kern w:val="0"/>
          <w:sz w:val="24"/>
        </w:rPr>
        <w:t>0.5</w:t>
      </w:r>
      <w:r>
        <w:rPr>
          <w:rFonts w:ascii="Times New Roman" w:hAnsi="Times New Roman"/>
          <w:kern w:val="0"/>
          <w:sz w:val="24"/>
        </w:rPr>
        <w:t>年和</w:t>
      </w:r>
      <w:r>
        <w:rPr>
          <w:rFonts w:ascii="Times New Roman" w:hAnsi="Times New Roman"/>
          <w:kern w:val="0"/>
          <w:sz w:val="24"/>
        </w:rPr>
        <w:t>3</w:t>
      </w:r>
      <w:r>
        <w:rPr>
          <w:rFonts w:ascii="Times New Roman" w:hAnsi="Times New Roman"/>
          <w:kern w:val="0"/>
          <w:sz w:val="24"/>
        </w:rPr>
        <w:t>年），</w:t>
      </w:r>
      <w:proofErr w:type="gramStart"/>
      <w:r>
        <w:rPr>
          <w:rFonts w:ascii="Times New Roman" w:hAnsi="Times New Roman"/>
          <w:kern w:val="0"/>
          <w:sz w:val="24"/>
        </w:rPr>
        <w:t>含权债剩余</w:t>
      </w:r>
      <w:proofErr w:type="gramEnd"/>
      <w:r>
        <w:rPr>
          <w:rFonts w:ascii="Times New Roman" w:hAnsi="Times New Roman"/>
          <w:kern w:val="0"/>
          <w:sz w:val="24"/>
        </w:rPr>
        <w:t>期限按计算日中债估值推荐方向选取。</w:t>
      </w:r>
    </w:p>
    <w:p w14:paraId="6AED5C4C" w14:textId="77777777" w:rsidR="001F702C" w:rsidRDefault="00BD18A1">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2.6.</w:t>
      </w:r>
      <w:r>
        <w:rPr>
          <w:rFonts w:ascii="Times New Roman" w:hAnsi="Times New Roman"/>
          <w:kern w:val="0"/>
          <w:sz w:val="24"/>
        </w:rPr>
        <w:t>债券币种</w:t>
      </w:r>
    </w:p>
    <w:p w14:paraId="2EFACE77" w14:textId="77777777" w:rsidR="001F702C" w:rsidRDefault="00BD18A1">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人民币。</w:t>
      </w:r>
    </w:p>
    <w:p w14:paraId="66CF72A3" w14:textId="77777777" w:rsidR="001F702C" w:rsidRDefault="00BD18A1">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2.7.</w:t>
      </w:r>
      <w:r>
        <w:rPr>
          <w:rFonts w:ascii="Times New Roman" w:hAnsi="Times New Roman"/>
          <w:kern w:val="0"/>
          <w:sz w:val="24"/>
        </w:rPr>
        <w:t>付息方式</w:t>
      </w:r>
    </w:p>
    <w:p w14:paraId="3F6DB507" w14:textId="77777777" w:rsidR="001F702C" w:rsidRDefault="00BD18A1">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附息式固定利率。</w:t>
      </w:r>
    </w:p>
    <w:p w14:paraId="6EC690E7" w14:textId="77777777" w:rsidR="001F702C" w:rsidRDefault="00BD18A1">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2.8.</w:t>
      </w:r>
      <w:r>
        <w:rPr>
          <w:rFonts w:ascii="Times New Roman" w:hAnsi="Times New Roman"/>
          <w:kern w:val="0"/>
          <w:sz w:val="24"/>
        </w:rPr>
        <w:t>上市期限</w:t>
      </w:r>
    </w:p>
    <w:p w14:paraId="52B1D312" w14:textId="77777777" w:rsidR="001F702C" w:rsidRDefault="00BD18A1">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无限制。</w:t>
      </w:r>
    </w:p>
    <w:p w14:paraId="0AFB3BC6" w14:textId="77777777" w:rsidR="001F702C" w:rsidRDefault="00BD18A1">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2.9.</w:t>
      </w:r>
      <w:r>
        <w:rPr>
          <w:rFonts w:ascii="Times New Roman" w:hAnsi="Times New Roman"/>
          <w:kern w:val="0"/>
          <w:sz w:val="24"/>
        </w:rPr>
        <w:t>含权债</w:t>
      </w:r>
    </w:p>
    <w:p w14:paraId="6330D36C" w14:textId="77777777" w:rsidR="001F702C" w:rsidRDefault="00BD18A1">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包含</w:t>
      </w:r>
      <w:proofErr w:type="gramStart"/>
      <w:r>
        <w:rPr>
          <w:rFonts w:ascii="Times New Roman" w:hAnsi="Times New Roman"/>
          <w:kern w:val="0"/>
          <w:sz w:val="24"/>
        </w:rPr>
        <w:t>含</w:t>
      </w:r>
      <w:proofErr w:type="gramEnd"/>
      <w:r>
        <w:rPr>
          <w:rFonts w:ascii="Times New Roman" w:hAnsi="Times New Roman"/>
          <w:kern w:val="0"/>
          <w:sz w:val="24"/>
        </w:rPr>
        <w:t>权债。</w:t>
      </w:r>
    </w:p>
    <w:p w14:paraId="632BD4C9" w14:textId="77777777" w:rsidR="001F702C" w:rsidRDefault="00BD18A1">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有关标的指数具体编制方案详见中国债券信息网，网址：</w:t>
      </w:r>
      <w:r>
        <w:rPr>
          <w:rFonts w:ascii="Times New Roman" w:hAnsi="Times New Roman"/>
          <w:kern w:val="0"/>
          <w:sz w:val="24"/>
        </w:rPr>
        <w:t>https://www.chinabond.com.cn/</w:t>
      </w:r>
      <w:r>
        <w:rPr>
          <w:rFonts w:ascii="Times New Roman" w:hAnsi="Times New Roman"/>
          <w:kern w:val="0"/>
          <w:sz w:val="24"/>
        </w:rPr>
        <w:t>。</w:t>
      </w:r>
    </w:p>
    <w:p w14:paraId="238F1B35" w14:textId="77777777" w:rsidR="001F702C" w:rsidRDefault="00BD18A1">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投资有风险，投资人在投资本基金前应认真阅读本基金的招募说明书和基金合同、基金产品资料概要等信息披露文件，自主判断基金的投资价值，自主</w:t>
      </w:r>
      <w:proofErr w:type="gramStart"/>
      <w:r>
        <w:rPr>
          <w:rFonts w:ascii="Times New Roman" w:hAnsi="Times New Roman"/>
          <w:kern w:val="0"/>
          <w:sz w:val="24"/>
        </w:rPr>
        <w:t>作出</w:t>
      </w:r>
      <w:proofErr w:type="gramEnd"/>
      <w:r>
        <w:rPr>
          <w:rFonts w:ascii="Times New Roman" w:hAnsi="Times New Roman"/>
          <w:kern w:val="0"/>
          <w:sz w:val="24"/>
        </w:rPr>
        <w:lastRenderedPageBreak/>
        <w:t>投资决策，自行承担投资风险。基金的过往业绩并不代表未来表现。基金管理人管理的其他基金的业绩并不构成对本基金业绩表现的保证。基金管理人提醒投资者基金投资的</w:t>
      </w:r>
      <w:r>
        <w:rPr>
          <w:rFonts w:ascii="Times New Roman" w:hAnsi="Times New Roman"/>
          <w:kern w:val="0"/>
          <w:sz w:val="24"/>
        </w:rPr>
        <w:t>“</w:t>
      </w:r>
      <w:r>
        <w:rPr>
          <w:rFonts w:ascii="Times New Roman" w:hAnsi="Times New Roman"/>
          <w:kern w:val="0"/>
          <w:sz w:val="24"/>
        </w:rPr>
        <w:t>买者自负</w:t>
      </w:r>
      <w:r>
        <w:rPr>
          <w:rFonts w:ascii="Times New Roman" w:hAnsi="Times New Roman"/>
          <w:kern w:val="0"/>
          <w:sz w:val="24"/>
        </w:rPr>
        <w:t>”</w:t>
      </w:r>
      <w:r>
        <w:rPr>
          <w:rFonts w:ascii="Times New Roman" w:hAnsi="Times New Roman"/>
          <w:kern w:val="0"/>
          <w:sz w:val="24"/>
        </w:rPr>
        <w:t>原则，在投资者</w:t>
      </w:r>
      <w:proofErr w:type="gramStart"/>
      <w:r>
        <w:rPr>
          <w:rFonts w:ascii="Times New Roman" w:hAnsi="Times New Roman"/>
          <w:kern w:val="0"/>
          <w:sz w:val="24"/>
        </w:rPr>
        <w:t>作出</w:t>
      </w:r>
      <w:proofErr w:type="gramEnd"/>
      <w:r>
        <w:rPr>
          <w:rFonts w:ascii="Times New Roman" w:hAnsi="Times New Roman"/>
          <w:kern w:val="0"/>
          <w:sz w:val="24"/>
        </w:rPr>
        <w:t>投资决策后，基金运营状况与基金净值变化引致的投资风险，由投资者自行负责。</w:t>
      </w:r>
    </w:p>
    <w:p w14:paraId="44138138" w14:textId="77777777" w:rsidR="001F702C" w:rsidRDefault="00BD18A1">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本基金单一投资者持有基金份额数不得超过基金份额总数的</w:t>
      </w:r>
      <w:r>
        <w:rPr>
          <w:rFonts w:ascii="Times New Roman" w:hAnsi="Times New Roman"/>
          <w:kern w:val="0"/>
          <w:sz w:val="24"/>
        </w:rPr>
        <w:t>50%</w:t>
      </w:r>
      <w:r>
        <w:rPr>
          <w:rFonts w:ascii="Times New Roman" w:hAnsi="Times New Roman"/>
          <w:kern w:val="0"/>
          <w:sz w:val="24"/>
        </w:rPr>
        <w:t>，但在基金运作过程中因基金份额赎回等情形导致被动超过前述</w:t>
      </w:r>
      <w:r>
        <w:rPr>
          <w:rFonts w:ascii="Times New Roman" w:hAnsi="Times New Roman"/>
          <w:kern w:val="0"/>
          <w:sz w:val="24"/>
        </w:rPr>
        <w:t>50%</w:t>
      </w:r>
      <w:r>
        <w:rPr>
          <w:rFonts w:ascii="Times New Roman" w:hAnsi="Times New Roman"/>
          <w:kern w:val="0"/>
          <w:sz w:val="24"/>
        </w:rPr>
        <w:t>比例的除外。</w:t>
      </w:r>
    </w:p>
    <w:p w14:paraId="3B510754" w14:textId="6C1125AD" w:rsidR="001F702C" w:rsidRDefault="003F3DD0">
      <w:pPr>
        <w:autoSpaceDE w:val="0"/>
        <w:autoSpaceDN w:val="0"/>
        <w:adjustRightInd w:val="0"/>
        <w:snapToGrid w:val="0"/>
        <w:spacing w:line="360" w:lineRule="auto"/>
        <w:ind w:leftChars="50" w:left="105" w:firstLineChars="200" w:firstLine="480"/>
        <w:rPr>
          <w:rFonts w:ascii="宋体" w:hAnsi="宋体"/>
          <w:kern w:val="0"/>
          <w:sz w:val="24"/>
        </w:rPr>
      </w:pPr>
      <w:r w:rsidRPr="00156651">
        <w:rPr>
          <w:rFonts w:ascii="Times New Roman" w:hAnsi="Times New Roman" w:hint="eastAsia"/>
          <w:kern w:val="0"/>
          <w:sz w:val="24"/>
        </w:rPr>
        <w:t>本次更新招募说明书主要对本基金增设</w:t>
      </w:r>
      <w:r>
        <w:rPr>
          <w:rFonts w:ascii="Times New Roman" w:hAnsi="Times New Roman"/>
          <w:kern w:val="0"/>
          <w:sz w:val="24"/>
        </w:rPr>
        <w:t>D</w:t>
      </w:r>
      <w:r w:rsidRPr="00156651">
        <w:rPr>
          <w:rFonts w:ascii="Times New Roman" w:hAnsi="Times New Roman" w:hint="eastAsia"/>
          <w:kern w:val="0"/>
          <w:sz w:val="24"/>
        </w:rPr>
        <w:t>类基金份额</w:t>
      </w:r>
      <w:r>
        <w:rPr>
          <w:rFonts w:ascii="Times New Roman" w:hAnsi="Times New Roman" w:hint="eastAsia"/>
          <w:kern w:val="0"/>
          <w:sz w:val="24"/>
        </w:rPr>
        <w:t>的</w:t>
      </w:r>
      <w:r w:rsidRPr="00156651">
        <w:rPr>
          <w:rFonts w:ascii="Times New Roman" w:hAnsi="Times New Roman" w:hint="eastAsia"/>
          <w:kern w:val="0"/>
          <w:sz w:val="24"/>
        </w:rPr>
        <w:t>相关信息进行更新，前述内容更新截止日为</w:t>
      </w:r>
      <w:r>
        <w:rPr>
          <w:rFonts w:ascii="Times New Roman" w:hAnsi="Times New Roman" w:hint="eastAsia"/>
          <w:kern w:val="0"/>
          <w:sz w:val="24"/>
        </w:rPr>
        <w:t>20</w:t>
      </w:r>
      <w:r w:rsidR="00A80D3E">
        <w:rPr>
          <w:rFonts w:ascii="Times New Roman" w:hAnsi="Times New Roman"/>
          <w:kern w:val="0"/>
          <w:sz w:val="24"/>
        </w:rPr>
        <w:t>2</w:t>
      </w:r>
      <w:r w:rsidR="00B35671">
        <w:rPr>
          <w:rFonts w:ascii="Times New Roman" w:hAnsi="Times New Roman"/>
          <w:kern w:val="0"/>
          <w:sz w:val="24"/>
        </w:rPr>
        <w:t>3</w:t>
      </w:r>
      <w:r w:rsidRPr="00156651">
        <w:rPr>
          <w:rFonts w:ascii="Times New Roman" w:hAnsi="Times New Roman" w:hint="eastAsia"/>
          <w:kern w:val="0"/>
          <w:sz w:val="24"/>
        </w:rPr>
        <w:t>年</w:t>
      </w:r>
      <w:r w:rsidR="00B35671">
        <w:rPr>
          <w:rFonts w:ascii="Times New Roman" w:hAnsi="Times New Roman"/>
          <w:kern w:val="0"/>
          <w:sz w:val="24"/>
        </w:rPr>
        <w:t>12</w:t>
      </w:r>
      <w:r w:rsidRPr="00156651">
        <w:rPr>
          <w:rFonts w:ascii="Times New Roman" w:hAnsi="Times New Roman" w:hint="eastAsia"/>
          <w:kern w:val="0"/>
          <w:sz w:val="24"/>
        </w:rPr>
        <w:t>月</w:t>
      </w:r>
      <w:r w:rsidR="00B35671">
        <w:rPr>
          <w:rFonts w:ascii="Times New Roman" w:hAnsi="Times New Roman" w:hint="eastAsia"/>
          <w:kern w:val="0"/>
          <w:sz w:val="24"/>
        </w:rPr>
        <w:t>1</w:t>
      </w:r>
      <w:r w:rsidR="00B35671">
        <w:rPr>
          <w:rFonts w:ascii="Times New Roman" w:hAnsi="Times New Roman"/>
          <w:kern w:val="0"/>
          <w:sz w:val="24"/>
        </w:rPr>
        <w:t>4</w:t>
      </w:r>
      <w:r w:rsidRPr="00156651">
        <w:rPr>
          <w:rFonts w:ascii="Times New Roman" w:hAnsi="Times New Roman" w:hint="eastAsia"/>
          <w:kern w:val="0"/>
          <w:sz w:val="24"/>
        </w:rPr>
        <w:t>日</w:t>
      </w:r>
      <w:r>
        <w:rPr>
          <w:rFonts w:ascii="Times New Roman" w:hAnsi="Times New Roman" w:hint="eastAsia"/>
          <w:kern w:val="0"/>
          <w:sz w:val="24"/>
        </w:rPr>
        <w:t>，</w:t>
      </w:r>
      <w:r w:rsidRPr="00156651">
        <w:rPr>
          <w:rFonts w:ascii="Times New Roman" w:hAnsi="Times New Roman" w:hint="eastAsia"/>
          <w:kern w:val="0"/>
          <w:sz w:val="24"/>
        </w:rPr>
        <w:t>除非另有说明，</w:t>
      </w:r>
      <w:r w:rsidR="00BD18A1">
        <w:rPr>
          <w:rFonts w:ascii="Times New Roman" w:hAnsi="Times New Roman"/>
          <w:kern w:val="0"/>
          <w:sz w:val="24"/>
        </w:rPr>
        <w:t>本招募说明书</w:t>
      </w:r>
      <w:r>
        <w:rPr>
          <w:rFonts w:ascii="Times New Roman" w:hAnsi="Times New Roman" w:hint="eastAsia"/>
          <w:kern w:val="0"/>
          <w:sz w:val="24"/>
        </w:rPr>
        <w:t>其他</w:t>
      </w:r>
      <w:r w:rsidR="00BD18A1">
        <w:rPr>
          <w:rFonts w:ascii="Times New Roman" w:hAnsi="Times New Roman"/>
          <w:kern w:val="0"/>
          <w:sz w:val="24"/>
        </w:rPr>
        <w:t>所载内容截止日为</w:t>
      </w:r>
      <w:r w:rsidR="00BD18A1">
        <w:rPr>
          <w:rFonts w:ascii="Times New Roman" w:hAnsi="Times New Roman"/>
          <w:kern w:val="0"/>
          <w:sz w:val="24"/>
        </w:rPr>
        <w:t>2023</w:t>
      </w:r>
      <w:r w:rsidR="00BD18A1">
        <w:rPr>
          <w:rFonts w:ascii="Times New Roman" w:hAnsi="Times New Roman"/>
          <w:kern w:val="0"/>
          <w:sz w:val="24"/>
        </w:rPr>
        <w:t>年</w:t>
      </w:r>
      <w:r w:rsidR="00BD18A1">
        <w:rPr>
          <w:rFonts w:ascii="Times New Roman" w:hAnsi="Times New Roman"/>
          <w:kern w:val="0"/>
          <w:sz w:val="24"/>
        </w:rPr>
        <w:t>06</w:t>
      </w:r>
      <w:r w:rsidR="00BD18A1">
        <w:rPr>
          <w:rFonts w:ascii="Times New Roman" w:hAnsi="Times New Roman"/>
          <w:kern w:val="0"/>
          <w:sz w:val="24"/>
        </w:rPr>
        <w:t>月</w:t>
      </w:r>
      <w:r w:rsidR="00BD18A1">
        <w:rPr>
          <w:rFonts w:ascii="Times New Roman" w:hAnsi="Times New Roman"/>
          <w:kern w:val="0"/>
          <w:sz w:val="24"/>
        </w:rPr>
        <w:t>21</w:t>
      </w:r>
      <w:r w:rsidR="00BD18A1">
        <w:rPr>
          <w:rFonts w:ascii="Times New Roman" w:hAnsi="Times New Roman"/>
          <w:kern w:val="0"/>
          <w:sz w:val="24"/>
        </w:rPr>
        <w:t>日，有关财务数据和净值表现截止日为</w:t>
      </w:r>
      <w:r w:rsidR="00BD18A1">
        <w:rPr>
          <w:rFonts w:ascii="Times New Roman" w:hAnsi="Times New Roman"/>
          <w:kern w:val="0"/>
          <w:sz w:val="24"/>
        </w:rPr>
        <w:t>2023</w:t>
      </w:r>
      <w:r w:rsidR="00BD18A1">
        <w:rPr>
          <w:rFonts w:ascii="Times New Roman" w:hAnsi="Times New Roman"/>
          <w:kern w:val="0"/>
          <w:sz w:val="24"/>
        </w:rPr>
        <w:t>年</w:t>
      </w:r>
      <w:r w:rsidR="00BD18A1">
        <w:rPr>
          <w:rFonts w:ascii="Times New Roman" w:hAnsi="Times New Roman"/>
          <w:kern w:val="0"/>
          <w:sz w:val="24"/>
        </w:rPr>
        <w:t>03</w:t>
      </w:r>
      <w:r w:rsidR="00BD18A1">
        <w:rPr>
          <w:rFonts w:ascii="Times New Roman" w:hAnsi="Times New Roman"/>
          <w:kern w:val="0"/>
          <w:sz w:val="24"/>
        </w:rPr>
        <w:t>月</w:t>
      </w:r>
      <w:r w:rsidR="00BD18A1">
        <w:rPr>
          <w:rFonts w:ascii="Times New Roman" w:hAnsi="Times New Roman"/>
          <w:kern w:val="0"/>
          <w:sz w:val="24"/>
        </w:rPr>
        <w:t>31</w:t>
      </w:r>
      <w:r w:rsidR="00BD18A1">
        <w:rPr>
          <w:rFonts w:ascii="Times New Roman" w:hAnsi="Times New Roman"/>
          <w:kern w:val="0"/>
          <w:sz w:val="24"/>
        </w:rPr>
        <w:t>日。本招募说明书所载的财务数据未经审计。</w:t>
      </w:r>
    </w:p>
    <w:p w14:paraId="2E92EE05" w14:textId="77777777" w:rsidR="001F702C" w:rsidRDefault="001F702C">
      <w:pPr>
        <w:autoSpaceDE w:val="0"/>
        <w:autoSpaceDN w:val="0"/>
        <w:adjustRightInd w:val="0"/>
        <w:snapToGrid w:val="0"/>
        <w:spacing w:before="51" w:line="360" w:lineRule="auto"/>
        <w:ind w:left="120" w:rightChars="6" w:right="13" w:firstLine="480"/>
        <w:rPr>
          <w:rFonts w:ascii="宋体" w:hAnsi="宋体"/>
          <w:kern w:val="0"/>
          <w:szCs w:val="24"/>
        </w:rPr>
        <w:sectPr w:rsidR="001F702C">
          <w:headerReference w:type="default" r:id="rId13"/>
          <w:pgSz w:w="11920" w:h="16840"/>
          <w:pgMar w:top="1440" w:right="1680" w:bottom="280" w:left="1680" w:header="0" w:footer="1073" w:gutter="0"/>
          <w:pgNumType w:start="1"/>
          <w:cols w:space="720"/>
        </w:sectPr>
      </w:pPr>
    </w:p>
    <w:p w14:paraId="55C1FAC0" w14:textId="77777777" w:rsidR="00E45C2C" w:rsidRPr="00E45C2C" w:rsidRDefault="00BD18A1" w:rsidP="00E45C2C">
      <w:pPr>
        <w:pStyle w:val="af3"/>
        <w:snapToGrid w:val="0"/>
        <w:spacing w:after="240" w:line="360" w:lineRule="auto"/>
        <w:jc w:val="center"/>
        <w:rPr>
          <w:rFonts w:ascii="宋体" w:hAnsi="宋体"/>
          <w:noProof/>
          <w:sz w:val="24"/>
        </w:rPr>
      </w:pPr>
      <w:r w:rsidRPr="00E45C2C">
        <w:rPr>
          <w:rFonts w:ascii="宋体" w:hAnsi="宋体"/>
          <w:color w:val="000000"/>
          <w:position w:val="-4"/>
          <w:sz w:val="24"/>
          <w:szCs w:val="30"/>
        </w:rPr>
        <w:lastRenderedPageBreak/>
        <w:t>目</w:t>
      </w:r>
      <w:r w:rsidRPr="00E45C2C">
        <w:rPr>
          <w:rFonts w:ascii="宋体" w:hAnsi="宋体"/>
          <w:color w:val="000000"/>
          <w:position w:val="-4"/>
          <w:sz w:val="24"/>
          <w:szCs w:val="30"/>
        </w:rPr>
        <w:tab/>
        <w:t>录</w:t>
      </w:r>
      <w:r w:rsidR="00E45C2C" w:rsidRPr="00E45C2C">
        <w:rPr>
          <w:rFonts w:ascii="宋体" w:hAnsi="宋体"/>
          <w:color w:val="000000"/>
          <w:position w:val="-4"/>
          <w:sz w:val="24"/>
          <w:szCs w:val="30"/>
        </w:rPr>
        <w:fldChar w:fldCharType="begin"/>
      </w:r>
      <w:r w:rsidR="00E45C2C" w:rsidRPr="00E45C2C">
        <w:rPr>
          <w:rFonts w:ascii="宋体" w:hAnsi="宋体"/>
          <w:color w:val="000000"/>
          <w:position w:val="-4"/>
          <w:sz w:val="24"/>
          <w:szCs w:val="30"/>
        </w:rPr>
        <w:instrText xml:space="preserve"> TOC \o "1-3" \f - \h \t "-1" </w:instrText>
      </w:r>
      <w:r w:rsidR="00E45C2C" w:rsidRPr="00E45C2C">
        <w:rPr>
          <w:rFonts w:ascii="宋体" w:hAnsi="宋体"/>
          <w:color w:val="000000"/>
          <w:position w:val="-4"/>
          <w:sz w:val="24"/>
          <w:szCs w:val="30"/>
        </w:rPr>
        <w:fldChar w:fldCharType="separate"/>
      </w:r>
    </w:p>
    <w:p w14:paraId="0DBD75CA" w14:textId="2446802B" w:rsidR="00E45C2C" w:rsidRPr="005F64F1" w:rsidRDefault="00E56D57" w:rsidP="00E45C2C">
      <w:pPr>
        <w:pStyle w:val="11"/>
        <w:tabs>
          <w:tab w:val="right" w:leader="dot" w:pos="8550"/>
        </w:tabs>
        <w:spacing w:line="360" w:lineRule="auto"/>
        <w:rPr>
          <w:rFonts w:ascii="宋体" w:hAnsi="宋体"/>
          <w:noProof/>
          <w:sz w:val="24"/>
        </w:rPr>
      </w:pPr>
      <w:hyperlink w:anchor="_Toc140049404" w:history="1">
        <w:r w:rsidR="00E45C2C" w:rsidRPr="00E45C2C">
          <w:rPr>
            <w:rStyle w:val="af0"/>
            <w:rFonts w:ascii="宋体" w:hAnsi="宋体" w:hint="eastAsia"/>
            <w:noProof/>
            <w:kern w:val="0"/>
            <w:sz w:val="24"/>
          </w:rPr>
          <w:t>重要提示</w:t>
        </w:r>
        <w:r w:rsidR="00E45C2C" w:rsidRPr="00E45C2C">
          <w:rPr>
            <w:rFonts w:ascii="宋体" w:hAnsi="宋体"/>
            <w:noProof/>
            <w:sz w:val="24"/>
          </w:rPr>
          <w:tab/>
        </w:r>
        <w:r w:rsidR="00E45C2C" w:rsidRPr="00E45C2C">
          <w:rPr>
            <w:rFonts w:ascii="宋体" w:hAnsi="宋体"/>
            <w:noProof/>
            <w:sz w:val="24"/>
          </w:rPr>
          <w:fldChar w:fldCharType="begin"/>
        </w:r>
        <w:r w:rsidR="00E45C2C" w:rsidRPr="00E45C2C">
          <w:rPr>
            <w:rFonts w:ascii="宋体" w:hAnsi="宋体"/>
            <w:noProof/>
            <w:sz w:val="24"/>
          </w:rPr>
          <w:instrText xml:space="preserve"> PAGEREF _Toc140049404 \h </w:instrText>
        </w:r>
        <w:r w:rsidR="00E45C2C" w:rsidRPr="00E45C2C">
          <w:rPr>
            <w:rFonts w:ascii="宋体" w:hAnsi="宋体"/>
            <w:noProof/>
            <w:sz w:val="24"/>
          </w:rPr>
        </w:r>
        <w:r w:rsidR="00E45C2C" w:rsidRPr="00E45C2C">
          <w:rPr>
            <w:rFonts w:ascii="宋体" w:hAnsi="宋体"/>
            <w:noProof/>
            <w:sz w:val="24"/>
          </w:rPr>
          <w:fldChar w:fldCharType="separate"/>
        </w:r>
        <w:r w:rsidR="001607B6">
          <w:rPr>
            <w:rFonts w:ascii="宋体" w:hAnsi="宋体"/>
            <w:noProof/>
            <w:sz w:val="24"/>
          </w:rPr>
          <w:t>1</w:t>
        </w:r>
        <w:r w:rsidR="00E45C2C" w:rsidRPr="00E45C2C">
          <w:rPr>
            <w:rFonts w:ascii="宋体" w:hAnsi="宋体"/>
            <w:noProof/>
            <w:sz w:val="24"/>
          </w:rPr>
          <w:fldChar w:fldCharType="end"/>
        </w:r>
      </w:hyperlink>
    </w:p>
    <w:p w14:paraId="385C7849" w14:textId="528BB450" w:rsidR="00E45C2C" w:rsidRPr="005F64F1" w:rsidRDefault="00E56D57" w:rsidP="00E45C2C">
      <w:pPr>
        <w:pStyle w:val="11"/>
        <w:tabs>
          <w:tab w:val="right" w:leader="dot" w:pos="8550"/>
        </w:tabs>
        <w:spacing w:line="360" w:lineRule="auto"/>
        <w:rPr>
          <w:rFonts w:ascii="宋体" w:hAnsi="宋体"/>
          <w:noProof/>
          <w:sz w:val="24"/>
        </w:rPr>
      </w:pPr>
      <w:hyperlink w:anchor="_Toc140049405" w:history="1">
        <w:r w:rsidR="00E45C2C" w:rsidRPr="00E45C2C">
          <w:rPr>
            <w:rStyle w:val="af0"/>
            <w:rFonts w:ascii="宋体" w:hAnsi="宋体" w:hint="eastAsia"/>
            <w:noProof/>
            <w:sz w:val="24"/>
          </w:rPr>
          <w:t>一、绪言</w:t>
        </w:r>
        <w:r w:rsidR="00E45C2C" w:rsidRPr="00E45C2C">
          <w:rPr>
            <w:rFonts w:ascii="宋体" w:hAnsi="宋体"/>
            <w:noProof/>
            <w:sz w:val="24"/>
          </w:rPr>
          <w:tab/>
        </w:r>
        <w:r w:rsidR="00E45C2C" w:rsidRPr="00E45C2C">
          <w:rPr>
            <w:rFonts w:ascii="宋体" w:hAnsi="宋体"/>
            <w:noProof/>
            <w:sz w:val="24"/>
          </w:rPr>
          <w:fldChar w:fldCharType="begin"/>
        </w:r>
        <w:r w:rsidR="00E45C2C" w:rsidRPr="00E45C2C">
          <w:rPr>
            <w:rFonts w:ascii="宋体" w:hAnsi="宋体"/>
            <w:noProof/>
            <w:sz w:val="24"/>
          </w:rPr>
          <w:instrText xml:space="preserve"> PAGEREF _Toc140049405 \h </w:instrText>
        </w:r>
        <w:r w:rsidR="00E45C2C" w:rsidRPr="00E45C2C">
          <w:rPr>
            <w:rFonts w:ascii="宋体" w:hAnsi="宋体"/>
            <w:noProof/>
            <w:sz w:val="24"/>
          </w:rPr>
        </w:r>
        <w:r w:rsidR="00E45C2C" w:rsidRPr="00E45C2C">
          <w:rPr>
            <w:rFonts w:ascii="宋体" w:hAnsi="宋体"/>
            <w:noProof/>
            <w:sz w:val="24"/>
          </w:rPr>
          <w:fldChar w:fldCharType="separate"/>
        </w:r>
        <w:r w:rsidR="001607B6">
          <w:rPr>
            <w:rFonts w:ascii="宋体" w:hAnsi="宋体"/>
            <w:noProof/>
            <w:sz w:val="24"/>
          </w:rPr>
          <w:t>5</w:t>
        </w:r>
        <w:r w:rsidR="00E45C2C" w:rsidRPr="00E45C2C">
          <w:rPr>
            <w:rFonts w:ascii="宋体" w:hAnsi="宋体"/>
            <w:noProof/>
            <w:sz w:val="24"/>
          </w:rPr>
          <w:fldChar w:fldCharType="end"/>
        </w:r>
      </w:hyperlink>
    </w:p>
    <w:p w14:paraId="4E7F614F" w14:textId="5FB26E7F" w:rsidR="00E45C2C" w:rsidRPr="005F64F1" w:rsidRDefault="00E56D57" w:rsidP="00E45C2C">
      <w:pPr>
        <w:pStyle w:val="11"/>
        <w:tabs>
          <w:tab w:val="right" w:leader="dot" w:pos="8550"/>
        </w:tabs>
        <w:spacing w:line="360" w:lineRule="auto"/>
        <w:rPr>
          <w:rFonts w:ascii="宋体" w:hAnsi="宋体"/>
          <w:noProof/>
          <w:sz w:val="24"/>
        </w:rPr>
      </w:pPr>
      <w:hyperlink w:anchor="_Toc140049406" w:history="1">
        <w:r w:rsidR="00E45C2C" w:rsidRPr="00E45C2C">
          <w:rPr>
            <w:rStyle w:val="af0"/>
            <w:rFonts w:ascii="宋体" w:hAnsi="宋体" w:hint="eastAsia"/>
            <w:noProof/>
            <w:sz w:val="24"/>
          </w:rPr>
          <w:t>二、释义</w:t>
        </w:r>
        <w:r w:rsidR="00E45C2C" w:rsidRPr="00E45C2C">
          <w:rPr>
            <w:rFonts w:ascii="宋体" w:hAnsi="宋体"/>
            <w:noProof/>
            <w:sz w:val="24"/>
          </w:rPr>
          <w:tab/>
        </w:r>
        <w:r w:rsidR="00E45C2C" w:rsidRPr="00E45C2C">
          <w:rPr>
            <w:rFonts w:ascii="宋体" w:hAnsi="宋体"/>
            <w:noProof/>
            <w:sz w:val="24"/>
          </w:rPr>
          <w:fldChar w:fldCharType="begin"/>
        </w:r>
        <w:r w:rsidR="00E45C2C" w:rsidRPr="00E45C2C">
          <w:rPr>
            <w:rFonts w:ascii="宋体" w:hAnsi="宋体"/>
            <w:noProof/>
            <w:sz w:val="24"/>
          </w:rPr>
          <w:instrText xml:space="preserve"> PAGEREF _Toc140049406 \h </w:instrText>
        </w:r>
        <w:r w:rsidR="00E45C2C" w:rsidRPr="00E45C2C">
          <w:rPr>
            <w:rFonts w:ascii="宋体" w:hAnsi="宋体"/>
            <w:noProof/>
            <w:sz w:val="24"/>
          </w:rPr>
        </w:r>
        <w:r w:rsidR="00E45C2C" w:rsidRPr="00E45C2C">
          <w:rPr>
            <w:rFonts w:ascii="宋体" w:hAnsi="宋体"/>
            <w:noProof/>
            <w:sz w:val="24"/>
          </w:rPr>
          <w:fldChar w:fldCharType="separate"/>
        </w:r>
        <w:r w:rsidR="001607B6">
          <w:rPr>
            <w:rFonts w:ascii="宋体" w:hAnsi="宋体"/>
            <w:noProof/>
            <w:sz w:val="24"/>
          </w:rPr>
          <w:t>6</w:t>
        </w:r>
        <w:r w:rsidR="00E45C2C" w:rsidRPr="00E45C2C">
          <w:rPr>
            <w:rFonts w:ascii="宋体" w:hAnsi="宋体"/>
            <w:noProof/>
            <w:sz w:val="24"/>
          </w:rPr>
          <w:fldChar w:fldCharType="end"/>
        </w:r>
      </w:hyperlink>
    </w:p>
    <w:p w14:paraId="07C4F6E8" w14:textId="1F080961" w:rsidR="00E45C2C" w:rsidRPr="005F64F1" w:rsidRDefault="00E56D57" w:rsidP="00E45C2C">
      <w:pPr>
        <w:pStyle w:val="11"/>
        <w:tabs>
          <w:tab w:val="right" w:leader="dot" w:pos="8550"/>
        </w:tabs>
        <w:spacing w:line="360" w:lineRule="auto"/>
        <w:rPr>
          <w:rFonts w:ascii="宋体" w:hAnsi="宋体"/>
          <w:noProof/>
          <w:sz w:val="24"/>
        </w:rPr>
      </w:pPr>
      <w:hyperlink w:anchor="_Toc140049407" w:history="1">
        <w:r w:rsidR="00E45C2C" w:rsidRPr="00E45C2C">
          <w:rPr>
            <w:rStyle w:val="af0"/>
            <w:rFonts w:ascii="宋体" w:hAnsi="宋体" w:hint="eastAsia"/>
            <w:noProof/>
            <w:sz w:val="24"/>
          </w:rPr>
          <w:t>三、基金管理人</w:t>
        </w:r>
        <w:r w:rsidR="00E45C2C" w:rsidRPr="00E45C2C">
          <w:rPr>
            <w:rFonts w:ascii="宋体" w:hAnsi="宋体"/>
            <w:noProof/>
            <w:sz w:val="24"/>
          </w:rPr>
          <w:tab/>
        </w:r>
        <w:r w:rsidR="00E45C2C" w:rsidRPr="00E45C2C">
          <w:rPr>
            <w:rFonts w:ascii="宋体" w:hAnsi="宋体"/>
            <w:noProof/>
            <w:sz w:val="24"/>
          </w:rPr>
          <w:fldChar w:fldCharType="begin"/>
        </w:r>
        <w:r w:rsidR="00E45C2C" w:rsidRPr="00E45C2C">
          <w:rPr>
            <w:rFonts w:ascii="宋体" w:hAnsi="宋体"/>
            <w:noProof/>
            <w:sz w:val="24"/>
          </w:rPr>
          <w:instrText xml:space="preserve"> PAGEREF _Toc140049407 \h </w:instrText>
        </w:r>
        <w:r w:rsidR="00E45C2C" w:rsidRPr="00E45C2C">
          <w:rPr>
            <w:rFonts w:ascii="宋体" w:hAnsi="宋体"/>
            <w:noProof/>
            <w:sz w:val="24"/>
          </w:rPr>
        </w:r>
        <w:r w:rsidR="00E45C2C" w:rsidRPr="00E45C2C">
          <w:rPr>
            <w:rFonts w:ascii="宋体" w:hAnsi="宋体"/>
            <w:noProof/>
            <w:sz w:val="24"/>
          </w:rPr>
          <w:fldChar w:fldCharType="separate"/>
        </w:r>
        <w:r w:rsidR="001607B6">
          <w:rPr>
            <w:rFonts w:ascii="宋体" w:hAnsi="宋体"/>
            <w:noProof/>
            <w:sz w:val="24"/>
          </w:rPr>
          <w:t>11</w:t>
        </w:r>
        <w:r w:rsidR="00E45C2C" w:rsidRPr="00E45C2C">
          <w:rPr>
            <w:rFonts w:ascii="宋体" w:hAnsi="宋体"/>
            <w:noProof/>
            <w:sz w:val="24"/>
          </w:rPr>
          <w:fldChar w:fldCharType="end"/>
        </w:r>
      </w:hyperlink>
    </w:p>
    <w:p w14:paraId="2A40E8A4" w14:textId="376A8787" w:rsidR="00E45C2C" w:rsidRPr="005F64F1" w:rsidRDefault="00E56D57" w:rsidP="00E45C2C">
      <w:pPr>
        <w:pStyle w:val="11"/>
        <w:tabs>
          <w:tab w:val="right" w:leader="dot" w:pos="8550"/>
        </w:tabs>
        <w:spacing w:line="360" w:lineRule="auto"/>
        <w:rPr>
          <w:rFonts w:ascii="宋体" w:hAnsi="宋体"/>
          <w:noProof/>
          <w:sz w:val="24"/>
        </w:rPr>
      </w:pPr>
      <w:hyperlink w:anchor="_Toc140049408" w:history="1">
        <w:r w:rsidR="00E45C2C" w:rsidRPr="00E45C2C">
          <w:rPr>
            <w:rStyle w:val="af0"/>
            <w:rFonts w:ascii="宋体" w:hAnsi="宋体" w:hint="eastAsia"/>
            <w:noProof/>
            <w:sz w:val="24"/>
          </w:rPr>
          <w:t>四、基金托管人</w:t>
        </w:r>
        <w:r w:rsidR="00E45C2C" w:rsidRPr="00E45C2C">
          <w:rPr>
            <w:rFonts w:ascii="宋体" w:hAnsi="宋体"/>
            <w:noProof/>
            <w:sz w:val="24"/>
          </w:rPr>
          <w:tab/>
        </w:r>
        <w:r w:rsidR="00E45C2C" w:rsidRPr="00E45C2C">
          <w:rPr>
            <w:rFonts w:ascii="宋体" w:hAnsi="宋体"/>
            <w:noProof/>
            <w:sz w:val="24"/>
          </w:rPr>
          <w:fldChar w:fldCharType="begin"/>
        </w:r>
        <w:r w:rsidR="00E45C2C" w:rsidRPr="00E45C2C">
          <w:rPr>
            <w:rFonts w:ascii="宋体" w:hAnsi="宋体"/>
            <w:noProof/>
            <w:sz w:val="24"/>
          </w:rPr>
          <w:instrText xml:space="preserve"> PAGEREF _Toc140049408 \h </w:instrText>
        </w:r>
        <w:r w:rsidR="00E45C2C" w:rsidRPr="00E45C2C">
          <w:rPr>
            <w:rFonts w:ascii="宋体" w:hAnsi="宋体"/>
            <w:noProof/>
            <w:sz w:val="24"/>
          </w:rPr>
        </w:r>
        <w:r w:rsidR="00E45C2C" w:rsidRPr="00E45C2C">
          <w:rPr>
            <w:rFonts w:ascii="宋体" w:hAnsi="宋体"/>
            <w:noProof/>
            <w:sz w:val="24"/>
          </w:rPr>
          <w:fldChar w:fldCharType="separate"/>
        </w:r>
        <w:r w:rsidR="001607B6">
          <w:rPr>
            <w:rFonts w:ascii="宋体" w:hAnsi="宋体"/>
            <w:noProof/>
            <w:sz w:val="24"/>
          </w:rPr>
          <w:t>19</w:t>
        </w:r>
        <w:r w:rsidR="00E45C2C" w:rsidRPr="00E45C2C">
          <w:rPr>
            <w:rFonts w:ascii="宋体" w:hAnsi="宋体"/>
            <w:noProof/>
            <w:sz w:val="24"/>
          </w:rPr>
          <w:fldChar w:fldCharType="end"/>
        </w:r>
      </w:hyperlink>
    </w:p>
    <w:p w14:paraId="1729A490" w14:textId="7376ED6A" w:rsidR="00E45C2C" w:rsidRPr="005F64F1" w:rsidRDefault="00E56D57" w:rsidP="00E45C2C">
      <w:pPr>
        <w:pStyle w:val="11"/>
        <w:tabs>
          <w:tab w:val="right" w:leader="dot" w:pos="8550"/>
        </w:tabs>
        <w:spacing w:line="360" w:lineRule="auto"/>
        <w:rPr>
          <w:rFonts w:ascii="宋体" w:hAnsi="宋体"/>
          <w:noProof/>
          <w:sz w:val="24"/>
        </w:rPr>
      </w:pPr>
      <w:hyperlink w:anchor="_Toc140049409" w:history="1">
        <w:r w:rsidR="00E45C2C" w:rsidRPr="00E45C2C">
          <w:rPr>
            <w:rStyle w:val="af0"/>
            <w:rFonts w:ascii="宋体" w:hAnsi="宋体" w:hint="eastAsia"/>
            <w:noProof/>
            <w:sz w:val="24"/>
          </w:rPr>
          <w:t>五、相关服务机构</w:t>
        </w:r>
        <w:r w:rsidR="00E45C2C" w:rsidRPr="00E45C2C">
          <w:rPr>
            <w:rFonts w:ascii="宋体" w:hAnsi="宋体"/>
            <w:noProof/>
            <w:sz w:val="24"/>
          </w:rPr>
          <w:tab/>
        </w:r>
        <w:r w:rsidR="00E45C2C" w:rsidRPr="00E45C2C">
          <w:rPr>
            <w:rFonts w:ascii="宋体" w:hAnsi="宋体"/>
            <w:noProof/>
            <w:sz w:val="24"/>
          </w:rPr>
          <w:fldChar w:fldCharType="begin"/>
        </w:r>
        <w:r w:rsidR="00E45C2C" w:rsidRPr="00E45C2C">
          <w:rPr>
            <w:rFonts w:ascii="宋体" w:hAnsi="宋体"/>
            <w:noProof/>
            <w:sz w:val="24"/>
          </w:rPr>
          <w:instrText xml:space="preserve"> PAGEREF _Toc140049409 \h </w:instrText>
        </w:r>
        <w:r w:rsidR="00E45C2C" w:rsidRPr="00E45C2C">
          <w:rPr>
            <w:rFonts w:ascii="宋体" w:hAnsi="宋体"/>
            <w:noProof/>
            <w:sz w:val="24"/>
          </w:rPr>
        </w:r>
        <w:r w:rsidR="00E45C2C" w:rsidRPr="00E45C2C">
          <w:rPr>
            <w:rFonts w:ascii="宋体" w:hAnsi="宋体"/>
            <w:noProof/>
            <w:sz w:val="24"/>
          </w:rPr>
          <w:fldChar w:fldCharType="separate"/>
        </w:r>
        <w:r w:rsidR="001607B6">
          <w:rPr>
            <w:rFonts w:ascii="宋体" w:hAnsi="宋体"/>
            <w:noProof/>
            <w:sz w:val="24"/>
          </w:rPr>
          <w:t>22</w:t>
        </w:r>
        <w:r w:rsidR="00E45C2C" w:rsidRPr="00E45C2C">
          <w:rPr>
            <w:rFonts w:ascii="宋体" w:hAnsi="宋体"/>
            <w:noProof/>
            <w:sz w:val="24"/>
          </w:rPr>
          <w:fldChar w:fldCharType="end"/>
        </w:r>
      </w:hyperlink>
    </w:p>
    <w:p w14:paraId="339AD8A4" w14:textId="1CE3113D" w:rsidR="00E45C2C" w:rsidRPr="005F64F1" w:rsidRDefault="00E56D57" w:rsidP="00E45C2C">
      <w:pPr>
        <w:pStyle w:val="11"/>
        <w:tabs>
          <w:tab w:val="right" w:leader="dot" w:pos="8550"/>
        </w:tabs>
        <w:spacing w:line="360" w:lineRule="auto"/>
        <w:rPr>
          <w:rFonts w:ascii="宋体" w:hAnsi="宋体"/>
          <w:noProof/>
          <w:sz w:val="24"/>
        </w:rPr>
      </w:pPr>
      <w:hyperlink w:anchor="_Toc140049410" w:history="1">
        <w:r w:rsidR="00E45C2C" w:rsidRPr="00E45C2C">
          <w:rPr>
            <w:rStyle w:val="af0"/>
            <w:rFonts w:ascii="宋体" w:hAnsi="宋体" w:hint="eastAsia"/>
            <w:noProof/>
            <w:sz w:val="24"/>
          </w:rPr>
          <w:t>六、基金的募集</w:t>
        </w:r>
        <w:r w:rsidR="00E45C2C" w:rsidRPr="00E45C2C">
          <w:rPr>
            <w:rFonts w:ascii="宋体" w:hAnsi="宋体"/>
            <w:noProof/>
            <w:sz w:val="24"/>
          </w:rPr>
          <w:tab/>
        </w:r>
        <w:r w:rsidR="00E45C2C" w:rsidRPr="00E45C2C">
          <w:rPr>
            <w:rFonts w:ascii="宋体" w:hAnsi="宋体"/>
            <w:noProof/>
            <w:sz w:val="24"/>
          </w:rPr>
          <w:fldChar w:fldCharType="begin"/>
        </w:r>
        <w:r w:rsidR="00E45C2C" w:rsidRPr="00E45C2C">
          <w:rPr>
            <w:rFonts w:ascii="宋体" w:hAnsi="宋体"/>
            <w:noProof/>
            <w:sz w:val="24"/>
          </w:rPr>
          <w:instrText xml:space="preserve"> PAGEREF _Toc140049410 \h </w:instrText>
        </w:r>
        <w:r w:rsidR="00E45C2C" w:rsidRPr="00E45C2C">
          <w:rPr>
            <w:rFonts w:ascii="宋体" w:hAnsi="宋体"/>
            <w:noProof/>
            <w:sz w:val="24"/>
          </w:rPr>
        </w:r>
        <w:r w:rsidR="00E45C2C" w:rsidRPr="00E45C2C">
          <w:rPr>
            <w:rFonts w:ascii="宋体" w:hAnsi="宋体"/>
            <w:noProof/>
            <w:sz w:val="24"/>
          </w:rPr>
          <w:fldChar w:fldCharType="separate"/>
        </w:r>
        <w:r w:rsidR="001607B6">
          <w:rPr>
            <w:rFonts w:ascii="宋体" w:hAnsi="宋体"/>
            <w:noProof/>
            <w:sz w:val="24"/>
          </w:rPr>
          <w:t>35</w:t>
        </w:r>
        <w:r w:rsidR="00E45C2C" w:rsidRPr="00E45C2C">
          <w:rPr>
            <w:rFonts w:ascii="宋体" w:hAnsi="宋体"/>
            <w:noProof/>
            <w:sz w:val="24"/>
          </w:rPr>
          <w:fldChar w:fldCharType="end"/>
        </w:r>
      </w:hyperlink>
    </w:p>
    <w:p w14:paraId="5675EB7C" w14:textId="187AE287" w:rsidR="00E45C2C" w:rsidRPr="005F64F1" w:rsidRDefault="00E56D57" w:rsidP="00E45C2C">
      <w:pPr>
        <w:pStyle w:val="11"/>
        <w:tabs>
          <w:tab w:val="right" w:leader="dot" w:pos="8550"/>
        </w:tabs>
        <w:spacing w:line="360" w:lineRule="auto"/>
        <w:rPr>
          <w:rFonts w:ascii="宋体" w:hAnsi="宋体"/>
          <w:noProof/>
          <w:sz w:val="24"/>
        </w:rPr>
      </w:pPr>
      <w:hyperlink w:anchor="_Toc140049411" w:history="1">
        <w:r w:rsidR="00E45C2C" w:rsidRPr="00E45C2C">
          <w:rPr>
            <w:rStyle w:val="af0"/>
            <w:rFonts w:ascii="宋体" w:hAnsi="宋体" w:hint="eastAsia"/>
            <w:noProof/>
            <w:sz w:val="24"/>
          </w:rPr>
          <w:t>七、基金合同的生效</w:t>
        </w:r>
        <w:bookmarkStart w:id="3" w:name="_GoBack"/>
        <w:bookmarkEnd w:id="3"/>
        <w:r w:rsidR="00E45C2C" w:rsidRPr="00E45C2C">
          <w:rPr>
            <w:rFonts w:ascii="宋体" w:hAnsi="宋体"/>
            <w:noProof/>
            <w:sz w:val="24"/>
          </w:rPr>
          <w:tab/>
        </w:r>
        <w:r w:rsidR="00E45C2C" w:rsidRPr="00E45C2C">
          <w:rPr>
            <w:rFonts w:ascii="宋体" w:hAnsi="宋体"/>
            <w:noProof/>
            <w:sz w:val="24"/>
          </w:rPr>
          <w:fldChar w:fldCharType="begin"/>
        </w:r>
        <w:r w:rsidR="00E45C2C" w:rsidRPr="00E45C2C">
          <w:rPr>
            <w:rFonts w:ascii="宋体" w:hAnsi="宋体"/>
            <w:noProof/>
            <w:sz w:val="24"/>
          </w:rPr>
          <w:instrText xml:space="preserve"> PAGEREF _Toc140049411 \h </w:instrText>
        </w:r>
        <w:r w:rsidR="00E45C2C" w:rsidRPr="00E45C2C">
          <w:rPr>
            <w:rFonts w:ascii="宋体" w:hAnsi="宋体"/>
            <w:noProof/>
            <w:sz w:val="24"/>
          </w:rPr>
        </w:r>
        <w:r w:rsidR="00E45C2C" w:rsidRPr="00E45C2C">
          <w:rPr>
            <w:rFonts w:ascii="宋体" w:hAnsi="宋体"/>
            <w:noProof/>
            <w:sz w:val="24"/>
          </w:rPr>
          <w:fldChar w:fldCharType="separate"/>
        </w:r>
        <w:r w:rsidR="001607B6">
          <w:rPr>
            <w:rFonts w:ascii="宋体" w:hAnsi="宋体"/>
            <w:noProof/>
            <w:sz w:val="24"/>
          </w:rPr>
          <w:t>36</w:t>
        </w:r>
        <w:r w:rsidR="00E45C2C" w:rsidRPr="00E45C2C">
          <w:rPr>
            <w:rFonts w:ascii="宋体" w:hAnsi="宋体"/>
            <w:noProof/>
            <w:sz w:val="24"/>
          </w:rPr>
          <w:fldChar w:fldCharType="end"/>
        </w:r>
      </w:hyperlink>
    </w:p>
    <w:p w14:paraId="04D7E112" w14:textId="7AB5BE8A" w:rsidR="00E45C2C" w:rsidRPr="005F64F1" w:rsidRDefault="00E56D57" w:rsidP="00E45C2C">
      <w:pPr>
        <w:pStyle w:val="11"/>
        <w:tabs>
          <w:tab w:val="right" w:leader="dot" w:pos="8550"/>
        </w:tabs>
        <w:spacing w:line="360" w:lineRule="auto"/>
        <w:rPr>
          <w:rFonts w:ascii="宋体" w:hAnsi="宋体"/>
          <w:noProof/>
          <w:sz w:val="24"/>
        </w:rPr>
      </w:pPr>
      <w:hyperlink w:anchor="_Toc140049412" w:history="1">
        <w:r w:rsidR="00E45C2C" w:rsidRPr="00E45C2C">
          <w:rPr>
            <w:rStyle w:val="af0"/>
            <w:rFonts w:ascii="宋体" w:hAnsi="宋体" w:hint="eastAsia"/>
            <w:noProof/>
            <w:sz w:val="24"/>
          </w:rPr>
          <w:t>八、基金份额的申购与赎回</w:t>
        </w:r>
        <w:r w:rsidR="00E45C2C" w:rsidRPr="00E45C2C">
          <w:rPr>
            <w:rFonts w:ascii="宋体" w:hAnsi="宋体"/>
            <w:noProof/>
            <w:sz w:val="24"/>
          </w:rPr>
          <w:tab/>
        </w:r>
        <w:r w:rsidR="00E45C2C" w:rsidRPr="00E45C2C">
          <w:rPr>
            <w:rFonts w:ascii="宋体" w:hAnsi="宋体"/>
            <w:noProof/>
            <w:sz w:val="24"/>
          </w:rPr>
          <w:fldChar w:fldCharType="begin"/>
        </w:r>
        <w:r w:rsidR="00E45C2C" w:rsidRPr="00E45C2C">
          <w:rPr>
            <w:rFonts w:ascii="宋体" w:hAnsi="宋体"/>
            <w:noProof/>
            <w:sz w:val="24"/>
          </w:rPr>
          <w:instrText xml:space="preserve"> PAGEREF _Toc140049412 \h </w:instrText>
        </w:r>
        <w:r w:rsidR="00E45C2C" w:rsidRPr="00E45C2C">
          <w:rPr>
            <w:rFonts w:ascii="宋体" w:hAnsi="宋体"/>
            <w:noProof/>
            <w:sz w:val="24"/>
          </w:rPr>
        </w:r>
        <w:r w:rsidR="00E45C2C" w:rsidRPr="00E45C2C">
          <w:rPr>
            <w:rFonts w:ascii="宋体" w:hAnsi="宋体"/>
            <w:noProof/>
            <w:sz w:val="24"/>
          </w:rPr>
          <w:fldChar w:fldCharType="separate"/>
        </w:r>
        <w:r w:rsidR="001607B6">
          <w:rPr>
            <w:rFonts w:ascii="宋体" w:hAnsi="宋体"/>
            <w:noProof/>
            <w:sz w:val="24"/>
          </w:rPr>
          <w:t>37</w:t>
        </w:r>
        <w:r w:rsidR="00E45C2C" w:rsidRPr="00E45C2C">
          <w:rPr>
            <w:rFonts w:ascii="宋体" w:hAnsi="宋体"/>
            <w:noProof/>
            <w:sz w:val="24"/>
          </w:rPr>
          <w:fldChar w:fldCharType="end"/>
        </w:r>
      </w:hyperlink>
    </w:p>
    <w:p w14:paraId="68E22E07" w14:textId="7A896662" w:rsidR="00E45C2C" w:rsidRPr="005F64F1" w:rsidRDefault="00E56D57" w:rsidP="00E45C2C">
      <w:pPr>
        <w:pStyle w:val="11"/>
        <w:tabs>
          <w:tab w:val="right" w:leader="dot" w:pos="8550"/>
        </w:tabs>
        <w:spacing w:line="360" w:lineRule="auto"/>
        <w:rPr>
          <w:rFonts w:ascii="宋体" w:hAnsi="宋体"/>
          <w:noProof/>
          <w:sz w:val="24"/>
        </w:rPr>
      </w:pPr>
      <w:hyperlink w:anchor="_Toc140049413" w:history="1">
        <w:r w:rsidR="00E45C2C" w:rsidRPr="00E45C2C">
          <w:rPr>
            <w:rStyle w:val="af0"/>
            <w:rFonts w:ascii="宋体" w:hAnsi="宋体" w:hint="eastAsia"/>
            <w:noProof/>
            <w:sz w:val="24"/>
          </w:rPr>
          <w:t>九、基金的转换</w:t>
        </w:r>
        <w:r w:rsidR="00E45C2C" w:rsidRPr="00E45C2C">
          <w:rPr>
            <w:rFonts w:ascii="宋体" w:hAnsi="宋体"/>
            <w:noProof/>
            <w:sz w:val="24"/>
          </w:rPr>
          <w:tab/>
        </w:r>
        <w:r w:rsidR="00E45C2C" w:rsidRPr="00E45C2C">
          <w:rPr>
            <w:rFonts w:ascii="宋体" w:hAnsi="宋体"/>
            <w:noProof/>
            <w:sz w:val="24"/>
          </w:rPr>
          <w:fldChar w:fldCharType="begin"/>
        </w:r>
        <w:r w:rsidR="00E45C2C" w:rsidRPr="00E45C2C">
          <w:rPr>
            <w:rFonts w:ascii="宋体" w:hAnsi="宋体"/>
            <w:noProof/>
            <w:sz w:val="24"/>
          </w:rPr>
          <w:instrText xml:space="preserve"> PAGEREF _Toc140049413 \h </w:instrText>
        </w:r>
        <w:r w:rsidR="00E45C2C" w:rsidRPr="00E45C2C">
          <w:rPr>
            <w:rFonts w:ascii="宋体" w:hAnsi="宋体"/>
            <w:noProof/>
            <w:sz w:val="24"/>
          </w:rPr>
        </w:r>
        <w:r w:rsidR="00E45C2C" w:rsidRPr="00E45C2C">
          <w:rPr>
            <w:rFonts w:ascii="宋体" w:hAnsi="宋体"/>
            <w:noProof/>
            <w:sz w:val="24"/>
          </w:rPr>
          <w:fldChar w:fldCharType="separate"/>
        </w:r>
        <w:r w:rsidR="001607B6">
          <w:rPr>
            <w:rFonts w:ascii="宋体" w:hAnsi="宋体"/>
            <w:noProof/>
            <w:sz w:val="24"/>
          </w:rPr>
          <w:t>52</w:t>
        </w:r>
        <w:r w:rsidR="00E45C2C" w:rsidRPr="00E45C2C">
          <w:rPr>
            <w:rFonts w:ascii="宋体" w:hAnsi="宋体"/>
            <w:noProof/>
            <w:sz w:val="24"/>
          </w:rPr>
          <w:fldChar w:fldCharType="end"/>
        </w:r>
      </w:hyperlink>
    </w:p>
    <w:p w14:paraId="480CAF1D" w14:textId="6548B113" w:rsidR="00E45C2C" w:rsidRPr="005F64F1" w:rsidRDefault="00E56D57" w:rsidP="00E45C2C">
      <w:pPr>
        <w:pStyle w:val="11"/>
        <w:tabs>
          <w:tab w:val="right" w:leader="dot" w:pos="8550"/>
        </w:tabs>
        <w:spacing w:line="360" w:lineRule="auto"/>
        <w:rPr>
          <w:rFonts w:ascii="宋体" w:hAnsi="宋体"/>
          <w:noProof/>
          <w:sz w:val="24"/>
        </w:rPr>
      </w:pPr>
      <w:hyperlink w:anchor="_Toc140049414" w:history="1">
        <w:r w:rsidR="00E45C2C" w:rsidRPr="00E45C2C">
          <w:rPr>
            <w:rStyle w:val="af0"/>
            <w:rFonts w:ascii="宋体" w:hAnsi="宋体" w:hint="eastAsia"/>
            <w:noProof/>
            <w:sz w:val="24"/>
          </w:rPr>
          <w:t>十、基金的投资</w:t>
        </w:r>
        <w:r w:rsidR="00E45C2C" w:rsidRPr="00E45C2C">
          <w:rPr>
            <w:rFonts w:ascii="宋体" w:hAnsi="宋体"/>
            <w:noProof/>
            <w:sz w:val="24"/>
          </w:rPr>
          <w:tab/>
        </w:r>
        <w:r w:rsidR="00E45C2C" w:rsidRPr="00E45C2C">
          <w:rPr>
            <w:rFonts w:ascii="宋体" w:hAnsi="宋体"/>
            <w:noProof/>
            <w:sz w:val="24"/>
          </w:rPr>
          <w:fldChar w:fldCharType="begin"/>
        </w:r>
        <w:r w:rsidR="00E45C2C" w:rsidRPr="00E45C2C">
          <w:rPr>
            <w:rFonts w:ascii="宋体" w:hAnsi="宋体"/>
            <w:noProof/>
            <w:sz w:val="24"/>
          </w:rPr>
          <w:instrText xml:space="preserve"> PAGEREF _Toc140049414 \h </w:instrText>
        </w:r>
        <w:r w:rsidR="00E45C2C" w:rsidRPr="00E45C2C">
          <w:rPr>
            <w:rFonts w:ascii="宋体" w:hAnsi="宋体"/>
            <w:noProof/>
            <w:sz w:val="24"/>
          </w:rPr>
        </w:r>
        <w:r w:rsidR="00E45C2C" w:rsidRPr="00E45C2C">
          <w:rPr>
            <w:rFonts w:ascii="宋体" w:hAnsi="宋体"/>
            <w:noProof/>
            <w:sz w:val="24"/>
          </w:rPr>
          <w:fldChar w:fldCharType="separate"/>
        </w:r>
        <w:r w:rsidR="001607B6">
          <w:rPr>
            <w:rFonts w:ascii="宋体" w:hAnsi="宋体"/>
            <w:noProof/>
            <w:sz w:val="24"/>
          </w:rPr>
          <w:t>59</w:t>
        </w:r>
        <w:r w:rsidR="00E45C2C" w:rsidRPr="00E45C2C">
          <w:rPr>
            <w:rFonts w:ascii="宋体" w:hAnsi="宋体"/>
            <w:noProof/>
            <w:sz w:val="24"/>
          </w:rPr>
          <w:fldChar w:fldCharType="end"/>
        </w:r>
      </w:hyperlink>
    </w:p>
    <w:p w14:paraId="29A6CCF2" w14:textId="3BB11801" w:rsidR="00E45C2C" w:rsidRPr="005F64F1" w:rsidRDefault="00E56D57" w:rsidP="00E45C2C">
      <w:pPr>
        <w:pStyle w:val="11"/>
        <w:tabs>
          <w:tab w:val="right" w:leader="dot" w:pos="8550"/>
        </w:tabs>
        <w:spacing w:line="360" w:lineRule="auto"/>
        <w:rPr>
          <w:rFonts w:ascii="宋体" w:hAnsi="宋体"/>
          <w:noProof/>
          <w:sz w:val="24"/>
        </w:rPr>
      </w:pPr>
      <w:hyperlink w:anchor="_Toc140049415" w:history="1">
        <w:r w:rsidR="00E45C2C" w:rsidRPr="00E45C2C">
          <w:rPr>
            <w:rStyle w:val="af0"/>
            <w:rFonts w:ascii="宋体" w:hAnsi="宋体" w:hint="eastAsia"/>
            <w:noProof/>
            <w:sz w:val="24"/>
          </w:rPr>
          <w:t>十一、基金的业绩</w:t>
        </w:r>
        <w:r w:rsidR="00E45C2C" w:rsidRPr="00E45C2C">
          <w:rPr>
            <w:rFonts w:ascii="宋体" w:hAnsi="宋体"/>
            <w:noProof/>
            <w:sz w:val="24"/>
          </w:rPr>
          <w:tab/>
        </w:r>
        <w:r w:rsidR="00E45C2C" w:rsidRPr="00E45C2C">
          <w:rPr>
            <w:rFonts w:ascii="宋体" w:hAnsi="宋体"/>
            <w:noProof/>
            <w:sz w:val="24"/>
          </w:rPr>
          <w:fldChar w:fldCharType="begin"/>
        </w:r>
        <w:r w:rsidR="00E45C2C" w:rsidRPr="00E45C2C">
          <w:rPr>
            <w:rFonts w:ascii="宋体" w:hAnsi="宋体"/>
            <w:noProof/>
            <w:sz w:val="24"/>
          </w:rPr>
          <w:instrText xml:space="preserve"> PAGEREF _Toc140049415 \h </w:instrText>
        </w:r>
        <w:r w:rsidR="00E45C2C" w:rsidRPr="00E45C2C">
          <w:rPr>
            <w:rFonts w:ascii="宋体" w:hAnsi="宋体"/>
            <w:noProof/>
            <w:sz w:val="24"/>
          </w:rPr>
        </w:r>
        <w:r w:rsidR="00E45C2C" w:rsidRPr="00E45C2C">
          <w:rPr>
            <w:rFonts w:ascii="宋体" w:hAnsi="宋体"/>
            <w:noProof/>
            <w:sz w:val="24"/>
          </w:rPr>
          <w:fldChar w:fldCharType="separate"/>
        </w:r>
        <w:r w:rsidR="001607B6">
          <w:rPr>
            <w:rFonts w:ascii="宋体" w:hAnsi="宋体"/>
            <w:noProof/>
            <w:sz w:val="24"/>
          </w:rPr>
          <w:t>68</w:t>
        </w:r>
        <w:r w:rsidR="00E45C2C" w:rsidRPr="00E45C2C">
          <w:rPr>
            <w:rFonts w:ascii="宋体" w:hAnsi="宋体"/>
            <w:noProof/>
            <w:sz w:val="24"/>
          </w:rPr>
          <w:fldChar w:fldCharType="end"/>
        </w:r>
      </w:hyperlink>
    </w:p>
    <w:p w14:paraId="7F11187B" w14:textId="67A77955" w:rsidR="00E45C2C" w:rsidRPr="005F64F1" w:rsidRDefault="00E56D57" w:rsidP="00E45C2C">
      <w:pPr>
        <w:pStyle w:val="11"/>
        <w:tabs>
          <w:tab w:val="right" w:leader="dot" w:pos="8550"/>
        </w:tabs>
        <w:spacing w:line="360" w:lineRule="auto"/>
        <w:rPr>
          <w:rFonts w:ascii="宋体" w:hAnsi="宋体"/>
          <w:noProof/>
          <w:sz w:val="24"/>
        </w:rPr>
      </w:pPr>
      <w:hyperlink w:anchor="_Toc140049416" w:history="1">
        <w:r w:rsidR="00E45C2C" w:rsidRPr="00E45C2C">
          <w:rPr>
            <w:rStyle w:val="af0"/>
            <w:rFonts w:ascii="宋体" w:hAnsi="宋体" w:hint="eastAsia"/>
            <w:noProof/>
            <w:sz w:val="24"/>
          </w:rPr>
          <w:t>十二、基金的财产</w:t>
        </w:r>
        <w:r w:rsidR="00E45C2C" w:rsidRPr="00E45C2C">
          <w:rPr>
            <w:rFonts w:ascii="宋体" w:hAnsi="宋体"/>
            <w:noProof/>
            <w:sz w:val="24"/>
          </w:rPr>
          <w:tab/>
        </w:r>
        <w:r w:rsidR="00E45C2C" w:rsidRPr="00E45C2C">
          <w:rPr>
            <w:rFonts w:ascii="宋体" w:hAnsi="宋体"/>
            <w:noProof/>
            <w:sz w:val="24"/>
          </w:rPr>
          <w:fldChar w:fldCharType="begin"/>
        </w:r>
        <w:r w:rsidR="00E45C2C" w:rsidRPr="00E45C2C">
          <w:rPr>
            <w:rFonts w:ascii="宋体" w:hAnsi="宋体"/>
            <w:noProof/>
            <w:sz w:val="24"/>
          </w:rPr>
          <w:instrText xml:space="preserve"> PAGEREF _Toc140049416 \h </w:instrText>
        </w:r>
        <w:r w:rsidR="00E45C2C" w:rsidRPr="00E45C2C">
          <w:rPr>
            <w:rFonts w:ascii="宋体" w:hAnsi="宋体"/>
            <w:noProof/>
            <w:sz w:val="24"/>
          </w:rPr>
        </w:r>
        <w:r w:rsidR="00E45C2C" w:rsidRPr="00E45C2C">
          <w:rPr>
            <w:rFonts w:ascii="宋体" w:hAnsi="宋体"/>
            <w:noProof/>
            <w:sz w:val="24"/>
          </w:rPr>
          <w:fldChar w:fldCharType="separate"/>
        </w:r>
        <w:r w:rsidR="001607B6">
          <w:rPr>
            <w:rFonts w:ascii="宋体" w:hAnsi="宋体"/>
            <w:noProof/>
            <w:sz w:val="24"/>
          </w:rPr>
          <w:t>71</w:t>
        </w:r>
        <w:r w:rsidR="00E45C2C" w:rsidRPr="00E45C2C">
          <w:rPr>
            <w:rFonts w:ascii="宋体" w:hAnsi="宋体"/>
            <w:noProof/>
            <w:sz w:val="24"/>
          </w:rPr>
          <w:fldChar w:fldCharType="end"/>
        </w:r>
      </w:hyperlink>
    </w:p>
    <w:p w14:paraId="4DE52C35" w14:textId="576DD980" w:rsidR="00E45C2C" w:rsidRPr="005F64F1" w:rsidRDefault="00E56D57" w:rsidP="00E45C2C">
      <w:pPr>
        <w:pStyle w:val="11"/>
        <w:tabs>
          <w:tab w:val="right" w:leader="dot" w:pos="8550"/>
        </w:tabs>
        <w:spacing w:line="360" w:lineRule="auto"/>
        <w:rPr>
          <w:rFonts w:ascii="宋体" w:hAnsi="宋体"/>
          <w:noProof/>
          <w:sz w:val="24"/>
        </w:rPr>
      </w:pPr>
      <w:hyperlink w:anchor="_Toc140049417" w:history="1">
        <w:r w:rsidR="00E45C2C" w:rsidRPr="00E45C2C">
          <w:rPr>
            <w:rStyle w:val="af0"/>
            <w:rFonts w:ascii="宋体" w:hAnsi="宋体" w:hint="eastAsia"/>
            <w:noProof/>
            <w:sz w:val="24"/>
          </w:rPr>
          <w:t>十三、基金资产的估值</w:t>
        </w:r>
        <w:r w:rsidR="00E45C2C" w:rsidRPr="00E45C2C">
          <w:rPr>
            <w:rFonts w:ascii="宋体" w:hAnsi="宋体"/>
            <w:noProof/>
            <w:sz w:val="24"/>
          </w:rPr>
          <w:tab/>
        </w:r>
        <w:r w:rsidR="00E45C2C" w:rsidRPr="00E45C2C">
          <w:rPr>
            <w:rFonts w:ascii="宋体" w:hAnsi="宋体"/>
            <w:noProof/>
            <w:sz w:val="24"/>
          </w:rPr>
          <w:fldChar w:fldCharType="begin"/>
        </w:r>
        <w:r w:rsidR="00E45C2C" w:rsidRPr="00E45C2C">
          <w:rPr>
            <w:rFonts w:ascii="宋体" w:hAnsi="宋体"/>
            <w:noProof/>
            <w:sz w:val="24"/>
          </w:rPr>
          <w:instrText xml:space="preserve"> PAGEREF _Toc140049417 \h </w:instrText>
        </w:r>
        <w:r w:rsidR="00E45C2C" w:rsidRPr="00E45C2C">
          <w:rPr>
            <w:rFonts w:ascii="宋体" w:hAnsi="宋体"/>
            <w:noProof/>
            <w:sz w:val="24"/>
          </w:rPr>
        </w:r>
        <w:r w:rsidR="00E45C2C" w:rsidRPr="00E45C2C">
          <w:rPr>
            <w:rFonts w:ascii="宋体" w:hAnsi="宋体"/>
            <w:noProof/>
            <w:sz w:val="24"/>
          </w:rPr>
          <w:fldChar w:fldCharType="separate"/>
        </w:r>
        <w:r w:rsidR="001607B6">
          <w:rPr>
            <w:rFonts w:ascii="宋体" w:hAnsi="宋体"/>
            <w:noProof/>
            <w:sz w:val="24"/>
          </w:rPr>
          <w:t>72</w:t>
        </w:r>
        <w:r w:rsidR="00E45C2C" w:rsidRPr="00E45C2C">
          <w:rPr>
            <w:rFonts w:ascii="宋体" w:hAnsi="宋体"/>
            <w:noProof/>
            <w:sz w:val="24"/>
          </w:rPr>
          <w:fldChar w:fldCharType="end"/>
        </w:r>
      </w:hyperlink>
    </w:p>
    <w:p w14:paraId="6BDDBB1A" w14:textId="50D939EA" w:rsidR="00E45C2C" w:rsidRPr="005F64F1" w:rsidRDefault="00E56D57" w:rsidP="00E45C2C">
      <w:pPr>
        <w:pStyle w:val="11"/>
        <w:tabs>
          <w:tab w:val="right" w:leader="dot" w:pos="8550"/>
        </w:tabs>
        <w:spacing w:line="360" w:lineRule="auto"/>
        <w:rPr>
          <w:rFonts w:ascii="宋体" w:hAnsi="宋体"/>
          <w:noProof/>
          <w:sz w:val="24"/>
        </w:rPr>
      </w:pPr>
      <w:hyperlink w:anchor="_Toc140049418" w:history="1">
        <w:r w:rsidR="00E45C2C" w:rsidRPr="00E45C2C">
          <w:rPr>
            <w:rStyle w:val="af0"/>
            <w:rFonts w:ascii="宋体" w:hAnsi="宋体" w:hint="eastAsia"/>
            <w:noProof/>
            <w:sz w:val="24"/>
          </w:rPr>
          <w:t>十四、基金收益与分配</w:t>
        </w:r>
        <w:r w:rsidR="00E45C2C" w:rsidRPr="00E45C2C">
          <w:rPr>
            <w:rFonts w:ascii="宋体" w:hAnsi="宋体"/>
            <w:noProof/>
            <w:sz w:val="24"/>
          </w:rPr>
          <w:tab/>
        </w:r>
        <w:r w:rsidR="00E45C2C" w:rsidRPr="00E45C2C">
          <w:rPr>
            <w:rFonts w:ascii="宋体" w:hAnsi="宋体"/>
            <w:noProof/>
            <w:sz w:val="24"/>
          </w:rPr>
          <w:fldChar w:fldCharType="begin"/>
        </w:r>
        <w:r w:rsidR="00E45C2C" w:rsidRPr="00E45C2C">
          <w:rPr>
            <w:rFonts w:ascii="宋体" w:hAnsi="宋体"/>
            <w:noProof/>
            <w:sz w:val="24"/>
          </w:rPr>
          <w:instrText xml:space="preserve"> PAGEREF _Toc140049418 \h </w:instrText>
        </w:r>
        <w:r w:rsidR="00E45C2C" w:rsidRPr="00E45C2C">
          <w:rPr>
            <w:rFonts w:ascii="宋体" w:hAnsi="宋体"/>
            <w:noProof/>
            <w:sz w:val="24"/>
          </w:rPr>
        </w:r>
        <w:r w:rsidR="00E45C2C" w:rsidRPr="00E45C2C">
          <w:rPr>
            <w:rFonts w:ascii="宋体" w:hAnsi="宋体"/>
            <w:noProof/>
            <w:sz w:val="24"/>
          </w:rPr>
          <w:fldChar w:fldCharType="separate"/>
        </w:r>
        <w:r w:rsidR="001607B6">
          <w:rPr>
            <w:rFonts w:ascii="宋体" w:hAnsi="宋体"/>
            <w:noProof/>
            <w:sz w:val="24"/>
          </w:rPr>
          <w:t>77</w:t>
        </w:r>
        <w:r w:rsidR="00E45C2C" w:rsidRPr="00E45C2C">
          <w:rPr>
            <w:rFonts w:ascii="宋体" w:hAnsi="宋体"/>
            <w:noProof/>
            <w:sz w:val="24"/>
          </w:rPr>
          <w:fldChar w:fldCharType="end"/>
        </w:r>
      </w:hyperlink>
    </w:p>
    <w:p w14:paraId="345FCA15" w14:textId="375339E3" w:rsidR="00E45C2C" w:rsidRPr="005F64F1" w:rsidRDefault="00E56D57" w:rsidP="00E45C2C">
      <w:pPr>
        <w:pStyle w:val="11"/>
        <w:tabs>
          <w:tab w:val="right" w:leader="dot" w:pos="8550"/>
        </w:tabs>
        <w:spacing w:line="360" w:lineRule="auto"/>
        <w:rPr>
          <w:rFonts w:ascii="宋体" w:hAnsi="宋体"/>
          <w:noProof/>
          <w:sz w:val="24"/>
        </w:rPr>
      </w:pPr>
      <w:hyperlink w:anchor="_Toc140049419" w:history="1">
        <w:r w:rsidR="00E45C2C" w:rsidRPr="00E45C2C">
          <w:rPr>
            <w:rStyle w:val="af0"/>
            <w:rFonts w:ascii="宋体" w:hAnsi="宋体" w:hint="eastAsia"/>
            <w:noProof/>
            <w:sz w:val="24"/>
          </w:rPr>
          <w:t>十五、基金的费用与税收</w:t>
        </w:r>
        <w:r w:rsidR="00E45C2C" w:rsidRPr="00E45C2C">
          <w:rPr>
            <w:rFonts w:ascii="宋体" w:hAnsi="宋体"/>
            <w:noProof/>
            <w:sz w:val="24"/>
          </w:rPr>
          <w:tab/>
        </w:r>
        <w:r w:rsidR="00E45C2C" w:rsidRPr="00E45C2C">
          <w:rPr>
            <w:rFonts w:ascii="宋体" w:hAnsi="宋体"/>
            <w:noProof/>
            <w:sz w:val="24"/>
          </w:rPr>
          <w:fldChar w:fldCharType="begin"/>
        </w:r>
        <w:r w:rsidR="00E45C2C" w:rsidRPr="00E45C2C">
          <w:rPr>
            <w:rFonts w:ascii="宋体" w:hAnsi="宋体"/>
            <w:noProof/>
            <w:sz w:val="24"/>
          </w:rPr>
          <w:instrText xml:space="preserve"> PAGEREF _Toc140049419 \h </w:instrText>
        </w:r>
        <w:r w:rsidR="00E45C2C" w:rsidRPr="00E45C2C">
          <w:rPr>
            <w:rFonts w:ascii="宋体" w:hAnsi="宋体"/>
            <w:noProof/>
            <w:sz w:val="24"/>
          </w:rPr>
        </w:r>
        <w:r w:rsidR="00E45C2C" w:rsidRPr="00E45C2C">
          <w:rPr>
            <w:rFonts w:ascii="宋体" w:hAnsi="宋体"/>
            <w:noProof/>
            <w:sz w:val="24"/>
          </w:rPr>
          <w:fldChar w:fldCharType="separate"/>
        </w:r>
        <w:r w:rsidR="001607B6">
          <w:rPr>
            <w:rFonts w:ascii="宋体" w:hAnsi="宋体"/>
            <w:noProof/>
            <w:sz w:val="24"/>
          </w:rPr>
          <w:t>79</w:t>
        </w:r>
        <w:r w:rsidR="00E45C2C" w:rsidRPr="00E45C2C">
          <w:rPr>
            <w:rFonts w:ascii="宋体" w:hAnsi="宋体"/>
            <w:noProof/>
            <w:sz w:val="24"/>
          </w:rPr>
          <w:fldChar w:fldCharType="end"/>
        </w:r>
      </w:hyperlink>
    </w:p>
    <w:p w14:paraId="59D8685C" w14:textId="7D275915" w:rsidR="00E45C2C" w:rsidRPr="005F64F1" w:rsidRDefault="00E56D57" w:rsidP="00E45C2C">
      <w:pPr>
        <w:pStyle w:val="11"/>
        <w:tabs>
          <w:tab w:val="right" w:leader="dot" w:pos="8550"/>
        </w:tabs>
        <w:spacing w:line="360" w:lineRule="auto"/>
        <w:rPr>
          <w:rFonts w:ascii="宋体" w:hAnsi="宋体"/>
          <w:noProof/>
          <w:sz w:val="24"/>
        </w:rPr>
      </w:pPr>
      <w:hyperlink w:anchor="_Toc140049420" w:history="1">
        <w:r w:rsidR="00E45C2C" w:rsidRPr="00E45C2C">
          <w:rPr>
            <w:rStyle w:val="af0"/>
            <w:rFonts w:ascii="宋体" w:hAnsi="宋体" w:hint="eastAsia"/>
            <w:noProof/>
            <w:sz w:val="24"/>
          </w:rPr>
          <w:t>十六、基金的会计与审计</w:t>
        </w:r>
        <w:r w:rsidR="00E45C2C" w:rsidRPr="00E45C2C">
          <w:rPr>
            <w:rFonts w:ascii="宋体" w:hAnsi="宋体"/>
            <w:noProof/>
            <w:sz w:val="24"/>
          </w:rPr>
          <w:tab/>
        </w:r>
        <w:r w:rsidR="00E45C2C" w:rsidRPr="00E45C2C">
          <w:rPr>
            <w:rFonts w:ascii="宋体" w:hAnsi="宋体"/>
            <w:noProof/>
            <w:sz w:val="24"/>
          </w:rPr>
          <w:fldChar w:fldCharType="begin"/>
        </w:r>
        <w:r w:rsidR="00E45C2C" w:rsidRPr="00E45C2C">
          <w:rPr>
            <w:rFonts w:ascii="宋体" w:hAnsi="宋体"/>
            <w:noProof/>
            <w:sz w:val="24"/>
          </w:rPr>
          <w:instrText xml:space="preserve"> PAGEREF _Toc140049420 \h </w:instrText>
        </w:r>
        <w:r w:rsidR="00E45C2C" w:rsidRPr="00E45C2C">
          <w:rPr>
            <w:rFonts w:ascii="宋体" w:hAnsi="宋体"/>
            <w:noProof/>
            <w:sz w:val="24"/>
          </w:rPr>
        </w:r>
        <w:r w:rsidR="00E45C2C" w:rsidRPr="00E45C2C">
          <w:rPr>
            <w:rFonts w:ascii="宋体" w:hAnsi="宋体"/>
            <w:noProof/>
            <w:sz w:val="24"/>
          </w:rPr>
          <w:fldChar w:fldCharType="separate"/>
        </w:r>
        <w:r w:rsidR="001607B6">
          <w:rPr>
            <w:rFonts w:ascii="宋体" w:hAnsi="宋体"/>
            <w:noProof/>
            <w:sz w:val="24"/>
          </w:rPr>
          <w:t>83</w:t>
        </w:r>
        <w:r w:rsidR="00E45C2C" w:rsidRPr="00E45C2C">
          <w:rPr>
            <w:rFonts w:ascii="宋体" w:hAnsi="宋体"/>
            <w:noProof/>
            <w:sz w:val="24"/>
          </w:rPr>
          <w:fldChar w:fldCharType="end"/>
        </w:r>
      </w:hyperlink>
    </w:p>
    <w:p w14:paraId="5E287E5E" w14:textId="654AA7A4" w:rsidR="00E45C2C" w:rsidRPr="005F64F1" w:rsidRDefault="00E56D57" w:rsidP="00E45C2C">
      <w:pPr>
        <w:pStyle w:val="11"/>
        <w:tabs>
          <w:tab w:val="right" w:leader="dot" w:pos="8550"/>
        </w:tabs>
        <w:spacing w:line="360" w:lineRule="auto"/>
        <w:rPr>
          <w:rFonts w:ascii="宋体" w:hAnsi="宋体"/>
          <w:noProof/>
          <w:sz w:val="24"/>
        </w:rPr>
      </w:pPr>
      <w:hyperlink w:anchor="_Toc140049421" w:history="1">
        <w:r w:rsidR="00E45C2C" w:rsidRPr="00E45C2C">
          <w:rPr>
            <w:rStyle w:val="af0"/>
            <w:rFonts w:ascii="宋体" w:hAnsi="宋体" w:hint="eastAsia"/>
            <w:noProof/>
            <w:sz w:val="24"/>
          </w:rPr>
          <w:t>十七、基金的信息披露</w:t>
        </w:r>
        <w:r w:rsidR="00E45C2C" w:rsidRPr="00E45C2C">
          <w:rPr>
            <w:rFonts w:ascii="宋体" w:hAnsi="宋体"/>
            <w:noProof/>
            <w:sz w:val="24"/>
          </w:rPr>
          <w:tab/>
        </w:r>
        <w:r w:rsidR="00E45C2C" w:rsidRPr="00E45C2C">
          <w:rPr>
            <w:rFonts w:ascii="宋体" w:hAnsi="宋体"/>
            <w:noProof/>
            <w:sz w:val="24"/>
          </w:rPr>
          <w:fldChar w:fldCharType="begin"/>
        </w:r>
        <w:r w:rsidR="00E45C2C" w:rsidRPr="00E45C2C">
          <w:rPr>
            <w:rFonts w:ascii="宋体" w:hAnsi="宋体"/>
            <w:noProof/>
            <w:sz w:val="24"/>
          </w:rPr>
          <w:instrText xml:space="preserve"> PAGEREF _Toc140049421 \h </w:instrText>
        </w:r>
        <w:r w:rsidR="00E45C2C" w:rsidRPr="00E45C2C">
          <w:rPr>
            <w:rFonts w:ascii="宋体" w:hAnsi="宋体"/>
            <w:noProof/>
            <w:sz w:val="24"/>
          </w:rPr>
        </w:r>
        <w:r w:rsidR="00E45C2C" w:rsidRPr="00E45C2C">
          <w:rPr>
            <w:rFonts w:ascii="宋体" w:hAnsi="宋体"/>
            <w:noProof/>
            <w:sz w:val="24"/>
          </w:rPr>
          <w:fldChar w:fldCharType="separate"/>
        </w:r>
        <w:r w:rsidR="001607B6">
          <w:rPr>
            <w:rFonts w:ascii="宋体" w:hAnsi="宋体"/>
            <w:noProof/>
            <w:sz w:val="24"/>
          </w:rPr>
          <w:t>84</w:t>
        </w:r>
        <w:r w:rsidR="00E45C2C" w:rsidRPr="00E45C2C">
          <w:rPr>
            <w:rFonts w:ascii="宋体" w:hAnsi="宋体"/>
            <w:noProof/>
            <w:sz w:val="24"/>
          </w:rPr>
          <w:fldChar w:fldCharType="end"/>
        </w:r>
      </w:hyperlink>
    </w:p>
    <w:p w14:paraId="5284BA08" w14:textId="4468BEDB" w:rsidR="00E45C2C" w:rsidRPr="005F64F1" w:rsidRDefault="00E56D57" w:rsidP="00E45C2C">
      <w:pPr>
        <w:pStyle w:val="11"/>
        <w:tabs>
          <w:tab w:val="right" w:leader="dot" w:pos="8550"/>
        </w:tabs>
        <w:spacing w:line="360" w:lineRule="auto"/>
        <w:rPr>
          <w:rFonts w:ascii="宋体" w:hAnsi="宋体"/>
          <w:noProof/>
          <w:sz w:val="24"/>
        </w:rPr>
      </w:pPr>
      <w:hyperlink w:anchor="_Toc140049422" w:history="1">
        <w:r w:rsidR="00E45C2C" w:rsidRPr="00E45C2C">
          <w:rPr>
            <w:rStyle w:val="af0"/>
            <w:rFonts w:ascii="宋体" w:hAnsi="宋体" w:hint="eastAsia"/>
            <w:noProof/>
            <w:sz w:val="24"/>
          </w:rPr>
          <w:t>十八、侧袋机制</w:t>
        </w:r>
        <w:r w:rsidR="00E45C2C" w:rsidRPr="00E45C2C">
          <w:rPr>
            <w:rFonts w:ascii="宋体" w:hAnsi="宋体"/>
            <w:noProof/>
            <w:sz w:val="24"/>
          </w:rPr>
          <w:tab/>
        </w:r>
        <w:r w:rsidR="00E45C2C" w:rsidRPr="00E45C2C">
          <w:rPr>
            <w:rFonts w:ascii="宋体" w:hAnsi="宋体"/>
            <w:noProof/>
            <w:sz w:val="24"/>
          </w:rPr>
          <w:fldChar w:fldCharType="begin"/>
        </w:r>
        <w:r w:rsidR="00E45C2C" w:rsidRPr="00E45C2C">
          <w:rPr>
            <w:rFonts w:ascii="宋体" w:hAnsi="宋体"/>
            <w:noProof/>
            <w:sz w:val="24"/>
          </w:rPr>
          <w:instrText xml:space="preserve"> PAGEREF _Toc140049422 \h </w:instrText>
        </w:r>
        <w:r w:rsidR="00E45C2C" w:rsidRPr="00E45C2C">
          <w:rPr>
            <w:rFonts w:ascii="宋体" w:hAnsi="宋体"/>
            <w:noProof/>
            <w:sz w:val="24"/>
          </w:rPr>
        </w:r>
        <w:r w:rsidR="00E45C2C" w:rsidRPr="00E45C2C">
          <w:rPr>
            <w:rFonts w:ascii="宋体" w:hAnsi="宋体"/>
            <w:noProof/>
            <w:sz w:val="24"/>
          </w:rPr>
          <w:fldChar w:fldCharType="separate"/>
        </w:r>
        <w:r w:rsidR="001607B6">
          <w:rPr>
            <w:rFonts w:ascii="宋体" w:hAnsi="宋体"/>
            <w:noProof/>
            <w:sz w:val="24"/>
          </w:rPr>
          <w:t>90</w:t>
        </w:r>
        <w:r w:rsidR="00E45C2C" w:rsidRPr="00E45C2C">
          <w:rPr>
            <w:rFonts w:ascii="宋体" w:hAnsi="宋体"/>
            <w:noProof/>
            <w:sz w:val="24"/>
          </w:rPr>
          <w:fldChar w:fldCharType="end"/>
        </w:r>
      </w:hyperlink>
    </w:p>
    <w:p w14:paraId="48E1B599" w14:textId="567129C2" w:rsidR="00E45C2C" w:rsidRPr="005F64F1" w:rsidRDefault="00E56D57" w:rsidP="00E45C2C">
      <w:pPr>
        <w:pStyle w:val="11"/>
        <w:tabs>
          <w:tab w:val="right" w:leader="dot" w:pos="8550"/>
        </w:tabs>
        <w:spacing w:line="360" w:lineRule="auto"/>
        <w:rPr>
          <w:rFonts w:ascii="宋体" w:hAnsi="宋体"/>
          <w:noProof/>
          <w:sz w:val="24"/>
        </w:rPr>
      </w:pPr>
      <w:hyperlink w:anchor="_Toc140049423" w:history="1">
        <w:r w:rsidR="00E45C2C" w:rsidRPr="00E45C2C">
          <w:rPr>
            <w:rStyle w:val="af0"/>
            <w:rFonts w:ascii="宋体" w:hAnsi="宋体" w:hint="eastAsia"/>
            <w:noProof/>
            <w:sz w:val="24"/>
          </w:rPr>
          <w:t>十九、风险揭示</w:t>
        </w:r>
        <w:r w:rsidR="00E45C2C" w:rsidRPr="00E45C2C">
          <w:rPr>
            <w:rFonts w:ascii="宋体" w:hAnsi="宋体"/>
            <w:noProof/>
            <w:sz w:val="24"/>
          </w:rPr>
          <w:tab/>
        </w:r>
        <w:r w:rsidR="00E45C2C" w:rsidRPr="00E45C2C">
          <w:rPr>
            <w:rFonts w:ascii="宋体" w:hAnsi="宋体"/>
            <w:noProof/>
            <w:sz w:val="24"/>
          </w:rPr>
          <w:fldChar w:fldCharType="begin"/>
        </w:r>
        <w:r w:rsidR="00E45C2C" w:rsidRPr="00E45C2C">
          <w:rPr>
            <w:rFonts w:ascii="宋体" w:hAnsi="宋体"/>
            <w:noProof/>
            <w:sz w:val="24"/>
          </w:rPr>
          <w:instrText xml:space="preserve"> PAGEREF _Toc140049423 \h </w:instrText>
        </w:r>
        <w:r w:rsidR="00E45C2C" w:rsidRPr="00E45C2C">
          <w:rPr>
            <w:rFonts w:ascii="宋体" w:hAnsi="宋体"/>
            <w:noProof/>
            <w:sz w:val="24"/>
          </w:rPr>
        </w:r>
        <w:r w:rsidR="00E45C2C" w:rsidRPr="00E45C2C">
          <w:rPr>
            <w:rFonts w:ascii="宋体" w:hAnsi="宋体"/>
            <w:noProof/>
            <w:sz w:val="24"/>
          </w:rPr>
          <w:fldChar w:fldCharType="separate"/>
        </w:r>
        <w:r w:rsidR="001607B6">
          <w:rPr>
            <w:rFonts w:ascii="宋体" w:hAnsi="宋体"/>
            <w:noProof/>
            <w:sz w:val="24"/>
          </w:rPr>
          <w:t>93</w:t>
        </w:r>
        <w:r w:rsidR="00E45C2C" w:rsidRPr="00E45C2C">
          <w:rPr>
            <w:rFonts w:ascii="宋体" w:hAnsi="宋体"/>
            <w:noProof/>
            <w:sz w:val="24"/>
          </w:rPr>
          <w:fldChar w:fldCharType="end"/>
        </w:r>
      </w:hyperlink>
    </w:p>
    <w:p w14:paraId="16008F9E" w14:textId="49A0A092" w:rsidR="00E45C2C" w:rsidRPr="005F64F1" w:rsidRDefault="00E56D57" w:rsidP="00E45C2C">
      <w:pPr>
        <w:pStyle w:val="11"/>
        <w:tabs>
          <w:tab w:val="right" w:leader="dot" w:pos="8550"/>
        </w:tabs>
        <w:spacing w:line="360" w:lineRule="auto"/>
        <w:rPr>
          <w:rFonts w:ascii="宋体" w:hAnsi="宋体"/>
          <w:noProof/>
          <w:sz w:val="24"/>
        </w:rPr>
      </w:pPr>
      <w:hyperlink w:anchor="_Toc140049424" w:history="1">
        <w:r w:rsidR="00E45C2C" w:rsidRPr="00E45C2C">
          <w:rPr>
            <w:rStyle w:val="af0"/>
            <w:rFonts w:ascii="宋体" w:hAnsi="宋体" w:hint="eastAsia"/>
            <w:noProof/>
            <w:sz w:val="24"/>
          </w:rPr>
          <w:t>二十、基金合同的变更、终止与基金财产的清算</w:t>
        </w:r>
        <w:r w:rsidR="00E45C2C" w:rsidRPr="00E45C2C">
          <w:rPr>
            <w:rFonts w:ascii="宋体" w:hAnsi="宋体"/>
            <w:noProof/>
            <w:sz w:val="24"/>
          </w:rPr>
          <w:tab/>
        </w:r>
        <w:r w:rsidR="00E45C2C" w:rsidRPr="00E45C2C">
          <w:rPr>
            <w:rFonts w:ascii="宋体" w:hAnsi="宋体"/>
            <w:noProof/>
            <w:sz w:val="24"/>
          </w:rPr>
          <w:fldChar w:fldCharType="begin"/>
        </w:r>
        <w:r w:rsidR="00E45C2C" w:rsidRPr="00E45C2C">
          <w:rPr>
            <w:rFonts w:ascii="宋体" w:hAnsi="宋体"/>
            <w:noProof/>
            <w:sz w:val="24"/>
          </w:rPr>
          <w:instrText xml:space="preserve"> PAGEREF _Toc140049424 \h </w:instrText>
        </w:r>
        <w:r w:rsidR="00E45C2C" w:rsidRPr="00E45C2C">
          <w:rPr>
            <w:rFonts w:ascii="宋体" w:hAnsi="宋体"/>
            <w:noProof/>
            <w:sz w:val="24"/>
          </w:rPr>
        </w:r>
        <w:r w:rsidR="00E45C2C" w:rsidRPr="00E45C2C">
          <w:rPr>
            <w:rFonts w:ascii="宋体" w:hAnsi="宋体"/>
            <w:noProof/>
            <w:sz w:val="24"/>
          </w:rPr>
          <w:fldChar w:fldCharType="separate"/>
        </w:r>
        <w:r w:rsidR="001607B6">
          <w:rPr>
            <w:rFonts w:ascii="宋体" w:hAnsi="宋体"/>
            <w:noProof/>
            <w:sz w:val="24"/>
          </w:rPr>
          <w:t>101</w:t>
        </w:r>
        <w:r w:rsidR="00E45C2C" w:rsidRPr="00E45C2C">
          <w:rPr>
            <w:rFonts w:ascii="宋体" w:hAnsi="宋体"/>
            <w:noProof/>
            <w:sz w:val="24"/>
          </w:rPr>
          <w:fldChar w:fldCharType="end"/>
        </w:r>
      </w:hyperlink>
    </w:p>
    <w:p w14:paraId="2E925C7E" w14:textId="50A5423B" w:rsidR="00E45C2C" w:rsidRPr="005F64F1" w:rsidRDefault="00E56D57" w:rsidP="00E45C2C">
      <w:pPr>
        <w:pStyle w:val="11"/>
        <w:tabs>
          <w:tab w:val="right" w:leader="dot" w:pos="8550"/>
        </w:tabs>
        <w:spacing w:line="360" w:lineRule="auto"/>
        <w:rPr>
          <w:rFonts w:ascii="宋体" w:hAnsi="宋体"/>
          <w:noProof/>
          <w:sz w:val="24"/>
        </w:rPr>
      </w:pPr>
      <w:hyperlink w:anchor="_Toc140049425" w:history="1">
        <w:r w:rsidR="00E45C2C" w:rsidRPr="00E45C2C">
          <w:rPr>
            <w:rStyle w:val="af0"/>
            <w:rFonts w:ascii="宋体" w:hAnsi="宋体" w:hint="eastAsia"/>
            <w:noProof/>
            <w:sz w:val="24"/>
          </w:rPr>
          <w:t>二十一、基金合同内容摘要</w:t>
        </w:r>
        <w:r w:rsidR="00E45C2C" w:rsidRPr="00E45C2C">
          <w:rPr>
            <w:rFonts w:ascii="宋体" w:hAnsi="宋体"/>
            <w:noProof/>
            <w:sz w:val="24"/>
          </w:rPr>
          <w:tab/>
        </w:r>
        <w:r w:rsidR="00E45C2C" w:rsidRPr="00E45C2C">
          <w:rPr>
            <w:rFonts w:ascii="宋体" w:hAnsi="宋体"/>
            <w:noProof/>
            <w:sz w:val="24"/>
          </w:rPr>
          <w:fldChar w:fldCharType="begin"/>
        </w:r>
        <w:r w:rsidR="00E45C2C" w:rsidRPr="00E45C2C">
          <w:rPr>
            <w:rFonts w:ascii="宋体" w:hAnsi="宋体"/>
            <w:noProof/>
            <w:sz w:val="24"/>
          </w:rPr>
          <w:instrText xml:space="preserve"> PAGEREF _Toc140049425 \h </w:instrText>
        </w:r>
        <w:r w:rsidR="00E45C2C" w:rsidRPr="00E45C2C">
          <w:rPr>
            <w:rFonts w:ascii="宋体" w:hAnsi="宋体"/>
            <w:noProof/>
            <w:sz w:val="24"/>
          </w:rPr>
        </w:r>
        <w:r w:rsidR="00E45C2C" w:rsidRPr="00E45C2C">
          <w:rPr>
            <w:rFonts w:ascii="宋体" w:hAnsi="宋体"/>
            <w:noProof/>
            <w:sz w:val="24"/>
          </w:rPr>
          <w:fldChar w:fldCharType="separate"/>
        </w:r>
        <w:r w:rsidR="001607B6">
          <w:rPr>
            <w:rFonts w:ascii="宋体" w:hAnsi="宋体"/>
            <w:noProof/>
            <w:sz w:val="24"/>
          </w:rPr>
          <w:t>103</w:t>
        </w:r>
        <w:r w:rsidR="00E45C2C" w:rsidRPr="00E45C2C">
          <w:rPr>
            <w:rFonts w:ascii="宋体" w:hAnsi="宋体"/>
            <w:noProof/>
            <w:sz w:val="24"/>
          </w:rPr>
          <w:fldChar w:fldCharType="end"/>
        </w:r>
      </w:hyperlink>
    </w:p>
    <w:p w14:paraId="3FF31B2D" w14:textId="339FDC51" w:rsidR="00E45C2C" w:rsidRPr="005F64F1" w:rsidRDefault="00E56D57" w:rsidP="00E45C2C">
      <w:pPr>
        <w:pStyle w:val="11"/>
        <w:tabs>
          <w:tab w:val="right" w:leader="dot" w:pos="8550"/>
        </w:tabs>
        <w:spacing w:line="360" w:lineRule="auto"/>
        <w:rPr>
          <w:rFonts w:ascii="宋体" w:hAnsi="宋体"/>
          <w:noProof/>
          <w:sz w:val="24"/>
        </w:rPr>
      </w:pPr>
      <w:hyperlink w:anchor="_Toc140049426" w:history="1">
        <w:r w:rsidR="00E45C2C" w:rsidRPr="00E45C2C">
          <w:rPr>
            <w:rStyle w:val="af0"/>
            <w:rFonts w:ascii="宋体" w:hAnsi="宋体" w:hint="eastAsia"/>
            <w:noProof/>
            <w:sz w:val="24"/>
          </w:rPr>
          <w:t>二十二、托管协议的内容摘要</w:t>
        </w:r>
        <w:r w:rsidR="00E45C2C" w:rsidRPr="00E45C2C">
          <w:rPr>
            <w:rFonts w:ascii="宋体" w:hAnsi="宋体"/>
            <w:noProof/>
            <w:sz w:val="24"/>
          </w:rPr>
          <w:tab/>
        </w:r>
        <w:r w:rsidR="00E45C2C" w:rsidRPr="00E45C2C">
          <w:rPr>
            <w:rFonts w:ascii="宋体" w:hAnsi="宋体"/>
            <w:noProof/>
            <w:sz w:val="24"/>
          </w:rPr>
          <w:fldChar w:fldCharType="begin"/>
        </w:r>
        <w:r w:rsidR="00E45C2C" w:rsidRPr="00E45C2C">
          <w:rPr>
            <w:rFonts w:ascii="宋体" w:hAnsi="宋体"/>
            <w:noProof/>
            <w:sz w:val="24"/>
          </w:rPr>
          <w:instrText xml:space="preserve"> PAGEREF _Toc140049426 \h </w:instrText>
        </w:r>
        <w:r w:rsidR="00E45C2C" w:rsidRPr="00E45C2C">
          <w:rPr>
            <w:rFonts w:ascii="宋体" w:hAnsi="宋体"/>
            <w:noProof/>
            <w:sz w:val="24"/>
          </w:rPr>
        </w:r>
        <w:r w:rsidR="00E45C2C" w:rsidRPr="00E45C2C">
          <w:rPr>
            <w:rFonts w:ascii="宋体" w:hAnsi="宋体"/>
            <w:noProof/>
            <w:sz w:val="24"/>
          </w:rPr>
          <w:fldChar w:fldCharType="separate"/>
        </w:r>
        <w:r w:rsidR="001607B6">
          <w:rPr>
            <w:rFonts w:ascii="宋体" w:hAnsi="宋体"/>
            <w:noProof/>
            <w:sz w:val="24"/>
          </w:rPr>
          <w:t>120</w:t>
        </w:r>
        <w:r w:rsidR="00E45C2C" w:rsidRPr="00E45C2C">
          <w:rPr>
            <w:rFonts w:ascii="宋体" w:hAnsi="宋体"/>
            <w:noProof/>
            <w:sz w:val="24"/>
          </w:rPr>
          <w:fldChar w:fldCharType="end"/>
        </w:r>
      </w:hyperlink>
    </w:p>
    <w:p w14:paraId="6C66592C" w14:textId="07633790" w:rsidR="00E45C2C" w:rsidRPr="005F64F1" w:rsidRDefault="00E56D57" w:rsidP="00E45C2C">
      <w:pPr>
        <w:pStyle w:val="11"/>
        <w:tabs>
          <w:tab w:val="right" w:leader="dot" w:pos="8550"/>
        </w:tabs>
        <w:spacing w:line="360" w:lineRule="auto"/>
        <w:rPr>
          <w:rFonts w:ascii="宋体" w:hAnsi="宋体"/>
          <w:noProof/>
          <w:sz w:val="24"/>
        </w:rPr>
      </w:pPr>
      <w:hyperlink w:anchor="_Toc140049427" w:history="1">
        <w:r w:rsidR="00E45C2C" w:rsidRPr="00E45C2C">
          <w:rPr>
            <w:rStyle w:val="af0"/>
            <w:rFonts w:ascii="宋体" w:hAnsi="宋体" w:hint="eastAsia"/>
            <w:noProof/>
            <w:sz w:val="24"/>
          </w:rPr>
          <w:t>二十三、对基金份额持有人的服务</w:t>
        </w:r>
        <w:r w:rsidR="00E45C2C" w:rsidRPr="00E45C2C">
          <w:rPr>
            <w:rFonts w:ascii="宋体" w:hAnsi="宋体"/>
            <w:noProof/>
            <w:sz w:val="24"/>
          </w:rPr>
          <w:tab/>
        </w:r>
        <w:r w:rsidR="00E45C2C" w:rsidRPr="00E45C2C">
          <w:rPr>
            <w:rFonts w:ascii="宋体" w:hAnsi="宋体"/>
            <w:noProof/>
            <w:sz w:val="24"/>
          </w:rPr>
          <w:fldChar w:fldCharType="begin"/>
        </w:r>
        <w:r w:rsidR="00E45C2C" w:rsidRPr="00E45C2C">
          <w:rPr>
            <w:rFonts w:ascii="宋体" w:hAnsi="宋体"/>
            <w:noProof/>
            <w:sz w:val="24"/>
          </w:rPr>
          <w:instrText xml:space="preserve"> PAGEREF _Toc140049427 \h </w:instrText>
        </w:r>
        <w:r w:rsidR="00E45C2C" w:rsidRPr="00E45C2C">
          <w:rPr>
            <w:rFonts w:ascii="宋体" w:hAnsi="宋体"/>
            <w:noProof/>
            <w:sz w:val="24"/>
          </w:rPr>
        </w:r>
        <w:r w:rsidR="00E45C2C" w:rsidRPr="00E45C2C">
          <w:rPr>
            <w:rFonts w:ascii="宋体" w:hAnsi="宋体"/>
            <w:noProof/>
            <w:sz w:val="24"/>
          </w:rPr>
          <w:fldChar w:fldCharType="separate"/>
        </w:r>
        <w:r w:rsidR="001607B6">
          <w:rPr>
            <w:rFonts w:ascii="宋体" w:hAnsi="宋体"/>
            <w:noProof/>
            <w:sz w:val="24"/>
          </w:rPr>
          <w:t>130</w:t>
        </w:r>
        <w:r w:rsidR="00E45C2C" w:rsidRPr="00E45C2C">
          <w:rPr>
            <w:rFonts w:ascii="宋体" w:hAnsi="宋体"/>
            <w:noProof/>
            <w:sz w:val="24"/>
          </w:rPr>
          <w:fldChar w:fldCharType="end"/>
        </w:r>
      </w:hyperlink>
    </w:p>
    <w:p w14:paraId="2D77E64B" w14:textId="7EAD5BEB" w:rsidR="00E45C2C" w:rsidRPr="005F64F1" w:rsidRDefault="00E56D57" w:rsidP="00E45C2C">
      <w:pPr>
        <w:pStyle w:val="11"/>
        <w:tabs>
          <w:tab w:val="right" w:leader="dot" w:pos="8550"/>
        </w:tabs>
        <w:spacing w:line="360" w:lineRule="auto"/>
        <w:rPr>
          <w:rFonts w:ascii="宋体" w:hAnsi="宋体"/>
          <w:noProof/>
          <w:sz w:val="24"/>
        </w:rPr>
      </w:pPr>
      <w:hyperlink w:anchor="_Toc140049428" w:history="1">
        <w:r w:rsidR="00E45C2C" w:rsidRPr="00E45C2C">
          <w:rPr>
            <w:rStyle w:val="af0"/>
            <w:rFonts w:ascii="宋体" w:hAnsi="宋体" w:hint="eastAsia"/>
            <w:noProof/>
            <w:sz w:val="24"/>
          </w:rPr>
          <w:t>二十四、其他应披露事项</w:t>
        </w:r>
        <w:r w:rsidR="00E45C2C" w:rsidRPr="00E45C2C">
          <w:rPr>
            <w:rFonts w:ascii="宋体" w:hAnsi="宋体"/>
            <w:noProof/>
            <w:sz w:val="24"/>
          </w:rPr>
          <w:tab/>
        </w:r>
        <w:r w:rsidR="00E45C2C" w:rsidRPr="00E45C2C">
          <w:rPr>
            <w:rFonts w:ascii="宋体" w:hAnsi="宋体"/>
            <w:noProof/>
            <w:sz w:val="24"/>
          </w:rPr>
          <w:fldChar w:fldCharType="begin"/>
        </w:r>
        <w:r w:rsidR="00E45C2C" w:rsidRPr="00E45C2C">
          <w:rPr>
            <w:rFonts w:ascii="宋体" w:hAnsi="宋体"/>
            <w:noProof/>
            <w:sz w:val="24"/>
          </w:rPr>
          <w:instrText xml:space="preserve"> PAGEREF _Toc140049428 \h </w:instrText>
        </w:r>
        <w:r w:rsidR="00E45C2C" w:rsidRPr="00E45C2C">
          <w:rPr>
            <w:rFonts w:ascii="宋体" w:hAnsi="宋体"/>
            <w:noProof/>
            <w:sz w:val="24"/>
          </w:rPr>
        </w:r>
        <w:r w:rsidR="00E45C2C" w:rsidRPr="00E45C2C">
          <w:rPr>
            <w:rFonts w:ascii="宋体" w:hAnsi="宋体"/>
            <w:noProof/>
            <w:sz w:val="24"/>
          </w:rPr>
          <w:fldChar w:fldCharType="separate"/>
        </w:r>
        <w:r w:rsidR="001607B6">
          <w:rPr>
            <w:rFonts w:ascii="宋体" w:hAnsi="宋体"/>
            <w:noProof/>
            <w:sz w:val="24"/>
          </w:rPr>
          <w:t>132</w:t>
        </w:r>
        <w:r w:rsidR="00E45C2C" w:rsidRPr="00E45C2C">
          <w:rPr>
            <w:rFonts w:ascii="宋体" w:hAnsi="宋体"/>
            <w:noProof/>
            <w:sz w:val="24"/>
          </w:rPr>
          <w:fldChar w:fldCharType="end"/>
        </w:r>
      </w:hyperlink>
    </w:p>
    <w:p w14:paraId="6BCAA814" w14:textId="6B26FE6F" w:rsidR="00E45C2C" w:rsidRPr="005F64F1" w:rsidRDefault="00E56D57" w:rsidP="00E45C2C">
      <w:pPr>
        <w:pStyle w:val="11"/>
        <w:tabs>
          <w:tab w:val="right" w:leader="dot" w:pos="8550"/>
        </w:tabs>
        <w:spacing w:line="360" w:lineRule="auto"/>
        <w:rPr>
          <w:rFonts w:ascii="宋体" w:hAnsi="宋体"/>
          <w:noProof/>
          <w:sz w:val="24"/>
        </w:rPr>
      </w:pPr>
      <w:hyperlink w:anchor="_Toc140049429" w:history="1">
        <w:r w:rsidR="00E45C2C" w:rsidRPr="00E45C2C">
          <w:rPr>
            <w:rStyle w:val="af0"/>
            <w:rFonts w:ascii="宋体" w:hAnsi="宋体" w:hint="eastAsia"/>
            <w:noProof/>
            <w:sz w:val="24"/>
          </w:rPr>
          <w:t>二十五、招募说明书的存放及查阅方式</w:t>
        </w:r>
        <w:r w:rsidR="00E45C2C" w:rsidRPr="00E45C2C">
          <w:rPr>
            <w:rFonts w:ascii="宋体" w:hAnsi="宋体"/>
            <w:noProof/>
            <w:sz w:val="24"/>
          </w:rPr>
          <w:tab/>
        </w:r>
        <w:r w:rsidR="00E45C2C" w:rsidRPr="00E45C2C">
          <w:rPr>
            <w:rFonts w:ascii="宋体" w:hAnsi="宋体"/>
            <w:noProof/>
            <w:sz w:val="24"/>
          </w:rPr>
          <w:fldChar w:fldCharType="begin"/>
        </w:r>
        <w:r w:rsidR="00E45C2C" w:rsidRPr="00E45C2C">
          <w:rPr>
            <w:rFonts w:ascii="宋体" w:hAnsi="宋体"/>
            <w:noProof/>
            <w:sz w:val="24"/>
          </w:rPr>
          <w:instrText xml:space="preserve"> PAGEREF _Toc140049429 \h </w:instrText>
        </w:r>
        <w:r w:rsidR="00E45C2C" w:rsidRPr="00E45C2C">
          <w:rPr>
            <w:rFonts w:ascii="宋体" w:hAnsi="宋体"/>
            <w:noProof/>
            <w:sz w:val="24"/>
          </w:rPr>
        </w:r>
        <w:r w:rsidR="00E45C2C" w:rsidRPr="00E45C2C">
          <w:rPr>
            <w:rFonts w:ascii="宋体" w:hAnsi="宋体"/>
            <w:noProof/>
            <w:sz w:val="24"/>
          </w:rPr>
          <w:fldChar w:fldCharType="separate"/>
        </w:r>
        <w:r w:rsidR="001607B6">
          <w:rPr>
            <w:rFonts w:ascii="宋体" w:hAnsi="宋体"/>
            <w:noProof/>
            <w:sz w:val="24"/>
          </w:rPr>
          <w:t>136</w:t>
        </w:r>
        <w:r w:rsidR="00E45C2C" w:rsidRPr="00E45C2C">
          <w:rPr>
            <w:rFonts w:ascii="宋体" w:hAnsi="宋体"/>
            <w:noProof/>
            <w:sz w:val="24"/>
          </w:rPr>
          <w:fldChar w:fldCharType="end"/>
        </w:r>
      </w:hyperlink>
    </w:p>
    <w:p w14:paraId="589F097D" w14:textId="4F821E2B" w:rsidR="00E45C2C" w:rsidRPr="005F64F1" w:rsidRDefault="00E56D57" w:rsidP="00E45C2C">
      <w:pPr>
        <w:pStyle w:val="11"/>
        <w:tabs>
          <w:tab w:val="right" w:leader="dot" w:pos="8550"/>
        </w:tabs>
        <w:spacing w:line="360" w:lineRule="auto"/>
        <w:rPr>
          <w:rFonts w:ascii="宋体" w:hAnsi="宋体"/>
          <w:noProof/>
          <w:sz w:val="24"/>
        </w:rPr>
      </w:pPr>
      <w:hyperlink w:anchor="_Toc140049430" w:history="1">
        <w:r w:rsidR="00E45C2C" w:rsidRPr="00E45C2C">
          <w:rPr>
            <w:rStyle w:val="af0"/>
            <w:rFonts w:ascii="宋体" w:hAnsi="宋体" w:hint="eastAsia"/>
            <w:noProof/>
            <w:sz w:val="24"/>
          </w:rPr>
          <w:t>二十六、备查文件</w:t>
        </w:r>
        <w:r w:rsidR="00E45C2C" w:rsidRPr="00E45C2C">
          <w:rPr>
            <w:rFonts w:ascii="宋体" w:hAnsi="宋体"/>
            <w:noProof/>
            <w:sz w:val="24"/>
          </w:rPr>
          <w:tab/>
        </w:r>
        <w:r w:rsidR="00E45C2C" w:rsidRPr="00E45C2C">
          <w:rPr>
            <w:rFonts w:ascii="宋体" w:hAnsi="宋体"/>
            <w:noProof/>
            <w:sz w:val="24"/>
          </w:rPr>
          <w:fldChar w:fldCharType="begin"/>
        </w:r>
        <w:r w:rsidR="00E45C2C" w:rsidRPr="00E45C2C">
          <w:rPr>
            <w:rFonts w:ascii="宋体" w:hAnsi="宋体"/>
            <w:noProof/>
            <w:sz w:val="24"/>
          </w:rPr>
          <w:instrText xml:space="preserve"> PAGEREF _Toc140049430 \h </w:instrText>
        </w:r>
        <w:r w:rsidR="00E45C2C" w:rsidRPr="00E45C2C">
          <w:rPr>
            <w:rFonts w:ascii="宋体" w:hAnsi="宋体"/>
            <w:noProof/>
            <w:sz w:val="24"/>
          </w:rPr>
        </w:r>
        <w:r w:rsidR="00E45C2C" w:rsidRPr="00E45C2C">
          <w:rPr>
            <w:rFonts w:ascii="宋体" w:hAnsi="宋体"/>
            <w:noProof/>
            <w:sz w:val="24"/>
          </w:rPr>
          <w:fldChar w:fldCharType="separate"/>
        </w:r>
        <w:r w:rsidR="001607B6">
          <w:rPr>
            <w:rFonts w:ascii="宋体" w:hAnsi="宋体"/>
            <w:noProof/>
            <w:sz w:val="24"/>
          </w:rPr>
          <w:t>137</w:t>
        </w:r>
        <w:r w:rsidR="00E45C2C" w:rsidRPr="00E45C2C">
          <w:rPr>
            <w:rFonts w:ascii="宋体" w:hAnsi="宋体"/>
            <w:noProof/>
            <w:sz w:val="24"/>
          </w:rPr>
          <w:fldChar w:fldCharType="end"/>
        </w:r>
      </w:hyperlink>
    </w:p>
    <w:p w14:paraId="5F2FECE1" w14:textId="1E2C495B" w:rsidR="001F702C" w:rsidRDefault="00E45C2C" w:rsidP="00171AF4">
      <w:pPr>
        <w:pStyle w:val="af3"/>
        <w:snapToGrid w:val="0"/>
        <w:spacing w:after="240" w:line="360" w:lineRule="auto"/>
        <w:jc w:val="center"/>
        <w:sectPr w:rsidR="001F702C">
          <w:pgSz w:w="11920" w:h="16840"/>
          <w:pgMar w:top="1480" w:right="1680" w:bottom="280" w:left="1680" w:header="0" w:footer="1073" w:gutter="0"/>
          <w:cols w:space="720"/>
        </w:sectPr>
      </w:pPr>
      <w:r w:rsidRPr="00E45C2C">
        <w:rPr>
          <w:rFonts w:ascii="宋体" w:hAnsi="宋体"/>
          <w:color w:val="000000"/>
          <w:position w:val="-4"/>
          <w:sz w:val="24"/>
          <w:szCs w:val="30"/>
        </w:rPr>
        <w:fldChar w:fldCharType="end"/>
      </w:r>
    </w:p>
    <w:p w14:paraId="4C9F6A33" w14:textId="77777777" w:rsidR="001F702C" w:rsidRDefault="00BD18A1">
      <w:pPr>
        <w:pStyle w:val="1"/>
        <w:snapToGrid w:val="0"/>
        <w:spacing w:beforeLines="0" w:before="240" w:after="240"/>
        <w:rPr>
          <w:rFonts w:ascii="宋体" w:hAnsi="宋体"/>
          <w:szCs w:val="30"/>
        </w:rPr>
      </w:pPr>
      <w:bookmarkStart w:id="4" w:name="_Toc140049405"/>
      <w:r>
        <w:rPr>
          <w:rFonts w:ascii="Times New Roman" w:hAnsi="Times New Roman"/>
          <w:sz w:val="30"/>
        </w:rPr>
        <w:lastRenderedPageBreak/>
        <w:t>一、绪言</w:t>
      </w:r>
      <w:bookmarkEnd w:id="4"/>
    </w:p>
    <w:p w14:paraId="1ABA070A"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交银施罗德中债1-3年农发行债券指数证券投资基金招募说明书》（以下简称“本招募说明书”）依据《中华人民共和国证券投资基金法》（以下简称“《基金法》”）、《公开募集证券投资基金运作管理办法》（以下简称“《运作办法》”）、《证券投资基金销售管理办法》（以下简称“《销售办法》”）、《公开募集证券投资基金信息披露管理办法》（以下简称“《信息披露办法》”）、《公开募集开放式证券投资基金流动性风险管理规定》（以下简称“《流动性规定》”）、《公开募集证券投资基金运作指引第3号——指数基金指引》（以下简称“《指数基金指引》”）和其他相关法律法规的规定以及《交银施罗德中债1-3年农发行债券指数证券投资基金基金合同》（以下简称“基金合同”）编写。</w:t>
      </w:r>
    </w:p>
    <w:p w14:paraId="6DACBC4F"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14:paraId="16C10CF3"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本招募说明书根据本基金的基金合同编写，并经中国证监会注册。基金合同是约定基金合同当事人之间权利、义务的法律文件。基金</w:t>
      </w:r>
      <w:proofErr w:type="gramStart"/>
      <w:r>
        <w:rPr>
          <w:rFonts w:ascii="宋体" w:hAnsi="宋体"/>
          <w:sz w:val="24"/>
        </w:rPr>
        <w:t>投资人自依基金</w:t>
      </w:r>
      <w:proofErr w:type="gramEnd"/>
      <w:r>
        <w:rPr>
          <w:rFonts w:ascii="宋体" w:hAnsi="宋体"/>
          <w:sz w:val="24"/>
        </w:rPr>
        <w:t>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14:paraId="071A8FA3" w14:textId="77777777" w:rsidR="00367445" w:rsidRDefault="00BD18A1" w:rsidP="00367445">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21050D06" w14:textId="77777777" w:rsidR="001F702C" w:rsidRDefault="00BD18A1">
      <w:pPr>
        <w:pStyle w:val="1"/>
        <w:snapToGrid w:val="0"/>
        <w:spacing w:beforeLines="0" w:before="240" w:after="240"/>
        <w:rPr>
          <w:rFonts w:ascii="宋体" w:hAnsi="宋体"/>
          <w:szCs w:val="30"/>
        </w:rPr>
      </w:pPr>
      <w:bookmarkStart w:id="5" w:name="_Toc140049406"/>
      <w:r>
        <w:rPr>
          <w:rFonts w:ascii="Times New Roman" w:hAnsi="Times New Roman"/>
          <w:sz w:val="30"/>
        </w:rPr>
        <w:lastRenderedPageBreak/>
        <w:t>二、释义</w:t>
      </w:r>
      <w:bookmarkEnd w:id="5"/>
    </w:p>
    <w:p w14:paraId="59D16A7B"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在本招募说明书中，除非文意另有所指，下列词语或简称具有如下含义：</w:t>
      </w:r>
    </w:p>
    <w:p w14:paraId="51EEDF94"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1、基金或本基金：指交银施罗德中债1-3年农发行债券指数证券投资基金</w:t>
      </w:r>
    </w:p>
    <w:p w14:paraId="54040403"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2、基金管理人或本基金管理人：指交银施罗德基金管理有限公司</w:t>
      </w:r>
    </w:p>
    <w:p w14:paraId="391AB95D"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3、基金托管人或本基金托管人：指中国光大银行股份有限公司</w:t>
      </w:r>
    </w:p>
    <w:p w14:paraId="5145E932"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4、基金合同或《基金合同》：指《交银施罗德中债1-3年农发行债券指数证券投资基金基金合同》及对基金合同的任何有效修订和补充</w:t>
      </w:r>
    </w:p>
    <w:p w14:paraId="020FF6CA"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5、托管协议：指基金管理人与基金托管人就本基金签订之《交银施罗德中债1-3年农发行债券指数证券投资基金托管协议》及对该托管协议的任何有效修订和补充</w:t>
      </w:r>
    </w:p>
    <w:p w14:paraId="397B4BC5"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6、招募说明书、本招募说明书或《招募说明书》：指《交银施罗德中债1-3年农发行债券指数证券投资基金招募说明书》及其更新</w:t>
      </w:r>
    </w:p>
    <w:p w14:paraId="4A169ABC"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7、基金份额发售公告：指《交银施罗德中债1-3年农发行债券指数证券投资基金基金份额发售公告》</w:t>
      </w:r>
    </w:p>
    <w:p w14:paraId="603B0ACB"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8、基金产品资料概要：指《交银施罗德中债1-3年农发行债券指数证券投资基金基金产品资料概要》及其更新</w:t>
      </w:r>
    </w:p>
    <w:p w14:paraId="5419E82F"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9、法律法规：指中国现行有效并公布实施的法律、行政法规、规范性文件、司法解释、行政规章以及其他对基金合同当事人有约束力的决定、决议、通知等</w:t>
      </w:r>
    </w:p>
    <w:p w14:paraId="00ED3622"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10、《基金法》：指《中华人民共和国证券投资基金法》及颁布机关对其不时做出的修订</w:t>
      </w:r>
    </w:p>
    <w:p w14:paraId="27426EC6"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11、《销售办法》：指《证券投资基金销售管理办法》及颁布机关对其不时做出的修订</w:t>
      </w:r>
    </w:p>
    <w:p w14:paraId="3AA07327"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12、《信息披露办法》：指《公开募集证券投资基金信息披露管理办法》及颁布机关对其不时做出的修订</w:t>
      </w:r>
    </w:p>
    <w:p w14:paraId="386E809D"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13、《运作办法》：指《公开募集证券投资基金运作管理办法》及颁布机关对其不时做出的修订</w:t>
      </w:r>
    </w:p>
    <w:p w14:paraId="0248D650"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14、《流动性规定》：指中国证监会 2017年8月31日颁布、同年10月1日实施的《公开募集开放式证券投资基金流动性风险管理规定》及颁布机关对其不时做出的修订</w:t>
      </w:r>
    </w:p>
    <w:p w14:paraId="3F527548"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15、《指数基金指引》：指中国证监会2021年1月22日颁布、同年2月1日实施的《公开募集证券投资基金运作指引第3号——指数基金指引》及颁布机关对其不时做出的修订</w:t>
      </w:r>
    </w:p>
    <w:p w14:paraId="596A2A2B"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16、流动性受限资产：指由于法律法规、监管、合同或操作障碍等原因无法以合理价格予以变现的资产，包括但不限于到期日在10个交易日以上的逆回购与银行定期存款（</w:t>
      </w:r>
      <w:proofErr w:type="gramStart"/>
      <w:r>
        <w:rPr>
          <w:rFonts w:ascii="宋体" w:hAnsi="宋体"/>
          <w:sz w:val="24"/>
        </w:rPr>
        <w:t>含协议</w:t>
      </w:r>
      <w:proofErr w:type="gramEnd"/>
      <w:r>
        <w:rPr>
          <w:rFonts w:ascii="宋体" w:hAnsi="宋体"/>
          <w:sz w:val="24"/>
        </w:rPr>
        <w:t>约定有条件提前支取的银行存款）、资产支持证券、因发行人债务违约无法进行转让或交易的债券等</w:t>
      </w:r>
    </w:p>
    <w:p w14:paraId="58E08A63"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17、摆动定价机制：指当开放式基金遭遇大额申购赎回时，通过调整基金份额净值的方式，将基金调整投资组合的市场冲击成本分配给实际申购、赎回的投资者，从而减少对存量基金份额持有人利益的不利影响，确保投资者的合法权益不受损害并得到公平对待。具体处理原则与操作规范遵循相关法律法规以及监管部门、自律规则的规定</w:t>
      </w:r>
    </w:p>
    <w:p w14:paraId="3929DED8"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18、中国证监会：指中国证券监督管理委员会</w:t>
      </w:r>
    </w:p>
    <w:p w14:paraId="1656C702"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19、银行业监督管理机构：指中国人民银行和/或中国银行保险监督管理委员会</w:t>
      </w:r>
    </w:p>
    <w:p w14:paraId="1A1D5698"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20、基金合同当事人：指受基金合同约束，根据基金合同享有权利并承担义务的法律主体，包括基金管理人、基金托管人和基金份额持有人</w:t>
      </w:r>
    </w:p>
    <w:p w14:paraId="728FC7E7"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21、个人投资者：指依据有关法律法规规定可投资于证券投资基金的自然人</w:t>
      </w:r>
    </w:p>
    <w:p w14:paraId="10F4DC16"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22、机构投资者：指依法可以投资证券投资基金的、在中华人民共和国境内合法登记并存续或经有关政府部门批准设立并存续的企业法人、事业法人、社会团体或其他组织</w:t>
      </w:r>
    </w:p>
    <w:p w14:paraId="1CABF283"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23、合格境外机构投资者：指符合《合格境外机构投资者境内证券投资管理办法》及相关法律法规规定可以投资于在中国境内依法募集的证券投资基金的中国境外的机构投资者</w:t>
      </w:r>
    </w:p>
    <w:p w14:paraId="0B83601D"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24、人民币合格境外机构投资者：指按照《人民币合格境外机构投资者境内证券投资试点办法》及相关法律法规规定，运用来自境外的人民币资金进行中国境内证券投资的境外机构投资者</w:t>
      </w:r>
    </w:p>
    <w:p w14:paraId="4A0AE7D1"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25、投资人或投资者：指个人投资者、机构投资者、合格境外机构投资者和人民币合格境外机构投资者以及法律法规或中国证监会允许购买证券投资基金的其他投资人的合称</w:t>
      </w:r>
    </w:p>
    <w:p w14:paraId="1F6C0802"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26、基金份额持有人：指依基金合同和招募说明书合法取得基金份额的投资人</w:t>
      </w:r>
    </w:p>
    <w:p w14:paraId="0E7BE85B"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27、基金销售业务：指基金管理人或销售机构宣传推介基金，发售基金份额，办理基金份额的申购、赎回、转换、转托管及定期定额投资等业务</w:t>
      </w:r>
    </w:p>
    <w:p w14:paraId="428DA44E"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28、销售机构：指交银施罗德基金管理有限公司以及符合《销售办法》和中国证监会规定的其他条件，取得基金销售业务资格并与基金管理人签订了基金销售服务协议，办理基金销售业务的机构</w:t>
      </w:r>
    </w:p>
    <w:p w14:paraId="4EE5157C"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29、登记业务：指基金登记、存管、过户、清算和结算业务，具体内容包括投资人基金账户的建立和管理、基金份额登记、基金销售业务的确认、清算和结算、代理发放红利、建立并保管基金份额持有人名册和办理</w:t>
      </w:r>
      <w:proofErr w:type="gramStart"/>
      <w:r>
        <w:rPr>
          <w:rFonts w:ascii="宋体" w:hAnsi="宋体"/>
          <w:sz w:val="24"/>
        </w:rPr>
        <w:t>非交易</w:t>
      </w:r>
      <w:proofErr w:type="gramEnd"/>
      <w:r>
        <w:rPr>
          <w:rFonts w:ascii="宋体" w:hAnsi="宋体"/>
          <w:sz w:val="24"/>
        </w:rPr>
        <w:t>过户等</w:t>
      </w:r>
    </w:p>
    <w:p w14:paraId="45760505"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30、登记机构：</w:t>
      </w:r>
      <w:proofErr w:type="gramStart"/>
      <w:r>
        <w:rPr>
          <w:rFonts w:ascii="宋体" w:hAnsi="宋体"/>
          <w:sz w:val="24"/>
        </w:rPr>
        <w:t>指办理</w:t>
      </w:r>
      <w:proofErr w:type="gramEnd"/>
      <w:r>
        <w:rPr>
          <w:rFonts w:ascii="宋体" w:hAnsi="宋体"/>
          <w:sz w:val="24"/>
        </w:rPr>
        <w:t>登记业务的机构。基金的登记机构为交银施罗德基金管理有限公司或接受交银施罗德基金管理有限公司委托办理登记业务的机构</w:t>
      </w:r>
    </w:p>
    <w:p w14:paraId="5BAB7BE3"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31、基金账户：指登记机构为投资人开立的、记录其持有的、基金管理人所管理的基金份额余额及其变动情况的账户</w:t>
      </w:r>
    </w:p>
    <w:p w14:paraId="5CBCA2F5"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32、基金交易账户：指销售机构为投资人开立的、记录投资人通过该销售机构办理认购、申购、赎回、转换、定期定额投资及转托管等业务而引起的基金份额变动及结余情况的账户</w:t>
      </w:r>
    </w:p>
    <w:p w14:paraId="4BC475A2"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33、基金合同生效日：指基金募集达到法律法规规定及基金合同规定的条件，基金管理人向中国证监会办理基金备案手续完毕，并获得中国证监会书面确认的日期</w:t>
      </w:r>
    </w:p>
    <w:p w14:paraId="4AE19F84"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34、基金合同终止日：指基金合同规定的基金合同终止事由出现后，基金财产清算完毕，清算结果报中国证监会备案并予以公告的日期</w:t>
      </w:r>
    </w:p>
    <w:p w14:paraId="4CB178B9"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35、基金募集期：指自基金份额发售之日起至发售结束之日止的期间，最长不得超过3个月</w:t>
      </w:r>
    </w:p>
    <w:p w14:paraId="4F712F04"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36、存续期：指基金合同生效至终止之间的不定期期限</w:t>
      </w:r>
    </w:p>
    <w:p w14:paraId="4425962D"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37、工作日：指上海证券交易所、深圳证券交易所的正常交易日</w:t>
      </w:r>
    </w:p>
    <w:p w14:paraId="70FF2180"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38、T日：指销售机构在规定时间受理投资人申购、赎回或其他业务申请的开放日</w:t>
      </w:r>
    </w:p>
    <w:p w14:paraId="06B50D96"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39、T+n日：指自T日起第n</w:t>
      </w:r>
      <w:proofErr w:type="gramStart"/>
      <w:r>
        <w:rPr>
          <w:rFonts w:ascii="宋体" w:hAnsi="宋体"/>
          <w:sz w:val="24"/>
        </w:rPr>
        <w:t>个</w:t>
      </w:r>
      <w:proofErr w:type="gramEnd"/>
      <w:r>
        <w:rPr>
          <w:rFonts w:ascii="宋体" w:hAnsi="宋体"/>
          <w:sz w:val="24"/>
        </w:rPr>
        <w:t>工作日(不包含T日)</w:t>
      </w:r>
    </w:p>
    <w:p w14:paraId="6AD6DE20"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40、开放日：指为投资人办理基金份额申购、赎回或其他业务的工作日</w:t>
      </w:r>
    </w:p>
    <w:p w14:paraId="50145906"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41、开放时间：指开放日基金接受申购、赎回或其他交易的时间段</w:t>
      </w:r>
    </w:p>
    <w:p w14:paraId="37A82E7F"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42、《业务规则》：指《中国证券登记结算有限责任公司开放式证券投资基金及证券公司集合资产管理计划份额登记及资金结算业务指南》及其后修订，是规范基金管理人所管理的开放式证券投资基金登记方面的业务规则，由基金管理人和投资人共同遵守</w:t>
      </w:r>
    </w:p>
    <w:p w14:paraId="4A0C8684"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43、认购：指在基金募集期内，投资人根据基金合同和招募说明书的规定申请购买基金份额的行为</w:t>
      </w:r>
    </w:p>
    <w:p w14:paraId="5D9161A0"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44、申购：指基金合同生效后，投资人根据基金合同和招募说明书的规定申请购买基金份额的行为</w:t>
      </w:r>
    </w:p>
    <w:p w14:paraId="2D5B11A4"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45、赎回：指基金合同生效后，基金份额持有人按基金合同和招募说明书规定的条件要求将基金份额兑换为现金的行为</w:t>
      </w:r>
    </w:p>
    <w:p w14:paraId="19C0843E"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46、销售服务费：指从基金资产中计提的，用于本基金市场推广、销售以及基金份额持有人服务的费用</w:t>
      </w:r>
    </w:p>
    <w:p w14:paraId="099DF2D4" w14:textId="22860D91"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47、基金份额类别：指本基金根据认购/申购费用、销售服务费</w:t>
      </w:r>
      <w:r w:rsidR="00384D70" w:rsidRPr="003118F1">
        <w:rPr>
          <w:rFonts w:hAnsi="宋体" w:hint="eastAsia"/>
          <w:bCs/>
          <w:sz w:val="24"/>
        </w:rPr>
        <w:t>收取标准和</w:t>
      </w:r>
      <w:r>
        <w:rPr>
          <w:rFonts w:ascii="宋体" w:hAnsi="宋体"/>
          <w:sz w:val="24"/>
        </w:rPr>
        <w:t>收取方式的不同，将基金份额分为不同的类别。在投资人认购/申购时收取认购/申购费用、赎回时收取赎回费用的，称为A类基金份额，在投资人认购/申购时不收取认购/申购费用、赎回时收取赎回费用，并从本类别基金资产中计</w:t>
      </w:r>
      <w:proofErr w:type="gramStart"/>
      <w:r>
        <w:rPr>
          <w:rFonts w:ascii="宋体" w:hAnsi="宋体"/>
          <w:sz w:val="24"/>
        </w:rPr>
        <w:t>提销售</w:t>
      </w:r>
      <w:proofErr w:type="gramEnd"/>
      <w:r>
        <w:rPr>
          <w:rFonts w:ascii="宋体" w:hAnsi="宋体"/>
          <w:sz w:val="24"/>
        </w:rPr>
        <w:t>服务费的，称为C类基金份额</w:t>
      </w:r>
      <w:r w:rsidR="00CF37AC" w:rsidRPr="00CF37AC">
        <w:rPr>
          <w:rFonts w:ascii="宋体" w:hAnsi="宋体" w:hint="eastAsia"/>
          <w:sz w:val="24"/>
        </w:rPr>
        <w:t>；在投资人申购时收取申购费用、赎回时收取赎回费</w:t>
      </w:r>
      <w:r w:rsidR="005D4911">
        <w:rPr>
          <w:rFonts w:ascii="宋体" w:hAnsi="宋体" w:hint="eastAsia"/>
          <w:sz w:val="24"/>
        </w:rPr>
        <w:t>用</w:t>
      </w:r>
      <w:r w:rsidR="00CF37AC" w:rsidRPr="00CF37AC">
        <w:rPr>
          <w:rFonts w:ascii="宋体" w:hAnsi="宋体" w:hint="eastAsia"/>
          <w:sz w:val="24"/>
        </w:rPr>
        <w:t>的，称为D</w:t>
      </w:r>
      <w:r w:rsidR="00CF37AC">
        <w:rPr>
          <w:rFonts w:ascii="宋体" w:hAnsi="宋体" w:hint="eastAsia"/>
          <w:sz w:val="24"/>
        </w:rPr>
        <w:t>类基金份额</w:t>
      </w:r>
      <w:r w:rsidR="005D4911" w:rsidRPr="005D4911">
        <w:rPr>
          <w:rFonts w:ascii="宋体" w:hAnsi="宋体" w:hint="eastAsia"/>
          <w:sz w:val="24"/>
        </w:rPr>
        <w:t>，A类基金份额与D类基金份额设置不同的申购费</w:t>
      </w:r>
      <w:r w:rsidR="0086767A">
        <w:rPr>
          <w:rFonts w:hAnsi="宋体" w:hint="eastAsia"/>
          <w:bCs/>
          <w:sz w:val="24"/>
        </w:rPr>
        <w:t>、赎回费</w:t>
      </w:r>
      <w:r w:rsidR="005D4911" w:rsidRPr="005D4911">
        <w:rPr>
          <w:rFonts w:ascii="宋体" w:hAnsi="宋体" w:hint="eastAsia"/>
          <w:sz w:val="24"/>
        </w:rPr>
        <w:t>收取标准</w:t>
      </w:r>
    </w:p>
    <w:p w14:paraId="0B795A41"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48、基金转换：指基金份额持有人按照基金合同和基金管理人届时有效公告规定的条件，申请将其持有基金管理人管理的、某一基金的基金份额转换为基金管理人管理的其他</w:t>
      </w:r>
      <w:proofErr w:type="gramStart"/>
      <w:r>
        <w:rPr>
          <w:rFonts w:ascii="宋体" w:hAnsi="宋体"/>
          <w:sz w:val="24"/>
        </w:rPr>
        <w:t>基金基金</w:t>
      </w:r>
      <w:proofErr w:type="gramEnd"/>
      <w:r>
        <w:rPr>
          <w:rFonts w:ascii="宋体" w:hAnsi="宋体"/>
          <w:sz w:val="24"/>
        </w:rPr>
        <w:t>份额的行为</w:t>
      </w:r>
    </w:p>
    <w:p w14:paraId="49881BAC"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49、转托管：指基金份额持有人在本基金的不同销售机构之间实施的变更所持基金份额销售机构的操作</w:t>
      </w:r>
    </w:p>
    <w:p w14:paraId="059A67D6"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50、定期定额投资计划：指投资人通过有关销售机构提出申请，约定每期申购日、扣款金额及扣款方式，由指定的销售机构在投资人指定银行账户内自动完成扣款并于每期约定的申购日受理基金申购申请的一种投资方式</w:t>
      </w:r>
    </w:p>
    <w:p w14:paraId="0F8E21C3"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51、巨额赎回：指本基金单个开放日，基金净赎回申请（赎回申请份额总数加上基金转换中转出申请份额总数后扣除申购申请份额总数及基金转换中转入申请份额总数后的余额）超过上一开放日基金总份额的10%的情形</w:t>
      </w:r>
    </w:p>
    <w:p w14:paraId="5AB1DEF9"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52、元：指人民币元</w:t>
      </w:r>
    </w:p>
    <w:p w14:paraId="74C3EBF1"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53、基金收益：指基金投资所得债券利息、买卖证券价差、银行存款利息、已实现的其他合法收入及因运用基金财产带来的成本和费用的节约</w:t>
      </w:r>
    </w:p>
    <w:p w14:paraId="1B3F7590"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54、基金资产总值：指基金拥有的各类有价证券、银行存款本息、基金应收申购款及其他资产的价值总和</w:t>
      </w:r>
    </w:p>
    <w:p w14:paraId="6C8DD646"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55、基金资产净值：指基金资产总值减去基金负债后的价值</w:t>
      </w:r>
    </w:p>
    <w:p w14:paraId="186227C7"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56、基金份额净值：指计算日基金资产净值除以计算日基金份额总数</w:t>
      </w:r>
    </w:p>
    <w:p w14:paraId="089CC9F3"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57、基金资产估值：指计算评估基金资产和负债的价值，以确定基金资产净值和基金份额净值的过程</w:t>
      </w:r>
    </w:p>
    <w:p w14:paraId="01FC1BCA"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58、指定媒介：指中国证监会指定的用以进行信息披露的全国性报刊及指定互联网网站（包括基金管理人网站、基金托管人网站、中国证监会基金电子披露网站）等媒介</w:t>
      </w:r>
    </w:p>
    <w:p w14:paraId="3FC2C3D0"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59、</w:t>
      </w:r>
      <w:proofErr w:type="gramStart"/>
      <w:r>
        <w:rPr>
          <w:rFonts w:ascii="宋体" w:hAnsi="宋体"/>
          <w:sz w:val="24"/>
        </w:rPr>
        <w:t>侧袋机制</w:t>
      </w:r>
      <w:proofErr w:type="gramEnd"/>
      <w:r>
        <w:rPr>
          <w:rFonts w:ascii="宋体" w:hAnsi="宋体"/>
          <w:sz w:val="24"/>
        </w:rPr>
        <w:t>：指将基金投资组合中的特定资产从原有账户分离至一个专门账户进行处置清算，目的在于有效隔离并化解风险，确保投资者得到公平对待，属于流动性风险管理工具。</w:t>
      </w:r>
      <w:proofErr w:type="gramStart"/>
      <w:r>
        <w:rPr>
          <w:rFonts w:ascii="宋体" w:hAnsi="宋体"/>
          <w:sz w:val="24"/>
        </w:rPr>
        <w:t>侧袋机制</w:t>
      </w:r>
      <w:proofErr w:type="gramEnd"/>
      <w:r>
        <w:rPr>
          <w:rFonts w:ascii="宋体" w:hAnsi="宋体"/>
          <w:sz w:val="24"/>
        </w:rPr>
        <w:t>实施期间，原有账户称为主袋账户，专门账户</w:t>
      </w:r>
      <w:proofErr w:type="gramStart"/>
      <w:r>
        <w:rPr>
          <w:rFonts w:ascii="宋体" w:hAnsi="宋体"/>
          <w:sz w:val="24"/>
        </w:rPr>
        <w:t>称为侧袋账户</w:t>
      </w:r>
      <w:proofErr w:type="gramEnd"/>
    </w:p>
    <w:p w14:paraId="2DDEDB95"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60、特定资产：包括：（一）无可参考的活跃市场价格且采用估值技术</w:t>
      </w:r>
      <w:proofErr w:type="gramStart"/>
      <w:r>
        <w:rPr>
          <w:rFonts w:ascii="宋体" w:hAnsi="宋体"/>
          <w:sz w:val="24"/>
        </w:rPr>
        <w:t>仍导致</w:t>
      </w:r>
      <w:proofErr w:type="gramEnd"/>
      <w:r>
        <w:rPr>
          <w:rFonts w:ascii="宋体" w:hAnsi="宋体"/>
          <w:sz w:val="24"/>
        </w:rPr>
        <w:t>公允价值存在重大不确定性的资产；（二）</w:t>
      </w:r>
      <w:proofErr w:type="gramStart"/>
      <w:r>
        <w:rPr>
          <w:rFonts w:ascii="宋体" w:hAnsi="宋体"/>
          <w:sz w:val="24"/>
        </w:rPr>
        <w:t>按摊余成本</w:t>
      </w:r>
      <w:proofErr w:type="gramEnd"/>
      <w:r>
        <w:rPr>
          <w:rFonts w:ascii="宋体" w:hAnsi="宋体"/>
          <w:sz w:val="24"/>
        </w:rPr>
        <w:t>计量且计提资产减值</w:t>
      </w:r>
      <w:proofErr w:type="gramStart"/>
      <w:r>
        <w:rPr>
          <w:rFonts w:ascii="宋体" w:hAnsi="宋体"/>
          <w:sz w:val="24"/>
        </w:rPr>
        <w:t>准备仍导致</w:t>
      </w:r>
      <w:proofErr w:type="gramEnd"/>
      <w:r>
        <w:rPr>
          <w:rFonts w:ascii="宋体" w:hAnsi="宋体"/>
          <w:sz w:val="24"/>
        </w:rPr>
        <w:t>资产价值存在重大不确定性的资产；（三）其他资产价值存在重大不确定性的资产</w:t>
      </w:r>
    </w:p>
    <w:p w14:paraId="599AA584"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61、不可抗力：指基金合同当事人不能预见、不能避免且不能克服的客观事件</w:t>
      </w:r>
    </w:p>
    <w:p w14:paraId="1CCC903F" w14:textId="77777777" w:rsidR="00367445" w:rsidRDefault="00BD18A1" w:rsidP="00367445">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6EC68BD0" w14:textId="77777777" w:rsidR="001F702C" w:rsidRDefault="00BD18A1">
      <w:pPr>
        <w:pStyle w:val="1"/>
        <w:snapToGrid w:val="0"/>
        <w:spacing w:beforeLines="0" w:before="240" w:after="240"/>
        <w:rPr>
          <w:rFonts w:ascii="宋体" w:hAnsi="宋体"/>
          <w:szCs w:val="30"/>
        </w:rPr>
      </w:pPr>
      <w:bookmarkStart w:id="6" w:name="_Toc140049407"/>
      <w:r>
        <w:rPr>
          <w:rFonts w:ascii="Times New Roman" w:hAnsi="Times New Roman"/>
          <w:sz w:val="30"/>
        </w:rPr>
        <w:lastRenderedPageBreak/>
        <w:t>三、基金管理人</w:t>
      </w:r>
      <w:bookmarkEnd w:id="6"/>
    </w:p>
    <w:p w14:paraId="51EE9CFA"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（一）基金管理人概况</w:t>
      </w:r>
    </w:p>
    <w:p w14:paraId="4A090ABF"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名称：交银施罗德基金管理有限公司</w:t>
      </w:r>
    </w:p>
    <w:p w14:paraId="57EE18C1"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住所：中国(上海)自由贸易试验区银城中路188号交通银行大楼二层（裙）</w:t>
      </w:r>
    </w:p>
    <w:p w14:paraId="64387602"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w:t>
      </w:r>
      <w:proofErr w:type="gramStart"/>
      <w:r>
        <w:rPr>
          <w:rFonts w:ascii="宋体" w:hAnsi="宋体"/>
          <w:sz w:val="24"/>
        </w:rPr>
        <w:t>新区世纪</w:t>
      </w:r>
      <w:proofErr w:type="gramEnd"/>
      <w:r>
        <w:rPr>
          <w:rFonts w:ascii="宋体" w:hAnsi="宋体"/>
          <w:sz w:val="24"/>
        </w:rPr>
        <w:t>大道8号国</w:t>
      </w:r>
      <w:proofErr w:type="gramStart"/>
      <w:r>
        <w:rPr>
          <w:rFonts w:ascii="宋体" w:hAnsi="宋体"/>
          <w:sz w:val="24"/>
        </w:rPr>
        <w:t>金中心</w:t>
      </w:r>
      <w:proofErr w:type="gramEnd"/>
      <w:r>
        <w:rPr>
          <w:rFonts w:ascii="宋体" w:hAnsi="宋体"/>
          <w:sz w:val="24"/>
        </w:rPr>
        <w:t>二期21-22楼</w:t>
      </w:r>
    </w:p>
    <w:p w14:paraId="65141905"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邮政编码：200120</w:t>
      </w:r>
    </w:p>
    <w:p w14:paraId="4F10BD0B"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法定代表人：阮红</w:t>
      </w:r>
    </w:p>
    <w:p w14:paraId="50311BDF"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成立时间：2005年8月4日</w:t>
      </w:r>
    </w:p>
    <w:p w14:paraId="070721CB"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注册资本：2亿元人民币</w:t>
      </w:r>
    </w:p>
    <w:p w14:paraId="37A80BD0"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存续期间：持续经营</w:t>
      </w:r>
    </w:p>
    <w:p w14:paraId="44DA04B4"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联系人：郭佳敏</w:t>
      </w:r>
    </w:p>
    <w:p w14:paraId="7AF33492"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电话：（021）61055050</w:t>
      </w:r>
    </w:p>
    <w:p w14:paraId="5F34B44E"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传真：（021）61055034</w:t>
      </w:r>
    </w:p>
    <w:p w14:paraId="03F60A80"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交银施罗德基金管理有限公司（以下简称“公司”）经中国证监会证</w:t>
      </w:r>
      <w:proofErr w:type="gramStart"/>
      <w:r>
        <w:rPr>
          <w:rFonts w:ascii="宋体" w:hAnsi="宋体"/>
          <w:sz w:val="24"/>
        </w:rPr>
        <w:t>监基金字</w:t>
      </w:r>
      <w:proofErr w:type="gramEnd"/>
      <w:r>
        <w:rPr>
          <w:rFonts w:ascii="宋体" w:hAnsi="宋体"/>
          <w:sz w:val="24"/>
        </w:rPr>
        <w:t>[2005]128号文批准设立。公司股权结构如下：</w:t>
      </w:r>
    </w:p>
    <w:tbl>
      <w:tblPr>
        <w:tblW w:w="5000" w:type="pct"/>
        <w:tblCellMar>
          <w:left w:w="0" w:type="dxa"/>
          <w:right w:w="0" w:type="dxa"/>
        </w:tblCellMar>
        <w:tblLook w:val="0000" w:firstRow="0" w:lastRow="0" w:firstColumn="0" w:lastColumn="0" w:noHBand="0" w:noVBand="0"/>
      </w:tblPr>
      <w:tblGrid>
        <w:gridCol w:w="4325"/>
        <w:gridCol w:w="4325"/>
      </w:tblGrid>
      <w:tr w:rsidR="001F702C" w14:paraId="55D37720"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10FD9523" w14:textId="77777777" w:rsidR="001F702C" w:rsidRDefault="00BD18A1">
            <w:pPr>
              <w:widowControl/>
              <w:snapToGrid w:val="0"/>
              <w:jc w:val="center"/>
              <w:rPr>
                <w:rFonts w:ascii="宋体" w:hAnsi="宋体"/>
                <w:color w:val="000000"/>
                <w:kern w:val="0"/>
                <w:sz w:val="25"/>
                <w:szCs w:val="24"/>
              </w:rPr>
            </w:pPr>
            <w:r>
              <w:rPr>
                <w:rFonts w:ascii="Times New Roman" w:hAnsi="Times New Roman"/>
                <w:color w:val="000000"/>
                <w:kern w:val="0"/>
                <w:sz w:val="25"/>
                <w:szCs w:val="24"/>
              </w:rPr>
              <w:t>股东名称</w:t>
            </w:r>
          </w:p>
        </w:tc>
        <w:tc>
          <w:tcPr>
            <w:tcW w:w="750" w:type="pct"/>
            <w:tcBorders>
              <w:top w:val="single" w:sz="4" w:space="0" w:color="auto"/>
              <w:left w:val="single" w:sz="4" w:space="0" w:color="auto"/>
              <w:bottom w:val="single" w:sz="4" w:space="0" w:color="auto"/>
              <w:right w:val="single" w:sz="4" w:space="0" w:color="auto"/>
            </w:tcBorders>
            <w:vAlign w:val="center"/>
          </w:tcPr>
          <w:p w14:paraId="6B4F21E0" w14:textId="77777777" w:rsidR="001F702C" w:rsidRDefault="00BD18A1">
            <w:pPr>
              <w:widowControl/>
              <w:snapToGrid w:val="0"/>
              <w:jc w:val="center"/>
              <w:rPr>
                <w:rFonts w:ascii="宋体" w:hAnsi="宋体"/>
                <w:color w:val="000000"/>
                <w:kern w:val="0"/>
                <w:sz w:val="25"/>
                <w:szCs w:val="24"/>
              </w:rPr>
            </w:pPr>
            <w:r>
              <w:rPr>
                <w:rFonts w:ascii="Times New Roman" w:hAnsi="Times New Roman"/>
                <w:color w:val="000000"/>
                <w:kern w:val="0"/>
                <w:sz w:val="25"/>
                <w:szCs w:val="24"/>
              </w:rPr>
              <w:t>股权比例</w:t>
            </w:r>
          </w:p>
        </w:tc>
      </w:tr>
      <w:tr w:rsidR="001F702C" w14:paraId="12ED68CF"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2C8DDE11" w14:textId="77777777" w:rsidR="001F702C" w:rsidRDefault="00BD18A1">
            <w:pPr>
              <w:widowControl/>
              <w:snapToGrid w:val="0"/>
              <w:jc w:val="left"/>
              <w:rPr>
                <w:rFonts w:ascii="宋体" w:hAnsi="宋体"/>
                <w:color w:val="000000"/>
                <w:kern w:val="0"/>
                <w:sz w:val="25"/>
                <w:szCs w:val="24"/>
              </w:rPr>
            </w:pPr>
            <w:r>
              <w:rPr>
                <w:rFonts w:ascii="Times New Roman" w:hAnsi="Times New Roman"/>
                <w:color w:val="000000"/>
                <w:kern w:val="0"/>
                <w:sz w:val="25"/>
                <w:szCs w:val="24"/>
              </w:rPr>
              <w:t>交通银行股份有限公司（以下使用全称或其简称</w:t>
            </w:r>
            <w:r>
              <w:rPr>
                <w:rFonts w:ascii="Times New Roman" w:hAnsi="Times New Roman"/>
                <w:color w:val="000000"/>
                <w:kern w:val="0"/>
                <w:sz w:val="25"/>
                <w:szCs w:val="24"/>
              </w:rPr>
              <w:t>“</w:t>
            </w:r>
            <w:r>
              <w:rPr>
                <w:rFonts w:ascii="Times New Roman" w:hAnsi="Times New Roman"/>
                <w:color w:val="000000"/>
                <w:kern w:val="0"/>
                <w:sz w:val="25"/>
                <w:szCs w:val="24"/>
              </w:rPr>
              <w:t>交通银行</w:t>
            </w:r>
            <w:r>
              <w:rPr>
                <w:rFonts w:ascii="Times New Roman" w:hAnsi="Times New Roman"/>
                <w:color w:val="000000"/>
                <w:kern w:val="0"/>
                <w:sz w:val="25"/>
                <w:szCs w:val="24"/>
              </w:rPr>
              <w:t>”</w:t>
            </w:r>
            <w:r>
              <w:rPr>
                <w:rFonts w:ascii="Times New Roman" w:hAnsi="Times New Roman"/>
                <w:color w:val="000000"/>
                <w:kern w:val="0"/>
                <w:sz w:val="25"/>
                <w:szCs w:val="24"/>
              </w:rPr>
              <w:t>）</w:t>
            </w:r>
          </w:p>
        </w:tc>
        <w:tc>
          <w:tcPr>
            <w:tcW w:w="750" w:type="pct"/>
            <w:tcBorders>
              <w:top w:val="single" w:sz="4" w:space="0" w:color="auto"/>
              <w:left w:val="single" w:sz="4" w:space="0" w:color="auto"/>
              <w:bottom w:val="single" w:sz="4" w:space="0" w:color="auto"/>
              <w:right w:val="single" w:sz="4" w:space="0" w:color="auto"/>
            </w:tcBorders>
            <w:vAlign w:val="center"/>
          </w:tcPr>
          <w:p w14:paraId="598D0B0A" w14:textId="77777777" w:rsidR="001F702C" w:rsidRDefault="00BD18A1">
            <w:pPr>
              <w:widowControl/>
              <w:snapToGrid w:val="0"/>
              <w:jc w:val="center"/>
              <w:rPr>
                <w:rFonts w:ascii="宋体" w:hAnsi="宋体"/>
                <w:color w:val="000000"/>
                <w:kern w:val="0"/>
                <w:sz w:val="25"/>
                <w:szCs w:val="24"/>
              </w:rPr>
            </w:pPr>
            <w:r>
              <w:rPr>
                <w:rFonts w:ascii="Times New Roman" w:hAnsi="Times New Roman"/>
                <w:color w:val="000000"/>
                <w:kern w:val="0"/>
                <w:sz w:val="25"/>
                <w:szCs w:val="24"/>
              </w:rPr>
              <w:t>65%</w:t>
            </w:r>
          </w:p>
        </w:tc>
      </w:tr>
      <w:tr w:rsidR="001F702C" w14:paraId="08A5CA2C"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38DA8F70" w14:textId="77777777" w:rsidR="001F702C" w:rsidRDefault="00BD18A1">
            <w:pPr>
              <w:widowControl/>
              <w:snapToGrid w:val="0"/>
              <w:jc w:val="left"/>
              <w:rPr>
                <w:rFonts w:ascii="宋体" w:hAnsi="宋体"/>
                <w:color w:val="000000"/>
                <w:kern w:val="0"/>
                <w:sz w:val="25"/>
                <w:szCs w:val="24"/>
              </w:rPr>
            </w:pPr>
            <w:r>
              <w:rPr>
                <w:rFonts w:ascii="Times New Roman" w:hAnsi="Times New Roman"/>
                <w:color w:val="000000"/>
                <w:kern w:val="0"/>
                <w:sz w:val="25"/>
                <w:szCs w:val="24"/>
              </w:rPr>
              <w:t>施罗德投资管理有限公司</w:t>
            </w:r>
          </w:p>
        </w:tc>
        <w:tc>
          <w:tcPr>
            <w:tcW w:w="750" w:type="pct"/>
            <w:tcBorders>
              <w:top w:val="single" w:sz="4" w:space="0" w:color="auto"/>
              <w:left w:val="single" w:sz="4" w:space="0" w:color="auto"/>
              <w:bottom w:val="single" w:sz="4" w:space="0" w:color="auto"/>
              <w:right w:val="single" w:sz="4" w:space="0" w:color="auto"/>
            </w:tcBorders>
            <w:vAlign w:val="center"/>
          </w:tcPr>
          <w:p w14:paraId="33BD850B" w14:textId="77777777" w:rsidR="001F702C" w:rsidRDefault="00BD18A1">
            <w:pPr>
              <w:widowControl/>
              <w:snapToGrid w:val="0"/>
              <w:jc w:val="center"/>
              <w:rPr>
                <w:rFonts w:ascii="宋体" w:hAnsi="宋体"/>
                <w:color w:val="000000"/>
                <w:kern w:val="0"/>
                <w:sz w:val="25"/>
                <w:szCs w:val="24"/>
              </w:rPr>
            </w:pPr>
            <w:r>
              <w:rPr>
                <w:rFonts w:ascii="Times New Roman" w:hAnsi="Times New Roman"/>
                <w:color w:val="000000"/>
                <w:kern w:val="0"/>
                <w:sz w:val="25"/>
                <w:szCs w:val="24"/>
              </w:rPr>
              <w:t>30%</w:t>
            </w:r>
          </w:p>
        </w:tc>
      </w:tr>
      <w:tr w:rsidR="001F702C" w14:paraId="0F6B9DBD"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5B499EEC" w14:textId="77777777" w:rsidR="001F702C" w:rsidRDefault="00BD18A1">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中国国际海运集装箱（集团）股份有限公司</w:t>
            </w:r>
          </w:p>
        </w:tc>
        <w:tc>
          <w:tcPr>
            <w:tcW w:w="750" w:type="pct"/>
            <w:tcBorders>
              <w:top w:val="single" w:sz="4" w:space="0" w:color="auto"/>
              <w:left w:val="single" w:sz="4" w:space="0" w:color="auto"/>
              <w:bottom w:val="single" w:sz="4" w:space="0" w:color="auto"/>
              <w:right w:val="single" w:sz="4" w:space="0" w:color="auto"/>
            </w:tcBorders>
            <w:vAlign w:val="center"/>
          </w:tcPr>
          <w:p w14:paraId="3262B2A1" w14:textId="77777777" w:rsidR="001F702C" w:rsidRDefault="00BD18A1">
            <w:pPr>
              <w:widowControl/>
              <w:snapToGrid w:val="0"/>
              <w:jc w:val="center"/>
              <w:rPr>
                <w:rFonts w:ascii="宋体" w:hAnsi="宋体"/>
                <w:color w:val="000000"/>
                <w:kern w:val="0"/>
                <w:sz w:val="25"/>
                <w:szCs w:val="24"/>
              </w:rPr>
            </w:pPr>
            <w:r>
              <w:rPr>
                <w:rFonts w:ascii="Times New Roman" w:hAnsi="Times New Roman"/>
                <w:color w:val="000000"/>
                <w:kern w:val="0"/>
                <w:sz w:val="25"/>
                <w:szCs w:val="24"/>
              </w:rPr>
              <w:t>5%</w:t>
            </w:r>
          </w:p>
        </w:tc>
      </w:tr>
    </w:tbl>
    <w:p w14:paraId="2E8F0792"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（二）主要成员情况</w:t>
      </w:r>
    </w:p>
    <w:p w14:paraId="208957B6" w14:textId="77777777" w:rsidR="00EB17D2" w:rsidRPr="00EB17D2" w:rsidRDefault="00EB17D2" w:rsidP="00EB17D2">
      <w:pPr>
        <w:autoSpaceDE w:val="0"/>
        <w:autoSpaceDN w:val="0"/>
        <w:adjustRightInd w:val="0"/>
        <w:snapToGrid w:val="0"/>
        <w:spacing w:line="360" w:lineRule="auto"/>
        <w:ind w:firstLineChars="200" w:firstLine="480"/>
        <w:jc w:val="left"/>
        <w:rPr>
          <w:rFonts w:ascii="宋体" w:hAnsi="宋体"/>
          <w:sz w:val="24"/>
        </w:rPr>
      </w:pPr>
      <w:r w:rsidRPr="00EB17D2">
        <w:rPr>
          <w:rFonts w:ascii="宋体" w:hAnsi="宋体" w:hint="eastAsia"/>
          <w:sz w:val="24"/>
        </w:rPr>
        <w:t>1、基金管理人董事会成员</w:t>
      </w:r>
    </w:p>
    <w:p w14:paraId="4FF6AEAB" w14:textId="77777777" w:rsidR="00EB17D2" w:rsidRPr="00EB17D2" w:rsidRDefault="00EB17D2" w:rsidP="00EB17D2">
      <w:pPr>
        <w:autoSpaceDE w:val="0"/>
        <w:autoSpaceDN w:val="0"/>
        <w:adjustRightInd w:val="0"/>
        <w:snapToGrid w:val="0"/>
        <w:spacing w:line="360" w:lineRule="auto"/>
        <w:ind w:firstLineChars="200" w:firstLine="480"/>
        <w:jc w:val="left"/>
        <w:rPr>
          <w:rFonts w:ascii="宋体" w:hAnsi="宋体"/>
          <w:sz w:val="24"/>
        </w:rPr>
      </w:pPr>
      <w:r w:rsidRPr="00EB17D2">
        <w:rPr>
          <w:rFonts w:ascii="宋体" w:hAnsi="宋体" w:hint="eastAsia"/>
          <w:sz w:val="24"/>
        </w:rPr>
        <w:t>阮红女士，董事长，博士。历任交通银行办公室副处长、处长，交通银行海外机构管理部副总经理、总经理，交通银行上海分行副行长，交通银行资产托管部总经理，交通银行投资管理部总经理，交银施罗德基金管理有限公司总经理。</w:t>
      </w:r>
    </w:p>
    <w:p w14:paraId="4597AFE3" w14:textId="77777777" w:rsidR="00EB17D2" w:rsidRPr="00EB17D2" w:rsidRDefault="00EB17D2" w:rsidP="00EB17D2">
      <w:pPr>
        <w:autoSpaceDE w:val="0"/>
        <w:autoSpaceDN w:val="0"/>
        <w:adjustRightInd w:val="0"/>
        <w:snapToGrid w:val="0"/>
        <w:spacing w:line="360" w:lineRule="auto"/>
        <w:ind w:firstLineChars="200" w:firstLine="480"/>
        <w:jc w:val="left"/>
        <w:rPr>
          <w:rFonts w:ascii="宋体" w:hAnsi="宋体"/>
          <w:sz w:val="24"/>
        </w:rPr>
      </w:pPr>
      <w:r w:rsidRPr="00EB17D2">
        <w:rPr>
          <w:rFonts w:ascii="宋体" w:hAnsi="宋体" w:hint="eastAsia"/>
          <w:sz w:val="24"/>
        </w:rPr>
        <w:t>童洁萍女士，董事，硕士。现任交通银行总行个人金融业务部副总经理。历任交通银行南京分行个人金融业务部副高级经理、江苏省分行个人金融业务部副总经理、总经理、玄武支行行长。</w:t>
      </w:r>
    </w:p>
    <w:p w14:paraId="6743622B" w14:textId="77777777" w:rsidR="00EB17D2" w:rsidRPr="00EB17D2" w:rsidRDefault="00EB17D2" w:rsidP="00EB17D2">
      <w:pPr>
        <w:autoSpaceDE w:val="0"/>
        <w:autoSpaceDN w:val="0"/>
        <w:adjustRightInd w:val="0"/>
        <w:snapToGrid w:val="0"/>
        <w:spacing w:line="360" w:lineRule="auto"/>
        <w:ind w:firstLineChars="200" w:firstLine="480"/>
        <w:jc w:val="left"/>
        <w:rPr>
          <w:rFonts w:ascii="宋体" w:hAnsi="宋体"/>
          <w:sz w:val="24"/>
        </w:rPr>
      </w:pPr>
      <w:r w:rsidRPr="00EB17D2">
        <w:rPr>
          <w:rFonts w:ascii="宋体" w:hAnsi="宋体" w:hint="eastAsia"/>
          <w:sz w:val="24"/>
        </w:rPr>
        <w:t>王贤家先生，董事，学士。现任交通银行总行风险管理部/</w:t>
      </w:r>
      <w:proofErr w:type="gramStart"/>
      <w:r w:rsidRPr="00EB17D2">
        <w:rPr>
          <w:rFonts w:ascii="宋体" w:hAnsi="宋体" w:hint="eastAsia"/>
          <w:sz w:val="24"/>
        </w:rPr>
        <w:t>内控案防</w:t>
      </w:r>
      <w:proofErr w:type="gramEnd"/>
      <w:r w:rsidRPr="00EB17D2">
        <w:rPr>
          <w:rFonts w:ascii="宋体" w:hAnsi="宋体" w:hint="eastAsia"/>
          <w:sz w:val="24"/>
        </w:rPr>
        <w:t>办副总经理。历任交通银行总行国际业务部外汇资金处交易员、澳门分行资金部主管、总行</w:t>
      </w:r>
      <w:r w:rsidRPr="00EB17D2">
        <w:rPr>
          <w:rFonts w:ascii="宋体" w:hAnsi="宋体" w:hint="eastAsia"/>
          <w:sz w:val="24"/>
        </w:rPr>
        <w:lastRenderedPageBreak/>
        <w:t>金融市场部债券投资部副高级经理、外汇交易部高级经理。</w:t>
      </w:r>
    </w:p>
    <w:p w14:paraId="1F19E922" w14:textId="77777777" w:rsidR="00EB17D2" w:rsidRPr="00EB17D2" w:rsidRDefault="00EB17D2" w:rsidP="00EB17D2">
      <w:pPr>
        <w:autoSpaceDE w:val="0"/>
        <w:autoSpaceDN w:val="0"/>
        <w:adjustRightInd w:val="0"/>
        <w:snapToGrid w:val="0"/>
        <w:spacing w:line="360" w:lineRule="auto"/>
        <w:ind w:firstLineChars="200" w:firstLine="480"/>
        <w:jc w:val="left"/>
        <w:rPr>
          <w:rFonts w:ascii="宋体" w:hAnsi="宋体"/>
          <w:sz w:val="24"/>
        </w:rPr>
      </w:pPr>
      <w:r w:rsidRPr="00EB17D2">
        <w:rPr>
          <w:rFonts w:ascii="宋体" w:hAnsi="宋体" w:hint="eastAsia"/>
          <w:sz w:val="24"/>
        </w:rPr>
        <w:t>谢卫先生，董事，总经理，博士，高级经济师，第十、十一、十二届民盟中央委员、第十一、十二、十三届全国政协委员。现任交银施罗德基金管理有限公司总经理，兼任交银施罗德资产管理(香港)有限公司董事长、交银施罗德资产管理有限公司董事长。历任中央财经大学教师，中国社会科学院财贸所助理研究员，中国电力信托投资公司基金部副总经理，中国人保信托投资公司证券部副总经理、总经理，北京证券营业部总经理、证券总部副总经理兼北方部总经理，富国基金管理有限公司副总经理，交银施罗德基金管理有限公司副总经理。</w:t>
      </w:r>
    </w:p>
    <w:p w14:paraId="40118B34" w14:textId="77777777" w:rsidR="00EB17D2" w:rsidRPr="00EB17D2" w:rsidRDefault="00EB17D2" w:rsidP="00EB17D2">
      <w:pPr>
        <w:autoSpaceDE w:val="0"/>
        <w:autoSpaceDN w:val="0"/>
        <w:adjustRightInd w:val="0"/>
        <w:snapToGrid w:val="0"/>
        <w:spacing w:line="360" w:lineRule="auto"/>
        <w:ind w:firstLineChars="200" w:firstLine="480"/>
        <w:jc w:val="left"/>
        <w:rPr>
          <w:rFonts w:ascii="宋体" w:hAnsi="宋体"/>
          <w:sz w:val="24"/>
        </w:rPr>
      </w:pPr>
      <w:r w:rsidRPr="00EB17D2">
        <w:rPr>
          <w:rFonts w:ascii="宋体" w:hAnsi="宋体" w:hint="eastAsia"/>
          <w:sz w:val="24"/>
        </w:rPr>
        <w:t>杜伟麒（Chris Durack）先生，董事，硕士。现任施罗德投资亚太区行政总裁。历任施罗德投资澳大利亚董事</w:t>
      </w:r>
      <w:proofErr w:type="gramStart"/>
      <w:r w:rsidRPr="00EB17D2">
        <w:rPr>
          <w:rFonts w:ascii="宋体" w:hAnsi="宋体" w:hint="eastAsia"/>
          <w:sz w:val="24"/>
        </w:rPr>
        <w:t>兼产品</w:t>
      </w:r>
      <w:proofErr w:type="gramEnd"/>
      <w:r w:rsidRPr="00EB17D2">
        <w:rPr>
          <w:rFonts w:ascii="宋体" w:hAnsi="宋体" w:hint="eastAsia"/>
          <w:sz w:val="24"/>
        </w:rPr>
        <w:t>及分销主管、香港行政总裁兼亚太区机构业务主管、澳大利亚行政总裁兼亚太区联席主管等职。</w:t>
      </w:r>
    </w:p>
    <w:p w14:paraId="7C161929" w14:textId="77777777" w:rsidR="00EB17D2" w:rsidRPr="00EB17D2" w:rsidRDefault="00EB17D2" w:rsidP="00EB17D2">
      <w:pPr>
        <w:autoSpaceDE w:val="0"/>
        <w:autoSpaceDN w:val="0"/>
        <w:adjustRightInd w:val="0"/>
        <w:snapToGrid w:val="0"/>
        <w:spacing w:line="360" w:lineRule="auto"/>
        <w:ind w:firstLineChars="200" w:firstLine="480"/>
        <w:jc w:val="left"/>
        <w:rPr>
          <w:rFonts w:ascii="宋体" w:hAnsi="宋体"/>
          <w:sz w:val="24"/>
        </w:rPr>
      </w:pPr>
      <w:r w:rsidRPr="00EB17D2">
        <w:rPr>
          <w:rFonts w:ascii="宋体" w:hAnsi="宋体" w:hint="eastAsia"/>
          <w:sz w:val="24"/>
        </w:rPr>
        <w:t>章骏翔先生，副董事长，硕士，美国特许金融分析师(CFA)持证人。现任施罗德投资管理(香港)有限公司亚洲投资风险主管。历任渣打银行（香港）交易风险监控，华宝兴业基金管理有限公司风险管理部总经理，法国安盛投资管理（香港）有限公司亚洲风险经理等职。</w:t>
      </w:r>
    </w:p>
    <w:p w14:paraId="76D040D6" w14:textId="77777777" w:rsidR="00EB17D2" w:rsidRPr="00EB17D2" w:rsidRDefault="00EB17D2" w:rsidP="00EB17D2">
      <w:pPr>
        <w:autoSpaceDE w:val="0"/>
        <w:autoSpaceDN w:val="0"/>
        <w:adjustRightInd w:val="0"/>
        <w:snapToGrid w:val="0"/>
        <w:spacing w:line="360" w:lineRule="auto"/>
        <w:ind w:firstLineChars="200" w:firstLine="480"/>
        <w:jc w:val="left"/>
        <w:rPr>
          <w:rFonts w:ascii="宋体" w:hAnsi="宋体"/>
          <w:sz w:val="24"/>
        </w:rPr>
      </w:pPr>
      <w:r w:rsidRPr="00EB17D2">
        <w:rPr>
          <w:rFonts w:ascii="宋体" w:hAnsi="宋体" w:hint="eastAsia"/>
          <w:sz w:val="24"/>
        </w:rPr>
        <w:t>郝爱群女士，独立董事，学士。历任人民银行稽核司副处长、处长，合作司调研员，</w:t>
      </w:r>
      <w:proofErr w:type="gramStart"/>
      <w:r w:rsidRPr="00EB17D2">
        <w:rPr>
          <w:rFonts w:ascii="宋体" w:hAnsi="宋体" w:hint="eastAsia"/>
          <w:sz w:val="24"/>
        </w:rPr>
        <w:t>非银司副</w:t>
      </w:r>
      <w:proofErr w:type="gramEnd"/>
      <w:r w:rsidRPr="00EB17D2">
        <w:rPr>
          <w:rFonts w:ascii="宋体" w:hAnsi="宋体" w:hint="eastAsia"/>
          <w:sz w:val="24"/>
        </w:rPr>
        <w:t>巡视员、副司长，银监会</w:t>
      </w:r>
      <w:proofErr w:type="gramStart"/>
      <w:r w:rsidRPr="00EB17D2">
        <w:rPr>
          <w:rFonts w:ascii="宋体" w:hAnsi="宋体" w:hint="eastAsia"/>
          <w:sz w:val="24"/>
        </w:rPr>
        <w:t>非银部副</w:t>
      </w:r>
      <w:proofErr w:type="gramEnd"/>
      <w:r w:rsidRPr="00EB17D2">
        <w:rPr>
          <w:rFonts w:ascii="宋体" w:hAnsi="宋体" w:hint="eastAsia"/>
          <w:sz w:val="24"/>
        </w:rPr>
        <w:t>主任，银行监管一部副主任、巡视员，汇金公司派出董事。</w:t>
      </w:r>
    </w:p>
    <w:p w14:paraId="2E545731" w14:textId="77777777" w:rsidR="00EB17D2" w:rsidRPr="00EB17D2" w:rsidRDefault="00EB17D2" w:rsidP="00EB17D2">
      <w:pPr>
        <w:autoSpaceDE w:val="0"/>
        <w:autoSpaceDN w:val="0"/>
        <w:adjustRightInd w:val="0"/>
        <w:snapToGrid w:val="0"/>
        <w:spacing w:line="360" w:lineRule="auto"/>
        <w:ind w:firstLineChars="200" w:firstLine="480"/>
        <w:jc w:val="left"/>
        <w:rPr>
          <w:rFonts w:ascii="宋体" w:hAnsi="宋体"/>
          <w:sz w:val="24"/>
        </w:rPr>
      </w:pPr>
      <w:r w:rsidRPr="00EB17D2">
        <w:rPr>
          <w:rFonts w:ascii="宋体" w:hAnsi="宋体" w:hint="eastAsia"/>
          <w:sz w:val="24"/>
        </w:rPr>
        <w:t>张子学先生，独立董事，博士。现任中国政法</w:t>
      </w:r>
      <w:proofErr w:type="gramStart"/>
      <w:r w:rsidRPr="00EB17D2">
        <w:rPr>
          <w:rFonts w:ascii="宋体" w:hAnsi="宋体" w:hint="eastAsia"/>
          <w:sz w:val="24"/>
        </w:rPr>
        <w:t>大学民商经济</w:t>
      </w:r>
      <w:proofErr w:type="gramEnd"/>
      <w:r w:rsidRPr="00EB17D2">
        <w:rPr>
          <w:rFonts w:ascii="宋体" w:hAnsi="宋体" w:hint="eastAsia"/>
          <w:sz w:val="24"/>
        </w:rPr>
        <w:t>法学院教授，兼任基金业协会自律监察委员会委员。历任证监会办公厅副处长、上市公司</w:t>
      </w:r>
      <w:proofErr w:type="gramStart"/>
      <w:r w:rsidRPr="00EB17D2">
        <w:rPr>
          <w:rFonts w:ascii="宋体" w:hAnsi="宋体" w:hint="eastAsia"/>
          <w:sz w:val="24"/>
        </w:rPr>
        <w:t>监管部</w:t>
      </w:r>
      <w:proofErr w:type="gramEnd"/>
      <w:r w:rsidRPr="00EB17D2">
        <w:rPr>
          <w:rFonts w:ascii="宋体" w:hAnsi="宋体" w:hint="eastAsia"/>
          <w:sz w:val="24"/>
        </w:rPr>
        <w:t>处长、行政处罚委员会专职委员、副主任审理员，兼任证监会上市公司并购重组审核委员会委员、行政复议委员会委员。</w:t>
      </w:r>
    </w:p>
    <w:p w14:paraId="74A1B99B" w14:textId="77777777" w:rsidR="00EB17D2" w:rsidRPr="00EB17D2" w:rsidRDefault="00EB17D2" w:rsidP="00EB17D2">
      <w:pPr>
        <w:autoSpaceDE w:val="0"/>
        <w:autoSpaceDN w:val="0"/>
        <w:adjustRightInd w:val="0"/>
        <w:snapToGrid w:val="0"/>
        <w:spacing w:line="360" w:lineRule="auto"/>
        <w:ind w:firstLineChars="200" w:firstLine="480"/>
        <w:jc w:val="left"/>
        <w:rPr>
          <w:rFonts w:ascii="宋体" w:hAnsi="宋体"/>
          <w:sz w:val="24"/>
        </w:rPr>
      </w:pPr>
      <w:r w:rsidRPr="00EB17D2">
        <w:rPr>
          <w:rFonts w:ascii="宋体" w:hAnsi="宋体" w:hint="eastAsia"/>
          <w:sz w:val="24"/>
        </w:rPr>
        <w:t>黎建强先生，独立董事，博士，教育部长</w:t>
      </w:r>
      <w:proofErr w:type="gramStart"/>
      <w:r w:rsidRPr="00EB17D2">
        <w:rPr>
          <w:rFonts w:ascii="宋体" w:hAnsi="宋体" w:hint="eastAsia"/>
          <w:sz w:val="24"/>
        </w:rPr>
        <w:t>江学者</w:t>
      </w:r>
      <w:proofErr w:type="gramEnd"/>
      <w:r w:rsidRPr="00EB17D2">
        <w:rPr>
          <w:rFonts w:ascii="宋体" w:hAnsi="宋体" w:hint="eastAsia"/>
          <w:sz w:val="24"/>
        </w:rPr>
        <w:t>讲座教授。现任香港大学工业工程系荣誉教授，亚洲风险</w:t>
      </w:r>
      <w:proofErr w:type="gramStart"/>
      <w:r w:rsidRPr="00EB17D2">
        <w:rPr>
          <w:rFonts w:ascii="宋体" w:hAnsi="宋体" w:hint="eastAsia"/>
          <w:sz w:val="24"/>
        </w:rPr>
        <w:t>及危机</w:t>
      </w:r>
      <w:proofErr w:type="gramEnd"/>
      <w:r w:rsidRPr="00EB17D2">
        <w:rPr>
          <w:rFonts w:ascii="宋体" w:hAnsi="宋体" w:hint="eastAsia"/>
          <w:sz w:val="24"/>
        </w:rPr>
        <w:t>管理协会主席，兼任深交所上市的中联重科集团独立非执行董事。历任香港城市大学管理科学讲座教授，湖南省政协委员并兼任湖南大学工商管理学院院长。</w:t>
      </w:r>
    </w:p>
    <w:p w14:paraId="7B5A6218" w14:textId="77777777" w:rsidR="00EB17D2" w:rsidRPr="00EB17D2" w:rsidRDefault="00EB17D2" w:rsidP="00EB17D2">
      <w:pPr>
        <w:autoSpaceDE w:val="0"/>
        <w:autoSpaceDN w:val="0"/>
        <w:adjustRightInd w:val="0"/>
        <w:snapToGrid w:val="0"/>
        <w:spacing w:line="360" w:lineRule="auto"/>
        <w:ind w:firstLineChars="200" w:firstLine="480"/>
        <w:jc w:val="left"/>
        <w:rPr>
          <w:rFonts w:ascii="宋体" w:hAnsi="宋体"/>
          <w:sz w:val="24"/>
        </w:rPr>
      </w:pPr>
      <w:r w:rsidRPr="00EB17D2">
        <w:rPr>
          <w:rFonts w:ascii="宋体" w:hAnsi="宋体" w:hint="eastAsia"/>
          <w:sz w:val="24"/>
        </w:rPr>
        <w:t>2、基金管理人监事会成员</w:t>
      </w:r>
    </w:p>
    <w:p w14:paraId="55723D69" w14:textId="77777777" w:rsidR="00EB17D2" w:rsidRPr="00EB17D2" w:rsidRDefault="00EB17D2" w:rsidP="00EB17D2">
      <w:pPr>
        <w:autoSpaceDE w:val="0"/>
        <w:autoSpaceDN w:val="0"/>
        <w:adjustRightInd w:val="0"/>
        <w:snapToGrid w:val="0"/>
        <w:spacing w:line="360" w:lineRule="auto"/>
        <w:ind w:firstLineChars="200" w:firstLine="480"/>
        <w:jc w:val="left"/>
        <w:rPr>
          <w:rFonts w:ascii="宋体" w:hAnsi="宋体"/>
          <w:sz w:val="24"/>
        </w:rPr>
      </w:pPr>
      <w:r w:rsidRPr="00EB17D2">
        <w:rPr>
          <w:rFonts w:ascii="宋体" w:hAnsi="宋体" w:hint="eastAsia"/>
          <w:sz w:val="24"/>
        </w:rPr>
        <w:t>梅津芝女士，监事长，学士。高级经济师、审计师。现任交通银行工会办公室主任。历任交通银行山西省分行个人金融业务部高级经理，交通银行山西省分行副行长，交通银行个人金融业务部副总经理、私人银行部总经理。</w:t>
      </w:r>
    </w:p>
    <w:p w14:paraId="1AAAC761" w14:textId="77777777" w:rsidR="00EB17D2" w:rsidRPr="00EB17D2" w:rsidRDefault="00EB17D2" w:rsidP="00EB17D2">
      <w:pPr>
        <w:autoSpaceDE w:val="0"/>
        <w:autoSpaceDN w:val="0"/>
        <w:adjustRightInd w:val="0"/>
        <w:snapToGrid w:val="0"/>
        <w:spacing w:line="360" w:lineRule="auto"/>
        <w:ind w:firstLineChars="200" w:firstLine="480"/>
        <w:jc w:val="left"/>
        <w:rPr>
          <w:rFonts w:ascii="宋体" w:hAnsi="宋体"/>
          <w:sz w:val="24"/>
        </w:rPr>
      </w:pPr>
      <w:r w:rsidRPr="00EB17D2">
        <w:rPr>
          <w:rFonts w:ascii="宋体" w:hAnsi="宋体" w:hint="eastAsia"/>
          <w:sz w:val="24"/>
        </w:rPr>
        <w:lastRenderedPageBreak/>
        <w:t>林凯珊女士，监事，硕士。现任施罗德投资管理（香港）有限公司中国内地及中国香港法律部主管。历任香港证券及期货事务监察委员会发牌科经理、的</w:t>
      </w:r>
      <w:proofErr w:type="gramStart"/>
      <w:r w:rsidRPr="00EB17D2">
        <w:rPr>
          <w:rFonts w:ascii="宋体" w:hAnsi="宋体" w:hint="eastAsia"/>
          <w:sz w:val="24"/>
        </w:rPr>
        <w:t>近律师</w:t>
      </w:r>
      <w:proofErr w:type="gramEnd"/>
      <w:r w:rsidRPr="00EB17D2">
        <w:rPr>
          <w:rFonts w:ascii="宋体" w:hAnsi="宋体" w:hint="eastAsia"/>
          <w:sz w:val="24"/>
        </w:rPr>
        <w:t>行律师。</w:t>
      </w:r>
    </w:p>
    <w:p w14:paraId="24AF8CBC" w14:textId="77777777" w:rsidR="00EB17D2" w:rsidRPr="00EB17D2" w:rsidRDefault="00EB17D2" w:rsidP="00EB17D2">
      <w:pPr>
        <w:autoSpaceDE w:val="0"/>
        <w:autoSpaceDN w:val="0"/>
        <w:adjustRightInd w:val="0"/>
        <w:snapToGrid w:val="0"/>
        <w:spacing w:line="360" w:lineRule="auto"/>
        <w:ind w:firstLineChars="200" w:firstLine="480"/>
        <w:jc w:val="left"/>
        <w:rPr>
          <w:rFonts w:ascii="宋体" w:hAnsi="宋体"/>
          <w:sz w:val="24"/>
        </w:rPr>
      </w:pPr>
      <w:r w:rsidRPr="00EB17D2">
        <w:rPr>
          <w:rFonts w:ascii="宋体" w:hAnsi="宋体" w:hint="eastAsia"/>
          <w:sz w:val="24"/>
        </w:rPr>
        <w:t>刘峥先生，监事，硕士。现任交银施罗德基金管理有限公司综合管理部总经理。历任交通银行上海市分行管理培训生，交通银行总行战略投资部高级投资并购经理，交银施罗德基金管理有限公司总裁办公室高级综合管理经理、副总经理。</w:t>
      </w:r>
    </w:p>
    <w:p w14:paraId="7DB6E07C" w14:textId="77777777" w:rsidR="00EB17D2" w:rsidRPr="00EB17D2" w:rsidRDefault="00EB17D2" w:rsidP="00EB17D2">
      <w:pPr>
        <w:autoSpaceDE w:val="0"/>
        <w:autoSpaceDN w:val="0"/>
        <w:adjustRightInd w:val="0"/>
        <w:snapToGrid w:val="0"/>
        <w:spacing w:line="360" w:lineRule="auto"/>
        <w:ind w:firstLineChars="200" w:firstLine="480"/>
        <w:jc w:val="left"/>
        <w:rPr>
          <w:rFonts w:ascii="宋体" w:hAnsi="宋体"/>
          <w:sz w:val="24"/>
        </w:rPr>
      </w:pPr>
      <w:r w:rsidRPr="00EB17D2">
        <w:rPr>
          <w:rFonts w:ascii="宋体" w:hAnsi="宋体" w:hint="eastAsia"/>
          <w:sz w:val="24"/>
        </w:rPr>
        <w:t>黄伟峰先生，监事，硕士。现任交银施罗德基金管理有限公司高级专家、市场总监。历任平安人寿保险公司上海分公司行政督导、营销管理经理，交银施罗德基金管理有限公司行政部总经理助理、西部营销中心总经理、机构理财部（上海）总经理</w:t>
      </w:r>
      <w:proofErr w:type="gramStart"/>
      <w:r w:rsidRPr="00EB17D2">
        <w:rPr>
          <w:rFonts w:ascii="宋体" w:hAnsi="宋体" w:hint="eastAsia"/>
          <w:sz w:val="24"/>
        </w:rPr>
        <w:t>兼产品</w:t>
      </w:r>
      <w:proofErr w:type="gramEnd"/>
      <w:r w:rsidRPr="00EB17D2">
        <w:rPr>
          <w:rFonts w:ascii="宋体" w:hAnsi="宋体" w:hint="eastAsia"/>
          <w:sz w:val="24"/>
        </w:rPr>
        <w:t>开发部总经理。</w:t>
      </w:r>
    </w:p>
    <w:p w14:paraId="6BCEED3B" w14:textId="77777777" w:rsidR="00EB17D2" w:rsidRPr="00EB17D2" w:rsidRDefault="00EB17D2" w:rsidP="00EB17D2">
      <w:pPr>
        <w:autoSpaceDE w:val="0"/>
        <w:autoSpaceDN w:val="0"/>
        <w:adjustRightInd w:val="0"/>
        <w:snapToGrid w:val="0"/>
        <w:spacing w:line="360" w:lineRule="auto"/>
        <w:ind w:firstLineChars="200" w:firstLine="480"/>
        <w:jc w:val="left"/>
        <w:rPr>
          <w:rFonts w:ascii="宋体" w:hAnsi="宋体"/>
          <w:sz w:val="24"/>
        </w:rPr>
      </w:pPr>
      <w:r w:rsidRPr="00EB17D2">
        <w:rPr>
          <w:rFonts w:ascii="宋体" w:hAnsi="宋体" w:hint="eastAsia"/>
          <w:sz w:val="24"/>
        </w:rPr>
        <w:t>3、基金管理人高级管理人员</w:t>
      </w:r>
    </w:p>
    <w:p w14:paraId="7C6FD7C2" w14:textId="77777777" w:rsidR="00EB17D2" w:rsidRPr="00EB17D2" w:rsidRDefault="00EB17D2" w:rsidP="00EB17D2">
      <w:pPr>
        <w:autoSpaceDE w:val="0"/>
        <w:autoSpaceDN w:val="0"/>
        <w:adjustRightInd w:val="0"/>
        <w:snapToGrid w:val="0"/>
        <w:spacing w:line="360" w:lineRule="auto"/>
        <w:ind w:firstLineChars="200" w:firstLine="480"/>
        <w:jc w:val="left"/>
        <w:rPr>
          <w:rFonts w:ascii="宋体" w:hAnsi="宋体"/>
          <w:sz w:val="24"/>
        </w:rPr>
      </w:pPr>
      <w:r w:rsidRPr="00EB17D2">
        <w:rPr>
          <w:rFonts w:ascii="宋体" w:hAnsi="宋体" w:hint="eastAsia"/>
          <w:sz w:val="24"/>
        </w:rPr>
        <w:t>谢卫先生，总经理。简历同上。</w:t>
      </w:r>
    </w:p>
    <w:p w14:paraId="69B519E5" w14:textId="77777777" w:rsidR="00EB17D2" w:rsidRPr="00EB17D2" w:rsidRDefault="00EB17D2" w:rsidP="00EB17D2">
      <w:pPr>
        <w:autoSpaceDE w:val="0"/>
        <w:autoSpaceDN w:val="0"/>
        <w:adjustRightInd w:val="0"/>
        <w:snapToGrid w:val="0"/>
        <w:spacing w:line="360" w:lineRule="auto"/>
        <w:ind w:firstLineChars="200" w:firstLine="480"/>
        <w:jc w:val="left"/>
        <w:rPr>
          <w:rFonts w:ascii="宋体" w:hAnsi="宋体"/>
          <w:sz w:val="24"/>
        </w:rPr>
      </w:pPr>
      <w:r w:rsidRPr="00EB17D2">
        <w:rPr>
          <w:rFonts w:ascii="宋体" w:hAnsi="宋体" w:hint="eastAsia"/>
          <w:sz w:val="24"/>
        </w:rPr>
        <w:t>印皓女士，副总经理，硕士。历任交通银行研究开发部副主管体改规划员，交通银行市场营销部副主管市场规划员、主管市场规划员，交通银行公司业务部副高级经理、高级经理，交通银行机构业务部高级经理、总经理助理、副总经理，交银施罗德资产管理有限公司董事长。</w:t>
      </w:r>
    </w:p>
    <w:p w14:paraId="63AF6019" w14:textId="77777777" w:rsidR="00EB17D2" w:rsidRPr="00EB17D2" w:rsidRDefault="00EB17D2" w:rsidP="00EB17D2">
      <w:pPr>
        <w:autoSpaceDE w:val="0"/>
        <w:autoSpaceDN w:val="0"/>
        <w:adjustRightInd w:val="0"/>
        <w:snapToGrid w:val="0"/>
        <w:spacing w:line="360" w:lineRule="auto"/>
        <w:ind w:firstLineChars="200" w:firstLine="480"/>
        <w:jc w:val="left"/>
        <w:rPr>
          <w:rFonts w:ascii="宋体" w:hAnsi="宋体"/>
          <w:sz w:val="24"/>
        </w:rPr>
      </w:pPr>
      <w:r w:rsidRPr="00EB17D2">
        <w:rPr>
          <w:rFonts w:ascii="宋体" w:hAnsi="宋体" w:hint="eastAsia"/>
          <w:sz w:val="24"/>
        </w:rPr>
        <w:t>佘川女士，督察长，硕士，兼任交银施罗德资产管理有限公司董事。历任华泰证券有限责任公司综合发展部高级经理、投资银行部项目经理，银河基金管理有限公司监察部总监，交银施罗德基金管理有限公司监察稽核部总经理、监察</w:t>
      </w:r>
      <w:proofErr w:type="gramStart"/>
      <w:r w:rsidRPr="00EB17D2">
        <w:rPr>
          <w:rFonts w:ascii="宋体" w:hAnsi="宋体" w:hint="eastAsia"/>
          <w:sz w:val="24"/>
        </w:rPr>
        <w:t>风控副</w:t>
      </w:r>
      <w:proofErr w:type="gramEnd"/>
      <w:r w:rsidRPr="00EB17D2">
        <w:rPr>
          <w:rFonts w:ascii="宋体" w:hAnsi="宋体" w:hint="eastAsia"/>
          <w:sz w:val="24"/>
        </w:rPr>
        <w:t>总监、投资运营总监。</w:t>
      </w:r>
    </w:p>
    <w:p w14:paraId="7D6D0A50" w14:textId="77777777" w:rsidR="00EB17D2" w:rsidRDefault="00EB17D2">
      <w:pPr>
        <w:autoSpaceDE w:val="0"/>
        <w:autoSpaceDN w:val="0"/>
        <w:adjustRightInd w:val="0"/>
        <w:snapToGrid w:val="0"/>
        <w:spacing w:line="360" w:lineRule="auto"/>
        <w:ind w:firstLineChars="200" w:firstLine="480"/>
        <w:jc w:val="left"/>
        <w:rPr>
          <w:rFonts w:ascii="宋体" w:hAnsi="宋体"/>
          <w:sz w:val="24"/>
        </w:rPr>
      </w:pPr>
      <w:r w:rsidRPr="00EB17D2">
        <w:rPr>
          <w:rFonts w:ascii="宋体" w:hAnsi="宋体" w:hint="eastAsia"/>
          <w:sz w:val="24"/>
        </w:rPr>
        <w:t>马俊先生，副总经理，硕士。历任交通银行总行投资管理部高级投资分析、副高级经理，交银施罗德基金管理有限公司总裁办公室总经理、研究部副总经理、研究总监、综合管理部总经理。</w:t>
      </w:r>
    </w:p>
    <w:p w14:paraId="2C510991"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4、本</w:t>
      </w:r>
      <w:proofErr w:type="gramStart"/>
      <w:r>
        <w:rPr>
          <w:rFonts w:ascii="宋体" w:hAnsi="宋体"/>
          <w:sz w:val="24"/>
        </w:rPr>
        <w:t>基金基金</w:t>
      </w:r>
      <w:proofErr w:type="gramEnd"/>
      <w:r>
        <w:rPr>
          <w:rFonts w:ascii="宋体" w:hAnsi="宋体"/>
          <w:sz w:val="24"/>
        </w:rPr>
        <w:t>经理</w:t>
      </w:r>
    </w:p>
    <w:p w14:paraId="3BE8CD14" w14:textId="4B4D905C" w:rsidR="001F702C" w:rsidRDefault="00BD18A1">
      <w:pPr>
        <w:autoSpaceDE w:val="0"/>
        <w:autoSpaceDN w:val="0"/>
        <w:adjustRightInd w:val="0"/>
        <w:snapToGrid w:val="0"/>
        <w:spacing w:line="360" w:lineRule="auto"/>
        <w:ind w:firstLineChars="200" w:firstLine="480"/>
        <w:jc w:val="left"/>
        <w:rPr>
          <w:rFonts w:ascii="宋体" w:hAnsi="宋体"/>
          <w:sz w:val="24"/>
        </w:rPr>
      </w:pPr>
      <w:r>
        <w:rPr>
          <w:rFonts w:ascii="宋体" w:hAnsi="宋体"/>
          <w:sz w:val="24"/>
        </w:rPr>
        <w:t>季参平先生:基金经理。美国密歇根大学金融工程硕士、对外经济贸易大学经济学学士，1</w:t>
      </w:r>
      <w:r w:rsidR="00325884">
        <w:rPr>
          <w:rFonts w:ascii="宋体" w:hAnsi="宋体"/>
          <w:sz w:val="24"/>
        </w:rPr>
        <w:t>1</w:t>
      </w:r>
      <w:r>
        <w:rPr>
          <w:rFonts w:ascii="宋体" w:hAnsi="宋体"/>
          <w:sz w:val="24"/>
        </w:rPr>
        <w:t>年金融行业从业经验。2012年至2017年任瑞士银行外汇和利率交易员、联席董事。2017年加入交银施罗德基金管理有限公司，现任固定收益</w:t>
      </w:r>
      <w:proofErr w:type="gramStart"/>
      <w:r>
        <w:rPr>
          <w:rFonts w:ascii="宋体" w:hAnsi="宋体"/>
          <w:sz w:val="24"/>
        </w:rPr>
        <w:t>部基金</w:t>
      </w:r>
      <w:proofErr w:type="gramEnd"/>
      <w:r>
        <w:rPr>
          <w:rFonts w:ascii="宋体" w:hAnsi="宋体"/>
          <w:sz w:val="24"/>
        </w:rPr>
        <w:t>经理。曾</w:t>
      </w:r>
      <w:proofErr w:type="gramStart"/>
      <w:r>
        <w:rPr>
          <w:rFonts w:ascii="宋体" w:hAnsi="宋体"/>
          <w:sz w:val="24"/>
        </w:rPr>
        <w:t>任基金</w:t>
      </w:r>
      <w:proofErr w:type="gramEnd"/>
      <w:r>
        <w:rPr>
          <w:rFonts w:ascii="宋体" w:hAnsi="宋体"/>
          <w:sz w:val="24"/>
        </w:rPr>
        <w:t>经理助理。</w:t>
      </w:r>
      <w:proofErr w:type="gramStart"/>
      <w:r>
        <w:rPr>
          <w:rFonts w:ascii="宋体" w:hAnsi="宋体"/>
          <w:sz w:val="24"/>
        </w:rPr>
        <w:t>曾任交银</w:t>
      </w:r>
      <w:proofErr w:type="gramEnd"/>
      <w:r>
        <w:rPr>
          <w:rFonts w:ascii="宋体" w:hAnsi="宋体"/>
          <w:sz w:val="24"/>
        </w:rPr>
        <w:t>施罗德天运宝货币市场基金(2019年07月26日至2019年09月18日)</w:t>
      </w:r>
      <w:r w:rsidR="00DD135E">
        <w:rPr>
          <w:rFonts w:ascii="宋体" w:hAnsi="宋体"/>
          <w:sz w:val="24"/>
        </w:rPr>
        <w:t>、交银施罗德中债1-3年政策性金融</w:t>
      </w:r>
      <w:proofErr w:type="gramStart"/>
      <w:r w:rsidR="00DD135E">
        <w:rPr>
          <w:rFonts w:ascii="宋体" w:hAnsi="宋体"/>
          <w:sz w:val="24"/>
        </w:rPr>
        <w:t>债指数</w:t>
      </w:r>
      <w:proofErr w:type="gramEnd"/>
      <w:r w:rsidR="00DD135E">
        <w:rPr>
          <w:rFonts w:ascii="宋体" w:hAnsi="宋体"/>
          <w:sz w:val="24"/>
        </w:rPr>
        <w:t>证券投资基金(2020年08月20日至</w:t>
      </w:r>
      <w:r w:rsidR="00332B13">
        <w:rPr>
          <w:rFonts w:ascii="宋体" w:hAnsi="宋体" w:hint="eastAsia"/>
          <w:sz w:val="24"/>
        </w:rPr>
        <w:t>2</w:t>
      </w:r>
      <w:r w:rsidR="00332B13">
        <w:rPr>
          <w:rFonts w:ascii="宋体" w:hAnsi="宋体"/>
          <w:sz w:val="24"/>
        </w:rPr>
        <w:t>023</w:t>
      </w:r>
      <w:r w:rsidR="00332B13">
        <w:rPr>
          <w:rFonts w:ascii="宋体" w:hAnsi="宋体" w:hint="eastAsia"/>
          <w:sz w:val="24"/>
        </w:rPr>
        <w:t>年0</w:t>
      </w:r>
      <w:r w:rsidR="00332B13">
        <w:rPr>
          <w:rFonts w:ascii="宋体" w:hAnsi="宋体"/>
          <w:sz w:val="24"/>
        </w:rPr>
        <w:t>8</w:t>
      </w:r>
      <w:r w:rsidR="00332B13">
        <w:rPr>
          <w:rFonts w:ascii="宋体" w:hAnsi="宋体" w:hint="eastAsia"/>
          <w:sz w:val="24"/>
        </w:rPr>
        <w:t>月</w:t>
      </w:r>
      <w:r w:rsidR="00332B13">
        <w:rPr>
          <w:rFonts w:ascii="宋体" w:hAnsi="宋体"/>
          <w:sz w:val="24"/>
        </w:rPr>
        <w:t>30</w:t>
      </w:r>
      <w:r w:rsidR="00332B13">
        <w:rPr>
          <w:rFonts w:ascii="宋体" w:hAnsi="宋体" w:hint="eastAsia"/>
          <w:sz w:val="24"/>
        </w:rPr>
        <w:t>日</w:t>
      </w:r>
      <w:r w:rsidR="00DD135E">
        <w:rPr>
          <w:rFonts w:ascii="宋体" w:hAnsi="宋体"/>
          <w:sz w:val="24"/>
        </w:rPr>
        <w:t>)、交银施罗德中债1-5年政策性金融</w:t>
      </w:r>
      <w:proofErr w:type="gramStart"/>
      <w:r w:rsidR="00DD135E">
        <w:rPr>
          <w:rFonts w:ascii="宋体" w:hAnsi="宋体"/>
          <w:sz w:val="24"/>
        </w:rPr>
        <w:t>债指数</w:t>
      </w:r>
      <w:proofErr w:type="gramEnd"/>
      <w:r w:rsidR="00DD135E">
        <w:rPr>
          <w:rFonts w:ascii="宋体" w:hAnsi="宋体"/>
          <w:sz w:val="24"/>
        </w:rPr>
        <w:t>证券投资基</w:t>
      </w:r>
      <w:r w:rsidR="00DD135E">
        <w:rPr>
          <w:rFonts w:ascii="宋体" w:hAnsi="宋体"/>
          <w:sz w:val="24"/>
        </w:rPr>
        <w:lastRenderedPageBreak/>
        <w:t>金(2022年06月08日至</w:t>
      </w:r>
      <w:r w:rsidR="000544F9" w:rsidRPr="000544F9">
        <w:rPr>
          <w:rFonts w:ascii="宋体" w:hAnsi="宋体" w:hint="eastAsia"/>
          <w:sz w:val="24"/>
        </w:rPr>
        <w:t>2023年11月15日</w:t>
      </w:r>
      <w:r w:rsidR="00DD135E">
        <w:rPr>
          <w:rFonts w:ascii="宋体" w:hAnsi="宋体"/>
          <w:sz w:val="24"/>
        </w:rPr>
        <w:t>)</w:t>
      </w:r>
      <w:r>
        <w:rPr>
          <w:rFonts w:ascii="宋体" w:hAnsi="宋体"/>
          <w:sz w:val="24"/>
        </w:rPr>
        <w:t>的基金经理。现任交银施罗德现金宝货币市场基金(2019年07月26日至今)、交银施罗德天</w:t>
      </w:r>
      <w:proofErr w:type="gramStart"/>
      <w:r>
        <w:rPr>
          <w:rFonts w:ascii="宋体" w:hAnsi="宋体"/>
          <w:sz w:val="24"/>
        </w:rPr>
        <w:t>鑫</w:t>
      </w:r>
      <w:proofErr w:type="gramEnd"/>
      <w:r>
        <w:rPr>
          <w:rFonts w:ascii="宋体" w:hAnsi="宋体"/>
          <w:sz w:val="24"/>
        </w:rPr>
        <w:t>宝货币市场基金(2019年07月26日至今)、交银施罗德货币市场证券投资基金(2019年07月26日至今)、交银施罗德裕</w:t>
      </w:r>
      <w:proofErr w:type="gramStart"/>
      <w:r>
        <w:rPr>
          <w:rFonts w:ascii="宋体" w:hAnsi="宋体"/>
          <w:sz w:val="24"/>
        </w:rPr>
        <w:t>通纯债</w:t>
      </w:r>
      <w:proofErr w:type="gramEnd"/>
      <w:r>
        <w:rPr>
          <w:rFonts w:ascii="宋体" w:hAnsi="宋体"/>
          <w:sz w:val="24"/>
        </w:rPr>
        <w:t>债券型证券投资基金(2019年10月12日至今)、交银施罗德裕</w:t>
      </w:r>
      <w:proofErr w:type="gramStart"/>
      <w:r>
        <w:rPr>
          <w:rFonts w:ascii="宋体" w:hAnsi="宋体"/>
          <w:sz w:val="24"/>
        </w:rPr>
        <w:t>祥纯债</w:t>
      </w:r>
      <w:proofErr w:type="gramEnd"/>
      <w:r>
        <w:rPr>
          <w:rFonts w:ascii="宋体" w:hAnsi="宋体"/>
          <w:sz w:val="24"/>
        </w:rPr>
        <w:t>债券型证券投资基金(2020年07月09日至今)、交银施罗德中债1-3年农发行债券指数证券投资基金(2021年08月19日至今)、交银施罗德丰润收益债券型证券投资基金(2021年08月19日至今)、交银施罗德裕</w:t>
      </w:r>
      <w:proofErr w:type="gramStart"/>
      <w:r>
        <w:rPr>
          <w:rFonts w:ascii="宋体" w:hAnsi="宋体"/>
          <w:sz w:val="24"/>
        </w:rPr>
        <w:t>景纯债</w:t>
      </w:r>
      <w:proofErr w:type="gramEnd"/>
      <w:r>
        <w:rPr>
          <w:rFonts w:ascii="宋体" w:hAnsi="宋体"/>
          <w:sz w:val="24"/>
        </w:rPr>
        <w:t>一年定期开放债券型证券投资基金(2021年09月09日至今)、交银施罗德</w:t>
      </w:r>
      <w:proofErr w:type="gramStart"/>
      <w:r>
        <w:rPr>
          <w:rFonts w:ascii="宋体" w:hAnsi="宋体"/>
          <w:sz w:val="24"/>
        </w:rPr>
        <w:t>裕道纯债</w:t>
      </w:r>
      <w:proofErr w:type="gramEnd"/>
      <w:r>
        <w:rPr>
          <w:rFonts w:ascii="宋体" w:hAnsi="宋体"/>
          <w:sz w:val="24"/>
        </w:rPr>
        <w:t>一年定期开放债券型发起式证券投资基金(2022年03月29日至今)的基金经理。</w:t>
      </w:r>
    </w:p>
    <w:p w14:paraId="6D104417" w14:textId="27B3CD52"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张顺晨女士:基金经理</w:t>
      </w:r>
      <w:r w:rsidR="00325884">
        <w:rPr>
          <w:rFonts w:ascii="宋体" w:hAnsi="宋体" w:hint="eastAsia"/>
          <w:sz w:val="24"/>
        </w:rPr>
        <w:t>。</w:t>
      </w:r>
      <w:r>
        <w:rPr>
          <w:rFonts w:ascii="宋体" w:hAnsi="宋体"/>
          <w:sz w:val="24"/>
        </w:rPr>
        <w:t>上海财经大学金融学博士。2016年至2017年任国金证券研究所研究员。2017年加入交银施罗德基金管理有限公司，历任固定收益部研究员，基金经理助理。现任交银施罗德增利债券证券投资基金(2023年06月09日至今)、交银施罗德裕泰两年定期开放债券型证券投资基金(2023年06月09日至今)、交银施罗德</w:t>
      </w:r>
      <w:proofErr w:type="gramStart"/>
      <w:r>
        <w:rPr>
          <w:rFonts w:ascii="宋体" w:hAnsi="宋体"/>
          <w:sz w:val="24"/>
        </w:rPr>
        <w:t>裕坤纯债</w:t>
      </w:r>
      <w:proofErr w:type="gramEnd"/>
      <w:r>
        <w:rPr>
          <w:rFonts w:ascii="宋体" w:hAnsi="宋体"/>
          <w:sz w:val="24"/>
        </w:rPr>
        <w:t>一年定期开放债券型发起式证券投资基金(2023年06月09日至今)、交银施罗德</w:t>
      </w:r>
      <w:proofErr w:type="gramStart"/>
      <w:r>
        <w:rPr>
          <w:rFonts w:ascii="宋体" w:hAnsi="宋体"/>
          <w:sz w:val="24"/>
        </w:rPr>
        <w:t>裕如纯债债券</w:t>
      </w:r>
      <w:proofErr w:type="gramEnd"/>
      <w:r>
        <w:rPr>
          <w:rFonts w:ascii="宋体" w:hAnsi="宋体"/>
          <w:sz w:val="24"/>
        </w:rPr>
        <w:t>型证券投资基金(2023年06月09日至今)、交银施罗德</w:t>
      </w:r>
      <w:proofErr w:type="gramStart"/>
      <w:r>
        <w:rPr>
          <w:rFonts w:ascii="宋体" w:hAnsi="宋体"/>
          <w:sz w:val="24"/>
        </w:rPr>
        <w:t>鑫</w:t>
      </w:r>
      <w:proofErr w:type="gramEnd"/>
      <w:r>
        <w:rPr>
          <w:rFonts w:ascii="宋体" w:hAnsi="宋体"/>
          <w:sz w:val="24"/>
        </w:rPr>
        <w:t>选回报混合型证券投资基金(2023年06月09日至今)、交银施罗德裕</w:t>
      </w:r>
      <w:proofErr w:type="gramStart"/>
      <w:r>
        <w:rPr>
          <w:rFonts w:ascii="宋体" w:hAnsi="宋体"/>
          <w:sz w:val="24"/>
        </w:rPr>
        <w:t>景纯债</w:t>
      </w:r>
      <w:proofErr w:type="gramEnd"/>
      <w:r>
        <w:rPr>
          <w:rFonts w:ascii="宋体" w:hAnsi="宋体"/>
          <w:sz w:val="24"/>
        </w:rPr>
        <w:t>一年定期开放债券型证券投资基金(2023年06月09日至今)、交银施罗德中债1-3年农发行债券指数证券投资基金(2023年06月09日至今)</w:t>
      </w:r>
      <w:r w:rsidR="00EB183E">
        <w:rPr>
          <w:rFonts w:ascii="宋体" w:hAnsi="宋体"/>
          <w:sz w:val="24"/>
        </w:rPr>
        <w:t>、交银施罗德中债1-3年政策性金融</w:t>
      </w:r>
      <w:proofErr w:type="gramStart"/>
      <w:r w:rsidR="00EB183E">
        <w:rPr>
          <w:rFonts w:ascii="宋体" w:hAnsi="宋体"/>
          <w:sz w:val="24"/>
        </w:rPr>
        <w:t>债指数</w:t>
      </w:r>
      <w:proofErr w:type="gramEnd"/>
      <w:r w:rsidR="00EB183E">
        <w:rPr>
          <w:rFonts w:ascii="宋体" w:hAnsi="宋体"/>
          <w:sz w:val="24"/>
        </w:rPr>
        <w:t>证券投资基金(</w:t>
      </w:r>
      <w:r w:rsidR="000C6E28">
        <w:rPr>
          <w:rFonts w:ascii="宋体" w:hAnsi="宋体" w:hint="eastAsia"/>
          <w:sz w:val="24"/>
        </w:rPr>
        <w:t>2</w:t>
      </w:r>
      <w:r w:rsidR="000C6E28">
        <w:rPr>
          <w:rFonts w:ascii="宋体" w:hAnsi="宋体"/>
          <w:sz w:val="24"/>
        </w:rPr>
        <w:t>023</w:t>
      </w:r>
      <w:r w:rsidR="000C6E28">
        <w:rPr>
          <w:rFonts w:ascii="宋体" w:hAnsi="宋体" w:hint="eastAsia"/>
          <w:sz w:val="24"/>
        </w:rPr>
        <w:t>年0</w:t>
      </w:r>
      <w:r w:rsidR="000C6E28">
        <w:rPr>
          <w:rFonts w:ascii="宋体" w:hAnsi="宋体"/>
          <w:sz w:val="24"/>
        </w:rPr>
        <w:t>8</w:t>
      </w:r>
      <w:r w:rsidR="000C6E28">
        <w:rPr>
          <w:rFonts w:ascii="宋体" w:hAnsi="宋体" w:hint="eastAsia"/>
          <w:sz w:val="24"/>
        </w:rPr>
        <w:t>月2</w:t>
      </w:r>
      <w:r w:rsidR="000C6E28">
        <w:rPr>
          <w:rFonts w:ascii="宋体" w:hAnsi="宋体"/>
          <w:sz w:val="24"/>
        </w:rPr>
        <w:t>3</w:t>
      </w:r>
      <w:r w:rsidR="000C6E28">
        <w:rPr>
          <w:rFonts w:ascii="宋体" w:hAnsi="宋体" w:hint="eastAsia"/>
          <w:sz w:val="24"/>
        </w:rPr>
        <w:t>至今</w:t>
      </w:r>
      <w:r w:rsidR="00EB183E">
        <w:rPr>
          <w:rFonts w:ascii="宋体" w:hAnsi="宋体"/>
          <w:sz w:val="24"/>
        </w:rPr>
        <w:t>)</w:t>
      </w:r>
      <w:r>
        <w:rPr>
          <w:rFonts w:ascii="宋体" w:hAnsi="宋体"/>
          <w:sz w:val="24"/>
        </w:rPr>
        <w:t>的基金经理。</w:t>
      </w:r>
    </w:p>
    <w:p w14:paraId="24111FAB"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本基金历任基金经理：</w:t>
      </w:r>
    </w:p>
    <w:p w14:paraId="3FF89998"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魏玉敏女士(2019年01月23日至2021年12月16日)。</w:t>
      </w:r>
    </w:p>
    <w:p w14:paraId="3F293815"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5、投资决策委员会成员</w:t>
      </w:r>
    </w:p>
    <w:p w14:paraId="2B594BA1"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委员：谢卫（总经理）</w:t>
      </w:r>
    </w:p>
    <w:p w14:paraId="1BB73CB4" w14:textId="79A7FF8C"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马俊（副总经理）</w:t>
      </w:r>
    </w:p>
    <w:p w14:paraId="5FA0775E"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王少成（权益投资总监、基金经理）</w:t>
      </w:r>
    </w:p>
    <w:p w14:paraId="2A1030E9"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于海颖（固定收益（公募）投资总监、基金经理）</w:t>
      </w:r>
    </w:p>
    <w:p w14:paraId="4A31135D"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王崇（权益投资副总监、权益部一级专家、基金经理）</w:t>
      </w:r>
    </w:p>
    <w:p w14:paraId="57C0C3E1" w14:textId="2DA374E8"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上述人员之间无近亲属关系。上述各项人员信息更新截止日为</w:t>
      </w:r>
      <w:r w:rsidR="0037431D">
        <w:rPr>
          <w:rFonts w:ascii="宋体" w:hAnsi="宋体"/>
          <w:sz w:val="24"/>
        </w:rPr>
        <w:t>202</w:t>
      </w:r>
      <w:r w:rsidR="00EA2E81">
        <w:rPr>
          <w:rFonts w:ascii="宋体" w:hAnsi="宋体"/>
          <w:sz w:val="24"/>
        </w:rPr>
        <w:t>3</w:t>
      </w:r>
      <w:r>
        <w:rPr>
          <w:rFonts w:ascii="宋体" w:hAnsi="宋体"/>
          <w:sz w:val="24"/>
        </w:rPr>
        <w:t>年</w:t>
      </w:r>
      <w:r w:rsidR="00EA2E81">
        <w:rPr>
          <w:rFonts w:ascii="宋体" w:hAnsi="宋体"/>
          <w:sz w:val="24"/>
        </w:rPr>
        <w:t>12</w:t>
      </w:r>
      <w:r>
        <w:rPr>
          <w:rFonts w:ascii="宋体" w:hAnsi="宋体"/>
          <w:sz w:val="24"/>
        </w:rPr>
        <w:t>月</w:t>
      </w:r>
      <w:r w:rsidR="00EA2E81">
        <w:rPr>
          <w:rFonts w:ascii="宋体" w:hAnsi="宋体"/>
          <w:sz w:val="24"/>
        </w:rPr>
        <w:t>14</w:t>
      </w:r>
      <w:r>
        <w:rPr>
          <w:rFonts w:ascii="宋体" w:hAnsi="宋体"/>
          <w:sz w:val="24"/>
        </w:rPr>
        <w:t>日，期后变动（如有）敬请关注基金管理人发布的相关公告。</w:t>
      </w:r>
    </w:p>
    <w:p w14:paraId="19277A90"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（三）基金管理人的职责</w:t>
      </w:r>
    </w:p>
    <w:p w14:paraId="1A95A867"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1、依法募集资金，办理或者委托经中国证监会认定的其他机构办理基金份额的发售、申购、赎回和登记事宜；</w:t>
      </w:r>
    </w:p>
    <w:p w14:paraId="7A6A32D5"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2、办理基金备案手续；</w:t>
      </w:r>
    </w:p>
    <w:p w14:paraId="572D1727"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3、对所管理的不同基金财产分别管理、分别记账，进行证券投资；</w:t>
      </w:r>
    </w:p>
    <w:p w14:paraId="77DE2415"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4、按照基金合同的约定确定基金收益分配方案，及时向基金份额持有人分配收益；</w:t>
      </w:r>
    </w:p>
    <w:p w14:paraId="201B2F91"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5、进行基金会计核算并编制基金财务会计报告；</w:t>
      </w:r>
    </w:p>
    <w:p w14:paraId="4DFCA3EB"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6、编制季度报告、中期报告和年度报告；</w:t>
      </w:r>
    </w:p>
    <w:p w14:paraId="70294AD4"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7、计算并公告基金净值信息，确定基金份额申购、赎回价格；</w:t>
      </w:r>
    </w:p>
    <w:p w14:paraId="7B28ACC2"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8、办理与基金财产管理业务活动有关的信息披露事项；</w:t>
      </w:r>
    </w:p>
    <w:p w14:paraId="62789785"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9、按照规定召集基金份额持有人大会；</w:t>
      </w:r>
    </w:p>
    <w:p w14:paraId="4759ABB2"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10、保存基金财产管理业务活动的记录、账册、报表和其他相关资料；</w:t>
      </w:r>
    </w:p>
    <w:p w14:paraId="561CB875"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11、以基金管理人名义，代表基金份额持有人利益行使诉讼权利或者实施其他法律行为；</w:t>
      </w:r>
    </w:p>
    <w:p w14:paraId="26DD56D1"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12、有关法律法规和中国证监会规定的其他职责。</w:t>
      </w:r>
    </w:p>
    <w:p w14:paraId="14586280"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（四）基金管理人的承诺</w:t>
      </w:r>
    </w:p>
    <w:p w14:paraId="1DC7826C"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1、基金管理人承诺不从事违反《中华人民共和国证券法》的行为，并承诺建立健全内部控制制度，采取有效措施，防止违反《中华人民共和国证券法》行为的发生；</w:t>
      </w:r>
    </w:p>
    <w:p w14:paraId="09E32C60"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2、基金管理人承诺不从事违反《基金法》的行为，并承诺建立健全内部风险控制制度，采取有效措施，防止下列行为的发生：</w:t>
      </w:r>
    </w:p>
    <w:p w14:paraId="6B2A08C2"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（1）将基金管理人固有财产或者他人财产混同于基金财产从事证券投资；</w:t>
      </w:r>
    </w:p>
    <w:p w14:paraId="469EE8EC"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（2）不公平地对待管理的不同基金财产；</w:t>
      </w:r>
    </w:p>
    <w:p w14:paraId="595A75AF"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（3）利用基金财产为基金份额持有人以外的第三人牟取利益；</w:t>
      </w:r>
    </w:p>
    <w:p w14:paraId="7E618D24"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（4）向基金份额持有人违规承诺收益或者承担损失；</w:t>
      </w:r>
    </w:p>
    <w:p w14:paraId="7F70A4B9"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（5）侵占、挪用基金财产；</w:t>
      </w:r>
    </w:p>
    <w:p w14:paraId="1F6C36C9"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（6）泄露因职务便利获取的未公开信息、利用该信息从事或者明示、暗示他人从事相关的交易活动；</w:t>
      </w:r>
    </w:p>
    <w:p w14:paraId="157E6DF3"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（7）玩忽职守，不按照规定履行职责；</w:t>
      </w:r>
    </w:p>
    <w:p w14:paraId="2E4CCE35"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（8）法律、行政法规和中国证监会禁止的其他行为。</w:t>
      </w:r>
    </w:p>
    <w:p w14:paraId="538F934E"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3、基金管理人承诺严格遵守基金合同，并承诺建立健全内部控制制度，采取有效措施，防止违反基金合同行为的发生；</w:t>
      </w:r>
    </w:p>
    <w:p w14:paraId="4612FF30"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4、基金管理人承诺加强人员管理，强化职业操守，督促和约束员工遵守国家有关法律法规及行业规范，诚实信用、勤勉尽责；</w:t>
      </w:r>
    </w:p>
    <w:p w14:paraId="61D4A4D5"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5、基金管理人承诺不从事其他法规规定禁止从事的行为。</w:t>
      </w:r>
    </w:p>
    <w:p w14:paraId="35C47BC3"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（五）基金经理承诺</w:t>
      </w:r>
    </w:p>
    <w:p w14:paraId="4DCCAF65"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1、依照有关法律法规和基金合同的规定，本着谨慎的原则为基金份额持有人谋取最大利益；</w:t>
      </w:r>
    </w:p>
    <w:p w14:paraId="4071A170"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2、不利用职务之便为自己、受雇人或任何第三者谋取利益；</w:t>
      </w:r>
    </w:p>
    <w:p w14:paraId="624B272B"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3、不泄露在任职期间知悉的有关证券、基金的商业秘密，尚未依法公开的基金投资内容、基金投资计划等信息，或利用该信息从事或者明示、暗示他人从事相关的交易活动；</w:t>
      </w:r>
    </w:p>
    <w:p w14:paraId="782A8285"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4、不以任何形式为其他组织或个人进行证券交易。</w:t>
      </w:r>
    </w:p>
    <w:p w14:paraId="11DE29B9"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（六）基金管理人的内部控制制度</w:t>
      </w:r>
    </w:p>
    <w:p w14:paraId="12F345FF"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1、风险管理的原则</w:t>
      </w:r>
    </w:p>
    <w:p w14:paraId="19D10C6C"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（1）全面性原则</w:t>
      </w:r>
    </w:p>
    <w:p w14:paraId="03D65B56"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公司风险管理必须覆盖公司的所有部门和岗位，渗透各项业务过程和业务环节。</w:t>
      </w:r>
    </w:p>
    <w:p w14:paraId="517AAC63"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（2）独立性原则</w:t>
      </w:r>
    </w:p>
    <w:p w14:paraId="6A342A01"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公司设立独立的风险管理部，风险管理部保持高度的独立性和权威性，负责对公司各部门风险控制工作进行监督和检查。</w:t>
      </w:r>
    </w:p>
    <w:p w14:paraId="6E3C529C"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（3）相互制约原则</w:t>
      </w:r>
    </w:p>
    <w:p w14:paraId="1B3A1A3E"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公司及各部门在内部组织结构的设计上要形成一种相互制约的机制，建立不同岗位之间的制衡体系。</w:t>
      </w:r>
    </w:p>
    <w:p w14:paraId="1F0D81D6"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（4）定性和定量相结合原则</w:t>
      </w:r>
    </w:p>
    <w:p w14:paraId="643AA2E4"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建立完备的风险管理指标体系，使风险管理更具客观性和操作性。</w:t>
      </w:r>
    </w:p>
    <w:p w14:paraId="3887EEDA"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2、风险管理和内部风险控制体系结构</w:t>
      </w:r>
    </w:p>
    <w:p w14:paraId="51E2FBDC"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公司的风险管理体系结构是一个分工明确、相互牵制的组织结构，由最高管理层对风险管理负最终责任，各个业务部门负责本部门的风险评估和监控，风险管理部负责监察公司的风险管理措施的执行。具体而言，包括如下组成部分：</w:t>
      </w:r>
    </w:p>
    <w:p w14:paraId="0BE4F886"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（1）董事会</w:t>
      </w:r>
    </w:p>
    <w:p w14:paraId="6A1ED8BC"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负责制定公司的风险管理政策，对风险管理负完全的和最终的责任。</w:t>
      </w:r>
    </w:p>
    <w:p w14:paraId="3C6D9D02"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（2）监事会</w:t>
      </w:r>
    </w:p>
    <w:p w14:paraId="542D211B"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是公司常设的监事机构，对股东会负责。监事会对公司财务、公司董事、总经理及其他高级管理人员进行监督。</w:t>
      </w:r>
    </w:p>
    <w:p w14:paraId="625BD84E"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（3）合</w:t>
      </w:r>
      <w:proofErr w:type="gramStart"/>
      <w:r>
        <w:rPr>
          <w:rFonts w:ascii="宋体" w:hAnsi="宋体"/>
          <w:sz w:val="24"/>
        </w:rPr>
        <w:t>规</w:t>
      </w:r>
      <w:proofErr w:type="gramEnd"/>
      <w:r>
        <w:rPr>
          <w:rFonts w:ascii="宋体" w:hAnsi="宋体"/>
          <w:sz w:val="24"/>
        </w:rPr>
        <w:t>审核及风险管理委员会</w:t>
      </w:r>
    </w:p>
    <w:p w14:paraId="78861DD2"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作为董事会下的专业委员会之一，对公司内部控制制度、监察稽核制度进行检查评估；审查公司财务，对公司内部管理制度、投资决策程序和运作流程进行合</w:t>
      </w:r>
      <w:proofErr w:type="gramStart"/>
      <w:r>
        <w:rPr>
          <w:rFonts w:ascii="宋体" w:hAnsi="宋体"/>
          <w:sz w:val="24"/>
        </w:rPr>
        <w:t>规</w:t>
      </w:r>
      <w:proofErr w:type="gramEnd"/>
      <w:r>
        <w:rPr>
          <w:rFonts w:ascii="宋体" w:hAnsi="宋体"/>
          <w:sz w:val="24"/>
        </w:rPr>
        <w:t>性审议；对公司资产与基金资产的经营进行评估。</w:t>
      </w:r>
    </w:p>
    <w:p w14:paraId="4C32FA4C"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（4）风险控制委员会</w:t>
      </w:r>
    </w:p>
    <w:p w14:paraId="5AB91CEF"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作为总经理下设的专业委员会之一，风险控制委员会负责拟定公司风险管理战略及政策，制定灾难复原计划及紧急情况处理制度，确保公司风险控制符合标准，就潜在风险与相关部门协调，审阅公司审计报告及监察情况。</w:t>
      </w:r>
    </w:p>
    <w:p w14:paraId="0A97E92D"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（5）督察长</w:t>
      </w:r>
    </w:p>
    <w:p w14:paraId="00D9097E"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独立行使督察权利；直接对董事会负责；就内部控制制度和执行情况独立地履行检查、评价、报告、建议职能；定期和不定期地向董事会报告公司内部控制执行情况。</w:t>
      </w:r>
    </w:p>
    <w:p w14:paraId="214DC559"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（6）风险管理部</w:t>
      </w:r>
    </w:p>
    <w:p w14:paraId="3F989F01"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风险管理部负责制定公司风险管理政策和防范及控制措施，组织执行，并为每一个部门的风险管理系统的发展提供协助，汇总公司业务所有的风险信息，独立识别、评估各类风险，提出风险控制建议，使公司在一种风险管理和控制的环境中实现业务目标。</w:t>
      </w:r>
    </w:p>
    <w:p w14:paraId="5D18CD21"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（7）审计部</w:t>
      </w:r>
    </w:p>
    <w:p w14:paraId="1B825264"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审计部负责按照公司要求，根据国家法律法规及行业规范，结合公司战略发展及管理目标，对公司内部控制体系的适当性及运行的效果和效率进行独立评价，协助促进公司风险管理、控制和治理过程的完善，实现合</w:t>
      </w:r>
      <w:proofErr w:type="gramStart"/>
      <w:r>
        <w:rPr>
          <w:rFonts w:ascii="宋体" w:hAnsi="宋体"/>
          <w:sz w:val="24"/>
        </w:rPr>
        <w:t>规</w:t>
      </w:r>
      <w:proofErr w:type="gramEnd"/>
      <w:r>
        <w:rPr>
          <w:rFonts w:ascii="宋体" w:hAnsi="宋体"/>
          <w:sz w:val="24"/>
        </w:rPr>
        <w:t>经营目标。</w:t>
      </w:r>
    </w:p>
    <w:p w14:paraId="719F9347"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（8）法律合</w:t>
      </w:r>
      <w:proofErr w:type="gramStart"/>
      <w:r>
        <w:rPr>
          <w:rFonts w:ascii="宋体" w:hAnsi="宋体"/>
          <w:sz w:val="24"/>
        </w:rPr>
        <w:t>规</w:t>
      </w:r>
      <w:proofErr w:type="gramEnd"/>
      <w:r>
        <w:rPr>
          <w:rFonts w:ascii="宋体" w:hAnsi="宋体"/>
          <w:sz w:val="24"/>
        </w:rPr>
        <w:t>部</w:t>
      </w:r>
    </w:p>
    <w:p w14:paraId="11E1F98A"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法律合</w:t>
      </w:r>
      <w:proofErr w:type="gramStart"/>
      <w:r>
        <w:rPr>
          <w:rFonts w:ascii="宋体" w:hAnsi="宋体"/>
          <w:sz w:val="24"/>
        </w:rPr>
        <w:t>规</w:t>
      </w:r>
      <w:proofErr w:type="gramEnd"/>
      <w:r>
        <w:rPr>
          <w:rFonts w:ascii="宋体" w:hAnsi="宋体"/>
          <w:sz w:val="24"/>
        </w:rPr>
        <w:t>部负责公司的法律、合</w:t>
      </w:r>
      <w:proofErr w:type="gramStart"/>
      <w:r>
        <w:rPr>
          <w:rFonts w:ascii="宋体" w:hAnsi="宋体"/>
          <w:sz w:val="24"/>
        </w:rPr>
        <w:t>规</w:t>
      </w:r>
      <w:proofErr w:type="gramEnd"/>
      <w:r>
        <w:rPr>
          <w:rFonts w:ascii="宋体" w:hAnsi="宋体"/>
          <w:sz w:val="24"/>
        </w:rPr>
        <w:t>事务及协调实施信息披露事务，依法维护公司合法权益，评估并处理公司运营中发生的法律、合</w:t>
      </w:r>
      <w:proofErr w:type="gramStart"/>
      <w:r>
        <w:rPr>
          <w:rFonts w:ascii="宋体" w:hAnsi="宋体"/>
          <w:sz w:val="24"/>
        </w:rPr>
        <w:t>规</w:t>
      </w:r>
      <w:proofErr w:type="gramEnd"/>
      <w:r>
        <w:rPr>
          <w:rFonts w:ascii="宋体" w:hAnsi="宋体"/>
          <w:sz w:val="24"/>
        </w:rPr>
        <w:t>及信息披露相关问题，及时向公司管理层及全体员工传达法规及监管要求。</w:t>
      </w:r>
    </w:p>
    <w:p w14:paraId="252EE898"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（9）业务部门</w:t>
      </w:r>
    </w:p>
    <w:p w14:paraId="139DD14F"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风险管理是每一个业务部门首要的责任。部门经理对本部门的风险负全部责任，负责履行公司的风险管理程序，负责本部门的风险管理系统的开发、执行和维护，用于识别、监控和降低风险。</w:t>
      </w:r>
    </w:p>
    <w:p w14:paraId="28737F1E"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3、风险管理和内部风险控制的措施</w:t>
      </w:r>
    </w:p>
    <w:p w14:paraId="71E07D4F"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（1）建立内控体系，完善内控制度</w:t>
      </w:r>
    </w:p>
    <w:p w14:paraId="4C34309E"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公司建立、健全了内控体系，通过高管人员关于内控的明确分工，确保各项业务活动有恰当的组织和授权，确保监察活动独立，并得到高管人员的支持，同时置备操作手册，并定期更新。</w:t>
      </w:r>
    </w:p>
    <w:p w14:paraId="0939ED0D"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（2）建立相互分离、相互制衡的内控机制</w:t>
      </w:r>
    </w:p>
    <w:p w14:paraId="0E47C26C"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建立、健全了各项制度，做到基金经理分开，投资决策分开，基金交易集中，形成不同部门、不同岗位之间的制衡机制，从制度上减少和防范风险。</w:t>
      </w:r>
    </w:p>
    <w:p w14:paraId="71FA73A3"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（3）建立、健全岗位责任制</w:t>
      </w:r>
    </w:p>
    <w:p w14:paraId="30331C37"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建立、健全了岗位责任制，使每个员工都明确自己的任务、职责，并及时将各自工作领域中的风险隐患上报，以防范和减少风险。</w:t>
      </w:r>
    </w:p>
    <w:p w14:paraId="33CE4851"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（4）建立风险分类、识别、评估、报告、提示程序</w:t>
      </w:r>
    </w:p>
    <w:p w14:paraId="0BB91934"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建立了风险评估机制，通过适合的程序，确认和评估与公司运作有关的风险；公司建立了自下而上的风险报告程序，对风险隐患进行层层汇报，使各个层次的人员及时掌握风险状况，从而以最快速度</w:t>
      </w:r>
      <w:proofErr w:type="gramStart"/>
      <w:r>
        <w:rPr>
          <w:rFonts w:ascii="宋体" w:hAnsi="宋体"/>
          <w:sz w:val="24"/>
        </w:rPr>
        <w:t>作出</w:t>
      </w:r>
      <w:proofErr w:type="gramEnd"/>
      <w:r>
        <w:rPr>
          <w:rFonts w:ascii="宋体" w:hAnsi="宋体"/>
          <w:sz w:val="24"/>
        </w:rPr>
        <w:t>决策。</w:t>
      </w:r>
    </w:p>
    <w:p w14:paraId="5708A832"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（5）建立有效的内部监控系统</w:t>
      </w:r>
    </w:p>
    <w:p w14:paraId="02296ADF"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建立了足够、有效的内部监控系统，如电脑预警系统、投资监控系统，对可能出现的各种风险进行全面和实时的监控。</w:t>
      </w:r>
    </w:p>
    <w:p w14:paraId="09F5A549"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（6）使用数量化的风险管理手段</w:t>
      </w:r>
    </w:p>
    <w:p w14:paraId="2FD2A4CF"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采取数量化、技术化的风险控制手段，建立数量化的风险管理模型，用以提示指数趋势、行业及个股的风险，以便公司及时采取有效的措施，对风险进行分散、控制和规避，尽可能地减少损失。</w:t>
      </w:r>
    </w:p>
    <w:p w14:paraId="3F096804"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（7）提供足够的培训</w:t>
      </w:r>
    </w:p>
    <w:p w14:paraId="66E82F57"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制定了完整的培训计划，为所有员工提供足够和适当的培训，使员工明确其职责所在，控制风险。</w:t>
      </w:r>
    </w:p>
    <w:p w14:paraId="746D0281" w14:textId="77777777" w:rsidR="00367445" w:rsidRDefault="00BD18A1" w:rsidP="00367445">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15061044" w14:textId="77777777" w:rsidR="001F702C" w:rsidRDefault="00BD18A1">
      <w:pPr>
        <w:pStyle w:val="1"/>
        <w:snapToGrid w:val="0"/>
        <w:spacing w:beforeLines="0" w:before="240" w:after="240"/>
        <w:rPr>
          <w:rFonts w:ascii="宋体" w:hAnsi="宋体"/>
          <w:szCs w:val="30"/>
        </w:rPr>
      </w:pPr>
      <w:bookmarkStart w:id="7" w:name="_Toc140049408"/>
      <w:r>
        <w:rPr>
          <w:rFonts w:ascii="Times New Roman" w:hAnsi="Times New Roman"/>
          <w:sz w:val="30"/>
        </w:rPr>
        <w:lastRenderedPageBreak/>
        <w:t>四、基金托管人</w:t>
      </w:r>
      <w:bookmarkEnd w:id="7"/>
    </w:p>
    <w:p w14:paraId="24AACEDB" w14:textId="77777777" w:rsidR="001F702C" w:rsidRDefault="00BD18A1">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（一）基金托管人情况</w:t>
      </w:r>
    </w:p>
    <w:p w14:paraId="47CE6C58"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1、基本情况</w:t>
      </w:r>
    </w:p>
    <w:p w14:paraId="551F3C11"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名称：中国光大银行股份有限公司</w:t>
      </w:r>
    </w:p>
    <w:p w14:paraId="2A5038AF"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住所及办公地址：北京市西城区太平桥大街25 号、甲25 号中国光大中心</w:t>
      </w:r>
    </w:p>
    <w:p w14:paraId="629B699D"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成立日期：1992年6月18日</w:t>
      </w:r>
    </w:p>
    <w:p w14:paraId="7F2F9648"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批准设立机关和批准设立文号：国务院、国函[1992]7号</w:t>
      </w:r>
    </w:p>
    <w:p w14:paraId="5FA537B9"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组织形式：股份有限公司</w:t>
      </w:r>
    </w:p>
    <w:p w14:paraId="60579FE1"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注册资本：466.79095亿元人民币</w:t>
      </w:r>
    </w:p>
    <w:p w14:paraId="1C9D5541"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法定代表人：王江</w:t>
      </w:r>
    </w:p>
    <w:p w14:paraId="5ADC6246"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基金托管业务批准文号：中国证监会</w:t>
      </w:r>
      <w:proofErr w:type="gramStart"/>
      <w:r>
        <w:rPr>
          <w:rFonts w:ascii="宋体" w:hAnsi="宋体"/>
          <w:sz w:val="24"/>
        </w:rPr>
        <w:t>证监基字</w:t>
      </w:r>
      <w:proofErr w:type="gramEnd"/>
      <w:r>
        <w:rPr>
          <w:rFonts w:ascii="宋体" w:hAnsi="宋体"/>
          <w:sz w:val="24"/>
        </w:rPr>
        <w:t>【2002】75号</w:t>
      </w:r>
    </w:p>
    <w:p w14:paraId="53B2F218"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资产托管部总经理：李守靖</w:t>
      </w:r>
    </w:p>
    <w:p w14:paraId="12FE5452"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 63636363</w:t>
      </w:r>
    </w:p>
    <w:p w14:paraId="41F579D9"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 63639132</w:t>
      </w:r>
    </w:p>
    <w:p w14:paraId="01504C2F"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网址：www.cebbank.com</w:t>
      </w:r>
    </w:p>
    <w:p w14:paraId="00874C18"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2、主要人员情况</w:t>
      </w:r>
    </w:p>
    <w:p w14:paraId="617EDDDB"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董事长王江先生，自2022年8月起任本行董事长、2022年3月起任本行党委书记。现任中国光大集团股份公司党委书记、董事长，兼任中国光大集团股份公司党校校长、中国光大集团有限公司董事长。曾任中国建设银行山东省分行信贷风险管理处副处长，山东省德州市分行行长，山东省分行党委副书记、副行长，湖北省分行党委书记、行长，上海市分行党委书记、行长；交通银行党委委员、副行长；江苏省副省长；中国银行党委副书记、副董事长、行长；中国建设银行党委副书记、副董事长、行长。获经济学博士学位。第十三届全国人大代表，第十四届全国政协委员。</w:t>
      </w:r>
    </w:p>
    <w:p w14:paraId="5B11F52E"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行长王志恒先生，自2023年3月起任本行执行董事、行长，2022年12月起任本行党委副书记。现任中国光大集团股份公司党委委员、执行董事。曾任中国银行总行公司业务部公司规划处副处长，总行人力资源部主管、副总经理，广东省分行党委委员、副行长，青海省分行党委书记、行长，总行党委组织部部长、人力资源部总经理，北京市分行党委书记、行长，总行党委委员、副行长。获经济学硕士学</w:t>
      </w:r>
      <w:r>
        <w:rPr>
          <w:rFonts w:ascii="宋体" w:hAnsi="宋体"/>
          <w:sz w:val="24"/>
        </w:rPr>
        <w:lastRenderedPageBreak/>
        <w:t>位，经济师。</w:t>
      </w:r>
    </w:p>
    <w:p w14:paraId="5AF7D667"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资产托管部总经理李守靖先生，曾任中国光大银行海口分行部门总经理，行长助理，副行长；中国光大银行南宁分行副行长（主持工作）、行长。现任中国光大银行资产托管部总经理。</w:t>
      </w:r>
    </w:p>
    <w:p w14:paraId="70E90E73"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3、证券投资基金托管情况</w:t>
      </w:r>
    </w:p>
    <w:p w14:paraId="37DC343C"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截至2023年6月30日，中国光大银行股份有限公司托管公开募集证券投资基金共314只，托管基金资产规模6351.28亿元。同时，开展了证券公司资产管理计划、基金公司客户资产管理计划、职业年金、企业年金、QDII、QFII、银行理财、保险债权投资计划等资产的托管及信托公司资金信托计划、产业投资基金、股权基金等产品的保管业务。</w:t>
      </w:r>
    </w:p>
    <w:p w14:paraId="15CCAF5A" w14:textId="77777777" w:rsidR="001F702C" w:rsidRDefault="00BD18A1">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（二）基金托管人的内部控制制度</w:t>
      </w:r>
    </w:p>
    <w:p w14:paraId="686FC318"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1、内部控制目标</w:t>
      </w:r>
    </w:p>
    <w:p w14:paraId="229C60CA"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确保有关法律法规在基金托管业务中得到全面严格的贯彻执行；确保基金托管人有关基金托管的各项管理制度和业务操作规程在基金托管业务中得到全面严格的贯彻执行；确保基金财产安全；保证基金托管业务稳健运行；保护基金份额持有人、基金管理公司及基金托管人的合法权益。</w:t>
      </w:r>
    </w:p>
    <w:p w14:paraId="6439DC87"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2、内部控制的原则</w:t>
      </w:r>
    </w:p>
    <w:p w14:paraId="1ACE1B42"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（1）全面性原则。内部控制必须渗透到基金托管业务的各个操作环节，覆盖所有的岗位，不留任何死角。</w:t>
      </w:r>
    </w:p>
    <w:p w14:paraId="6FF88240"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（2）预防性原则。树立“预防为主”的管理理念，从风险发生的源头加强内部控制，防患于未然，尽量避免业务操作中各种问题的产生。</w:t>
      </w:r>
    </w:p>
    <w:p w14:paraId="2BA9B1D6"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（3）及时性原则。建立健全各项规章制度，采取有效措施加强内部控制。发现问题，及时处理，堵塞漏洞。</w:t>
      </w:r>
    </w:p>
    <w:p w14:paraId="28181777"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（4）独立性原则。基金托管业务内部控制机构独立于基金托管业务执行机构，业务操作人员和内控人员分开，以保证内控机构的工作不受干扰。</w:t>
      </w:r>
    </w:p>
    <w:p w14:paraId="3F48F6F7"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3、内部控制组织结构</w:t>
      </w:r>
    </w:p>
    <w:p w14:paraId="6D372730"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中国光大银行股份有限公司董事会下设风险管理委员会、审计委员会，委员会委员由相关部门的负责人担任，工作重点是对总行各部门、各类业务的风险和内控进行监督、管理和协调，建立横向的内控管理制约体制。各部门负责分管系统内的内部控制的组织实施，建立纵向的内控管理制约体制。资产托管部建立了严密的内</w:t>
      </w:r>
      <w:r>
        <w:rPr>
          <w:rFonts w:ascii="宋体" w:hAnsi="宋体"/>
          <w:sz w:val="24"/>
        </w:rPr>
        <w:lastRenderedPageBreak/>
        <w:t>控督察体系，设立了投资监督与内控合</w:t>
      </w:r>
      <w:proofErr w:type="gramStart"/>
      <w:r>
        <w:rPr>
          <w:rFonts w:ascii="宋体" w:hAnsi="宋体"/>
          <w:sz w:val="24"/>
        </w:rPr>
        <w:t>规</w:t>
      </w:r>
      <w:proofErr w:type="gramEnd"/>
      <w:r>
        <w:rPr>
          <w:rFonts w:ascii="宋体" w:hAnsi="宋体"/>
          <w:sz w:val="24"/>
        </w:rPr>
        <w:t>处，负责证券投资基金托管业务的内控管理。</w:t>
      </w:r>
    </w:p>
    <w:p w14:paraId="77E744E2"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4、内部控制制度</w:t>
      </w:r>
    </w:p>
    <w:p w14:paraId="7E4A9A65"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中国光大银行股份有限公司资产托管部自成立以来严格遵照《基金法》、《中华人民共和国商业银行法》、《信息披露管理办法》、《运作办法》、《销售办法》等法律、法规的要求，并根据相关法律法规制订、完善了《中国光大银行证券投资基金托管业务内部控制规定》、《中国光大银行资产托管部保密规定》等十余项规章制度和实施细则，将风险控制落实到每一个工作环节。中国光大银行资产托管部以控制和防范基金托管业务风险为主线，在重要岗位（基金清算、基金核算、投资监督）还建立了安全保密区，安装了录像监视系统和录音监听系统，以保障基金信息的安全。</w:t>
      </w:r>
    </w:p>
    <w:p w14:paraId="0F11FE1E" w14:textId="77777777" w:rsidR="001F702C" w:rsidRDefault="00BD18A1">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（三）基金托管人对基金管理人运作基金进行监督的方法和程序</w:t>
      </w:r>
    </w:p>
    <w:p w14:paraId="404E8E41"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根据法律、法规和基金合同等的要求，基金托管人主要通过定性和定量相结合、事前监督和事后控制相结合、技术与人工监督相结合等方式方法，对基金投资范围、投资组合比例每日进行监督；同时，对基金管理人就基金资产净值的计算、基金管理人和基金托管人报酬的计提和支付、基金收益分配、基金费用支付等行为的合法性、合</w:t>
      </w:r>
      <w:proofErr w:type="gramStart"/>
      <w:r>
        <w:rPr>
          <w:rFonts w:ascii="宋体" w:hAnsi="宋体"/>
          <w:sz w:val="24"/>
        </w:rPr>
        <w:t>规</w:t>
      </w:r>
      <w:proofErr w:type="gramEnd"/>
      <w:r>
        <w:rPr>
          <w:rFonts w:ascii="宋体" w:hAnsi="宋体"/>
          <w:sz w:val="24"/>
        </w:rPr>
        <w:t>性进行监督和核查。</w:t>
      </w:r>
    </w:p>
    <w:p w14:paraId="20B426C9"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人发现基金管理人的违反法律、法规和基金合同等规定的行为，及时以邮件、电话或书面等形式通知基金管理人限期纠正，基金管理人收到通知后应及时核对确认并以邮件或书面形式对基金托管人发出回函。在限期内，基金托管人有权随时对通知事项进行复查。基金管理人对基金托管人通知的违规事项未能在限期内纠正的，基金托管人应报告中国证监会。</w:t>
      </w:r>
    </w:p>
    <w:p w14:paraId="3A40B853" w14:textId="77777777" w:rsidR="00367445" w:rsidRDefault="00BD18A1" w:rsidP="00367445">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5FEC10AE" w14:textId="77777777" w:rsidR="001F702C" w:rsidRDefault="00BD18A1">
      <w:pPr>
        <w:pStyle w:val="1"/>
        <w:snapToGrid w:val="0"/>
        <w:spacing w:beforeLines="0" w:before="240" w:after="240"/>
        <w:rPr>
          <w:rFonts w:ascii="宋体" w:hAnsi="宋体"/>
          <w:szCs w:val="30"/>
        </w:rPr>
      </w:pPr>
      <w:bookmarkStart w:id="8" w:name="_Toc140049409"/>
      <w:r>
        <w:rPr>
          <w:rFonts w:ascii="Times New Roman" w:hAnsi="Times New Roman"/>
          <w:sz w:val="30"/>
        </w:rPr>
        <w:lastRenderedPageBreak/>
        <w:t>五、相关服务机构</w:t>
      </w:r>
      <w:bookmarkEnd w:id="8"/>
    </w:p>
    <w:p w14:paraId="7E48DCD1"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（一）基金份额销售机构</w:t>
      </w:r>
    </w:p>
    <w:p w14:paraId="4C4C368F"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1、直销机构</w:t>
      </w:r>
    </w:p>
    <w:p w14:paraId="22D5F6E0"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本基金直销机构为基金管理人直销柜台以及基金管理人的网上直销交易平台（网站及手机APP，下同）。</w:t>
      </w:r>
    </w:p>
    <w:p w14:paraId="056CAA92"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机构名称：交银施罗德基金管理有限公司</w:t>
      </w:r>
    </w:p>
    <w:p w14:paraId="34D8698C"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住所：中国(上海)自由贸易试验区银城中路188号交通银行大楼二层（裙）</w:t>
      </w:r>
    </w:p>
    <w:p w14:paraId="6D55F6C6"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w:t>
      </w:r>
      <w:proofErr w:type="gramStart"/>
      <w:r>
        <w:rPr>
          <w:rFonts w:ascii="宋体" w:hAnsi="宋体"/>
          <w:sz w:val="24"/>
        </w:rPr>
        <w:t>新区世纪</w:t>
      </w:r>
      <w:proofErr w:type="gramEnd"/>
      <w:r>
        <w:rPr>
          <w:rFonts w:ascii="宋体" w:hAnsi="宋体"/>
          <w:sz w:val="24"/>
        </w:rPr>
        <w:t>大道8号国</w:t>
      </w:r>
      <w:proofErr w:type="gramStart"/>
      <w:r>
        <w:rPr>
          <w:rFonts w:ascii="宋体" w:hAnsi="宋体"/>
          <w:sz w:val="24"/>
        </w:rPr>
        <w:t>金中心</w:t>
      </w:r>
      <w:proofErr w:type="gramEnd"/>
      <w:r>
        <w:rPr>
          <w:rFonts w:ascii="宋体" w:hAnsi="宋体"/>
          <w:sz w:val="24"/>
        </w:rPr>
        <w:t>二期21-22楼</w:t>
      </w:r>
    </w:p>
    <w:p w14:paraId="15E8FEBF"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法定代表人：阮红</w:t>
      </w:r>
    </w:p>
    <w:p w14:paraId="26819FC2"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成立时间：2005年8月4日</w:t>
      </w:r>
    </w:p>
    <w:p w14:paraId="55DA9C0F"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电话：（021）61055724</w:t>
      </w:r>
    </w:p>
    <w:p w14:paraId="3EA1C956"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传真：（021）61055054</w:t>
      </w:r>
    </w:p>
    <w:p w14:paraId="5FB5B292"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联系人：傅鲸</w:t>
      </w:r>
    </w:p>
    <w:p w14:paraId="58906C12"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客户服务电话：400-700-5000（免长途话费），（021）61055000</w:t>
      </w:r>
    </w:p>
    <w:p w14:paraId="378ED0FF"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网址：www.fund001.com</w:t>
      </w:r>
    </w:p>
    <w:p w14:paraId="7CF49409" w14:textId="2E708910"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个人投资者可以通过基金管理人网上直销交易平台办理开户、本基金的申购、赎回、转换以及A类基金份额</w:t>
      </w:r>
      <w:r w:rsidR="009B698D">
        <w:rPr>
          <w:rFonts w:ascii="宋体" w:hAnsi="宋体" w:hint="eastAsia"/>
          <w:sz w:val="24"/>
        </w:rPr>
        <w:t>和D类基金份额</w:t>
      </w:r>
      <w:r>
        <w:rPr>
          <w:rFonts w:ascii="宋体" w:hAnsi="宋体"/>
          <w:sz w:val="24"/>
        </w:rPr>
        <w:t>的定期定额投资等业务，具体交易细则请参阅基金管理人网站。</w:t>
      </w:r>
    </w:p>
    <w:p w14:paraId="4DE00F76"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网上直销交易平台网址：www.fund001.com。</w:t>
      </w:r>
    </w:p>
    <w:p w14:paraId="27BDF4D1"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2、代销机构</w:t>
      </w:r>
    </w:p>
    <w:p w14:paraId="39436D52" w14:textId="77777777" w:rsidR="009B698D" w:rsidRDefault="009B698D" w:rsidP="009B698D">
      <w:pPr>
        <w:autoSpaceDE w:val="0"/>
        <w:autoSpaceDN w:val="0"/>
        <w:adjustRightInd w:val="0"/>
        <w:snapToGrid w:val="0"/>
        <w:spacing w:line="360" w:lineRule="auto"/>
        <w:ind w:firstLineChars="200" w:firstLine="480"/>
        <w:jc w:val="left"/>
        <w:rPr>
          <w:rFonts w:ascii="宋体" w:hAnsi="宋体"/>
          <w:sz w:val="24"/>
        </w:rPr>
      </w:pPr>
      <w:r w:rsidRPr="002D387B">
        <w:rPr>
          <w:rFonts w:ascii="宋体" w:hAnsi="宋体" w:hint="eastAsia"/>
          <w:sz w:val="24"/>
        </w:rPr>
        <w:t>本基金A类基金份额和C类基金份额除直销机构外的其他销售机构：</w:t>
      </w:r>
    </w:p>
    <w:p w14:paraId="3D65AC53"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（1）名称：交通银行股份有限公司</w:t>
      </w:r>
    </w:p>
    <w:p w14:paraId="0090C10D"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住所：上海市浦东</w:t>
      </w:r>
      <w:proofErr w:type="gramStart"/>
      <w:r>
        <w:rPr>
          <w:rFonts w:ascii="宋体" w:hAnsi="宋体"/>
          <w:sz w:val="24"/>
        </w:rPr>
        <w:t>新区银</w:t>
      </w:r>
      <w:proofErr w:type="gramEnd"/>
      <w:r>
        <w:rPr>
          <w:rFonts w:ascii="宋体" w:hAnsi="宋体"/>
          <w:sz w:val="24"/>
        </w:rPr>
        <w:t>城中路188号</w:t>
      </w:r>
    </w:p>
    <w:p w14:paraId="4C4ABB7B"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w:t>
      </w:r>
      <w:proofErr w:type="gramStart"/>
      <w:r>
        <w:rPr>
          <w:rFonts w:ascii="宋体" w:hAnsi="宋体"/>
          <w:sz w:val="24"/>
        </w:rPr>
        <w:t>新区银</w:t>
      </w:r>
      <w:proofErr w:type="gramEnd"/>
      <w:r>
        <w:rPr>
          <w:rFonts w:ascii="宋体" w:hAnsi="宋体"/>
          <w:sz w:val="24"/>
        </w:rPr>
        <w:t>城中路188号</w:t>
      </w:r>
    </w:p>
    <w:p w14:paraId="6A073A85"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法定代表人：任德奇</w:t>
      </w:r>
    </w:p>
    <w:p w14:paraId="325CE7A5"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电话：（021）58781234</w:t>
      </w:r>
    </w:p>
    <w:p w14:paraId="312F6AED"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传真：（021）58408483</w:t>
      </w:r>
    </w:p>
    <w:p w14:paraId="0325D29A"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联系人：范瑞波</w:t>
      </w:r>
    </w:p>
    <w:p w14:paraId="5D0D22E1"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客户服务电话：95559</w:t>
      </w:r>
    </w:p>
    <w:p w14:paraId="5BFFEFC6"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网址：www.bankcomm.com</w:t>
      </w:r>
    </w:p>
    <w:p w14:paraId="049E6E34"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（2）名称：平安银行股份有限公司</w:t>
      </w:r>
    </w:p>
    <w:p w14:paraId="4CF66A40"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注册地址：深圳市罗湖区深南东路5047号</w:t>
      </w:r>
    </w:p>
    <w:p w14:paraId="2456FD48"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办公地址：深圳市深南东路5047号</w:t>
      </w:r>
    </w:p>
    <w:p w14:paraId="383F7971"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法人代表：谢永林</w:t>
      </w:r>
    </w:p>
    <w:p w14:paraId="7622A60F"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电话：0755-22166574</w:t>
      </w:r>
    </w:p>
    <w:p w14:paraId="2A498EA1"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传真：0755-82080406</w:t>
      </w:r>
    </w:p>
    <w:p w14:paraId="62F16FA8"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联系人：赵杨</w:t>
      </w:r>
    </w:p>
    <w:p w14:paraId="63557092"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客服电话：95511-3或95501</w:t>
      </w:r>
    </w:p>
    <w:p w14:paraId="5FCC8A7F"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网址：bank.pingan.com</w:t>
      </w:r>
    </w:p>
    <w:p w14:paraId="44EA14D6"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（3）名称：宁波银行股份有限公司</w:t>
      </w:r>
    </w:p>
    <w:p w14:paraId="632E2264"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住所：宁波市江东区中山东路294号</w:t>
      </w:r>
    </w:p>
    <w:p w14:paraId="7BEA4F8F"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法定代表人：陆华裕</w:t>
      </w:r>
    </w:p>
    <w:p w14:paraId="66FB1D1A"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电话：（021）63586210</w:t>
      </w:r>
    </w:p>
    <w:p w14:paraId="4A986DE6"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传真：（021）63586215</w:t>
      </w:r>
    </w:p>
    <w:p w14:paraId="54BCE945"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w:t>
      </w:r>
      <w:proofErr w:type="gramStart"/>
      <w:r>
        <w:rPr>
          <w:rFonts w:ascii="宋体" w:hAnsi="宋体"/>
          <w:sz w:val="24"/>
        </w:rPr>
        <w:t>胡技勋</w:t>
      </w:r>
      <w:proofErr w:type="gramEnd"/>
    </w:p>
    <w:p w14:paraId="6E4DD84D"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客户服务电话：96528（上海地区962528）</w:t>
      </w:r>
    </w:p>
    <w:p w14:paraId="3B6FF2D1"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网址：www.nbcb.com.cn</w:t>
      </w:r>
    </w:p>
    <w:p w14:paraId="50C304AE"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（4）名称：招商银行股份有限公司</w:t>
      </w:r>
    </w:p>
    <w:p w14:paraId="64976F5C"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住所：深圳市福田区深南大道7088号</w:t>
      </w:r>
    </w:p>
    <w:p w14:paraId="209808B2"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办公地址：深圳市福田区深南大道7088号</w:t>
      </w:r>
    </w:p>
    <w:p w14:paraId="03925A34"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法定代表人：缪建民</w:t>
      </w:r>
    </w:p>
    <w:p w14:paraId="209B1F96"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电话：（0755）83198888</w:t>
      </w:r>
    </w:p>
    <w:p w14:paraId="7A1774C9"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传真：（0755）83195109</w:t>
      </w:r>
    </w:p>
    <w:p w14:paraId="70E8452B"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联系人：季平伟</w:t>
      </w:r>
    </w:p>
    <w:p w14:paraId="19B27018"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客户服务电话：95555</w:t>
      </w:r>
    </w:p>
    <w:p w14:paraId="6D830ABA"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网址：www.cmbchina.com</w:t>
      </w:r>
    </w:p>
    <w:p w14:paraId="573F82BF"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（5）名称：兴业银行股份有限公司</w:t>
      </w:r>
    </w:p>
    <w:p w14:paraId="3A87B8EC"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注册地址：福建省福州市湖东路154号中山大厦</w:t>
      </w:r>
    </w:p>
    <w:p w14:paraId="03CDFFEB"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w:t>
      </w:r>
      <w:proofErr w:type="gramStart"/>
      <w:r>
        <w:rPr>
          <w:rFonts w:ascii="宋体" w:hAnsi="宋体"/>
          <w:sz w:val="24"/>
        </w:rPr>
        <w:t>新区银</w:t>
      </w:r>
      <w:proofErr w:type="gramEnd"/>
      <w:r>
        <w:rPr>
          <w:rFonts w:ascii="宋体" w:hAnsi="宋体"/>
          <w:sz w:val="24"/>
        </w:rPr>
        <w:t>城路 167 号兴业银行大厦</w:t>
      </w:r>
    </w:p>
    <w:p w14:paraId="10DF871B"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法定代表人：吕家进</w:t>
      </w:r>
    </w:p>
    <w:p w14:paraId="6A4EDB24"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联系人：蔡宣铭</w:t>
      </w:r>
    </w:p>
    <w:p w14:paraId="6E39E717"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联系电话：021-52629999</w:t>
      </w:r>
    </w:p>
    <w:p w14:paraId="3E635697"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客服热线：95561</w:t>
      </w:r>
    </w:p>
    <w:p w14:paraId="03FDB4CD"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网址：www.cib.com.cn</w:t>
      </w:r>
    </w:p>
    <w:p w14:paraId="370DDD10"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（6）名称：东方财富证券股份有限公司</w:t>
      </w:r>
    </w:p>
    <w:p w14:paraId="29E67852"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住所：西藏自治区拉萨市柳梧新区国际总部城10栋楼</w:t>
      </w:r>
    </w:p>
    <w:p w14:paraId="09A29C89"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办公地址：上海市徐汇区宛平南路88号东方财富大厦</w:t>
      </w:r>
    </w:p>
    <w:p w14:paraId="3E5BF6D5"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法定代表人：徐伟琴</w:t>
      </w:r>
    </w:p>
    <w:p w14:paraId="691912A8"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电话：（021）021-23586603</w:t>
      </w:r>
    </w:p>
    <w:p w14:paraId="01EDA99A"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传真：（021）021-23586860</w:t>
      </w:r>
    </w:p>
    <w:p w14:paraId="15902202"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联系人：付佳</w:t>
      </w:r>
    </w:p>
    <w:p w14:paraId="55756EE2"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客户服务电话：95357</w:t>
      </w:r>
    </w:p>
    <w:p w14:paraId="152BC1E0"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网址：http://www.18.cn</w:t>
      </w:r>
    </w:p>
    <w:p w14:paraId="4AB965D2"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（7）名称：广发证券股份有限公司</w:t>
      </w:r>
    </w:p>
    <w:p w14:paraId="45841303"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住所：广州市黄埔区中新广州知识城腾飞一街2号618室</w:t>
      </w:r>
    </w:p>
    <w:p w14:paraId="76DA3F3D"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办公地址：广州市天河区</w:t>
      </w:r>
      <w:proofErr w:type="gramStart"/>
      <w:r>
        <w:rPr>
          <w:rFonts w:ascii="宋体" w:hAnsi="宋体"/>
          <w:sz w:val="24"/>
        </w:rPr>
        <w:t>马场路</w:t>
      </w:r>
      <w:proofErr w:type="gramEnd"/>
      <w:r>
        <w:rPr>
          <w:rFonts w:ascii="宋体" w:hAnsi="宋体"/>
          <w:sz w:val="24"/>
        </w:rPr>
        <w:t>26号广发证券大厦</w:t>
      </w:r>
    </w:p>
    <w:p w14:paraId="2DB90F9B"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法定代表人：孙树明</w:t>
      </w:r>
    </w:p>
    <w:p w14:paraId="2F987E4F"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电话：（020）66338888</w:t>
      </w:r>
    </w:p>
    <w:p w14:paraId="08325DBE"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传真：（020）87553600</w:t>
      </w:r>
    </w:p>
    <w:p w14:paraId="0F42E89D"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w:t>
      </w:r>
      <w:proofErr w:type="gramStart"/>
      <w:r>
        <w:rPr>
          <w:rFonts w:ascii="宋体" w:hAnsi="宋体"/>
          <w:sz w:val="24"/>
        </w:rPr>
        <w:t>马梦洁</w:t>
      </w:r>
      <w:proofErr w:type="gramEnd"/>
    </w:p>
    <w:p w14:paraId="14E2976B"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客户服务电话：95575</w:t>
      </w:r>
    </w:p>
    <w:p w14:paraId="53D7A92E"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网址：www.gf.com.cn</w:t>
      </w:r>
    </w:p>
    <w:p w14:paraId="1382243A"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（8）名称：海通证券股份有限公司</w:t>
      </w:r>
    </w:p>
    <w:p w14:paraId="02B488BC"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住所：上海市淮海中路98号</w:t>
      </w:r>
    </w:p>
    <w:p w14:paraId="62EE4898"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办公地址：上海市广东路689号</w:t>
      </w:r>
    </w:p>
    <w:p w14:paraId="6A63E72E"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法定代表人：王开国</w:t>
      </w:r>
    </w:p>
    <w:p w14:paraId="15A8B923"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电话：（021）23219000</w:t>
      </w:r>
    </w:p>
    <w:p w14:paraId="04D33D00"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传真：（021）23219100</w:t>
      </w:r>
    </w:p>
    <w:p w14:paraId="36D7CED7"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联系人：李笑鸣</w:t>
      </w:r>
    </w:p>
    <w:p w14:paraId="1026DD88"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客户服务电话：95553或拨打各城市营业网点咨询电话</w:t>
      </w:r>
    </w:p>
    <w:p w14:paraId="3E0D7290"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网址：www.htsec.com"</w:t>
      </w:r>
    </w:p>
    <w:p w14:paraId="24F0D515"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（9）名称：华西证券股份有限公司</w:t>
      </w:r>
    </w:p>
    <w:p w14:paraId="462B4724"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住所：四川省成都市高新区天府二街198号华西证券大厦</w:t>
      </w:r>
    </w:p>
    <w:p w14:paraId="055518FB"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办公地址：四川省成都市高新区天府二街198号华西证券大厦</w:t>
      </w:r>
    </w:p>
    <w:p w14:paraId="2CAC140D"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法定代表人：杨炯洋</w:t>
      </w:r>
    </w:p>
    <w:p w14:paraId="6089F968"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电话：（028）86135991</w:t>
      </w:r>
    </w:p>
    <w:p w14:paraId="2831FDF3"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传真：（028）86150400</w:t>
      </w:r>
    </w:p>
    <w:p w14:paraId="20E80DB9"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联系人：周志茹</w:t>
      </w:r>
    </w:p>
    <w:p w14:paraId="01633FC3"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客户服务电话：95584</w:t>
      </w:r>
    </w:p>
    <w:p w14:paraId="5791CF3D"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网址：www.hx168.com.cn</w:t>
      </w:r>
    </w:p>
    <w:p w14:paraId="0FC8483B"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（10）名称：上海基</w:t>
      </w:r>
      <w:proofErr w:type="gramStart"/>
      <w:r>
        <w:rPr>
          <w:rFonts w:ascii="宋体" w:hAnsi="宋体"/>
          <w:sz w:val="24"/>
        </w:rPr>
        <w:t>煜</w:t>
      </w:r>
      <w:proofErr w:type="gramEnd"/>
      <w:r>
        <w:rPr>
          <w:rFonts w:ascii="宋体" w:hAnsi="宋体"/>
          <w:sz w:val="24"/>
        </w:rPr>
        <w:t>基金销售有限公司</w:t>
      </w:r>
    </w:p>
    <w:p w14:paraId="1187C20C"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 上海市崇明县长兴镇路潘园公路1800号2号楼6153室（上海泰和经济发展区）</w:t>
      </w:r>
    </w:p>
    <w:p w14:paraId="202C0C32"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办公地址：上海市昆明路518号北美广场A1002-A1003室</w:t>
      </w:r>
    </w:p>
    <w:p w14:paraId="54DC98BA"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法定代表人：王翔</w:t>
      </w:r>
    </w:p>
    <w:p w14:paraId="2DDC0B1C"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电话：（021）35385521</w:t>
      </w:r>
    </w:p>
    <w:p w14:paraId="6DA30E75"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传真：（021）55085991</w:t>
      </w:r>
    </w:p>
    <w:p w14:paraId="236E7DD1"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联系人：蓝杰</w:t>
      </w:r>
    </w:p>
    <w:p w14:paraId="60DD7033"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客户服务电话：400-820-5369</w:t>
      </w:r>
    </w:p>
    <w:p w14:paraId="2A2633FD"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网址：www.jiyufund.com.cn</w:t>
      </w:r>
    </w:p>
    <w:p w14:paraId="16A53420"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（11）名称：北京汇成基金销售有限公司</w:t>
      </w:r>
    </w:p>
    <w:p w14:paraId="5ACD607A"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住所：北京市西城区宣武门外大街甲1号4层401-2</w:t>
      </w:r>
    </w:p>
    <w:p w14:paraId="13FB12A6"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办公地址：北京市西城区宣武门外大街甲1号</w:t>
      </w:r>
      <w:proofErr w:type="gramStart"/>
      <w:r>
        <w:rPr>
          <w:rFonts w:ascii="宋体" w:hAnsi="宋体"/>
          <w:sz w:val="24"/>
        </w:rPr>
        <w:t>环球财讯中心</w:t>
      </w:r>
      <w:proofErr w:type="gramEnd"/>
      <w:r>
        <w:rPr>
          <w:rFonts w:ascii="宋体" w:hAnsi="宋体"/>
          <w:sz w:val="24"/>
        </w:rPr>
        <w:t>D座4层401-2</w:t>
      </w:r>
    </w:p>
    <w:p w14:paraId="2207141E"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法定代表人：王伟刚</w:t>
      </w:r>
    </w:p>
    <w:p w14:paraId="049B8404"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电话：（010）56282140</w:t>
      </w:r>
    </w:p>
    <w:p w14:paraId="5D243B02"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传真：（010）62680827</w:t>
      </w:r>
    </w:p>
    <w:p w14:paraId="51F8A659"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联系人：张林</w:t>
      </w:r>
    </w:p>
    <w:p w14:paraId="4B129061"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客户服务电话：400-619-9059</w:t>
      </w:r>
    </w:p>
    <w:p w14:paraId="2239B03B"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网址：www.hcfunds.com</w:t>
      </w:r>
    </w:p>
    <w:p w14:paraId="1A2A9CDB"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（12）名称：中证金牛（北京）投资咨询有限公司</w:t>
      </w:r>
    </w:p>
    <w:p w14:paraId="6FD033BB"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 北京市丰台区东管头1号2号楼2-45室</w:t>
      </w:r>
    </w:p>
    <w:p w14:paraId="215D734A"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 北京市西城区宣武门外大街甲一号</w:t>
      </w:r>
      <w:proofErr w:type="gramStart"/>
      <w:r>
        <w:rPr>
          <w:rFonts w:ascii="宋体" w:hAnsi="宋体"/>
          <w:sz w:val="24"/>
        </w:rPr>
        <w:t>环球财讯中心</w:t>
      </w:r>
      <w:proofErr w:type="gramEnd"/>
      <w:r>
        <w:rPr>
          <w:rFonts w:ascii="宋体" w:hAnsi="宋体"/>
          <w:sz w:val="24"/>
        </w:rPr>
        <w:t>A座5层</w:t>
      </w:r>
    </w:p>
    <w:p w14:paraId="191C9628"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 钱昊旻</w:t>
      </w:r>
    </w:p>
    <w:p w14:paraId="78B93FD0"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电话：（010）59336533</w:t>
      </w:r>
    </w:p>
    <w:p w14:paraId="75D2131C"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传真：（010）59336500</w:t>
      </w:r>
    </w:p>
    <w:p w14:paraId="1733FF74"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 xml:space="preserve">联系人： </w:t>
      </w:r>
      <w:proofErr w:type="gramStart"/>
      <w:r>
        <w:rPr>
          <w:rFonts w:ascii="宋体" w:hAnsi="宋体"/>
          <w:sz w:val="24"/>
        </w:rPr>
        <w:t>孟汉霄</w:t>
      </w:r>
      <w:proofErr w:type="gramEnd"/>
    </w:p>
    <w:p w14:paraId="40DBB65E"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客户服务电话：4008-909-998</w:t>
      </w:r>
    </w:p>
    <w:p w14:paraId="47F01AF3"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 www.jnlc.com</w:t>
      </w:r>
    </w:p>
    <w:p w14:paraId="6146BE35"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（13）名称：大连</w:t>
      </w:r>
      <w:proofErr w:type="gramStart"/>
      <w:r>
        <w:rPr>
          <w:rFonts w:ascii="宋体" w:hAnsi="宋体"/>
          <w:sz w:val="24"/>
        </w:rPr>
        <w:t>网金基金</w:t>
      </w:r>
      <w:proofErr w:type="gramEnd"/>
      <w:r>
        <w:rPr>
          <w:rFonts w:ascii="宋体" w:hAnsi="宋体"/>
          <w:sz w:val="24"/>
        </w:rPr>
        <w:t>销售有限公司</w:t>
      </w:r>
    </w:p>
    <w:p w14:paraId="71FBE09A"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 辽宁省大连市沙河口区体坛路22号诺德大厦2层202室</w:t>
      </w:r>
    </w:p>
    <w:p w14:paraId="66E45C9E"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 辽宁省大连市沙河口区体坛路22号诺德大厦2层202室</w:t>
      </w:r>
    </w:p>
    <w:p w14:paraId="61C21028"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 樊怀东</w:t>
      </w:r>
    </w:p>
    <w:p w14:paraId="6CF2CAE9"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电话：（0411-39027810）</w:t>
      </w:r>
    </w:p>
    <w:p w14:paraId="395F3A91"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传真：（0411-39027835）</w:t>
      </w:r>
    </w:p>
    <w:p w14:paraId="15569223"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于秀</w:t>
      </w:r>
    </w:p>
    <w:p w14:paraId="35310ACD"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 4000-899-100</w:t>
      </w:r>
    </w:p>
    <w:p w14:paraId="35783C41"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网址：http://www.yibaijin.com</w:t>
      </w:r>
    </w:p>
    <w:p w14:paraId="60AC6506"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（14）名称：北京肯特瑞基金销售有限公司</w:t>
      </w:r>
    </w:p>
    <w:p w14:paraId="50AC8819"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 北京市海淀区西三旗建材城中路12号17号平房157</w:t>
      </w:r>
    </w:p>
    <w:p w14:paraId="05EDF6A9"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办公地址：北京市通州区亦庄</w:t>
      </w:r>
      <w:proofErr w:type="gramStart"/>
      <w:r>
        <w:rPr>
          <w:rFonts w:ascii="宋体" w:hAnsi="宋体"/>
          <w:sz w:val="24"/>
        </w:rPr>
        <w:t>经济技术开发区科创十一</w:t>
      </w:r>
      <w:proofErr w:type="gramEnd"/>
      <w:r>
        <w:rPr>
          <w:rFonts w:ascii="宋体" w:hAnsi="宋体"/>
          <w:sz w:val="24"/>
        </w:rPr>
        <w:t>街18号院京东集团总部A座15层</w:t>
      </w:r>
    </w:p>
    <w:p w14:paraId="151C6120"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法定代表人：王苏宁</w:t>
      </w:r>
    </w:p>
    <w:p w14:paraId="7CC6D725"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电话：95118</w:t>
      </w:r>
    </w:p>
    <w:p w14:paraId="7338B46D"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传真：010-89189566</w:t>
      </w:r>
    </w:p>
    <w:p w14:paraId="616EC1E4"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联系人：李丹</w:t>
      </w:r>
    </w:p>
    <w:p w14:paraId="71113140"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客服热线：95118</w:t>
      </w:r>
    </w:p>
    <w:p w14:paraId="3B9B53E5"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网址：kenterui.jd.com</w:t>
      </w:r>
    </w:p>
    <w:p w14:paraId="50EE448B"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（15）名称：奕丰基金销售有限公司</w:t>
      </w:r>
    </w:p>
    <w:p w14:paraId="5FC865DB"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住所：深圳市前海深港合作区前湾一路1号A栋201室（入驻深圳市前海商务秘</w:t>
      </w:r>
      <w:r>
        <w:rPr>
          <w:rFonts w:ascii="宋体" w:hAnsi="宋体"/>
          <w:sz w:val="24"/>
        </w:rPr>
        <w:lastRenderedPageBreak/>
        <w:t>书有限公司）</w:t>
      </w:r>
    </w:p>
    <w:p w14:paraId="25F868D6"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办公地址：深圳市南山区海德三路海岸大厦A座17楼1704室</w:t>
      </w:r>
    </w:p>
    <w:p w14:paraId="45DAB142"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法定代表人：TEO WEE HOWE</w:t>
      </w:r>
    </w:p>
    <w:p w14:paraId="71CF10CF"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电话：（0755）89460500</w:t>
      </w:r>
    </w:p>
    <w:p w14:paraId="2FC4BB41"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传真：（0755）21674453</w:t>
      </w:r>
    </w:p>
    <w:p w14:paraId="29506F60"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联系人：叶健</w:t>
      </w:r>
    </w:p>
    <w:p w14:paraId="0DCD89A6"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客户服务电话：400-684-0500</w:t>
      </w:r>
    </w:p>
    <w:p w14:paraId="21265BA1"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网址：www.ifastps.com.cn</w:t>
      </w:r>
    </w:p>
    <w:p w14:paraId="5795FD6A"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（16）名称：上海天天基金销售有限公司</w:t>
      </w:r>
    </w:p>
    <w:p w14:paraId="3027A1C0"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住所：上海市徐汇区龙田路190号2号楼2层</w:t>
      </w:r>
    </w:p>
    <w:p w14:paraId="7B751F35"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办公地址：上海市徐汇区龙田路195号3C座10楼</w:t>
      </w:r>
    </w:p>
    <w:p w14:paraId="573B3A00"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法定代表人：其实</w:t>
      </w:r>
    </w:p>
    <w:p w14:paraId="162CF4AF"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电话：（021）54509998</w:t>
      </w:r>
    </w:p>
    <w:p w14:paraId="55B39984"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传真：（021）64385308</w:t>
      </w:r>
    </w:p>
    <w:p w14:paraId="661542C7"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联系人：潘世友</w:t>
      </w:r>
    </w:p>
    <w:p w14:paraId="58AFC6BA"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客户服务电话：400-1818-188</w:t>
      </w:r>
    </w:p>
    <w:p w14:paraId="6A679FC4"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网址：www.1234567.com.cn</w:t>
      </w:r>
    </w:p>
    <w:p w14:paraId="24690602"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（17）名称：上海陆金</w:t>
      </w:r>
      <w:proofErr w:type="gramStart"/>
      <w:r>
        <w:rPr>
          <w:rFonts w:ascii="宋体" w:hAnsi="宋体"/>
          <w:sz w:val="24"/>
        </w:rPr>
        <w:t>所资产</w:t>
      </w:r>
      <w:proofErr w:type="gramEnd"/>
      <w:r>
        <w:rPr>
          <w:rFonts w:ascii="宋体" w:hAnsi="宋体"/>
          <w:sz w:val="24"/>
        </w:rPr>
        <w:t>管理有限公司</w:t>
      </w:r>
    </w:p>
    <w:p w14:paraId="6C185277"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住所：上海市浦东新区陆家嘴环路1333号14楼09单元</w:t>
      </w:r>
    </w:p>
    <w:p w14:paraId="7C2093F7"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办公地址：上海市浦东新区陆家嘴环路1333号14楼</w:t>
      </w:r>
    </w:p>
    <w:p w14:paraId="08D96AF0"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法定代表人：郭坚</w:t>
      </w:r>
    </w:p>
    <w:p w14:paraId="17E82493"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电话：（021）20665952</w:t>
      </w:r>
    </w:p>
    <w:p w14:paraId="3FCFD566"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传真：（021）22066653</w:t>
      </w:r>
    </w:p>
    <w:p w14:paraId="233A7429"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w:t>
      </w:r>
      <w:proofErr w:type="gramStart"/>
      <w:r>
        <w:rPr>
          <w:rFonts w:ascii="宋体" w:hAnsi="宋体"/>
          <w:sz w:val="24"/>
        </w:rPr>
        <w:t>宁博宇</w:t>
      </w:r>
      <w:proofErr w:type="gramEnd"/>
    </w:p>
    <w:p w14:paraId="14871506"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客户服务电话：4008219031</w:t>
      </w:r>
    </w:p>
    <w:p w14:paraId="1D3E4FA3"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网址：www.lufunds.com</w:t>
      </w:r>
    </w:p>
    <w:p w14:paraId="7A81EC7D"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（18）名称：珠海盈米财富管理有限公司</w:t>
      </w:r>
    </w:p>
    <w:p w14:paraId="655A742A"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住所：珠海市横琴新区宝华路6号105室-3491</w:t>
      </w:r>
    </w:p>
    <w:p w14:paraId="5A2759BB"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办公地址：广州市海珠区</w:t>
      </w:r>
      <w:proofErr w:type="gramStart"/>
      <w:r>
        <w:rPr>
          <w:rFonts w:ascii="宋体" w:hAnsi="宋体"/>
          <w:sz w:val="24"/>
        </w:rPr>
        <w:t>琶</w:t>
      </w:r>
      <w:proofErr w:type="gramEnd"/>
      <w:r>
        <w:rPr>
          <w:rFonts w:ascii="宋体" w:hAnsi="宋体"/>
          <w:sz w:val="24"/>
        </w:rPr>
        <w:t>洲大道东1号保利国际广场南塔12楼B1201-1203</w:t>
      </w:r>
    </w:p>
    <w:p w14:paraId="32AA390B"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法定代表人：肖雯</w:t>
      </w:r>
    </w:p>
    <w:p w14:paraId="475B3A3B"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电话：（020）89629099</w:t>
      </w:r>
    </w:p>
    <w:p w14:paraId="11D5BE1B"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传真：（020）89629011</w:t>
      </w:r>
    </w:p>
    <w:p w14:paraId="4FEACF06"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联系人：黄敏</w:t>
      </w:r>
      <w:proofErr w:type="gramStart"/>
      <w:r>
        <w:rPr>
          <w:rFonts w:ascii="宋体" w:hAnsi="宋体"/>
          <w:sz w:val="24"/>
        </w:rPr>
        <w:t>嫦</w:t>
      </w:r>
      <w:proofErr w:type="gramEnd"/>
    </w:p>
    <w:p w14:paraId="7E150260"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客户服务电话：（020）89629066</w:t>
      </w:r>
    </w:p>
    <w:p w14:paraId="07091DFB"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网址：www.yingmi.cn</w:t>
      </w:r>
    </w:p>
    <w:p w14:paraId="03CFD877"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（19）名称：上海好买基金销售有限公司</w:t>
      </w:r>
    </w:p>
    <w:p w14:paraId="57AFFC22"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住所：上海市虹口区场中路685弄37号4号楼449室</w:t>
      </w:r>
    </w:p>
    <w:p w14:paraId="15689951"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办公地址：上海市浦东新区浦东南路1118号鄂尔多斯国际大厦903-906室</w:t>
      </w:r>
    </w:p>
    <w:p w14:paraId="68CE80A8"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法定代表人：杨文斌</w:t>
      </w:r>
    </w:p>
    <w:p w14:paraId="552A8AC4"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传真：（021）68596916</w:t>
      </w:r>
    </w:p>
    <w:p w14:paraId="5C1A63F5"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联系人：薛年</w:t>
      </w:r>
    </w:p>
    <w:p w14:paraId="7B799746"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客户服务电话：400-700-9665</w:t>
      </w:r>
    </w:p>
    <w:p w14:paraId="02AD6081"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网址：www.ehowbuy.com</w:t>
      </w:r>
    </w:p>
    <w:p w14:paraId="505BE2F2"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（20）名称：北京度小满基金销售有限公司</w:t>
      </w:r>
    </w:p>
    <w:p w14:paraId="701E2C97"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住所：北京市海淀区上</w:t>
      </w:r>
      <w:proofErr w:type="gramStart"/>
      <w:r>
        <w:rPr>
          <w:rFonts w:ascii="宋体" w:hAnsi="宋体"/>
          <w:sz w:val="24"/>
        </w:rPr>
        <w:t>地十街</w:t>
      </w:r>
      <w:proofErr w:type="gramEnd"/>
      <w:r>
        <w:rPr>
          <w:rFonts w:ascii="宋体" w:hAnsi="宋体"/>
          <w:sz w:val="24"/>
        </w:rPr>
        <w:t>10号1幢1层101</w:t>
      </w:r>
    </w:p>
    <w:p w14:paraId="50A1830F"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 北京市海淀区信息路甲9号</w:t>
      </w:r>
      <w:proofErr w:type="gramStart"/>
      <w:r>
        <w:rPr>
          <w:rFonts w:ascii="宋体" w:hAnsi="宋体"/>
          <w:sz w:val="24"/>
        </w:rPr>
        <w:t>奎</w:t>
      </w:r>
      <w:proofErr w:type="gramEnd"/>
      <w:r>
        <w:rPr>
          <w:rFonts w:ascii="宋体" w:hAnsi="宋体"/>
          <w:sz w:val="24"/>
        </w:rPr>
        <w:t>科大厦</w:t>
      </w:r>
    </w:p>
    <w:p w14:paraId="5F2DA6FF"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 张旭阳</w:t>
      </w:r>
    </w:p>
    <w:p w14:paraId="756C6897"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电话：010-61952703</w:t>
      </w:r>
    </w:p>
    <w:p w14:paraId="5AF54E88"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传真：010-61951007</w:t>
      </w:r>
    </w:p>
    <w:p w14:paraId="0FD2A3FB"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联系人：盛超</w:t>
      </w:r>
    </w:p>
    <w:p w14:paraId="1EE98F3B"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客户服务电话：95599-9</w:t>
      </w:r>
    </w:p>
    <w:p w14:paraId="01288302"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 www.duxiaomanfund.com</w:t>
      </w:r>
    </w:p>
    <w:p w14:paraId="0A369C87"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（21）名称：诺亚正行(上海)基金销售投资顾问有限公司</w:t>
      </w:r>
    </w:p>
    <w:p w14:paraId="6C1F8E61"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住所：上海市虹口区飞虹路360弄9号3724室</w:t>
      </w:r>
    </w:p>
    <w:p w14:paraId="11A61272"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办公地址：上海杨浦区秦皇岛路32号C栋 2楼</w:t>
      </w:r>
    </w:p>
    <w:p w14:paraId="2B1E4A33"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法定代表人：汪静波</w:t>
      </w:r>
    </w:p>
    <w:p w14:paraId="44115580"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电话：（021）38600735</w:t>
      </w:r>
    </w:p>
    <w:p w14:paraId="6809FA92"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传真：（021）38509777</w:t>
      </w:r>
    </w:p>
    <w:p w14:paraId="61DEA288"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联系人：方成</w:t>
      </w:r>
    </w:p>
    <w:p w14:paraId="350E2009"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客户服务电话：400-821-5399</w:t>
      </w:r>
    </w:p>
    <w:p w14:paraId="79EFD0EF"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网址：www.noah-fund.com</w:t>
      </w:r>
    </w:p>
    <w:p w14:paraId="002F4E99"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（22）名称：北京中</w:t>
      </w:r>
      <w:proofErr w:type="gramStart"/>
      <w:r>
        <w:rPr>
          <w:rFonts w:ascii="宋体" w:hAnsi="宋体"/>
          <w:sz w:val="24"/>
        </w:rPr>
        <w:t>植基金</w:t>
      </w:r>
      <w:proofErr w:type="gramEnd"/>
      <w:r>
        <w:rPr>
          <w:rFonts w:ascii="宋体" w:hAnsi="宋体"/>
          <w:sz w:val="24"/>
        </w:rPr>
        <w:t>销售有限公司</w:t>
      </w:r>
    </w:p>
    <w:p w14:paraId="31E6FB1B"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住所：北京市经济技术开发区宏达北路10号五层5122室</w:t>
      </w:r>
    </w:p>
    <w:p w14:paraId="053C0525"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办公地址：北京市朝阳区东三环北路甲19号SOHO</w:t>
      </w:r>
      <w:proofErr w:type="gramStart"/>
      <w:r>
        <w:rPr>
          <w:rFonts w:ascii="宋体" w:hAnsi="宋体"/>
          <w:sz w:val="24"/>
        </w:rPr>
        <w:t>嘉盛中心</w:t>
      </w:r>
      <w:proofErr w:type="gramEnd"/>
      <w:r>
        <w:rPr>
          <w:rFonts w:ascii="宋体" w:hAnsi="宋体"/>
          <w:sz w:val="24"/>
        </w:rPr>
        <w:t>30层3001室</w:t>
      </w:r>
    </w:p>
    <w:p w14:paraId="6A9DFF22"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法定代表人：李悦</w:t>
      </w:r>
    </w:p>
    <w:p w14:paraId="4A519903"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电话：（010）56642600</w:t>
      </w:r>
    </w:p>
    <w:p w14:paraId="3767E3E1"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传真：（010）56642623</w:t>
      </w:r>
    </w:p>
    <w:p w14:paraId="279DF5C6"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联系人：张晔</w:t>
      </w:r>
    </w:p>
    <w:p w14:paraId="71EA67E5"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客户服务电话：4007868868</w:t>
      </w:r>
    </w:p>
    <w:p w14:paraId="48A0BA85"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网址：www.zzfund.com</w:t>
      </w:r>
    </w:p>
    <w:p w14:paraId="592063BF"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（23）名称：</w:t>
      </w:r>
      <w:proofErr w:type="gramStart"/>
      <w:r>
        <w:rPr>
          <w:rFonts w:ascii="宋体" w:hAnsi="宋体"/>
          <w:sz w:val="24"/>
        </w:rPr>
        <w:t>腾安基金</w:t>
      </w:r>
      <w:proofErr w:type="gramEnd"/>
      <w:r>
        <w:rPr>
          <w:rFonts w:ascii="宋体" w:hAnsi="宋体"/>
          <w:sz w:val="24"/>
        </w:rPr>
        <w:t>销售（深圳）有限公司</w:t>
      </w:r>
    </w:p>
    <w:p w14:paraId="4A9F71A6"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住所：深圳市前海深港合作区前湾一路1号A栋201室（入驻深圳市前海商务秘书有限公司）</w:t>
      </w:r>
    </w:p>
    <w:p w14:paraId="61D7D049"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办公地址：深圳市南山区海天二路</w:t>
      </w:r>
      <w:proofErr w:type="gramStart"/>
      <w:r>
        <w:rPr>
          <w:rFonts w:ascii="宋体" w:hAnsi="宋体"/>
          <w:sz w:val="24"/>
        </w:rPr>
        <w:t>33号腾讯滨海</w:t>
      </w:r>
      <w:proofErr w:type="gramEnd"/>
      <w:r>
        <w:rPr>
          <w:rFonts w:ascii="宋体" w:hAnsi="宋体"/>
          <w:sz w:val="24"/>
        </w:rPr>
        <w:t>大厦</w:t>
      </w:r>
    </w:p>
    <w:p w14:paraId="2F5E5856"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法定代表人：刘明军</w:t>
      </w:r>
    </w:p>
    <w:p w14:paraId="516FB096"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电话：95017（拨通后转1转8）</w:t>
      </w:r>
    </w:p>
    <w:p w14:paraId="44D6400F"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联系人：谭广峰</w:t>
      </w:r>
    </w:p>
    <w:p w14:paraId="6A6469EC"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客户服务电话：95017（拨通后转1转8）</w:t>
      </w:r>
    </w:p>
    <w:p w14:paraId="294060D9"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网址：http://www.tenganxinxi.com/</w:t>
      </w:r>
    </w:p>
    <w:p w14:paraId="25D01DB4"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（24）名称：上海挖财金融信息服务有限公司</w:t>
      </w:r>
    </w:p>
    <w:p w14:paraId="3C10570F"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住所：中国（上海）自由贸易试验区杨高南路799号5层01、02、03室</w:t>
      </w:r>
    </w:p>
    <w:p w14:paraId="59E8BE07"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办公地址：中国（上海）自由贸易试验区杨高南路799号5层01、02、03室</w:t>
      </w:r>
    </w:p>
    <w:p w14:paraId="50CEFBBE"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 胡燕亮</w:t>
      </w:r>
    </w:p>
    <w:p w14:paraId="2F9C82C3"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电话：（021）50810687</w:t>
      </w:r>
    </w:p>
    <w:p w14:paraId="22514B68"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传真：（021）58300279</w:t>
      </w:r>
    </w:p>
    <w:p w14:paraId="23C6A315"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李娟</w:t>
      </w:r>
    </w:p>
    <w:p w14:paraId="166B2F5A"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客户服务电话：（021）50810673</w:t>
      </w:r>
    </w:p>
    <w:p w14:paraId="2904578E"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网址：www.wacaijijin.com</w:t>
      </w:r>
    </w:p>
    <w:p w14:paraId="269F9D7B"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（25）名称：南京苏宁基金销售有限公司</w:t>
      </w:r>
    </w:p>
    <w:p w14:paraId="546948AE"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住所：南京市玄武区苏宁大道1-5号</w:t>
      </w:r>
    </w:p>
    <w:p w14:paraId="6616229C"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办公地址：南京市玄武区苏宁大道1-5号</w:t>
      </w:r>
    </w:p>
    <w:p w14:paraId="7A3AADFC"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法定代表人：王锋</w:t>
      </w:r>
    </w:p>
    <w:p w14:paraId="38318B4B"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电话：025-66996699</w:t>
      </w:r>
    </w:p>
    <w:p w14:paraId="5FB981B4"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传真：025-66996699</w:t>
      </w:r>
    </w:p>
    <w:p w14:paraId="6AB1BED7"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冯鹏鹏</w:t>
      </w:r>
    </w:p>
    <w:p w14:paraId="3FF31FE3"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客户服务电话：95177</w:t>
      </w:r>
    </w:p>
    <w:p w14:paraId="6D1B22E0"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 www.snjijin.com</w:t>
      </w:r>
    </w:p>
    <w:p w14:paraId="4515DC4B"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（26）名称：上海联泰基金销售有限公司</w:t>
      </w:r>
    </w:p>
    <w:p w14:paraId="72B0F8E4"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住所：中国（上海）自由贸易试验区富特北路277号3层310室</w:t>
      </w:r>
    </w:p>
    <w:p w14:paraId="0A494642"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办公地址：上海市长宁区福泉北路518号8座3楼</w:t>
      </w:r>
    </w:p>
    <w:p w14:paraId="3818F62B"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法定代表人：燕斌</w:t>
      </w:r>
    </w:p>
    <w:p w14:paraId="30A89F32"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电话：021-52822063</w:t>
      </w:r>
    </w:p>
    <w:p w14:paraId="4FF01742"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传真：021-52975270</w:t>
      </w:r>
    </w:p>
    <w:p w14:paraId="48B90D80"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w:t>
      </w:r>
      <w:proofErr w:type="gramStart"/>
      <w:r>
        <w:rPr>
          <w:rFonts w:ascii="宋体" w:hAnsi="宋体"/>
          <w:sz w:val="24"/>
        </w:rPr>
        <w:t>凌秋艳</w:t>
      </w:r>
      <w:proofErr w:type="gramEnd"/>
    </w:p>
    <w:p w14:paraId="7E47CF1F"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客户服务电话：4000-466-788</w:t>
      </w:r>
    </w:p>
    <w:p w14:paraId="23E1E07C"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网址：www.66zichan.com</w:t>
      </w:r>
    </w:p>
    <w:p w14:paraId="2B6DB137"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（27）名称：上海万得基金销售有限公司</w:t>
      </w:r>
    </w:p>
    <w:p w14:paraId="2A345F5A"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住所：中国（上海）自由贸易试验区福山路33号11楼B座</w:t>
      </w:r>
    </w:p>
    <w:p w14:paraId="363AC767"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办公地址：上海市浦东新区福山路33号9楼</w:t>
      </w:r>
    </w:p>
    <w:p w14:paraId="08008DBE"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 王廷富</w:t>
      </w:r>
    </w:p>
    <w:p w14:paraId="184A64E7"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电话：021-50712782</w:t>
      </w:r>
    </w:p>
    <w:p w14:paraId="790DB234"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传真：021-50710161</w:t>
      </w:r>
    </w:p>
    <w:p w14:paraId="1D7A6F40"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徐亚丹</w:t>
      </w:r>
    </w:p>
    <w:p w14:paraId="7D0AB58D"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客户服务电话：400-821-0203</w:t>
      </w:r>
    </w:p>
    <w:p w14:paraId="1EE3D11E"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 www.520fund.com.cn</w:t>
      </w:r>
    </w:p>
    <w:p w14:paraId="24DA3F25"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（28）名称：北京新</w:t>
      </w:r>
      <w:proofErr w:type="gramStart"/>
      <w:r>
        <w:rPr>
          <w:rFonts w:ascii="宋体" w:hAnsi="宋体"/>
          <w:sz w:val="24"/>
        </w:rPr>
        <w:t>浪仓石基金</w:t>
      </w:r>
      <w:proofErr w:type="gramEnd"/>
      <w:r>
        <w:rPr>
          <w:rFonts w:ascii="宋体" w:hAnsi="宋体"/>
          <w:sz w:val="24"/>
        </w:rPr>
        <w:t>销售有限公司</w:t>
      </w:r>
    </w:p>
    <w:p w14:paraId="63B540B6"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住所：北京市海淀区东北旺西路中关村软件园二期(西扩)N-1、N-2地块新浪总部科研楼5层518室</w:t>
      </w:r>
    </w:p>
    <w:p w14:paraId="3B8070E4"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办公地址：北京市海淀区东北旺西路中关村软件园二期(西扩)N-1、N-2地块新浪总部科研楼5层518室</w:t>
      </w:r>
    </w:p>
    <w:p w14:paraId="4977AE73"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法定代表人：李昭琛</w:t>
      </w:r>
    </w:p>
    <w:p w14:paraId="0F6C4088"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电话：（010）60619607</w:t>
      </w:r>
    </w:p>
    <w:p w14:paraId="46F45136"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传真：8610-62676582</w:t>
      </w:r>
    </w:p>
    <w:p w14:paraId="25DC5A1D"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联系人：付文红</w:t>
      </w:r>
    </w:p>
    <w:p w14:paraId="1179C7AE"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客户服务电话：（010）62675369</w:t>
      </w:r>
    </w:p>
    <w:p w14:paraId="07EE1A15"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网址：www.xincai.com</w:t>
      </w:r>
    </w:p>
    <w:p w14:paraId="546B5020"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（29）名称：北京</w:t>
      </w:r>
      <w:proofErr w:type="gramStart"/>
      <w:r>
        <w:rPr>
          <w:rFonts w:ascii="宋体" w:hAnsi="宋体"/>
          <w:sz w:val="24"/>
        </w:rPr>
        <w:t>创金启富基金</w:t>
      </w:r>
      <w:proofErr w:type="gramEnd"/>
      <w:r>
        <w:rPr>
          <w:rFonts w:ascii="宋体" w:hAnsi="宋体"/>
          <w:sz w:val="24"/>
        </w:rPr>
        <w:t>销售有限公司</w:t>
      </w:r>
    </w:p>
    <w:p w14:paraId="33EDB3D1"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 北京市西城区民丰胡同31号中</w:t>
      </w:r>
      <w:proofErr w:type="gramStart"/>
      <w:r>
        <w:rPr>
          <w:rFonts w:ascii="宋体" w:hAnsi="宋体"/>
          <w:sz w:val="24"/>
        </w:rPr>
        <w:t>水大厦</w:t>
      </w:r>
      <w:proofErr w:type="gramEnd"/>
      <w:r>
        <w:rPr>
          <w:rFonts w:ascii="宋体" w:hAnsi="宋体"/>
          <w:sz w:val="24"/>
        </w:rPr>
        <w:t>215A</w:t>
      </w:r>
    </w:p>
    <w:p w14:paraId="41182ABF"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办公地址：北京市西城区白纸坊东街2号经济日报社A综合楼712室</w:t>
      </w:r>
    </w:p>
    <w:p w14:paraId="572CC8B6"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法定代表人：梁蓉</w:t>
      </w:r>
    </w:p>
    <w:p w14:paraId="6C1CDA76"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电话：（010）66154828</w:t>
      </w:r>
    </w:p>
    <w:p w14:paraId="29F5D3BC"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传真：（010）63583991</w:t>
      </w:r>
    </w:p>
    <w:p w14:paraId="56C8984E"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联系人：李婷婷</w:t>
      </w:r>
    </w:p>
    <w:p w14:paraId="6887CD56"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客户服务电话：400-6262-818</w:t>
      </w:r>
    </w:p>
    <w:p w14:paraId="3CDD56C0"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 www.5irich.com</w:t>
      </w:r>
    </w:p>
    <w:p w14:paraId="1255DCEB"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（30）名称：浙江同花</w:t>
      </w:r>
      <w:proofErr w:type="gramStart"/>
      <w:r>
        <w:rPr>
          <w:rFonts w:ascii="宋体" w:hAnsi="宋体"/>
          <w:sz w:val="24"/>
        </w:rPr>
        <w:t>顺基金</w:t>
      </w:r>
      <w:proofErr w:type="gramEnd"/>
      <w:r>
        <w:rPr>
          <w:rFonts w:ascii="宋体" w:hAnsi="宋体"/>
          <w:sz w:val="24"/>
        </w:rPr>
        <w:t>销售有限公司</w:t>
      </w:r>
    </w:p>
    <w:p w14:paraId="0308DCB2"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住所：浙江省杭州市文二西路1号元茂大厦903</w:t>
      </w:r>
    </w:p>
    <w:p w14:paraId="06074A6C"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办公地址：浙江省杭州市西湖区</w:t>
      </w:r>
      <w:proofErr w:type="gramStart"/>
      <w:r>
        <w:rPr>
          <w:rFonts w:ascii="宋体" w:hAnsi="宋体"/>
          <w:sz w:val="24"/>
        </w:rPr>
        <w:t>翠柏路</w:t>
      </w:r>
      <w:proofErr w:type="gramEnd"/>
      <w:r>
        <w:rPr>
          <w:rFonts w:ascii="宋体" w:hAnsi="宋体"/>
          <w:sz w:val="24"/>
        </w:rPr>
        <w:t>7号电子商务产业园2号楼 2楼</w:t>
      </w:r>
    </w:p>
    <w:p w14:paraId="60BEB5BA"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w:t>
      </w:r>
      <w:proofErr w:type="gramStart"/>
      <w:r>
        <w:rPr>
          <w:rFonts w:ascii="宋体" w:hAnsi="宋体"/>
          <w:sz w:val="24"/>
        </w:rPr>
        <w:t>凌</w:t>
      </w:r>
      <w:proofErr w:type="gramEnd"/>
      <w:r>
        <w:rPr>
          <w:rFonts w:ascii="宋体" w:hAnsi="宋体"/>
          <w:sz w:val="24"/>
        </w:rPr>
        <w:t>顺平</w:t>
      </w:r>
    </w:p>
    <w:p w14:paraId="0F4E7CA7"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电话：（0571）88911818</w:t>
      </w:r>
    </w:p>
    <w:p w14:paraId="5110BFED"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传真：（0571）86800423</w:t>
      </w:r>
    </w:p>
    <w:p w14:paraId="0A9FB5DA"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联系人：吴强</w:t>
      </w:r>
    </w:p>
    <w:p w14:paraId="2C101C00"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客户服务电话：400-877-3772</w:t>
      </w:r>
    </w:p>
    <w:p w14:paraId="010F017F"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网址：www.5ifund.com</w:t>
      </w:r>
    </w:p>
    <w:p w14:paraId="37B92247"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（31）名称：上海</w:t>
      </w:r>
      <w:proofErr w:type="gramStart"/>
      <w:r>
        <w:rPr>
          <w:rFonts w:ascii="宋体" w:hAnsi="宋体"/>
          <w:sz w:val="24"/>
        </w:rPr>
        <w:t>钜</w:t>
      </w:r>
      <w:proofErr w:type="gramEnd"/>
      <w:r>
        <w:rPr>
          <w:rFonts w:ascii="宋体" w:hAnsi="宋体"/>
          <w:sz w:val="24"/>
        </w:rPr>
        <w:t>派</w:t>
      </w:r>
      <w:proofErr w:type="gramStart"/>
      <w:r>
        <w:rPr>
          <w:rFonts w:ascii="宋体" w:hAnsi="宋体"/>
          <w:sz w:val="24"/>
        </w:rPr>
        <w:t>钰茂基金</w:t>
      </w:r>
      <w:proofErr w:type="gramEnd"/>
      <w:r>
        <w:rPr>
          <w:rFonts w:ascii="宋体" w:hAnsi="宋体"/>
          <w:sz w:val="24"/>
        </w:rPr>
        <w:t>销售有限公司</w:t>
      </w:r>
    </w:p>
    <w:p w14:paraId="5464E006"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住所：上海市浦东新区泥城镇新城路2号24幢N3187室</w:t>
      </w:r>
    </w:p>
    <w:p w14:paraId="3CF33081"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办公地址：上海市闵行区闵虹路166</w:t>
      </w:r>
      <w:proofErr w:type="gramStart"/>
      <w:r>
        <w:rPr>
          <w:rFonts w:ascii="宋体" w:hAnsi="宋体"/>
          <w:sz w:val="24"/>
        </w:rPr>
        <w:t>弄中庚</w:t>
      </w:r>
      <w:proofErr w:type="gramEnd"/>
      <w:r>
        <w:rPr>
          <w:rFonts w:ascii="宋体" w:hAnsi="宋体"/>
          <w:sz w:val="24"/>
        </w:rPr>
        <w:t>环球创意中心T2栋9层</w:t>
      </w:r>
    </w:p>
    <w:p w14:paraId="58989509"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w:t>
      </w:r>
      <w:proofErr w:type="gramStart"/>
      <w:r>
        <w:rPr>
          <w:rFonts w:ascii="宋体" w:hAnsi="宋体"/>
          <w:sz w:val="24"/>
        </w:rPr>
        <w:t>洪思夷</w:t>
      </w:r>
      <w:proofErr w:type="gramEnd"/>
    </w:p>
    <w:p w14:paraId="709A61BE"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电话：021-52265962</w:t>
      </w:r>
    </w:p>
    <w:p w14:paraId="6DA4B04E"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联系人：王</w:t>
      </w:r>
      <w:proofErr w:type="gramStart"/>
      <w:r>
        <w:rPr>
          <w:rFonts w:ascii="宋体" w:hAnsi="宋体"/>
          <w:sz w:val="24"/>
        </w:rPr>
        <w:t>世</w:t>
      </w:r>
      <w:proofErr w:type="gramEnd"/>
      <w:r>
        <w:rPr>
          <w:rFonts w:ascii="宋体" w:hAnsi="宋体"/>
          <w:sz w:val="24"/>
        </w:rPr>
        <w:t>之</w:t>
      </w:r>
    </w:p>
    <w:p w14:paraId="620C8AF5"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客户服务电话：400-021-2428</w:t>
      </w:r>
    </w:p>
    <w:p w14:paraId="163BC521"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网址：www.jp-fund.com</w:t>
      </w:r>
    </w:p>
    <w:p w14:paraId="0E063A97"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（32）名称：蚂蚁（杭州）基金销售有限公司</w:t>
      </w:r>
    </w:p>
    <w:p w14:paraId="20025DCB"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住所：浙江省杭州市余杭区五常街道文</w:t>
      </w:r>
      <w:proofErr w:type="gramStart"/>
      <w:r>
        <w:rPr>
          <w:rFonts w:ascii="宋体" w:hAnsi="宋体"/>
          <w:sz w:val="24"/>
        </w:rPr>
        <w:t>一</w:t>
      </w:r>
      <w:proofErr w:type="gramEnd"/>
      <w:r>
        <w:rPr>
          <w:rFonts w:ascii="宋体" w:hAnsi="宋体"/>
          <w:sz w:val="24"/>
        </w:rPr>
        <w:t>西路969号3幢5层599室</w:t>
      </w:r>
    </w:p>
    <w:p w14:paraId="15D4EB4C"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办公地址：浙江省杭州市西湖区西溪路556号</w:t>
      </w:r>
    </w:p>
    <w:p w14:paraId="24537F14"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法定代表人：王珺</w:t>
      </w:r>
    </w:p>
    <w:p w14:paraId="323EEC25"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联系人：韩爱彬</w:t>
      </w:r>
    </w:p>
    <w:p w14:paraId="32F62507"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客户服务电话：95188-8</w:t>
      </w:r>
    </w:p>
    <w:p w14:paraId="27F7525D"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网址：www.fund123.cn</w:t>
      </w:r>
    </w:p>
    <w:p w14:paraId="561F84F0"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（33）名称：济安财富（北京）基金销售有限公司</w:t>
      </w:r>
    </w:p>
    <w:p w14:paraId="123BCC26"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住所：北京市朝阳区太阳宫中路16号院1号楼10层1005</w:t>
      </w:r>
    </w:p>
    <w:p w14:paraId="1B1382EE"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办公地址：北京市朝阳区太阳宫中路16号院1号楼11层1105</w:t>
      </w:r>
    </w:p>
    <w:p w14:paraId="5692B5FB"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法定代表人：杨健</w:t>
      </w:r>
    </w:p>
    <w:p w14:paraId="555C5000"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电话：010-65309516</w:t>
      </w:r>
    </w:p>
    <w:p w14:paraId="5175E677"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传真：010-65330699</w:t>
      </w:r>
    </w:p>
    <w:p w14:paraId="33175499"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联系人：宋静</w:t>
      </w:r>
    </w:p>
    <w:p w14:paraId="2115449B"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客户服务电话：400-673-7010</w:t>
      </w:r>
    </w:p>
    <w:p w14:paraId="47F5ABAD"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网址：www.jianfortune.com</w:t>
      </w:r>
    </w:p>
    <w:p w14:paraId="36C7DC9F"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（34）名称：嘉实财富管理有限公司</w:t>
      </w:r>
    </w:p>
    <w:p w14:paraId="2C679242"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住所：上海市浦东</w:t>
      </w:r>
      <w:proofErr w:type="gramStart"/>
      <w:r>
        <w:rPr>
          <w:rFonts w:ascii="宋体" w:hAnsi="宋体"/>
          <w:sz w:val="24"/>
        </w:rPr>
        <w:t>新区世纪</w:t>
      </w:r>
      <w:proofErr w:type="gramEnd"/>
      <w:r>
        <w:rPr>
          <w:rFonts w:ascii="宋体" w:hAnsi="宋体"/>
          <w:sz w:val="24"/>
        </w:rPr>
        <w:t>大道8号上海国金中心办公楼二期53层5312-15单元</w:t>
      </w:r>
    </w:p>
    <w:p w14:paraId="1C62C74B"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办公地址：北京市朝阳区建国路91号金地中心A座6层</w:t>
      </w:r>
    </w:p>
    <w:p w14:paraId="14844F82"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 赵学军</w:t>
      </w:r>
    </w:p>
    <w:p w14:paraId="32EAD7BD"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电话：（021）38789658</w:t>
      </w:r>
    </w:p>
    <w:p w14:paraId="76633943"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传真：（021）68880023</w:t>
      </w:r>
    </w:p>
    <w:p w14:paraId="5798A3BE"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王宫</w:t>
      </w:r>
    </w:p>
    <w:p w14:paraId="15CE9927"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客户服务电话：400-021-8850</w:t>
      </w:r>
    </w:p>
    <w:p w14:paraId="31D61A93"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 www.harvestwm.cn</w:t>
      </w:r>
    </w:p>
    <w:p w14:paraId="7DC65616"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（35）名称：博时财富基金销售有限公司</w:t>
      </w:r>
    </w:p>
    <w:p w14:paraId="3CE17E48"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住所：深圳市福田区莲花街道福新社区益田路5999号基金大厦19层</w:t>
      </w:r>
    </w:p>
    <w:p w14:paraId="31B66666"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办公地址：深圳市福田区莲花街道福新社区益田路5999号基金大厦19层</w:t>
      </w:r>
    </w:p>
    <w:p w14:paraId="3D833384"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法定代表人：王德英</w:t>
      </w:r>
    </w:p>
    <w:p w14:paraId="6D5C2E56"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电话：0755-83169999</w:t>
      </w:r>
    </w:p>
    <w:p w14:paraId="046A7BDA"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传真：0755-83195220</w:t>
      </w:r>
    </w:p>
    <w:p w14:paraId="041E0F2C"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联系人：崔丹</w:t>
      </w:r>
    </w:p>
    <w:p w14:paraId="1038CE93"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客户服务电话：400-610-5568</w:t>
      </w:r>
    </w:p>
    <w:p w14:paraId="6E598ABB"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网址：www.boserawealth.com</w:t>
      </w:r>
    </w:p>
    <w:p w14:paraId="1684D1CC" w14:textId="77777777" w:rsidR="009B698D" w:rsidRDefault="009B698D" w:rsidP="009B698D">
      <w:pPr>
        <w:autoSpaceDE w:val="0"/>
        <w:autoSpaceDN w:val="0"/>
        <w:adjustRightInd w:val="0"/>
        <w:snapToGrid w:val="0"/>
        <w:spacing w:line="360" w:lineRule="auto"/>
        <w:ind w:firstLineChars="200" w:firstLine="480"/>
        <w:jc w:val="left"/>
        <w:rPr>
          <w:rFonts w:ascii="宋体" w:hAnsi="宋体"/>
          <w:sz w:val="24"/>
        </w:rPr>
      </w:pPr>
      <w:r w:rsidRPr="001B36AC">
        <w:rPr>
          <w:rFonts w:ascii="宋体" w:hAnsi="宋体" w:hint="eastAsia"/>
          <w:sz w:val="24"/>
        </w:rPr>
        <w:t>本基金D</w:t>
      </w:r>
      <w:r>
        <w:rPr>
          <w:rFonts w:ascii="宋体" w:hAnsi="宋体" w:hint="eastAsia"/>
          <w:sz w:val="24"/>
        </w:rPr>
        <w:t>类基金份额暂仅</w:t>
      </w:r>
      <w:r w:rsidRPr="001B36AC">
        <w:rPr>
          <w:rFonts w:ascii="宋体" w:hAnsi="宋体" w:hint="eastAsia"/>
          <w:sz w:val="24"/>
        </w:rPr>
        <w:t>通过直销机构销售。</w:t>
      </w:r>
    </w:p>
    <w:p w14:paraId="7C2C2403"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基金管理人可根据有关法律法规的要求，选择其它符合要求的机构销售本基金，并在管理人网站公示。</w:t>
      </w:r>
    </w:p>
    <w:p w14:paraId="446E7F80"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（二）注册登记机构</w:t>
      </w:r>
    </w:p>
    <w:p w14:paraId="5E1E2771"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名称：中国证券登记结算有限责任公司</w:t>
      </w:r>
    </w:p>
    <w:p w14:paraId="45DC0101"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住所：北京市西城区太平桥大街17号</w:t>
      </w:r>
    </w:p>
    <w:p w14:paraId="241F4CDF"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办公地址：北京市西城区太平桥大街17号</w:t>
      </w:r>
    </w:p>
    <w:p w14:paraId="5FD4C1C1"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法定代表人：于文强</w:t>
      </w:r>
    </w:p>
    <w:p w14:paraId="0019F28B"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电话：（010）50938782</w:t>
      </w:r>
    </w:p>
    <w:p w14:paraId="7E7A6169"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传真：（010）50938907</w:t>
      </w:r>
    </w:p>
    <w:p w14:paraId="37F7EBB6"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联系人：赵亦清</w:t>
      </w:r>
    </w:p>
    <w:p w14:paraId="3D1A8241"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（三）出具法律意见书的律师事务所</w:t>
      </w:r>
    </w:p>
    <w:p w14:paraId="3D03C8FC"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名称：上海市通力律师事务所</w:t>
      </w:r>
    </w:p>
    <w:p w14:paraId="55424F6D"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住所：上海市银城中路68号时代金融中心19楼</w:t>
      </w:r>
    </w:p>
    <w:p w14:paraId="6BEDE74E"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办公地址：上海市银城中路68号时代金融中心19楼</w:t>
      </w:r>
    </w:p>
    <w:p w14:paraId="20CF8BF5"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负责人：韩炯</w:t>
      </w:r>
    </w:p>
    <w:p w14:paraId="5538E9C7"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电话：（021）31358666</w:t>
      </w:r>
    </w:p>
    <w:p w14:paraId="036D64D8"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传真：（021）31358600</w:t>
      </w:r>
    </w:p>
    <w:p w14:paraId="16C25503"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联系人：丁媛</w:t>
      </w:r>
    </w:p>
    <w:p w14:paraId="384423D0"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经办律师：黎明、丁媛</w:t>
      </w:r>
    </w:p>
    <w:p w14:paraId="291EC698"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（四）审计基金财产的会计师事务所</w:t>
      </w:r>
    </w:p>
    <w:p w14:paraId="1CB57B81"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名称：普华永道中天会计师事务所（特殊普通合伙）</w:t>
      </w:r>
    </w:p>
    <w:p w14:paraId="794FC5DF"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注册地址：中国(上海)自由贸易试验区陆家嘴环路1318号</w:t>
      </w:r>
      <w:proofErr w:type="gramStart"/>
      <w:r>
        <w:rPr>
          <w:rFonts w:ascii="宋体" w:hAnsi="宋体"/>
          <w:sz w:val="24"/>
        </w:rPr>
        <w:t>星展银行</w:t>
      </w:r>
      <w:proofErr w:type="gramEnd"/>
      <w:r>
        <w:rPr>
          <w:rFonts w:ascii="宋体" w:hAnsi="宋体"/>
          <w:sz w:val="24"/>
        </w:rPr>
        <w:t>大厦507单元01室</w:t>
      </w:r>
    </w:p>
    <w:p w14:paraId="0466FD31"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办公地址：中国上海市浦东</w:t>
      </w:r>
      <w:proofErr w:type="gramStart"/>
      <w:r>
        <w:rPr>
          <w:rFonts w:ascii="宋体" w:hAnsi="宋体"/>
          <w:sz w:val="24"/>
        </w:rPr>
        <w:t>新区东育路</w:t>
      </w:r>
      <w:proofErr w:type="gramEnd"/>
      <w:r>
        <w:rPr>
          <w:rFonts w:ascii="宋体" w:hAnsi="宋体"/>
          <w:sz w:val="24"/>
        </w:rPr>
        <w:t>588号前</w:t>
      </w:r>
      <w:proofErr w:type="gramStart"/>
      <w:r>
        <w:rPr>
          <w:rFonts w:ascii="宋体" w:hAnsi="宋体"/>
          <w:sz w:val="24"/>
        </w:rPr>
        <w:t>滩中心</w:t>
      </w:r>
      <w:proofErr w:type="gramEnd"/>
      <w:r>
        <w:rPr>
          <w:rFonts w:ascii="宋体" w:hAnsi="宋体"/>
          <w:sz w:val="24"/>
        </w:rPr>
        <w:t>42楼</w:t>
      </w:r>
    </w:p>
    <w:p w14:paraId="7E0BF9F8"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执行事务合伙人：李丹</w:t>
      </w:r>
    </w:p>
    <w:p w14:paraId="2C818FA3"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电话：（021）23238888</w:t>
      </w:r>
    </w:p>
    <w:p w14:paraId="01703377"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传真：（021）23238800</w:t>
      </w:r>
    </w:p>
    <w:p w14:paraId="48730823"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w:t>
      </w:r>
      <w:proofErr w:type="gramStart"/>
      <w:r>
        <w:rPr>
          <w:rFonts w:ascii="宋体" w:hAnsi="宋体"/>
          <w:sz w:val="24"/>
        </w:rPr>
        <w:t>金诗涛</w:t>
      </w:r>
      <w:proofErr w:type="gramEnd"/>
    </w:p>
    <w:p w14:paraId="000C117E"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经办注册会计师：沈兆杰、</w:t>
      </w:r>
      <w:proofErr w:type="gramStart"/>
      <w:r>
        <w:rPr>
          <w:rFonts w:ascii="宋体" w:hAnsi="宋体"/>
          <w:sz w:val="24"/>
        </w:rPr>
        <w:t>金诗涛</w:t>
      </w:r>
      <w:proofErr w:type="gramEnd"/>
    </w:p>
    <w:p w14:paraId="6A07C77E" w14:textId="77777777" w:rsidR="00367445" w:rsidRDefault="00BD18A1" w:rsidP="00367445">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477D19DF" w14:textId="77777777" w:rsidR="001F702C" w:rsidRDefault="00BD18A1">
      <w:pPr>
        <w:pStyle w:val="1"/>
        <w:snapToGrid w:val="0"/>
        <w:spacing w:beforeLines="0" w:before="240" w:after="240"/>
        <w:rPr>
          <w:rFonts w:ascii="宋体" w:hAnsi="宋体"/>
          <w:szCs w:val="30"/>
        </w:rPr>
      </w:pPr>
      <w:bookmarkStart w:id="9" w:name="_Toc140049410"/>
      <w:r>
        <w:rPr>
          <w:rFonts w:ascii="Times New Roman" w:hAnsi="Times New Roman"/>
          <w:sz w:val="30"/>
        </w:rPr>
        <w:lastRenderedPageBreak/>
        <w:t>六、基金的募集</w:t>
      </w:r>
      <w:bookmarkEnd w:id="9"/>
    </w:p>
    <w:p w14:paraId="2556531C"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本基金由基金管理人依照《基金法》、《运作办法》、《销售办法》、基金合同及其他有关规定，并经中国证监会2018年11月14日证监许可[2018]1856号文准予募集注册。</w:t>
      </w:r>
    </w:p>
    <w:p w14:paraId="7BBF1D81"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本基金为契约型开放式债券型证券投资基金。基金的存续期间为不定期。</w:t>
      </w:r>
    </w:p>
    <w:p w14:paraId="6DDBD0E0"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本基金募集期间基金份额净值为人民币1.00元，按初始面值发售。</w:t>
      </w:r>
    </w:p>
    <w:p w14:paraId="24E91AB0"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本基金自2019年1月7日起至2019年1月18日进行发售，本基金设立募集期共募集份基金10,205,490,746.33份额，有效认购户数为316户。</w:t>
      </w:r>
    </w:p>
    <w:p w14:paraId="1DB1886A" w14:textId="77777777" w:rsidR="00367445" w:rsidRDefault="00BD18A1" w:rsidP="00367445">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3ECB0002" w14:textId="77777777" w:rsidR="001F702C" w:rsidRDefault="00BD18A1">
      <w:pPr>
        <w:pStyle w:val="1"/>
        <w:snapToGrid w:val="0"/>
        <w:spacing w:beforeLines="0" w:before="240" w:after="240"/>
        <w:rPr>
          <w:rFonts w:ascii="宋体" w:hAnsi="宋体"/>
          <w:szCs w:val="30"/>
        </w:rPr>
      </w:pPr>
      <w:bookmarkStart w:id="10" w:name="_Toc140049411"/>
      <w:r>
        <w:rPr>
          <w:rFonts w:ascii="Times New Roman" w:hAnsi="Times New Roman"/>
          <w:sz w:val="30"/>
        </w:rPr>
        <w:lastRenderedPageBreak/>
        <w:t>七、基金合同的生效</w:t>
      </w:r>
      <w:bookmarkEnd w:id="10"/>
    </w:p>
    <w:p w14:paraId="0CCC1ABB"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根据有关规定，本基金满足基金合同生效条件，基金合同已于2019年1月23日正式生效。自基金合同生效之日起，本基金管理人正式开始管理本基金。</w:t>
      </w:r>
    </w:p>
    <w:p w14:paraId="0D2A2EC9"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生效后，连续二十个工作日基金份额持有人数量不满200人或者基金资产净值低于5000万元的，基金管理人应当在定期报告中予以披露。连续六十个工作日出现基金份额持有人数量不满200人或者基金资产净值低于5000万元情形的，基金管理人应向中国证监会报告并提前终止基金合同，不需召开基金份额持有人大会。</w:t>
      </w:r>
    </w:p>
    <w:p w14:paraId="26518700"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法律法规另有规定时，从其规定。</w:t>
      </w:r>
    </w:p>
    <w:p w14:paraId="20B4C466" w14:textId="77777777" w:rsidR="00367445" w:rsidRDefault="00BD18A1" w:rsidP="00367445">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51DF35C6" w14:textId="77777777" w:rsidR="001F702C" w:rsidRDefault="00BD18A1">
      <w:pPr>
        <w:pStyle w:val="1"/>
        <w:snapToGrid w:val="0"/>
        <w:spacing w:beforeLines="0" w:before="240" w:after="240"/>
        <w:rPr>
          <w:rFonts w:ascii="宋体" w:hAnsi="宋体"/>
          <w:szCs w:val="30"/>
        </w:rPr>
      </w:pPr>
      <w:bookmarkStart w:id="11" w:name="_Toc140049412"/>
      <w:r>
        <w:rPr>
          <w:rFonts w:ascii="Times New Roman" w:hAnsi="Times New Roman"/>
          <w:sz w:val="30"/>
        </w:rPr>
        <w:lastRenderedPageBreak/>
        <w:t>八、基金份额的申购与赎回</w:t>
      </w:r>
      <w:bookmarkEnd w:id="11"/>
    </w:p>
    <w:p w14:paraId="7B1EDA06" w14:textId="77777777" w:rsidR="001F702C" w:rsidRDefault="00BD18A1">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（一）申购和赎回的场所</w:t>
      </w:r>
    </w:p>
    <w:p w14:paraId="699F0400"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投资人可通过下述场所按照规定的方式进行申购或赎回：</w:t>
      </w:r>
    </w:p>
    <w:p w14:paraId="14695C87"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1、本基金管理人的直销机构</w:t>
      </w:r>
    </w:p>
    <w:p w14:paraId="290F696E"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本基金直销机构为基金管理人直销柜台以及基金管理人的网上直销交易平台。</w:t>
      </w:r>
    </w:p>
    <w:p w14:paraId="4F4C7840"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名称：交银施罗德基金管理有限公司</w:t>
      </w:r>
    </w:p>
    <w:p w14:paraId="43AE208B"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住所：中国(上海)自由贸易试验区银城中路188号交通银行大楼二层（裙）</w:t>
      </w:r>
    </w:p>
    <w:p w14:paraId="0A23408D"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w:t>
      </w:r>
      <w:proofErr w:type="gramStart"/>
      <w:r>
        <w:rPr>
          <w:rFonts w:ascii="宋体" w:hAnsi="宋体"/>
          <w:sz w:val="24"/>
        </w:rPr>
        <w:t>新区世纪</w:t>
      </w:r>
      <w:proofErr w:type="gramEnd"/>
      <w:r>
        <w:rPr>
          <w:rFonts w:ascii="宋体" w:hAnsi="宋体"/>
          <w:sz w:val="24"/>
        </w:rPr>
        <w:t>大道8号国</w:t>
      </w:r>
      <w:proofErr w:type="gramStart"/>
      <w:r>
        <w:rPr>
          <w:rFonts w:ascii="宋体" w:hAnsi="宋体"/>
          <w:sz w:val="24"/>
        </w:rPr>
        <w:t>金中心</w:t>
      </w:r>
      <w:proofErr w:type="gramEnd"/>
      <w:r>
        <w:rPr>
          <w:rFonts w:ascii="宋体" w:hAnsi="宋体"/>
          <w:sz w:val="24"/>
        </w:rPr>
        <w:t>二期21-22楼</w:t>
      </w:r>
    </w:p>
    <w:p w14:paraId="057022B7"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电话：（021）61055724</w:t>
      </w:r>
    </w:p>
    <w:p w14:paraId="39F07084"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传真：（021）61055054</w:t>
      </w:r>
    </w:p>
    <w:p w14:paraId="58194DF8"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联系人：傅鲸</w:t>
      </w:r>
    </w:p>
    <w:p w14:paraId="5DD11103"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客户服务电话：400-700-5000（免长途话费），（021）61055000</w:t>
      </w:r>
    </w:p>
    <w:p w14:paraId="38868BD6"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网址：www.fund001.com</w:t>
      </w:r>
    </w:p>
    <w:p w14:paraId="1CAF723A"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个人投资者可以通过基金管理人网上直销交易平台办理开户、本基金的申购、赎回、定期定额投资、转换等业务，具体交易细则请参阅基金管理人网站。</w:t>
      </w:r>
    </w:p>
    <w:p w14:paraId="11BDDA9D"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网上直销交易平台网址：www.fund001.com</w:t>
      </w:r>
    </w:p>
    <w:p w14:paraId="3B786DB6"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2、除基金管理人之外的其他销售机构</w:t>
      </w:r>
    </w:p>
    <w:p w14:paraId="1615AD32"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本基金除基金管理人之外的其他销售机构参见本招募说明书“五、相关服务机构”章节或拨打本公司客户服务电话进行咨询。</w:t>
      </w:r>
    </w:p>
    <w:p w14:paraId="58A214FB"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投资人应当通过上述销售机构办理基金申购、赎回业务的营业场所或按上述销售机构提供的其他方式进行申购或赎回。本基金管理人可根据情况变更或增减基金销售机构，并在管理人网站公示。</w:t>
      </w:r>
    </w:p>
    <w:p w14:paraId="5D0BB567"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proofErr w:type="gramStart"/>
      <w:r>
        <w:rPr>
          <w:rFonts w:ascii="宋体" w:hAnsi="宋体"/>
          <w:sz w:val="24"/>
        </w:rPr>
        <w:t>若基金</w:t>
      </w:r>
      <w:proofErr w:type="gramEnd"/>
      <w:r>
        <w:rPr>
          <w:rFonts w:ascii="宋体" w:hAnsi="宋体"/>
          <w:sz w:val="24"/>
        </w:rPr>
        <w:t>管理人或其指定的销售机构开通电话、传真或网上等交易方式，投资人可以通过上述方式进行申购与赎回。</w:t>
      </w:r>
    </w:p>
    <w:p w14:paraId="253B108E" w14:textId="77777777" w:rsidR="001F702C" w:rsidRDefault="00BD18A1">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（二）申购和赎回的开放日及时间</w:t>
      </w:r>
    </w:p>
    <w:p w14:paraId="65F6CCC8"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1、开放日及开放时间</w:t>
      </w:r>
    </w:p>
    <w:p w14:paraId="481B1382"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在开放日办理基金份额的申购和赎回，具体办理时间为上海证券交易所、深圳证券交易所的正常交易日的交易时间，但基金管理人根据法律法规、中国证监会的要求或基金合同的规定公告暂停申购、赎回时除外。</w:t>
      </w:r>
    </w:p>
    <w:p w14:paraId="51C84FEC"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基金合同生效后，若出现新的证券交易市场、证券交易所交易时间变更或其他特殊情况，基金管理人将视情况对前述开放日及开放时间进行相应的调整，但应在实施日前依照《信息披露办法》的有关规定在指定媒介上公告。</w:t>
      </w:r>
    </w:p>
    <w:p w14:paraId="0CAEE794"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2、申购、赎回开始日及业务办理时间</w:t>
      </w:r>
    </w:p>
    <w:p w14:paraId="304C106C" w14:textId="41E99AD5" w:rsidR="003D6F23" w:rsidRDefault="00BD18A1" w:rsidP="003D6F23">
      <w:pPr>
        <w:autoSpaceDE w:val="0"/>
        <w:autoSpaceDN w:val="0"/>
        <w:adjustRightInd w:val="0"/>
        <w:snapToGrid w:val="0"/>
        <w:spacing w:line="360" w:lineRule="auto"/>
        <w:ind w:firstLineChars="200" w:firstLine="480"/>
        <w:jc w:val="left"/>
        <w:rPr>
          <w:rFonts w:ascii="宋体" w:hAnsi="宋体"/>
          <w:sz w:val="24"/>
        </w:rPr>
      </w:pPr>
      <w:r>
        <w:rPr>
          <w:rFonts w:ascii="宋体" w:hAnsi="宋体"/>
          <w:sz w:val="24"/>
        </w:rPr>
        <w:t>本基金</w:t>
      </w:r>
      <w:r w:rsidR="003D6F23" w:rsidRPr="00944F9C">
        <w:rPr>
          <w:rFonts w:ascii="宋体" w:hAnsi="宋体" w:hint="eastAsia"/>
          <w:sz w:val="24"/>
        </w:rPr>
        <w:t>A类基金份额</w:t>
      </w:r>
      <w:r w:rsidR="003D6F23">
        <w:rPr>
          <w:rFonts w:ascii="宋体" w:hAnsi="宋体" w:hint="eastAsia"/>
          <w:sz w:val="24"/>
        </w:rPr>
        <w:t>和</w:t>
      </w:r>
      <w:r w:rsidR="003D6F23">
        <w:rPr>
          <w:rFonts w:ascii="宋体" w:hAnsi="宋体"/>
          <w:sz w:val="24"/>
        </w:rPr>
        <w:t>C</w:t>
      </w:r>
      <w:r w:rsidR="003D6F23" w:rsidRPr="00A65A0C">
        <w:rPr>
          <w:rFonts w:ascii="宋体" w:hAnsi="宋体" w:hint="eastAsia"/>
          <w:sz w:val="24"/>
        </w:rPr>
        <w:t>类基金份额</w:t>
      </w:r>
      <w:r>
        <w:rPr>
          <w:rFonts w:ascii="宋体" w:hAnsi="宋体"/>
          <w:sz w:val="24"/>
        </w:rPr>
        <w:t>已于2019年2月26日起开放申购、赎回业务。</w:t>
      </w:r>
    </w:p>
    <w:p w14:paraId="179C72F7" w14:textId="1FBF446E" w:rsidR="003D6F23" w:rsidRDefault="003D6F23" w:rsidP="003D6F23">
      <w:pPr>
        <w:autoSpaceDE w:val="0"/>
        <w:autoSpaceDN w:val="0"/>
        <w:adjustRightInd w:val="0"/>
        <w:snapToGrid w:val="0"/>
        <w:spacing w:line="360" w:lineRule="auto"/>
        <w:ind w:firstLineChars="200" w:firstLine="480"/>
        <w:jc w:val="left"/>
        <w:rPr>
          <w:rFonts w:ascii="宋体" w:hAnsi="宋体"/>
          <w:szCs w:val="24"/>
        </w:rPr>
      </w:pPr>
      <w:r w:rsidRPr="00A9408D">
        <w:rPr>
          <w:rFonts w:ascii="宋体" w:hAnsi="宋体" w:hint="eastAsia"/>
          <w:sz w:val="24"/>
        </w:rPr>
        <w:t>本基金</w:t>
      </w:r>
      <w:r>
        <w:rPr>
          <w:rFonts w:ascii="宋体" w:hAnsi="宋体"/>
          <w:sz w:val="24"/>
        </w:rPr>
        <w:t>D</w:t>
      </w:r>
      <w:r w:rsidRPr="00A9408D">
        <w:rPr>
          <w:rFonts w:ascii="宋体" w:hAnsi="宋体" w:hint="eastAsia"/>
          <w:sz w:val="24"/>
        </w:rPr>
        <w:t>类基金份额于</w:t>
      </w:r>
      <w:r>
        <w:rPr>
          <w:rFonts w:ascii="宋体" w:hAnsi="宋体"/>
          <w:sz w:val="24"/>
        </w:rPr>
        <w:t>202</w:t>
      </w:r>
      <w:r w:rsidR="001A3A72">
        <w:rPr>
          <w:rFonts w:ascii="宋体" w:hAnsi="宋体"/>
          <w:sz w:val="24"/>
        </w:rPr>
        <w:t>3</w:t>
      </w:r>
      <w:r w:rsidRPr="00A9408D">
        <w:rPr>
          <w:rFonts w:ascii="宋体" w:hAnsi="宋体"/>
          <w:sz w:val="24"/>
        </w:rPr>
        <w:t>年</w:t>
      </w:r>
      <w:r w:rsidR="001A3A72">
        <w:rPr>
          <w:rFonts w:ascii="宋体" w:hAnsi="宋体"/>
          <w:sz w:val="24"/>
        </w:rPr>
        <w:t>12</w:t>
      </w:r>
      <w:r w:rsidRPr="00A9408D">
        <w:rPr>
          <w:rFonts w:ascii="宋体" w:hAnsi="宋体" w:hint="eastAsia"/>
          <w:sz w:val="24"/>
        </w:rPr>
        <w:t>月</w:t>
      </w:r>
      <w:r w:rsidR="001A3A72">
        <w:rPr>
          <w:rFonts w:ascii="宋体" w:hAnsi="宋体"/>
          <w:sz w:val="24"/>
        </w:rPr>
        <w:t>15</w:t>
      </w:r>
      <w:r w:rsidRPr="00A9408D">
        <w:rPr>
          <w:rFonts w:ascii="宋体" w:hAnsi="宋体" w:hint="eastAsia"/>
          <w:sz w:val="24"/>
        </w:rPr>
        <w:t>日起开放申购、赎回业务。</w:t>
      </w:r>
    </w:p>
    <w:p w14:paraId="1605B5AB"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基金管理人不得在基金合同约定之外的日期或者时间办理基金份额的申购、赎回或者转换。投资人在基金合同约定之外的日期和时间提出申购、赎回或转换申请</w:t>
      </w:r>
      <w:proofErr w:type="gramStart"/>
      <w:r>
        <w:rPr>
          <w:rFonts w:ascii="宋体" w:hAnsi="宋体"/>
          <w:sz w:val="24"/>
        </w:rPr>
        <w:t>且登记</w:t>
      </w:r>
      <w:proofErr w:type="gramEnd"/>
      <w:r>
        <w:rPr>
          <w:rFonts w:ascii="宋体" w:hAnsi="宋体"/>
          <w:sz w:val="24"/>
        </w:rPr>
        <w:t>机构确认接受的，其基金份额申购、赎回或转换价格为下一开放日基金份额申购、赎回或转换的价格。</w:t>
      </w:r>
    </w:p>
    <w:p w14:paraId="7417205C" w14:textId="77777777" w:rsidR="001F702C" w:rsidRDefault="00BD18A1">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（三）申购与赎回的原则</w:t>
      </w:r>
    </w:p>
    <w:p w14:paraId="36414EF3"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1、“未知价”原则，即申购、赎回价格以申请当日收市后计算的基金份额净值为基准进行计算；</w:t>
      </w:r>
    </w:p>
    <w:p w14:paraId="027E9EEA"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2、“金额申购、份额赎回”原则，即申购以金额申请，赎回以份额申请；</w:t>
      </w:r>
    </w:p>
    <w:p w14:paraId="4EA33A4B"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3、当日的申购与赎回申请可以在基金管理人规定的时间以内撤销，但申请经登记机构受理的不得撤销；</w:t>
      </w:r>
    </w:p>
    <w:p w14:paraId="67002D6E"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份额持有人赎回时，除指定赎回外，基金管理人按“先进先出”的原则，对该持有人账户在该销售机构托管的基金份额进行处理，即登记确认日期在先的基金份额先赎回，登记确认日期在后的基金份额后赎回，以确定被赎回基金份额的持有期限和所适用的赎回费率。</w:t>
      </w:r>
    </w:p>
    <w:p w14:paraId="0CDBD22B"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基金管理人可在法律法规允许的情况下，对上述原则进行调整。基金管理人必须在新规则开始实施前依照《信息披露办法》的有关规定在指定媒介上公告。</w:t>
      </w:r>
    </w:p>
    <w:p w14:paraId="681A831A" w14:textId="77777777" w:rsidR="001F702C" w:rsidRDefault="00BD18A1">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（四）申购和赎回的数额限定</w:t>
      </w:r>
    </w:p>
    <w:p w14:paraId="5C246139"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1、申购金额的限制</w:t>
      </w:r>
    </w:p>
    <w:p w14:paraId="7AB2AD4E"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直销机构首次申购的最低金额为单笔100万元，追加申购的最低金额为单笔10万元；已在直销机构有认购或申购过本基金管理人管理的任一基金（包括本基金）记录的投资人不受首次申购最低金额的限制。通过基金管理人网上直销交易平台办理基金申购业务的不受直销机构单笔申购最低金额的限制，申购最低金额为单笔1元。本基金直销机构单笔申购最低金额可由基金管理人酌情调整。其他销售机构接</w:t>
      </w:r>
      <w:r>
        <w:rPr>
          <w:rFonts w:ascii="宋体" w:hAnsi="宋体"/>
          <w:sz w:val="24"/>
        </w:rPr>
        <w:lastRenderedPageBreak/>
        <w:t>受申购申请的最低金额为单笔1元，如果销售机构业务规则规定的最低单笔申购金额高于1元，以该销售机构的规定为准。</w:t>
      </w:r>
    </w:p>
    <w:p w14:paraId="33AF953A"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2、赎回份额的限制</w:t>
      </w:r>
    </w:p>
    <w:p w14:paraId="71FCB0B4"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赎回的最低份额为1份基金份额，如果销售机构业务规则规定的最低单笔赎回份额高于1份，以该销售机构的规定为准。</w:t>
      </w:r>
    </w:p>
    <w:p w14:paraId="0613D30B"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3、最低余额的限制</w:t>
      </w:r>
    </w:p>
    <w:p w14:paraId="419404F8"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每个工作日投资人在单个交易账户的本基金份额余额少于1份时，若当日该账户同时有基金份额减少类业务（如赎回、转换出等）被确认，</w:t>
      </w:r>
      <w:proofErr w:type="gramStart"/>
      <w:r>
        <w:rPr>
          <w:rFonts w:ascii="宋体" w:hAnsi="宋体"/>
          <w:sz w:val="24"/>
        </w:rPr>
        <w:t>则基金</w:t>
      </w:r>
      <w:proofErr w:type="gramEnd"/>
      <w:r>
        <w:rPr>
          <w:rFonts w:ascii="宋体" w:hAnsi="宋体"/>
          <w:sz w:val="24"/>
        </w:rPr>
        <w:t>管理人有权将投资人在该账户的本基金份额一次性全部赎回。</w:t>
      </w:r>
    </w:p>
    <w:p w14:paraId="668F6BDE"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基金管理人届时发布的相关公告。</w:t>
      </w:r>
    </w:p>
    <w:p w14:paraId="272A1252"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管理人可根据市场情况，在法律法规允许的情况下，调整申购的金额和赎回的份额以及最低基金份额余额的数量限制等，基金管理人必须在调整实施前依照《信息披露办法》的有关规定在指定媒介上刊登公告并报中国证监会备案。</w:t>
      </w:r>
    </w:p>
    <w:p w14:paraId="140D9222" w14:textId="77777777" w:rsidR="001F702C" w:rsidRDefault="00BD18A1">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（五）申购和赎回的程序</w:t>
      </w:r>
    </w:p>
    <w:p w14:paraId="67ABDA9F"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1、申购和赎回的申请方式</w:t>
      </w:r>
    </w:p>
    <w:p w14:paraId="46EEEF69"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必须根据销售机构规定的程序，在开放日的具体业务办理时间内提出申购或赎回的申请。投资人在提交申购申请时须按销售机构规定的方式备足申购资金，投资人在提交赎回申请时须持有足够的基金份额余额，否则所提交的申购、赎回申请不成立。</w:t>
      </w:r>
    </w:p>
    <w:p w14:paraId="57636D54"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2、申购和赎回的款项支付</w:t>
      </w:r>
    </w:p>
    <w:p w14:paraId="1C6615B8"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投资人申购基金份额时，必须全额交付申购款项，若申购资金在规定时间内未全额到账则申购不成立。投资人全额交付申购款项，申购成立；登记机构确认基金份额时，申购生效。</w:t>
      </w:r>
    </w:p>
    <w:p w14:paraId="135C0465"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投资人递交赎回申请，赎回成立；登记机构确认赎回时，赎回生效。投资人赎</w:t>
      </w:r>
      <w:proofErr w:type="gramStart"/>
      <w:r>
        <w:rPr>
          <w:rFonts w:ascii="宋体" w:hAnsi="宋体"/>
          <w:sz w:val="24"/>
        </w:rPr>
        <w:t>回申请</w:t>
      </w:r>
      <w:proofErr w:type="gramEnd"/>
      <w:r>
        <w:rPr>
          <w:rFonts w:ascii="宋体" w:hAnsi="宋体"/>
          <w:sz w:val="24"/>
        </w:rPr>
        <w:t>成功后，基金管理人将在T＋7日（包括该日）内支付赎回款项。在发生巨额赎回或基金合同载明的其他暂停赎回或延缓支付赎回款项的情形时，款项的支付办法参照基金合同有关条款处理。</w:t>
      </w:r>
    </w:p>
    <w:p w14:paraId="4C215448"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3、申购和赎回申请的确认</w:t>
      </w:r>
    </w:p>
    <w:p w14:paraId="35AB33D6"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或基金管理人委托的登记机构应以交易时间结束前受理有效申购和赎回申请的当天作为申购或赎回申请日（T日），在正常情况下，本基金登记机构在T+1日（包括该日）内对该交易的有效性进行确认。T日提交的有效申请，投资人应在T+2日后（包括该日）及时到销售网点柜台或以销售机构规定的其他方式查询申请的确认情况。若申购不成功，则申购款项本金退还给投资人。</w:t>
      </w:r>
    </w:p>
    <w:p w14:paraId="03F05EE1"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基金管理人可在法律法规允许的范围内，依法对上述申购和赎回申请的确认时间进行调整，并必须在调整实施日前按照《信息披露办法》的有关规定在指定媒介上公告并报中国证监会备案。</w:t>
      </w:r>
    </w:p>
    <w:p w14:paraId="377491D0"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销售机构对申购、赎回申请的受理并不代表该申请一定成功，而仅代表销售机构确实接收到申购、赎回申请。申购、赎回申请的确认以登记机构的确认结果为准。对于申请的确认情况，投资者应及时查询。</w:t>
      </w:r>
    </w:p>
    <w:p w14:paraId="0E0ABB9F"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4、申购和赎回的登记</w:t>
      </w:r>
    </w:p>
    <w:p w14:paraId="4CCC7B2F"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（1）投资人T日申购基金成功后，正常情况下，登记机构在T＋1日为投资人增加权益并办理登记手续，投资人自T＋2日起（包括该日）有权赎回该部分基金份额。投资人应及时查询有关申请的确认情况。</w:t>
      </w:r>
    </w:p>
    <w:p w14:paraId="5B9E8B4C"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（2）投资人T日赎回基金成功后，正常情况下，登记机构在T＋1日为投资人扣除权益并办理相应的登记手续。</w:t>
      </w:r>
    </w:p>
    <w:p w14:paraId="6C52B88D"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（3）基金管理人可在法律法规允许的范围内，对上述登记办理时间进行调整，并于开始实施前按照《信息披露办法》的有关规定在指定媒介上公告并报中国证监会备案。</w:t>
      </w:r>
    </w:p>
    <w:p w14:paraId="3C7EE02D" w14:textId="77777777" w:rsidR="001F702C" w:rsidRDefault="00BD18A1">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（六）基金的申购费和赎回费</w:t>
      </w:r>
    </w:p>
    <w:p w14:paraId="6A6AE800"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1、申购费用</w:t>
      </w:r>
    </w:p>
    <w:p w14:paraId="2253370C" w14:textId="72C8A9B1"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w:t>
      </w:r>
      <w:proofErr w:type="gramStart"/>
      <w:r>
        <w:rPr>
          <w:rFonts w:ascii="宋体" w:hAnsi="宋体"/>
          <w:sz w:val="24"/>
        </w:rPr>
        <w:t>基金基金</w:t>
      </w:r>
      <w:proofErr w:type="gramEnd"/>
      <w:r>
        <w:rPr>
          <w:rFonts w:ascii="宋体" w:hAnsi="宋体"/>
          <w:sz w:val="24"/>
        </w:rPr>
        <w:t>份额分为A类基金份额</w:t>
      </w:r>
      <w:r w:rsidR="00770924">
        <w:rPr>
          <w:rFonts w:ascii="宋体" w:hAnsi="宋体" w:hint="eastAsia"/>
          <w:sz w:val="24"/>
        </w:rPr>
        <w:t>、</w:t>
      </w:r>
      <w:r>
        <w:rPr>
          <w:rFonts w:ascii="宋体" w:hAnsi="宋体"/>
          <w:sz w:val="24"/>
        </w:rPr>
        <w:t>C类基金份额</w:t>
      </w:r>
      <w:r w:rsidR="00770924" w:rsidRPr="00770924">
        <w:rPr>
          <w:rFonts w:ascii="宋体" w:hAnsi="宋体" w:hint="eastAsia"/>
          <w:sz w:val="24"/>
        </w:rPr>
        <w:t>和D类基金份额</w:t>
      </w:r>
      <w:r>
        <w:rPr>
          <w:rFonts w:ascii="宋体" w:hAnsi="宋体"/>
          <w:sz w:val="24"/>
        </w:rPr>
        <w:t>。投资人申购A类基金份额</w:t>
      </w:r>
      <w:r w:rsidR="00770924" w:rsidRPr="00770924">
        <w:rPr>
          <w:rFonts w:ascii="宋体" w:hAnsi="宋体" w:hint="eastAsia"/>
          <w:sz w:val="24"/>
        </w:rPr>
        <w:t>或D类基金份额</w:t>
      </w:r>
      <w:r>
        <w:rPr>
          <w:rFonts w:ascii="宋体" w:hAnsi="宋体"/>
          <w:sz w:val="24"/>
        </w:rPr>
        <w:t>在申购时支付申购费用、赎回时收取赎回费用，申购C类基金份额不支付申购费用、赎回时收取赎回费用，并从该类别基金资产中计</w:t>
      </w:r>
      <w:proofErr w:type="gramStart"/>
      <w:r>
        <w:rPr>
          <w:rFonts w:ascii="宋体" w:hAnsi="宋体"/>
          <w:sz w:val="24"/>
        </w:rPr>
        <w:t>提销售</w:t>
      </w:r>
      <w:proofErr w:type="gramEnd"/>
      <w:r>
        <w:rPr>
          <w:rFonts w:ascii="宋体" w:hAnsi="宋体"/>
          <w:sz w:val="24"/>
        </w:rPr>
        <w:t>服务费。</w:t>
      </w:r>
    </w:p>
    <w:p w14:paraId="6D73822D" w14:textId="1722DB19"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A类基金份额</w:t>
      </w:r>
      <w:r w:rsidR="00CA45DA" w:rsidRPr="00CA45DA">
        <w:rPr>
          <w:rFonts w:ascii="宋体" w:hAnsi="宋体" w:hint="eastAsia"/>
          <w:sz w:val="24"/>
        </w:rPr>
        <w:t>和D类基金份额</w:t>
      </w:r>
      <w:r>
        <w:rPr>
          <w:rFonts w:ascii="宋体" w:hAnsi="宋体"/>
          <w:sz w:val="24"/>
        </w:rPr>
        <w:t>的申购费用由</w:t>
      </w:r>
      <w:r w:rsidR="00CA45DA">
        <w:rPr>
          <w:rFonts w:ascii="宋体" w:hAnsi="宋体" w:hint="eastAsia"/>
          <w:sz w:val="24"/>
        </w:rPr>
        <w:t>该</w:t>
      </w:r>
      <w:r>
        <w:rPr>
          <w:rFonts w:ascii="宋体" w:hAnsi="宋体"/>
          <w:sz w:val="24"/>
        </w:rPr>
        <w:t>类基金份额申购人承担，不列入基金财产，主要用于本基金的市场推广、销售、登记等各项费用。</w:t>
      </w:r>
    </w:p>
    <w:p w14:paraId="0355E8BE" w14:textId="6E84341F"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投资人可以多次申购本基金，</w:t>
      </w:r>
      <w:r w:rsidR="00890EA4" w:rsidRPr="00AD594D">
        <w:rPr>
          <w:rFonts w:ascii="宋体" w:hAnsi="宋体" w:hint="eastAsia"/>
          <w:sz w:val="24"/>
        </w:rPr>
        <w:t>A类基金份额和D类基金份额</w:t>
      </w:r>
      <w:r>
        <w:rPr>
          <w:rFonts w:ascii="宋体" w:hAnsi="宋体"/>
          <w:sz w:val="24"/>
        </w:rPr>
        <w:t>申购费用按每笔</w:t>
      </w:r>
      <w:r w:rsidR="002C3ED8">
        <w:rPr>
          <w:rFonts w:ascii="宋体" w:hAnsi="宋体" w:hint="eastAsia"/>
          <w:sz w:val="24"/>
        </w:rPr>
        <w:t>该类</w:t>
      </w:r>
      <w:r w:rsidR="002C3ED8">
        <w:rPr>
          <w:rFonts w:ascii="宋体" w:hAnsi="宋体" w:hint="eastAsia"/>
          <w:sz w:val="24"/>
        </w:rPr>
        <w:lastRenderedPageBreak/>
        <w:t>基金份额</w:t>
      </w:r>
      <w:r>
        <w:rPr>
          <w:rFonts w:ascii="宋体" w:hAnsi="宋体"/>
          <w:sz w:val="24"/>
        </w:rPr>
        <w:t>申购申请单独计算。</w:t>
      </w:r>
    </w:p>
    <w:p w14:paraId="11CE862F" w14:textId="60552496"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本基金A类基金份额（非养老金客户）的申购费率如下：</w:t>
      </w:r>
    </w:p>
    <w:tbl>
      <w:tblPr>
        <w:tblW w:w="5000" w:type="pct"/>
        <w:tblCellMar>
          <w:left w:w="0" w:type="dxa"/>
          <w:right w:w="0" w:type="dxa"/>
        </w:tblCellMar>
        <w:tblLook w:val="0000" w:firstRow="0" w:lastRow="0" w:firstColumn="0" w:lastColumn="0" w:noHBand="0" w:noVBand="0"/>
      </w:tblPr>
      <w:tblGrid>
        <w:gridCol w:w="1236"/>
        <w:gridCol w:w="3707"/>
        <w:gridCol w:w="3707"/>
      </w:tblGrid>
      <w:tr w:rsidR="001F702C" w14:paraId="27077648" w14:textId="77777777" w:rsidTr="00C34248">
        <w:trPr>
          <w:cantSplit/>
          <w:trHeight w:val="375"/>
        </w:trPr>
        <w:tc>
          <w:tcPr>
            <w:tcW w:w="714" w:type="pct"/>
            <w:vMerge w:val="restart"/>
            <w:tcBorders>
              <w:top w:val="single" w:sz="4" w:space="0" w:color="auto"/>
              <w:left w:val="single" w:sz="4" w:space="0" w:color="auto"/>
              <w:bottom w:val="single" w:sz="4" w:space="0" w:color="auto"/>
              <w:right w:val="single" w:sz="4" w:space="0" w:color="auto"/>
            </w:tcBorders>
            <w:vAlign w:val="center"/>
          </w:tcPr>
          <w:p w14:paraId="3AFE85A7" w14:textId="77777777" w:rsidR="001F702C" w:rsidRDefault="00BD18A1">
            <w:pPr>
              <w:widowControl/>
              <w:snapToGrid w:val="0"/>
              <w:jc w:val="left"/>
              <w:rPr>
                <w:rFonts w:ascii="宋体" w:hAnsi="宋体"/>
                <w:color w:val="000000"/>
                <w:kern w:val="0"/>
                <w:sz w:val="25"/>
                <w:szCs w:val="24"/>
              </w:rPr>
            </w:pPr>
            <w:r>
              <w:rPr>
                <w:rFonts w:ascii="Times New Roman" w:hAnsi="Times New Roman"/>
                <w:color w:val="000000"/>
                <w:kern w:val="0"/>
                <w:sz w:val="25"/>
                <w:szCs w:val="24"/>
              </w:rPr>
              <w:t>申购费率</w:t>
            </w:r>
          </w:p>
        </w:tc>
        <w:tc>
          <w:tcPr>
            <w:tcW w:w="2143" w:type="pct"/>
            <w:tcBorders>
              <w:top w:val="single" w:sz="4" w:space="0" w:color="auto"/>
              <w:left w:val="single" w:sz="4" w:space="0" w:color="auto"/>
              <w:bottom w:val="single" w:sz="4" w:space="0" w:color="auto"/>
              <w:right w:val="single" w:sz="4" w:space="0" w:color="auto"/>
            </w:tcBorders>
            <w:vAlign w:val="center"/>
          </w:tcPr>
          <w:p w14:paraId="515A2392" w14:textId="77777777" w:rsidR="001F702C" w:rsidRDefault="00BD18A1">
            <w:pPr>
              <w:widowControl/>
              <w:snapToGrid w:val="0"/>
              <w:jc w:val="center"/>
              <w:rPr>
                <w:rFonts w:ascii="宋体" w:hAnsi="宋体"/>
                <w:color w:val="000000"/>
                <w:kern w:val="0"/>
                <w:sz w:val="25"/>
                <w:szCs w:val="24"/>
              </w:rPr>
            </w:pPr>
            <w:r>
              <w:rPr>
                <w:rFonts w:ascii="Times New Roman" w:hAnsi="Times New Roman"/>
                <w:color w:val="000000"/>
                <w:kern w:val="0"/>
                <w:sz w:val="25"/>
                <w:szCs w:val="24"/>
              </w:rPr>
              <w:t>申购金额（含申购费）</w:t>
            </w:r>
          </w:p>
        </w:tc>
        <w:tc>
          <w:tcPr>
            <w:tcW w:w="2143" w:type="pct"/>
            <w:tcBorders>
              <w:top w:val="single" w:sz="4" w:space="0" w:color="auto"/>
              <w:left w:val="single" w:sz="4" w:space="0" w:color="auto"/>
              <w:bottom w:val="single" w:sz="4" w:space="0" w:color="auto"/>
              <w:right w:val="single" w:sz="4" w:space="0" w:color="auto"/>
            </w:tcBorders>
            <w:vAlign w:val="center"/>
          </w:tcPr>
          <w:p w14:paraId="0A1371F5" w14:textId="601BEE41" w:rsidR="001F702C" w:rsidRDefault="00BD18A1">
            <w:pPr>
              <w:widowControl/>
              <w:snapToGrid w:val="0"/>
              <w:jc w:val="center"/>
              <w:rPr>
                <w:rFonts w:ascii="宋体" w:hAnsi="宋体"/>
                <w:color w:val="000000"/>
                <w:kern w:val="0"/>
                <w:sz w:val="25"/>
                <w:szCs w:val="24"/>
              </w:rPr>
            </w:pPr>
            <w:r>
              <w:rPr>
                <w:rFonts w:ascii="Times New Roman" w:hAnsi="Times New Roman"/>
                <w:color w:val="000000"/>
                <w:kern w:val="0"/>
                <w:sz w:val="25"/>
                <w:szCs w:val="24"/>
              </w:rPr>
              <w:t>A</w:t>
            </w:r>
            <w:r>
              <w:rPr>
                <w:rFonts w:ascii="Times New Roman" w:hAnsi="Times New Roman"/>
                <w:color w:val="000000"/>
                <w:kern w:val="0"/>
                <w:sz w:val="25"/>
                <w:szCs w:val="24"/>
              </w:rPr>
              <w:t>类基金份额申购费率</w:t>
            </w:r>
          </w:p>
        </w:tc>
      </w:tr>
      <w:tr w:rsidR="001F702C" w14:paraId="4951E136" w14:textId="77777777" w:rsidTr="00C34248">
        <w:trPr>
          <w:cantSplit/>
          <w:trHeight w:val="375"/>
        </w:trPr>
        <w:tc>
          <w:tcPr>
            <w:tcW w:w="714" w:type="pct"/>
            <w:vMerge/>
            <w:tcBorders>
              <w:top w:val="single" w:sz="4" w:space="0" w:color="auto"/>
              <w:left w:val="single" w:sz="4" w:space="0" w:color="auto"/>
              <w:bottom w:val="single" w:sz="4" w:space="0" w:color="auto"/>
              <w:right w:val="single" w:sz="4" w:space="0" w:color="auto"/>
            </w:tcBorders>
            <w:vAlign w:val="center"/>
          </w:tcPr>
          <w:p w14:paraId="64517D6C" w14:textId="77777777" w:rsidR="001F702C" w:rsidRDefault="001F702C">
            <w:pPr>
              <w:widowControl/>
              <w:snapToGrid w:val="0"/>
              <w:jc w:val="left"/>
              <w:rPr>
                <w:rFonts w:ascii="宋体" w:hAnsi="宋体"/>
                <w:color w:val="000000"/>
                <w:kern w:val="0"/>
                <w:sz w:val="25"/>
                <w:szCs w:val="24"/>
              </w:rPr>
            </w:pPr>
          </w:p>
        </w:tc>
        <w:tc>
          <w:tcPr>
            <w:tcW w:w="2143" w:type="pct"/>
            <w:tcBorders>
              <w:top w:val="single" w:sz="4" w:space="0" w:color="auto"/>
              <w:left w:val="single" w:sz="4" w:space="0" w:color="auto"/>
              <w:bottom w:val="single" w:sz="4" w:space="0" w:color="auto"/>
              <w:right w:val="single" w:sz="4" w:space="0" w:color="auto"/>
            </w:tcBorders>
            <w:vAlign w:val="center"/>
          </w:tcPr>
          <w:p w14:paraId="25458D33" w14:textId="77777777" w:rsidR="001F702C" w:rsidRDefault="00BD18A1">
            <w:pPr>
              <w:widowControl/>
              <w:snapToGrid w:val="0"/>
              <w:jc w:val="left"/>
              <w:rPr>
                <w:rFonts w:ascii="宋体" w:hAnsi="宋体"/>
                <w:color w:val="000000"/>
                <w:kern w:val="0"/>
                <w:sz w:val="25"/>
                <w:szCs w:val="24"/>
              </w:rPr>
            </w:pPr>
            <w:r>
              <w:rPr>
                <w:rFonts w:ascii="Times New Roman" w:hAnsi="Times New Roman"/>
                <w:color w:val="000000"/>
                <w:kern w:val="0"/>
                <w:sz w:val="25"/>
                <w:szCs w:val="24"/>
              </w:rPr>
              <w:t>50</w:t>
            </w:r>
            <w:r>
              <w:rPr>
                <w:rFonts w:ascii="Times New Roman" w:hAnsi="Times New Roman"/>
                <w:color w:val="000000"/>
                <w:kern w:val="0"/>
                <w:sz w:val="25"/>
                <w:szCs w:val="24"/>
              </w:rPr>
              <w:t>万元以下</w:t>
            </w:r>
          </w:p>
        </w:tc>
        <w:tc>
          <w:tcPr>
            <w:tcW w:w="2143" w:type="pct"/>
            <w:tcBorders>
              <w:top w:val="single" w:sz="4" w:space="0" w:color="auto"/>
              <w:left w:val="single" w:sz="4" w:space="0" w:color="auto"/>
              <w:bottom w:val="single" w:sz="4" w:space="0" w:color="auto"/>
              <w:right w:val="single" w:sz="4" w:space="0" w:color="auto"/>
            </w:tcBorders>
            <w:vAlign w:val="center"/>
          </w:tcPr>
          <w:p w14:paraId="7846A5C1" w14:textId="77777777" w:rsidR="001F702C" w:rsidRDefault="00BD18A1">
            <w:pPr>
              <w:widowControl/>
              <w:snapToGrid w:val="0"/>
              <w:jc w:val="center"/>
              <w:rPr>
                <w:rFonts w:ascii="宋体" w:hAnsi="宋体"/>
                <w:color w:val="000000"/>
                <w:kern w:val="0"/>
                <w:sz w:val="25"/>
                <w:szCs w:val="24"/>
              </w:rPr>
            </w:pPr>
            <w:r>
              <w:rPr>
                <w:rFonts w:ascii="Times New Roman" w:hAnsi="Times New Roman"/>
                <w:color w:val="000000"/>
                <w:kern w:val="0"/>
                <w:sz w:val="25"/>
                <w:szCs w:val="24"/>
              </w:rPr>
              <w:t>0.8%</w:t>
            </w:r>
          </w:p>
        </w:tc>
      </w:tr>
      <w:tr w:rsidR="001F702C" w14:paraId="32CDA44B" w14:textId="77777777" w:rsidTr="00C34248">
        <w:trPr>
          <w:cantSplit/>
          <w:trHeight w:val="375"/>
        </w:trPr>
        <w:tc>
          <w:tcPr>
            <w:tcW w:w="714" w:type="pct"/>
            <w:vMerge/>
            <w:tcBorders>
              <w:top w:val="single" w:sz="4" w:space="0" w:color="auto"/>
              <w:left w:val="single" w:sz="4" w:space="0" w:color="auto"/>
              <w:bottom w:val="single" w:sz="4" w:space="0" w:color="auto"/>
              <w:right w:val="single" w:sz="4" w:space="0" w:color="auto"/>
            </w:tcBorders>
            <w:vAlign w:val="center"/>
          </w:tcPr>
          <w:p w14:paraId="6539B772" w14:textId="77777777" w:rsidR="001F702C" w:rsidRDefault="001F702C">
            <w:pPr>
              <w:widowControl/>
              <w:snapToGrid w:val="0"/>
              <w:jc w:val="left"/>
              <w:rPr>
                <w:rFonts w:ascii="宋体" w:hAnsi="宋体"/>
                <w:color w:val="000000"/>
                <w:kern w:val="0"/>
                <w:sz w:val="25"/>
                <w:szCs w:val="24"/>
              </w:rPr>
            </w:pPr>
          </w:p>
        </w:tc>
        <w:tc>
          <w:tcPr>
            <w:tcW w:w="2143" w:type="pct"/>
            <w:tcBorders>
              <w:top w:val="single" w:sz="4" w:space="0" w:color="auto"/>
              <w:left w:val="single" w:sz="4" w:space="0" w:color="auto"/>
              <w:bottom w:val="single" w:sz="4" w:space="0" w:color="auto"/>
              <w:right w:val="single" w:sz="4" w:space="0" w:color="auto"/>
            </w:tcBorders>
            <w:vAlign w:val="center"/>
          </w:tcPr>
          <w:p w14:paraId="723F80A7" w14:textId="77777777" w:rsidR="001F702C" w:rsidRDefault="00BD18A1">
            <w:pPr>
              <w:widowControl/>
              <w:snapToGrid w:val="0"/>
              <w:jc w:val="left"/>
              <w:rPr>
                <w:rFonts w:ascii="宋体" w:hAnsi="宋体"/>
                <w:color w:val="000000"/>
                <w:kern w:val="0"/>
                <w:sz w:val="25"/>
                <w:szCs w:val="24"/>
              </w:rPr>
            </w:pPr>
            <w:r>
              <w:rPr>
                <w:rFonts w:ascii="Times New Roman" w:hAnsi="Times New Roman"/>
                <w:color w:val="000000"/>
                <w:kern w:val="0"/>
                <w:sz w:val="25"/>
                <w:szCs w:val="24"/>
              </w:rPr>
              <w:t>50</w:t>
            </w:r>
            <w:r>
              <w:rPr>
                <w:rFonts w:ascii="Times New Roman" w:hAnsi="Times New Roman"/>
                <w:color w:val="000000"/>
                <w:kern w:val="0"/>
                <w:sz w:val="25"/>
                <w:szCs w:val="24"/>
              </w:rPr>
              <w:t>万元（含）至</w:t>
            </w:r>
            <w:r>
              <w:rPr>
                <w:rFonts w:ascii="Times New Roman" w:hAnsi="Times New Roman"/>
                <w:color w:val="000000"/>
                <w:kern w:val="0"/>
                <w:sz w:val="25"/>
                <w:szCs w:val="24"/>
              </w:rPr>
              <w:t>100</w:t>
            </w:r>
            <w:r>
              <w:rPr>
                <w:rFonts w:ascii="Times New Roman" w:hAnsi="Times New Roman"/>
                <w:color w:val="000000"/>
                <w:kern w:val="0"/>
                <w:sz w:val="25"/>
                <w:szCs w:val="24"/>
              </w:rPr>
              <w:t>万元</w:t>
            </w:r>
          </w:p>
        </w:tc>
        <w:tc>
          <w:tcPr>
            <w:tcW w:w="2143" w:type="pct"/>
            <w:tcBorders>
              <w:top w:val="single" w:sz="4" w:space="0" w:color="auto"/>
              <w:left w:val="single" w:sz="4" w:space="0" w:color="auto"/>
              <w:bottom w:val="single" w:sz="4" w:space="0" w:color="auto"/>
              <w:right w:val="single" w:sz="4" w:space="0" w:color="auto"/>
            </w:tcBorders>
            <w:vAlign w:val="center"/>
          </w:tcPr>
          <w:p w14:paraId="09378A9F" w14:textId="77777777" w:rsidR="001F702C" w:rsidRDefault="00BD18A1">
            <w:pPr>
              <w:widowControl/>
              <w:snapToGrid w:val="0"/>
              <w:jc w:val="center"/>
              <w:rPr>
                <w:rFonts w:ascii="宋体" w:hAnsi="宋体"/>
                <w:color w:val="000000"/>
                <w:kern w:val="0"/>
                <w:sz w:val="25"/>
                <w:szCs w:val="24"/>
              </w:rPr>
            </w:pPr>
            <w:r>
              <w:rPr>
                <w:rFonts w:ascii="Times New Roman" w:hAnsi="Times New Roman"/>
                <w:color w:val="000000"/>
                <w:kern w:val="0"/>
                <w:sz w:val="25"/>
                <w:szCs w:val="24"/>
              </w:rPr>
              <w:t>0.6%</w:t>
            </w:r>
          </w:p>
        </w:tc>
      </w:tr>
      <w:tr w:rsidR="001F702C" w14:paraId="21FB7E26" w14:textId="77777777" w:rsidTr="00C34248">
        <w:trPr>
          <w:cantSplit/>
          <w:trHeight w:val="375"/>
        </w:trPr>
        <w:tc>
          <w:tcPr>
            <w:tcW w:w="714" w:type="pct"/>
            <w:vMerge/>
            <w:tcBorders>
              <w:top w:val="single" w:sz="4" w:space="0" w:color="auto"/>
              <w:left w:val="single" w:sz="4" w:space="0" w:color="auto"/>
              <w:bottom w:val="single" w:sz="4" w:space="0" w:color="auto"/>
              <w:right w:val="single" w:sz="4" w:space="0" w:color="auto"/>
            </w:tcBorders>
            <w:vAlign w:val="center"/>
          </w:tcPr>
          <w:p w14:paraId="1624A35F" w14:textId="77777777" w:rsidR="001F702C" w:rsidRDefault="001F702C">
            <w:pPr>
              <w:widowControl/>
              <w:snapToGrid w:val="0"/>
              <w:jc w:val="left"/>
              <w:rPr>
                <w:rFonts w:ascii="宋体" w:hAnsi="宋体"/>
                <w:color w:val="000000"/>
                <w:kern w:val="0"/>
                <w:sz w:val="25"/>
                <w:szCs w:val="24"/>
              </w:rPr>
            </w:pPr>
          </w:p>
        </w:tc>
        <w:tc>
          <w:tcPr>
            <w:tcW w:w="2143" w:type="pct"/>
            <w:tcBorders>
              <w:top w:val="single" w:sz="4" w:space="0" w:color="auto"/>
              <w:left w:val="single" w:sz="4" w:space="0" w:color="auto"/>
              <w:bottom w:val="single" w:sz="4" w:space="0" w:color="auto"/>
              <w:right w:val="single" w:sz="4" w:space="0" w:color="auto"/>
            </w:tcBorders>
            <w:vAlign w:val="center"/>
          </w:tcPr>
          <w:p w14:paraId="169C29FD" w14:textId="77777777" w:rsidR="001F702C" w:rsidRDefault="00BD18A1">
            <w:pPr>
              <w:widowControl/>
              <w:snapToGrid w:val="0"/>
              <w:jc w:val="left"/>
              <w:rPr>
                <w:rFonts w:ascii="宋体" w:hAnsi="宋体"/>
                <w:color w:val="000000"/>
                <w:kern w:val="0"/>
                <w:sz w:val="25"/>
                <w:szCs w:val="24"/>
              </w:rPr>
            </w:pPr>
            <w:r>
              <w:rPr>
                <w:rFonts w:ascii="Times New Roman" w:hAnsi="Times New Roman"/>
                <w:color w:val="000000"/>
                <w:kern w:val="0"/>
                <w:sz w:val="25"/>
                <w:szCs w:val="24"/>
              </w:rPr>
              <w:t>100</w:t>
            </w:r>
            <w:r>
              <w:rPr>
                <w:rFonts w:ascii="Times New Roman" w:hAnsi="Times New Roman"/>
                <w:color w:val="000000"/>
                <w:kern w:val="0"/>
                <w:sz w:val="25"/>
                <w:szCs w:val="24"/>
              </w:rPr>
              <w:t>万元（含）至</w:t>
            </w:r>
            <w:r>
              <w:rPr>
                <w:rFonts w:ascii="Times New Roman" w:hAnsi="Times New Roman"/>
                <w:color w:val="000000"/>
                <w:kern w:val="0"/>
                <w:sz w:val="25"/>
                <w:szCs w:val="24"/>
              </w:rPr>
              <w:t>200</w:t>
            </w:r>
            <w:r>
              <w:rPr>
                <w:rFonts w:ascii="Times New Roman" w:hAnsi="Times New Roman"/>
                <w:color w:val="000000"/>
                <w:kern w:val="0"/>
                <w:sz w:val="25"/>
                <w:szCs w:val="24"/>
              </w:rPr>
              <w:t>万元</w:t>
            </w:r>
          </w:p>
        </w:tc>
        <w:tc>
          <w:tcPr>
            <w:tcW w:w="2143" w:type="pct"/>
            <w:tcBorders>
              <w:top w:val="single" w:sz="4" w:space="0" w:color="auto"/>
              <w:left w:val="single" w:sz="4" w:space="0" w:color="auto"/>
              <w:bottom w:val="single" w:sz="4" w:space="0" w:color="auto"/>
              <w:right w:val="single" w:sz="4" w:space="0" w:color="auto"/>
            </w:tcBorders>
            <w:vAlign w:val="center"/>
          </w:tcPr>
          <w:p w14:paraId="0003846A" w14:textId="77777777" w:rsidR="001F702C" w:rsidRDefault="00BD18A1">
            <w:pPr>
              <w:widowControl/>
              <w:snapToGrid w:val="0"/>
              <w:jc w:val="center"/>
              <w:rPr>
                <w:rFonts w:ascii="宋体" w:hAnsi="宋体"/>
                <w:color w:val="000000"/>
                <w:kern w:val="0"/>
                <w:sz w:val="25"/>
                <w:szCs w:val="24"/>
              </w:rPr>
            </w:pPr>
            <w:r>
              <w:rPr>
                <w:rFonts w:ascii="Times New Roman" w:hAnsi="Times New Roman"/>
                <w:color w:val="000000"/>
                <w:kern w:val="0"/>
                <w:sz w:val="25"/>
                <w:szCs w:val="24"/>
              </w:rPr>
              <w:t>0.5%</w:t>
            </w:r>
          </w:p>
        </w:tc>
      </w:tr>
      <w:tr w:rsidR="001F702C" w14:paraId="532D4E06" w14:textId="77777777" w:rsidTr="00C34248">
        <w:trPr>
          <w:cantSplit/>
          <w:trHeight w:val="375"/>
        </w:trPr>
        <w:tc>
          <w:tcPr>
            <w:tcW w:w="714" w:type="pct"/>
            <w:vMerge/>
            <w:tcBorders>
              <w:top w:val="single" w:sz="4" w:space="0" w:color="auto"/>
              <w:left w:val="single" w:sz="4" w:space="0" w:color="auto"/>
              <w:bottom w:val="single" w:sz="4" w:space="0" w:color="auto"/>
              <w:right w:val="single" w:sz="4" w:space="0" w:color="auto"/>
            </w:tcBorders>
            <w:vAlign w:val="center"/>
          </w:tcPr>
          <w:p w14:paraId="48232EA7" w14:textId="77777777" w:rsidR="001F702C" w:rsidRDefault="001F702C">
            <w:pPr>
              <w:widowControl/>
              <w:snapToGrid w:val="0"/>
              <w:jc w:val="left"/>
              <w:rPr>
                <w:rFonts w:ascii="宋体" w:hAnsi="宋体"/>
                <w:color w:val="000000"/>
                <w:kern w:val="0"/>
                <w:sz w:val="25"/>
                <w:szCs w:val="24"/>
              </w:rPr>
            </w:pPr>
          </w:p>
        </w:tc>
        <w:tc>
          <w:tcPr>
            <w:tcW w:w="2143" w:type="pct"/>
            <w:tcBorders>
              <w:top w:val="single" w:sz="4" w:space="0" w:color="auto"/>
              <w:left w:val="single" w:sz="4" w:space="0" w:color="auto"/>
              <w:bottom w:val="single" w:sz="4" w:space="0" w:color="auto"/>
              <w:right w:val="single" w:sz="4" w:space="0" w:color="auto"/>
            </w:tcBorders>
            <w:vAlign w:val="center"/>
          </w:tcPr>
          <w:p w14:paraId="08C1A2D6" w14:textId="77777777" w:rsidR="001F702C" w:rsidRDefault="00BD18A1">
            <w:pPr>
              <w:widowControl/>
              <w:snapToGrid w:val="0"/>
              <w:jc w:val="left"/>
              <w:rPr>
                <w:rFonts w:ascii="宋体" w:hAnsi="宋体"/>
                <w:color w:val="000000"/>
                <w:kern w:val="0"/>
                <w:sz w:val="25"/>
                <w:szCs w:val="24"/>
              </w:rPr>
            </w:pPr>
            <w:r>
              <w:rPr>
                <w:rFonts w:ascii="Times New Roman" w:hAnsi="Times New Roman"/>
                <w:color w:val="000000"/>
                <w:kern w:val="0"/>
                <w:sz w:val="25"/>
                <w:szCs w:val="24"/>
              </w:rPr>
              <w:t>200</w:t>
            </w:r>
            <w:r>
              <w:rPr>
                <w:rFonts w:ascii="Times New Roman" w:hAnsi="Times New Roman"/>
                <w:color w:val="000000"/>
                <w:kern w:val="0"/>
                <w:sz w:val="25"/>
                <w:szCs w:val="24"/>
              </w:rPr>
              <w:t>万元（含）至</w:t>
            </w:r>
            <w:r>
              <w:rPr>
                <w:rFonts w:ascii="Times New Roman" w:hAnsi="Times New Roman"/>
                <w:color w:val="000000"/>
                <w:kern w:val="0"/>
                <w:sz w:val="25"/>
                <w:szCs w:val="24"/>
              </w:rPr>
              <w:t>500</w:t>
            </w:r>
            <w:r>
              <w:rPr>
                <w:rFonts w:ascii="Times New Roman" w:hAnsi="Times New Roman"/>
                <w:color w:val="000000"/>
                <w:kern w:val="0"/>
                <w:sz w:val="25"/>
                <w:szCs w:val="24"/>
              </w:rPr>
              <w:t>万元</w:t>
            </w:r>
          </w:p>
        </w:tc>
        <w:tc>
          <w:tcPr>
            <w:tcW w:w="2143" w:type="pct"/>
            <w:tcBorders>
              <w:top w:val="single" w:sz="4" w:space="0" w:color="auto"/>
              <w:left w:val="single" w:sz="4" w:space="0" w:color="auto"/>
              <w:bottom w:val="single" w:sz="4" w:space="0" w:color="auto"/>
              <w:right w:val="single" w:sz="4" w:space="0" w:color="auto"/>
            </w:tcBorders>
            <w:vAlign w:val="center"/>
          </w:tcPr>
          <w:p w14:paraId="0790A597" w14:textId="77777777" w:rsidR="001F702C" w:rsidRDefault="00BD18A1">
            <w:pPr>
              <w:widowControl/>
              <w:snapToGrid w:val="0"/>
              <w:jc w:val="center"/>
              <w:rPr>
                <w:rFonts w:ascii="宋体" w:hAnsi="宋体"/>
                <w:color w:val="000000"/>
                <w:kern w:val="0"/>
                <w:sz w:val="25"/>
                <w:szCs w:val="24"/>
              </w:rPr>
            </w:pPr>
            <w:r>
              <w:rPr>
                <w:rFonts w:ascii="Times New Roman" w:hAnsi="Times New Roman"/>
                <w:color w:val="000000"/>
                <w:kern w:val="0"/>
                <w:sz w:val="25"/>
                <w:szCs w:val="24"/>
              </w:rPr>
              <w:t>0.3%</w:t>
            </w:r>
          </w:p>
        </w:tc>
      </w:tr>
      <w:tr w:rsidR="001F702C" w14:paraId="0D30B2E6" w14:textId="77777777" w:rsidTr="00C34248">
        <w:trPr>
          <w:cantSplit/>
          <w:trHeight w:val="375"/>
        </w:trPr>
        <w:tc>
          <w:tcPr>
            <w:tcW w:w="714" w:type="pct"/>
            <w:vMerge/>
            <w:tcBorders>
              <w:top w:val="single" w:sz="4" w:space="0" w:color="auto"/>
              <w:left w:val="single" w:sz="4" w:space="0" w:color="auto"/>
              <w:bottom w:val="single" w:sz="4" w:space="0" w:color="auto"/>
              <w:right w:val="single" w:sz="4" w:space="0" w:color="auto"/>
            </w:tcBorders>
            <w:vAlign w:val="center"/>
          </w:tcPr>
          <w:p w14:paraId="0C17108D" w14:textId="77777777" w:rsidR="001F702C" w:rsidRDefault="001F702C">
            <w:pPr>
              <w:widowControl/>
              <w:snapToGrid w:val="0"/>
              <w:jc w:val="left"/>
              <w:rPr>
                <w:rFonts w:ascii="宋体" w:hAnsi="宋体"/>
                <w:color w:val="000000"/>
                <w:kern w:val="0"/>
                <w:sz w:val="25"/>
                <w:szCs w:val="24"/>
              </w:rPr>
            </w:pPr>
          </w:p>
        </w:tc>
        <w:tc>
          <w:tcPr>
            <w:tcW w:w="2143" w:type="pct"/>
            <w:tcBorders>
              <w:top w:val="single" w:sz="4" w:space="0" w:color="auto"/>
              <w:left w:val="single" w:sz="4" w:space="0" w:color="auto"/>
              <w:bottom w:val="single" w:sz="4" w:space="0" w:color="auto"/>
              <w:right w:val="single" w:sz="4" w:space="0" w:color="auto"/>
            </w:tcBorders>
            <w:vAlign w:val="center"/>
          </w:tcPr>
          <w:p w14:paraId="6BE2B8ED" w14:textId="77777777" w:rsidR="001F702C" w:rsidRDefault="00BD18A1">
            <w:pPr>
              <w:widowControl/>
              <w:snapToGrid w:val="0"/>
              <w:jc w:val="left"/>
              <w:rPr>
                <w:rFonts w:ascii="宋体" w:hAnsi="宋体"/>
                <w:color w:val="000000"/>
                <w:kern w:val="0"/>
                <w:sz w:val="25"/>
                <w:szCs w:val="24"/>
              </w:rPr>
            </w:pPr>
            <w:r>
              <w:rPr>
                <w:rFonts w:ascii="Times New Roman" w:hAnsi="Times New Roman"/>
                <w:color w:val="000000"/>
                <w:kern w:val="0"/>
                <w:sz w:val="25"/>
                <w:szCs w:val="24"/>
              </w:rPr>
              <w:t>500</w:t>
            </w:r>
            <w:r>
              <w:rPr>
                <w:rFonts w:ascii="Times New Roman" w:hAnsi="Times New Roman"/>
                <w:color w:val="000000"/>
                <w:kern w:val="0"/>
                <w:sz w:val="25"/>
                <w:szCs w:val="24"/>
              </w:rPr>
              <w:t>万元以上（含</w:t>
            </w:r>
            <w:r>
              <w:rPr>
                <w:rFonts w:ascii="Times New Roman" w:hAnsi="Times New Roman"/>
                <w:color w:val="000000"/>
                <w:kern w:val="0"/>
                <w:sz w:val="25"/>
                <w:szCs w:val="24"/>
              </w:rPr>
              <w:t>500</w:t>
            </w:r>
            <w:r>
              <w:rPr>
                <w:rFonts w:ascii="Times New Roman" w:hAnsi="Times New Roman"/>
                <w:color w:val="000000"/>
                <w:kern w:val="0"/>
                <w:sz w:val="25"/>
                <w:szCs w:val="24"/>
              </w:rPr>
              <w:t>万元）</w:t>
            </w:r>
          </w:p>
        </w:tc>
        <w:tc>
          <w:tcPr>
            <w:tcW w:w="2143" w:type="pct"/>
            <w:tcBorders>
              <w:top w:val="single" w:sz="4" w:space="0" w:color="auto"/>
              <w:left w:val="single" w:sz="4" w:space="0" w:color="auto"/>
              <w:bottom w:val="single" w:sz="4" w:space="0" w:color="auto"/>
              <w:right w:val="single" w:sz="4" w:space="0" w:color="auto"/>
            </w:tcBorders>
            <w:vAlign w:val="center"/>
          </w:tcPr>
          <w:p w14:paraId="73DD55C7" w14:textId="77777777" w:rsidR="001F702C" w:rsidRDefault="00BD18A1">
            <w:pPr>
              <w:widowControl/>
              <w:snapToGrid w:val="0"/>
              <w:jc w:val="center"/>
              <w:rPr>
                <w:rFonts w:ascii="宋体" w:hAnsi="宋体"/>
                <w:color w:val="000000"/>
                <w:kern w:val="0"/>
                <w:sz w:val="25"/>
                <w:szCs w:val="24"/>
              </w:rPr>
            </w:pPr>
            <w:r>
              <w:rPr>
                <w:rFonts w:ascii="Times New Roman" w:hAnsi="Times New Roman"/>
                <w:color w:val="000000"/>
                <w:kern w:val="0"/>
                <w:sz w:val="25"/>
                <w:szCs w:val="24"/>
              </w:rPr>
              <w:t>每笔交易</w:t>
            </w:r>
            <w:r>
              <w:rPr>
                <w:rFonts w:ascii="Times New Roman" w:hAnsi="Times New Roman"/>
                <w:color w:val="000000"/>
                <w:kern w:val="0"/>
                <w:sz w:val="25"/>
                <w:szCs w:val="24"/>
              </w:rPr>
              <w:t>1000</w:t>
            </w:r>
            <w:r>
              <w:rPr>
                <w:rFonts w:ascii="Times New Roman" w:hAnsi="Times New Roman"/>
                <w:color w:val="000000"/>
                <w:kern w:val="0"/>
                <w:sz w:val="25"/>
                <w:szCs w:val="24"/>
              </w:rPr>
              <w:t>元</w:t>
            </w:r>
          </w:p>
        </w:tc>
      </w:tr>
    </w:tbl>
    <w:p w14:paraId="681E468D" w14:textId="77777777" w:rsidR="00C34248" w:rsidRDefault="00C34248" w:rsidP="00C34248">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本基金D类基金份额（非养老金客户）的申购费率如下：</w:t>
      </w:r>
    </w:p>
    <w:tbl>
      <w:tblPr>
        <w:tblW w:w="5000" w:type="pct"/>
        <w:tblCellMar>
          <w:left w:w="0" w:type="dxa"/>
          <w:right w:w="0" w:type="dxa"/>
        </w:tblCellMar>
        <w:tblLook w:val="0000" w:firstRow="0" w:lastRow="0" w:firstColumn="0" w:lastColumn="0" w:noHBand="0" w:noVBand="0"/>
      </w:tblPr>
      <w:tblGrid>
        <w:gridCol w:w="1236"/>
        <w:gridCol w:w="3707"/>
        <w:gridCol w:w="3707"/>
      </w:tblGrid>
      <w:tr w:rsidR="00C34248" w14:paraId="15BABA63" w14:textId="77777777" w:rsidTr="00367445">
        <w:trPr>
          <w:cantSplit/>
          <w:trHeight w:val="375"/>
        </w:trPr>
        <w:tc>
          <w:tcPr>
            <w:tcW w:w="714" w:type="pct"/>
            <w:vMerge w:val="restart"/>
            <w:tcBorders>
              <w:top w:val="single" w:sz="4" w:space="0" w:color="auto"/>
              <w:left w:val="single" w:sz="4" w:space="0" w:color="auto"/>
              <w:bottom w:val="single" w:sz="4" w:space="0" w:color="auto"/>
              <w:right w:val="single" w:sz="4" w:space="0" w:color="auto"/>
            </w:tcBorders>
            <w:vAlign w:val="center"/>
          </w:tcPr>
          <w:p w14:paraId="358E971B" w14:textId="77777777" w:rsidR="00C34248" w:rsidRDefault="00C34248" w:rsidP="00367445">
            <w:pPr>
              <w:widowControl/>
              <w:snapToGrid w:val="0"/>
              <w:jc w:val="left"/>
              <w:rPr>
                <w:rFonts w:ascii="宋体" w:hAnsi="宋体"/>
                <w:color w:val="000000"/>
                <w:kern w:val="0"/>
                <w:sz w:val="25"/>
                <w:szCs w:val="24"/>
              </w:rPr>
            </w:pPr>
            <w:r>
              <w:rPr>
                <w:rFonts w:ascii="Times New Roman" w:hAnsi="Times New Roman"/>
                <w:color w:val="000000"/>
                <w:kern w:val="0"/>
                <w:sz w:val="25"/>
                <w:szCs w:val="24"/>
              </w:rPr>
              <w:t>申购费率</w:t>
            </w:r>
          </w:p>
        </w:tc>
        <w:tc>
          <w:tcPr>
            <w:tcW w:w="2143" w:type="pct"/>
            <w:tcBorders>
              <w:top w:val="single" w:sz="4" w:space="0" w:color="auto"/>
              <w:left w:val="single" w:sz="4" w:space="0" w:color="auto"/>
              <w:bottom w:val="single" w:sz="4" w:space="0" w:color="auto"/>
              <w:right w:val="single" w:sz="4" w:space="0" w:color="auto"/>
            </w:tcBorders>
            <w:vAlign w:val="center"/>
          </w:tcPr>
          <w:p w14:paraId="3A47A72C" w14:textId="77777777" w:rsidR="00C34248" w:rsidRDefault="00C34248" w:rsidP="00367445">
            <w:pPr>
              <w:widowControl/>
              <w:snapToGrid w:val="0"/>
              <w:jc w:val="center"/>
              <w:rPr>
                <w:rFonts w:ascii="宋体" w:hAnsi="宋体"/>
                <w:color w:val="000000"/>
                <w:kern w:val="0"/>
                <w:sz w:val="25"/>
                <w:szCs w:val="24"/>
              </w:rPr>
            </w:pPr>
            <w:r>
              <w:rPr>
                <w:rFonts w:ascii="Times New Roman" w:hAnsi="Times New Roman"/>
                <w:color w:val="000000"/>
                <w:kern w:val="0"/>
                <w:sz w:val="25"/>
                <w:szCs w:val="24"/>
              </w:rPr>
              <w:t>申购金额（含申购费）</w:t>
            </w:r>
          </w:p>
        </w:tc>
        <w:tc>
          <w:tcPr>
            <w:tcW w:w="2143" w:type="pct"/>
            <w:tcBorders>
              <w:top w:val="single" w:sz="4" w:space="0" w:color="auto"/>
              <w:left w:val="single" w:sz="4" w:space="0" w:color="auto"/>
              <w:bottom w:val="single" w:sz="4" w:space="0" w:color="auto"/>
              <w:right w:val="single" w:sz="4" w:space="0" w:color="auto"/>
            </w:tcBorders>
            <w:vAlign w:val="center"/>
          </w:tcPr>
          <w:p w14:paraId="69E51DF2" w14:textId="5D7B98AB" w:rsidR="00C34248" w:rsidRDefault="00C34248" w:rsidP="00367445">
            <w:pPr>
              <w:widowControl/>
              <w:snapToGrid w:val="0"/>
              <w:jc w:val="center"/>
              <w:rPr>
                <w:rFonts w:ascii="宋体" w:hAnsi="宋体"/>
                <w:color w:val="000000"/>
                <w:kern w:val="0"/>
                <w:sz w:val="25"/>
                <w:szCs w:val="24"/>
              </w:rPr>
            </w:pPr>
            <w:r>
              <w:rPr>
                <w:rFonts w:ascii="Times New Roman" w:hAnsi="Times New Roman"/>
                <w:color w:val="000000"/>
                <w:kern w:val="0"/>
                <w:sz w:val="25"/>
                <w:szCs w:val="24"/>
              </w:rPr>
              <w:t>D</w:t>
            </w:r>
            <w:r>
              <w:rPr>
                <w:rFonts w:ascii="Times New Roman" w:hAnsi="Times New Roman"/>
                <w:color w:val="000000"/>
                <w:kern w:val="0"/>
                <w:sz w:val="25"/>
                <w:szCs w:val="24"/>
              </w:rPr>
              <w:t>类基金份额申购费率</w:t>
            </w:r>
          </w:p>
        </w:tc>
      </w:tr>
      <w:tr w:rsidR="00C34248" w14:paraId="100A83F2" w14:textId="77777777" w:rsidTr="00367445">
        <w:trPr>
          <w:cantSplit/>
          <w:trHeight w:val="375"/>
        </w:trPr>
        <w:tc>
          <w:tcPr>
            <w:tcW w:w="714" w:type="pct"/>
            <w:vMerge/>
            <w:tcBorders>
              <w:top w:val="single" w:sz="4" w:space="0" w:color="auto"/>
              <w:left w:val="single" w:sz="4" w:space="0" w:color="auto"/>
              <w:bottom w:val="single" w:sz="4" w:space="0" w:color="auto"/>
              <w:right w:val="single" w:sz="4" w:space="0" w:color="auto"/>
            </w:tcBorders>
            <w:vAlign w:val="center"/>
          </w:tcPr>
          <w:p w14:paraId="378D29E7" w14:textId="77777777" w:rsidR="00C34248" w:rsidRDefault="00C34248" w:rsidP="00367445">
            <w:pPr>
              <w:widowControl/>
              <w:snapToGrid w:val="0"/>
              <w:jc w:val="left"/>
              <w:rPr>
                <w:rFonts w:ascii="宋体" w:hAnsi="宋体"/>
                <w:color w:val="000000"/>
                <w:kern w:val="0"/>
                <w:sz w:val="25"/>
                <w:szCs w:val="24"/>
              </w:rPr>
            </w:pPr>
          </w:p>
        </w:tc>
        <w:tc>
          <w:tcPr>
            <w:tcW w:w="2143" w:type="pct"/>
            <w:tcBorders>
              <w:top w:val="single" w:sz="4" w:space="0" w:color="auto"/>
              <w:left w:val="single" w:sz="4" w:space="0" w:color="auto"/>
              <w:bottom w:val="single" w:sz="4" w:space="0" w:color="auto"/>
              <w:right w:val="single" w:sz="4" w:space="0" w:color="auto"/>
            </w:tcBorders>
            <w:vAlign w:val="center"/>
          </w:tcPr>
          <w:p w14:paraId="3D8D56C3" w14:textId="77777777" w:rsidR="00C34248" w:rsidRDefault="00C34248" w:rsidP="00367445">
            <w:pPr>
              <w:widowControl/>
              <w:snapToGrid w:val="0"/>
              <w:jc w:val="left"/>
              <w:rPr>
                <w:rFonts w:ascii="宋体" w:hAnsi="宋体"/>
                <w:color w:val="000000"/>
                <w:kern w:val="0"/>
                <w:sz w:val="25"/>
                <w:szCs w:val="24"/>
              </w:rPr>
            </w:pPr>
            <w:r>
              <w:rPr>
                <w:rFonts w:ascii="Times New Roman" w:hAnsi="Times New Roman"/>
                <w:color w:val="000000"/>
                <w:kern w:val="0"/>
                <w:sz w:val="25"/>
                <w:szCs w:val="24"/>
              </w:rPr>
              <w:t>50</w:t>
            </w:r>
            <w:r>
              <w:rPr>
                <w:rFonts w:ascii="Times New Roman" w:hAnsi="Times New Roman"/>
                <w:color w:val="000000"/>
                <w:kern w:val="0"/>
                <w:sz w:val="25"/>
                <w:szCs w:val="24"/>
              </w:rPr>
              <w:t>万元以下</w:t>
            </w:r>
          </w:p>
        </w:tc>
        <w:tc>
          <w:tcPr>
            <w:tcW w:w="2143" w:type="pct"/>
            <w:tcBorders>
              <w:top w:val="single" w:sz="4" w:space="0" w:color="auto"/>
              <w:left w:val="single" w:sz="4" w:space="0" w:color="auto"/>
              <w:bottom w:val="single" w:sz="4" w:space="0" w:color="auto"/>
              <w:right w:val="single" w:sz="4" w:space="0" w:color="auto"/>
            </w:tcBorders>
            <w:vAlign w:val="center"/>
          </w:tcPr>
          <w:p w14:paraId="72465A7E" w14:textId="310E05E3" w:rsidR="00C34248" w:rsidRDefault="00C34248" w:rsidP="00367445">
            <w:pPr>
              <w:widowControl/>
              <w:snapToGrid w:val="0"/>
              <w:jc w:val="center"/>
              <w:rPr>
                <w:rFonts w:ascii="宋体" w:hAnsi="宋体"/>
                <w:color w:val="000000"/>
                <w:kern w:val="0"/>
                <w:sz w:val="25"/>
                <w:szCs w:val="24"/>
              </w:rPr>
            </w:pPr>
            <w:r>
              <w:rPr>
                <w:rFonts w:ascii="Times New Roman" w:hAnsi="Times New Roman"/>
                <w:color w:val="000000"/>
                <w:kern w:val="0"/>
                <w:sz w:val="25"/>
                <w:szCs w:val="24"/>
              </w:rPr>
              <w:t>0.9%</w:t>
            </w:r>
          </w:p>
        </w:tc>
      </w:tr>
      <w:tr w:rsidR="00C34248" w14:paraId="5F98FB09" w14:textId="77777777" w:rsidTr="00367445">
        <w:trPr>
          <w:cantSplit/>
          <w:trHeight w:val="375"/>
        </w:trPr>
        <w:tc>
          <w:tcPr>
            <w:tcW w:w="714" w:type="pct"/>
            <w:vMerge/>
            <w:tcBorders>
              <w:top w:val="single" w:sz="4" w:space="0" w:color="auto"/>
              <w:left w:val="single" w:sz="4" w:space="0" w:color="auto"/>
              <w:bottom w:val="single" w:sz="4" w:space="0" w:color="auto"/>
              <w:right w:val="single" w:sz="4" w:space="0" w:color="auto"/>
            </w:tcBorders>
            <w:vAlign w:val="center"/>
          </w:tcPr>
          <w:p w14:paraId="7E748B3D" w14:textId="77777777" w:rsidR="00C34248" w:rsidRDefault="00C34248" w:rsidP="00367445">
            <w:pPr>
              <w:widowControl/>
              <w:snapToGrid w:val="0"/>
              <w:jc w:val="left"/>
              <w:rPr>
                <w:rFonts w:ascii="宋体" w:hAnsi="宋体"/>
                <w:color w:val="000000"/>
                <w:kern w:val="0"/>
                <w:sz w:val="25"/>
                <w:szCs w:val="24"/>
              </w:rPr>
            </w:pPr>
          </w:p>
        </w:tc>
        <w:tc>
          <w:tcPr>
            <w:tcW w:w="2143" w:type="pct"/>
            <w:tcBorders>
              <w:top w:val="single" w:sz="4" w:space="0" w:color="auto"/>
              <w:left w:val="single" w:sz="4" w:space="0" w:color="auto"/>
              <w:bottom w:val="single" w:sz="4" w:space="0" w:color="auto"/>
              <w:right w:val="single" w:sz="4" w:space="0" w:color="auto"/>
            </w:tcBorders>
            <w:vAlign w:val="center"/>
          </w:tcPr>
          <w:p w14:paraId="580EA96E" w14:textId="77777777" w:rsidR="00C34248" w:rsidRDefault="00C34248" w:rsidP="00367445">
            <w:pPr>
              <w:widowControl/>
              <w:snapToGrid w:val="0"/>
              <w:jc w:val="left"/>
              <w:rPr>
                <w:rFonts w:ascii="宋体" w:hAnsi="宋体"/>
                <w:color w:val="000000"/>
                <w:kern w:val="0"/>
                <w:sz w:val="25"/>
                <w:szCs w:val="24"/>
              </w:rPr>
            </w:pPr>
            <w:r>
              <w:rPr>
                <w:rFonts w:ascii="Times New Roman" w:hAnsi="Times New Roman"/>
                <w:color w:val="000000"/>
                <w:kern w:val="0"/>
                <w:sz w:val="25"/>
                <w:szCs w:val="24"/>
              </w:rPr>
              <w:t>50</w:t>
            </w:r>
            <w:r>
              <w:rPr>
                <w:rFonts w:ascii="Times New Roman" w:hAnsi="Times New Roman"/>
                <w:color w:val="000000"/>
                <w:kern w:val="0"/>
                <w:sz w:val="25"/>
                <w:szCs w:val="24"/>
              </w:rPr>
              <w:t>万元（含）至</w:t>
            </w:r>
            <w:r>
              <w:rPr>
                <w:rFonts w:ascii="Times New Roman" w:hAnsi="Times New Roman"/>
                <w:color w:val="000000"/>
                <w:kern w:val="0"/>
                <w:sz w:val="25"/>
                <w:szCs w:val="24"/>
              </w:rPr>
              <w:t>100</w:t>
            </w:r>
            <w:r>
              <w:rPr>
                <w:rFonts w:ascii="Times New Roman" w:hAnsi="Times New Roman"/>
                <w:color w:val="000000"/>
                <w:kern w:val="0"/>
                <w:sz w:val="25"/>
                <w:szCs w:val="24"/>
              </w:rPr>
              <w:t>万元</w:t>
            </w:r>
          </w:p>
        </w:tc>
        <w:tc>
          <w:tcPr>
            <w:tcW w:w="2143" w:type="pct"/>
            <w:tcBorders>
              <w:top w:val="single" w:sz="4" w:space="0" w:color="auto"/>
              <w:left w:val="single" w:sz="4" w:space="0" w:color="auto"/>
              <w:bottom w:val="single" w:sz="4" w:space="0" w:color="auto"/>
              <w:right w:val="single" w:sz="4" w:space="0" w:color="auto"/>
            </w:tcBorders>
            <w:vAlign w:val="center"/>
          </w:tcPr>
          <w:p w14:paraId="4586CDFB" w14:textId="18F8C988" w:rsidR="00C34248" w:rsidRDefault="00C34248" w:rsidP="00367445">
            <w:pPr>
              <w:widowControl/>
              <w:snapToGrid w:val="0"/>
              <w:jc w:val="center"/>
              <w:rPr>
                <w:rFonts w:ascii="宋体" w:hAnsi="宋体"/>
                <w:color w:val="000000"/>
                <w:kern w:val="0"/>
                <w:sz w:val="25"/>
                <w:szCs w:val="24"/>
              </w:rPr>
            </w:pPr>
            <w:r>
              <w:rPr>
                <w:rFonts w:ascii="Times New Roman" w:hAnsi="Times New Roman"/>
                <w:color w:val="000000"/>
                <w:kern w:val="0"/>
                <w:sz w:val="25"/>
                <w:szCs w:val="24"/>
              </w:rPr>
              <w:t>0.7%</w:t>
            </w:r>
          </w:p>
        </w:tc>
      </w:tr>
      <w:tr w:rsidR="00C34248" w14:paraId="16DE58D7" w14:textId="77777777" w:rsidTr="00367445">
        <w:trPr>
          <w:cantSplit/>
          <w:trHeight w:val="375"/>
        </w:trPr>
        <w:tc>
          <w:tcPr>
            <w:tcW w:w="714" w:type="pct"/>
            <w:vMerge/>
            <w:tcBorders>
              <w:top w:val="single" w:sz="4" w:space="0" w:color="auto"/>
              <w:left w:val="single" w:sz="4" w:space="0" w:color="auto"/>
              <w:bottom w:val="single" w:sz="4" w:space="0" w:color="auto"/>
              <w:right w:val="single" w:sz="4" w:space="0" w:color="auto"/>
            </w:tcBorders>
            <w:vAlign w:val="center"/>
          </w:tcPr>
          <w:p w14:paraId="0AE374D8" w14:textId="77777777" w:rsidR="00C34248" w:rsidRDefault="00C34248" w:rsidP="00367445">
            <w:pPr>
              <w:widowControl/>
              <w:snapToGrid w:val="0"/>
              <w:jc w:val="left"/>
              <w:rPr>
                <w:rFonts w:ascii="宋体" w:hAnsi="宋体"/>
                <w:color w:val="000000"/>
                <w:kern w:val="0"/>
                <w:sz w:val="25"/>
                <w:szCs w:val="24"/>
              </w:rPr>
            </w:pPr>
          </w:p>
        </w:tc>
        <w:tc>
          <w:tcPr>
            <w:tcW w:w="2143" w:type="pct"/>
            <w:tcBorders>
              <w:top w:val="single" w:sz="4" w:space="0" w:color="auto"/>
              <w:left w:val="single" w:sz="4" w:space="0" w:color="auto"/>
              <w:bottom w:val="single" w:sz="4" w:space="0" w:color="auto"/>
              <w:right w:val="single" w:sz="4" w:space="0" w:color="auto"/>
            </w:tcBorders>
            <w:vAlign w:val="center"/>
          </w:tcPr>
          <w:p w14:paraId="53063D83" w14:textId="77777777" w:rsidR="00C34248" w:rsidRDefault="00C34248" w:rsidP="00367445">
            <w:pPr>
              <w:widowControl/>
              <w:snapToGrid w:val="0"/>
              <w:jc w:val="left"/>
              <w:rPr>
                <w:rFonts w:ascii="宋体" w:hAnsi="宋体"/>
                <w:color w:val="000000"/>
                <w:kern w:val="0"/>
                <w:sz w:val="25"/>
                <w:szCs w:val="24"/>
              </w:rPr>
            </w:pPr>
            <w:r>
              <w:rPr>
                <w:rFonts w:ascii="Times New Roman" w:hAnsi="Times New Roman"/>
                <w:color w:val="000000"/>
                <w:kern w:val="0"/>
                <w:sz w:val="25"/>
                <w:szCs w:val="24"/>
              </w:rPr>
              <w:t>100</w:t>
            </w:r>
            <w:r>
              <w:rPr>
                <w:rFonts w:ascii="Times New Roman" w:hAnsi="Times New Roman"/>
                <w:color w:val="000000"/>
                <w:kern w:val="0"/>
                <w:sz w:val="25"/>
                <w:szCs w:val="24"/>
              </w:rPr>
              <w:t>万元（含）至</w:t>
            </w:r>
            <w:r>
              <w:rPr>
                <w:rFonts w:ascii="Times New Roman" w:hAnsi="Times New Roman"/>
                <w:color w:val="000000"/>
                <w:kern w:val="0"/>
                <w:sz w:val="25"/>
                <w:szCs w:val="24"/>
              </w:rPr>
              <w:t>200</w:t>
            </w:r>
            <w:r>
              <w:rPr>
                <w:rFonts w:ascii="Times New Roman" w:hAnsi="Times New Roman"/>
                <w:color w:val="000000"/>
                <w:kern w:val="0"/>
                <w:sz w:val="25"/>
                <w:szCs w:val="24"/>
              </w:rPr>
              <w:t>万元</w:t>
            </w:r>
          </w:p>
        </w:tc>
        <w:tc>
          <w:tcPr>
            <w:tcW w:w="2143" w:type="pct"/>
            <w:tcBorders>
              <w:top w:val="single" w:sz="4" w:space="0" w:color="auto"/>
              <w:left w:val="single" w:sz="4" w:space="0" w:color="auto"/>
              <w:bottom w:val="single" w:sz="4" w:space="0" w:color="auto"/>
              <w:right w:val="single" w:sz="4" w:space="0" w:color="auto"/>
            </w:tcBorders>
            <w:vAlign w:val="center"/>
          </w:tcPr>
          <w:p w14:paraId="3172A986" w14:textId="1A67BA45" w:rsidR="00C34248" w:rsidRDefault="00C34248" w:rsidP="00367445">
            <w:pPr>
              <w:widowControl/>
              <w:snapToGrid w:val="0"/>
              <w:jc w:val="center"/>
              <w:rPr>
                <w:rFonts w:ascii="宋体" w:hAnsi="宋体"/>
                <w:color w:val="000000"/>
                <w:kern w:val="0"/>
                <w:sz w:val="25"/>
                <w:szCs w:val="24"/>
              </w:rPr>
            </w:pPr>
            <w:r>
              <w:rPr>
                <w:rFonts w:ascii="Times New Roman" w:hAnsi="Times New Roman"/>
                <w:color w:val="000000"/>
                <w:kern w:val="0"/>
                <w:sz w:val="25"/>
                <w:szCs w:val="24"/>
              </w:rPr>
              <w:t>0.6%</w:t>
            </w:r>
          </w:p>
        </w:tc>
      </w:tr>
      <w:tr w:rsidR="00C34248" w14:paraId="412CBC8E" w14:textId="77777777" w:rsidTr="00367445">
        <w:trPr>
          <w:cantSplit/>
          <w:trHeight w:val="375"/>
        </w:trPr>
        <w:tc>
          <w:tcPr>
            <w:tcW w:w="714" w:type="pct"/>
            <w:vMerge/>
            <w:tcBorders>
              <w:top w:val="single" w:sz="4" w:space="0" w:color="auto"/>
              <w:left w:val="single" w:sz="4" w:space="0" w:color="auto"/>
              <w:bottom w:val="single" w:sz="4" w:space="0" w:color="auto"/>
              <w:right w:val="single" w:sz="4" w:space="0" w:color="auto"/>
            </w:tcBorders>
            <w:vAlign w:val="center"/>
          </w:tcPr>
          <w:p w14:paraId="6B02FDCE" w14:textId="77777777" w:rsidR="00C34248" w:rsidRDefault="00C34248" w:rsidP="00367445">
            <w:pPr>
              <w:widowControl/>
              <w:snapToGrid w:val="0"/>
              <w:jc w:val="left"/>
              <w:rPr>
                <w:rFonts w:ascii="宋体" w:hAnsi="宋体"/>
                <w:color w:val="000000"/>
                <w:kern w:val="0"/>
                <w:sz w:val="25"/>
                <w:szCs w:val="24"/>
              </w:rPr>
            </w:pPr>
          </w:p>
        </w:tc>
        <w:tc>
          <w:tcPr>
            <w:tcW w:w="2143" w:type="pct"/>
            <w:tcBorders>
              <w:top w:val="single" w:sz="4" w:space="0" w:color="auto"/>
              <w:left w:val="single" w:sz="4" w:space="0" w:color="auto"/>
              <w:bottom w:val="single" w:sz="4" w:space="0" w:color="auto"/>
              <w:right w:val="single" w:sz="4" w:space="0" w:color="auto"/>
            </w:tcBorders>
            <w:vAlign w:val="center"/>
          </w:tcPr>
          <w:p w14:paraId="6CCFAF89" w14:textId="77777777" w:rsidR="00C34248" w:rsidRDefault="00C34248" w:rsidP="00367445">
            <w:pPr>
              <w:widowControl/>
              <w:snapToGrid w:val="0"/>
              <w:jc w:val="left"/>
              <w:rPr>
                <w:rFonts w:ascii="宋体" w:hAnsi="宋体"/>
                <w:color w:val="000000"/>
                <w:kern w:val="0"/>
                <w:sz w:val="25"/>
                <w:szCs w:val="24"/>
              </w:rPr>
            </w:pPr>
            <w:r>
              <w:rPr>
                <w:rFonts w:ascii="Times New Roman" w:hAnsi="Times New Roman"/>
                <w:color w:val="000000"/>
                <w:kern w:val="0"/>
                <w:sz w:val="25"/>
                <w:szCs w:val="24"/>
              </w:rPr>
              <w:t>200</w:t>
            </w:r>
            <w:r>
              <w:rPr>
                <w:rFonts w:ascii="Times New Roman" w:hAnsi="Times New Roman"/>
                <w:color w:val="000000"/>
                <w:kern w:val="0"/>
                <w:sz w:val="25"/>
                <w:szCs w:val="24"/>
              </w:rPr>
              <w:t>万元（含）至</w:t>
            </w:r>
            <w:r>
              <w:rPr>
                <w:rFonts w:ascii="Times New Roman" w:hAnsi="Times New Roman"/>
                <w:color w:val="000000"/>
                <w:kern w:val="0"/>
                <w:sz w:val="25"/>
                <w:szCs w:val="24"/>
              </w:rPr>
              <w:t>500</w:t>
            </w:r>
            <w:r>
              <w:rPr>
                <w:rFonts w:ascii="Times New Roman" w:hAnsi="Times New Roman"/>
                <w:color w:val="000000"/>
                <w:kern w:val="0"/>
                <w:sz w:val="25"/>
                <w:szCs w:val="24"/>
              </w:rPr>
              <w:t>万元</w:t>
            </w:r>
          </w:p>
        </w:tc>
        <w:tc>
          <w:tcPr>
            <w:tcW w:w="2143" w:type="pct"/>
            <w:tcBorders>
              <w:top w:val="single" w:sz="4" w:space="0" w:color="auto"/>
              <w:left w:val="single" w:sz="4" w:space="0" w:color="auto"/>
              <w:bottom w:val="single" w:sz="4" w:space="0" w:color="auto"/>
              <w:right w:val="single" w:sz="4" w:space="0" w:color="auto"/>
            </w:tcBorders>
            <w:vAlign w:val="center"/>
          </w:tcPr>
          <w:p w14:paraId="768E0397" w14:textId="4FDFC277" w:rsidR="00C34248" w:rsidRDefault="00C34248" w:rsidP="00367445">
            <w:pPr>
              <w:widowControl/>
              <w:snapToGrid w:val="0"/>
              <w:jc w:val="center"/>
              <w:rPr>
                <w:rFonts w:ascii="宋体" w:hAnsi="宋体"/>
                <w:color w:val="000000"/>
                <w:kern w:val="0"/>
                <w:sz w:val="25"/>
                <w:szCs w:val="24"/>
              </w:rPr>
            </w:pPr>
            <w:r>
              <w:rPr>
                <w:rFonts w:ascii="Times New Roman" w:hAnsi="Times New Roman"/>
                <w:color w:val="000000"/>
                <w:kern w:val="0"/>
                <w:sz w:val="25"/>
                <w:szCs w:val="24"/>
              </w:rPr>
              <w:t>0.4%</w:t>
            </w:r>
          </w:p>
        </w:tc>
      </w:tr>
      <w:tr w:rsidR="00C34248" w14:paraId="5649261A" w14:textId="77777777" w:rsidTr="00367445">
        <w:trPr>
          <w:cantSplit/>
          <w:trHeight w:val="375"/>
        </w:trPr>
        <w:tc>
          <w:tcPr>
            <w:tcW w:w="714" w:type="pct"/>
            <w:vMerge/>
            <w:tcBorders>
              <w:top w:val="single" w:sz="4" w:space="0" w:color="auto"/>
              <w:left w:val="single" w:sz="4" w:space="0" w:color="auto"/>
              <w:bottom w:val="single" w:sz="4" w:space="0" w:color="auto"/>
              <w:right w:val="single" w:sz="4" w:space="0" w:color="auto"/>
            </w:tcBorders>
            <w:vAlign w:val="center"/>
          </w:tcPr>
          <w:p w14:paraId="6C4A616F" w14:textId="77777777" w:rsidR="00C34248" w:rsidRDefault="00C34248" w:rsidP="00367445">
            <w:pPr>
              <w:widowControl/>
              <w:snapToGrid w:val="0"/>
              <w:jc w:val="left"/>
              <w:rPr>
                <w:rFonts w:ascii="宋体" w:hAnsi="宋体"/>
                <w:color w:val="000000"/>
                <w:kern w:val="0"/>
                <w:sz w:val="25"/>
                <w:szCs w:val="24"/>
              </w:rPr>
            </w:pPr>
          </w:p>
        </w:tc>
        <w:tc>
          <w:tcPr>
            <w:tcW w:w="2143" w:type="pct"/>
            <w:tcBorders>
              <w:top w:val="single" w:sz="4" w:space="0" w:color="auto"/>
              <w:left w:val="single" w:sz="4" w:space="0" w:color="auto"/>
              <w:bottom w:val="single" w:sz="4" w:space="0" w:color="auto"/>
              <w:right w:val="single" w:sz="4" w:space="0" w:color="auto"/>
            </w:tcBorders>
            <w:vAlign w:val="center"/>
          </w:tcPr>
          <w:p w14:paraId="7C88D4F5" w14:textId="77777777" w:rsidR="00C34248" w:rsidRDefault="00C34248" w:rsidP="00367445">
            <w:pPr>
              <w:widowControl/>
              <w:snapToGrid w:val="0"/>
              <w:jc w:val="left"/>
              <w:rPr>
                <w:rFonts w:ascii="宋体" w:hAnsi="宋体"/>
                <w:color w:val="000000"/>
                <w:kern w:val="0"/>
                <w:sz w:val="25"/>
                <w:szCs w:val="24"/>
              </w:rPr>
            </w:pPr>
            <w:r>
              <w:rPr>
                <w:rFonts w:ascii="Times New Roman" w:hAnsi="Times New Roman"/>
                <w:color w:val="000000"/>
                <w:kern w:val="0"/>
                <w:sz w:val="25"/>
                <w:szCs w:val="24"/>
              </w:rPr>
              <w:t>500</w:t>
            </w:r>
            <w:r>
              <w:rPr>
                <w:rFonts w:ascii="Times New Roman" w:hAnsi="Times New Roman"/>
                <w:color w:val="000000"/>
                <w:kern w:val="0"/>
                <w:sz w:val="25"/>
                <w:szCs w:val="24"/>
              </w:rPr>
              <w:t>万元以上（含</w:t>
            </w:r>
            <w:r>
              <w:rPr>
                <w:rFonts w:ascii="Times New Roman" w:hAnsi="Times New Roman"/>
                <w:color w:val="000000"/>
                <w:kern w:val="0"/>
                <w:sz w:val="25"/>
                <w:szCs w:val="24"/>
              </w:rPr>
              <w:t>500</w:t>
            </w:r>
            <w:r>
              <w:rPr>
                <w:rFonts w:ascii="Times New Roman" w:hAnsi="Times New Roman"/>
                <w:color w:val="000000"/>
                <w:kern w:val="0"/>
                <w:sz w:val="25"/>
                <w:szCs w:val="24"/>
              </w:rPr>
              <w:t>万元）</w:t>
            </w:r>
          </w:p>
        </w:tc>
        <w:tc>
          <w:tcPr>
            <w:tcW w:w="2143" w:type="pct"/>
            <w:tcBorders>
              <w:top w:val="single" w:sz="4" w:space="0" w:color="auto"/>
              <w:left w:val="single" w:sz="4" w:space="0" w:color="auto"/>
              <w:bottom w:val="single" w:sz="4" w:space="0" w:color="auto"/>
              <w:right w:val="single" w:sz="4" w:space="0" w:color="auto"/>
            </w:tcBorders>
            <w:vAlign w:val="center"/>
          </w:tcPr>
          <w:p w14:paraId="285EC21A" w14:textId="7B0BD6B8" w:rsidR="00C34248" w:rsidRDefault="00C34248" w:rsidP="00367445">
            <w:pPr>
              <w:widowControl/>
              <w:snapToGrid w:val="0"/>
              <w:jc w:val="center"/>
              <w:rPr>
                <w:rFonts w:ascii="宋体" w:hAnsi="宋体"/>
                <w:color w:val="000000"/>
                <w:kern w:val="0"/>
                <w:sz w:val="25"/>
                <w:szCs w:val="24"/>
              </w:rPr>
            </w:pPr>
            <w:r>
              <w:rPr>
                <w:rFonts w:ascii="Times New Roman" w:hAnsi="Times New Roman"/>
                <w:color w:val="000000"/>
                <w:kern w:val="0"/>
                <w:sz w:val="25"/>
                <w:szCs w:val="24"/>
              </w:rPr>
              <w:t>每笔交易</w:t>
            </w:r>
            <w:r>
              <w:rPr>
                <w:rFonts w:ascii="Times New Roman" w:hAnsi="Times New Roman"/>
                <w:color w:val="000000"/>
                <w:kern w:val="0"/>
                <w:sz w:val="25"/>
                <w:szCs w:val="24"/>
              </w:rPr>
              <w:t>1200</w:t>
            </w:r>
            <w:r>
              <w:rPr>
                <w:rFonts w:ascii="Times New Roman" w:hAnsi="Times New Roman"/>
                <w:color w:val="000000"/>
                <w:kern w:val="0"/>
                <w:sz w:val="25"/>
                <w:szCs w:val="24"/>
              </w:rPr>
              <w:t>元</w:t>
            </w:r>
          </w:p>
        </w:tc>
      </w:tr>
    </w:tbl>
    <w:p w14:paraId="204BE1EC" w14:textId="591987E8"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持有A类基金份额</w:t>
      </w:r>
      <w:r w:rsidR="00437B56">
        <w:rPr>
          <w:rFonts w:ascii="宋体" w:hAnsi="宋体" w:hint="eastAsia"/>
          <w:sz w:val="24"/>
        </w:rPr>
        <w:t>或D类基金份额</w:t>
      </w:r>
      <w:r>
        <w:rPr>
          <w:rFonts w:ascii="宋体" w:hAnsi="宋体"/>
          <w:sz w:val="24"/>
        </w:rPr>
        <w:t>的投资人因红利自动再投资而产生的A类基金份额</w:t>
      </w:r>
      <w:r w:rsidR="00437B56">
        <w:rPr>
          <w:rFonts w:ascii="宋体" w:hAnsi="宋体" w:hint="eastAsia"/>
          <w:sz w:val="24"/>
        </w:rPr>
        <w:t>或D类基金份额</w:t>
      </w:r>
      <w:r>
        <w:rPr>
          <w:rFonts w:ascii="宋体" w:hAnsi="宋体"/>
          <w:sz w:val="24"/>
        </w:rPr>
        <w:t>，不收取相应的申购费用。</w:t>
      </w:r>
    </w:p>
    <w:p w14:paraId="1A26CF56" w14:textId="23AE3FB0"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本基金对通过基金管理人直销柜台申购A类基金份额</w:t>
      </w:r>
      <w:r w:rsidR="004635B8">
        <w:rPr>
          <w:rFonts w:ascii="宋体" w:hAnsi="宋体" w:hint="eastAsia"/>
          <w:sz w:val="24"/>
        </w:rPr>
        <w:t>或D类基金份额</w:t>
      </w:r>
      <w:r>
        <w:rPr>
          <w:rFonts w:ascii="宋体" w:hAnsi="宋体"/>
          <w:sz w:val="24"/>
        </w:rPr>
        <w:t>的养老金客户实施特定申购费率。</w:t>
      </w:r>
    </w:p>
    <w:p w14:paraId="5DECDD59"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养老金客户指基本养老基金与依法成立的养老计划筹集的资金及其投资运营收益形成的补充养老基金等，具体包括：</w:t>
      </w:r>
    </w:p>
    <w:p w14:paraId="62F487A1"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1）全国社会保障基金；</w:t>
      </w:r>
    </w:p>
    <w:p w14:paraId="5A0425B2"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2）可以投资基金的地方社会保障基金；</w:t>
      </w:r>
    </w:p>
    <w:p w14:paraId="6C270151"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3）企业年金单一计划以及集合计划；</w:t>
      </w:r>
    </w:p>
    <w:p w14:paraId="2F6A7098"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4）企业年金理事会委托的特定客户资产管理计划；</w:t>
      </w:r>
    </w:p>
    <w:p w14:paraId="216E4DEA"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5）企业年金养老金产品。</w:t>
      </w:r>
    </w:p>
    <w:p w14:paraId="1FAFC38E"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如将来出现经养老基金监管部门认可的新的养老基金类型，基金管理人可在招募说明书更新或发布临时公告将其纳入养老金客户范围，并按规定向中国证监会备案。</w:t>
      </w:r>
    </w:p>
    <w:p w14:paraId="34EDE53F" w14:textId="18E87194"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通过基金管理人直销柜台申购本基金A类基金份额的养老金客户特定申购费率如下表：</w:t>
      </w:r>
    </w:p>
    <w:tbl>
      <w:tblPr>
        <w:tblW w:w="5000" w:type="pct"/>
        <w:tblCellMar>
          <w:left w:w="0" w:type="dxa"/>
          <w:right w:w="0" w:type="dxa"/>
        </w:tblCellMar>
        <w:tblLook w:val="0000" w:firstRow="0" w:lastRow="0" w:firstColumn="0" w:lastColumn="0" w:noHBand="0" w:noVBand="0"/>
      </w:tblPr>
      <w:tblGrid>
        <w:gridCol w:w="1236"/>
        <w:gridCol w:w="3707"/>
        <w:gridCol w:w="3707"/>
      </w:tblGrid>
      <w:tr w:rsidR="001F702C" w14:paraId="70D89C38" w14:textId="77777777" w:rsidTr="00885FB9">
        <w:trPr>
          <w:cantSplit/>
          <w:trHeight w:val="375"/>
        </w:trPr>
        <w:tc>
          <w:tcPr>
            <w:tcW w:w="714" w:type="pct"/>
            <w:vMerge w:val="restart"/>
            <w:tcBorders>
              <w:top w:val="single" w:sz="4" w:space="0" w:color="auto"/>
              <w:left w:val="single" w:sz="4" w:space="0" w:color="auto"/>
              <w:bottom w:val="single" w:sz="4" w:space="0" w:color="auto"/>
              <w:right w:val="single" w:sz="4" w:space="0" w:color="auto"/>
            </w:tcBorders>
            <w:vAlign w:val="center"/>
          </w:tcPr>
          <w:p w14:paraId="25806061" w14:textId="77777777" w:rsidR="001F702C" w:rsidRDefault="00BD18A1">
            <w:pPr>
              <w:widowControl/>
              <w:snapToGrid w:val="0"/>
              <w:jc w:val="left"/>
              <w:rPr>
                <w:rFonts w:ascii="宋体" w:hAnsi="宋体"/>
                <w:color w:val="000000"/>
                <w:kern w:val="0"/>
                <w:sz w:val="25"/>
                <w:szCs w:val="24"/>
              </w:rPr>
            </w:pPr>
            <w:r>
              <w:rPr>
                <w:rFonts w:ascii="Times New Roman" w:hAnsi="Times New Roman"/>
                <w:color w:val="000000"/>
                <w:kern w:val="0"/>
                <w:sz w:val="25"/>
                <w:szCs w:val="24"/>
              </w:rPr>
              <w:t>申购费率</w:t>
            </w:r>
          </w:p>
        </w:tc>
        <w:tc>
          <w:tcPr>
            <w:tcW w:w="2143" w:type="pct"/>
            <w:tcBorders>
              <w:top w:val="single" w:sz="4" w:space="0" w:color="auto"/>
              <w:left w:val="single" w:sz="4" w:space="0" w:color="auto"/>
              <w:bottom w:val="single" w:sz="4" w:space="0" w:color="auto"/>
              <w:right w:val="single" w:sz="4" w:space="0" w:color="auto"/>
            </w:tcBorders>
            <w:vAlign w:val="center"/>
          </w:tcPr>
          <w:p w14:paraId="48FE2F72" w14:textId="77777777" w:rsidR="001F702C" w:rsidRDefault="00BD18A1">
            <w:pPr>
              <w:widowControl/>
              <w:snapToGrid w:val="0"/>
              <w:jc w:val="center"/>
              <w:rPr>
                <w:rFonts w:ascii="宋体" w:hAnsi="宋体"/>
                <w:color w:val="000000"/>
                <w:kern w:val="0"/>
                <w:sz w:val="25"/>
                <w:szCs w:val="24"/>
              </w:rPr>
            </w:pPr>
            <w:r>
              <w:rPr>
                <w:rFonts w:ascii="Times New Roman" w:hAnsi="Times New Roman"/>
                <w:color w:val="000000"/>
                <w:kern w:val="0"/>
                <w:sz w:val="25"/>
                <w:szCs w:val="24"/>
              </w:rPr>
              <w:t>申购金额（含申购费）</w:t>
            </w:r>
          </w:p>
        </w:tc>
        <w:tc>
          <w:tcPr>
            <w:tcW w:w="2143" w:type="pct"/>
            <w:tcBorders>
              <w:top w:val="single" w:sz="4" w:space="0" w:color="auto"/>
              <w:left w:val="single" w:sz="4" w:space="0" w:color="auto"/>
              <w:bottom w:val="single" w:sz="4" w:space="0" w:color="auto"/>
              <w:right w:val="single" w:sz="4" w:space="0" w:color="auto"/>
            </w:tcBorders>
            <w:vAlign w:val="center"/>
          </w:tcPr>
          <w:p w14:paraId="5A6F09D2" w14:textId="51419536" w:rsidR="001F702C" w:rsidRDefault="00BD18A1">
            <w:pPr>
              <w:widowControl/>
              <w:snapToGrid w:val="0"/>
              <w:jc w:val="center"/>
              <w:rPr>
                <w:rFonts w:ascii="宋体" w:hAnsi="宋体"/>
                <w:color w:val="000000"/>
                <w:kern w:val="0"/>
                <w:sz w:val="25"/>
                <w:szCs w:val="24"/>
              </w:rPr>
            </w:pPr>
            <w:r>
              <w:rPr>
                <w:rFonts w:ascii="Times New Roman" w:hAnsi="Times New Roman"/>
                <w:color w:val="000000"/>
                <w:kern w:val="0"/>
                <w:sz w:val="25"/>
                <w:szCs w:val="24"/>
              </w:rPr>
              <w:t>A</w:t>
            </w:r>
            <w:r>
              <w:rPr>
                <w:rFonts w:ascii="Times New Roman" w:hAnsi="Times New Roman"/>
                <w:color w:val="000000"/>
                <w:kern w:val="0"/>
                <w:sz w:val="25"/>
                <w:szCs w:val="24"/>
              </w:rPr>
              <w:t>类基金份额特定申购费率</w:t>
            </w:r>
          </w:p>
        </w:tc>
      </w:tr>
      <w:tr w:rsidR="001F702C" w14:paraId="11DC0084" w14:textId="77777777" w:rsidTr="00885FB9">
        <w:trPr>
          <w:cantSplit/>
          <w:trHeight w:val="375"/>
        </w:trPr>
        <w:tc>
          <w:tcPr>
            <w:tcW w:w="714" w:type="pct"/>
            <w:vMerge/>
            <w:tcBorders>
              <w:top w:val="single" w:sz="4" w:space="0" w:color="auto"/>
              <w:left w:val="single" w:sz="4" w:space="0" w:color="auto"/>
              <w:bottom w:val="single" w:sz="4" w:space="0" w:color="auto"/>
              <w:right w:val="single" w:sz="4" w:space="0" w:color="auto"/>
            </w:tcBorders>
            <w:vAlign w:val="center"/>
          </w:tcPr>
          <w:p w14:paraId="40EE15DE" w14:textId="77777777" w:rsidR="001F702C" w:rsidRDefault="001F702C">
            <w:pPr>
              <w:widowControl/>
              <w:snapToGrid w:val="0"/>
              <w:jc w:val="left"/>
              <w:rPr>
                <w:rFonts w:ascii="宋体" w:hAnsi="宋体"/>
                <w:color w:val="000000"/>
                <w:kern w:val="0"/>
                <w:sz w:val="25"/>
                <w:szCs w:val="24"/>
              </w:rPr>
            </w:pPr>
          </w:p>
        </w:tc>
        <w:tc>
          <w:tcPr>
            <w:tcW w:w="2143" w:type="pct"/>
            <w:tcBorders>
              <w:top w:val="single" w:sz="4" w:space="0" w:color="auto"/>
              <w:left w:val="single" w:sz="4" w:space="0" w:color="auto"/>
              <w:bottom w:val="single" w:sz="4" w:space="0" w:color="auto"/>
              <w:right w:val="single" w:sz="4" w:space="0" w:color="auto"/>
            </w:tcBorders>
            <w:vAlign w:val="center"/>
          </w:tcPr>
          <w:p w14:paraId="08C9B381" w14:textId="77777777" w:rsidR="001F702C" w:rsidRDefault="00BD18A1">
            <w:pPr>
              <w:widowControl/>
              <w:snapToGrid w:val="0"/>
              <w:jc w:val="left"/>
              <w:rPr>
                <w:rFonts w:ascii="宋体" w:hAnsi="宋体"/>
                <w:color w:val="000000"/>
                <w:kern w:val="0"/>
                <w:sz w:val="25"/>
                <w:szCs w:val="24"/>
              </w:rPr>
            </w:pPr>
            <w:r>
              <w:rPr>
                <w:rFonts w:ascii="Times New Roman" w:hAnsi="Times New Roman"/>
                <w:color w:val="000000"/>
                <w:kern w:val="0"/>
                <w:sz w:val="25"/>
                <w:szCs w:val="24"/>
              </w:rPr>
              <w:t>50</w:t>
            </w:r>
            <w:r>
              <w:rPr>
                <w:rFonts w:ascii="Times New Roman" w:hAnsi="Times New Roman"/>
                <w:color w:val="000000"/>
                <w:kern w:val="0"/>
                <w:sz w:val="25"/>
                <w:szCs w:val="24"/>
              </w:rPr>
              <w:t>万元以下</w:t>
            </w:r>
          </w:p>
        </w:tc>
        <w:tc>
          <w:tcPr>
            <w:tcW w:w="2143" w:type="pct"/>
            <w:tcBorders>
              <w:top w:val="single" w:sz="4" w:space="0" w:color="auto"/>
              <w:left w:val="single" w:sz="4" w:space="0" w:color="auto"/>
              <w:bottom w:val="single" w:sz="4" w:space="0" w:color="auto"/>
              <w:right w:val="single" w:sz="4" w:space="0" w:color="auto"/>
            </w:tcBorders>
            <w:vAlign w:val="center"/>
          </w:tcPr>
          <w:p w14:paraId="3CF804C6" w14:textId="77777777" w:rsidR="001F702C" w:rsidRDefault="00BD18A1">
            <w:pPr>
              <w:widowControl/>
              <w:snapToGrid w:val="0"/>
              <w:jc w:val="center"/>
              <w:rPr>
                <w:rFonts w:ascii="宋体" w:hAnsi="宋体"/>
                <w:color w:val="000000"/>
                <w:kern w:val="0"/>
                <w:sz w:val="25"/>
                <w:szCs w:val="24"/>
              </w:rPr>
            </w:pPr>
            <w:r>
              <w:rPr>
                <w:rFonts w:ascii="Times New Roman" w:hAnsi="Times New Roman"/>
                <w:color w:val="000000"/>
                <w:kern w:val="0"/>
                <w:sz w:val="25"/>
                <w:szCs w:val="24"/>
              </w:rPr>
              <w:t>0.32%</w:t>
            </w:r>
          </w:p>
        </w:tc>
      </w:tr>
      <w:tr w:rsidR="001F702C" w14:paraId="1E1532BE" w14:textId="77777777" w:rsidTr="00885FB9">
        <w:trPr>
          <w:cantSplit/>
          <w:trHeight w:val="375"/>
        </w:trPr>
        <w:tc>
          <w:tcPr>
            <w:tcW w:w="714" w:type="pct"/>
            <w:vMerge/>
            <w:tcBorders>
              <w:top w:val="single" w:sz="4" w:space="0" w:color="auto"/>
              <w:left w:val="single" w:sz="4" w:space="0" w:color="auto"/>
              <w:bottom w:val="single" w:sz="4" w:space="0" w:color="auto"/>
              <w:right w:val="single" w:sz="4" w:space="0" w:color="auto"/>
            </w:tcBorders>
            <w:vAlign w:val="center"/>
          </w:tcPr>
          <w:p w14:paraId="400C8099" w14:textId="77777777" w:rsidR="001F702C" w:rsidRDefault="001F702C">
            <w:pPr>
              <w:widowControl/>
              <w:snapToGrid w:val="0"/>
              <w:jc w:val="left"/>
              <w:rPr>
                <w:rFonts w:ascii="宋体" w:hAnsi="宋体"/>
                <w:color w:val="000000"/>
                <w:kern w:val="0"/>
                <w:sz w:val="25"/>
                <w:szCs w:val="24"/>
              </w:rPr>
            </w:pPr>
          </w:p>
        </w:tc>
        <w:tc>
          <w:tcPr>
            <w:tcW w:w="2143" w:type="pct"/>
            <w:tcBorders>
              <w:top w:val="single" w:sz="4" w:space="0" w:color="auto"/>
              <w:left w:val="single" w:sz="4" w:space="0" w:color="auto"/>
              <w:bottom w:val="single" w:sz="4" w:space="0" w:color="auto"/>
              <w:right w:val="single" w:sz="4" w:space="0" w:color="auto"/>
            </w:tcBorders>
            <w:vAlign w:val="center"/>
          </w:tcPr>
          <w:p w14:paraId="3AAE53B6" w14:textId="77777777" w:rsidR="001F702C" w:rsidRDefault="00BD18A1">
            <w:pPr>
              <w:widowControl/>
              <w:snapToGrid w:val="0"/>
              <w:jc w:val="left"/>
              <w:rPr>
                <w:rFonts w:ascii="宋体" w:hAnsi="宋体"/>
                <w:color w:val="000000"/>
                <w:kern w:val="0"/>
                <w:sz w:val="25"/>
                <w:szCs w:val="24"/>
              </w:rPr>
            </w:pPr>
            <w:r>
              <w:rPr>
                <w:rFonts w:ascii="Times New Roman" w:hAnsi="Times New Roman"/>
                <w:color w:val="000000"/>
                <w:kern w:val="0"/>
                <w:sz w:val="25"/>
                <w:szCs w:val="24"/>
              </w:rPr>
              <w:t>50</w:t>
            </w:r>
            <w:r>
              <w:rPr>
                <w:rFonts w:ascii="Times New Roman" w:hAnsi="Times New Roman"/>
                <w:color w:val="000000"/>
                <w:kern w:val="0"/>
                <w:sz w:val="25"/>
                <w:szCs w:val="24"/>
              </w:rPr>
              <w:t>万元（含）至</w:t>
            </w:r>
            <w:r>
              <w:rPr>
                <w:rFonts w:ascii="Times New Roman" w:hAnsi="Times New Roman"/>
                <w:color w:val="000000"/>
                <w:kern w:val="0"/>
                <w:sz w:val="25"/>
                <w:szCs w:val="24"/>
              </w:rPr>
              <w:t>100</w:t>
            </w:r>
            <w:r>
              <w:rPr>
                <w:rFonts w:ascii="Times New Roman" w:hAnsi="Times New Roman"/>
                <w:color w:val="000000"/>
                <w:kern w:val="0"/>
                <w:sz w:val="25"/>
                <w:szCs w:val="24"/>
              </w:rPr>
              <w:t>万元</w:t>
            </w:r>
          </w:p>
        </w:tc>
        <w:tc>
          <w:tcPr>
            <w:tcW w:w="2143" w:type="pct"/>
            <w:tcBorders>
              <w:top w:val="single" w:sz="4" w:space="0" w:color="auto"/>
              <w:left w:val="single" w:sz="4" w:space="0" w:color="auto"/>
              <w:bottom w:val="single" w:sz="4" w:space="0" w:color="auto"/>
              <w:right w:val="single" w:sz="4" w:space="0" w:color="auto"/>
            </w:tcBorders>
            <w:vAlign w:val="center"/>
          </w:tcPr>
          <w:p w14:paraId="4CCE36B2" w14:textId="77777777" w:rsidR="001F702C" w:rsidRDefault="00BD18A1">
            <w:pPr>
              <w:widowControl/>
              <w:snapToGrid w:val="0"/>
              <w:jc w:val="center"/>
              <w:rPr>
                <w:rFonts w:ascii="宋体" w:hAnsi="宋体"/>
                <w:color w:val="000000"/>
                <w:kern w:val="0"/>
                <w:sz w:val="25"/>
                <w:szCs w:val="24"/>
              </w:rPr>
            </w:pPr>
            <w:r>
              <w:rPr>
                <w:rFonts w:ascii="Times New Roman" w:hAnsi="Times New Roman"/>
                <w:color w:val="000000"/>
                <w:kern w:val="0"/>
                <w:sz w:val="25"/>
                <w:szCs w:val="24"/>
              </w:rPr>
              <w:t>0.18%</w:t>
            </w:r>
          </w:p>
        </w:tc>
      </w:tr>
      <w:tr w:rsidR="001F702C" w14:paraId="0546DB21" w14:textId="77777777" w:rsidTr="00885FB9">
        <w:trPr>
          <w:cantSplit/>
          <w:trHeight w:val="375"/>
        </w:trPr>
        <w:tc>
          <w:tcPr>
            <w:tcW w:w="714" w:type="pct"/>
            <w:vMerge/>
            <w:tcBorders>
              <w:top w:val="single" w:sz="4" w:space="0" w:color="auto"/>
              <w:left w:val="single" w:sz="4" w:space="0" w:color="auto"/>
              <w:bottom w:val="single" w:sz="4" w:space="0" w:color="auto"/>
              <w:right w:val="single" w:sz="4" w:space="0" w:color="auto"/>
            </w:tcBorders>
            <w:vAlign w:val="center"/>
          </w:tcPr>
          <w:p w14:paraId="2E4861F7" w14:textId="77777777" w:rsidR="001F702C" w:rsidRDefault="001F702C">
            <w:pPr>
              <w:widowControl/>
              <w:snapToGrid w:val="0"/>
              <w:jc w:val="left"/>
              <w:rPr>
                <w:rFonts w:ascii="宋体" w:hAnsi="宋体"/>
                <w:color w:val="000000"/>
                <w:kern w:val="0"/>
                <w:sz w:val="25"/>
                <w:szCs w:val="24"/>
              </w:rPr>
            </w:pPr>
          </w:p>
        </w:tc>
        <w:tc>
          <w:tcPr>
            <w:tcW w:w="2143" w:type="pct"/>
            <w:tcBorders>
              <w:top w:val="single" w:sz="4" w:space="0" w:color="auto"/>
              <w:left w:val="single" w:sz="4" w:space="0" w:color="auto"/>
              <w:bottom w:val="single" w:sz="4" w:space="0" w:color="auto"/>
              <w:right w:val="single" w:sz="4" w:space="0" w:color="auto"/>
            </w:tcBorders>
            <w:vAlign w:val="center"/>
          </w:tcPr>
          <w:p w14:paraId="29E30A63" w14:textId="77777777" w:rsidR="001F702C" w:rsidRDefault="00BD18A1">
            <w:pPr>
              <w:widowControl/>
              <w:snapToGrid w:val="0"/>
              <w:jc w:val="left"/>
              <w:rPr>
                <w:rFonts w:ascii="宋体" w:hAnsi="宋体"/>
                <w:color w:val="000000"/>
                <w:kern w:val="0"/>
                <w:sz w:val="25"/>
                <w:szCs w:val="24"/>
              </w:rPr>
            </w:pPr>
            <w:r>
              <w:rPr>
                <w:rFonts w:ascii="Times New Roman" w:hAnsi="Times New Roman"/>
                <w:color w:val="000000"/>
                <w:kern w:val="0"/>
                <w:sz w:val="25"/>
                <w:szCs w:val="24"/>
              </w:rPr>
              <w:t>100</w:t>
            </w:r>
            <w:r>
              <w:rPr>
                <w:rFonts w:ascii="Times New Roman" w:hAnsi="Times New Roman"/>
                <w:color w:val="000000"/>
                <w:kern w:val="0"/>
                <w:sz w:val="25"/>
                <w:szCs w:val="24"/>
              </w:rPr>
              <w:t>万元（含）至</w:t>
            </w:r>
            <w:r>
              <w:rPr>
                <w:rFonts w:ascii="Times New Roman" w:hAnsi="Times New Roman"/>
                <w:color w:val="000000"/>
                <w:kern w:val="0"/>
                <w:sz w:val="25"/>
                <w:szCs w:val="24"/>
              </w:rPr>
              <w:t>200</w:t>
            </w:r>
            <w:r>
              <w:rPr>
                <w:rFonts w:ascii="Times New Roman" w:hAnsi="Times New Roman"/>
                <w:color w:val="000000"/>
                <w:kern w:val="0"/>
                <w:sz w:val="25"/>
                <w:szCs w:val="24"/>
              </w:rPr>
              <w:t>万元</w:t>
            </w:r>
          </w:p>
        </w:tc>
        <w:tc>
          <w:tcPr>
            <w:tcW w:w="2143" w:type="pct"/>
            <w:tcBorders>
              <w:top w:val="single" w:sz="4" w:space="0" w:color="auto"/>
              <w:left w:val="single" w:sz="4" w:space="0" w:color="auto"/>
              <w:bottom w:val="single" w:sz="4" w:space="0" w:color="auto"/>
              <w:right w:val="single" w:sz="4" w:space="0" w:color="auto"/>
            </w:tcBorders>
            <w:vAlign w:val="center"/>
          </w:tcPr>
          <w:p w14:paraId="061240A6" w14:textId="77777777" w:rsidR="001F702C" w:rsidRDefault="00BD18A1">
            <w:pPr>
              <w:widowControl/>
              <w:snapToGrid w:val="0"/>
              <w:jc w:val="center"/>
              <w:rPr>
                <w:rFonts w:ascii="宋体" w:hAnsi="宋体"/>
                <w:color w:val="000000"/>
                <w:kern w:val="0"/>
                <w:sz w:val="25"/>
                <w:szCs w:val="24"/>
              </w:rPr>
            </w:pPr>
            <w:r>
              <w:rPr>
                <w:rFonts w:ascii="Times New Roman" w:hAnsi="Times New Roman"/>
                <w:color w:val="000000"/>
                <w:kern w:val="0"/>
                <w:sz w:val="25"/>
                <w:szCs w:val="24"/>
              </w:rPr>
              <w:t>0.10%</w:t>
            </w:r>
          </w:p>
        </w:tc>
      </w:tr>
      <w:tr w:rsidR="001F702C" w14:paraId="14EF1F25" w14:textId="77777777" w:rsidTr="00885FB9">
        <w:trPr>
          <w:cantSplit/>
          <w:trHeight w:val="375"/>
        </w:trPr>
        <w:tc>
          <w:tcPr>
            <w:tcW w:w="714" w:type="pct"/>
            <w:vMerge/>
            <w:tcBorders>
              <w:top w:val="single" w:sz="4" w:space="0" w:color="auto"/>
              <w:left w:val="single" w:sz="4" w:space="0" w:color="auto"/>
              <w:bottom w:val="single" w:sz="4" w:space="0" w:color="auto"/>
              <w:right w:val="single" w:sz="4" w:space="0" w:color="auto"/>
            </w:tcBorders>
            <w:vAlign w:val="center"/>
          </w:tcPr>
          <w:p w14:paraId="0A5124A8" w14:textId="77777777" w:rsidR="001F702C" w:rsidRDefault="001F702C">
            <w:pPr>
              <w:widowControl/>
              <w:snapToGrid w:val="0"/>
              <w:jc w:val="left"/>
              <w:rPr>
                <w:rFonts w:ascii="宋体" w:hAnsi="宋体"/>
                <w:color w:val="000000"/>
                <w:kern w:val="0"/>
                <w:sz w:val="25"/>
                <w:szCs w:val="24"/>
              </w:rPr>
            </w:pPr>
          </w:p>
        </w:tc>
        <w:tc>
          <w:tcPr>
            <w:tcW w:w="2143" w:type="pct"/>
            <w:tcBorders>
              <w:top w:val="single" w:sz="4" w:space="0" w:color="auto"/>
              <w:left w:val="single" w:sz="4" w:space="0" w:color="auto"/>
              <w:bottom w:val="single" w:sz="4" w:space="0" w:color="auto"/>
              <w:right w:val="single" w:sz="4" w:space="0" w:color="auto"/>
            </w:tcBorders>
            <w:vAlign w:val="center"/>
          </w:tcPr>
          <w:p w14:paraId="65F80630" w14:textId="77777777" w:rsidR="001F702C" w:rsidRDefault="00BD18A1">
            <w:pPr>
              <w:widowControl/>
              <w:snapToGrid w:val="0"/>
              <w:jc w:val="left"/>
              <w:rPr>
                <w:rFonts w:ascii="宋体" w:hAnsi="宋体"/>
                <w:color w:val="000000"/>
                <w:kern w:val="0"/>
                <w:sz w:val="25"/>
                <w:szCs w:val="24"/>
              </w:rPr>
            </w:pPr>
            <w:r>
              <w:rPr>
                <w:rFonts w:ascii="Times New Roman" w:hAnsi="Times New Roman"/>
                <w:color w:val="000000"/>
                <w:kern w:val="0"/>
                <w:sz w:val="25"/>
                <w:szCs w:val="24"/>
              </w:rPr>
              <w:t>200</w:t>
            </w:r>
            <w:r>
              <w:rPr>
                <w:rFonts w:ascii="Times New Roman" w:hAnsi="Times New Roman"/>
                <w:color w:val="000000"/>
                <w:kern w:val="0"/>
                <w:sz w:val="25"/>
                <w:szCs w:val="24"/>
              </w:rPr>
              <w:t>万元（含）至</w:t>
            </w:r>
            <w:r>
              <w:rPr>
                <w:rFonts w:ascii="Times New Roman" w:hAnsi="Times New Roman"/>
                <w:color w:val="000000"/>
                <w:kern w:val="0"/>
                <w:sz w:val="25"/>
                <w:szCs w:val="24"/>
              </w:rPr>
              <w:t>500</w:t>
            </w:r>
            <w:r>
              <w:rPr>
                <w:rFonts w:ascii="Times New Roman" w:hAnsi="Times New Roman"/>
                <w:color w:val="000000"/>
                <w:kern w:val="0"/>
                <w:sz w:val="25"/>
                <w:szCs w:val="24"/>
              </w:rPr>
              <w:t>万元</w:t>
            </w:r>
          </w:p>
        </w:tc>
        <w:tc>
          <w:tcPr>
            <w:tcW w:w="2143" w:type="pct"/>
            <w:tcBorders>
              <w:top w:val="single" w:sz="4" w:space="0" w:color="auto"/>
              <w:left w:val="single" w:sz="4" w:space="0" w:color="auto"/>
              <w:bottom w:val="single" w:sz="4" w:space="0" w:color="auto"/>
              <w:right w:val="single" w:sz="4" w:space="0" w:color="auto"/>
            </w:tcBorders>
            <w:vAlign w:val="center"/>
          </w:tcPr>
          <w:p w14:paraId="77125260" w14:textId="77777777" w:rsidR="001F702C" w:rsidRDefault="00BD18A1">
            <w:pPr>
              <w:widowControl/>
              <w:snapToGrid w:val="0"/>
              <w:jc w:val="center"/>
              <w:rPr>
                <w:rFonts w:ascii="宋体" w:hAnsi="宋体"/>
                <w:color w:val="000000"/>
                <w:kern w:val="0"/>
                <w:sz w:val="25"/>
                <w:szCs w:val="24"/>
              </w:rPr>
            </w:pPr>
            <w:r>
              <w:rPr>
                <w:rFonts w:ascii="Times New Roman" w:hAnsi="Times New Roman"/>
                <w:color w:val="000000"/>
                <w:kern w:val="0"/>
                <w:sz w:val="25"/>
                <w:szCs w:val="24"/>
              </w:rPr>
              <w:t>0.06%</w:t>
            </w:r>
          </w:p>
        </w:tc>
      </w:tr>
      <w:tr w:rsidR="001F702C" w14:paraId="31AAFD99" w14:textId="77777777" w:rsidTr="00885FB9">
        <w:trPr>
          <w:cantSplit/>
          <w:trHeight w:val="375"/>
        </w:trPr>
        <w:tc>
          <w:tcPr>
            <w:tcW w:w="714" w:type="pct"/>
            <w:vMerge/>
            <w:tcBorders>
              <w:top w:val="single" w:sz="4" w:space="0" w:color="auto"/>
              <w:left w:val="single" w:sz="4" w:space="0" w:color="auto"/>
              <w:bottom w:val="single" w:sz="4" w:space="0" w:color="auto"/>
              <w:right w:val="single" w:sz="4" w:space="0" w:color="auto"/>
            </w:tcBorders>
            <w:vAlign w:val="center"/>
          </w:tcPr>
          <w:p w14:paraId="348A8211" w14:textId="77777777" w:rsidR="001F702C" w:rsidRDefault="001F702C">
            <w:pPr>
              <w:widowControl/>
              <w:snapToGrid w:val="0"/>
              <w:jc w:val="left"/>
              <w:rPr>
                <w:rFonts w:ascii="宋体" w:hAnsi="宋体"/>
                <w:color w:val="000000"/>
                <w:kern w:val="0"/>
                <w:sz w:val="25"/>
                <w:szCs w:val="24"/>
              </w:rPr>
            </w:pPr>
          </w:p>
        </w:tc>
        <w:tc>
          <w:tcPr>
            <w:tcW w:w="2143" w:type="pct"/>
            <w:tcBorders>
              <w:top w:val="single" w:sz="4" w:space="0" w:color="auto"/>
              <w:left w:val="single" w:sz="4" w:space="0" w:color="auto"/>
              <w:bottom w:val="single" w:sz="4" w:space="0" w:color="auto"/>
              <w:right w:val="single" w:sz="4" w:space="0" w:color="auto"/>
            </w:tcBorders>
            <w:vAlign w:val="center"/>
          </w:tcPr>
          <w:p w14:paraId="40ACA5C9" w14:textId="77777777" w:rsidR="001F702C" w:rsidRDefault="00BD18A1">
            <w:pPr>
              <w:widowControl/>
              <w:snapToGrid w:val="0"/>
              <w:jc w:val="left"/>
              <w:rPr>
                <w:rFonts w:ascii="宋体" w:hAnsi="宋体"/>
                <w:color w:val="000000"/>
                <w:kern w:val="0"/>
                <w:sz w:val="25"/>
                <w:szCs w:val="24"/>
              </w:rPr>
            </w:pPr>
            <w:r>
              <w:rPr>
                <w:rFonts w:ascii="Times New Roman" w:hAnsi="Times New Roman"/>
                <w:color w:val="000000"/>
                <w:kern w:val="0"/>
                <w:sz w:val="25"/>
                <w:szCs w:val="24"/>
              </w:rPr>
              <w:t>500</w:t>
            </w:r>
            <w:r>
              <w:rPr>
                <w:rFonts w:ascii="Times New Roman" w:hAnsi="Times New Roman"/>
                <w:color w:val="000000"/>
                <w:kern w:val="0"/>
                <w:sz w:val="25"/>
                <w:szCs w:val="24"/>
              </w:rPr>
              <w:t>万元以上（含</w:t>
            </w:r>
            <w:r>
              <w:rPr>
                <w:rFonts w:ascii="Times New Roman" w:hAnsi="Times New Roman"/>
                <w:color w:val="000000"/>
                <w:kern w:val="0"/>
                <w:sz w:val="25"/>
                <w:szCs w:val="24"/>
              </w:rPr>
              <w:t>500</w:t>
            </w:r>
            <w:r>
              <w:rPr>
                <w:rFonts w:ascii="Times New Roman" w:hAnsi="Times New Roman"/>
                <w:color w:val="000000"/>
                <w:kern w:val="0"/>
                <w:sz w:val="25"/>
                <w:szCs w:val="24"/>
              </w:rPr>
              <w:t>万元）</w:t>
            </w:r>
          </w:p>
        </w:tc>
        <w:tc>
          <w:tcPr>
            <w:tcW w:w="2143" w:type="pct"/>
            <w:tcBorders>
              <w:top w:val="single" w:sz="4" w:space="0" w:color="auto"/>
              <w:left w:val="single" w:sz="4" w:space="0" w:color="auto"/>
              <w:bottom w:val="single" w:sz="4" w:space="0" w:color="auto"/>
              <w:right w:val="single" w:sz="4" w:space="0" w:color="auto"/>
            </w:tcBorders>
            <w:vAlign w:val="center"/>
          </w:tcPr>
          <w:p w14:paraId="3A60E12B" w14:textId="77777777" w:rsidR="001F702C" w:rsidRDefault="00BD18A1">
            <w:pPr>
              <w:widowControl/>
              <w:snapToGrid w:val="0"/>
              <w:jc w:val="center"/>
              <w:rPr>
                <w:rFonts w:ascii="宋体" w:hAnsi="宋体"/>
                <w:color w:val="000000"/>
                <w:kern w:val="0"/>
                <w:sz w:val="25"/>
                <w:szCs w:val="24"/>
              </w:rPr>
            </w:pPr>
            <w:r>
              <w:rPr>
                <w:rFonts w:ascii="Times New Roman" w:hAnsi="Times New Roman"/>
                <w:color w:val="000000"/>
                <w:kern w:val="0"/>
                <w:sz w:val="25"/>
                <w:szCs w:val="24"/>
              </w:rPr>
              <w:t>每笔交易</w:t>
            </w:r>
            <w:r>
              <w:rPr>
                <w:rFonts w:ascii="Times New Roman" w:hAnsi="Times New Roman"/>
                <w:color w:val="000000"/>
                <w:kern w:val="0"/>
                <w:sz w:val="25"/>
                <w:szCs w:val="24"/>
              </w:rPr>
              <w:t>1000</w:t>
            </w:r>
            <w:r>
              <w:rPr>
                <w:rFonts w:ascii="Times New Roman" w:hAnsi="Times New Roman"/>
                <w:color w:val="000000"/>
                <w:kern w:val="0"/>
                <w:sz w:val="25"/>
                <w:szCs w:val="24"/>
              </w:rPr>
              <w:t>元</w:t>
            </w:r>
          </w:p>
        </w:tc>
      </w:tr>
    </w:tbl>
    <w:p w14:paraId="3BD15BC1" w14:textId="77777777" w:rsidR="00885FB9" w:rsidRDefault="00885FB9" w:rsidP="00885FB9">
      <w:pPr>
        <w:autoSpaceDE w:val="0"/>
        <w:autoSpaceDN w:val="0"/>
        <w:adjustRightInd w:val="0"/>
        <w:snapToGrid w:val="0"/>
        <w:spacing w:line="360" w:lineRule="auto"/>
        <w:ind w:firstLineChars="200" w:firstLine="480"/>
        <w:jc w:val="left"/>
        <w:rPr>
          <w:rFonts w:ascii="宋体" w:hAnsi="宋体"/>
          <w:sz w:val="24"/>
        </w:rPr>
      </w:pPr>
      <w:r>
        <w:rPr>
          <w:rFonts w:ascii="宋体" w:hAnsi="宋体"/>
          <w:sz w:val="24"/>
        </w:rPr>
        <w:t>通过基金管理人直销柜台申购本基金D类基金份额的养老金客户特定申购费率如下表：</w:t>
      </w:r>
    </w:p>
    <w:tbl>
      <w:tblPr>
        <w:tblW w:w="5000" w:type="pct"/>
        <w:tblCellMar>
          <w:left w:w="0" w:type="dxa"/>
          <w:right w:w="0" w:type="dxa"/>
        </w:tblCellMar>
        <w:tblLook w:val="0000" w:firstRow="0" w:lastRow="0" w:firstColumn="0" w:lastColumn="0" w:noHBand="0" w:noVBand="0"/>
      </w:tblPr>
      <w:tblGrid>
        <w:gridCol w:w="1236"/>
        <w:gridCol w:w="3707"/>
        <w:gridCol w:w="3707"/>
      </w:tblGrid>
      <w:tr w:rsidR="00885FB9" w14:paraId="634CD11F" w14:textId="77777777" w:rsidTr="00367445">
        <w:trPr>
          <w:cantSplit/>
          <w:trHeight w:val="375"/>
        </w:trPr>
        <w:tc>
          <w:tcPr>
            <w:tcW w:w="714" w:type="pct"/>
            <w:vMerge w:val="restart"/>
            <w:tcBorders>
              <w:top w:val="single" w:sz="4" w:space="0" w:color="auto"/>
              <w:left w:val="single" w:sz="4" w:space="0" w:color="auto"/>
              <w:bottom w:val="single" w:sz="4" w:space="0" w:color="auto"/>
              <w:right w:val="single" w:sz="4" w:space="0" w:color="auto"/>
            </w:tcBorders>
            <w:vAlign w:val="center"/>
          </w:tcPr>
          <w:p w14:paraId="477413C6" w14:textId="77777777" w:rsidR="00885FB9" w:rsidRDefault="00885FB9" w:rsidP="00367445">
            <w:pPr>
              <w:widowControl/>
              <w:snapToGrid w:val="0"/>
              <w:jc w:val="left"/>
              <w:rPr>
                <w:rFonts w:ascii="宋体" w:hAnsi="宋体"/>
                <w:color w:val="000000"/>
                <w:kern w:val="0"/>
                <w:sz w:val="25"/>
                <w:szCs w:val="24"/>
              </w:rPr>
            </w:pPr>
            <w:r>
              <w:rPr>
                <w:rFonts w:ascii="Times New Roman" w:hAnsi="Times New Roman"/>
                <w:color w:val="000000"/>
                <w:kern w:val="0"/>
                <w:sz w:val="25"/>
                <w:szCs w:val="24"/>
              </w:rPr>
              <w:t>申购费率</w:t>
            </w:r>
          </w:p>
        </w:tc>
        <w:tc>
          <w:tcPr>
            <w:tcW w:w="2143" w:type="pct"/>
            <w:tcBorders>
              <w:top w:val="single" w:sz="4" w:space="0" w:color="auto"/>
              <w:left w:val="single" w:sz="4" w:space="0" w:color="auto"/>
              <w:bottom w:val="single" w:sz="4" w:space="0" w:color="auto"/>
              <w:right w:val="single" w:sz="4" w:space="0" w:color="auto"/>
            </w:tcBorders>
            <w:vAlign w:val="center"/>
          </w:tcPr>
          <w:p w14:paraId="4B276D1B" w14:textId="77777777" w:rsidR="00885FB9" w:rsidRDefault="00885FB9" w:rsidP="00367445">
            <w:pPr>
              <w:widowControl/>
              <w:snapToGrid w:val="0"/>
              <w:jc w:val="center"/>
              <w:rPr>
                <w:rFonts w:ascii="宋体" w:hAnsi="宋体"/>
                <w:color w:val="000000"/>
                <w:kern w:val="0"/>
                <w:sz w:val="25"/>
                <w:szCs w:val="24"/>
              </w:rPr>
            </w:pPr>
            <w:r>
              <w:rPr>
                <w:rFonts w:ascii="Times New Roman" w:hAnsi="Times New Roman"/>
                <w:color w:val="000000"/>
                <w:kern w:val="0"/>
                <w:sz w:val="25"/>
                <w:szCs w:val="24"/>
              </w:rPr>
              <w:t>申购金额（含申购费）</w:t>
            </w:r>
          </w:p>
        </w:tc>
        <w:tc>
          <w:tcPr>
            <w:tcW w:w="2143" w:type="pct"/>
            <w:tcBorders>
              <w:top w:val="single" w:sz="4" w:space="0" w:color="auto"/>
              <w:left w:val="single" w:sz="4" w:space="0" w:color="auto"/>
              <w:bottom w:val="single" w:sz="4" w:space="0" w:color="auto"/>
              <w:right w:val="single" w:sz="4" w:space="0" w:color="auto"/>
            </w:tcBorders>
            <w:vAlign w:val="center"/>
          </w:tcPr>
          <w:p w14:paraId="4291829E" w14:textId="647F4AAB" w:rsidR="00885FB9" w:rsidRDefault="00885FB9" w:rsidP="00367445">
            <w:pPr>
              <w:widowControl/>
              <w:snapToGrid w:val="0"/>
              <w:jc w:val="center"/>
              <w:rPr>
                <w:rFonts w:ascii="宋体" w:hAnsi="宋体"/>
                <w:color w:val="000000"/>
                <w:kern w:val="0"/>
                <w:sz w:val="25"/>
                <w:szCs w:val="24"/>
              </w:rPr>
            </w:pPr>
            <w:r>
              <w:rPr>
                <w:rFonts w:ascii="Times New Roman" w:hAnsi="Times New Roman" w:hint="eastAsia"/>
                <w:color w:val="000000"/>
                <w:kern w:val="0"/>
                <w:sz w:val="25"/>
                <w:szCs w:val="24"/>
              </w:rPr>
              <w:t>D</w:t>
            </w:r>
            <w:r>
              <w:rPr>
                <w:rFonts w:ascii="Times New Roman" w:hAnsi="Times New Roman"/>
                <w:color w:val="000000"/>
                <w:kern w:val="0"/>
                <w:sz w:val="25"/>
                <w:szCs w:val="24"/>
              </w:rPr>
              <w:t>类基金份额特定申购费率</w:t>
            </w:r>
          </w:p>
        </w:tc>
      </w:tr>
      <w:tr w:rsidR="00885FB9" w14:paraId="0F0FF6BB" w14:textId="77777777" w:rsidTr="00367445">
        <w:trPr>
          <w:cantSplit/>
          <w:trHeight w:val="375"/>
        </w:trPr>
        <w:tc>
          <w:tcPr>
            <w:tcW w:w="714" w:type="pct"/>
            <w:vMerge/>
            <w:tcBorders>
              <w:top w:val="single" w:sz="4" w:space="0" w:color="auto"/>
              <w:left w:val="single" w:sz="4" w:space="0" w:color="auto"/>
              <w:bottom w:val="single" w:sz="4" w:space="0" w:color="auto"/>
              <w:right w:val="single" w:sz="4" w:space="0" w:color="auto"/>
            </w:tcBorders>
            <w:vAlign w:val="center"/>
          </w:tcPr>
          <w:p w14:paraId="14FF776B" w14:textId="77777777" w:rsidR="00885FB9" w:rsidRDefault="00885FB9" w:rsidP="00367445">
            <w:pPr>
              <w:widowControl/>
              <w:snapToGrid w:val="0"/>
              <w:jc w:val="left"/>
              <w:rPr>
                <w:rFonts w:ascii="宋体" w:hAnsi="宋体"/>
                <w:color w:val="000000"/>
                <w:kern w:val="0"/>
                <w:sz w:val="25"/>
                <w:szCs w:val="24"/>
              </w:rPr>
            </w:pPr>
          </w:p>
        </w:tc>
        <w:tc>
          <w:tcPr>
            <w:tcW w:w="2143" w:type="pct"/>
            <w:tcBorders>
              <w:top w:val="single" w:sz="4" w:space="0" w:color="auto"/>
              <w:left w:val="single" w:sz="4" w:space="0" w:color="auto"/>
              <w:bottom w:val="single" w:sz="4" w:space="0" w:color="auto"/>
              <w:right w:val="single" w:sz="4" w:space="0" w:color="auto"/>
            </w:tcBorders>
            <w:vAlign w:val="center"/>
          </w:tcPr>
          <w:p w14:paraId="2794FF97" w14:textId="77777777" w:rsidR="00885FB9" w:rsidRDefault="00885FB9" w:rsidP="00367445">
            <w:pPr>
              <w:widowControl/>
              <w:snapToGrid w:val="0"/>
              <w:jc w:val="left"/>
              <w:rPr>
                <w:rFonts w:ascii="宋体" w:hAnsi="宋体"/>
                <w:color w:val="000000"/>
                <w:kern w:val="0"/>
                <w:sz w:val="25"/>
                <w:szCs w:val="24"/>
              </w:rPr>
            </w:pPr>
            <w:r>
              <w:rPr>
                <w:rFonts w:ascii="Times New Roman" w:hAnsi="Times New Roman"/>
                <w:color w:val="000000"/>
                <w:kern w:val="0"/>
                <w:sz w:val="25"/>
                <w:szCs w:val="24"/>
              </w:rPr>
              <w:t>50</w:t>
            </w:r>
            <w:r>
              <w:rPr>
                <w:rFonts w:ascii="Times New Roman" w:hAnsi="Times New Roman"/>
                <w:color w:val="000000"/>
                <w:kern w:val="0"/>
                <w:sz w:val="25"/>
                <w:szCs w:val="24"/>
              </w:rPr>
              <w:t>万元以下</w:t>
            </w:r>
          </w:p>
        </w:tc>
        <w:tc>
          <w:tcPr>
            <w:tcW w:w="2143" w:type="pct"/>
            <w:tcBorders>
              <w:top w:val="single" w:sz="4" w:space="0" w:color="auto"/>
              <w:left w:val="single" w:sz="4" w:space="0" w:color="auto"/>
              <w:bottom w:val="single" w:sz="4" w:space="0" w:color="auto"/>
              <w:right w:val="single" w:sz="4" w:space="0" w:color="auto"/>
            </w:tcBorders>
            <w:vAlign w:val="center"/>
          </w:tcPr>
          <w:p w14:paraId="1A1E14C8" w14:textId="7546C401" w:rsidR="00885FB9" w:rsidRDefault="00885FB9" w:rsidP="00367445">
            <w:pPr>
              <w:widowControl/>
              <w:snapToGrid w:val="0"/>
              <w:jc w:val="center"/>
              <w:rPr>
                <w:rFonts w:ascii="宋体" w:hAnsi="宋体"/>
                <w:color w:val="000000"/>
                <w:kern w:val="0"/>
                <w:sz w:val="25"/>
                <w:szCs w:val="24"/>
              </w:rPr>
            </w:pPr>
            <w:r>
              <w:rPr>
                <w:rFonts w:ascii="Times New Roman" w:hAnsi="Times New Roman"/>
                <w:color w:val="000000"/>
                <w:kern w:val="0"/>
                <w:sz w:val="25"/>
                <w:szCs w:val="24"/>
              </w:rPr>
              <w:t>0.36%</w:t>
            </w:r>
          </w:p>
        </w:tc>
      </w:tr>
      <w:tr w:rsidR="00885FB9" w14:paraId="6281F0CC" w14:textId="77777777" w:rsidTr="00367445">
        <w:trPr>
          <w:cantSplit/>
          <w:trHeight w:val="375"/>
        </w:trPr>
        <w:tc>
          <w:tcPr>
            <w:tcW w:w="714" w:type="pct"/>
            <w:vMerge/>
            <w:tcBorders>
              <w:top w:val="single" w:sz="4" w:space="0" w:color="auto"/>
              <w:left w:val="single" w:sz="4" w:space="0" w:color="auto"/>
              <w:bottom w:val="single" w:sz="4" w:space="0" w:color="auto"/>
              <w:right w:val="single" w:sz="4" w:space="0" w:color="auto"/>
            </w:tcBorders>
            <w:vAlign w:val="center"/>
          </w:tcPr>
          <w:p w14:paraId="72790EA4" w14:textId="77777777" w:rsidR="00885FB9" w:rsidRDefault="00885FB9" w:rsidP="00367445">
            <w:pPr>
              <w:widowControl/>
              <w:snapToGrid w:val="0"/>
              <w:jc w:val="left"/>
              <w:rPr>
                <w:rFonts w:ascii="宋体" w:hAnsi="宋体"/>
                <w:color w:val="000000"/>
                <w:kern w:val="0"/>
                <w:sz w:val="25"/>
                <w:szCs w:val="24"/>
              </w:rPr>
            </w:pPr>
          </w:p>
        </w:tc>
        <w:tc>
          <w:tcPr>
            <w:tcW w:w="2143" w:type="pct"/>
            <w:tcBorders>
              <w:top w:val="single" w:sz="4" w:space="0" w:color="auto"/>
              <w:left w:val="single" w:sz="4" w:space="0" w:color="auto"/>
              <w:bottom w:val="single" w:sz="4" w:space="0" w:color="auto"/>
              <w:right w:val="single" w:sz="4" w:space="0" w:color="auto"/>
            </w:tcBorders>
            <w:vAlign w:val="center"/>
          </w:tcPr>
          <w:p w14:paraId="293397F3" w14:textId="77777777" w:rsidR="00885FB9" w:rsidRDefault="00885FB9" w:rsidP="00367445">
            <w:pPr>
              <w:widowControl/>
              <w:snapToGrid w:val="0"/>
              <w:jc w:val="left"/>
              <w:rPr>
                <w:rFonts w:ascii="宋体" w:hAnsi="宋体"/>
                <w:color w:val="000000"/>
                <w:kern w:val="0"/>
                <w:sz w:val="25"/>
                <w:szCs w:val="24"/>
              </w:rPr>
            </w:pPr>
            <w:r>
              <w:rPr>
                <w:rFonts w:ascii="Times New Roman" w:hAnsi="Times New Roman"/>
                <w:color w:val="000000"/>
                <w:kern w:val="0"/>
                <w:sz w:val="25"/>
                <w:szCs w:val="24"/>
              </w:rPr>
              <w:t>50</w:t>
            </w:r>
            <w:r>
              <w:rPr>
                <w:rFonts w:ascii="Times New Roman" w:hAnsi="Times New Roman"/>
                <w:color w:val="000000"/>
                <w:kern w:val="0"/>
                <w:sz w:val="25"/>
                <w:szCs w:val="24"/>
              </w:rPr>
              <w:t>万元（含）至</w:t>
            </w:r>
            <w:r>
              <w:rPr>
                <w:rFonts w:ascii="Times New Roman" w:hAnsi="Times New Roman"/>
                <w:color w:val="000000"/>
                <w:kern w:val="0"/>
                <w:sz w:val="25"/>
                <w:szCs w:val="24"/>
              </w:rPr>
              <w:t>100</w:t>
            </w:r>
            <w:r>
              <w:rPr>
                <w:rFonts w:ascii="Times New Roman" w:hAnsi="Times New Roman"/>
                <w:color w:val="000000"/>
                <w:kern w:val="0"/>
                <w:sz w:val="25"/>
                <w:szCs w:val="24"/>
              </w:rPr>
              <w:t>万元</w:t>
            </w:r>
          </w:p>
        </w:tc>
        <w:tc>
          <w:tcPr>
            <w:tcW w:w="2143" w:type="pct"/>
            <w:tcBorders>
              <w:top w:val="single" w:sz="4" w:space="0" w:color="auto"/>
              <w:left w:val="single" w:sz="4" w:space="0" w:color="auto"/>
              <w:bottom w:val="single" w:sz="4" w:space="0" w:color="auto"/>
              <w:right w:val="single" w:sz="4" w:space="0" w:color="auto"/>
            </w:tcBorders>
            <w:vAlign w:val="center"/>
          </w:tcPr>
          <w:p w14:paraId="3B590E2F" w14:textId="53E7CA02" w:rsidR="00885FB9" w:rsidRDefault="00885FB9" w:rsidP="00367445">
            <w:pPr>
              <w:widowControl/>
              <w:snapToGrid w:val="0"/>
              <w:jc w:val="center"/>
              <w:rPr>
                <w:rFonts w:ascii="宋体" w:hAnsi="宋体"/>
                <w:color w:val="000000"/>
                <w:kern w:val="0"/>
                <w:sz w:val="25"/>
                <w:szCs w:val="24"/>
              </w:rPr>
            </w:pPr>
            <w:r>
              <w:rPr>
                <w:rFonts w:ascii="Times New Roman" w:hAnsi="Times New Roman"/>
                <w:color w:val="000000"/>
                <w:kern w:val="0"/>
                <w:sz w:val="25"/>
                <w:szCs w:val="24"/>
              </w:rPr>
              <w:t>0.21%</w:t>
            </w:r>
          </w:p>
        </w:tc>
      </w:tr>
      <w:tr w:rsidR="00885FB9" w14:paraId="1BD4BAED" w14:textId="77777777" w:rsidTr="00367445">
        <w:trPr>
          <w:cantSplit/>
          <w:trHeight w:val="375"/>
        </w:trPr>
        <w:tc>
          <w:tcPr>
            <w:tcW w:w="714" w:type="pct"/>
            <w:vMerge/>
            <w:tcBorders>
              <w:top w:val="single" w:sz="4" w:space="0" w:color="auto"/>
              <w:left w:val="single" w:sz="4" w:space="0" w:color="auto"/>
              <w:bottom w:val="single" w:sz="4" w:space="0" w:color="auto"/>
              <w:right w:val="single" w:sz="4" w:space="0" w:color="auto"/>
            </w:tcBorders>
            <w:vAlign w:val="center"/>
          </w:tcPr>
          <w:p w14:paraId="2DFFA624" w14:textId="77777777" w:rsidR="00885FB9" w:rsidRDefault="00885FB9" w:rsidP="00367445">
            <w:pPr>
              <w:widowControl/>
              <w:snapToGrid w:val="0"/>
              <w:jc w:val="left"/>
              <w:rPr>
                <w:rFonts w:ascii="宋体" w:hAnsi="宋体"/>
                <w:color w:val="000000"/>
                <w:kern w:val="0"/>
                <w:sz w:val="25"/>
                <w:szCs w:val="24"/>
              </w:rPr>
            </w:pPr>
          </w:p>
        </w:tc>
        <w:tc>
          <w:tcPr>
            <w:tcW w:w="2143" w:type="pct"/>
            <w:tcBorders>
              <w:top w:val="single" w:sz="4" w:space="0" w:color="auto"/>
              <w:left w:val="single" w:sz="4" w:space="0" w:color="auto"/>
              <w:bottom w:val="single" w:sz="4" w:space="0" w:color="auto"/>
              <w:right w:val="single" w:sz="4" w:space="0" w:color="auto"/>
            </w:tcBorders>
            <w:vAlign w:val="center"/>
          </w:tcPr>
          <w:p w14:paraId="4395795C" w14:textId="77777777" w:rsidR="00885FB9" w:rsidRDefault="00885FB9" w:rsidP="00367445">
            <w:pPr>
              <w:widowControl/>
              <w:snapToGrid w:val="0"/>
              <w:jc w:val="left"/>
              <w:rPr>
                <w:rFonts w:ascii="宋体" w:hAnsi="宋体"/>
                <w:color w:val="000000"/>
                <w:kern w:val="0"/>
                <w:sz w:val="25"/>
                <w:szCs w:val="24"/>
              </w:rPr>
            </w:pPr>
            <w:r>
              <w:rPr>
                <w:rFonts w:ascii="Times New Roman" w:hAnsi="Times New Roman"/>
                <w:color w:val="000000"/>
                <w:kern w:val="0"/>
                <w:sz w:val="25"/>
                <w:szCs w:val="24"/>
              </w:rPr>
              <w:t>100</w:t>
            </w:r>
            <w:r>
              <w:rPr>
                <w:rFonts w:ascii="Times New Roman" w:hAnsi="Times New Roman"/>
                <w:color w:val="000000"/>
                <w:kern w:val="0"/>
                <w:sz w:val="25"/>
                <w:szCs w:val="24"/>
              </w:rPr>
              <w:t>万元（含）至</w:t>
            </w:r>
            <w:r>
              <w:rPr>
                <w:rFonts w:ascii="Times New Roman" w:hAnsi="Times New Roman"/>
                <w:color w:val="000000"/>
                <w:kern w:val="0"/>
                <w:sz w:val="25"/>
                <w:szCs w:val="24"/>
              </w:rPr>
              <w:t>200</w:t>
            </w:r>
            <w:r>
              <w:rPr>
                <w:rFonts w:ascii="Times New Roman" w:hAnsi="Times New Roman"/>
                <w:color w:val="000000"/>
                <w:kern w:val="0"/>
                <w:sz w:val="25"/>
                <w:szCs w:val="24"/>
              </w:rPr>
              <w:t>万元</w:t>
            </w:r>
          </w:p>
        </w:tc>
        <w:tc>
          <w:tcPr>
            <w:tcW w:w="2143" w:type="pct"/>
            <w:tcBorders>
              <w:top w:val="single" w:sz="4" w:space="0" w:color="auto"/>
              <w:left w:val="single" w:sz="4" w:space="0" w:color="auto"/>
              <w:bottom w:val="single" w:sz="4" w:space="0" w:color="auto"/>
              <w:right w:val="single" w:sz="4" w:space="0" w:color="auto"/>
            </w:tcBorders>
            <w:vAlign w:val="center"/>
          </w:tcPr>
          <w:p w14:paraId="585DA6CC" w14:textId="2774807A" w:rsidR="00885FB9" w:rsidRDefault="00885FB9" w:rsidP="00367445">
            <w:pPr>
              <w:widowControl/>
              <w:snapToGrid w:val="0"/>
              <w:jc w:val="center"/>
              <w:rPr>
                <w:rFonts w:ascii="宋体" w:hAnsi="宋体"/>
                <w:color w:val="000000"/>
                <w:kern w:val="0"/>
                <w:sz w:val="25"/>
                <w:szCs w:val="24"/>
              </w:rPr>
            </w:pPr>
            <w:r>
              <w:rPr>
                <w:rFonts w:ascii="Times New Roman" w:hAnsi="Times New Roman"/>
                <w:color w:val="000000"/>
                <w:kern w:val="0"/>
                <w:sz w:val="25"/>
                <w:szCs w:val="24"/>
              </w:rPr>
              <w:t>0.12%</w:t>
            </w:r>
          </w:p>
        </w:tc>
      </w:tr>
      <w:tr w:rsidR="00885FB9" w14:paraId="45DBD2E2" w14:textId="77777777" w:rsidTr="00367445">
        <w:trPr>
          <w:cantSplit/>
          <w:trHeight w:val="375"/>
        </w:trPr>
        <w:tc>
          <w:tcPr>
            <w:tcW w:w="714" w:type="pct"/>
            <w:vMerge/>
            <w:tcBorders>
              <w:top w:val="single" w:sz="4" w:space="0" w:color="auto"/>
              <w:left w:val="single" w:sz="4" w:space="0" w:color="auto"/>
              <w:bottom w:val="single" w:sz="4" w:space="0" w:color="auto"/>
              <w:right w:val="single" w:sz="4" w:space="0" w:color="auto"/>
            </w:tcBorders>
            <w:vAlign w:val="center"/>
          </w:tcPr>
          <w:p w14:paraId="4B13CF45" w14:textId="77777777" w:rsidR="00885FB9" w:rsidRDefault="00885FB9" w:rsidP="00367445">
            <w:pPr>
              <w:widowControl/>
              <w:snapToGrid w:val="0"/>
              <w:jc w:val="left"/>
              <w:rPr>
                <w:rFonts w:ascii="宋体" w:hAnsi="宋体"/>
                <w:color w:val="000000"/>
                <w:kern w:val="0"/>
                <w:sz w:val="25"/>
                <w:szCs w:val="24"/>
              </w:rPr>
            </w:pPr>
          </w:p>
        </w:tc>
        <w:tc>
          <w:tcPr>
            <w:tcW w:w="2143" w:type="pct"/>
            <w:tcBorders>
              <w:top w:val="single" w:sz="4" w:space="0" w:color="auto"/>
              <w:left w:val="single" w:sz="4" w:space="0" w:color="auto"/>
              <w:bottom w:val="single" w:sz="4" w:space="0" w:color="auto"/>
              <w:right w:val="single" w:sz="4" w:space="0" w:color="auto"/>
            </w:tcBorders>
            <w:vAlign w:val="center"/>
          </w:tcPr>
          <w:p w14:paraId="5203543F" w14:textId="77777777" w:rsidR="00885FB9" w:rsidRDefault="00885FB9" w:rsidP="00367445">
            <w:pPr>
              <w:widowControl/>
              <w:snapToGrid w:val="0"/>
              <w:jc w:val="left"/>
              <w:rPr>
                <w:rFonts w:ascii="宋体" w:hAnsi="宋体"/>
                <w:color w:val="000000"/>
                <w:kern w:val="0"/>
                <w:sz w:val="25"/>
                <w:szCs w:val="24"/>
              </w:rPr>
            </w:pPr>
            <w:r>
              <w:rPr>
                <w:rFonts w:ascii="Times New Roman" w:hAnsi="Times New Roman"/>
                <w:color w:val="000000"/>
                <w:kern w:val="0"/>
                <w:sz w:val="25"/>
                <w:szCs w:val="24"/>
              </w:rPr>
              <w:t>200</w:t>
            </w:r>
            <w:r>
              <w:rPr>
                <w:rFonts w:ascii="Times New Roman" w:hAnsi="Times New Roman"/>
                <w:color w:val="000000"/>
                <w:kern w:val="0"/>
                <w:sz w:val="25"/>
                <w:szCs w:val="24"/>
              </w:rPr>
              <w:t>万元（含）至</w:t>
            </w:r>
            <w:r>
              <w:rPr>
                <w:rFonts w:ascii="Times New Roman" w:hAnsi="Times New Roman"/>
                <w:color w:val="000000"/>
                <w:kern w:val="0"/>
                <w:sz w:val="25"/>
                <w:szCs w:val="24"/>
              </w:rPr>
              <w:t>500</w:t>
            </w:r>
            <w:r>
              <w:rPr>
                <w:rFonts w:ascii="Times New Roman" w:hAnsi="Times New Roman"/>
                <w:color w:val="000000"/>
                <w:kern w:val="0"/>
                <w:sz w:val="25"/>
                <w:szCs w:val="24"/>
              </w:rPr>
              <w:t>万元</w:t>
            </w:r>
          </w:p>
        </w:tc>
        <w:tc>
          <w:tcPr>
            <w:tcW w:w="2143" w:type="pct"/>
            <w:tcBorders>
              <w:top w:val="single" w:sz="4" w:space="0" w:color="auto"/>
              <w:left w:val="single" w:sz="4" w:space="0" w:color="auto"/>
              <w:bottom w:val="single" w:sz="4" w:space="0" w:color="auto"/>
              <w:right w:val="single" w:sz="4" w:space="0" w:color="auto"/>
            </w:tcBorders>
            <w:vAlign w:val="center"/>
          </w:tcPr>
          <w:p w14:paraId="64C3C7FB" w14:textId="181DD1AA" w:rsidR="00885FB9" w:rsidRDefault="00885FB9" w:rsidP="00367445">
            <w:pPr>
              <w:widowControl/>
              <w:snapToGrid w:val="0"/>
              <w:jc w:val="center"/>
              <w:rPr>
                <w:rFonts w:ascii="宋体" w:hAnsi="宋体"/>
                <w:color w:val="000000"/>
                <w:kern w:val="0"/>
                <w:sz w:val="25"/>
                <w:szCs w:val="24"/>
              </w:rPr>
            </w:pPr>
            <w:r>
              <w:rPr>
                <w:rFonts w:ascii="Times New Roman" w:hAnsi="Times New Roman"/>
                <w:color w:val="000000"/>
                <w:kern w:val="0"/>
                <w:sz w:val="25"/>
                <w:szCs w:val="24"/>
              </w:rPr>
              <w:t>0.08%</w:t>
            </w:r>
          </w:p>
        </w:tc>
      </w:tr>
      <w:tr w:rsidR="00885FB9" w14:paraId="3AEB699F" w14:textId="77777777" w:rsidTr="00367445">
        <w:trPr>
          <w:cantSplit/>
          <w:trHeight w:val="375"/>
        </w:trPr>
        <w:tc>
          <w:tcPr>
            <w:tcW w:w="714" w:type="pct"/>
            <w:vMerge/>
            <w:tcBorders>
              <w:top w:val="single" w:sz="4" w:space="0" w:color="auto"/>
              <w:left w:val="single" w:sz="4" w:space="0" w:color="auto"/>
              <w:bottom w:val="single" w:sz="4" w:space="0" w:color="auto"/>
              <w:right w:val="single" w:sz="4" w:space="0" w:color="auto"/>
            </w:tcBorders>
            <w:vAlign w:val="center"/>
          </w:tcPr>
          <w:p w14:paraId="1D35F4C1" w14:textId="77777777" w:rsidR="00885FB9" w:rsidRDefault="00885FB9" w:rsidP="00367445">
            <w:pPr>
              <w:widowControl/>
              <w:snapToGrid w:val="0"/>
              <w:jc w:val="left"/>
              <w:rPr>
                <w:rFonts w:ascii="宋体" w:hAnsi="宋体"/>
                <w:color w:val="000000"/>
                <w:kern w:val="0"/>
                <w:sz w:val="25"/>
                <w:szCs w:val="24"/>
              </w:rPr>
            </w:pPr>
          </w:p>
        </w:tc>
        <w:tc>
          <w:tcPr>
            <w:tcW w:w="2143" w:type="pct"/>
            <w:tcBorders>
              <w:top w:val="single" w:sz="4" w:space="0" w:color="auto"/>
              <w:left w:val="single" w:sz="4" w:space="0" w:color="auto"/>
              <w:bottom w:val="single" w:sz="4" w:space="0" w:color="auto"/>
              <w:right w:val="single" w:sz="4" w:space="0" w:color="auto"/>
            </w:tcBorders>
            <w:vAlign w:val="center"/>
          </w:tcPr>
          <w:p w14:paraId="39FB62FC" w14:textId="77777777" w:rsidR="00885FB9" w:rsidRDefault="00885FB9" w:rsidP="00367445">
            <w:pPr>
              <w:widowControl/>
              <w:snapToGrid w:val="0"/>
              <w:jc w:val="left"/>
              <w:rPr>
                <w:rFonts w:ascii="宋体" w:hAnsi="宋体"/>
                <w:color w:val="000000"/>
                <w:kern w:val="0"/>
                <w:sz w:val="25"/>
                <w:szCs w:val="24"/>
              </w:rPr>
            </w:pPr>
            <w:r>
              <w:rPr>
                <w:rFonts w:ascii="Times New Roman" w:hAnsi="Times New Roman"/>
                <w:color w:val="000000"/>
                <w:kern w:val="0"/>
                <w:sz w:val="25"/>
                <w:szCs w:val="24"/>
              </w:rPr>
              <w:t>500</w:t>
            </w:r>
            <w:r>
              <w:rPr>
                <w:rFonts w:ascii="Times New Roman" w:hAnsi="Times New Roman"/>
                <w:color w:val="000000"/>
                <w:kern w:val="0"/>
                <w:sz w:val="25"/>
                <w:szCs w:val="24"/>
              </w:rPr>
              <w:t>万元以上（含</w:t>
            </w:r>
            <w:r>
              <w:rPr>
                <w:rFonts w:ascii="Times New Roman" w:hAnsi="Times New Roman"/>
                <w:color w:val="000000"/>
                <w:kern w:val="0"/>
                <w:sz w:val="25"/>
                <w:szCs w:val="24"/>
              </w:rPr>
              <w:t>500</w:t>
            </w:r>
            <w:r>
              <w:rPr>
                <w:rFonts w:ascii="Times New Roman" w:hAnsi="Times New Roman"/>
                <w:color w:val="000000"/>
                <w:kern w:val="0"/>
                <w:sz w:val="25"/>
                <w:szCs w:val="24"/>
              </w:rPr>
              <w:t>万元）</w:t>
            </w:r>
          </w:p>
        </w:tc>
        <w:tc>
          <w:tcPr>
            <w:tcW w:w="2143" w:type="pct"/>
            <w:tcBorders>
              <w:top w:val="single" w:sz="4" w:space="0" w:color="auto"/>
              <w:left w:val="single" w:sz="4" w:space="0" w:color="auto"/>
              <w:bottom w:val="single" w:sz="4" w:space="0" w:color="auto"/>
              <w:right w:val="single" w:sz="4" w:space="0" w:color="auto"/>
            </w:tcBorders>
            <w:vAlign w:val="center"/>
          </w:tcPr>
          <w:p w14:paraId="7C113356" w14:textId="6CA56670" w:rsidR="00885FB9" w:rsidRDefault="00885FB9" w:rsidP="00367445">
            <w:pPr>
              <w:widowControl/>
              <w:snapToGrid w:val="0"/>
              <w:jc w:val="center"/>
              <w:rPr>
                <w:rFonts w:ascii="宋体" w:hAnsi="宋体"/>
                <w:color w:val="000000"/>
                <w:kern w:val="0"/>
                <w:sz w:val="25"/>
                <w:szCs w:val="24"/>
              </w:rPr>
            </w:pPr>
            <w:r>
              <w:rPr>
                <w:rFonts w:ascii="Times New Roman" w:hAnsi="Times New Roman"/>
                <w:color w:val="000000"/>
                <w:kern w:val="0"/>
                <w:sz w:val="25"/>
                <w:szCs w:val="24"/>
              </w:rPr>
              <w:t>每笔交易</w:t>
            </w:r>
            <w:r>
              <w:rPr>
                <w:rFonts w:ascii="Times New Roman" w:hAnsi="Times New Roman"/>
                <w:color w:val="000000"/>
                <w:kern w:val="0"/>
                <w:sz w:val="25"/>
                <w:szCs w:val="24"/>
              </w:rPr>
              <w:t>1200</w:t>
            </w:r>
            <w:r>
              <w:rPr>
                <w:rFonts w:ascii="Times New Roman" w:hAnsi="Times New Roman"/>
                <w:color w:val="000000"/>
                <w:kern w:val="0"/>
                <w:sz w:val="25"/>
                <w:szCs w:val="24"/>
              </w:rPr>
              <w:t>元</w:t>
            </w:r>
          </w:p>
        </w:tc>
      </w:tr>
    </w:tbl>
    <w:p w14:paraId="6EC63BE6" w14:textId="77777777" w:rsidR="00524D70" w:rsidRDefault="00524D70" w:rsidP="00524D70">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有关养老金客户实施特定申购费率的具体规定以及活动时间如有变化，敬请投资人留意本公司发布的相关公告。</w:t>
      </w:r>
    </w:p>
    <w:p w14:paraId="3AF2B522" w14:textId="77777777" w:rsidR="00672C26" w:rsidRDefault="00672C26" w:rsidP="00672C26">
      <w:pPr>
        <w:autoSpaceDE w:val="0"/>
        <w:autoSpaceDN w:val="0"/>
        <w:snapToGrid w:val="0"/>
        <w:spacing w:line="360" w:lineRule="auto"/>
        <w:ind w:firstLine="480"/>
        <w:jc w:val="left"/>
        <w:rPr>
          <w:rFonts w:ascii="宋体" w:hAnsi="宋体"/>
          <w:kern w:val="0"/>
          <w:szCs w:val="21"/>
        </w:rPr>
      </w:pPr>
      <w:r>
        <w:rPr>
          <w:rFonts w:hint="eastAsia"/>
          <w:sz w:val="24"/>
          <w:szCs w:val="24"/>
        </w:rPr>
        <w:t>投资者通过直销机构交易享有的交易费率优惠情况请见本基金管理人的有关公告或本基金管理人网站。本基金管理人基金网上直销业务已开通的银行卡及各银行卡交易金额限额请参阅本基金管理人网站。</w:t>
      </w:r>
    </w:p>
    <w:p w14:paraId="51B3573C"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2、赎回费用</w:t>
      </w:r>
    </w:p>
    <w:p w14:paraId="68267DF3" w14:textId="003961B4"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投资者赎回A类基金份额</w:t>
      </w:r>
      <w:r w:rsidR="00D258D9">
        <w:rPr>
          <w:rFonts w:ascii="宋体" w:hAnsi="宋体" w:hint="eastAsia"/>
          <w:sz w:val="24"/>
        </w:rPr>
        <w:t>、</w:t>
      </w:r>
      <w:r>
        <w:rPr>
          <w:rFonts w:ascii="宋体" w:hAnsi="宋体"/>
          <w:sz w:val="24"/>
        </w:rPr>
        <w:t>C类基金份额</w:t>
      </w:r>
      <w:r w:rsidR="00D258D9">
        <w:rPr>
          <w:rFonts w:ascii="宋体" w:hAnsi="宋体" w:hint="eastAsia"/>
          <w:sz w:val="24"/>
        </w:rPr>
        <w:t>或D类基金份额</w:t>
      </w:r>
      <w:r>
        <w:rPr>
          <w:rFonts w:ascii="宋体" w:hAnsi="宋体"/>
          <w:sz w:val="24"/>
        </w:rPr>
        <w:t>收取赎回费用，该费用随基金份额的持有时间递减。本基金A类基金份额</w:t>
      </w:r>
      <w:r w:rsidR="00D258D9">
        <w:rPr>
          <w:rFonts w:ascii="宋体" w:hAnsi="宋体" w:hint="eastAsia"/>
          <w:sz w:val="24"/>
        </w:rPr>
        <w:t>、</w:t>
      </w:r>
      <w:r>
        <w:rPr>
          <w:rFonts w:ascii="宋体" w:hAnsi="宋体"/>
          <w:sz w:val="24"/>
        </w:rPr>
        <w:t>C类基金份额</w:t>
      </w:r>
      <w:r w:rsidR="00D258D9">
        <w:rPr>
          <w:rFonts w:ascii="宋体" w:hAnsi="宋体" w:hint="eastAsia"/>
          <w:sz w:val="24"/>
        </w:rPr>
        <w:t>和D类基金份额</w:t>
      </w:r>
      <w:r>
        <w:rPr>
          <w:rFonts w:ascii="宋体" w:hAnsi="宋体"/>
          <w:sz w:val="24"/>
        </w:rPr>
        <w:t>的赎回费用由该类基金份额赎回人承担，对于持续持有期间少于7天的投资人收取的赎回费全额计入基金财产，对于持续持有期间大于等于7天的投资人收取的赎回费总额的25%应</w:t>
      </w:r>
      <w:proofErr w:type="gramStart"/>
      <w:r>
        <w:rPr>
          <w:rFonts w:ascii="宋体" w:hAnsi="宋体"/>
          <w:sz w:val="24"/>
        </w:rPr>
        <w:t>归基金</w:t>
      </w:r>
      <w:proofErr w:type="gramEnd"/>
      <w:r>
        <w:rPr>
          <w:rFonts w:ascii="宋体" w:hAnsi="宋体"/>
          <w:sz w:val="24"/>
        </w:rPr>
        <w:t>财产，其余用于支付登记费和其他必要的手续费。</w:t>
      </w:r>
    </w:p>
    <w:p w14:paraId="27BAB55C"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本基金A类基金份额的赎回费率如下：</w:t>
      </w:r>
    </w:p>
    <w:tbl>
      <w:tblPr>
        <w:tblW w:w="5000" w:type="pct"/>
        <w:tblCellMar>
          <w:left w:w="0" w:type="dxa"/>
          <w:right w:w="0" w:type="dxa"/>
        </w:tblCellMar>
        <w:tblLook w:val="0000" w:firstRow="0" w:lastRow="0" w:firstColumn="0" w:lastColumn="0" w:noHBand="0" w:noVBand="0"/>
      </w:tblPr>
      <w:tblGrid>
        <w:gridCol w:w="1236"/>
        <w:gridCol w:w="3707"/>
        <w:gridCol w:w="3707"/>
      </w:tblGrid>
      <w:tr w:rsidR="001F702C" w14:paraId="073F40EF" w14:textId="77777777">
        <w:trPr>
          <w:cantSplit/>
          <w:trHeight w:val="375"/>
        </w:trPr>
        <w:tc>
          <w:tcPr>
            <w:tcW w:w="250" w:type="pct"/>
            <w:vMerge w:val="restart"/>
            <w:tcBorders>
              <w:top w:val="single" w:sz="4" w:space="0" w:color="auto"/>
              <w:left w:val="single" w:sz="4" w:space="0" w:color="auto"/>
              <w:bottom w:val="single" w:sz="4" w:space="0" w:color="auto"/>
              <w:right w:val="single" w:sz="4" w:space="0" w:color="auto"/>
            </w:tcBorders>
            <w:vAlign w:val="center"/>
          </w:tcPr>
          <w:p w14:paraId="40CC5B58" w14:textId="77777777" w:rsidR="001F702C" w:rsidRDefault="00BD18A1">
            <w:pPr>
              <w:widowControl/>
              <w:snapToGrid w:val="0"/>
              <w:jc w:val="center"/>
              <w:rPr>
                <w:rFonts w:ascii="宋体" w:hAnsi="宋体"/>
                <w:color w:val="000000"/>
                <w:kern w:val="0"/>
                <w:sz w:val="25"/>
                <w:szCs w:val="24"/>
              </w:rPr>
            </w:pPr>
            <w:r>
              <w:rPr>
                <w:rFonts w:ascii="Times New Roman" w:hAnsi="Times New Roman"/>
                <w:color w:val="000000"/>
                <w:kern w:val="0"/>
                <w:sz w:val="25"/>
                <w:szCs w:val="24"/>
              </w:rPr>
              <w:t>A</w:t>
            </w:r>
            <w:r>
              <w:rPr>
                <w:rFonts w:ascii="Times New Roman" w:hAnsi="Times New Roman"/>
                <w:color w:val="000000"/>
                <w:kern w:val="0"/>
                <w:sz w:val="25"/>
                <w:szCs w:val="24"/>
              </w:rPr>
              <w:t>类基金份额的赎回费率</w:t>
            </w:r>
          </w:p>
        </w:tc>
        <w:tc>
          <w:tcPr>
            <w:tcW w:w="750" w:type="pct"/>
            <w:tcBorders>
              <w:top w:val="single" w:sz="4" w:space="0" w:color="auto"/>
              <w:left w:val="single" w:sz="4" w:space="0" w:color="auto"/>
              <w:bottom w:val="single" w:sz="4" w:space="0" w:color="auto"/>
              <w:right w:val="single" w:sz="4" w:space="0" w:color="auto"/>
            </w:tcBorders>
            <w:vAlign w:val="center"/>
          </w:tcPr>
          <w:p w14:paraId="7AD91F66" w14:textId="77777777" w:rsidR="001F702C" w:rsidRDefault="00BD18A1">
            <w:pPr>
              <w:widowControl/>
              <w:snapToGrid w:val="0"/>
              <w:jc w:val="center"/>
              <w:rPr>
                <w:rFonts w:ascii="宋体" w:hAnsi="宋体"/>
                <w:color w:val="000000"/>
                <w:kern w:val="0"/>
                <w:sz w:val="25"/>
                <w:szCs w:val="24"/>
              </w:rPr>
            </w:pPr>
            <w:r>
              <w:rPr>
                <w:rFonts w:ascii="Times New Roman" w:hAnsi="Times New Roman"/>
                <w:color w:val="000000"/>
                <w:kern w:val="0"/>
                <w:sz w:val="25"/>
                <w:szCs w:val="24"/>
              </w:rPr>
              <w:t>持有期限</w:t>
            </w:r>
          </w:p>
        </w:tc>
        <w:tc>
          <w:tcPr>
            <w:tcW w:w="400" w:type="pct"/>
            <w:tcBorders>
              <w:top w:val="single" w:sz="4" w:space="0" w:color="auto"/>
              <w:left w:val="single" w:sz="4" w:space="0" w:color="auto"/>
              <w:bottom w:val="single" w:sz="4" w:space="0" w:color="auto"/>
              <w:right w:val="single" w:sz="4" w:space="0" w:color="auto"/>
            </w:tcBorders>
            <w:vAlign w:val="center"/>
          </w:tcPr>
          <w:p w14:paraId="7696837D" w14:textId="77777777" w:rsidR="001F702C" w:rsidRDefault="00BD18A1">
            <w:pPr>
              <w:widowControl/>
              <w:snapToGrid w:val="0"/>
              <w:jc w:val="center"/>
              <w:rPr>
                <w:rFonts w:ascii="宋体" w:hAnsi="宋体"/>
                <w:color w:val="000000"/>
                <w:kern w:val="0"/>
                <w:sz w:val="25"/>
                <w:szCs w:val="24"/>
              </w:rPr>
            </w:pPr>
            <w:r>
              <w:rPr>
                <w:rFonts w:ascii="Times New Roman" w:hAnsi="Times New Roman"/>
                <w:color w:val="000000"/>
                <w:kern w:val="0"/>
                <w:sz w:val="25"/>
                <w:szCs w:val="24"/>
              </w:rPr>
              <w:t>赎回费率</w:t>
            </w:r>
          </w:p>
        </w:tc>
      </w:tr>
      <w:tr w:rsidR="001F702C" w14:paraId="4669B0FE" w14:textId="77777777">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14:paraId="20AAC14E" w14:textId="77777777" w:rsidR="001F702C" w:rsidRDefault="001F702C">
            <w:pPr>
              <w:widowControl/>
              <w:snapToGrid w:val="0"/>
              <w:jc w:val="center"/>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14:paraId="51C694D1" w14:textId="77777777" w:rsidR="001F702C" w:rsidRDefault="00BD18A1">
            <w:pPr>
              <w:widowControl/>
              <w:snapToGrid w:val="0"/>
              <w:jc w:val="left"/>
              <w:rPr>
                <w:rFonts w:ascii="宋体" w:hAnsi="宋体"/>
                <w:color w:val="000000"/>
                <w:kern w:val="0"/>
                <w:sz w:val="25"/>
                <w:szCs w:val="24"/>
              </w:rPr>
            </w:pPr>
            <w:r>
              <w:rPr>
                <w:rFonts w:ascii="Times New Roman" w:hAnsi="Times New Roman"/>
                <w:color w:val="000000"/>
                <w:kern w:val="0"/>
                <w:sz w:val="25"/>
                <w:szCs w:val="24"/>
              </w:rPr>
              <w:t>7</w:t>
            </w:r>
            <w:r>
              <w:rPr>
                <w:rFonts w:ascii="Times New Roman" w:hAnsi="Times New Roman"/>
                <w:color w:val="000000"/>
                <w:kern w:val="0"/>
                <w:sz w:val="25"/>
                <w:szCs w:val="24"/>
              </w:rPr>
              <w:t>天以内</w:t>
            </w:r>
          </w:p>
        </w:tc>
        <w:tc>
          <w:tcPr>
            <w:tcW w:w="750" w:type="pct"/>
            <w:tcBorders>
              <w:top w:val="single" w:sz="4" w:space="0" w:color="auto"/>
              <w:left w:val="single" w:sz="4" w:space="0" w:color="auto"/>
              <w:bottom w:val="single" w:sz="4" w:space="0" w:color="auto"/>
              <w:right w:val="single" w:sz="4" w:space="0" w:color="auto"/>
            </w:tcBorders>
            <w:vAlign w:val="center"/>
          </w:tcPr>
          <w:p w14:paraId="4A47FAB4" w14:textId="77777777" w:rsidR="001F702C" w:rsidRDefault="00BD18A1">
            <w:pPr>
              <w:widowControl/>
              <w:snapToGrid w:val="0"/>
              <w:jc w:val="center"/>
              <w:rPr>
                <w:rFonts w:ascii="宋体" w:hAnsi="宋体"/>
                <w:color w:val="000000"/>
                <w:kern w:val="0"/>
                <w:sz w:val="25"/>
                <w:szCs w:val="24"/>
              </w:rPr>
            </w:pPr>
            <w:r>
              <w:rPr>
                <w:rFonts w:ascii="Times New Roman" w:hAnsi="Times New Roman"/>
                <w:color w:val="000000"/>
                <w:kern w:val="0"/>
                <w:sz w:val="25"/>
                <w:szCs w:val="24"/>
              </w:rPr>
              <w:t>1.5%</w:t>
            </w:r>
          </w:p>
        </w:tc>
      </w:tr>
      <w:tr w:rsidR="001F702C" w14:paraId="7B9305CB" w14:textId="77777777">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14:paraId="5FB7E5CD" w14:textId="77777777" w:rsidR="001F702C" w:rsidRDefault="001F702C">
            <w:pPr>
              <w:widowControl/>
              <w:snapToGrid w:val="0"/>
              <w:jc w:val="center"/>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14:paraId="2CF7C809" w14:textId="77777777" w:rsidR="001F702C" w:rsidRDefault="00BD18A1">
            <w:pPr>
              <w:widowControl/>
              <w:snapToGrid w:val="0"/>
              <w:jc w:val="left"/>
              <w:rPr>
                <w:rFonts w:ascii="宋体" w:hAnsi="宋体"/>
                <w:color w:val="000000"/>
                <w:kern w:val="0"/>
                <w:sz w:val="25"/>
                <w:szCs w:val="24"/>
              </w:rPr>
            </w:pPr>
            <w:r>
              <w:rPr>
                <w:rFonts w:ascii="Times New Roman" w:hAnsi="Times New Roman"/>
                <w:color w:val="000000"/>
                <w:kern w:val="0"/>
                <w:sz w:val="25"/>
                <w:szCs w:val="24"/>
              </w:rPr>
              <w:t>7</w:t>
            </w:r>
            <w:r>
              <w:rPr>
                <w:rFonts w:ascii="Times New Roman" w:hAnsi="Times New Roman"/>
                <w:color w:val="000000"/>
                <w:kern w:val="0"/>
                <w:sz w:val="25"/>
                <w:szCs w:val="24"/>
              </w:rPr>
              <w:t>天（含）</w:t>
            </w:r>
            <w:r>
              <w:rPr>
                <w:rFonts w:ascii="Times New Roman" w:hAnsi="Times New Roman"/>
                <w:color w:val="000000"/>
                <w:kern w:val="0"/>
                <w:sz w:val="25"/>
                <w:szCs w:val="24"/>
              </w:rPr>
              <w:t>—30</w:t>
            </w:r>
            <w:r>
              <w:rPr>
                <w:rFonts w:ascii="Times New Roman" w:hAnsi="Times New Roman"/>
                <w:color w:val="000000"/>
                <w:kern w:val="0"/>
                <w:sz w:val="25"/>
                <w:szCs w:val="24"/>
              </w:rPr>
              <w:t>天</w:t>
            </w:r>
          </w:p>
        </w:tc>
        <w:tc>
          <w:tcPr>
            <w:tcW w:w="750" w:type="pct"/>
            <w:tcBorders>
              <w:top w:val="single" w:sz="4" w:space="0" w:color="auto"/>
              <w:left w:val="single" w:sz="4" w:space="0" w:color="auto"/>
              <w:bottom w:val="single" w:sz="4" w:space="0" w:color="auto"/>
              <w:right w:val="single" w:sz="4" w:space="0" w:color="auto"/>
            </w:tcBorders>
            <w:vAlign w:val="center"/>
          </w:tcPr>
          <w:p w14:paraId="38C1BD96" w14:textId="77777777" w:rsidR="001F702C" w:rsidRDefault="00BD18A1">
            <w:pPr>
              <w:widowControl/>
              <w:snapToGrid w:val="0"/>
              <w:jc w:val="center"/>
              <w:rPr>
                <w:rFonts w:ascii="宋体" w:hAnsi="宋体"/>
                <w:color w:val="000000"/>
                <w:kern w:val="0"/>
                <w:sz w:val="25"/>
                <w:szCs w:val="24"/>
              </w:rPr>
            </w:pPr>
            <w:r>
              <w:rPr>
                <w:rFonts w:ascii="Times New Roman" w:hAnsi="Times New Roman"/>
                <w:color w:val="000000"/>
                <w:kern w:val="0"/>
                <w:sz w:val="25"/>
                <w:szCs w:val="24"/>
              </w:rPr>
              <w:t>0.1%</w:t>
            </w:r>
          </w:p>
        </w:tc>
      </w:tr>
      <w:tr w:rsidR="001F702C" w14:paraId="4FA7CEAE" w14:textId="77777777">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14:paraId="525248F0" w14:textId="77777777" w:rsidR="001F702C" w:rsidRDefault="001F702C">
            <w:pPr>
              <w:widowControl/>
              <w:snapToGrid w:val="0"/>
              <w:jc w:val="center"/>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14:paraId="39C4F355" w14:textId="77777777" w:rsidR="001F702C" w:rsidRDefault="00BD18A1">
            <w:pPr>
              <w:widowControl/>
              <w:snapToGrid w:val="0"/>
              <w:jc w:val="left"/>
              <w:rPr>
                <w:rFonts w:ascii="宋体" w:hAnsi="宋体"/>
                <w:color w:val="000000"/>
                <w:kern w:val="0"/>
                <w:sz w:val="25"/>
                <w:szCs w:val="24"/>
              </w:rPr>
            </w:pPr>
            <w:r>
              <w:rPr>
                <w:rFonts w:ascii="Times New Roman" w:hAnsi="Times New Roman"/>
                <w:color w:val="000000"/>
                <w:kern w:val="0"/>
                <w:sz w:val="25"/>
                <w:szCs w:val="24"/>
              </w:rPr>
              <w:t>30</w:t>
            </w:r>
            <w:r>
              <w:rPr>
                <w:rFonts w:ascii="Times New Roman" w:hAnsi="Times New Roman"/>
                <w:color w:val="000000"/>
                <w:kern w:val="0"/>
                <w:sz w:val="25"/>
                <w:szCs w:val="24"/>
              </w:rPr>
              <w:t>天以上（含）</w:t>
            </w:r>
          </w:p>
        </w:tc>
        <w:tc>
          <w:tcPr>
            <w:tcW w:w="750" w:type="pct"/>
            <w:tcBorders>
              <w:top w:val="single" w:sz="4" w:space="0" w:color="auto"/>
              <w:left w:val="single" w:sz="4" w:space="0" w:color="auto"/>
              <w:bottom w:val="single" w:sz="4" w:space="0" w:color="auto"/>
              <w:right w:val="single" w:sz="4" w:space="0" w:color="auto"/>
            </w:tcBorders>
            <w:vAlign w:val="center"/>
          </w:tcPr>
          <w:p w14:paraId="53B7DD0B" w14:textId="77777777" w:rsidR="001F702C" w:rsidRDefault="00BD18A1">
            <w:pPr>
              <w:widowControl/>
              <w:snapToGrid w:val="0"/>
              <w:jc w:val="center"/>
              <w:rPr>
                <w:rFonts w:ascii="宋体" w:hAnsi="宋体"/>
                <w:color w:val="000000"/>
                <w:kern w:val="0"/>
                <w:sz w:val="25"/>
                <w:szCs w:val="24"/>
              </w:rPr>
            </w:pPr>
            <w:r>
              <w:rPr>
                <w:rFonts w:ascii="Times New Roman" w:hAnsi="Times New Roman"/>
                <w:color w:val="000000"/>
                <w:kern w:val="0"/>
                <w:sz w:val="25"/>
                <w:szCs w:val="24"/>
              </w:rPr>
              <w:t>0</w:t>
            </w:r>
          </w:p>
        </w:tc>
      </w:tr>
    </w:tbl>
    <w:p w14:paraId="73B0C153"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本基金C类基金份额的赎回费率如下：</w:t>
      </w:r>
    </w:p>
    <w:tbl>
      <w:tblPr>
        <w:tblW w:w="5000" w:type="pct"/>
        <w:tblCellMar>
          <w:left w:w="0" w:type="dxa"/>
          <w:right w:w="0" w:type="dxa"/>
        </w:tblCellMar>
        <w:tblLook w:val="0000" w:firstRow="0" w:lastRow="0" w:firstColumn="0" w:lastColumn="0" w:noHBand="0" w:noVBand="0"/>
      </w:tblPr>
      <w:tblGrid>
        <w:gridCol w:w="1236"/>
        <w:gridCol w:w="3707"/>
        <w:gridCol w:w="3707"/>
      </w:tblGrid>
      <w:tr w:rsidR="001F702C" w14:paraId="2810D7B7" w14:textId="77777777" w:rsidTr="00211BAE">
        <w:trPr>
          <w:cantSplit/>
          <w:trHeight w:val="375"/>
        </w:trPr>
        <w:tc>
          <w:tcPr>
            <w:tcW w:w="714" w:type="pct"/>
            <w:vMerge w:val="restart"/>
            <w:tcBorders>
              <w:top w:val="single" w:sz="4" w:space="0" w:color="auto"/>
              <w:left w:val="single" w:sz="4" w:space="0" w:color="auto"/>
              <w:bottom w:val="single" w:sz="4" w:space="0" w:color="auto"/>
              <w:right w:val="single" w:sz="4" w:space="0" w:color="auto"/>
            </w:tcBorders>
            <w:vAlign w:val="center"/>
          </w:tcPr>
          <w:p w14:paraId="5EF57E5E" w14:textId="77777777" w:rsidR="001F702C" w:rsidRDefault="00BD18A1">
            <w:pPr>
              <w:widowControl/>
              <w:snapToGrid w:val="0"/>
              <w:jc w:val="center"/>
              <w:rPr>
                <w:rFonts w:ascii="宋体" w:hAnsi="宋体"/>
                <w:color w:val="000000"/>
                <w:kern w:val="0"/>
                <w:sz w:val="25"/>
                <w:szCs w:val="24"/>
              </w:rPr>
            </w:pPr>
            <w:r>
              <w:rPr>
                <w:rFonts w:ascii="Times New Roman" w:hAnsi="Times New Roman"/>
                <w:color w:val="000000"/>
                <w:kern w:val="0"/>
                <w:sz w:val="25"/>
                <w:szCs w:val="24"/>
              </w:rPr>
              <w:t>C</w:t>
            </w:r>
            <w:r>
              <w:rPr>
                <w:rFonts w:ascii="Times New Roman" w:hAnsi="Times New Roman"/>
                <w:color w:val="000000"/>
                <w:kern w:val="0"/>
                <w:sz w:val="25"/>
                <w:szCs w:val="24"/>
              </w:rPr>
              <w:t>类基金份额的赎回费率</w:t>
            </w:r>
          </w:p>
        </w:tc>
        <w:tc>
          <w:tcPr>
            <w:tcW w:w="2143" w:type="pct"/>
            <w:tcBorders>
              <w:top w:val="single" w:sz="4" w:space="0" w:color="auto"/>
              <w:left w:val="single" w:sz="4" w:space="0" w:color="auto"/>
              <w:bottom w:val="single" w:sz="4" w:space="0" w:color="auto"/>
              <w:right w:val="single" w:sz="4" w:space="0" w:color="auto"/>
            </w:tcBorders>
            <w:vAlign w:val="center"/>
          </w:tcPr>
          <w:p w14:paraId="0AFDC7AD" w14:textId="77777777" w:rsidR="001F702C" w:rsidRDefault="00BD18A1">
            <w:pPr>
              <w:widowControl/>
              <w:snapToGrid w:val="0"/>
              <w:jc w:val="center"/>
              <w:rPr>
                <w:rFonts w:ascii="宋体" w:hAnsi="宋体"/>
                <w:color w:val="000000"/>
                <w:kern w:val="0"/>
                <w:sz w:val="25"/>
                <w:szCs w:val="24"/>
              </w:rPr>
            </w:pPr>
            <w:r>
              <w:rPr>
                <w:rFonts w:ascii="Times New Roman" w:hAnsi="Times New Roman"/>
                <w:color w:val="000000"/>
                <w:kern w:val="0"/>
                <w:sz w:val="25"/>
                <w:szCs w:val="24"/>
              </w:rPr>
              <w:t>持有期限</w:t>
            </w:r>
          </w:p>
        </w:tc>
        <w:tc>
          <w:tcPr>
            <w:tcW w:w="2143" w:type="pct"/>
            <w:tcBorders>
              <w:top w:val="single" w:sz="4" w:space="0" w:color="auto"/>
              <w:left w:val="single" w:sz="4" w:space="0" w:color="auto"/>
              <w:bottom w:val="single" w:sz="4" w:space="0" w:color="auto"/>
              <w:right w:val="single" w:sz="4" w:space="0" w:color="auto"/>
            </w:tcBorders>
            <w:vAlign w:val="center"/>
          </w:tcPr>
          <w:p w14:paraId="44E1DE10" w14:textId="77777777" w:rsidR="001F702C" w:rsidRDefault="00BD18A1">
            <w:pPr>
              <w:widowControl/>
              <w:snapToGrid w:val="0"/>
              <w:jc w:val="center"/>
              <w:rPr>
                <w:rFonts w:ascii="宋体" w:hAnsi="宋体"/>
                <w:color w:val="000000"/>
                <w:kern w:val="0"/>
                <w:sz w:val="25"/>
                <w:szCs w:val="24"/>
              </w:rPr>
            </w:pPr>
            <w:r>
              <w:rPr>
                <w:rFonts w:ascii="Times New Roman" w:hAnsi="Times New Roman"/>
                <w:color w:val="000000"/>
                <w:kern w:val="0"/>
                <w:sz w:val="25"/>
                <w:szCs w:val="24"/>
              </w:rPr>
              <w:t>赎回费率</w:t>
            </w:r>
          </w:p>
        </w:tc>
      </w:tr>
      <w:tr w:rsidR="001F702C" w14:paraId="02098269" w14:textId="77777777" w:rsidTr="00211BAE">
        <w:trPr>
          <w:cantSplit/>
          <w:trHeight w:val="375"/>
        </w:trPr>
        <w:tc>
          <w:tcPr>
            <w:tcW w:w="714" w:type="pct"/>
            <w:vMerge/>
            <w:tcBorders>
              <w:top w:val="single" w:sz="4" w:space="0" w:color="auto"/>
              <w:left w:val="single" w:sz="4" w:space="0" w:color="auto"/>
              <w:bottom w:val="single" w:sz="4" w:space="0" w:color="auto"/>
              <w:right w:val="single" w:sz="4" w:space="0" w:color="auto"/>
            </w:tcBorders>
            <w:vAlign w:val="center"/>
          </w:tcPr>
          <w:p w14:paraId="29306165" w14:textId="77777777" w:rsidR="001F702C" w:rsidRDefault="001F702C">
            <w:pPr>
              <w:widowControl/>
              <w:snapToGrid w:val="0"/>
              <w:jc w:val="center"/>
              <w:rPr>
                <w:rFonts w:ascii="宋体" w:hAnsi="宋体"/>
                <w:color w:val="000000"/>
                <w:kern w:val="0"/>
                <w:sz w:val="25"/>
                <w:szCs w:val="24"/>
              </w:rPr>
            </w:pPr>
          </w:p>
        </w:tc>
        <w:tc>
          <w:tcPr>
            <w:tcW w:w="2143" w:type="pct"/>
            <w:tcBorders>
              <w:top w:val="single" w:sz="4" w:space="0" w:color="auto"/>
              <w:left w:val="single" w:sz="4" w:space="0" w:color="auto"/>
              <w:bottom w:val="single" w:sz="4" w:space="0" w:color="auto"/>
              <w:right w:val="single" w:sz="4" w:space="0" w:color="auto"/>
            </w:tcBorders>
            <w:vAlign w:val="center"/>
          </w:tcPr>
          <w:p w14:paraId="40153855" w14:textId="77777777" w:rsidR="001F702C" w:rsidRDefault="00BD18A1">
            <w:pPr>
              <w:widowControl/>
              <w:snapToGrid w:val="0"/>
              <w:jc w:val="left"/>
              <w:rPr>
                <w:rFonts w:ascii="宋体" w:hAnsi="宋体"/>
                <w:color w:val="000000"/>
                <w:kern w:val="0"/>
                <w:sz w:val="25"/>
                <w:szCs w:val="24"/>
              </w:rPr>
            </w:pPr>
            <w:r>
              <w:rPr>
                <w:rFonts w:ascii="Times New Roman" w:hAnsi="Times New Roman"/>
                <w:color w:val="000000"/>
                <w:kern w:val="0"/>
                <w:sz w:val="25"/>
                <w:szCs w:val="24"/>
              </w:rPr>
              <w:t>7</w:t>
            </w:r>
            <w:r>
              <w:rPr>
                <w:rFonts w:ascii="Times New Roman" w:hAnsi="Times New Roman"/>
                <w:color w:val="000000"/>
                <w:kern w:val="0"/>
                <w:sz w:val="25"/>
                <w:szCs w:val="24"/>
              </w:rPr>
              <w:t>天以内</w:t>
            </w:r>
          </w:p>
        </w:tc>
        <w:tc>
          <w:tcPr>
            <w:tcW w:w="2143" w:type="pct"/>
            <w:tcBorders>
              <w:top w:val="single" w:sz="4" w:space="0" w:color="auto"/>
              <w:left w:val="single" w:sz="4" w:space="0" w:color="auto"/>
              <w:bottom w:val="single" w:sz="4" w:space="0" w:color="auto"/>
              <w:right w:val="single" w:sz="4" w:space="0" w:color="auto"/>
            </w:tcBorders>
            <w:vAlign w:val="center"/>
          </w:tcPr>
          <w:p w14:paraId="091EEA27" w14:textId="77777777" w:rsidR="001F702C" w:rsidRDefault="00BD18A1">
            <w:pPr>
              <w:widowControl/>
              <w:snapToGrid w:val="0"/>
              <w:jc w:val="center"/>
              <w:rPr>
                <w:rFonts w:ascii="宋体" w:hAnsi="宋体"/>
                <w:color w:val="000000"/>
                <w:kern w:val="0"/>
                <w:sz w:val="25"/>
                <w:szCs w:val="24"/>
              </w:rPr>
            </w:pPr>
            <w:r>
              <w:rPr>
                <w:rFonts w:ascii="Times New Roman" w:hAnsi="Times New Roman"/>
                <w:color w:val="000000"/>
                <w:kern w:val="0"/>
                <w:sz w:val="25"/>
                <w:szCs w:val="24"/>
              </w:rPr>
              <w:t>1.5%</w:t>
            </w:r>
          </w:p>
        </w:tc>
      </w:tr>
      <w:tr w:rsidR="001F702C" w14:paraId="42729C5A" w14:textId="77777777" w:rsidTr="00211BAE">
        <w:trPr>
          <w:cantSplit/>
          <w:trHeight w:val="375"/>
        </w:trPr>
        <w:tc>
          <w:tcPr>
            <w:tcW w:w="714" w:type="pct"/>
            <w:vMerge/>
            <w:tcBorders>
              <w:top w:val="single" w:sz="4" w:space="0" w:color="auto"/>
              <w:left w:val="single" w:sz="4" w:space="0" w:color="auto"/>
              <w:bottom w:val="single" w:sz="4" w:space="0" w:color="auto"/>
              <w:right w:val="single" w:sz="4" w:space="0" w:color="auto"/>
            </w:tcBorders>
            <w:vAlign w:val="center"/>
          </w:tcPr>
          <w:p w14:paraId="41DC9803" w14:textId="77777777" w:rsidR="001F702C" w:rsidRDefault="001F702C">
            <w:pPr>
              <w:widowControl/>
              <w:snapToGrid w:val="0"/>
              <w:jc w:val="center"/>
              <w:rPr>
                <w:rFonts w:ascii="宋体" w:hAnsi="宋体"/>
                <w:color w:val="000000"/>
                <w:kern w:val="0"/>
                <w:sz w:val="25"/>
                <w:szCs w:val="24"/>
              </w:rPr>
            </w:pPr>
          </w:p>
        </w:tc>
        <w:tc>
          <w:tcPr>
            <w:tcW w:w="2143" w:type="pct"/>
            <w:tcBorders>
              <w:top w:val="single" w:sz="4" w:space="0" w:color="auto"/>
              <w:left w:val="single" w:sz="4" w:space="0" w:color="auto"/>
              <w:bottom w:val="single" w:sz="4" w:space="0" w:color="auto"/>
              <w:right w:val="single" w:sz="4" w:space="0" w:color="auto"/>
            </w:tcBorders>
            <w:vAlign w:val="center"/>
          </w:tcPr>
          <w:p w14:paraId="46C088D4" w14:textId="77777777" w:rsidR="001F702C" w:rsidRDefault="00BD18A1">
            <w:pPr>
              <w:widowControl/>
              <w:snapToGrid w:val="0"/>
              <w:jc w:val="left"/>
              <w:rPr>
                <w:rFonts w:ascii="宋体" w:hAnsi="宋体"/>
                <w:color w:val="000000"/>
                <w:kern w:val="0"/>
                <w:sz w:val="25"/>
                <w:szCs w:val="24"/>
              </w:rPr>
            </w:pPr>
            <w:r>
              <w:rPr>
                <w:rFonts w:ascii="Times New Roman" w:hAnsi="Times New Roman"/>
                <w:color w:val="000000"/>
                <w:kern w:val="0"/>
                <w:sz w:val="25"/>
                <w:szCs w:val="24"/>
              </w:rPr>
              <w:t>7</w:t>
            </w:r>
            <w:r>
              <w:rPr>
                <w:rFonts w:ascii="Times New Roman" w:hAnsi="Times New Roman"/>
                <w:color w:val="000000"/>
                <w:kern w:val="0"/>
                <w:sz w:val="25"/>
                <w:szCs w:val="24"/>
              </w:rPr>
              <w:t>天（含）</w:t>
            </w:r>
            <w:r>
              <w:rPr>
                <w:rFonts w:ascii="Times New Roman" w:hAnsi="Times New Roman"/>
                <w:color w:val="000000"/>
                <w:kern w:val="0"/>
                <w:sz w:val="25"/>
                <w:szCs w:val="24"/>
              </w:rPr>
              <w:t>—30</w:t>
            </w:r>
            <w:r>
              <w:rPr>
                <w:rFonts w:ascii="Times New Roman" w:hAnsi="Times New Roman"/>
                <w:color w:val="000000"/>
                <w:kern w:val="0"/>
                <w:sz w:val="25"/>
                <w:szCs w:val="24"/>
              </w:rPr>
              <w:t>天</w:t>
            </w:r>
          </w:p>
        </w:tc>
        <w:tc>
          <w:tcPr>
            <w:tcW w:w="2143" w:type="pct"/>
            <w:tcBorders>
              <w:top w:val="single" w:sz="4" w:space="0" w:color="auto"/>
              <w:left w:val="single" w:sz="4" w:space="0" w:color="auto"/>
              <w:bottom w:val="single" w:sz="4" w:space="0" w:color="auto"/>
              <w:right w:val="single" w:sz="4" w:space="0" w:color="auto"/>
            </w:tcBorders>
            <w:vAlign w:val="center"/>
          </w:tcPr>
          <w:p w14:paraId="634E0069" w14:textId="77777777" w:rsidR="001F702C" w:rsidRDefault="00BD18A1">
            <w:pPr>
              <w:widowControl/>
              <w:snapToGrid w:val="0"/>
              <w:jc w:val="center"/>
              <w:rPr>
                <w:rFonts w:ascii="宋体" w:hAnsi="宋体"/>
                <w:color w:val="000000"/>
                <w:kern w:val="0"/>
                <w:sz w:val="25"/>
                <w:szCs w:val="24"/>
              </w:rPr>
            </w:pPr>
            <w:r>
              <w:rPr>
                <w:rFonts w:ascii="Times New Roman" w:hAnsi="Times New Roman"/>
                <w:color w:val="000000"/>
                <w:kern w:val="0"/>
                <w:sz w:val="25"/>
                <w:szCs w:val="24"/>
              </w:rPr>
              <w:t>0.1%</w:t>
            </w:r>
          </w:p>
        </w:tc>
      </w:tr>
      <w:tr w:rsidR="001F702C" w14:paraId="0B20A7CD" w14:textId="77777777" w:rsidTr="00211BAE">
        <w:trPr>
          <w:cantSplit/>
          <w:trHeight w:val="375"/>
        </w:trPr>
        <w:tc>
          <w:tcPr>
            <w:tcW w:w="714" w:type="pct"/>
            <w:vMerge/>
            <w:tcBorders>
              <w:top w:val="single" w:sz="4" w:space="0" w:color="auto"/>
              <w:left w:val="single" w:sz="4" w:space="0" w:color="auto"/>
              <w:bottom w:val="single" w:sz="4" w:space="0" w:color="auto"/>
              <w:right w:val="single" w:sz="4" w:space="0" w:color="auto"/>
            </w:tcBorders>
            <w:vAlign w:val="center"/>
          </w:tcPr>
          <w:p w14:paraId="41E50B3A" w14:textId="77777777" w:rsidR="001F702C" w:rsidRDefault="001F702C">
            <w:pPr>
              <w:widowControl/>
              <w:snapToGrid w:val="0"/>
              <w:jc w:val="center"/>
              <w:rPr>
                <w:rFonts w:ascii="宋体" w:hAnsi="宋体"/>
                <w:color w:val="000000"/>
                <w:kern w:val="0"/>
                <w:sz w:val="25"/>
                <w:szCs w:val="24"/>
              </w:rPr>
            </w:pPr>
          </w:p>
        </w:tc>
        <w:tc>
          <w:tcPr>
            <w:tcW w:w="2143" w:type="pct"/>
            <w:tcBorders>
              <w:top w:val="single" w:sz="4" w:space="0" w:color="auto"/>
              <w:left w:val="single" w:sz="4" w:space="0" w:color="auto"/>
              <w:bottom w:val="single" w:sz="4" w:space="0" w:color="auto"/>
              <w:right w:val="single" w:sz="4" w:space="0" w:color="auto"/>
            </w:tcBorders>
            <w:vAlign w:val="center"/>
          </w:tcPr>
          <w:p w14:paraId="0AEC8471" w14:textId="77777777" w:rsidR="001F702C" w:rsidRDefault="00BD18A1">
            <w:pPr>
              <w:widowControl/>
              <w:snapToGrid w:val="0"/>
              <w:jc w:val="left"/>
              <w:rPr>
                <w:rFonts w:ascii="宋体" w:hAnsi="宋体"/>
                <w:color w:val="000000"/>
                <w:kern w:val="0"/>
                <w:sz w:val="25"/>
                <w:szCs w:val="24"/>
              </w:rPr>
            </w:pPr>
            <w:r>
              <w:rPr>
                <w:rFonts w:ascii="Times New Roman" w:hAnsi="Times New Roman"/>
                <w:color w:val="000000"/>
                <w:kern w:val="0"/>
                <w:sz w:val="25"/>
                <w:szCs w:val="24"/>
              </w:rPr>
              <w:t>30</w:t>
            </w:r>
            <w:r>
              <w:rPr>
                <w:rFonts w:ascii="Times New Roman" w:hAnsi="Times New Roman"/>
                <w:color w:val="000000"/>
                <w:kern w:val="0"/>
                <w:sz w:val="25"/>
                <w:szCs w:val="24"/>
              </w:rPr>
              <w:t>天以上（含）</w:t>
            </w:r>
          </w:p>
        </w:tc>
        <w:tc>
          <w:tcPr>
            <w:tcW w:w="2143" w:type="pct"/>
            <w:tcBorders>
              <w:top w:val="single" w:sz="4" w:space="0" w:color="auto"/>
              <w:left w:val="single" w:sz="4" w:space="0" w:color="auto"/>
              <w:bottom w:val="single" w:sz="4" w:space="0" w:color="auto"/>
              <w:right w:val="single" w:sz="4" w:space="0" w:color="auto"/>
            </w:tcBorders>
            <w:vAlign w:val="center"/>
          </w:tcPr>
          <w:p w14:paraId="2EA1AAC2" w14:textId="77777777" w:rsidR="001F702C" w:rsidRDefault="00BD18A1">
            <w:pPr>
              <w:widowControl/>
              <w:snapToGrid w:val="0"/>
              <w:jc w:val="center"/>
              <w:rPr>
                <w:rFonts w:ascii="宋体" w:hAnsi="宋体"/>
                <w:color w:val="000000"/>
                <w:kern w:val="0"/>
                <w:sz w:val="25"/>
                <w:szCs w:val="24"/>
              </w:rPr>
            </w:pPr>
            <w:r>
              <w:rPr>
                <w:rFonts w:ascii="Times New Roman" w:hAnsi="Times New Roman"/>
                <w:color w:val="000000"/>
                <w:kern w:val="0"/>
                <w:sz w:val="25"/>
                <w:szCs w:val="24"/>
              </w:rPr>
              <w:t>0</w:t>
            </w:r>
          </w:p>
        </w:tc>
      </w:tr>
    </w:tbl>
    <w:p w14:paraId="19BB82C6" w14:textId="77777777" w:rsidR="00211BAE" w:rsidRDefault="00211BAE" w:rsidP="00211BA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本基金D类基金份额的赎回费率如下：</w:t>
      </w:r>
    </w:p>
    <w:tbl>
      <w:tblPr>
        <w:tblW w:w="5000" w:type="pct"/>
        <w:tblCellMar>
          <w:left w:w="0" w:type="dxa"/>
          <w:right w:w="0" w:type="dxa"/>
        </w:tblCellMar>
        <w:tblLook w:val="0000" w:firstRow="0" w:lastRow="0" w:firstColumn="0" w:lastColumn="0" w:noHBand="0" w:noVBand="0"/>
      </w:tblPr>
      <w:tblGrid>
        <w:gridCol w:w="1236"/>
        <w:gridCol w:w="3707"/>
        <w:gridCol w:w="3707"/>
      </w:tblGrid>
      <w:tr w:rsidR="00211BAE" w14:paraId="41A3EB47" w14:textId="77777777" w:rsidTr="00367445">
        <w:trPr>
          <w:cantSplit/>
          <w:trHeight w:val="375"/>
        </w:trPr>
        <w:tc>
          <w:tcPr>
            <w:tcW w:w="714" w:type="pct"/>
            <w:vMerge w:val="restart"/>
            <w:tcBorders>
              <w:top w:val="single" w:sz="4" w:space="0" w:color="auto"/>
              <w:left w:val="single" w:sz="4" w:space="0" w:color="auto"/>
              <w:bottom w:val="single" w:sz="4" w:space="0" w:color="auto"/>
              <w:right w:val="single" w:sz="4" w:space="0" w:color="auto"/>
            </w:tcBorders>
            <w:vAlign w:val="center"/>
          </w:tcPr>
          <w:p w14:paraId="4994A578" w14:textId="77777777" w:rsidR="00211BAE" w:rsidRDefault="00211BAE" w:rsidP="00367445">
            <w:pPr>
              <w:widowControl/>
              <w:snapToGrid w:val="0"/>
              <w:jc w:val="center"/>
              <w:rPr>
                <w:rFonts w:ascii="宋体" w:hAnsi="宋体"/>
                <w:color w:val="000000"/>
                <w:kern w:val="0"/>
                <w:sz w:val="25"/>
                <w:szCs w:val="24"/>
              </w:rPr>
            </w:pPr>
            <w:r>
              <w:rPr>
                <w:rFonts w:ascii="Times New Roman" w:hAnsi="Times New Roman"/>
                <w:color w:val="000000"/>
                <w:kern w:val="0"/>
                <w:sz w:val="25"/>
                <w:szCs w:val="24"/>
              </w:rPr>
              <w:t>D</w:t>
            </w:r>
            <w:r>
              <w:rPr>
                <w:rFonts w:ascii="Times New Roman" w:hAnsi="Times New Roman"/>
                <w:color w:val="000000"/>
                <w:kern w:val="0"/>
                <w:sz w:val="25"/>
                <w:szCs w:val="24"/>
              </w:rPr>
              <w:t>类基金份额的赎回费率</w:t>
            </w:r>
          </w:p>
        </w:tc>
        <w:tc>
          <w:tcPr>
            <w:tcW w:w="2143" w:type="pct"/>
            <w:tcBorders>
              <w:top w:val="single" w:sz="4" w:space="0" w:color="auto"/>
              <w:left w:val="single" w:sz="4" w:space="0" w:color="auto"/>
              <w:bottom w:val="single" w:sz="4" w:space="0" w:color="auto"/>
              <w:right w:val="single" w:sz="4" w:space="0" w:color="auto"/>
            </w:tcBorders>
            <w:vAlign w:val="center"/>
          </w:tcPr>
          <w:p w14:paraId="669CC7A1" w14:textId="77777777" w:rsidR="00211BAE" w:rsidRDefault="00211BAE" w:rsidP="00367445">
            <w:pPr>
              <w:widowControl/>
              <w:snapToGrid w:val="0"/>
              <w:jc w:val="center"/>
              <w:rPr>
                <w:rFonts w:ascii="宋体" w:hAnsi="宋体"/>
                <w:color w:val="000000"/>
                <w:kern w:val="0"/>
                <w:sz w:val="25"/>
                <w:szCs w:val="24"/>
              </w:rPr>
            </w:pPr>
            <w:r>
              <w:rPr>
                <w:rFonts w:ascii="Times New Roman" w:hAnsi="Times New Roman"/>
                <w:color w:val="000000"/>
                <w:kern w:val="0"/>
                <w:sz w:val="25"/>
                <w:szCs w:val="24"/>
              </w:rPr>
              <w:t>持有期限</w:t>
            </w:r>
          </w:p>
        </w:tc>
        <w:tc>
          <w:tcPr>
            <w:tcW w:w="2143" w:type="pct"/>
            <w:tcBorders>
              <w:top w:val="single" w:sz="4" w:space="0" w:color="auto"/>
              <w:left w:val="single" w:sz="4" w:space="0" w:color="auto"/>
              <w:bottom w:val="single" w:sz="4" w:space="0" w:color="auto"/>
              <w:right w:val="single" w:sz="4" w:space="0" w:color="auto"/>
            </w:tcBorders>
            <w:vAlign w:val="center"/>
          </w:tcPr>
          <w:p w14:paraId="27A35FEE" w14:textId="77777777" w:rsidR="00211BAE" w:rsidRDefault="00211BAE" w:rsidP="00367445">
            <w:pPr>
              <w:widowControl/>
              <w:snapToGrid w:val="0"/>
              <w:jc w:val="center"/>
              <w:rPr>
                <w:rFonts w:ascii="宋体" w:hAnsi="宋体"/>
                <w:color w:val="000000"/>
                <w:kern w:val="0"/>
                <w:sz w:val="25"/>
                <w:szCs w:val="24"/>
              </w:rPr>
            </w:pPr>
            <w:r>
              <w:rPr>
                <w:rFonts w:ascii="Times New Roman" w:hAnsi="Times New Roman"/>
                <w:color w:val="000000"/>
                <w:kern w:val="0"/>
                <w:sz w:val="25"/>
                <w:szCs w:val="24"/>
              </w:rPr>
              <w:t>赎回费率</w:t>
            </w:r>
          </w:p>
        </w:tc>
      </w:tr>
      <w:tr w:rsidR="00211BAE" w14:paraId="4F539B8E" w14:textId="77777777" w:rsidTr="00367445">
        <w:trPr>
          <w:cantSplit/>
          <w:trHeight w:val="375"/>
        </w:trPr>
        <w:tc>
          <w:tcPr>
            <w:tcW w:w="714" w:type="pct"/>
            <w:vMerge/>
            <w:tcBorders>
              <w:top w:val="single" w:sz="4" w:space="0" w:color="auto"/>
              <w:left w:val="single" w:sz="4" w:space="0" w:color="auto"/>
              <w:bottom w:val="single" w:sz="4" w:space="0" w:color="auto"/>
              <w:right w:val="single" w:sz="4" w:space="0" w:color="auto"/>
            </w:tcBorders>
            <w:vAlign w:val="center"/>
          </w:tcPr>
          <w:p w14:paraId="4885D703" w14:textId="77777777" w:rsidR="00211BAE" w:rsidRDefault="00211BAE" w:rsidP="00367445">
            <w:pPr>
              <w:widowControl/>
              <w:snapToGrid w:val="0"/>
              <w:jc w:val="center"/>
              <w:rPr>
                <w:rFonts w:ascii="宋体" w:hAnsi="宋体"/>
                <w:color w:val="000000"/>
                <w:kern w:val="0"/>
                <w:sz w:val="25"/>
                <w:szCs w:val="24"/>
              </w:rPr>
            </w:pPr>
          </w:p>
        </w:tc>
        <w:tc>
          <w:tcPr>
            <w:tcW w:w="2143" w:type="pct"/>
            <w:tcBorders>
              <w:top w:val="single" w:sz="4" w:space="0" w:color="auto"/>
              <w:left w:val="single" w:sz="4" w:space="0" w:color="auto"/>
              <w:bottom w:val="single" w:sz="4" w:space="0" w:color="auto"/>
              <w:right w:val="single" w:sz="4" w:space="0" w:color="auto"/>
            </w:tcBorders>
            <w:vAlign w:val="center"/>
          </w:tcPr>
          <w:p w14:paraId="51966E39" w14:textId="77777777" w:rsidR="00211BAE" w:rsidRDefault="00211BAE" w:rsidP="00367445">
            <w:pPr>
              <w:widowControl/>
              <w:snapToGrid w:val="0"/>
              <w:jc w:val="left"/>
              <w:rPr>
                <w:rFonts w:ascii="宋体" w:hAnsi="宋体"/>
                <w:color w:val="000000"/>
                <w:kern w:val="0"/>
                <w:sz w:val="25"/>
                <w:szCs w:val="24"/>
              </w:rPr>
            </w:pPr>
            <w:r>
              <w:rPr>
                <w:rFonts w:ascii="Times New Roman" w:hAnsi="Times New Roman"/>
                <w:color w:val="000000"/>
                <w:kern w:val="0"/>
                <w:sz w:val="25"/>
                <w:szCs w:val="24"/>
              </w:rPr>
              <w:t>7</w:t>
            </w:r>
            <w:r>
              <w:rPr>
                <w:rFonts w:ascii="Times New Roman" w:hAnsi="Times New Roman"/>
                <w:color w:val="000000"/>
                <w:kern w:val="0"/>
                <w:sz w:val="25"/>
                <w:szCs w:val="24"/>
              </w:rPr>
              <w:t>日以内</w:t>
            </w:r>
          </w:p>
        </w:tc>
        <w:tc>
          <w:tcPr>
            <w:tcW w:w="2143" w:type="pct"/>
            <w:tcBorders>
              <w:top w:val="single" w:sz="4" w:space="0" w:color="auto"/>
              <w:left w:val="single" w:sz="4" w:space="0" w:color="auto"/>
              <w:bottom w:val="single" w:sz="4" w:space="0" w:color="auto"/>
              <w:right w:val="single" w:sz="4" w:space="0" w:color="auto"/>
            </w:tcBorders>
            <w:vAlign w:val="center"/>
          </w:tcPr>
          <w:p w14:paraId="130F5C46" w14:textId="77777777" w:rsidR="00211BAE" w:rsidRDefault="00211BAE" w:rsidP="00367445">
            <w:pPr>
              <w:widowControl/>
              <w:snapToGrid w:val="0"/>
              <w:jc w:val="center"/>
              <w:rPr>
                <w:rFonts w:ascii="宋体" w:hAnsi="宋体"/>
                <w:color w:val="000000"/>
                <w:kern w:val="0"/>
                <w:sz w:val="25"/>
                <w:szCs w:val="24"/>
              </w:rPr>
            </w:pPr>
            <w:r>
              <w:rPr>
                <w:rFonts w:ascii="Times New Roman" w:hAnsi="Times New Roman"/>
                <w:color w:val="000000"/>
                <w:kern w:val="0"/>
                <w:sz w:val="25"/>
                <w:szCs w:val="24"/>
              </w:rPr>
              <w:t>1.5%</w:t>
            </w:r>
          </w:p>
        </w:tc>
      </w:tr>
      <w:tr w:rsidR="00211BAE" w14:paraId="61699B76" w14:textId="77777777" w:rsidTr="00367445">
        <w:trPr>
          <w:cantSplit/>
          <w:trHeight w:val="375"/>
        </w:trPr>
        <w:tc>
          <w:tcPr>
            <w:tcW w:w="714" w:type="pct"/>
            <w:vMerge/>
            <w:tcBorders>
              <w:top w:val="single" w:sz="4" w:space="0" w:color="auto"/>
              <w:left w:val="single" w:sz="4" w:space="0" w:color="auto"/>
              <w:bottom w:val="single" w:sz="4" w:space="0" w:color="auto"/>
              <w:right w:val="single" w:sz="4" w:space="0" w:color="auto"/>
            </w:tcBorders>
            <w:vAlign w:val="center"/>
          </w:tcPr>
          <w:p w14:paraId="55838448" w14:textId="77777777" w:rsidR="00211BAE" w:rsidRDefault="00211BAE" w:rsidP="00367445">
            <w:pPr>
              <w:widowControl/>
              <w:snapToGrid w:val="0"/>
              <w:jc w:val="center"/>
              <w:rPr>
                <w:rFonts w:ascii="宋体" w:hAnsi="宋体"/>
                <w:color w:val="000000"/>
                <w:kern w:val="0"/>
                <w:sz w:val="25"/>
                <w:szCs w:val="24"/>
              </w:rPr>
            </w:pPr>
          </w:p>
        </w:tc>
        <w:tc>
          <w:tcPr>
            <w:tcW w:w="2143" w:type="pct"/>
            <w:tcBorders>
              <w:top w:val="single" w:sz="4" w:space="0" w:color="auto"/>
              <w:left w:val="single" w:sz="4" w:space="0" w:color="auto"/>
              <w:bottom w:val="single" w:sz="4" w:space="0" w:color="auto"/>
              <w:right w:val="single" w:sz="4" w:space="0" w:color="auto"/>
            </w:tcBorders>
            <w:vAlign w:val="center"/>
          </w:tcPr>
          <w:p w14:paraId="31769500" w14:textId="77777777" w:rsidR="00211BAE" w:rsidRDefault="00211BAE" w:rsidP="00367445">
            <w:pPr>
              <w:widowControl/>
              <w:snapToGrid w:val="0"/>
              <w:jc w:val="left"/>
              <w:rPr>
                <w:rFonts w:ascii="宋体" w:hAnsi="宋体"/>
                <w:color w:val="000000"/>
                <w:kern w:val="0"/>
                <w:sz w:val="25"/>
                <w:szCs w:val="24"/>
              </w:rPr>
            </w:pPr>
            <w:r>
              <w:rPr>
                <w:rFonts w:ascii="Times New Roman" w:hAnsi="Times New Roman"/>
                <w:color w:val="000000"/>
                <w:kern w:val="0"/>
                <w:sz w:val="25"/>
                <w:szCs w:val="24"/>
              </w:rPr>
              <w:t>7</w:t>
            </w:r>
            <w:r>
              <w:rPr>
                <w:rFonts w:ascii="Times New Roman" w:hAnsi="Times New Roman"/>
                <w:color w:val="000000"/>
                <w:kern w:val="0"/>
                <w:sz w:val="25"/>
                <w:szCs w:val="24"/>
              </w:rPr>
              <w:t>日（含）以上</w:t>
            </w:r>
          </w:p>
        </w:tc>
        <w:tc>
          <w:tcPr>
            <w:tcW w:w="2143" w:type="pct"/>
            <w:tcBorders>
              <w:top w:val="single" w:sz="4" w:space="0" w:color="auto"/>
              <w:left w:val="single" w:sz="4" w:space="0" w:color="auto"/>
              <w:bottom w:val="single" w:sz="4" w:space="0" w:color="auto"/>
              <w:right w:val="single" w:sz="4" w:space="0" w:color="auto"/>
            </w:tcBorders>
            <w:vAlign w:val="center"/>
          </w:tcPr>
          <w:p w14:paraId="2D3EE87C" w14:textId="77777777" w:rsidR="00211BAE" w:rsidRDefault="00211BAE" w:rsidP="00367445">
            <w:pPr>
              <w:widowControl/>
              <w:snapToGrid w:val="0"/>
              <w:jc w:val="center"/>
              <w:rPr>
                <w:rFonts w:ascii="宋体" w:hAnsi="宋体"/>
                <w:color w:val="000000"/>
                <w:kern w:val="0"/>
                <w:sz w:val="25"/>
                <w:szCs w:val="24"/>
              </w:rPr>
            </w:pPr>
            <w:r>
              <w:rPr>
                <w:rFonts w:ascii="Times New Roman" w:hAnsi="Times New Roman"/>
                <w:color w:val="000000"/>
                <w:kern w:val="0"/>
                <w:sz w:val="25"/>
                <w:szCs w:val="24"/>
              </w:rPr>
              <w:t>0</w:t>
            </w:r>
          </w:p>
        </w:tc>
      </w:tr>
    </w:tbl>
    <w:p w14:paraId="7ED21658"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3、基金管理人可以在基金合同约定的范围内调整费率或收费方式，并最迟应于新的费率或收费方式实施日前依照《信息披露办法》的有关规定在指定媒介上公告。</w:t>
      </w:r>
    </w:p>
    <w:p w14:paraId="5CB03AFB"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管理人可以在不违背法律法规规定及基金合同约定的情况下根据市场情况制定基金促销计划，针对投资人定期和不定期地开展基金促销活动。在基金促销活动期间，基金管理人可以按中国证监会要求履行必要手续后，对投资人适当调低基金销售费用。</w:t>
      </w:r>
    </w:p>
    <w:p w14:paraId="6FD3A9B0"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5、当发生大额申购或赎回情形时，基金管理人可以采用摆动定价机制以确保基金估值的公平性。具体处理原则与操作规范遵循相关法律法规以及监管部门、自律规则的规定。</w:t>
      </w:r>
    </w:p>
    <w:p w14:paraId="2621C478" w14:textId="77777777" w:rsidR="001F702C" w:rsidRDefault="00BD18A1">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（七）申购和赎回的数额和价格</w:t>
      </w:r>
    </w:p>
    <w:p w14:paraId="787AE910"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1、申购和赎回数额、余额的处理方式</w:t>
      </w:r>
    </w:p>
    <w:p w14:paraId="1E4BF0DE" w14:textId="3465F388"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（1）申购A类基金份额</w:t>
      </w:r>
      <w:r w:rsidR="0075473C">
        <w:rPr>
          <w:rFonts w:ascii="宋体" w:hAnsi="宋体" w:hint="eastAsia"/>
          <w:sz w:val="24"/>
        </w:rPr>
        <w:t>、</w:t>
      </w:r>
      <w:r>
        <w:rPr>
          <w:rFonts w:ascii="宋体" w:hAnsi="宋体"/>
          <w:sz w:val="24"/>
        </w:rPr>
        <w:t>C类基金份额</w:t>
      </w:r>
      <w:r w:rsidR="0075473C">
        <w:rPr>
          <w:rFonts w:ascii="宋体" w:hAnsi="宋体" w:hint="eastAsia"/>
          <w:sz w:val="24"/>
        </w:rPr>
        <w:t>或D类基金份额</w:t>
      </w:r>
      <w:r>
        <w:rPr>
          <w:rFonts w:ascii="宋体" w:hAnsi="宋体"/>
          <w:sz w:val="24"/>
        </w:rPr>
        <w:t>的有效份额为净申购金额除以当日该类基金份额的基金份额净值，有效份额单位为份，申购份额计算结果按四舍五入方法，保留到小数点后2位，由此产生的收益或损失由基金财产承担。</w:t>
      </w:r>
    </w:p>
    <w:p w14:paraId="62643768" w14:textId="463C8AA3"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（2）A类基金份额</w:t>
      </w:r>
      <w:r w:rsidR="0075473C">
        <w:rPr>
          <w:rFonts w:ascii="宋体" w:hAnsi="宋体" w:hint="eastAsia"/>
          <w:sz w:val="24"/>
        </w:rPr>
        <w:t>、</w:t>
      </w:r>
      <w:r>
        <w:rPr>
          <w:rFonts w:ascii="宋体" w:hAnsi="宋体"/>
          <w:sz w:val="24"/>
        </w:rPr>
        <w:t>C类基金份额</w:t>
      </w:r>
      <w:r w:rsidR="0075473C">
        <w:rPr>
          <w:rFonts w:ascii="宋体" w:hAnsi="宋体" w:hint="eastAsia"/>
          <w:sz w:val="24"/>
        </w:rPr>
        <w:t>和D类基金份额</w:t>
      </w:r>
      <w:r>
        <w:rPr>
          <w:rFonts w:ascii="宋体" w:hAnsi="宋体"/>
          <w:sz w:val="24"/>
        </w:rPr>
        <w:t>的赎回金额为按实际确认的有效赎回份额乘以当日该类基金份额的基金份额净值并扣除相应的费用（如有），赎回金额单位为元。赎回金额计算结果按四舍五入方法，保留到小数点后2位，由此产生的收益或损失由基金财产承担。</w:t>
      </w:r>
    </w:p>
    <w:p w14:paraId="39AE8AEA"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2、申购份额的计算</w:t>
      </w:r>
    </w:p>
    <w:p w14:paraId="78140FB1"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（1）A类基金份额的申购</w:t>
      </w:r>
    </w:p>
    <w:p w14:paraId="34AAED97"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申购总金额=</w:t>
      </w:r>
      <w:proofErr w:type="gramStart"/>
      <w:r>
        <w:rPr>
          <w:rFonts w:ascii="宋体" w:hAnsi="宋体"/>
          <w:sz w:val="24"/>
        </w:rPr>
        <w:t>申请总</w:t>
      </w:r>
      <w:proofErr w:type="gramEnd"/>
      <w:r>
        <w:rPr>
          <w:rFonts w:ascii="宋体" w:hAnsi="宋体"/>
          <w:sz w:val="24"/>
        </w:rPr>
        <w:t>金额</w:t>
      </w:r>
    </w:p>
    <w:p w14:paraId="1C69901A"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净申购金额=申购总金额/（1+申购费率）</w:t>
      </w:r>
    </w:p>
    <w:p w14:paraId="18C9EB8C"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（注：对于适用固定金额申购费用的申购，净申购金额＝申购总金额－固定申购费用金额）</w:t>
      </w:r>
    </w:p>
    <w:p w14:paraId="155E12E2"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申购费用=申购总金额-净申购金额</w:t>
      </w:r>
    </w:p>
    <w:p w14:paraId="55072458"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（注：对于适用固定金额申购费用的申购，申购费用＝固定申购费用金额）</w:t>
      </w:r>
    </w:p>
    <w:p w14:paraId="0E0A1F4F"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申购份额=（申购总金额-申购费用）/ T日A类基金份额净值</w:t>
      </w:r>
    </w:p>
    <w:p w14:paraId="355FDD49" w14:textId="1B9F7C76"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w:t>
      </w:r>
      <w:proofErr w:type="gramStart"/>
      <w:r w:rsidR="00687D92">
        <w:rPr>
          <w:rFonts w:ascii="宋体" w:hAnsi="宋体" w:hint="eastAsia"/>
          <w:sz w:val="24"/>
        </w:rPr>
        <w:t>一</w:t>
      </w:r>
      <w:proofErr w:type="gramEnd"/>
      <w:r>
        <w:rPr>
          <w:rFonts w:ascii="宋体" w:hAnsi="宋体"/>
          <w:sz w:val="24"/>
        </w:rPr>
        <w:t>：某投资者（非养老金客户）投资100,000元申购本基金的A类基金份额，假设申购当日A类基金份额净值为1.0400元，申购费率为0.8%，则其可得到的申购份额为：</w:t>
      </w:r>
    </w:p>
    <w:p w14:paraId="39B90D37"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申购总金额＝100,000元</w:t>
      </w:r>
    </w:p>
    <w:p w14:paraId="0B3CCCB4"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净申购金额=100,000/（1+0.8%）=99,206.35元</w:t>
      </w:r>
    </w:p>
    <w:p w14:paraId="3685C113"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申购费用=100,000-99,206.35=793.65元</w:t>
      </w:r>
    </w:p>
    <w:p w14:paraId="444CCBC5"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申购份额=（100,000-793.65）/1.0400=95,390.72份</w:t>
      </w:r>
    </w:p>
    <w:p w14:paraId="5132248C"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即：某投资者（非养老金客户）投资100,000元申购本基金的A类基金份额，假设申购当日A类基金份额净值为1.0400元，则其可得到95,390.72份A类基金份额。</w:t>
      </w:r>
    </w:p>
    <w:p w14:paraId="0BB102DA" w14:textId="6F3C808C"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w:t>
      </w:r>
      <w:r w:rsidR="00687D92">
        <w:rPr>
          <w:rFonts w:ascii="宋体" w:hAnsi="宋体" w:hint="eastAsia"/>
          <w:sz w:val="24"/>
        </w:rPr>
        <w:t>二</w:t>
      </w:r>
      <w:r>
        <w:rPr>
          <w:rFonts w:ascii="宋体" w:hAnsi="宋体"/>
          <w:sz w:val="24"/>
        </w:rPr>
        <w:t>：某养老金客户投资1</w:t>
      </w:r>
      <w:r w:rsidR="00BE06B2">
        <w:rPr>
          <w:rFonts w:ascii="宋体" w:hAnsi="宋体"/>
          <w:sz w:val="24"/>
        </w:rPr>
        <w:t>,</w:t>
      </w:r>
      <w:r w:rsidR="00BE06B2">
        <w:rPr>
          <w:rFonts w:ascii="宋体" w:hAnsi="宋体" w:hint="eastAsia"/>
          <w:sz w:val="24"/>
        </w:rPr>
        <w:t>0</w:t>
      </w:r>
      <w:r>
        <w:rPr>
          <w:rFonts w:ascii="宋体" w:hAnsi="宋体"/>
          <w:sz w:val="24"/>
        </w:rPr>
        <w:t>00,000元通过基金管理人的直销柜台申购本基金的A类基金份额，假设申购当日A类基金份额净值为1.0400元，申购费率为0.</w:t>
      </w:r>
      <w:r w:rsidR="0019451E">
        <w:rPr>
          <w:rFonts w:ascii="宋体" w:hAnsi="宋体"/>
          <w:sz w:val="24"/>
        </w:rPr>
        <w:t>10</w:t>
      </w:r>
      <w:r>
        <w:rPr>
          <w:rFonts w:ascii="宋体" w:hAnsi="宋体"/>
          <w:sz w:val="24"/>
        </w:rPr>
        <w:t>%，则其可得到的申购份额为：</w:t>
      </w:r>
    </w:p>
    <w:p w14:paraId="20C71F91" w14:textId="4546BB81"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申购总金额＝1</w:t>
      </w:r>
      <w:r w:rsidR="00BE06B2">
        <w:rPr>
          <w:rFonts w:ascii="宋体" w:hAnsi="宋体" w:hint="eastAsia"/>
          <w:sz w:val="24"/>
        </w:rPr>
        <w:t>,</w:t>
      </w:r>
      <w:r w:rsidR="00BE06B2">
        <w:rPr>
          <w:rFonts w:ascii="宋体" w:hAnsi="宋体"/>
          <w:sz w:val="24"/>
        </w:rPr>
        <w:t>0</w:t>
      </w:r>
      <w:r>
        <w:rPr>
          <w:rFonts w:ascii="宋体" w:hAnsi="宋体"/>
          <w:sz w:val="24"/>
        </w:rPr>
        <w:t>00,000元</w:t>
      </w:r>
    </w:p>
    <w:p w14:paraId="1212C443" w14:textId="7E3799C5"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净申购金额=1</w:t>
      </w:r>
      <w:r w:rsidR="00BE06B2">
        <w:rPr>
          <w:rFonts w:ascii="宋体" w:hAnsi="宋体"/>
          <w:sz w:val="24"/>
        </w:rPr>
        <w:t>,0</w:t>
      </w:r>
      <w:r>
        <w:rPr>
          <w:rFonts w:ascii="宋体" w:hAnsi="宋体"/>
          <w:sz w:val="24"/>
        </w:rPr>
        <w:t>00,000/（1+0.</w:t>
      </w:r>
      <w:r w:rsidR="0019451E">
        <w:rPr>
          <w:rFonts w:ascii="宋体" w:hAnsi="宋体"/>
          <w:sz w:val="24"/>
        </w:rPr>
        <w:t>10</w:t>
      </w:r>
      <w:r>
        <w:rPr>
          <w:rFonts w:ascii="宋体" w:hAnsi="宋体"/>
          <w:sz w:val="24"/>
        </w:rPr>
        <w:t>%）=</w:t>
      </w:r>
      <w:r w:rsidR="0019451E" w:rsidRPr="0019451E">
        <w:rPr>
          <w:rFonts w:ascii="宋体" w:hAnsi="宋体"/>
          <w:sz w:val="24"/>
        </w:rPr>
        <w:t xml:space="preserve">999,001.00 </w:t>
      </w:r>
      <w:r>
        <w:rPr>
          <w:rFonts w:ascii="宋体" w:hAnsi="宋体"/>
          <w:sz w:val="24"/>
        </w:rPr>
        <w:t>元</w:t>
      </w:r>
    </w:p>
    <w:p w14:paraId="74FFF5DC" w14:textId="144D5C75"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申购费用=1</w:t>
      </w:r>
      <w:r w:rsidR="00BE06B2">
        <w:rPr>
          <w:rFonts w:ascii="宋体" w:hAnsi="宋体"/>
          <w:sz w:val="24"/>
        </w:rPr>
        <w:t>,0</w:t>
      </w:r>
      <w:r>
        <w:rPr>
          <w:rFonts w:ascii="宋体" w:hAnsi="宋体"/>
          <w:sz w:val="24"/>
        </w:rPr>
        <w:t>00,000-</w:t>
      </w:r>
      <w:r w:rsidR="0019451E" w:rsidRPr="0019451E">
        <w:rPr>
          <w:rFonts w:ascii="宋体" w:hAnsi="宋体"/>
          <w:sz w:val="24"/>
        </w:rPr>
        <w:t>999,001.00</w:t>
      </w:r>
      <w:r>
        <w:rPr>
          <w:rFonts w:ascii="宋体" w:hAnsi="宋体"/>
          <w:sz w:val="24"/>
        </w:rPr>
        <w:t>=</w:t>
      </w:r>
      <w:r w:rsidR="0019451E">
        <w:rPr>
          <w:rFonts w:ascii="宋体" w:hAnsi="宋体"/>
          <w:sz w:val="24"/>
        </w:rPr>
        <w:t>999.00</w:t>
      </w:r>
      <w:r>
        <w:rPr>
          <w:rFonts w:ascii="宋体" w:hAnsi="宋体"/>
          <w:sz w:val="24"/>
        </w:rPr>
        <w:t>元</w:t>
      </w:r>
    </w:p>
    <w:p w14:paraId="1A87E99E" w14:textId="23FDB555"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申购份额=（1</w:t>
      </w:r>
      <w:r w:rsidR="00BE06B2">
        <w:rPr>
          <w:rFonts w:ascii="宋体" w:hAnsi="宋体"/>
          <w:sz w:val="24"/>
        </w:rPr>
        <w:t>,0</w:t>
      </w:r>
      <w:r>
        <w:rPr>
          <w:rFonts w:ascii="宋体" w:hAnsi="宋体"/>
          <w:sz w:val="24"/>
        </w:rPr>
        <w:t>00,000-</w:t>
      </w:r>
      <w:r w:rsidR="0019451E">
        <w:rPr>
          <w:rFonts w:ascii="宋体" w:hAnsi="宋体"/>
          <w:sz w:val="24"/>
        </w:rPr>
        <w:t>999.00</w:t>
      </w:r>
      <w:r>
        <w:rPr>
          <w:rFonts w:ascii="宋体" w:hAnsi="宋体"/>
          <w:sz w:val="24"/>
        </w:rPr>
        <w:t>）/1.0400=</w:t>
      </w:r>
      <w:r w:rsidR="0019451E">
        <w:rPr>
          <w:rFonts w:ascii="宋体" w:hAnsi="宋体"/>
          <w:sz w:val="24"/>
        </w:rPr>
        <w:t>960,577.88</w:t>
      </w:r>
      <w:r>
        <w:rPr>
          <w:rFonts w:ascii="宋体" w:hAnsi="宋体"/>
          <w:sz w:val="24"/>
        </w:rPr>
        <w:t>份</w:t>
      </w:r>
    </w:p>
    <w:p w14:paraId="6B1A0D11" w14:textId="57223A32"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即：该养老金客户投资1</w:t>
      </w:r>
      <w:r w:rsidR="00BE06B2">
        <w:rPr>
          <w:rFonts w:ascii="宋体" w:hAnsi="宋体"/>
          <w:sz w:val="24"/>
        </w:rPr>
        <w:t>,0</w:t>
      </w:r>
      <w:r>
        <w:rPr>
          <w:rFonts w:ascii="宋体" w:hAnsi="宋体"/>
          <w:sz w:val="24"/>
        </w:rPr>
        <w:t>00,000元通过基金管理人的直销柜台申购本基金的A类基金份额，假设申购当日A类基金份额净值为1.0400元，则其可得到</w:t>
      </w:r>
      <w:r w:rsidR="0019451E">
        <w:rPr>
          <w:rFonts w:ascii="宋体" w:hAnsi="宋体"/>
          <w:sz w:val="24"/>
        </w:rPr>
        <w:t>960,577.88</w:t>
      </w:r>
      <w:r>
        <w:rPr>
          <w:rFonts w:ascii="宋体" w:hAnsi="宋体"/>
          <w:sz w:val="24"/>
        </w:rPr>
        <w:t>份A类基金份额。</w:t>
      </w:r>
    </w:p>
    <w:p w14:paraId="617427A1"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（2）C类基金份额的申购</w:t>
      </w:r>
    </w:p>
    <w:p w14:paraId="40213F67"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如果投资者选择申购C类基金份额，则申购份额的计算方法如下：</w:t>
      </w:r>
    </w:p>
    <w:p w14:paraId="568A2C2E"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申购总金额=</w:t>
      </w:r>
      <w:proofErr w:type="gramStart"/>
      <w:r>
        <w:rPr>
          <w:rFonts w:ascii="宋体" w:hAnsi="宋体"/>
          <w:sz w:val="24"/>
        </w:rPr>
        <w:t>申请总</w:t>
      </w:r>
      <w:proofErr w:type="gramEnd"/>
      <w:r>
        <w:rPr>
          <w:rFonts w:ascii="宋体" w:hAnsi="宋体"/>
          <w:sz w:val="24"/>
        </w:rPr>
        <w:t>金额</w:t>
      </w:r>
    </w:p>
    <w:p w14:paraId="0DCDD1C8"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申购份额=申购总金额/T日C类基金份额净值</w:t>
      </w:r>
    </w:p>
    <w:p w14:paraId="2BF59CCE" w14:textId="571F7278"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w:t>
      </w:r>
      <w:r w:rsidR="00BE06B2">
        <w:rPr>
          <w:rFonts w:ascii="宋体" w:hAnsi="宋体" w:hint="eastAsia"/>
          <w:sz w:val="24"/>
        </w:rPr>
        <w:t>三</w:t>
      </w:r>
      <w:r>
        <w:rPr>
          <w:rFonts w:ascii="宋体" w:hAnsi="宋体"/>
          <w:sz w:val="24"/>
        </w:rPr>
        <w:t>：某投资者投资100,000元申购本基金的C类基金份额，假设申购当日C类基金份额净值为1.0400元，则其可得到的申购份额为：</w:t>
      </w:r>
    </w:p>
    <w:p w14:paraId="088D58B1"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申购份额＝100,000/1.0400＝96,153.85份</w:t>
      </w:r>
    </w:p>
    <w:p w14:paraId="31902736"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即：投资者投资100,000元申购本基金的C类基金份额，假设申购当日C类基金份额净值为1.0400元，则其可得到96,153.85份C类基金份额。</w:t>
      </w:r>
    </w:p>
    <w:p w14:paraId="700D6266" w14:textId="77777777" w:rsidR="00BE06B2" w:rsidRDefault="00BE06B2" w:rsidP="00BE06B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（3）D类基金份额的申购</w:t>
      </w:r>
    </w:p>
    <w:p w14:paraId="4C84E7C1" w14:textId="77777777" w:rsidR="00BE06B2" w:rsidRDefault="00BE06B2" w:rsidP="00BE06B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如果投资者选择申购</w:t>
      </w:r>
      <w:r>
        <w:rPr>
          <w:rFonts w:ascii="宋体" w:hAnsi="宋体" w:hint="eastAsia"/>
          <w:sz w:val="24"/>
        </w:rPr>
        <w:t>D</w:t>
      </w:r>
      <w:r>
        <w:rPr>
          <w:rFonts w:ascii="宋体" w:hAnsi="宋体"/>
          <w:sz w:val="24"/>
        </w:rPr>
        <w:t>类基金份额，则申购份额的计算方法如下：</w:t>
      </w:r>
    </w:p>
    <w:p w14:paraId="21BBA4F7" w14:textId="77777777" w:rsidR="00BE06B2" w:rsidRDefault="00BE06B2" w:rsidP="00BE06B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申购总金额=</w:t>
      </w:r>
      <w:proofErr w:type="gramStart"/>
      <w:r>
        <w:rPr>
          <w:rFonts w:ascii="宋体" w:hAnsi="宋体"/>
          <w:sz w:val="24"/>
        </w:rPr>
        <w:t>申请总</w:t>
      </w:r>
      <w:proofErr w:type="gramEnd"/>
      <w:r>
        <w:rPr>
          <w:rFonts w:ascii="宋体" w:hAnsi="宋体"/>
          <w:sz w:val="24"/>
        </w:rPr>
        <w:t>金额</w:t>
      </w:r>
    </w:p>
    <w:p w14:paraId="36B46701" w14:textId="77777777" w:rsidR="00BE06B2" w:rsidRDefault="00BE06B2" w:rsidP="00BE06B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净申购金额=申购总金额/（1+申购费率）</w:t>
      </w:r>
    </w:p>
    <w:p w14:paraId="41E071F2" w14:textId="77777777" w:rsidR="00BE06B2" w:rsidRDefault="00BE06B2" w:rsidP="00BE06B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（注：对于适用固定金额申购费用的申购，净申购金额＝申购总金额－固定申购费用金额）</w:t>
      </w:r>
    </w:p>
    <w:p w14:paraId="5A802FEC" w14:textId="77777777" w:rsidR="00BE06B2" w:rsidRDefault="00BE06B2" w:rsidP="00BE06B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申购费用=申购总金额-净申购金额</w:t>
      </w:r>
    </w:p>
    <w:p w14:paraId="02BB56DE" w14:textId="77777777" w:rsidR="00BE06B2" w:rsidRDefault="00BE06B2" w:rsidP="00BE06B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（注：对于适用固定金额申购费用的申购，申购费用＝固定申购费用金额）</w:t>
      </w:r>
    </w:p>
    <w:p w14:paraId="680025DD" w14:textId="2A4510F4" w:rsidR="00BE06B2" w:rsidRDefault="00BE06B2" w:rsidP="00BE06B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申购份额=</w:t>
      </w:r>
      <w:r w:rsidR="001F3C2F" w:rsidRPr="001F3C2F">
        <w:rPr>
          <w:rFonts w:ascii="宋体" w:hAnsi="宋体" w:hint="eastAsia"/>
          <w:sz w:val="24"/>
        </w:rPr>
        <w:t>净申购金额</w:t>
      </w:r>
      <w:r>
        <w:rPr>
          <w:rFonts w:ascii="宋体" w:hAnsi="宋体"/>
          <w:sz w:val="24"/>
        </w:rPr>
        <w:t>/T日</w:t>
      </w:r>
      <w:r>
        <w:rPr>
          <w:rFonts w:ascii="宋体" w:hAnsi="宋体" w:hint="eastAsia"/>
          <w:sz w:val="24"/>
        </w:rPr>
        <w:t>D</w:t>
      </w:r>
      <w:r>
        <w:rPr>
          <w:rFonts w:ascii="宋体" w:hAnsi="宋体"/>
          <w:sz w:val="24"/>
        </w:rPr>
        <w:t>类基金份额净值</w:t>
      </w:r>
    </w:p>
    <w:p w14:paraId="68B9775C" w14:textId="25602DEC" w:rsidR="00BE06B2" w:rsidRDefault="00BE06B2" w:rsidP="00BE06B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w:t>
      </w:r>
      <w:r>
        <w:rPr>
          <w:rFonts w:ascii="宋体" w:hAnsi="宋体" w:hint="eastAsia"/>
          <w:sz w:val="24"/>
        </w:rPr>
        <w:t>四</w:t>
      </w:r>
      <w:r>
        <w:rPr>
          <w:rFonts w:ascii="宋体" w:hAnsi="宋体"/>
          <w:sz w:val="24"/>
        </w:rPr>
        <w:t>：某投资者（非养老金客户）投资100,000元申购本基金的D类基金份额，假设申购当日D类基金份额净值为1.0400元，申购费率为0.9%，则其可得到的申购份额为：</w:t>
      </w:r>
    </w:p>
    <w:p w14:paraId="2E2500BB" w14:textId="77777777" w:rsidR="00BE06B2" w:rsidRDefault="00BE06B2" w:rsidP="00BE06B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申购总金额＝100,000元</w:t>
      </w:r>
    </w:p>
    <w:p w14:paraId="5C99C685" w14:textId="1A8498DB" w:rsidR="00BE06B2" w:rsidRDefault="00BE06B2" w:rsidP="00BE06B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净申购金额=100,000/（1+0.9%）=</w:t>
      </w:r>
      <w:r w:rsidRPr="00BE06B2">
        <w:rPr>
          <w:rFonts w:ascii="宋体" w:hAnsi="宋体"/>
          <w:sz w:val="24"/>
        </w:rPr>
        <w:t>99,108.03</w:t>
      </w:r>
      <w:r>
        <w:rPr>
          <w:rFonts w:ascii="宋体" w:hAnsi="宋体"/>
          <w:sz w:val="24"/>
        </w:rPr>
        <w:t>元</w:t>
      </w:r>
    </w:p>
    <w:p w14:paraId="1261CC30" w14:textId="2BBE0D43" w:rsidR="00BE06B2" w:rsidRDefault="00BE06B2" w:rsidP="00BE06B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申购费用=100,000-</w:t>
      </w:r>
      <w:r w:rsidRPr="00BE06B2">
        <w:rPr>
          <w:rFonts w:ascii="宋体" w:hAnsi="宋体"/>
          <w:sz w:val="24"/>
        </w:rPr>
        <w:t>99,108.03</w:t>
      </w:r>
      <w:r>
        <w:rPr>
          <w:rFonts w:ascii="宋体" w:hAnsi="宋体"/>
          <w:sz w:val="24"/>
        </w:rPr>
        <w:t>=</w:t>
      </w:r>
      <w:r w:rsidRPr="00BE06B2">
        <w:rPr>
          <w:rFonts w:ascii="宋体" w:hAnsi="宋体"/>
          <w:sz w:val="24"/>
        </w:rPr>
        <w:t>891.97</w:t>
      </w:r>
      <w:r>
        <w:rPr>
          <w:rFonts w:ascii="宋体" w:hAnsi="宋体"/>
          <w:sz w:val="24"/>
        </w:rPr>
        <w:t>元</w:t>
      </w:r>
    </w:p>
    <w:p w14:paraId="4CE3082E" w14:textId="0BFCDC81" w:rsidR="00BE06B2" w:rsidRDefault="00BE06B2" w:rsidP="00BE06B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申购份额=</w:t>
      </w:r>
      <w:r w:rsidR="001F3C2F" w:rsidRPr="001F3C2F">
        <w:rPr>
          <w:rFonts w:ascii="宋体" w:hAnsi="宋体"/>
          <w:sz w:val="24"/>
        </w:rPr>
        <w:t>99,108.03</w:t>
      </w:r>
      <w:r>
        <w:rPr>
          <w:rFonts w:ascii="宋体" w:hAnsi="宋体"/>
          <w:sz w:val="24"/>
        </w:rPr>
        <w:t>/1.0400=</w:t>
      </w:r>
      <w:r w:rsidRPr="00BE06B2">
        <w:rPr>
          <w:rFonts w:ascii="宋体" w:hAnsi="宋体"/>
          <w:sz w:val="24"/>
        </w:rPr>
        <w:t>95,296.18</w:t>
      </w:r>
      <w:r>
        <w:rPr>
          <w:rFonts w:ascii="宋体" w:hAnsi="宋体"/>
          <w:sz w:val="24"/>
        </w:rPr>
        <w:t>份</w:t>
      </w:r>
    </w:p>
    <w:p w14:paraId="3CBDB623" w14:textId="37F1E988" w:rsidR="00BE06B2" w:rsidRDefault="00BE06B2" w:rsidP="00BE06B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即：某投资者（非养老金客户）投资100,000元申购本基金</w:t>
      </w:r>
      <w:r w:rsidR="003A7C28">
        <w:rPr>
          <w:rFonts w:ascii="宋体" w:hAnsi="宋体" w:hint="eastAsia"/>
          <w:sz w:val="24"/>
        </w:rPr>
        <w:t>D类基金份额</w:t>
      </w:r>
      <w:r>
        <w:rPr>
          <w:rFonts w:ascii="宋体" w:hAnsi="宋体"/>
          <w:sz w:val="24"/>
        </w:rPr>
        <w:t>，假设申购当日</w:t>
      </w:r>
      <w:r>
        <w:rPr>
          <w:rFonts w:ascii="宋体" w:hAnsi="宋体" w:hint="eastAsia"/>
          <w:sz w:val="24"/>
        </w:rPr>
        <w:t>D</w:t>
      </w:r>
      <w:r>
        <w:rPr>
          <w:rFonts w:ascii="宋体" w:hAnsi="宋体"/>
          <w:sz w:val="24"/>
        </w:rPr>
        <w:t>类基金份额净值为1.0400元，则其可得到</w:t>
      </w:r>
      <w:r w:rsidRPr="00BE06B2">
        <w:rPr>
          <w:rFonts w:ascii="宋体" w:hAnsi="宋体"/>
          <w:sz w:val="24"/>
        </w:rPr>
        <w:t>95,296.18</w:t>
      </w:r>
      <w:r>
        <w:rPr>
          <w:rFonts w:ascii="宋体" w:hAnsi="宋体"/>
          <w:sz w:val="24"/>
        </w:rPr>
        <w:t>份D类基金份额。</w:t>
      </w:r>
    </w:p>
    <w:p w14:paraId="550125FE" w14:textId="1663B1AD" w:rsidR="00BE06B2" w:rsidRDefault="00BE06B2" w:rsidP="00BE06B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w:t>
      </w:r>
      <w:r>
        <w:rPr>
          <w:rFonts w:ascii="宋体" w:hAnsi="宋体" w:hint="eastAsia"/>
          <w:sz w:val="24"/>
        </w:rPr>
        <w:t>五</w:t>
      </w:r>
      <w:r>
        <w:rPr>
          <w:rFonts w:ascii="宋体" w:hAnsi="宋体"/>
          <w:sz w:val="24"/>
        </w:rPr>
        <w:t>：某养老金客户投资1</w:t>
      </w:r>
      <w:r w:rsidR="00002090">
        <w:rPr>
          <w:rFonts w:ascii="宋体" w:hAnsi="宋体"/>
          <w:sz w:val="24"/>
        </w:rPr>
        <w:t>,0</w:t>
      </w:r>
      <w:r>
        <w:rPr>
          <w:rFonts w:ascii="宋体" w:hAnsi="宋体"/>
          <w:sz w:val="24"/>
        </w:rPr>
        <w:t>00,000元通过基金管理人的直销柜台申购本基金的D类基金份额，假设申购当日D类基金份额净值为1.0400元，申购费率为0.1</w:t>
      </w:r>
      <w:r w:rsidR="00002090">
        <w:rPr>
          <w:rFonts w:ascii="宋体" w:hAnsi="宋体"/>
          <w:sz w:val="24"/>
        </w:rPr>
        <w:t>2</w:t>
      </w:r>
      <w:r>
        <w:rPr>
          <w:rFonts w:ascii="宋体" w:hAnsi="宋体"/>
          <w:sz w:val="24"/>
        </w:rPr>
        <w:t>%，则其可得到的申购份额为：</w:t>
      </w:r>
    </w:p>
    <w:p w14:paraId="281B73D7" w14:textId="28B95D65" w:rsidR="00BE06B2" w:rsidRDefault="00BE06B2" w:rsidP="00BE06B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申购总金额＝1</w:t>
      </w:r>
      <w:r w:rsidR="00002090">
        <w:rPr>
          <w:rFonts w:ascii="宋体" w:hAnsi="宋体"/>
          <w:sz w:val="24"/>
        </w:rPr>
        <w:t>,0</w:t>
      </w:r>
      <w:r>
        <w:rPr>
          <w:rFonts w:ascii="宋体" w:hAnsi="宋体"/>
          <w:sz w:val="24"/>
        </w:rPr>
        <w:t>00,000元</w:t>
      </w:r>
    </w:p>
    <w:p w14:paraId="4037CE88" w14:textId="63039805" w:rsidR="00BE06B2" w:rsidRDefault="00BE06B2" w:rsidP="00BE06B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净申购金额=1</w:t>
      </w:r>
      <w:r w:rsidR="00002090">
        <w:rPr>
          <w:rFonts w:ascii="宋体" w:hAnsi="宋体"/>
          <w:sz w:val="24"/>
        </w:rPr>
        <w:t>,0</w:t>
      </w:r>
      <w:r>
        <w:rPr>
          <w:rFonts w:ascii="宋体" w:hAnsi="宋体"/>
          <w:sz w:val="24"/>
        </w:rPr>
        <w:t>00,000/（1+0.1</w:t>
      </w:r>
      <w:r w:rsidR="00002090">
        <w:rPr>
          <w:rFonts w:ascii="宋体" w:hAnsi="宋体"/>
          <w:sz w:val="24"/>
        </w:rPr>
        <w:t>2</w:t>
      </w:r>
      <w:r>
        <w:rPr>
          <w:rFonts w:ascii="宋体" w:hAnsi="宋体"/>
          <w:sz w:val="24"/>
        </w:rPr>
        <w:t>%）=</w:t>
      </w:r>
      <w:r w:rsidR="00002090" w:rsidRPr="00002090">
        <w:rPr>
          <w:rFonts w:ascii="宋体" w:hAnsi="宋体"/>
          <w:sz w:val="24"/>
        </w:rPr>
        <w:t>998,801.44</w:t>
      </w:r>
      <w:r>
        <w:rPr>
          <w:rFonts w:ascii="宋体" w:hAnsi="宋体"/>
          <w:sz w:val="24"/>
        </w:rPr>
        <w:t>元</w:t>
      </w:r>
    </w:p>
    <w:p w14:paraId="37FAFF90" w14:textId="6FCE4192" w:rsidR="00BE06B2" w:rsidRDefault="00BE06B2" w:rsidP="00BE06B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申购费用=1</w:t>
      </w:r>
      <w:r w:rsidR="00002090">
        <w:rPr>
          <w:rFonts w:ascii="宋体" w:hAnsi="宋体"/>
          <w:sz w:val="24"/>
        </w:rPr>
        <w:t>,0</w:t>
      </w:r>
      <w:r>
        <w:rPr>
          <w:rFonts w:ascii="宋体" w:hAnsi="宋体"/>
          <w:sz w:val="24"/>
        </w:rPr>
        <w:t>00,000-</w:t>
      </w:r>
      <w:r w:rsidR="00002090" w:rsidRPr="00002090">
        <w:rPr>
          <w:rFonts w:ascii="宋体" w:hAnsi="宋体"/>
          <w:sz w:val="24"/>
        </w:rPr>
        <w:t>998,801.44</w:t>
      </w:r>
      <w:r>
        <w:rPr>
          <w:rFonts w:ascii="宋体" w:hAnsi="宋体"/>
          <w:sz w:val="24"/>
        </w:rPr>
        <w:t>=</w:t>
      </w:r>
      <w:r w:rsidR="00002090" w:rsidRPr="00002090">
        <w:rPr>
          <w:rFonts w:ascii="宋体" w:hAnsi="宋体"/>
          <w:sz w:val="24"/>
        </w:rPr>
        <w:t>1,198.56</w:t>
      </w:r>
      <w:r>
        <w:rPr>
          <w:rFonts w:ascii="宋体" w:hAnsi="宋体"/>
          <w:sz w:val="24"/>
        </w:rPr>
        <w:t>元</w:t>
      </w:r>
    </w:p>
    <w:p w14:paraId="332B0E15" w14:textId="17AECD17" w:rsidR="00BE06B2" w:rsidRDefault="00BE06B2" w:rsidP="00BE06B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申购份额=（1</w:t>
      </w:r>
      <w:r w:rsidR="00002090">
        <w:rPr>
          <w:rFonts w:ascii="宋体" w:hAnsi="宋体"/>
          <w:sz w:val="24"/>
        </w:rPr>
        <w:t>,0</w:t>
      </w:r>
      <w:r>
        <w:rPr>
          <w:rFonts w:ascii="宋体" w:hAnsi="宋体"/>
          <w:sz w:val="24"/>
        </w:rPr>
        <w:t>00,000-</w:t>
      </w:r>
      <w:r w:rsidR="00002090" w:rsidRPr="00002090">
        <w:rPr>
          <w:rFonts w:ascii="宋体" w:hAnsi="宋体"/>
          <w:sz w:val="24"/>
        </w:rPr>
        <w:t>1,198.56</w:t>
      </w:r>
      <w:r>
        <w:rPr>
          <w:rFonts w:ascii="宋体" w:hAnsi="宋体"/>
          <w:sz w:val="24"/>
        </w:rPr>
        <w:t>）/1.0400=</w:t>
      </w:r>
      <w:r w:rsidR="00002090" w:rsidRPr="00002090">
        <w:rPr>
          <w:rFonts w:ascii="宋体" w:hAnsi="宋体"/>
          <w:sz w:val="24"/>
        </w:rPr>
        <w:t>960,386.00</w:t>
      </w:r>
      <w:r>
        <w:rPr>
          <w:rFonts w:ascii="宋体" w:hAnsi="宋体"/>
          <w:sz w:val="24"/>
        </w:rPr>
        <w:t>份</w:t>
      </w:r>
    </w:p>
    <w:p w14:paraId="15C7FC25" w14:textId="41D5099B" w:rsidR="00BE06B2" w:rsidRPr="00C5414D" w:rsidRDefault="00BE06B2" w:rsidP="00BE06B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即：该养老金客户投资1</w:t>
      </w:r>
      <w:r w:rsidR="00002090">
        <w:rPr>
          <w:rFonts w:ascii="宋体" w:hAnsi="宋体"/>
          <w:sz w:val="24"/>
        </w:rPr>
        <w:t>,0</w:t>
      </w:r>
      <w:r>
        <w:rPr>
          <w:rFonts w:ascii="宋体" w:hAnsi="宋体"/>
          <w:sz w:val="24"/>
        </w:rPr>
        <w:t>00,000元通过基金管理人的直销柜台申购本基金的</w:t>
      </w:r>
      <w:r>
        <w:rPr>
          <w:rFonts w:ascii="宋体" w:hAnsi="宋体" w:hint="eastAsia"/>
          <w:sz w:val="24"/>
        </w:rPr>
        <w:t>D</w:t>
      </w:r>
      <w:r>
        <w:rPr>
          <w:rFonts w:ascii="宋体" w:hAnsi="宋体"/>
          <w:sz w:val="24"/>
        </w:rPr>
        <w:t>类基金份额，假设申购当日D类基金份额净值为1.0400元，则其可得到</w:t>
      </w:r>
      <w:r w:rsidR="00002090" w:rsidRPr="00002090">
        <w:rPr>
          <w:rFonts w:ascii="宋体" w:hAnsi="宋体"/>
          <w:sz w:val="24"/>
        </w:rPr>
        <w:t>960,386.00</w:t>
      </w:r>
      <w:r>
        <w:rPr>
          <w:rFonts w:ascii="宋体" w:hAnsi="宋体"/>
          <w:sz w:val="24"/>
        </w:rPr>
        <w:t>份D类基金份额。</w:t>
      </w:r>
    </w:p>
    <w:p w14:paraId="023D2334"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3、赎回金额的计算</w:t>
      </w:r>
    </w:p>
    <w:p w14:paraId="7E7C3A88" w14:textId="5698C844"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A类基金份额</w:t>
      </w:r>
      <w:r w:rsidR="00E23FBA">
        <w:rPr>
          <w:rFonts w:ascii="宋体" w:hAnsi="宋体" w:hint="eastAsia"/>
          <w:sz w:val="24"/>
        </w:rPr>
        <w:t>、</w:t>
      </w:r>
      <w:r>
        <w:rPr>
          <w:rFonts w:ascii="宋体" w:hAnsi="宋体"/>
          <w:sz w:val="24"/>
        </w:rPr>
        <w:t>C类基金份额</w:t>
      </w:r>
      <w:r w:rsidR="00E23FBA">
        <w:rPr>
          <w:rFonts w:ascii="宋体" w:hAnsi="宋体" w:hint="eastAsia"/>
          <w:sz w:val="24"/>
        </w:rPr>
        <w:t>或D类基金份额</w:t>
      </w:r>
      <w:r>
        <w:rPr>
          <w:rFonts w:ascii="宋体" w:hAnsi="宋体"/>
          <w:sz w:val="24"/>
        </w:rPr>
        <w:t>的赎回金额为按实际确认的有效赎</w:t>
      </w:r>
      <w:r>
        <w:rPr>
          <w:rFonts w:ascii="宋体" w:hAnsi="宋体"/>
          <w:sz w:val="24"/>
        </w:rPr>
        <w:lastRenderedPageBreak/>
        <w:t>回份额乘以当日该类基金份额的基金份额净值并扣除相应的费用（如有），赎回金额单位为元，计算结果保留到小数点后两位，第三位四舍五入，由此产生的收益或损失由基金财产承担。</w:t>
      </w:r>
    </w:p>
    <w:p w14:paraId="7EDE7FE5"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（1）A类基金份额的赎回</w:t>
      </w:r>
    </w:p>
    <w:p w14:paraId="38DD7B23"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如果投资者赎回A类基金份额，则赎回金额的计算方法如下：</w:t>
      </w:r>
    </w:p>
    <w:p w14:paraId="23C9CCCD" w14:textId="3E47CBF1"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赎回费用=赎</w:t>
      </w:r>
      <w:r w:rsidR="005C7D3F">
        <w:rPr>
          <w:rFonts w:ascii="宋体" w:hAnsi="宋体" w:hint="eastAsia"/>
          <w:sz w:val="24"/>
        </w:rPr>
        <w:t>回</w:t>
      </w:r>
      <w:r>
        <w:rPr>
          <w:rFonts w:ascii="宋体" w:hAnsi="宋体"/>
          <w:sz w:val="24"/>
        </w:rPr>
        <w:t>份额×T日A类基金份额净值×赎回费率</w:t>
      </w:r>
    </w:p>
    <w:p w14:paraId="0FC29B35"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赎回金额=赎回份额×T日A类基金份额净值—赎回费用</w:t>
      </w:r>
    </w:p>
    <w:p w14:paraId="37C905B7" w14:textId="6367C453"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w:t>
      </w:r>
      <w:r w:rsidR="00EF6FB1">
        <w:rPr>
          <w:rFonts w:ascii="宋体" w:hAnsi="宋体" w:hint="eastAsia"/>
          <w:sz w:val="24"/>
        </w:rPr>
        <w:t>六</w:t>
      </w:r>
      <w:r>
        <w:rPr>
          <w:rFonts w:ascii="宋体" w:hAnsi="宋体"/>
          <w:sz w:val="24"/>
        </w:rPr>
        <w:t>：某投资者在持有期限为20天时赎回100,000份A类基金份额，对应的赎回费率为0.1%，假设赎回当日A类基金份额净值是1.0160元，则其可得到的赎回金额为：</w:t>
      </w:r>
    </w:p>
    <w:p w14:paraId="35ECFF91"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赎回费用=100,000×1.0160×0.1%＝101.60元</w:t>
      </w:r>
    </w:p>
    <w:p w14:paraId="60153F75"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赎回金额=100,000×1.0160-101.60＝101,498.40元</w:t>
      </w:r>
    </w:p>
    <w:p w14:paraId="2A3046EB"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即：投资者在持有期限为20天时赎回100,000份A类基金份额，对应的赎回费率为0.1%，假设赎回当日A类基金份额净值是1.0160元，则其可得到的赎回金额为101,498.40元。</w:t>
      </w:r>
    </w:p>
    <w:p w14:paraId="191D6FED"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（2）C类基金份额的赎回</w:t>
      </w:r>
    </w:p>
    <w:p w14:paraId="195BA6AD"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投资者赎回C类基金份额，赎回金额的计算方法如下：</w:t>
      </w:r>
    </w:p>
    <w:p w14:paraId="6C15EA93"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赎回费用=赎回份额×T日C类基金份额净值×赎回费率</w:t>
      </w:r>
    </w:p>
    <w:p w14:paraId="1FD4FE4B"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赎回金额=赎回份额×T日C类基金份额净值—赎回费用</w:t>
      </w:r>
    </w:p>
    <w:p w14:paraId="492C4482" w14:textId="1EE393F3"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w:t>
      </w:r>
      <w:r w:rsidR="001706D5">
        <w:rPr>
          <w:rFonts w:ascii="宋体" w:hAnsi="宋体" w:hint="eastAsia"/>
          <w:sz w:val="24"/>
        </w:rPr>
        <w:t>七</w:t>
      </w:r>
      <w:r>
        <w:rPr>
          <w:rFonts w:ascii="宋体" w:hAnsi="宋体"/>
          <w:sz w:val="24"/>
        </w:rPr>
        <w:t>：某投资者在持有期限为20天时赎回100,000份C类基金份额，对应的赎回费率为0.1%，假设赎回当日C类基金份额净值是1.0160元，则其可得到的赎回金额为：</w:t>
      </w:r>
    </w:p>
    <w:p w14:paraId="424D1115"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赎回费用=100,000×1.0160×0.1%＝101.60元</w:t>
      </w:r>
    </w:p>
    <w:p w14:paraId="21953503"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赎回金额=100,000×1.0160-101.60＝101,498.40元</w:t>
      </w:r>
    </w:p>
    <w:p w14:paraId="741F7A85"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即：投资者在持有期限为20天时赎回100,000份C类基金份额，对应的赎回费率为0.1%，假设赎回当日C类基金份额净值是1.0160元，则其可得到的赎回金额为101,498.40元。</w:t>
      </w:r>
    </w:p>
    <w:p w14:paraId="3EC09BB7" w14:textId="77777777" w:rsidR="00E23FBA" w:rsidRDefault="00E23FBA" w:rsidP="00E23FBA">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（3）D类基金份额的赎回</w:t>
      </w:r>
    </w:p>
    <w:p w14:paraId="7E2293AB" w14:textId="77777777" w:rsidR="00E23FBA" w:rsidRDefault="00E23FBA" w:rsidP="00E23FBA">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投资者赎回D类基金份额，赎回金额的计算方法如下：</w:t>
      </w:r>
    </w:p>
    <w:p w14:paraId="0F87FF4F" w14:textId="77777777" w:rsidR="00E23FBA" w:rsidRDefault="00E23FBA" w:rsidP="00E23FBA">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赎回费用=赎回份额×T日D类基金份额净值×赎回费率</w:t>
      </w:r>
    </w:p>
    <w:p w14:paraId="6F5A3AA9" w14:textId="77777777" w:rsidR="00E23FBA" w:rsidRDefault="00E23FBA" w:rsidP="00E23FBA">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赎回金额=赎回份额×T日D类基金份额净值-赎回费用</w:t>
      </w:r>
    </w:p>
    <w:p w14:paraId="738951BD" w14:textId="77777777" w:rsidR="00E23FBA" w:rsidRDefault="00E23FBA" w:rsidP="00E23FBA">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w:t>
      </w:r>
      <w:r>
        <w:rPr>
          <w:rFonts w:ascii="宋体" w:hAnsi="宋体" w:hint="eastAsia"/>
          <w:sz w:val="24"/>
        </w:rPr>
        <w:t>八</w:t>
      </w:r>
      <w:r>
        <w:rPr>
          <w:rFonts w:ascii="宋体" w:hAnsi="宋体"/>
          <w:sz w:val="24"/>
        </w:rPr>
        <w:t>：某投资者赎回100,000份D类基金份额，持有期限为10日，对应的赎回费率为0，假设赎回当日D类基金份额净值是1.0160元，则其可得到的赎回金额为：</w:t>
      </w:r>
    </w:p>
    <w:p w14:paraId="7611B2AC" w14:textId="77777777" w:rsidR="00E23FBA" w:rsidRDefault="00E23FBA" w:rsidP="00E23FBA">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赎回费用=100,000×1.0160×0＝0.00元</w:t>
      </w:r>
    </w:p>
    <w:p w14:paraId="200069CC" w14:textId="77777777" w:rsidR="00E23FBA" w:rsidRDefault="00E23FBA" w:rsidP="00E23FBA">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赎回金额=100,000×1.0160-0.00＝101,600.00元</w:t>
      </w:r>
    </w:p>
    <w:p w14:paraId="4AE76D95" w14:textId="77777777" w:rsidR="00E23FBA" w:rsidRDefault="00E23FBA" w:rsidP="00E23FBA">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即：投资者赎回100,000份D类基金份额，持有期限为10日，对应的赎回费率为0，假设赎回当日D类基金份额净值是1.0160元，则其可得到的赎回金额为101,600.00元。</w:t>
      </w:r>
    </w:p>
    <w:p w14:paraId="76AC36A0"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4、基金份额净值的计算公式</w:t>
      </w:r>
    </w:p>
    <w:p w14:paraId="47B89122"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A类基金份额净值＝A类基金份额的基金资产净值总额/发行在外的A类基金份额总数</w:t>
      </w:r>
    </w:p>
    <w:p w14:paraId="0EA4ACAE"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C类基金份额净值＝C类基金份额的基金资产净值总额/发行在外的C类基金份额总数</w:t>
      </w:r>
    </w:p>
    <w:p w14:paraId="32029AB8" w14:textId="77777777" w:rsidR="007D5E78" w:rsidRPr="005331D9" w:rsidRDefault="007D5E78" w:rsidP="007D5E78">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D类基金份额净值＝D类基金份额的基金资产净值总额/发行在外的D类基金份额总数</w:t>
      </w:r>
    </w:p>
    <w:p w14:paraId="5E815531" w14:textId="1BAF850E"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本基金T日的基金份额净值在当天收市后计算，并在T＋1日（包括该日）内公告。遇特殊情况，经中国证监会同意，可以适当延迟计算或公告。本基金A类基金份额</w:t>
      </w:r>
      <w:r w:rsidR="007D5E78">
        <w:rPr>
          <w:rFonts w:ascii="宋体" w:hAnsi="宋体" w:hint="eastAsia"/>
          <w:sz w:val="24"/>
        </w:rPr>
        <w:t>、</w:t>
      </w:r>
      <w:r>
        <w:rPr>
          <w:rFonts w:ascii="宋体" w:hAnsi="宋体"/>
          <w:sz w:val="24"/>
        </w:rPr>
        <w:t>C类基金份额</w:t>
      </w:r>
      <w:r w:rsidR="007D5E78">
        <w:rPr>
          <w:rFonts w:ascii="宋体" w:hAnsi="宋体" w:hint="eastAsia"/>
          <w:sz w:val="24"/>
        </w:rPr>
        <w:t>和D类基金份额</w:t>
      </w:r>
      <w:r>
        <w:rPr>
          <w:rFonts w:ascii="宋体" w:hAnsi="宋体"/>
          <w:sz w:val="24"/>
        </w:rPr>
        <w:t>的基金份额净值的计算，</w:t>
      </w:r>
      <w:r w:rsidR="007D5E78">
        <w:rPr>
          <w:rFonts w:ascii="宋体" w:hAnsi="宋体" w:hint="eastAsia"/>
          <w:sz w:val="24"/>
        </w:rPr>
        <w:t>均</w:t>
      </w:r>
      <w:r>
        <w:rPr>
          <w:rFonts w:ascii="宋体" w:hAnsi="宋体"/>
          <w:sz w:val="24"/>
        </w:rPr>
        <w:t>保留到小数点后4位，小数点后第5位四舍五入，由此误差产生的收益或损失由基金财产承担。</w:t>
      </w:r>
    </w:p>
    <w:p w14:paraId="22AE2BAB" w14:textId="77777777" w:rsidR="001F702C" w:rsidRDefault="00BD18A1">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（八）拒绝或暂停申购的情形</w:t>
      </w:r>
    </w:p>
    <w:p w14:paraId="0ECE040F"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发生下列情况时，基金管理人可拒绝或暂停接受投资人的申购申请：</w:t>
      </w:r>
    </w:p>
    <w:p w14:paraId="107E6B20"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1、因不可抗力导致基金无法正常运作。</w:t>
      </w:r>
    </w:p>
    <w:p w14:paraId="5CE05C87"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2、发生基金合同规定的暂停基金资产估值情况时，基金管理人可暂停接受投资人的申购申请。</w:t>
      </w:r>
    </w:p>
    <w:p w14:paraId="264A7FD6"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3、证券交易所交易时间非正常停市，导致基金管理人无法计算当日基金资产净值。</w:t>
      </w:r>
    </w:p>
    <w:p w14:paraId="1316F196"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4、接受某笔或某些申购申请可能会影响或损害现有基金份额持有人利益时。</w:t>
      </w:r>
    </w:p>
    <w:p w14:paraId="723ECDD9"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5、基金资产规模过大，使基金管理人无法找到合适的投资品种，或其他可能对基金业绩产生负面影响，或出现其他损害现有基金份额持有人利益的情形。</w:t>
      </w:r>
    </w:p>
    <w:p w14:paraId="6E6BED2C"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6、基金管理人、基金托管人、基金销售机构、基金销售支付结算机构或登记</w:t>
      </w:r>
      <w:r>
        <w:rPr>
          <w:rFonts w:ascii="宋体" w:hAnsi="宋体"/>
          <w:sz w:val="24"/>
        </w:rPr>
        <w:lastRenderedPageBreak/>
        <w:t>机构的异常情况导致基金销售系统、基金销售支付结算系统、基金注册登记系统或基金会计系统无法正常运行。</w:t>
      </w:r>
    </w:p>
    <w:p w14:paraId="3D76AE31"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7、基金管理人接受某笔或者某些申购申请有可能导致单一投资者持有基金份额的比例超过50%，或者变相规避50%集中度的。出现上述情形时，基金管理人有权将上述申购申请全部或部分确认失败。</w:t>
      </w:r>
    </w:p>
    <w:p w14:paraId="0D05555C"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8、当前一估值日基金资产净值50%以上的资产出现无可参考的活跃市场价格且采用估值技术</w:t>
      </w:r>
      <w:proofErr w:type="gramStart"/>
      <w:r>
        <w:rPr>
          <w:rFonts w:ascii="宋体" w:hAnsi="宋体"/>
          <w:sz w:val="24"/>
        </w:rPr>
        <w:t>仍导致</w:t>
      </w:r>
      <w:proofErr w:type="gramEnd"/>
      <w:r>
        <w:rPr>
          <w:rFonts w:ascii="宋体" w:hAnsi="宋体"/>
          <w:sz w:val="24"/>
        </w:rPr>
        <w:t>公允价值存在重大不确定性时，经与基金托管人协商确认后，基金管理人应当暂停接受申购申请。</w:t>
      </w:r>
    </w:p>
    <w:p w14:paraId="20A86FCF"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9、基金合同约定、法律法规规定或中国证监会认定的其他情形。</w:t>
      </w:r>
    </w:p>
    <w:p w14:paraId="78D61351"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发生上述第1、2、3、5、6、8、9项暂停申购情形之一</w:t>
      </w:r>
      <w:proofErr w:type="gramStart"/>
      <w:r>
        <w:rPr>
          <w:rFonts w:ascii="宋体" w:hAnsi="宋体"/>
          <w:sz w:val="24"/>
        </w:rPr>
        <w:t>且基金</w:t>
      </w:r>
      <w:proofErr w:type="gramEnd"/>
      <w:r>
        <w:rPr>
          <w:rFonts w:ascii="宋体" w:hAnsi="宋体"/>
          <w:sz w:val="24"/>
        </w:rPr>
        <w:t>管理人决定暂停接受投资人的申购申请时，基金管理人应当根据有关规定在指定媒介上刊登暂停申购公告。如果投资人的申购申请被拒绝，被拒绝的申购款项将退还给投资人。在暂停申购的情况消除时，基金管理人应及时恢复申购业务的办理。</w:t>
      </w:r>
    </w:p>
    <w:p w14:paraId="47AFF054" w14:textId="77777777" w:rsidR="001F702C" w:rsidRDefault="00BD18A1">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（九）暂停赎回或延缓支付赎回款项的情形</w:t>
      </w:r>
    </w:p>
    <w:p w14:paraId="43A3A18E"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发生下列情形时，基金管理人可暂停接受投资人的赎回申请或延缓支付赎回款项：</w:t>
      </w:r>
    </w:p>
    <w:p w14:paraId="777992A8"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1、因不可抗力导致基金管理人不能支付赎回款项。</w:t>
      </w:r>
    </w:p>
    <w:p w14:paraId="0DFC4194"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2、发生基金合同规定的暂停基金资产估值情况时，基金管理人可暂停接受投资人的赎回申请或延缓支付赎回款项。</w:t>
      </w:r>
    </w:p>
    <w:p w14:paraId="216C78B3"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3、证券交易所交易时间非正常停市，导致基金管理人无法计算当日基金资产净值。</w:t>
      </w:r>
    </w:p>
    <w:p w14:paraId="595F2BC4"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4、连续两个或两个以上开放日发生巨额赎回。</w:t>
      </w:r>
    </w:p>
    <w:p w14:paraId="331ED5A5"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5、发生继续接受赎回申请将损害现有基金份额持有人利益的情形时，可暂停接受投资人的赎回申请。</w:t>
      </w:r>
    </w:p>
    <w:p w14:paraId="40F6F3CE"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6、基金管理人、基金托管人、基金销售机构、基金销售支付结算机构或登记机构的异常情况导致基金销售系统、基金销售支付结算系统、基金注册登记系统或基金会计系统无法正常运行。</w:t>
      </w:r>
    </w:p>
    <w:p w14:paraId="5CF41002"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7、当前一估值日基金资产净值50%以上的资产出现无可参考的活跃市场价格且采用估值技术</w:t>
      </w:r>
      <w:proofErr w:type="gramStart"/>
      <w:r>
        <w:rPr>
          <w:rFonts w:ascii="宋体" w:hAnsi="宋体"/>
          <w:sz w:val="24"/>
        </w:rPr>
        <w:t>仍导致</w:t>
      </w:r>
      <w:proofErr w:type="gramEnd"/>
      <w:r>
        <w:rPr>
          <w:rFonts w:ascii="宋体" w:hAnsi="宋体"/>
          <w:sz w:val="24"/>
        </w:rPr>
        <w:t>公允价值存在重大不确定性时，经与基金托管人协商确认后，基金管理人应当延缓支付赎回款项或暂停接受基金赎回申请。</w:t>
      </w:r>
    </w:p>
    <w:p w14:paraId="1A170554"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8、基金合同约定、法律法规规定或中国证监会认定的其他情形。</w:t>
      </w:r>
    </w:p>
    <w:p w14:paraId="003430E0"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发生上述情形之一</w:t>
      </w:r>
      <w:proofErr w:type="gramStart"/>
      <w:r>
        <w:rPr>
          <w:rFonts w:ascii="宋体" w:hAnsi="宋体"/>
          <w:sz w:val="24"/>
        </w:rPr>
        <w:t>且基金</w:t>
      </w:r>
      <w:proofErr w:type="gramEnd"/>
      <w:r>
        <w:rPr>
          <w:rFonts w:ascii="宋体" w:hAnsi="宋体"/>
          <w:sz w:val="24"/>
        </w:rPr>
        <w:t>管理人决定暂停接受投资人的赎回申请或延缓支付赎回款项时，基金管理人应在当日报中国证监会备案，已确认的赎回申请，基金管理人应足额支付；如暂时不能足额支付，应将可支付部分按单个账户申请量占申请总量的比例分配给赎回申请人，未支付部分可延期确认并支付，并以后续开放日的基金份额净值为依据计算赎回金额。若出现上述第4项所述情形，按基金合同的相关条款处理。基金份额持有人在申请赎回时可事先选择将当日可能未获受理部分予以撤销。在暂停赎回的情况消除时，基金管理人应及时恢复赎回业务的办理并公告。</w:t>
      </w:r>
    </w:p>
    <w:p w14:paraId="6D43AE2E" w14:textId="77777777" w:rsidR="001F702C" w:rsidRDefault="00BD18A1">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（十）巨额赎回的情形及处理方式</w:t>
      </w:r>
    </w:p>
    <w:p w14:paraId="587E0C61"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1、巨额赎回的认定</w:t>
      </w:r>
    </w:p>
    <w:p w14:paraId="76ADBC3A"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w:t>
      </w:r>
    </w:p>
    <w:p w14:paraId="021AF8DB"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2、巨额赎回的处理方式</w:t>
      </w:r>
    </w:p>
    <w:p w14:paraId="5FC99FBB"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当基金出现巨额赎回时，基金管理人可以根据基金当时的资产组合状况决定全额赎回或部分延期赎回。</w:t>
      </w:r>
    </w:p>
    <w:p w14:paraId="5501AF49"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（1）全额赎回：当基金管理人认为有能力支付投资人的全部赎回申请时，按正常赎回程序执行。</w:t>
      </w:r>
    </w:p>
    <w:p w14:paraId="3CAE7902" w14:textId="0172D4FE"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w:t>
      </w:r>
      <w:proofErr w:type="gramStart"/>
      <w:r>
        <w:rPr>
          <w:rFonts w:ascii="宋体" w:hAnsi="宋体"/>
          <w:sz w:val="24"/>
        </w:rPr>
        <w:t>并以下</w:t>
      </w:r>
      <w:proofErr w:type="gramEnd"/>
      <w:r>
        <w:rPr>
          <w:rFonts w:ascii="宋体" w:hAnsi="宋体"/>
          <w:sz w:val="24"/>
        </w:rPr>
        <w:t>一开放日的</w:t>
      </w:r>
      <w:r w:rsidR="00D57DD9">
        <w:rPr>
          <w:rFonts w:ascii="宋体" w:hAnsi="宋体" w:hint="eastAsia"/>
          <w:sz w:val="24"/>
        </w:rPr>
        <w:t>该类</w:t>
      </w:r>
      <w:r>
        <w:rPr>
          <w:rFonts w:ascii="宋体" w:hAnsi="宋体"/>
          <w:sz w:val="24"/>
        </w:rPr>
        <w:t>基金份额净值为基础计算赎回金额，以此类推，直到全部赎回为止。如投资人在提交赎回申请时未作明确选择，投资人未能赎回部分作自动延期赎回处理。</w:t>
      </w:r>
    </w:p>
    <w:p w14:paraId="0C651460" w14:textId="0495DC2F"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本基金发生巨额赎回且单个基金份额持有人的赎回申请超过上一日基金总份额</w:t>
      </w:r>
      <w:r>
        <w:rPr>
          <w:rFonts w:ascii="宋体" w:hAnsi="宋体"/>
          <w:sz w:val="24"/>
        </w:rPr>
        <w:lastRenderedPageBreak/>
        <w:t>20%的情形下，基金管理人有权采取如下措施：对于基金份额持有人当日超过20%的赎回申请，可以对其赎回申请延期办理；对于基金份额持有人未超过上述比例的部分，基金管理人可以根据前段“（1）全额赎回”或“（2）部分延期赎回”的约定方式与其他基金份额持有人的赎回申请一并办理。但是，如基金份额持有人在当日选择取消赎回，则其当日未获受理的部分赎回申请将被撤销。</w:t>
      </w:r>
    </w:p>
    <w:p w14:paraId="1CCB67C4"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暂停赎回：连续2个开放日以上（含本数）发生巨额赎回，如基金管理人认为有必要，可暂停接受基金的赎回申请；已经接受的赎回申请可以延缓支付赎回款项，但不得超过20个工作日，并应当在指定媒介上进行公告。</w:t>
      </w:r>
    </w:p>
    <w:p w14:paraId="42588938"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3、巨额赎回的公告</w:t>
      </w:r>
    </w:p>
    <w:p w14:paraId="5994F9F7"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当发生上述巨额赎回并延期办理时，基金管理人应当通过邮寄、传真、刊登公告或者通知销售机构代为告知等方式在3个交易日内通知基金份额持有人，说明有关处理方法，并在2日内在指定媒介上刊登公告。</w:t>
      </w:r>
    </w:p>
    <w:p w14:paraId="434663A7" w14:textId="77777777" w:rsidR="001F702C" w:rsidRDefault="00BD18A1">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（十一）暂停申购或赎回的公告和重新开放申购或赎回的公告</w:t>
      </w:r>
    </w:p>
    <w:p w14:paraId="7E69DF39"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1、发生上述暂停申购或赎回情况的，基金管理人应在规定期限内在指定媒介上刊登暂停公告。</w:t>
      </w:r>
    </w:p>
    <w:p w14:paraId="3EA57A94" w14:textId="1CDED922"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2、暂停结束，基金重新开放申购或赎回时，基金管理人应依照《信息披露办法》的有关规定，不迟于重新开放日，在指定媒介上刊登基金重新开放申购或赎回公告，并公布最近一个开放日</w:t>
      </w:r>
      <w:r w:rsidR="004F30E9">
        <w:rPr>
          <w:rFonts w:ascii="宋体" w:hAnsi="宋体" w:hint="eastAsia"/>
          <w:sz w:val="24"/>
        </w:rPr>
        <w:t>各类基金份额</w:t>
      </w:r>
      <w:r>
        <w:rPr>
          <w:rFonts w:ascii="宋体" w:hAnsi="宋体"/>
          <w:sz w:val="24"/>
        </w:rPr>
        <w:t>的基金份额净值。</w:t>
      </w:r>
    </w:p>
    <w:p w14:paraId="6D5C56C1" w14:textId="77777777" w:rsidR="001F702C" w:rsidRDefault="00BD18A1">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（十二）基金的</w:t>
      </w:r>
      <w:proofErr w:type="gramStart"/>
      <w:r w:rsidRPr="00BB248E">
        <w:rPr>
          <w:rFonts w:ascii="宋体" w:hAnsi="宋体" w:hint="eastAsia"/>
          <w:b/>
          <w:kern w:val="0"/>
          <w:sz w:val="24"/>
        </w:rPr>
        <w:t>非交易</w:t>
      </w:r>
      <w:proofErr w:type="gramEnd"/>
      <w:r w:rsidRPr="00BB248E">
        <w:rPr>
          <w:rFonts w:ascii="宋体" w:hAnsi="宋体" w:hint="eastAsia"/>
          <w:b/>
          <w:kern w:val="0"/>
          <w:sz w:val="24"/>
        </w:rPr>
        <w:t>过户</w:t>
      </w:r>
    </w:p>
    <w:p w14:paraId="0A7925E6"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基金的</w:t>
      </w:r>
      <w:proofErr w:type="gramStart"/>
      <w:r>
        <w:rPr>
          <w:rFonts w:ascii="宋体" w:hAnsi="宋体"/>
          <w:sz w:val="24"/>
        </w:rPr>
        <w:t>非交易</w:t>
      </w:r>
      <w:proofErr w:type="gramEnd"/>
      <w:r>
        <w:rPr>
          <w:rFonts w:ascii="宋体" w:hAnsi="宋体"/>
          <w:sz w:val="24"/>
        </w:rPr>
        <w:t>过户是指基金登记机构受理继承、捐赠和司法强制执行等情形而产生的</w:t>
      </w:r>
      <w:proofErr w:type="gramStart"/>
      <w:r>
        <w:rPr>
          <w:rFonts w:ascii="宋体" w:hAnsi="宋体"/>
          <w:sz w:val="24"/>
        </w:rPr>
        <w:t>非交易</w:t>
      </w:r>
      <w:proofErr w:type="gramEnd"/>
      <w:r>
        <w:rPr>
          <w:rFonts w:ascii="宋体" w:hAnsi="宋体"/>
          <w:sz w:val="24"/>
        </w:rPr>
        <w:t>过户以及登记机构认可、符合法律法规的其它</w:t>
      </w:r>
      <w:proofErr w:type="gramStart"/>
      <w:r>
        <w:rPr>
          <w:rFonts w:ascii="宋体" w:hAnsi="宋体"/>
          <w:sz w:val="24"/>
        </w:rPr>
        <w:t>非交易</w:t>
      </w:r>
      <w:proofErr w:type="gramEnd"/>
      <w:r>
        <w:rPr>
          <w:rFonts w:ascii="宋体" w:hAnsi="宋体"/>
          <w:sz w:val="24"/>
        </w:rPr>
        <w:t>过户。无论在上述何种情况下，接受划转的主体必须是依法可以持有本</w:t>
      </w:r>
      <w:proofErr w:type="gramStart"/>
      <w:r>
        <w:rPr>
          <w:rFonts w:ascii="宋体" w:hAnsi="宋体"/>
          <w:sz w:val="24"/>
        </w:rPr>
        <w:t>基金基金</w:t>
      </w:r>
      <w:proofErr w:type="gramEnd"/>
      <w:r>
        <w:rPr>
          <w:rFonts w:ascii="宋体" w:hAnsi="宋体"/>
          <w:sz w:val="24"/>
        </w:rPr>
        <w:t>份额的投资人。</w:t>
      </w:r>
    </w:p>
    <w:p w14:paraId="64AF9EBA"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继承是指基金份额持有人死亡，其持有的基金份额由其合法的继承人继承；</w:t>
      </w:r>
      <w:proofErr w:type="gramStart"/>
      <w:r>
        <w:rPr>
          <w:rFonts w:ascii="宋体" w:hAnsi="宋体"/>
          <w:sz w:val="24"/>
        </w:rPr>
        <w:t>捐赠指</w:t>
      </w:r>
      <w:proofErr w:type="gramEnd"/>
      <w:r>
        <w:rPr>
          <w:rFonts w:ascii="宋体" w:hAnsi="宋体"/>
          <w:sz w:val="24"/>
        </w:rPr>
        <w:t>基金份额持有人将其合法持有的基金份额捐赠给福利性质的基金会或社会团体；司法强制执行是指司法机构依据生效司法文书将基金份额持有人持有的基金份额强制划转给其他自然人、法人或其他组织。办理</w:t>
      </w:r>
      <w:proofErr w:type="gramStart"/>
      <w:r>
        <w:rPr>
          <w:rFonts w:ascii="宋体" w:hAnsi="宋体"/>
          <w:sz w:val="24"/>
        </w:rPr>
        <w:t>非交易</w:t>
      </w:r>
      <w:proofErr w:type="gramEnd"/>
      <w:r>
        <w:rPr>
          <w:rFonts w:ascii="宋体" w:hAnsi="宋体"/>
          <w:sz w:val="24"/>
        </w:rPr>
        <w:t>过户必须提供基金登记机构要求提供的相关资料，对于符合条件的</w:t>
      </w:r>
      <w:proofErr w:type="gramStart"/>
      <w:r>
        <w:rPr>
          <w:rFonts w:ascii="宋体" w:hAnsi="宋体"/>
          <w:sz w:val="24"/>
        </w:rPr>
        <w:t>非交易过户申请按</w:t>
      </w:r>
      <w:proofErr w:type="gramEnd"/>
      <w:r>
        <w:rPr>
          <w:rFonts w:ascii="宋体" w:hAnsi="宋体"/>
          <w:sz w:val="24"/>
        </w:rPr>
        <w:t>基金登记机构的规定办理，并按基金登记机构规定的标准收费。</w:t>
      </w:r>
    </w:p>
    <w:p w14:paraId="40692BEC" w14:textId="77777777" w:rsidR="001F702C" w:rsidRDefault="00BD18A1">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（十三）基金的转托管</w:t>
      </w:r>
    </w:p>
    <w:p w14:paraId="1DC6DB39"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基金份额持有人可办理已持有基金份额在不同销售机构之间的转托管，基金销</w:t>
      </w:r>
      <w:r>
        <w:rPr>
          <w:rFonts w:ascii="宋体" w:hAnsi="宋体"/>
          <w:sz w:val="24"/>
        </w:rPr>
        <w:lastRenderedPageBreak/>
        <w:t>售机构可以按照规定的标准收取转托管费。</w:t>
      </w:r>
    </w:p>
    <w:p w14:paraId="70D4CF0E" w14:textId="77777777" w:rsidR="001F702C" w:rsidRDefault="00BD18A1">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（十四）定期定额投资计划</w:t>
      </w:r>
    </w:p>
    <w:p w14:paraId="2F183284"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定期定额投资计划是基金申购业务的一种方式，投资人可通过向相关销售机构提交申请，约定每期申购日、扣款金额及扣款方式，由指定的销售机构在投资人指定资金账户内自动扣款并于每期约定的申购日提交基金的申购申请。定期定额投资计划并不构成对基金日常申购、赎回等业务的影响，投资人在办理相关基金定期定额投资计划的同时，仍然可以进行日常申购、赎回业务。</w:t>
      </w:r>
    </w:p>
    <w:p w14:paraId="4E56B11E" w14:textId="3F0C53EE"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本基金2021年4月20日刊登公告自2021年4月21日起开通</w:t>
      </w:r>
      <w:r w:rsidR="00865528" w:rsidRPr="00865528">
        <w:rPr>
          <w:rFonts w:ascii="宋体" w:hAnsi="宋体" w:hint="eastAsia"/>
          <w:sz w:val="24"/>
        </w:rPr>
        <w:t>A类基金份额的</w:t>
      </w:r>
      <w:r>
        <w:rPr>
          <w:rFonts w:ascii="宋体" w:hAnsi="宋体"/>
          <w:sz w:val="24"/>
        </w:rPr>
        <w:t>定期定额投资计划业务</w:t>
      </w:r>
      <w:r w:rsidR="00071822" w:rsidRPr="00F60062">
        <w:rPr>
          <w:rFonts w:ascii="宋体" w:hAnsi="宋体" w:hint="eastAsia"/>
          <w:sz w:val="24"/>
        </w:rPr>
        <w:t>，本基金202</w:t>
      </w:r>
      <w:r w:rsidR="00071822">
        <w:rPr>
          <w:rFonts w:ascii="宋体" w:hAnsi="宋体"/>
          <w:sz w:val="24"/>
        </w:rPr>
        <w:t>3</w:t>
      </w:r>
      <w:r w:rsidR="00071822" w:rsidRPr="00F60062">
        <w:rPr>
          <w:rFonts w:ascii="宋体" w:hAnsi="宋体" w:hint="eastAsia"/>
          <w:sz w:val="24"/>
        </w:rPr>
        <w:t>年</w:t>
      </w:r>
      <w:r w:rsidR="006C570A">
        <w:rPr>
          <w:rFonts w:ascii="宋体" w:hAnsi="宋体"/>
          <w:sz w:val="24"/>
        </w:rPr>
        <w:t>12</w:t>
      </w:r>
      <w:r w:rsidR="00071822" w:rsidRPr="00F60062">
        <w:rPr>
          <w:rFonts w:ascii="宋体" w:hAnsi="宋体" w:hint="eastAsia"/>
          <w:sz w:val="24"/>
        </w:rPr>
        <w:t>月</w:t>
      </w:r>
      <w:r w:rsidR="006C570A">
        <w:rPr>
          <w:rFonts w:ascii="宋体" w:hAnsi="宋体" w:hint="eastAsia"/>
          <w:sz w:val="24"/>
        </w:rPr>
        <w:t>1</w:t>
      </w:r>
      <w:r w:rsidR="006C570A">
        <w:rPr>
          <w:rFonts w:ascii="宋体" w:hAnsi="宋体"/>
          <w:sz w:val="24"/>
        </w:rPr>
        <w:t>4</w:t>
      </w:r>
      <w:r w:rsidR="00071822" w:rsidRPr="00F60062">
        <w:rPr>
          <w:rFonts w:ascii="宋体" w:hAnsi="宋体" w:hint="eastAsia"/>
          <w:sz w:val="24"/>
        </w:rPr>
        <w:t>日刊登公告自202</w:t>
      </w:r>
      <w:r w:rsidR="00071822">
        <w:rPr>
          <w:rFonts w:ascii="宋体" w:hAnsi="宋体"/>
          <w:sz w:val="24"/>
        </w:rPr>
        <w:t>3</w:t>
      </w:r>
      <w:r w:rsidR="00071822" w:rsidRPr="00F60062">
        <w:rPr>
          <w:rFonts w:ascii="宋体" w:hAnsi="宋体" w:hint="eastAsia"/>
          <w:sz w:val="24"/>
        </w:rPr>
        <w:t>年</w:t>
      </w:r>
      <w:r w:rsidR="006C570A">
        <w:rPr>
          <w:rFonts w:ascii="宋体" w:hAnsi="宋体"/>
          <w:sz w:val="24"/>
        </w:rPr>
        <w:t>12</w:t>
      </w:r>
      <w:r w:rsidR="00071822" w:rsidRPr="00F60062">
        <w:rPr>
          <w:rFonts w:ascii="宋体" w:hAnsi="宋体" w:hint="eastAsia"/>
          <w:sz w:val="24"/>
        </w:rPr>
        <w:t>月</w:t>
      </w:r>
      <w:r w:rsidR="006C570A">
        <w:rPr>
          <w:rFonts w:ascii="宋体" w:hAnsi="宋体" w:hint="eastAsia"/>
          <w:sz w:val="24"/>
        </w:rPr>
        <w:t>1</w:t>
      </w:r>
      <w:r w:rsidR="006C570A">
        <w:rPr>
          <w:rFonts w:ascii="宋体" w:hAnsi="宋体"/>
          <w:sz w:val="24"/>
        </w:rPr>
        <w:t>5</w:t>
      </w:r>
      <w:r w:rsidR="00071822" w:rsidRPr="00F60062">
        <w:rPr>
          <w:rFonts w:ascii="宋体" w:hAnsi="宋体" w:hint="eastAsia"/>
          <w:sz w:val="24"/>
        </w:rPr>
        <w:t>日起增设</w:t>
      </w:r>
      <w:r w:rsidR="00071822">
        <w:rPr>
          <w:rFonts w:ascii="宋体" w:hAnsi="宋体"/>
          <w:sz w:val="24"/>
        </w:rPr>
        <w:t>D</w:t>
      </w:r>
      <w:r w:rsidR="00071822" w:rsidRPr="00F60062">
        <w:rPr>
          <w:rFonts w:ascii="宋体" w:hAnsi="宋体" w:hint="eastAsia"/>
          <w:sz w:val="24"/>
        </w:rPr>
        <w:t>类基金份额并开通</w:t>
      </w:r>
      <w:r w:rsidR="00071822">
        <w:rPr>
          <w:rFonts w:ascii="宋体" w:hAnsi="宋体"/>
          <w:sz w:val="24"/>
        </w:rPr>
        <w:t>D</w:t>
      </w:r>
      <w:r w:rsidR="00071822" w:rsidRPr="00F60062">
        <w:rPr>
          <w:rFonts w:ascii="宋体" w:hAnsi="宋体" w:hint="eastAsia"/>
          <w:sz w:val="24"/>
        </w:rPr>
        <w:t>类基金份额的定期定额投资计划业务</w:t>
      </w:r>
      <w:r>
        <w:rPr>
          <w:rFonts w:ascii="宋体" w:hAnsi="宋体"/>
          <w:sz w:val="24"/>
        </w:rPr>
        <w:t>，具体开通销售机构名单和业务规则参见相关公告。</w:t>
      </w:r>
    </w:p>
    <w:p w14:paraId="6ED5AA75" w14:textId="77777777" w:rsidR="001F702C" w:rsidRDefault="00BD18A1">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（十五）基金份额的冻结和解冻</w:t>
      </w:r>
    </w:p>
    <w:p w14:paraId="15F92D30"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登记机构只受理国家有权机关依法要求的基金份额的冻结与解冻，以及登记机构认可、符合法律法规的其他情况下的冻结与解冻。</w:t>
      </w:r>
    </w:p>
    <w:p w14:paraId="13474675" w14:textId="77777777" w:rsidR="001F702C" w:rsidRDefault="00BD18A1">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（十六）基金份额的转让</w:t>
      </w:r>
    </w:p>
    <w:p w14:paraId="3066BCF0"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14:paraId="706B1322" w14:textId="77777777" w:rsidR="001F702C" w:rsidRDefault="00BD18A1">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（十七）实施</w:t>
      </w:r>
      <w:proofErr w:type="gramStart"/>
      <w:r w:rsidRPr="00BB248E">
        <w:rPr>
          <w:rFonts w:ascii="宋体" w:hAnsi="宋体" w:hint="eastAsia"/>
          <w:b/>
          <w:kern w:val="0"/>
          <w:sz w:val="24"/>
        </w:rPr>
        <w:t>侧袋机制</w:t>
      </w:r>
      <w:proofErr w:type="gramEnd"/>
      <w:r w:rsidRPr="00BB248E">
        <w:rPr>
          <w:rFonts w:ascii="宋体" w:hAnsi="宋体" w:hint="eastAsia"/>
          <w:b/>
          <w:kern w:val="0"/>
          <w:sz w:val="24"/>
        </w:rPr>
        <w:t>期间本基金的申购与赎回</w:t>
      </w:r>
    </w:p>
    <w:p w14:paraId="56C9F849"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本基金实施</w:t>
      </w:r>
      <w:proofErr w:type="gramStart"/>
      <w:r>
        <w:rPr>
          <w:rFonts w:ascii="宋体" w:hAnsi="宋体"/>
          <w:sz w:val="24"/>
        </w:rPr>
        <w:t>侧袋机制</w:t>
      </w:r>
      <w:proofErr w:type="gramEnd"/>
      <w:r>
        <w:rPr>
          <w:rFonts w:ascii="宋体" w:hAnsi="宋体"/>
          <w:sz w:val="24"/>
        </w:rPr>
        <w:t>的，本基金的申购和赎回安排详见本招募说明书“侧袋机制”部分的规定或相关公告。</w:t>
      </w:r>
    </w:p>
    <w:p w14:paraId="1D46E8F4" w14:textId="77777777" w:rsidR="001F702C" w:rsidRDefault="00BD18A1">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（十八）其他业务</w:t>
      </w:r>
    </w:p>
    <w:p w14:paraId="4463A9B7"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不违反法律法规及中国证监会规定的前提下，基金管理人可在对基金份额持有人利益无实质性不利影响的情形下，办理基金份额的质押业务或其他基金业务，基金管理人可制定相应的业务规则，并依照《信息披露办法》的有关规定进行公告。</w:t>
      </w:r>
    </w:p>
    <w:p w14:paraId="3E72997D" w14:textId="77777777" w:rsidR="00367445" w:rsidRDefault="00BD18A1" w:rsidP="00367445">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4D77193D" w14:textId="77777777" w:rsidR="001F702C" w:rsidRDefault="00BD18A1">
      <w:pPr>
        <w:pStyle w:val="1"/>
        <w:snapToGrid w:val="0"/>
        <w:spacing w:beforeLines="0" w:before="240" w:after="240"/>
        <w:rPr>
          <w:rFonts w:ascii="宋体" w:hAnsi="宋体"/>
          <w:szCs w:val="30"/>
        </w:rPr>
      </w:pPr>
      <w:bookmarkStart w:id="12" w:name="_Toc140049413"/>
      <w:r>
        <w:rPr>
          <w:rFonts w:ascii="Times New Roman" w:hAnsi="Times New Roman"/>
          <w:sz w:val="30"/>
        </w:rPr>
        <w:lastRenderedPageBreak/>
        <w:t>九、基金的转换</w:t>
      </w:r>
      <w:bookmarkEnd w:id="12"/>
    </w:p>
    <w:p w14:paraId="6D102847" w14:textId="77777777" w:rsidR="001F702C" w:rsidRDefault="00BD18A1">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（一）基金转换</w:t>
      </w:r>
    </w:p>
    <w:p w14:paraId="1FE613F2"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转换是指开放式基金份额持有人将其持有某只基金的部分或全部份额转换为同一基金管理人管理的另一只开放式基金份额。基金转换只能在同一销售机构进行。转换的两只基金必须都是该销售机构代理的同一基金管理人管理的、在同一注册登记机构处注册登记的、同一收费模式的开放式基金。</w:t>
      </w:r>
    </w:p>
    <w:p w14:paraId="5897F0F9" w14:textId="77777777" w:rsidR="001F702C" w:rsidRDefault="00BD18A1">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（二）转换业务办理时间</w:t>
      </w:r>
    </w:p>
    <w:p w14:paraId="580453ED" w14:textId="2CA4F909"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本基金2021年12月18日刊登公告自2021年12月22日起开放</w:t>
      </w:r>
      <w:r w:rsidR="00CA5D95" w:rsidRPr="00F60062">
        <w:rPr>
          <w:rFonts w:ascii="宋体" w:hAnsi="宋体" w:hint="eastAsia"/>
          <w:sz w:val="24"/>
        </w:rPr>
        <w:t>A类基金份额</w:t>
      </w:r>
      <w:r w:rsidR="00CA5D95">
        <w:rPr>
          <w:rFonts w:ascii="宋体" w:hAnsi="宋体" w:hint="eastAsia"/>
          <w:sz w:val="24"/>
        </w:rPr>
        <w:t>和</w:t>
      </w:r>
      <w:r w:rsidR="00CA5D95">
        <w:rPr>
          <w:rFonts w:ascii="宋体" w:hAnsi="宋体"/>
          <w:sz w:val="24"/>
        </w:rPr>
        <w:t>C</w:t>
      </w:r>
      <w:r w:rsidR="00CA5D95" w:rsidRPr="00FF0EDE">
        <w:rPr>
          <w:rFonts w:ascii="宋体" w:hAnsi="宋体" w:hint="eastAsia"/>
          <w:sz w:val="24"/>
        </w:rPr>
        <w:t>类基金份额</w:t>
      </w:r>
      <w:r w:rsidR="00CA5D95">
        <w:rPr>
          <w:rFonts w:ascii="宋体" w:hAnsi="宋体" w:hint="eastAsia"/>
          <w:sz w:val="24"/>
        </w:rPr>
        <w:t>的</w:t>
      </w:r>
      <w:r>
        <w:rPr>
          <w:rFonts w:ascii="宋体" w:hAnsi="宋体"/>
          <w:sz w:val="24"/>
        </w:rPr>
        <w:t>日常转换业务</w:t>
      </w:r>
      <w:r w:rsidR="00CA5D95" w:rsidRPr="00CA5D95">
        <w:rPr>
          <w:rFonts w:ascii="宋体" w:hAnsi="宋体" w:hint="eastAsia"/>
          <w:sz w:val="24"/>
        </w:rPr>
        <w:t>，本基金</w:t>
      </w:r>
      <w:r w:rsidR="00CA5D95">
        <w:rPr>
          <w:rFonts w:ascii="宋体" w:hAnsi="宋体" w:hint="eastAsia"/>
          <w:sz w:val="24"/>
        </w:rPr>
        <w:t>202</w:t>
      </w:r>
      <w:r w:rsidR="006C570A">
        <w:rPr>
          <w:rFonts w:ascii="宋体" w:hAnsi="宋体"/>
          <w:sz w:val="24"/>
        </w:rPr>
        <w:t>3</w:t>
      </w:r>
      <w:r w:rsidR="00CA5D95" w:rsidRPr="00CA5D95">
        <w:rPr>
          <w:rFonts w:ascii="宋体" w:hAnsi="宋体" w:hint="eastAsia"/>
          <w:sz w:val="24"/>
        </w:rPr>
        <w:t>年</w:t>
      </w:r>
      <w:r w:rsidR="006C570A">
        <w:rPr>
          <w:rFonts w:ascii="宋体" w:hAnsi="宋体"/>
          <w:sz w:val="24"/>
        </w:rPr>
        <w:t>12</w:t>
      </w:r>
      <w:r w:rsidR="00CA5D95" w:rsidRPr="00CA5D95">
        <w:rPr>
          <w:rFonts w:ascii="宋体" w:hAnsi="宋体" w:hint="eastAsia"/>
          <w:sz w:val="24"/>
        </w:rPr>
        <w:t>月</w:t>
      </w:r>
      <w:r w:rsidR="006C570A">
        <w:rPr>
          <w:rFonts w:ascii="宋体" w:hAnsi="宋体" w:hint="eastAsia"/>
          <w:sz w:val="24"/>
        </w:rPr>
        <w:t>1</w:t>
      </w:r>
      <w:r w:rsidR="006C570A">
        <w:rPr>
          <w:rFonts w:ascii="宋体" w:hAnsi="宋体"/>
          <w:sz w:val="24"/>
        </w:rPr>
        <w:t>4</w:t>
      </w:r>
      <w:r w:rsidR="00CA5D95" w:rsidRPr="00CA5D95">
        <w:rPr>
          <w:rFonts w:ascii="宋体" w:hAnsi="宋体" w:hint="eastAsia"/>
          <w:sz w:val="24"/>
        </w:rPr>
        <w:t>日刊登公告自</w:t>
      </w:r>
      <w:r w:rsidR="00CA5D95">
        <w:rPr>
          <w:rFonts w:ascii="宋体" w:hAnsi="宋体" w:hint="eastAsia"/>
          <w:sz w:val="24"/>
        </w:rPr>
        <w:t>202</w:t>
      </w:r>
      <w:r w:rsidR="006C570A">
        <w:rPr>
          <w:rFonts w:ascii="宋体" w:hAnsi="宋体"/>
          <w:sz w:val="24"/>
        </w:rPr>
        <w:t>3</w:t>
      </w:r>
      <w:r w:rsidR="00CA5D95" w:rsidRPr="00CA5D95">
        <w:rPr>
          <w:rFonts w:ascii="宋体" w:hAnsi="宋体" w:hint="eastAsia"/>
          <w:sz w:val="24"/>
        </w:rPr>
        <w:t>年</w:t>
      </w:r>
      <w:r w:rsidR="006C570A">
        <w:rPr>
          <w:rFonts w:ascii="宋体" w:hAnsi="宋体"/>
          <w:sz w:val="24"/>
        </w:rPr>
        <w:t>12</w:t>
      </w:r>
      <w:r w:rsidR="00CA5D95" w:rsidRPr="00CA5D95">
        <w:rPr>
          <w:rFonts w:ascii="宋体" w:hAnsi="宋体" w:hint="eastAsia"/>
          <w:sz w:val="24"/>
        </w:rPr>
        <w:t>月</w:t>
      </w:r>
      <w:r w:rsidR="006C570A">
        <w:rPr>
          <w:rFonts w:ascii="宋体" w:hAnsi="宋体" w:hint="eastAsia"/>
          <w:sz w:val="24"/>
        </w:rPr>
        <w:t>1</w:t>
      </w:r>
      <w:r w:rsidR="006C570A">
        <w:rPr>
          <w:rFonts w:ascii="宋体" w:hAnsi="宋体"/>
          <w:sz w:val="24"/>
        </w:rPr>
        <w:t>5</w:t>
      </w:r>
      <w:r w:rsidR="00CA5D95" w:rsidRPr="00CA5D95">
        <w:rPr>
          <w:rFonts w:ascii="宋体" w:hAnsi="宋体" w:hint="eastAsia"/>
          <w:sz w:val="24"/>
        </w:rPr>
        <w:t>日起增设D类基金份额并开通D类基金份额的日常转换业务</w:t>
      </w:r>
      <w:r>
        <w:rPr>
          <w:rFonts w:ascii="宋体" w:hAnsi="宋体"/>
          <w:sz w:val="24"/>
        </w:rPr>
        <w:t>。</w:t>
      </w:r>
    </w:p>
    <w:p w14:paraId="39149246"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办理基金间转换的时间为上海证券交易所、深圳证券交易所交易日。若出现新的证券交易市场或交易所交易时间更改或其它原因，基金管理人将视情况进行相应的调整并公告。</w:t>
      </w:r>
    </w:p>
    <w:p w14:paraId="653C65D6"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可在基金开放日申请办理基金转换业务，具体办理时间与基金申购、赎回业务办理时间相同。由于各销售机构的系统差异以及业务安排等原因，开展该业务的时间可能有所不同，投资人应以各销售机构公告的时间为准。</w:t>
      </w:r>
    </w:p>
    <w:p w14:paraId="591BBDD9"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本基金转换业务具体开通销售机构名单参见相关公告。</w:t>
      </w:r>
    </w:p>
    <w:p w14:paraId="184F1862" w14:textId="77777777" w:rsidR="001F702C" w:rsidRDefault="00BD18A1">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（三）基金转换的程序</w:t>
      </w:r>
    </w:p>
    <w:p w14:paraId="2D672651"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1、申请方式：书面申请或销售机构公布的其他方式。</w:t>
      </w:r>
    </w:p>
    <w:p w14:paraId="6935CC89"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2、基金转换申请的确认</w:t>
      </w:r>
    </w:p>
    <w:p w14:paraId="4FF49F2D"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正常情况下，T日规定时间受理的申请，注册登记机构在T＋1日内为投资人对该交易的有效性进行确认，在T＋2日后(包括该日)投资人可向销售机构查询转换的确认情况。</w:t>
      </w:r>
    </w:p>
    <w:p w14:paraId="768B6167"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3、基金转换的注册登记</w:t>
      </w:r>
    </w:p>
    <w:p w14:paraId="5C24A760"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登记机构以收到有效转换申请的当天作为转换申请日（T日）。投资人转换基金成功的，注册登记机构将在T＋1日对投资人T日的基金转换业务申请进行有效性确认，办理转出基金的权益扣除以及转入基金的权益登记，在T＋2日后（包括该日）投资人可向销售机构查询基金转换的成交情况，并有权转换或赎回该部分基金份额。</w:t>
      </w:r>
    </w:p>
    <w:p w14:paraId="0535EA91" w14:textId="77777777" w:rsidR="001F702C" w:rsidRDefault="00BD18A1">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lastRenderedPageBreak/>
        <w:t>（四）基金转换的数额限制</w:t>
      </w:r>
    </w:p>
    <w:p w14:paraId="0074643E"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基金转换以份额为单位进行申请，申请转换份额精确到小数点后两位，小数点后两位以后的部分四舍五入，误差部分</w:t>
      </w:r>
      <w:proofErr w:type="gramStart"/>
      <w:r>
        <w:rPr>
          <w:rFonts w:ascii="宋体" w:hAnsi="宋体"/>
          <w:sz w:val="24"/>
        </w:rPr>
        <w:t>归基金</w:t>
      </w:r>
      <w:proofErr w:type="gramEnd"/>
      <w:r>
        <w:rPr>
          <w:rFonts w:ascii="宋体" w:hAnsi="宋体"/>
          <w:sz w:val="24"/>
        </w:rPr>
        <w:t>财产。</w:t>
      </w:r>
    </w:p>
    <w:p w14:paraId="0C364E68"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本基金遵循“份额转换”的原则，单笔转换份额不得低于1份。基金持有人可将其全部或部分基金份额转换成其它基金，单笔转换申请不受转入基金最低申购限额限制。</w:t>
      </w:r>
    </w:p>
    <w:p w14:paraId="1A6AA1E2"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基于各基金关于投资人在单个交易账户最低保留余额的规定，每个工作日投资人在单个交易账户保留的某</w:t>
      </w:r>
      <w:proofErr w:type="gramStart"/>
      <w:r>
        <w:rPr>
          <w:rFonts w:ascii="宋体" w:hAnsi="宋体"/>
          <w:sz w:val="24"/>
        </w:rPr>
        <w:t>基金基金</w:t>
      </w:r>
      <w:proofErr w:type="gramEnd"/>
      <w:r>
        <w:rPr>
          <w:rFonts w:ascii="宋体" w:hAnsi="宋体"/>
          <w:sz w:val="24"/>
        </w:rPr>
        <w:t>份额余额少于该基金的最低保留余额时，若当日该账户同时有该基金的基金份额减少类业务（如赎回、转换出等）被确认，基金管理人有权将投资人在该账户保留的该</w:t>
      </w:r>
      <w:proofErr w:type="gramStart"/>
      <w:r>
        <w:rPr>
          <w:rFonts w:ascii="宋体" w:hAnsi="宋体"/>
          <w:sz w:val="24"/>
        </w:rPr>
        <w:t>基金基金</w:t>
      </w:r>
      <w:proofErr w:type="gramEnd"/>
      <w:r>
        <w:rPr>
          <w:rFonts w:ascii="宋体" w:hAnsi="宋体"/>
          <w:sz w:val="24"/>
        </w:rPr>
        <w:t>份额一次性全部赎回。因此，如果某笔转换申请确认后转出基金的单个交易账户的基金份额余额少于转出基金的最低保留余额，则转出基金在该账户剩余的基金份额将被全部赎回。如果某笔转换申请确认后转入基金的单个交易账户的基金份额余额少于转入基金的最低保留余额且该账户当日有转入基金的基金份额减少类业务被确认，则转入基金在该账户剩余的基金份额（包括该部分转换入确认份额）将随即被强制赎回。</w:t>
      </w:r>
    </w:p>
    <w:p w14:paraId="07D11FA1" w14:textId="77777777" w:rsidR="001F702C" w:rsidRDefault="00BD18A1">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（五）基金转换费用</w:t>
      </w:r>
    </w:p>
    <w:p w14:paraId="7CB70803"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1、每笔基金转换视为一笔赎回和一笔申购，基金转换费用相应由转出基金的赎回费用及转出、转入基金的申购补差费用构成。</w:t>
      </w:r>
    </w:p>
    <w:p w14:paraId="14BB5D35"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2、转出基金的赎回费用</w:t>
      </w:r>
    </w:p>
    <w:p w14:paraId="72F36ABB"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用按照各基金最新的更新招募说明书及相关公告规定的赎回费率和计费方式收取，赎回费用按一定比例归入基金财产（收取标准遵循各基金最新的更新招募说明书相关规定），其余部分用于支付注册登记费等相关手续费。</w:t>
      </w:r>
    </w:p>
    <w:p w14:paraId="7F5275C6"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3、前端收费模式下转出与转入基金的申购补差费用</w:t>
      </w:r>
    </w:p>
    <w:p w14:paraId="197D3839"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从不收取申购费用的基金或前端申购费用低的基金向前端申购费用高的基金转换，收取前端申购补差费用；从前端申购费用高的基金向前端申购费用低的基金或不收取申购费用的基金转换，不收取前端申购补差费用。申购补差费用原则上按照转出确认金额对应的转入基金前端申购费率减去转出基金前端申购费率差额进行计算补差，若</w:t>
      </w:r>
      <w:proofErr w:type="gramStart"/>
      <w:r>
        <w:rPr>
          <w:rFonts w:ascii="宋体" w:hAnsi="宋体"/>
          <w:sz w:val="24"/>
        </w:rPr>
        <w:t>遇固定</w:t>
      </w:r>
      <w:proofErr w:type="gramEnd"/>
      <w:r>
        <w:rPr>
          <w:rFonts w:ascii="宋体" w:hAnsi="宋体"/>
          <w:sz w:val="24"/>
        </w:rPr>
        <w:t>费用，则按实际产生补差费用收取。</w:t>
      </w:r>
    </w:p>
    <w:p w14:paraId="73E2AFF5"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4、后端收费模式下转出与转入基金的申购补差费用</w:t>
      </w:r>
    </w:p>
    <w:p w14:paraId="5A852E42"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从不收取申购费用的基金或后端申购费用低的基金向后端申购费用高的基金转</w:t>
      </w:r>
      <w:r>
        <w:rPr>
          <w:rFonts w:ascii="宋体" w:hAnsi="宋体"/>
          <w:sz w:val="24"/>
        </w:rPr>
        <w:lastRenderedPageBreak/>
        <w:t>换，不收取后端申购补差费用，但转入的基金份额赎回的时候需全额收取转入基金的后端申购费；从后端申购费用高的基金向后端申购费用低的基金或不收取申购费用的基金转换，收取后端申购补差费用，且转入的基金份额赎回的时候需全额收取转入基金的后端申购费。后端申购补差费用按照转出份额持有时间对应分档的转出基金后端申购费率减去转入基金后端申购费率差额进行补差。</w:t>
      </w:r>
    </w:p>
    <w:p w14:paraId="424C7550"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5、网上直销的申购补差费率优惠</w:t>
      </w:r>
    </w:p>
    <w:p w14:paraId="0A3D6804"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为更好服务投资者，本基金管理人已开通基金网上直销业务，个人投资者可以通过“网上直销交易平台”办理基金转换业务，其中部分转换业务可享受转换费率优惠，优惠费率只适用于转出与转入基金申购补差费用，转出基金的赎回费用无优惠。可通过网上直销交易平台办理的转换业务范围及转换费率优惠的具体情况请参阅本基金管理人网站。</w:t>
      </w:r>
    </w:p>
    <w:p w14:paraId="70CC0EC8"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6、本基金管理人可以根据法律法规及基金合同的规定对上述转换费用收费方式和费率进行调整，并应于调整后的收费方式和费率实施前依照《信息披露办法》的有关规定在中国证监会指定媒介上公告。</w:t>
      </w:r>
    </w:p>
    <w:p w14:paraId="5F600ABC" w14:textId="77777777" w:rsidR="001F702C" w:rsidRDefault="00BD18A1">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（六）基金转换份额的计算公式</w:t>
      </w:r>
    </w:p>
    <w:p w14:paraId="0288C6B6"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1、前端收费模式下基金转换份额的计算公式及举例</w:t>
      </w:r>
    </w:p>
    <w:p w14:paraId="543BE39F"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转出确认金额=转出的基金份额×转换申请当日转出基金的基金份额净值</w:t>
      </w:r>
    </w:p>
    <w:p w14:paraId="18982AC0"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转出基金的赎回费=转出确认金额×对应的转出基金的赎回费率</w:t>
      </w:r>
    </w:p>
    <w:p w14:paraId="20ACC605"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转入确认金额=转出确认金额-转出基金的赎回费</w:t>
      </w:r>
    </w:p>
    <w:p w14:paraId="1F355F1F"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转出与转入基金的申购补差费=转入确认金额×对应的转出与转入基金的申购补差费率/（1+对应的转出与转入基金的申购补差费率）</w:t>
      </w:r>
    </w:p>
    <w:p w14:paraId="5D8EEFAB"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（注：若转出基金申购费率不低于转入基金申购费率，转出与转入基金的申购补差费为零）</w:t>
      </w:r>
    </w:p>
    <w:p w14:paraId="4F8D50EE"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对于涉及固定费用的，转出与转入基金的申购补差费＝MAX（0，转出基金和转入基金申购费用之差）</w:t>
      </w:r>
    </w:p>
    <w:p w14:paraId="7B66A42E"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转入基金确认份额=（转入确认金额-转出与转入基金的申购补差费+A）/转换申请当日转入基金的基金份额净值</w:t>
      </w:r>
    </w:p>
    <w:p w14:paraId="2BB5843B"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其中：</w:t>
      </w:r>
    </w:p>
    <w:p w14:paraId="6D9E874D"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A为货币市场基金转出的基金份额按比例结转的账户当前累计</w:t>
      </w:r>
      <w:proofErr w:type="gramStart"/>
      <w:r>
        <w:rPr>
          <w:rFonts w:ascii="宋体" w:hAnsi="宋体"/>
          <w:sz w:val="24"/>
        </w:rPr>
        <w:t>待支付</w:t>
      </w:r>
      <w:proofErr w:type="gramEnd"/>
      <w:r>
        <w:rPr>
          <w:rFonts w:ascii="宋体" w:hAnsi="宋体"/>
          <w:sz w:val="24"/>
        </w:rPr>
        <w:t>收益（仅限转出基金为货币市场基金的情形，否则A为0）。</w:t>
      </w:r>
    </w:p>
    <w:p w14:paraId="75B973D4"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转入基金确认份额的计算精确到小数点后两位，小数点后两位以后的部分四舍五入，误差部分</w:t>
      </w:r>
      <w:proofErr w:type="gramStart"/>
      <w:r>
        <w:rPr>
          <w:rFonts w:ascii="宋体" w:hAnsi="宋体"/>
          <w:sz w:val="24"/>
        </w:rPr>
        <w:t>归基金</w:t>
      </w:r>
      <w:proofErr w:type="gramEnd"/>
      <w:r>
        <w:rPr>
          <w:rFonts w:ascii="宋体" w:hAnsi="宋体"/>
          <w:sz w:val="24"/>
        </w:rPr>
        <w:t>财产。</w:t>
      </w:r>
    </w:p>
    <w:p w14:paraId="669D8AB8"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w:t>
      </w:r>
      <w:proofErr w:type="gramStart"/>
      <w:r>
        <w:rPr>
          <w:rFonts w:ascii="宋体" w:hAnsi="宋体"/>
          <w:sz w:val="24"/>
        </w:rPr>
        <w:t>一</w:t>
      </w:r>
      <w:proofErr w:type="gramEnd"/>
      <w:r>
        <w:rPr>
          <w:rFonts w:ascii="宋体" w:hAnsi="宋体"/>
          <w:sz w:val="24"/>
        </w:rPr>
        <w:t>：某投资者持有交</w:t>
      </w:r>
      <w:proofErr w:type="gramStart"/>
      <w:r>
        <w:rPr>
          <w:rFonts w:ascii="宋体" w:hAnsi="宋体"/>
          <w:sz w:val="24"/>
        </w:rPr>
        <w:t>银趋势</w:t>
      </w:r>
      <w:proofErr w:type="gramEnd"/>
      <w:r>
        <w:rPr>
          <w:rFonts w:ascii="宋体" w:hAnsi="宋体"/>
          <w:sz w:val="24"/>
        </w:rPr>
        <w:t>前端收费模式的A类基金份额100,000份，持有期半年，转换申请当日交</w:t>
      </w:r>
      <w:proofErr w:type="gramStart"/>
      <w:r>
        <w:rPr>
          <w:rFonts w:ascii="宋体" w:hAnsi="宋体"/>
          <w:sz w:val="24"/>
        </w:rPr>
        <w:t>银趋势</w:t>
      </w:r>
      <w:proofErr w:type="gramEnd"/>
      <w:r>
        <w:rPr>
          <w:rFonts w:ascii="宋体" w:hAnsi="宋体"/>
          <w:sz w:val="24"/>
        </w:rPr>
        <w:t>的A类基金份额净值为1.0100元，交</w:t>
      </w:r>
      <w:proofErr w:type="gramStart"/>
      <w:r>
        <w:rPr>
          <w:rFonts w:ascii="宋体" w:hAnsi="宋体"/>
          <w:sz w:val="24"/>
        </w:rPr>
        <w:t>银成长</w:t>
      </w:r>
      <w:proofErr w:type="gramEnd"/>
      <w:r>
        <w:rPr>
          <w:rFonts w:ascii="宋体" w:hAnsi="宋体"/>
          <w:sz w:val="24"/>
        </w:rPr>
        <w:t>的基金份额净值为2.2700元。若该投资者将100,000份交</w:t>
      </w:r>
      <w:proofErr w:type="gramStart"/>
      <w:r>
        <w:rPr>
          <w:rFonts w:ascii="宋体" w:hAnsi="宋体"/>
          <w:sz w:val="24"/>
        </w:rPr>
        <w:t>银趋势</w:t>
      </w:r>
      <w:proofErr w:type="gramEnd"/>
      <w:r>
        <w:rPr>
          <w:rFonts w:ascii="宋体" w:hAnsi="宋体"/>
          <w:sz w:val="24"/>
        </w:rPr>
        <w:t>前端A类基金份额转换为交</w:t>
      </w:r>
      <w:proofErr w:type="gramStart"/>
      <w:r>
        <w:rPr>
          <w:rFonts w:ascii="宋体" w:hAnsi="宋体"/>
          <w:sz w:val="24"/>
        </w:rPr>
        <w:t>银成长</w:t>
      </w:r>
      <w:proofErr w:type="gramEnd"/>
      <w:r>
        <w:rPr>
          <w:rFonts w:ascii="宋体" w:hAnsi="宋体"/>
          <w:sz w:val="24"/>
        </w:rPr>
        <w:t>前端基金份额，则转入交</w:t>
      </w:r>
      <w:proofErr w:type="gramStart"/>
      <w:r>
        <w:rPr>
          <w:rFonts w:ascii="宋体" w:hAnsi="宋体"/>
          <w:sz w:val="24"/>
        </w:rPr>
        <w:t>银成长</w:t>
      </w:r>
      <w:proofErr w:type="gramEnd"/>
      <w:r>
        <w:rPr>
          <w:rFonts w:ascii="宋体" w:hAnsi="宋体"/>
          <w:sz w:val="24"/>
        </w:rPr>
        <w:t>确认的基金份额为：</w:t>
      </w:r>
    </w:p>
    <w:p w14:paraId="44DF94AD"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转出确认金额=100,000×1.0100=101,000元</w:t>
      </w:r>
    </w:p>
    <w:p w14:paraId="505796E6"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转出基金的赎回费=101,000×0.5%=505元</w:t>
      </w:r>
    </w:p>
    <w:p w14:paraId="4B44DE87"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转入确认金额=101,000-505=100,495元</w:t>
      </w:r>
    </w:p>
    <w:p w14:paraId="2C19CD3E"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转出与转入基金的申购补差费=100,495×0/（1+0）=0元</w:t>
      </w:r>
    </w:p>
    <w:p w14:paraId="74E38216"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转入基金确认份额=（100,495-0）/2.2700=44,270.93份</w:t>
      </w:r>
    </w:p>
    <w:p w14:paraId="57027988"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例二：某投资者持有交银增利A类基金份额1,000,000份，持有期一年半，转换申请当日交银增利A类基金份额的基金份额净值为1.0200元，交</w:t>
      </w:r>
      <w:proofErr w:type="gramStart"/>
      <w:r>
        <w:rPr>
          <w:rFonts w:ascii="宋体" w:hAnsi="宋体"/>
          <w:sz w:val="24"/>
        </w:rPr>
        <w:t>银趋势</w:t>
      </w:r>
      <w:proofErr w:type="gramEnd"/>
      <w:r>
        <w:rPr>
          <w:rFonts w:ascii="宋体" w:hAnsi="宋体"/>
          <w:sz w:val="24"/>
        </w:rPr>
        <w:t>的A类基金份额净值为1.0100元。若该投资者将1,000,000份交银增利A类基金份额转换为交</w:t>
      </w:r>
      <w:proofErr w:type="gramStart"/>
      <w:r>
        <w:rPr>
          <w:rFonts w:ascii="宋体" w:hAnsi="宋体"/>
          <w:sz w:val="24"/>
        </w:rPr>
        <w:t>银趋势</w:t>
      </w:r>
      <w:proofErr w:type="gramEnd"/>
      <w:r>
        <w:rPr>
          <w:rFonts w:ascii="宋体" w:hAnsi="宋体"/>
          <w:sz w:val="24"/>
        </w:rPr>
        <w:t>前端A类基金份额，则转入交</w:t>
      </w:r>
      <w:proofErr w:type="gramStart"/>
      <w:r>
        <w:rPr>
          <w:rFonts w:ascii="宋体" w:hAnsi="宋体"/>
          <w:sz w:val="24"/>
        </w:rPr>
        <w:t>银趋势</w:t>
      </w:r>
      <w:proofErr w:type="gramEnd"/>
      <w:r>
        <w:rPr>
          <w:rFonts w:ascii="宋体" w:hAnsi="宋体"/>
          <w:sz w:val="24"/>
        </w:rPr>
        <w:t>确认的A类基金份额为：</w:t>
      </w:r>
    </w:p>
    <w:p w14:paraId="14FD33D8"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转出确认金额=1,000,000×1.0200=1,020,000元</w:t>
      </w:r>
    </w:p>
    <w:p w14:paraId="50BAAC5A"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转出基金的赎回费=1,020,000×0.05%=510元</w:t>
      </w:r>
    </w:p>
    <w:p w14:paraId="2472CC18"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转入确认金额=1,020,000-510=1,019,490元</w:t>
      </w:r>
    </w:p>
    <w:p w14:paraId="630C6E90"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转出与转入基金的申购补差费=1,019,490×0.5%/（1+0.5%）=5,072.09元</w:t>
      </w:r>
    </w:p>
    <w:p w14:paraId="6EFA6CD7"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转入基金确认份额=（1,019,490-5,072.09）/1.0100=1,004,374.17份</w:t>
      </w:r>
    </w:p>
    <w:p w14:paraId="182E6ED7"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三：某投资者持有交银增利C类基金份额100,000份，持有期一年半，转换申请当日交银增利C类基金份额净值为1.2500元，交银精选的基金份额净值为2.2700元。若该投资者将100,000份交银增利C类基金份额转换为交银精选前端基金份额，则转入交银精选确认的基金份额为：</w:t>
      </w:r>
    </w:p>
    <w:p w14:paraId="485EF5F6"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转出确认金额=100,000×1.2500=125,000元</w:t>
      </w:r>
    </w:p>
    <w:p w14:paraId="7E0EBF9F"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转出基金的赎回费=0元</w:t>
      </w:r>
    </w:p>
    <w:p w14:paraId="16DA2E20"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转入确认金额=125,000-0=125,000元</w:t>
      </w:r>
    </w:p>
    <w:p w14:paraId="4B2842BD"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转出与转入基金的申购补差费=125,000×1.5%/（1+1.5%）=1,847.29元</w:t>
      </w:r>
    </w:p>
    <w:p w14:paraId="62952094"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转入基金确认份额=（125,000-1,847.29）/2.2700=54,252.30份</w:t>
      </w:r>
    </w:p>
    <w:p w14:paraId="0E0FB864"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例四：某投资者持有交</w:t>
      </w:r>
      <w:proofErr w:type="gramStart"/>
      <w:r>
        <w:rPr>
          <w:rFonts w:ascii="宋体" w:hAnsi="宋体"/>
          <w:sz w:val="24"/>
        </w:rPr>
        <w:t>银货币A级基金</w:t>
      </w:r>
      <w:proofErr w:type="gramEnd"/>
      <w:r>
        <w:rPr>
          <w:rFonts w:ascii="宋体" w:hAnsi="宋体"/>
          <w:sz w:val="24"/>
        </w:rPr>
        <w:t>份额100,000份，该100,000份基金份额</w:t>
      </w:r>
      <w:r>
        <w:rPr>
          <w:rFonts w:ascii="宋体" w:hAnsi="宋体"/>
          <w:sz w:val="24"/>
        </w:rPr>
        <w:lastRenderedPageBreak/>
        <w:t>未结转的</w:t>
      </w:r>
      <w:proofErr w:type="gramStart"/>
      <w:r>
        <w:rPr>
          <w:rFonts w:ascii="宋体" w:hAnsi="宋体"/>
          <w:sz w:val="24"/>
        </w:rPr>
        <w:t>待支付</w:t>
      </w:r>
      <w:proofErr w:type="gramEnd"/>
      <w:r>
        <w:rPr>
          <w:rFonts w:ascii="宋体" w:hAnsi="宋体"/>
          <w:sz w:val="24"/>
        </w:rPr>
        <w:t>收益为61.52元，转换申请当日交银增利A类基金份额净值为1.2700元，交</w:t>
      </w:r>
      <w:proofErr w:type="gramStart"/>
      <w:r>
        <w:rPr>
          <w:rFonts w:ascii="宋体" w:hAnsi="宋体"/>
          <w:sz w:val="24"/>
        </w:rPr>
        <w:t>银货币</w:t>
      </w:r>
      <w:proofErr w:type="gramEnd"/>
      <w:r>
        <w:rPr>
          <w:rFonts w:ascii="宋体" w:hAnsi="宋体"/>
          <w:sz w:val="24"/>
        </w:rPr>
        <w:t>的基金份额净值为1.00元。若该投资者将100,000份交</w:t>
      </w:r>
      <w:proofErr w:type="gramStart"/>
      <w:r>
        <w:rPr>
          <w:rFonts w:ascii="宋体" w:hAnsi="宋体"/>
          <w:sz w:val="24"/>
        </w:rPr>
        <w:t>银货币A级基金</w:t>
      </w:r>
      <w:proofErr w:type="gramEnd"/>
      <w:r>
        <w:rPr>
          <w:rFonts w:ascii="宋体" w:hAnsi="宋体"/>
          <w:sz w:val="24"/>
        </w:rPr>
        <w:t>份额转换为交银增利A类基金份额，则转入确认的交银增利A类基金份额为：</w:t>
      </w:r>
    </w:p>
    <w:p w14:paraId="0C219A04"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转出确认金额=100,000×1.00=100,000元</w:t>
      </w:r>
    </w:p>
    <w:p w14:paraId="001E3C16"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转出基金的赎回费=0元</w:t>
      </w:r>
    </w:p>
    <w:p w14:paraId="22F3C70D"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转入确认金额=100,000-0=100,000元</w:t>
      </w:r>
    </w:p>
    <w:p w14:paraId="7D27F3E5"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转出与转入基金的申购补差费=100,000×0.8%/（1+0.8%）=793.65元</w:t>
      </w:r>
    </w:p>
    <w:p w14:paraId="00C48CEF"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转入基金确认份额=（100,000-793.65+61.52）/1.2700=78,163.68份</w:t>
      </w:r>
    </w:p>
    <w:p w14:paraId="0F5F604E"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2、后端收费模式下基金转换份额的计算公式及举例</w:t>
      </w:r>
    </w:p>
    <w:p w14:paraId="58FE3BA5"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转出确认金额=转出的基金份额×转换申请当日转出基金的基金份额净值</w:t>
      </w:r>
    </w:p>
    <w:p w14:paraId="2C430DD5"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转出基金的赎回费=转出确认金额×对应的转出基金的赎回费率</w:t>
      </w:r>
    </w:p>
    <w:p w14:paraId="2376814B"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转入确认金额=转出确认金额-转出基金的赎回费</w:t>
      </w:r>
    </w:p>
    <w:p w14:paraId="144AD6B7"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转出与转入基金的申购补差费=转入确认金额×对应的转出与转入基金的申购补差费率</w:t>
      </w:r>
    </w:p>
    <w:p w14:paraId="161BF45D"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转入基金确认份额=（转入确认金额-转出与转入基金的申购补差费+A）/转换申请当日转入基金的基金份额净值</w:t>
      </w:r>
    </w:p>
    <w:p w14:paraId="497A4B02"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其中：</w:t>
      </w:r>
    </w:p>
    <w:p w14:paraId="739C608B"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A为货币市场基金转出的基金份额按比例结转的账户当前累计</w:t>
      </w:r>
      <w:proofErr w:type="gramStart"/>
      <w:r>
        <w:rPr>
          <w:rFonts w:ascii="宋体" w:hAnsi="宋体"/>
          <w:sz w:val="24"/>
        </w:rPr>
        <w:t>待支付</w:t>
      </w:r>
      <w:proofErr w:type="gramEnd"/>
      <w:r>
        <w:rPr>
          <w:rFonts w:ascii="宋体" w:hAnsi="宋体"/>
          <w:sz w:val="24"/>
        </w:rPr>
        <w:t>收益（仅限转出基金为货币市场基金的情形，否则A为0）。</w:t>
      </w:r>
    </w:p>
    <w:p w14:paraId="5130A603"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转入基金确认份额的计算精确到小数点后两位，小数点后两位以后的部分四舍五入，误差部分</w:t>
      </w:r>
      <w:proofErr w:type="gramStart"/>
      <w:r>
        <w:rPr>
          <w:rFonts w:ascii="宋体" w:hAnsi="宋体"/>
          <w:sz w:val="24"/>
        </w:rPr>
        <w:t>归基金</w:t>
      </w:r>
      <w:proofErr w:type="gramEnd"/>
      <w:r>
        <w:rPr>
          <w:rFonts w:ascii="宋体" w:hAnsi="宋体"/>
          <w:sz w:val="24"/>
        </w:rPr>
        <w:t>财产。</w:t>
      </w:r>
    </w:p>
    <w:p w14:paraId="525DA21F"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例五：某投资者持有交</w:t>
      </w:r>
      <w:proofErr w:type="gramStart"/>
      <w:r>
        <w:rPr>
          <w:rFonts w:ascii="宋体" w:hAnsi="宋体"/>
          <w:sz w:val="24"/>
        </w:rPr>
        <w:t>银主题</w:t>
      </w:r>
      <w:proofErr w:type="gramEnd"/>
      <w:r>
        <w:rPr>
          <w:rFonts w:ascii="宋体" w:hAnsi="宋体"/>
          <w:sz w:val="24"/>
        </w:rPr>
        <w:t>后端收费模式的A类基金份额100,000份，持有期一年半，转换申请当日交</w:t>
      </w:r>
      <w:proofErr w:type="gramStart"/>
      <w:r>
        <w:rPr>
          <w:rFonts w:ascii="宋体" w:hAnsi="宋体"/>
          <w:sz w:val="24"/>
        </w:rPr>
        <w:t>银主题</w:t>
      </w:r>
      <w:proofErr w:type="gramEnd"/>
      <w:r>
        <w:rPr>
          <w:rFonts w:ascii="宋体" w:hAnsi="宋体"/>
          <w:sz w:val="24"/>
        </w:rPr>
        <w:t>的A类基金份额净值为1.2500元，交银稳健的基金份额净值为2.2700元。若该投资者将100,000份交</w:t>
      </w:r>
      <w:proofErr w:type="gramStart"/>
      <w:r>
        <w:rPr>
          <w:rFonts w:ascii="宋体" w:hAnsi="宋体"/>
          <w:sz w:val="24"/>
        </w:rPr>
        <w:t>银主题</w:t>
      </w:r>
      <w:proofErr w:type="gramEnd"/>
      <w:r>
        <w:rPr>
          <w:rFonts w:ascii="宋体" w:hAnsi="宋体"/>
          <w:sz w:val="24"/>
        </w:rPr>
        <w:t>后端A类基金份额转换为交银稳健后端基金份额，则转入交银稳健确认的基金份额为：</w:t>
      </w:r>
    </w:p>
    <w:p w14:paraId="6D2161B7"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转出确认金额=100,000×1.2500=125,000元</w:t>
      </w:r>
    </w:p>
    <w:p w14:paraId="34AE9D3F"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转出基金的赎回费=125,000×0.2%=250元</w:t>
      </w:r>
    </w:p>
    <w:p w14:paraId="29D345CA"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转入确认金额=125,000-250=124,750元</w:t>
      </w:r>
    </w:p>
    <w:p w14:paraId="2929304C"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转出与转入基金的申购补差费=124,750×0=0元</w:t>
      </w:r>
    </w:p>
    <w:p w14:paraId="2C2EAC40"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转入基金确认份额=（124,750-0）/2.2700=54,955.95份</w:t>
      </w:r>
    </w:p>
    <w:p w14:paraId="1592E885"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例六：某投资者持有交银先锋后端收费模式的A类基金份额100,000份，持有期一年半，转换申请当日交银先锋的A类基金份额净值为1.2500元，交</w:t>
      </w:r>
      <w:proofErr w:type="gramStart"/>
      <w:r>
        <w:rPr>
          <w:rFonts w:ascii="宋体" w:hAnsi="宋体"/>
          <w:sz w:val="24"/>
        </w:rPr>
        <w:t>银货币</w:t>
      </w:r>
      <w:proofErr w:type="gramEnd"/>
      <w:r>
        <w:rPr>
          <w:rFonts w:ascii="宋体" w:hAnsi="宋体"/>
          <w:sz w:val="24"/>
        </w:rPr>
        <w:t>的基金份额净值为1.00元。若该投资者将100,000份交银先锋后端A类基金份额转换为交银货币，则转入交</w:t>
      </w:r>
      <w:proofErr w:type="gramStart"/>
      <w:r>
        <w:rPr>
          <w:rFonts w:ascii="宋体" w:hAnsi="宋体"/>
          <w:sz w:val="24"/>
        </w:rPr>
        <w:t>银货币</w:t>
      </w:r>
      <w:proofErr w:type="gramEnd"/>
      <w:r>
        <w:rPr>
          <w:rFonts w:ascii="宋体" w:hAnsi="宋体"/>
          <w:sz w:val="24"/>
        </w:rPr>
        <w:t>的基金份额为：</w:t>
      </w:r>
    </w:p>
    <w:p w14:paraId="3FEF04EB"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转出确认金额=100,000×1.2500=125,000元</w:t>
      </w:r>
    </w:p>
    <w:p w14:paraId="4F9C739A"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转出基金的赎回费=125,000×0.2%=250元</w:t>
      </w:r>
    </w:p>
    <w:p w14:paraId="400BB8AE"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转入确认金额=125,000-250=124,750元</w:t>
      </w:r>
    </w:p>
    <w:p w14:paraId="1CB8CDF8"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转出与转入基金的申购补差费=124,750×1.2%=1497元</w:t>
      </w:r>
    </w:p>
    <w:p w14:paraId="78C26600"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转入基金确认份额=（124,750-1497）/1.00=123,253.00份</w:t>
      </w:r>
    </w:p>
    <w:p w14:paraId="54D01612"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七：某投资者持有交银蓝筹后端收费模式的基金份额100,000份，持有期三年半，转换申请当日交银蓝筹的基金份额净值为0.8500元，交银增利B类基金份额的基金份额净值为1.0500。若该投资者将100,000份交银蓝筹后端基金份额转换为交银增利B类基金份额，则转入交银增利B类基金份额的基金份额为：</w:t>
      </w:r>
    </w:p>
    <w:p w14:paraId="4DEB84FC"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转出确认金额=100,000×0.8500=85,000元</w:t>
      </w:r>
    </w:p>
    <w:p w14:paraId="5F598638"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转出基金的赎回费=85,000×0=0元</w:t>
      </w:r>
    </w:p>
    <w:p w14:paraId="087F07E9"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转入确认金额=85,000-0=85,000元</w:t>
      </w:r>
    </w:p>
    <w:p w14:paraId="0C5F28E6"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转出与转入基金的申购补差费=85,000×0.2%=170元</w:t>
      </w:r>
    </w:p>
    <w:p w14:paraId="39B0BC52"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转入基金确认份额=（85,000-170）/1.0500=80,790.48份</w:t>
      </w:r>
    </w:p>
    <w:p w14:paraId="4C357B8B"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例八：某投资者持有交</w:t>
      </w:r>
      <w:proofErr w:type="gramStart"/>
      <w:r>
        <w:rPr>
          <w:rFonts w:ascii="宋体" w:hAnsi="宋体"/>
          <w:sz w:val="24"/>
        </w:rPr>
        <w:t>银货币A级基金</w:t>
      </w:r>
      <w:proofErr w:type="gramEnd"/>
      <w:r>
        <w:rPr>
          <w:rFonts w:ascii="宋体" w:hAnsi="宋体"/>
          <w:sz w:val="24"/>
        </w:rPr>
        <w:t>份额100,000份，该100,000份基金份额未结转的</w:t>
      </w:r>
      <w:proofErr w:type="gramStart"/>
      <w:r>
        <w:rPr>
          <w:rFonts w:ascii="宋体" w:hAnsi="宋体"/>
          <w:sz w:val="24"/>
        </w:rPr>
        <w:t>待支付</w:t>
      </w:r>
      <w:proofErr w:type="gramEnd"/>
      <w:r>
        <w:rPr>
          <w:rFonts w:ascii="宋体" w:hAnsi="宋体"/>
          <w:sz w:val="24"/>
        </w:rPr>
        <w:t>收益为61.52元，转换申请当日交银增利B类基金份额净值为1.2700元，交</w:t>
      </w:r>
      <w:proofErr w:type="gramStart"/>
      <w:r>
        <w:rPr>
          <w:rFonts w:ascii="宋体" w:hAnsi="宋体"/>
          <w:sz w:val="24"/>
        </w:rPr>
        <w:t>银货币</w:t>
      </w:r>
      <w:proofErr w:type="gramEnd"/>
      <w:r>
        <w:rPr>
          <w:rFonts w:ascii="宋体" w:hAnsi="宋体"/>
          <w:sz w:val="24"/>
        </w:rPr>
        <w:t>的基金份额净值为1.00元。若该投资者将100,000份交</w:t>
      </w:r>
      <w:proofErr w:type="gramStart"/>
      <w:r>
        <w:rPr>
          <w:rFonts w:ascii="宋体" w:hAnsi="宋体"/>
          <w:sz w:val="24"/>
        </w:rPr>
        <w:t>银货币A级基金</w:t>
      </w:r>
      <w:proofErr w:type="gramEnd"/>
      <w:r>
        <w:rPr>
          <w:rFonts w:ascii="宋体" w:hAnsi="宋体"/>
          <w:sz w:val="24"/>
        </w:rPr>
        <w:t>份额转换为交银增利B类基金份额，则转入确认的交银增利B类基金份额为：</w:t>
      </w:r>
    </w:p>
    <w:p w14:paraId="3AD15099"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转出确认金额=100,000×1.00=100,000元</w:t>
      </w:r>
    </w:p>
    <w:p w14:paraId="0B0DD3E7"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转出基金的赎回费=0元</w:t>
      </w:r>
    </w:p>
    <w:p w14:paraId="2C8701FC"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转入确认金额=100,000-0=100,000元</w:t>
      </w:r>
    </w:p>
    <w:p w14:paraId="5263FBCF"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转出与转入基金的申购补差费=100,000×0=0元</w:t>
      </w:r>
    </w:p>
    <w:p w14:paraId="60C0172E"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转入基金确认份额=（100,000-0+61.52）/1.2700=78,788.60份</w:t>
      </w:r>
    </w:p>
    <w:p w14:paraId="44461787" w14:textId="77777777" w:rsidR="001F702C" w:rsidRDefault="00BD18A1">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（七）业务规则</w:t>
      </w:r>
    </w:p>
    <w:p w14:paraId="50016B63"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1、基金转换只能在同一销售机构进行。转换的两只基金必须都是该销售机构销售的同一基金管理人管理的、在同一注册登记机构处注册登记的基金。投资人办</w:t>
      </w:r>
      <w:r>
        <w:rPr>
          <w:rFonts w:ascii="宋体" w:hAnsi="宋体"/>
          <w:sz w:val="24"/>
        </w:rPr>
        <w:lastRenderedPageBreak/>
        <w:t>理基金转换业务时，转出方的基金必须处于可赎回状态，转入方的基金必须处于可申购状态。</w:t>
      </w:r>
    </w:p>
    <w:p w14:paraId="61818A88"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投资人只能在相同收费模式下进行基金转换。前端收费模式的开放式基金只能转换到前端收费模式的其他基金，后端收费模式的基金只能转换到后端收费模式的其他基金。交银货币、债券基金C类基金份额与其他基金之间的转换不受上述收费模式的限制。</w:t>
      </w:r>
    </w:p>
    <w:p w14:paraId="41AC6DE1"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3、基金转换采取未知价法，即基金的转换价格以申请受理当日各转出、转入基金的基金份额净值为基础进行计算。（货币市场基金的基金份额净值为</w:t>
      </w:r>
      <w:proofErr w:type="gramStart"/>
      <w:r>
        <w:rPr>
          <w:rFonts w:ascii="宋体" w:hAnsi="宋体"/>
          <w:sz w:val="24"/>
        </w:rPr>
        <w:t>固定价</w:t>
      </w:r>
      <w:proofErr w:type="gramEnd"/>
      <w:r>
        <w:rPr>
          <w:rFonts w:ascii="宋体" w:hAnsi="宋体"/>
          <w:sz w:val="24"/>
        </w:rPr>
        <w:t>1.00元）。</w:t>
      </w:r>
    </w:p>
    <w:p w14:paraId="0F002EDA"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4、投资人申请转出其账户内货币市场基金的基金份额时，注册登记机构将自动结转该转出份额对应的</w:t>
      </w:r>
      <w:proofErr w:type="gramStart"/>
      <w:r>
        <w:rPr>
          <w:rFonts w:ascii="宋体" w:hAnsi="宋体"/>
          <w:sz w:val="24"/>
        </w:rPr>
        <w:t>待支付</w:t>
      </w:r>
      <w:proofErr w:type="gramEnd"/>
      <w:r>
        <w:rPr>
          <w:rFonts w:ascii="宋体" w:hAnsi="宋体"/>
          <w:sz w:val="24"/>
        </w:rPr>
        <w:t>收益，该收益将一并计入转出金额并折算为转入基金的基金份额，但收益部分不收取转换费用。</w:t>
      </w:r>
    </w:p>
    <w:p w14:paraId="15121A12"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5、转换后，转入基金份额的持有时间将重新计算，即转入基金份额的持有期将自转入基金份额被确认日起重新开始计算。</w:t>
      </w:r>
    </w:p>
    <w:p w14:paraId="727ED2D8" w14:textId="77777777" w:rsidR="001F702C" w:rsidRDefault="00BD18A1">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（八）暂停基金转换</w:t>
      </w:r>
    </w:p>
    <w:p w14:paraId="066B8C0D"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转换视同为转出基金的赎回和转入基金的申购，因此有关转出基金和转入基金关于暂停或拒绝申购、暂停赎回的有关规定也一般适用于暂停基金转换。具体暂停或恢复基金转换的相关业务请详见届时本基金管理人发布的相关公告。</w:t>
      </w:r>
    </w:p>
    <w:p w14:paraId="66E891A2"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单个开放日，基金净赎回申请份额（该基金赎回</w:t>
      </w:r>
      <w:proofErr w:type="gramStart"/>
      <w:r>
        <w:rPr>
          <w:rFonts w:ascii="宋体" w:hAnsi="宋体"/>
          <w:sz w:val="24"/>
        </w:rPr>
        <w:t>申请总</w:t>
      </w:r>
      <w:proofErr w:type="gramEnd"/>
      <w:r>
        <w:rPr>
          <w:rFonts w:ascii="宋体" w:hAnsi="宋体"/>
          <w:sz w:val="24"/>
        </w:rPr>
        <w:t>份额加上基金转换中转出</w:t>
      </w:r>
      <w:proofErr w:type="gramStart"/>
      <w:r>
        <w:rPr>
          <w:rFonts w:ascii="宋体" w:hAnsi="宋体"/>
          <w:sz w:val="24"/>
        </w:rPr>
        <w:t>申请总</w:t>
      </w:r>
      <w:proofErr w:type="gramEnd"/>
      <w:r>
        <w:rPr>
          <w:rFonts w:ascii="宋体" w:hAnsi="宋体"/>
          <w:sz w:val="24"/>
        </w:rPr>
        <w:t>份额扣除申购</w:t>
      </w:r>
      <w:proofErr w:type="gramStart"/>
      <w:r>
        <w:rPr>
          <w:rFonts w:ascii="宋体" w:hAnsi="宋体"/>
          <w:sz w:val="24"/>
        </w:rPr>
        <w:t>申请总</w:t>
      </w:r>
      <w:proofErr w:type="gramEnd"/>
      <w:r>
        <w:rPr>
          <w:rFonts w:ascii="宋体" w:hAnsi="宋体"/>
          <w:sz w:val="24"/>
        </w:rPr>
        <w:t>份额及基金转换中转入</w:t>
      </w:r>
      <w:proofErr w:type="gramStart"/>
      <w:r>
        <w:rPr>
          <w:rFonts w:ascii="宋体" w:hAnsi="宋体"/>
          <w:sz w:val="24"/>
        </w:rPr>
        <w:t>申请总</w:t>
      </w:r>
      <w:proofErr w:type="gramEnd"/>
      <w:r>
        <w:rPr>
          <w:rFonts w:ascii="宋体" w:hAnsi="宋体"/>
          <w:sz w:val="24"/>
        </w:rPr>
        <w:t>份额后的余额）超过上一日基金总份额的10%时，为巨额赎回。发生巨额赎回时，基金转出与基金赎回具有相同的优先级，本基金管理人可根据基金资产组合情况，决定全额转出或部分转出，并且对于基金转出和基金赎回，将采取相同的比例确认。在转出申请得到部分确认的情况下，未确认的转出申请将自动予以撤销，不再视为下一开放日的基金转换申请。</w:t>
      </w:r>
    </w:p>
    <w:p w14:paraId="0327D590" w14:textId="77777777" w:rsidR="00367445" w:rsidRDefault="00BD18A1" w:rsidP="00367445">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2A38A365" w14:textId="77777777" w:rsidR="001F702C" w:rsidRDefault="00BD18A1">
      <w:pPr>
        <w:pStyle w:val="1"/>
        <w:snapToGrid w:val="0"/>
        <w:spacing w:beforeLines="0" w:before="240" w:after="240"/>
        <w:rPr>
          <w:rFonts w:ascii="宋体" w:hAnsi="宋体"/>
          <w:szCs w:val="30"/>
        </w:rPr>
      </w:pPr>
      <w:bookmarkStart w:id="13" w:name="_Toc140049414"/>
      <w:r>
        <w:rPr>
          <w:rFonts w:ascii="Times New Roman" w:hAnsi="Times New Roman"/>
          <w:sz w:val="30"/>
        </w:rPr>
        <w:lastRenderedPageBreak/>
        <w:t>十、基金的投资</w:t>
      </w:r>
      <w:bookmarkEnd w:id="13"/>
    </w:p>
    <w:p w14:paraId="59E1285E"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（一）投资目标</w:t>
      </w:r>
    </w:p>
    <w:p w14:paraId="2DD6845A"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本基金通过指数化投资，争取在扣除各项费用之前获得与标的指数相似的总回报，追求跟踪偏离度及跟踪误差的最小化。</w:t>
      </w:r>
    </w:p>
    <w:p w14:paraId="19A0413F"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（二）投资范围</w:t>
      </w:r>
    </w:p>
    <w:p w14:paraId="33F3CB7B"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投资范围为具有良好流动性的金融工具，包括国内依法发行上市的国债、农发债、债券回购、银行存款等固定收益类资产以及法律法规或中国证监会允许基金投资的其他金融工具（但须符合中国证监会相关规定）。本基金不投资股票、权证等权益类资产。</w:t>
      </w:r>
    </w:p>
    <w:p w14:paraId="2AD1ED00"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如法律法规或监管机构以后允许基金投资其他品种，基金管理人在履行适当程序后，可以将其纳入投资范围。</w:t>
      </w:r>
    </w:p>
    <w:p w14:paraId="527DDF22"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本基金的投资组合比例为：本基金投资于债券资产的比例不低于基金资产的80%，其中标的指数成份</w:t>
      </w:r>
      <w:proofErr w:type="gramStart"/>
      <w:r>
        <w:rPr>
          <w:rFonts w:ascii="宋体" w:hAnsi="宋体"/>
          <w:sz w:val="24"/>
        </w:rPr>
        <w:t>券</w:t>
      </w:r>
      <w:proofErr w:type="gramEnd"/>
      <w:r>
        <w:rPr>
          <w:rFonts w:ascii="宋体" w:hAnsi="宋体"/>
          <w:sz w:val="24"/>
        </w:rPr>
        <w:t>和备选成份</w:t>
      </w:r>
      <w:proofErr w:type="gramStart"/>
      <w:r>
        <w:rPr>
          <w:rFonts w:ascii="宋体" w:hAnsi="宋体"/>
          <w:sz w:val="24"/>
        </w:rPr>
        <w:t>券</w:t>
      </w:r>
      <w:proofErr w:type="gramEnd"/>
      <w:r>
        <w:rPr>
          <w:rFonts w:ascii="宋体" w:hAnsi="宋体"/>
          <w:sz w:val="24"/>
        </w:rPr>
        <w:t>的比例不低于本基金非现金基金资产的80%；每个交易日日终，现金或到期日在一年以内的政府债券的投资比例合计不低于基金资产净值的5%，其中现金不包括结算备付金、存出保证金、应收申购款等。</w:t>
      </w:r>
    </w:p>
    <w:p w14:paraId="41E5F5CA"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如果法律法规或中国证监会变更投资品种的投资比例限制，基金管理人在履行适当程序后，可以调整上述投资品种的投资比例。</w:t>
      </w:r>
    </w:p>
    <w:p w14:paraId="2E132970"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（三）投资标的指数</w:t>
      </w:r>
    </w:p>
    <w:p w14:paraId="30298C79"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中债-1-3年农发行债券指数</w:t>
      </w:r>
    </w:p>
    <w:p w14:paraId="44FECF2E"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未来若出现标的指数不符合要求（不包括因成份</w:t>
      </w:r>
      <w:proofErr w:type="gramStart"/>
      <w:r>
        <w:rPr>
          <w:rFonts w:ascii="宋体" w:hAnsi="宋体"/>
          <w:sz w:val="24"/>
        </w:rPr>
        <w:t>券</w:t>
      </w:r>
      <w:proofErr w:type="gramEnd"/>
      <w:r>
        <w:rPr>
          <w:rFonts w:ascii="宋体" w:hAnsi="宋体"/>
          <w:sz w:val="24"/>
        </w:rPr>
        <w:t>价格波动等指数编制方法变动之外的因素致使标的指数不符合要求的情形）、指数编制机构退出等情形，基金管理人应当自该情形发生之日起十个工作日内向中国证监会报告并提出解决方案，如更换基金标的指数、转换运作方式，与其他基金合并或者终止基金合同等，并在6个月内召集基金份额持有人大会进行表决，基金份额持有人大会未成功召开或就上述事项表决未通过的，基金合同终止。</w:t>
      </w:r>
    </w:p>
    <w:p w14:paraId="7E5EEDA6"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proofErr w:type="gramStart"/>
      <w:r>
        <w:rPr>
          <w:rFonts w:ascii="宋体" w:hAnsi="宋体"/>
          <w:sz w:val="24"/>
        </w:rPr>
        <w:t>自指数</w:t>
      </w:r>
      <w:proofErr w:type="gramEnd"/>
      <w:r>
        <w:rPr>
          <w:rFonts w:ascii="宋体" w:hAnsi="宋体"/>
          <w:sz w:val="24"/>
        </w:rPr>
        <w:t>编制机构停止标的指数的编制及发布</w:t>
      </w:r>
      <w:proofErr w:type="gramStart"/>
      <w:r>
        <w:rPr>
          <w:rFonts w:ascii="宋体" w:hAnsi="宋体"/>
          <w:sz w:val="24"/>
        </w:rPr>
        <w:t>至解决</w:t>
      </w:r>
      <w:proofErr w:type="gramEnd"/>
      <w:r>
        <w:rPr>
          <w:rFonts w:ascii="宋体" w:hAnsi="宋体"/>
          <w:sz w:val="24"/>
        </w:rPr>
        <w:t>方案确定期间，基金管理人应按照指数编制机构提供的最近一个交易日的指数信息遵循基金份额持有人利益优先原则维持基金投资运作。</w:t>
      </w:r>
    </w:p>
    <w:p w14:paraId="1AD0069F"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proofErr w:type="gramStart"/>
      <w:r>
        <w:rPr>
          <w:rFonts w:ascii="宋体" w:hAnsi="宋体"/>
          <w:sz w:val="24"/>
        </w:rPr>
        <w:t>若基金</w:t>
      </w:r>
      <w:proofErr w:type="gramEnd"/>
      <w:r>
        <w:rPr>
          <w:rFonts w:ascii="宋体" w:hAnsi="宋体"/>
          <w:sz w:val="24"/>
        </w:rPr>
        <w:t>标的指数发生变更，基金业绩比较基准随之变更，由基金管理人根据标</w:t>
      </w:r>
      <w:r>
        <w:rPr>
          <w:rFonts w:ascii="宋体" w:hAnsi="宋体"/>
          <w:sz w:val="24"/>
        </w:rPr>
        <w:lastRenderedPageBreak/>
        <w:t>的指数变更情形履行对应适当程序，并在调整实施前依照《信息披露办法》的有关规定在中国证监会指定媒介上刊登公告。</w:t>
      </w:r>
    </w:p>
    <w:p w14:paraId="399ACB6B"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（四）投资策略</w:t>
      </w:r>
    </w:p>
    <w:p w14:paraId="027A908E"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本基金为指数基金，主要采用抽样复制和动态最优化的方法，投资于标的指数中具有代表性和流动性的成份</w:t>
      </w:r>
      <w:proofErr w:type="gramStart"/>
      <w:r>
        <w:rPr>
          <w:rFonts w:ascii="宋体" w:hAnsi="宋体"/>
          <w:sz w:val="24"/>
        </w:rPr>
        <w:t>券</w:t>
      </w:r>
      <w:proofErr w:type="gramEnd"/>
      <w:r>
        <w:rPr>
          <w:rFonts w:ascii="宋体" w:hAnsi="宋体"/>
          <w:sz w:val="24"/>
        </w:rPr>
        <w:t>和备选成份</w:t>
      </w:r>
      <w:proofErr w:type="gramStart"/>
      <w:r>
        <w:rPr>
          <w:rFonts w:ascii="宋体" w:hAnsi="宋体"/>
          <w:sz w:val="24"/>
        </w:rPr>
        <w:t>券</w:t>
      </w:r>
      <w:proofErr w:type="gramEnd"/>
      <w:r>
        <w:rPr>
          <w:rFonts w:ascii="宋体" w:hAnsi="宋体"/>
          <w:sz w:val="24"/>
        </w:rPr>
        <w:t>，或选择非成份</w:t>
      </w:r>
      <w:proofErr w:type="gramStart"/>
      <w:r>
        <w:rPr>
          <w:rFonts w:ascii="宋体" w:hAnsi="宋体"/>
          <w:sz w:val="24"/>
        </w:rPr>
        <w:t>券</w:t>
      </w:r>
      <w:proofErr w:type="gramEnd"/>
      <w:r>
        <w:rPr>
          <w:rFonts w:ascii="宋体" w:hAnsi="宋体"/>
          <w:sz w:val="24"/>
        </w:rPr>
        <w:t>作为替代，构造与标的指数风险收益特征相似的资产组合，以实现对标的指数的有效跟踪。</w:t>
      </w:r>
    </w:p>
    <w:p w14:paraId="33085268"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在正常市场情况下，本基金力争追求日均跟踪偏离度的绝对值不超过0.35%，</w:t>
      </w:r>
      <w:proofErr w:type="gramStart"/>
      <w:r>
        <w:rPr>
          <w:rFonts w:ascii="宋体" w:hAnsi="宋体"/>
          <w:sz w:val="24"/>
        </w:rPr>
        <w:t>将年化跟踪误差</w:t>
      </w:r>
      <w:proofErr w:type="gramEnd"/>
      <w:r>
        <w:rPr>
          <w:rFonts w:ascii="宋体" w:hAnsi="宋体"/>
          <w:sz w:val="24"/>
        </w:rPr>
        <w:t>控制在4%以内。如因标的指数编制规则调整等其他原因，导致基金跟踪偏离度和跟踪误差超过了上述范围，基金管理人应采取合理措施，避免跟踪误差进一步扩大。</w:t>
      </w:r>
    </w:p>
    <w:p w14:paraId="614E29D0"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1、债券指数</w:t>
      </w:r>
      <w:proofErr w:type="gramStart"/>
      <w:r>
        <w:rPr>
          <w:rFonts w:ascii="宋体" w:hAnsi="宋体"/>
          <w:sz w:val="24"/>
        </w:rPr>
        <w:t>化投资</w:t>
      </w:r>
      <w:proofErr w:type="gramEnd"/>
      <w:r>
        <w:rPr>
          <w:rFonts w:ascii="宋体" w:hAnsi="宋体"/>
          <w:sz w:val="24"/>
        </w:rPr>
        <w:t>策略</w:t>
      </w:r>
    </w:p>
    <w:p w14:paraId="0EA6ECBA"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（1）债券投资组合的构建策略</w:t>
      </w:r>
    </w:p>
    <w:p w14:paraId="34D45F15"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构建投资组合的过程主要分为三步：划分债券层级、筛选目标组合成份</w:t>
      </w:r>
      <w:proofErr w:type="gramStart"/>
      <w:r>
        <w:rPr>
          <w:rFonts w:ascii="宋体" w:hAnsi="宋体"/>
          <w:sz w:val="24"/>
        </w:rPr>
        <w:t>券</w:t>
      </w:r>
      <w:proofErr w:type="gramEnd"/>
      <w:r>
        <w:rPr>
          <w:rFonts w:ascii="宋体" w:hAnsi="宋体"/>
          <w:sz w:val="24"/>
        </w:rPr>
        <w:t>和逐步调整建仓。</w:t>
      </w:r>
    </w:p>
    <w:p w14:paraId="5250755B"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①划分债券层级</w:t>
      </w:r>
    </w:p>
    <w:p w14:paraId="73B2FDE5"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本基金根据债券的剩余期限将标的指数成份</w:t>
      </w:r>
      <w:proofErr w:type="gramStart"/>
      <w:r>
        <w:rPr>
          <w:rFonts w:ascii="宋体" w:hAnsi="宋体"/>
          <w:sz w:val="24"/>
        </w:rPr>
        <w:t>券</w:t>
      </w:r>
      <w:proofErr w:type="gramEnd"/>
      <w:r>
        <w:rPr>
          <w:rFonts w:ascii="宋体" w:hAnsi="宋体"/>
          <w:sz w:val="24"/>
        </w:rPr>
        <w:t>划分层级，按照分层抽样的原理，确定各层级成份</w:t>
      </w:r>
      <w:proofErr w:type="gramStart"/>
      <w:r>
        <w:rPr>
          <w:rFonts w:ascii="宋体" w:hAnsi="宋体"/>
          <w:sz w:val="24"/>
        </w:rPr>
        <w:t>券</w:t>
      </w:r>
      <w:proofErr w:type="gramEnd"/>
      <w:r>
        <w:rPr>
          <w:rFonts w:ascii="宋体" w:hAnsi="宋体"/>
          <w:sz w:val="24"/>
        </w:rPr>
        <w:t>及其权重。</w:t>
      </w:r>
    </w:p>
    <w:p w14:paraId="34C3323A"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②筛选目标组合成份</w:t>
      </w:r>
      <w:proofErr w:type="gramStart"/>
      <w:r>
        <w:rPr>
          <w:rFonts w:ascii="宋体" w:hAnsi="宋体"/>
          <w:sz w:val="24"/>
        </w:rPr>
        <w:t>券</w:t>
      </w:r>
      <w:proofErr w:type="gramEnd"/>
    </w:p>
    <w:p w14:paraId="3F6AB49C"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分层完成后，本基金在各层级成份</w:t>
      </w:r>
      <w:proofErr w:type="gramStart"/>
      <w:r>
        <w:rPr>
          <w:rFonts w:ascii="宋体" w:hAnsi="宋体"/>
          <w:sz w:val="24"/>
        </w:rPr>
        <w:t>券</w:t>
      </w:r>
      <w:proofErr w:type="gramEnd"/>
      <w:r>
        <w:rPr>
          <w:rFonts w:ascii="宋体" w:hAnsi="宋体"/>
          <w:sz w:val="24"/>
        </w:rPr>
        <w:t>内利用动态最优化或随机抽样等方法筛选出与各层级总体风险收益特征（例如久期、凸性等）相近的且流动性较好（主要考虑发行规模、日均成交金额、期间成交天数等指标）的</w:t>
      </w:r>
      <w:proofErr w:type="gramStart"/>
      <w:r>
        <w:rPr>
          <w:rFonts w:ascii="宋体" w:hAnsi="宋体"/>
          <w:sz w:val="24"/>
        </w:rPr>
        <w:t>个券</w:t>
      </w:r>
      <w:proofErr w:type="gramEnd"/>
      <w:r>
        <w:rPr>
          <w:rFonts w:ascii="宋体" w:hAnsi="宋体"/>
          <w:sz w:val="24"/>
        </w:rPr>
        <w:t>组合，或部分投资于非成份</w:t>
      </w:r>
      <w:proofErr w:type="gramStart"/>
      <w:r>
        <w:rPr>
          <w:rFonts w:ascii="宋体" w:hAnsi="宋体"/>
          <w:sz w:val="24"/>
        </w:rPr>
        <w:t>券</w:t>
      </w:r>
      <w:proofErr w:type="gramEnd"/>
      <w:r>
        <w:rPr>
          <w:rFonts w:ascii="宋体" w:hAnsi="宋体"/>
          <w:sz w:val="24"/>
        </w:rPr>
        <w:t>，以更好的实现对标的指数的跟踪。</w:t>
      </w:r>
    </w:p>
    <w:p w14:paraId="7B9FA0D5"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③逐步建仓</w:t>
      </w:r>
    </w:p>
    <w:p w14:paraId="35E9F541"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本基金将根据实际的市场流动性情况和投资机会逐步建仓。</w:t>
      </w:r>
    </w:p>
    <w:p w14:paraId="6B728B6A"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（2）债券投资组合的调整策略</w:t>
      </w:r>
    </w:p>
    <w:p w14:paraId="245B4251"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①定期调整</w:t>
      </w:r>
    </w:p>
    <w:p w14:paraId="5C0BEAFA"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 xml:space="preserve">基金管理人将每月评估投资组合整体以及各层级债券与标的指数的偏离情 </w:t>
      </w:r>
      <w:proofErr w:type="gramStart"/>
      <w:r>
        <w:rPr>
          <w:rFonts w:ascii="宋体" w:hAnsi="宋体"/>
          <w:sz w:val="24"/>
        </w:rPr>
        <w:t>况</w:t>
      </w:r>
      <w:proofErr w:type="gramEnd"/>
      <w:r>
        <w:rPr>
          <w:rFonts w:ascii="宋体" w:hAnsi="宋体"/>
          <w:sz w:val="24"/>
        </w:rPr>
        <w:t>，定期对投资组合进行调整，以确保总体特征与标的指数相似，并缩小跟踪误差。</w:t>
      </w:r>
    </w:p>
    <w:p w14:paraId="50425295"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②不定期调整</w:t>
      </w:r>
    </w:p>
    <w:p w14:paraId="1B670F33"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当发生较大的申购赎回、组合中债券派息、债券到期以及市场波动剧烈等情况，导致投资组合与标的指数出现偏离，本基金将综合考虑市场流动性、交易成本、偏离程度等因素，对投资组合进行不定期的动态调整以缩小跟踪误差。</w:t>
      </w:r>
    </w:p>
    <w:p w14:paraId="5BBECEAC"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2、其他投资策略</w:t>
      </w:r>
    </w:p>
    <w:p w14:paraId="420B90B3"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为了在一定程度上弥补基金费用，基金管理人还可以在控制风险的前提下，使用其他投资策略。未来，随着市场的发展和基金管理运作的需要，基金管理人可以在不改变投资目标的前提下，遵循法律法规的规定并履行适当程序后，相应调整或更新投资策略，并在招募说明书更新中公告。</w:t>
      </w:r>
    </w:p>
    <w:p w14:paraId="50BAF24D"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（五）投资限制</w:t>
      </w:r>
    </w:p>
    <w:p w14:paraId="2EEE548E"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1、组合限制</w:t>
      </w:r>
    </w:p>
    <w:p w14:paraId="082EAA99"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基金的投资组合应遵循以下限制：</w:t>
      </w:r>
    </w:p>
    <w:p w14:paraId="01536F5A"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（1）本基金投资于债券资产的比例不低于基金资产的80%，其中标的指数成份</w:t>
      </w:r>
      <w:proofErr w:type="gramStart"/>
      <w:r>
        <w:rPr>
          <w:rFonts w:ascii="宋体" w:hAnsi="宋体"/>
          <w:sz w:val="24"/>
        </w:rPr>
        <w:t>券</w:t>
      </w:r>
      <w:proofErr w:type="gramEnd"/>
      <w:r>
        <w:rPr>
          <w:rFonts w:ascii="宋体" w:hAnsi="宋体"/>
          <w:sz w:val="24"/>
        </w:rPr>
        <w:t>和备选成份</w:t>
      </w:r>
      <w:proofErr w:type="gramStart"/>
      <w:r>
        <w:rPr>
          <w:rFonts w:ascii="宋体" w:hAnsi="宋体"/>
          <w:sz w:val="24"/>
        </w:rPr>
        <w:t>券</w:t>
      </w:r>
      <w:proofErr w:type="gramEnd"/>
      <w:r>
        <w:rPr>
          <w:rFonts w:ascii="宋体" w:hAnsi="宋体"/>
          <w:sz w:val="24"/>
        </w:rPr>
        <w:t>的比例不低于本基金非现金基金资产的80%；</w:t>
      </w:r>
    </w:p>
    <w:p w14:paraId="78E372E9"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（2）每个交易日日终，保持不低于基金资产净值5%的现金或者到期日在一年以内的政府债券，其中现金不包括结算备付金、存出保证金、应收申购款等；</w:t>
      </w:r>
    </w:p>
    <w:p w14:paraId="48BC3CB9"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（3）本基金进入全国银行间同业市场进行债券回购的资金余额不得超过基金资产净值的40%；本基金在全国银行间同业市场中的债券回购最长期限为1 年，债券回购到期后不得展期；</w:t>
      </w:r>
    </w:p>
    <w:p w14:paraId="78724FC2"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（4）本基金的基金资产总值不得超过基金资产净值的140%；</w:t>
      </w:r>
    </w:p>
    <w:p w14:paraId="546ABB6A"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本基金主动投资于流动性受限资产的市值合计不得超过基金资产净值的15%；因证券市场波动、基金规模变动等基金管理人之外的因素致使基金不符合该比例限制的，基金管理人不得主动新增流动性受限资产的投资；</w:t>
      </w:r>
    </w:p>
    <w:p w14:paraId="1DA4A7C1"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（6）本基金与私募类</w:t>
      </w:r>
      <w:proofErr w:type="gramStart"/>
      <w:r>
        <w:rPr>
          <w:rFonts w:ascii="宋体" w:hAnsi="宋体"/>
          <w:sz w:val="24"/>
        </w:rPr>
        <w:t>证券资管产品</w:t>
      </w:r>
      <w:proofErr w:type="gramEnd"/>
      <w:r>
        <w:rPr>
          <w:rFonts w:ascii="宋体" w:hAnsi="宋体"/>
          <w:sz w:val="24"/>
        </w:rPr>
        <w:t>及中国证监会认定的其他主体为交易对手开展逆回购交易的，可接受质押品的资质要求应当与基金合同约定的投资范围保持一致；</w:t>
      </w:r>
    </w:p>
    <w:p w14:paraId="50C44D36"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（7）法律法规及中国证监会规定的和《基金合同》约定的其他投资限制。</w:t>
      </w:r>
    </w:p>
    <w:p w14:paraId="15D2F001"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除上述第（2）、（5）、（6）项外，因证券市场波动、证券发行人合并或基金规模变动等基金管理人之外的因素致使基金投资比例不符合上述规定投资比例的，基金管理人应当在10个交易日内进行调整，但中国证监会规定的特殊情形除外。法律法规另有规定的，从其规定。</w:t>
      </w:r>
    </w:p>
    <w:p w14:paraId="584E129B"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w:t>
      </w:r>
    </w:p>
    <w:p w14:paraId="462C9FA5"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法律法规对上述投资组合比例限制进行变更的，以变更后的规定为准。法律法规或监管部门取消上述限制，如适用于本基金，基金管理人在履行适当程序后，则本基金投资不再受相关限制。</w:t>
      </w:r>
    </w:p>
    <w:p w14:paraId="38F566E4"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2、禁止行为</w:t>
      </w:r>
    </w:p>
    <w:p w14:paraId="39790C86"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为维护基金份额持有人的合法权益，基金财产不得用于下列投资或者活动：</w:t>
      </w:r>
    </w:p>
    <w:p w14:paraId="73E24665"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（1）承销证券；</w:t>
      </w:r>
    </w:p>
    <w:p w14:paraId="4AB3891A"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（2）违反规定向他人贷款或者提供担保；</w:t>
      </w:r>
    </w:p>
    <w:p w14:paraId="649F8063"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（3）从事承担无限责任的投资；</w:t>
      </w:r>
    </w:p>
    <w:p w14:paraId="560D3CEA"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（4）买卖其他基金份额，但是中国证监会另有规定的除外；</w:t>
      </w:r>
    </w:p>
    <w:p w14:paraId="54E6CCE0"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（5）向其基金管理人、基金托管人出资；</w:t>
      </w:r>
    </w:p>
    <w:p w14:paraId="354E8E7C"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（6）从事内幕交易、操纵证券交易价格及其他不正当的证券交易活动；</w:t>
      </w:r>
    </w:p>
    <w:p w14:paraId="21BCEE1C"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（7）法律、行政法规和中国证监会规定禁止的其他活动。</w:t>
      </w:r>
    </w:p>
    <w:p w14:paraId="68077173"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如法律、行政法规或监管部门取消上述禁止性规定，如适用于本基金，基金管理人在履行适当程序后，本基金可不受上述规定的限制。</w:t>
      </w:r>
    </w:p>
    <w:p w14:paraId="00983B59"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运用基金财产买卖基金管理人、基金托管人及其控股股东、实际控制人或者与其有重大利害关系的公司发行的证券或者承销期内承销的证券，或者从事其他重大关联交易的，应当符合本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6B296E64"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如法律、行政法规或监管部门取消上述规定，如适用于本基金，基金管理人在履行适当程序后，本基金可不受上述规定的限制。</w:t>
      </w:r>
    </w:p>
    <w:p w14:paraId="2F7CE0DA"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（六）业绩比较基准</w:t>
      </w:r>
    </w:p>
    <w:p w14:paraId="64CAC736"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中债-1-3年农发行债券指数收益率*95%+银行活期存款利率（税后）*5%</w:t>
      </w:r>
    </w:p>
    <w:p w14:paraId="52494F6A"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未来若出现标的指数不符合要求（不包括因成份</w:t>
      </w:r>
      <w:proofErr w:type="gramStart"/>
      <w:r>
        <w:rPr>
          <w:rFonts w:ascii="宋体" w:hAnsi="宋体"/>
          <w:sz w:val="24"/>
        </w:rPr>
        <w:t>券</w:t>
      </w:r>
      <w:proofErr w:type="gramEnd"/>
      <w:r>
        <w:rPr>
          <w:rFonts w:ascii="宋体" w:hAnsi="宋体"/>
          <w:sz w:val="24"/>
        </w:rPr>
        <w:t>价格波动等指数编制方法变动之外的因素致使标的指数不符合要求的情形）、指数编制机构退出等情形，基金</w:t>
      </w:r>
      <w:r>
        <w:rPr>
          <w:rFonts w:ascii="宋体" w:hAnsi="宋体"/>
          <w:sz w:val="24"/>
        </w:rPr>
        <w:lastRenderedPageBreak/>
        <w:t>管理人应当自该情形发生之日起十个工作日内向中国证监会报告并提出解决方案，如更换基金标的指数、转换运作方式，与其他基金合并或者终止基金合同等，并在6个月内召集基金份额持有人大会进行表决，基金份额持有人大会未成功召开或就上述事项表决未通过的，基金合同终止。</w:t>
      </w:r>
    </w:p>
    <w:p w14:paraId="61786574"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proofErr w:type="gramStart"/>
      <w:r>
        <w:rPr>
          <w:rFonts w:ascii="宋体" w:hAnsi="宋体"/>
          <w:sz w:val="24"/>
        </w:rPr>
        <w:t>自指数</w:t>
      </w:r>
      <w:proofErr w:type="gramEnd"/>
      <w:r>
        <w:rPr>
          <w:rFonts w:ascii="宋体" w:hAnsi="宋体"/>
          <w:sz w:val="24"/>
        </w:rPr>
        <w:t>编制机构停止标的指数的编制及发布</w:t>
      </w:r>
      <w:proofErr w:type="gramStart"/>
      <w:r>
        <w:rPr>
          <w:rFonts w:ascii="宋体" w:hAnsi="宋体"/>
          <w:sz w:val="24"/>
        </w:rPr>
        <w:t>至解决</w:t>
      </w:r>
      <w:proofErr w:type="gramEnd"/>
      <w:r>
        <w:rPr>
          <w:rFonts w:ascii="宋体" w:hAnsi="宋体"/>
          <w:sz w:val="24"/>
        </w:rPr>
        <w:t>方案确定期间，基金管理人应按照指数编制机构提供的最近一个交易日的指数信息遵循基金份额持有人利益优先原则维持基金投资运作。</w:t>
      </w:r>
    </w:p>
    <w:p w14:paraId="62D90C13"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proofErr w:type="gramStart"/>
      <w:r>
        <w:rPr>
          <w:rFonts w:ascii="宋体" w:hAnsi="宋体"/>
          <w:sz w:val="24"/>
        </w:rPr>
        <w:t>若基金</w:t>
      </w:r>
      <w:proofErr w:type="gramEnd"/>
      <w:r>
        <w:rPr>
          <w:rFonts w:ascii="宋体" w:hAnsi="宋体"/>
          <w:sz w:val="24"/>
        </w:rPr>
        <w:t>标的指数发生变更，基金业绩比较基准随之变更，由基金管理人根据标的指数变更情形履行对应适当程序，并在调整实施前依照《信息披露办法》的有关规定在中国证监会指定媒介上刊登公告。</w:t>
      </w:r>
    </w:p>
    <w:p w14:paraId="3BB11530"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（七）风险收益特征</w:t>
      </w:r>
    </w:p>
    <w:p w14:paraId="13869594"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是一只债券型基金，其预期风险与预期收益高于货币市场基金，低于混合型基金和股票型基金。本基金为指数型基金，主要采用抽样复制和动态最优化的方法跟踪标的指数的表现，具有与标的指数、以及标的指数所代表的债券市场相似的风险收益特征。</w:t>
      </w:r>
    </w:p>
    <w:p w14:paraId="2D24F8A7"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（八）基金管理人代表基金行使债权人权利的处理原则及方法</w:t>
      </w:r>
    </w:p>
    <w:p w14:paraId="7E63E6BF"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1、基金管理人按照国家有关规定代表基金独立行使债权人权利，保护基金份额持有人的利益；</w:t>
      </w:r>
    </w:p>
    <w:p w14:paraId="5998238C"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2、有利于基金财产的安全与增值；</w:t>
      </w:r>
    </w:p>
    <w:p w14:paraId="3C989CEF"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3、不通过关联交易为自身、雇员、授权代理人或任何存在利害关系的第三人牟取任何不当利益。</w:t>
      </w:r>
    </w:p>
    <w:p w14:paraId="45C945F4"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（九）</w:t>
      </w:r>
      <w:proofErr w:type="gramStart"/>
      <w:r>
        <w:rPr>
          <w:rFonts w:ascii="宋体" w:hAnsi="宋体"/>
          <w:sz w:val="24"/>
        </w:rPr>
        <w:t>侧袋机制</w:t>
      </w:r>
      <w:proofErr w:type="gramEnd"/>
      <w:r>
        <w:rPr>
          <w:rFonts w:ascii="宋体" w:hAnsi="宋体"/>
          <w:sz w:val="24"/>
        </w:rPr>
        <w:t>的实施和投资运作安排</w:t>
      </w:r>
    </w:p>
    <w:p w14:paraId="558D8645"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当基金持有特定资产且存在或潜在大额赎回申请时，根据最大限度保护基金份额持有人利益的原则，基金管理人经与基金托管人协商一致，并咨询会计师事务所意见后，可以依照法律法规及基金合同的约定</w:t>
      </w:r>
      <w:proofErr w:type="gramStart"/>
      <w:r>
        <w:rPr>
          <w:rFonts w:ascii="宋体" w:hAnsi="宋体"/>
          <w:sz w:val="24"/>
        </w:rPr>
        <w:t>启用侧袋机制</w:t>
      </w:r>
      <w:proofErr w:type="gramEnd"/>
      <w:r>
        <w:rPr>
          <w:rFonts w:ascii="宋体" w:hAnsi="宋体"/>
          <w:sz w:val="24"/>
        </w:rPr>
        <w:t>。</w:t>
      </w:r>
    </w:p>
    <w:p w14:paraId="3164DCBC"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proofErr w:type="gramStart"/>
      <w:r>
        <w:rPr>
          <w:rFonts w:ascii="宋体" w:hAnsi="宋体"/>
          <w:sz w:val="24"/>
        </w:rPr>
        <w:t>侧袋机制</w:t>
      </w:r>
      <w:proofErr w:type="gramEnd"/>
      <w:r>
        <w:rPr>
          <w:rFonts w:ascii="宋体" w:hAnsi="宋体"/>
          <w:sz w:val="24"/>
        </w:rPr>
        <w:t>实施期间，本部分约定的投资组合比例、投资策略、组合限制、业绩比较基准、风险收益特征等约定仅</w:t>
      </w:r>
      <w:proofErr w:type="gramStart"/>
      <w:r>
        <w:rPr>
          <w:rFonts w:ascii="宋体" w:hAnsi="宋体"/>
          <w:sz w:val="24"/>
        </w:rPr>
        <w:t>适用于主袋账户</w:t>
      </w:r>
      <w:proofErr w:type="gramEnd"/>
      <w:r>
        <w:rPr>
          <w:rFonts w:ascii="宋体" w:hAnsi="宋体"/>
          <w:sz w:val="24"/>
        </w:rPr>
        <w:t>。</w:t>
      </w:r>
    </w:p>
    <w:p w14:paraId="0574DFB5"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proofErr w:type="gramStart"/>
      <w:r>
        <w:rPr>
          <w:rFonts w:ascii="宋体" w:hAnsi="宋体"/>
          <w:sz w:val="24"/>
        </w:rPr>
        <w:t>侧袋账户</w:t>
      </w:r>
      <w:proofErr w:type="gramEnd"/>
      <w:r>
        <w:rPr>
          <w:rFonts w:ascii="宋体" w:hAnsi="宋体"/>
          <w:sz w:val="24"/>
        </w:rPr>
        <w:t>的实施条件、实施程序、运作安排、投资安排、特定资产的处置变现和支付等对投资者权益有重大影响的事项详见本招募说明书“侧袋机制”部分的规定。</w:t>
      </w:r>
    </w:p>
    <w:p w14:paraId="6FB6DA33"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（十）基金投资组合报告</w:t>
      </w:r>
    </w:p>
    <w:p w14:paraId="54DDC040"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本基金管理人的董事会及董事保证本报告所载资料不存在虚假记载、误导性陈述或重大遗漏,并对其内容的真实性、准确性和完整性承担个别及连带责任。</w:t>
      </w:r>
    </w:p>
    <w:p w14:paraId="5A253C7A"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基金托管人中国光大银行股份有限公司根据本基金合同规定，于2023年04月20日复核了本报告中的财务指标、净值表现和投资组合报告等内容，保证复核内容不存在虚假记载、误导性陈述或者重大遗漏。</w:t>
      </w:r>
    </w:p>
    <w:p w14:paraId="618DFD5E"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本报告期自2023年01月01日起至03月31日止。本报告财务资料未经审计师审计。</w:t>
      </w:r>
    </w:p>
    <w:p w14:paraId="1F3DF251"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1、报告期末基金资产组合情况</w:t>
      </w:r>
    </w:p>
    <w:tbl>
      <w:tblPr>
        <w:tblW w:w="5000" w:type="pct"/>
        <w:tblCellMar>
          <w:left w:w="0" w:type="dxa"/>
          <w:right w:w="0" w:type="dxa"/>
        </w:tblCellMar>
        <w:tblLook w:val="0000" w:firstRow="0" w:lastRow="0" w:firstColumn="0" w:lastColumn="0" w:noHBand="0" w:noVBand="0"/>
      </w:tblPr>
      <w:tblGrid>
        <w:gridCol w:w="1006"/>
        <w:gridCol w:w="3018"/>
        <w:gridCol w:w="3017"/>
        <w:gridCol w:w="1609"/>
      </w:tblGrid>
      <w:tr w:rsidR="001F702C" w14:paraId="04F7B959" w14:textId="77777777">
        <w:trPr>
          <w:cantSplit/>
          <w:trHeight w:val="375"/>
        </w:trPr>
        <w:tc>
          <w:tcPr>
            <w:tcW w:w="250" w:type="pct"/>
            <w:tcBorders>
              <w:top w:val="single" w:sz="4" w:space="0" w:color="auto"/>
              <w:left w:val="single" w:sz="4" w:space="0" w:color="auto"/>
              <w:bottom w:val="single" w:sz="4" w:space="0" w:color="auto"/>
              <w:right w:val="single" w:sz="4" w:space="0" w:color="auto"/>
            </w:tcBorders>
            <w:shd w:val="clear" w:color="auto" w:fill="D9D9D9"/>
            <w:vAlign w:val="center"/>
          </w:tcPr>
          <w:p w14:paraId="2685C7DF" w14:textId="77777777" w:rsidR="001F702C" w:rsidRDefault="00BD18A1">
            <w:pPr>
              <w:widowControl/>
              <w:snapToGrid w:val="0"/>
              <w:jc w:val="center"/>
              <w:rPr>
                <w:rFonts w:ascii="宋体" w:hAnsi="宋体"/>
                <w:color w:val="000000"/>
                <w:kern w:val="0"/>
                <w:sz w:val="25"/>
                <w:szCs w:val="24"/>
              </w:rPr>
            </w:pPr>
            <w:r>
              <w:rPr>
                <w:rFonts w:ascii="Times New Roman" w:hAnsi="Times New Roman"/>
                <w:color w:val="000000"/>
                <w:kern w:val="0"/>
                <w:sz w:val="25"/>
                <w:szCs w:val="24"/>
              </w:rPr>
              <w:t>序号</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14:paraId="7551838F" w14:textId="77777777" w:rsidR="001F702C" w:rsidRDefault="00BD18A1">
            <w:pPr>
              <w:widowControl/>
              <w:snapToGrid w:val="0"/>
              <w:jc w:val="center"/>
              <w:rPr>
                <w:rFonts w:ascii="宋体" w:hAnsi="宋体"/>
                <w:color w:val="000000"/>
                <w:kern w:val="0"/>
                <w:sz w:val="25"/>
                <w:szCs w:val="24"/>
              </w:rPr>
            </w:pPr>
            <w:r>
              <w:rPr>
                <w:rFonts w:ascii="Times New Roman" w:hAnsi="Times New Roman"/>
                <w:color w:val="000000"/>
                <w:kern w:val="0"/>
                <w:sz w:val="25"/>
                <w:szCs w:val="24"/>
              </w:rPr>
              <w:t>项目</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14:paraId="53310513" w14:textId="77777777" w:rsidR="001F702C" w:rsidRDefault="00BD18A1">
            <w:pPr>
              <w:widowControl/>
              <w:snapToGrid w:val="0"/>
              <w:jc w:val="center"/>
              <w:rPr>
                <w:rFonts w:ascii="宋体" w:hAnsi="宋体"/>
                <w:color w:val="000000"/>
                <w:kern w:val="0"/>
                <w:sz w:val="25"/>
                <w:szCs w:val="24"/>
              </w:rPr>
            </w:pPr>
            <w:r>
              <w:rPr>
                <w:rFonts w:ascii="Times New Roman" w:hAnsi="Times New Roman"/>
                <w:color w:val="000000"/>
                <w:kern w:val="0"/>
                <w:sz w:val="25"/>
                <w:szCs w:val="24"/>
              </w:rPr>
              <w:t>金额（元）</w:t>
            </w:r>
          </w:p>
        </w:tc>
        <w:tc>
          <w:tcPr>
            <w:tcW w:w="400" w:type="pct"/>
            <w:tcBorders>
              <w:top w:val="single" w:sz="4" w:space="0" w:color="auto"/>
              <w:left w:val="single" w:sz="4" w:space="0" w:color="auto"/>
              <w:bottom w:val="single" w:sz="4" w:space="0" w:color="auto"/>
              <w:right w:val="single" w:sz="4" w:space="0" w:color="auto"/>
            </w:tcBorders>
            <w:shd w:val="clear" w:color="auto" w:fill="D9D9D9"/>
            <w:vAlign w:val="center"/>
          </w:tcPr>
          <w:p w14:paraId="1A9C9B1F" w14:textId="77777777" w:rsidR="001F702C" w:rsidRDefault="00BD18A1">
            <w:pPr>
              <w:widowControl/>
              <w:snapToGrid w:val="0"/>
              <w:jc w:val="center"/>
              <w:rPr>
                <w:rFonts w:ascii="宋体" w:hAnsi="宋体"/>
                <w:color w:val="000000"/>
                <w:kern w:val="0"/>
                <w:sz w:val="25"/>
                <w:szCs w:val="24"/>
              </w:rPr>
            </w:pPr>
            <w:r>
              <w:rPr>
                <w:rFonts w:ascii="Times New Roman" w:hAnsi="Times New Roman"/>
                <w:color w:val="000000"/>
                <w:kern w:val="0"/>
                <w:sz w:val="25"/>
                <w:szCs w:val="24"/>
              </w:rPr>
              <w:t>占基金总资产的比例（</w:t>
            </w:r>
            <w:r>
              <w:rPr>
                <w:rFonts w:ascii="Times New Roman" w:hAnsi="Times New Roman"/>
                <w:color w:val="000000"/>
                <w:kern w:val="0"/>
                <w:sz w:val="25"/>
                <w:szCs w:val="24"/>
              </w:rPr>
              <w:t>%</w:t>
            </w:r>
            <w:r>
              <w:rPr>
                <w:rFonts w:ascii="Times New Roman" w:hAnsi="Times New Roman"/>
                <w:color w:val="000000"/>
                <w:kern w:val="0"/>
                <w:sz w:val="25"/>
                <w:szCs w:val="24"/>
              </w:rPr>
              <w:t>）</w:t>
            </w:r>
          </w:p>
        </w:tc>
      </w:tr>
      <w:tr w:rsidR="001F702C" w14:paraId="4B2675FE"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2E8E50F1" w14:textId="77777777" w:rsidR="001F702C" w:rsidRDefault="00BD18A1">
            <w:pPr>
              <w:widowControl/>
              <w:snapToGrid w:val="0"/>
              <w:jc w:val="center"/>
              <w:rPr>
                <w:rFonts w:ascii="宋体" w:hAnsi="宋体"/>
                <w:color w:val="000000"/>
                <w:kern w:val="0"/>
                <w:sz w:val="25"/>
                <w:szCs w:val="24"/>
              </w:rPr>
            </w:pPr>
            <w:r>
              <w:rPr>
                <w:rFonts w:ascii="Times New Roman" w:hAnsi="Times New Roman"/>
                <w:color w:val="000000"/>
                <w:kern w:val="0"/>
                <w:sz w:val="25"/>
                <w:szCs w:val="24"/>
              </w:rPr>
              <w:t>1</w:t>
            </w:r>
          </w:p>
        </w:tc>
        <w:tc>
          <w:tcPr>
            <w:tcW w:w="750" w:type="pct"/>
            <w:tcBorders>
              <w:top w:val="single" w:sz="4" w:space="0" w:color="auto"/>
              <w:left w:val="single" w:sz="4" w:space="0" w:color="auto"/>
              <w:bottom w:val="single" w:sz="4" w:space="0" w:color="auto"/>
              <w:right w:val="single" w:sz="4" w:space="0" w:color="auto"/>
            </w:tcBorders>
            <w:vAlign w:val="center"/>
          </w:tcPr>
          <w:p w14:paraId="24C3FD94" w14:textId="77777777" w:rsidR="001F702C" w:rsidRDefault="00BD18A1">
            <w:pPr>
              <w:widowControl/>
              <w:snapToGrid w:val="0"/>
              <w:jc w:val="left"/>
              <w:rPr>
                <w:rFonts w:ascii="宋体" w:hAnsi="宋体"/>
                <w:color w:val="000000"/>
                <w:kern w:val="0"/>
                <w:sz w:val="25"/>
                <w:szCs w:val="24"/>
              </w:rPr>
            </w:pPr>
            <w:r>
              <w:rPr>
                <w:rFonts w:ascii="Times New Roman" w:hAnsi="Times New Roman"/>
                <w:color w:val="000000"/>
                <w:kern w:val="0"/>
                <w:sz w:val="25"/>
                <w:szCs w:val="24"/>
              </w:rPr>
              <w:t>权益投资</w:t>
            </w:r>
          </w:p>
        </w:tc>
        <w:tc>
          <w:tcPr>
            <w:tcW w:w="750" w:type="pct"/>
            <w:tcBorders>
              <w:top w:val="single" w:sz="4" w:space="0" w:color="auto"/>
              <w:left w:val="single" w:sz="4" w:space="0" w:color="auto"/>
              <w:bottom w:val="single" w:sz="4" w:space="0" w:color="auto"/>
              <w:right w:val="single" w:sz="4" w:space="0" w:color="auto"/>
            </w:tcBorders>
            <w:vAlign w:val="center"/>
          </w:tcPr>
          <w:p w14:paraId="0DE3C9F2" w14:textId="77777777" w:rsidR="001F702C" w:rsidRDefault="00BD18A1">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76C6FEB6" w14:textId="77777777" w:rsidR="001F702C" w:rsidRDefault="00BD18A1">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1F702C" w14:paraId="306B0A2C"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1D895E14" w14:textId="77777777" w:rsidR="001F702C" w:rsidRDefault="001F702C">
            <w:pPr>
              <w:widowControl/>
              <w:snapToGrid w:val="0"/>
              <w:jc w:val="center"/>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14:paraId="39EADFB6" w14:textId="77777777" w:rsidR="001F702C" w:rsidRDefault="00BD18A1">
            <w:pPr>
              <w:widowControl/>
              <w:snapToGrid w:val="0"/>
              <w:jc w:val="left"/>
              <w:rPr>
                <w:rFonts w:ascii="宋体" w:hAnsi="宋体"/>
                <w:color w:val="000000"/>
                <w:kern w:val="0"/>
                <w:sz w:val="25"/>
                <w:szCs w:val="24"/>
              </w:rPr>
            </w:pPr>
            <w:r>
              <w:rPr>
                <w:rFonts w:ascii="Times New Roman" w:hAnsi="Times New Roman"/>
                <w:color w:val="000000"/>
                <w:kern w:val="0"/>
                <w:sz w:val="25"/>
                <w:szCs w:val="24"/>
              </w:rPr>
              <w:t>其中：股票</w:t>
            </w:r>
          </w:p>
        </w:tc>
        <w:tc>
          <w:tcPr>
            <w:tcW w:w="750" w:type="pct"/>
            <w:tcBorders>
              <w:top w:val="single" w:sz="4" w:space="0" w:color="auto"/>
              <w:left w:val="single" w:sz="4" w:space="0" w:color="auto"/>
              <w:bottom w:val="single" w:sz="4" w:space="0" w:color="auto"/>
              <w:right w:val="single" w:sz="4" w:space="0" w:color="auto"/>
            </w:tcBorders>
            <w:vAlign w:val="center"/>
          </w:tcPr>
          <w:p w14:paraId="029516AC" w14:textId="77777777" w:rsidR="001F702C" w:rsidRDefault="00BD18A1">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2C9377E3" w14:textId="77777777" w:rsidR="001F702C" w:rsidRDefault="00BD18A1">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1F702C" w14:paraId="2A4D2566"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15720823" w14:textId="77777777" w:rsidR="001F702C" w:rsidRDefault="00BD18A1">
            <w:pPr>
              <w:widowControl/>
              <w:snapToGrid w:val="0"/>
              <w:jc w:val="center"/>
              <w:rPr>
                <w:rFonts w:ascii="宋体" w:hAnsi="宋体"/>
                <w:color w:val="000000"/>
                <w:kern w:val="0"/>
                <w:sz w:val="25"/>
                <w:szCs w:val="24"/>
              </w:rPr>
            </w:pPr>
            <w:r>
              <w:rPr>
                <w:rFonts w:ascii="Times New Roman" w:hAnsi="Times New Roman"/>
                <w:color w:val="000000"/>
                <w:kern w:val="0"/>
                <w:sz w:val="25"/>
                <w:szCs w:val="24"/>
              </w:rPr>
              <w:t>2</w:t>
            </w:r>
          </w:p>
        </w:tc>
        <w:tc>
          <w:tcPr>
            <w:tcW w:w="750" w:type="pct"/>
            <w:tcBorders>
              <w:top w:val="single" w:sz="4" w:space="0" w:color="auto"/>
              <w:left w:val="single" w:sz="4" w:space="0" w:color="auto"/>
              <w:bottom w:val="single" w:sz="4" w:space="0" w:color="auto"/>
              <w:right w:val="single" w:sz="4" w:space="0" w:color="auto"/>
            </w:tcBorders>
            <w:vAlign w:val="center"/>
          </w:tcPr>
          <w:p w14:paraId="52AEEB80" w14:textId="77777777" w:rsidR="001F702C" w:rsidRDefault="00BD18A1">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基金投资</w:t>
            </w:r>
          </w:p>
        </w:tc>
        <w:tc>
          <w:tcPr>
            <w:tcW w:w="750" w:type="pct"/>
            <w:tcBorders>
              <w:top w:val="single" w:sz="4" w:space="0" w:color="auto"/>
              <w:left w:val="single" w:sz="4" w:space="0" w:color="auto"/>
              <w:bottom w:val="single" w:sz="4" w:space="0" w:color="auto"/>
              <w:right w:val="single" w:sz="4" w:space="0" w:color="auto"/>
            </w:tcBorders>
            <w:vAlign w:val="center"/>
          </w:tcPr>
          <w:p w14:paraId="1B8D5D9A" w14:textId="77777777" w:rsidR="001F702C" w:rsidRDefault="00BD18A1">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194C9718" w14:textId="77777777" w:rsidR="001F702C" w:rsidRDefault="00BD18A1">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1F702C" w14:paraId="2A3E1A6E"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6CA07DF0" w14:textId="77777777" w:rsidR="001F702C" w:rsidRDefault="00BD18A1">
            <w:pPr>
              <w:widowControl/>
              <w:snapToGrid w:val="0"/>
              <w:jc w:val="center"/>
              <w:rPr>
                <w:rFonts w:ascii="宋体" w:hAnsi="宋体"/>
                <w:color w:val="000000"/>
                <w:kern w:val="0"/>
                <w:sz w:val="25"/>
                <w:szCs w:val="24"/>
              </w:rPr>
            </w:pPr>
            <w:r>
              <w:rPr>
                <w:rFonts w:ascii="Times New Roman" w:hAnsi="Times New Roman"/>
                <w:color w:val="000000"/>
                <w:kern w:val="0"/>
                <w:sz w:val="25"/>
                <w:szCs w:val="24"/>
              </w:rPr>
              <w:t>3</w:t>
            </w:r>
          </w:p>
        </w:tc>
        <w:tc>
          <w:tcPr>
            <w:tcW w:w="750" w:type="pct"/>
            <w:tcBorders>
              <w:top w:val="single" w:sz="4" w:space="0" w:color="auto"/>
              <w:left w:val="single" w:sz="4" w:space="0" w:color="auto"/>
              <w:bottom w:val="single" w:sz="4" w:space="0" w:color="auto"/>
              <w:right w:val="single" w:sz="4" w:space="0" w:color="auto"/>
            </w:tcBorders>
            <w:vAlign w:val="center"/>
          </w:tcPr>
          <w:p w14:paraId="640C4FC1" w14:textId="77777777" w:rsidR="001F702C" w:rsidRDefault="00BD18A1">
            <w:pPr>
              <w:widowControl/>
              <w:snapToGrid w:val="0"/>
              <w:jc w:val="left"/>
              <w:rPr>
                <w:rFonts w:ascii="宋体" w:hAnsi="宋体"/>
                <w:color w:val="000000"/>
                <w:kern w:val="0"/>
                <w:sz w:val="25"/>
                <w:szCs w:val="24"/>
              </w:rPr>
            </w:pPr>
            <w:r>
              <w:rPr>
                <w:rFonts w:ascii="Times New Roman" w:hAnsi="Times New Roman"/>
                <w:color w:val="000000"/>
                <w:kern w:val="0"/>
                <w:sz w:val="25"/>
                <w:szCs w:val="24"/>
              </w:rPr>
              <w:t>固定收益投资</w:t>
            </w:r>
          </w:p>
        </w:tc>
        <w:tc>
          <w:tcPr>
            <w:tcW w:w="750" w:type="pct"/>
            <w:tcBorders>
              <w:top w:val="single" w:sz="4" w:space="0" w:color="auto"/>
              <w:left w:val="single" w:sz="4" w:space="0" w:color="auto"/>
              <w:bottom w:val="single" w:sz="4" w:space="0" w:color="auto"/>
              <w:right w:val="single" w:sz="4" w:space="0" w:color="auto"/>
            </w:tcBorders>
            <w:vAlign w:val="center"/>
          </w:tcPr>
          <w:p w14:paraId="475C8AC9" w14:textId="77777777" w:rsidR="001F702C" w:rsidRDefault="00BD18A1">
            <w:pPr>
              <w:widowControl/>
              <w:snapToGrid w:val="0"/>
              <w:jc w:val="right"/>
              <w:rPr>
                <w:rFonts w:ascii="宋体" w:hAnsi="宋体"/>
                <w:color w:val="000000"/>
                <w:kern w:val="0"/>
                <w:sz w:val="25"/>
                <w:szCs w:val="24"/>
              </w:rPr>
            </w:pPr>
            <w:r>
              <w:rPr>
                <w:rFonts w:ascii="Times New Roman" w:hAnsi="Times New Roman"/>
                <w:color w:val="000000"/>
                <w:kern w:val="0"/>
                <w:sz w:val="25"/>
                <w:szCs w:val="24"/>
              </w:rPr>
              <w:t>7,449,792,380.74</w:t>
            </w:r>
          </w:p>
        </w:tc>
        <w:tc>
          <w:tcPr>
            <w:tcW w:w="400" w:type="pct"/>
            <w:tcBorders>
              <w:top w:val="single" w:sz="4" w:space="0" w:color="auto"/>
              <w:left w:val="single" w:sz="4" w:space="0" w:color="auto"/>
              <w:bottom w:val="single" w:sz="4" w:space="0" w:color="auto"/>
              <w:right w:val="single" w:sz="4" w:space="0" w:color="auto"/>
            </w:tcBorders>
            <w:vAlign w:val="center"/>
          </w:tcPr>
          <w:p w14:paraId="44451B88" w14:textId="77777777" w:rsidR="001F702C" w:rsidRDefault="00BD18A1">
            <w:pPr>
              <w:widowControl/>
              <w:snapToGrid w:val="0"/>
              <w:jc w:val="right"/>
              <w:rPr>
                <w:rFonts w:ascii="宋体" w:hAnsi="宋体"/>
                <w:color w:val="000000"/>
                <w:kern w:val="0"/>
                <w:sz w:val="25"/>
                <w:szCs w:val="24"/>
              </w:rPr>
            </w:pPr>
            <w:r>
              <w:rPr>
                <w:rFonts w:ascii="Times New Roman" w:hAnsi="Times New Roman"/>
                <w:color w:val="000000"/>
                <w:kern w:val="0"/>
                <w:sz w:val="25"/>
                <w:szCs w:val="24"/>
              </w:rPr>
              <w:t>98.11</w:t>
            </w:r>
          </w:p>
        </w:tc>
      </w:tr>
      <w:tr w:rsidR="001F702C" w14:paraId="146C2920"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2B88C8A0" w14:textId="77777777" w:rsidR="001F702C" w:rsidRDefault="001F702C">
            <w:pPr>
              <w:widowControl/>
              <w:snapToGrid w:val="0"/>
              <w:jc w:val="center"/>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14:paraId="398573B9" w14:textId="77777777" w:rsidR="001F702C" w:rsidRDefault="00BD18A1">
            <w:pPr>
              <w:widowControl/>
              <w:snapToGrid w:val="0"/>
              <w:jc w:val="left"/>
              <w:rPr>
                <w:rFonts w:ascii="宋体" w:hAnsi="宋体"/>
                <w:color w:val="000000"/>
                <w:kern w:val="0"/>
                <w:sz w:val="25"/>
                <w:szCs w:val="24"/>
              </w:rPr>
            </w:pPr>
            <w:r>
              <w:rPr>
                <w:rFonts w:ascii="Times New Roman" w:hAnsi="Times New Roman"/>
                <w:color w:val="000000"/>
                <w:kern w:val="0"/>
                <w:sz w:val="25"/>
                <w:szCs w:val="24"/>
              </w:rPr>
              <w:t>其中：债券</w:t>
            </w:r>
          </w:p>
        </w:tc>
        <w:tc>
          <w:tcPr>
            <w:tcW w:w="750" w:type="pct"/>
            <w:tcBorders>
              <w:top w:val="single" w:sz="4" w:space="0" w:color="auto"/>
              <w:left w:val="single" w:sz="4" w:space="0" w:color="auto"/>
              <w:bottom w:val="single" w:sz="4" w:space="0" w:color="auto"/>
              <w:right w:val="single" w:sz="4" w:space="0" w:color="auto"/>
            </w:tcBorders>
            <w:vAlign w:val="center"/>
          </w:tcPr>
          <w:p w14:paraId="4FB552A1" w14:textId="77777777" w:rsidR="001F702C" w:rsidRDefault="00BD18A1">
            <w:pPr>
              <w:widowControl/>
              <w:snapToGrid w:val="0"/>
              <w:jc w:val="right"/>
              <w:rPr>
                <w:rFonts w:ascii="宋体" w:hAnsi="宋体"/>
                <w:color w:val="000000"/>
                <w:kern w:val="0"/>
                <w:sz w:val="25"/>
                <w:szCs w:val="24"/>
              </w:rPr>
            </w:pPr>
            <w:r>
              <w:rPr>
                <w:rFonts w:ascii="Times New Roman" w:hAnsi="Times New Roman"/>
                <w:color w:val="000000"/>
                <w:kern w:val="0"/>
                <w:sz w:val="25"/>
                <w:szCs w:val="24"/>
              </w:rPr>
              <w:t>7,449,792,380.74</w:t>
            </w:r>
          </w:p>
        </w:tc>
        <w:tc>
          <w:tcPr>
            <w:tcW w:w="400" w:type="pct"/>
            <w:tcBorders>
              <w:top w:val="single" w:sz="4" w:space="0" w:color="auto"/>
              <w:left w:val="single" w:sz="4" w:space="0" w:color="auto"/>
              <w:bottom w:val="single" w:sz="4" w:space="0" w:color="auto"/>
              <w:right w:val="single" w:sz="4" w:space="0" w:color="auto"/>
            </w:tcBorders>
            <w:vAlign w:val="center"/>
          </w:tcPr>
          <w:p w14:paraId="7A2FBCD5" w14:textId="77777777" w:rsidR="001F702C" w:rsidRDefault="00BD18A1">
            <w:pPr>
              <w:widowControl/>
              <w:snapToGrid w:val="0"/>
              <w:jc w:val="right"/>
              <w:rPr>
                <w:rFonts w:ascii="宋体" w:hAnsi="宋体"/>
                <w:color w:val="000000"/>
                <w:kern w:val="0"/>
                <w:sz w:val="25"/>
                <w:szCs w:val="24"/>
              </w:rPr>
            </w:pPr>
            <w:r>
              <w:rPr>
                <w:rFonts w:ascii="Times New Roman" w:hAnsi="Times New Roman"/>
                <w:color w:val="000000"/>
                <w:kern w:val="0"/>
                <w:sz w:val="25"/>
                <w:szCs w:val="24"/>
              </w:rPr>
              <w:t>98.11</w:t>
            </w:r>
          </w:p>
        </w:tc>
      </w:tr>
      <w:tr w:rsidR="001F702C" w14:paraId="52CC2AD1"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147259EA" w14:textId="77777777" w:rsidR="001F702C" w:rsidRDefault="001F702C">
            <w:pPr>
              <w:widowControl/>
              <w:snapToGrid w:val="0"/>
              <w:jc w:val="center"/>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14:paraId="01F01CB6" w14:textId="77777777" w:rsidR="001F702C" w:rsidRDefault="00BD18A1">
            <w:pPr>
              <w:widowControl/>
              <w:snapToGrid w:val="0"/>
              <w:jc w:val="left"/>
              <w:rPr>
                <w:rFonts w:ascii="宋体" w:hAnsi="宋体"/>
                <w:color w:val="000000"/>
                <w:kern w:val="0"/>
                <w:sz w:val="25"/>
                <w:szCs w:val="24"/>
              </w:rPr>
            </w:pPr>
            <w:r>
              <w:rPr>
                <w:rFonts w:ascii="Times New Roman" w:hAnsi="Times New Roman"/>
                <w:color w:val="000000"/>
                <w:kern w:val="0"/>
                <w:sz w:val="25"/>
                <w:szCs w:val="24"/>
              </w:rPr>
              <w:t>资产支持证券</w:t>
            </w:r>
          </w:p>
        </w:tc>
        <w:tc>
          <w:tcPr>
            <w:tcW w:w="750" w:type="pct"/>
            <w:tcBorders>
              <w:top w:val="single" w:sz="4" w:space="0" w:color="auto"/>
              <w:left w:val="single" w:sz="4" w:space="0" w:color="auto"/>
              <w:bottom w:val="single" w:sz="4" w:space="0" w:color="auto"/>
              <w:right w:val="single" w:sz="4" w:space="0" w:color="auto"/>
            </w:tcBorders>
            <w:vAlign w:val="center"/>
          </w:tcPr>
          <w:p w14:paraId="738A1628" w14:textId="77777777" w:rsidR="001F702C" w:rsidRDefault="00BD18A1">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1380E489" w14:textId="77777777" w:rsidR="001F702C" w:rsidRDefault="00BD18A1">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1F702C" w14:paraId="3C90EDCA"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7D9385F7" w14:textId="77777777" w:rsidR="001F702C" w:rsidRDefault="00BD18A1">
            <w:pPr>
              <w:widowControl/>
              <w:snapToGrid w:val="0"/>
              <w:jc w:val="center"/>
              <w:rPr>
                <w:rFonts w:ascii="宋体" w:hAnsi="宋体"/>
                <w:color w:val="000000"/>
                <w:kern w:val="0"/>
                <w:sz w:val="25"/>
                <w:szCs w:val="24"/>
              </w:rPr>
            </w:pPr>
            <w:r>
              <w:rPr>
                <w:rFonts w:ascii="Times New Roman" w:hAnsi="Times New Roman"/>
                <w:color w:val="000000"/>
                <w:kern w:val="0"/>
                <w:sz w:val="25"/>
                <w:szCs w:val="24"/>
              </w:rPr>
              <w:t>4</w:t>
            </w:r>
          </w:p>
        </w:tc>
        <w:tc>
          <w:tcPr>
            <w:tcW w:w="750" w:type="pct"/>
            <w:tcBorders>
              <w:top w:val="single" w:sz="4" w:space="0" w:color="auto"/>
              <w:left w:val="single" w:sz="4" w:space="0" w:color="auto"/>
              <w:bottom w:val="single" w:sz="4" w:space="0" w:color="auto"/>
              <w:right w:val="single" w:sz="4" w:space="0" w:color="auto"/>
            </w:tcBorders>
            <w:vAlign w:val="center"/>
          </w:tcPr>
          <w:p w14:paraId="1F87401B" w14:textId="77777777" w:rsidR="001F702C" w:rsidRDefault="00BD18A1">
            <w:pPr>
              <w:widowControl/>
              <w:snapToGrid w:val="0"/>
              <w:jc w:val="left"/>
              <w:rPr>
                <w:rFonts w:ascii="宋体" w:hAnsi="宋体"/>
                <w:color w:val="000000"/>
                <w:kern w:val="0"/>
                <w:sz w:val="25"/>
                <w:szCs w:val="24"/>
              </w:rPr>
            </w:pPr>
            <w:r>
              <w:rPr>
                <w:rFonts w:ascii="Times New Roman" w:hAnsi="Times New Roman"/>
                <w:color w:val="000000"/>
                <w:kern w:val="0"/>
                <w:sz w:val="25"/>
                <w:szCs w:val="24"/>
              </w:rPr>
              <w:t>贵金属投资</w:t>
            </w:r>
          </w:p>
        </w:tc>
        <w:tc>
          <w:tcPr>
            <w:tcW w:w="750" w:type="pct"/>
            <w:tcBorders>
              <w:top w:val="single" w:sz="4" w:space="0" w:color="auto"/>
              <w:left w:val="single" w:sz="4" w:space="0" w:color="auto"/>
              <w:bottom w:val="single" w:sz="4" w:space="0" w:color="auto"/>
              <w:right w:val="single" w:sz="4" w:space="0" w:color="auto"/>
            </w:tcBorders>
            <w:vAlign w:val="center"/>
          </w:tcPr>
          <w:p w14:paraId="22B30A87" w14:textId="77777777" w:rsidR="001F702C" w:rsidRDefault="00BD18A1">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49A791CB" w14:textId="77777777" w:rsidR="001F702C" w:rsidRDefault="00BD18A1">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1F702C" w14:paraId="4015F7DC"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1EFF3E71" w14:textId="77777777" w:rsidR="001F702C" w:rsidRDefault="00BD18A1">
            <w:pPr>
              <w:widowControl/>
              <w:snapToGrid w:val="0"/>
              <w:jc w:val="center"/>
              <w:rPr>
                <w:rFonts w:ascii="宋体" w:hAnsi="宋体"/>
                <w:color w:val="000000"/>
                <w:kern w:val="0"/>
                <w:sz w:val="25"/>
                <w:szCs w:val="24"/>
              </w:rPr>
            </w:pPr>
            <w:r>
              <w:rPr>
                <w:rFonts w:ascii="Times New Roman" w:hAnsi="Times New Roman"/>
                <w:color w:val="000000"/>
                <w:kern w:val="0"/>
                <w:sz w:val="25"/>
                <w:szCs w:val="24"/>
              </w:rPr>
              <w:t>5</w:t>
            </w:r>
          </w:p>
        </w:tc>
        <w:tc>
          <w:tcPr>
            <w:tcW w:w="750" w:type="pct"/>
            <w:tcBorders>
              <w:top w:val="single" w:sz="4" w:space="0" w:color="auto"/>
              <w:left w:val="single" w:sz="4" w:space="0" w:color="auto"/>
              <w:bottom w:val="single" w:sz="4" w:space="0" w:color="auto"/>
              <w:right w:val="single" w:sz="4" w:space="0" w:color="auto"/>
            </w:tcBorders>
            <w:vAlign w:val="center"/>
          </w:tcPr>
          <w:p w14:paraId="410B49A5" w14:textId="77777777" w:rsidR="001F702C" w:rsidRDefault="00BD18A1">
            <w:pPr>
              <w:widowControl/>
              <w:snapToGrid w:val="0"/>
              <w:jc w:val="left"/>
              <w:rPr>
                <w:rFonts w:ascii="宋体" w:hAnsi="宋体"/>
                <w:color w:val="000000"/>
                <w:kern w:val="0"/>
                <w:sz w:val="25"/>
                <w:szCs w:val="24"/>
              </w:rPr>
            </w:pPr>
            <w:r>
              <w:rPr>
                <w:rFonts w:ascii="Times New Roman" w:hAnsi="Times New Roman"/>
                <w:color w:val="000000"/>
                <w:kern w:val="0"/>
                <w:sz w:val="25"/>
                <w:szCs w:val="24"/>
              </w:rPr>
              <w:t>金融衍生</w:t>
            </w:r>
            <w:proofErr w:type="gramStart"/>
            <w:r>
              <w:rPr>
                <w:rFonts w:ascii="Times New Roman" w:hAnsi="Times New Roman"/>
                <w:color w:val="000000"/>
                <w:kern w:val="0"/>
                <w:sz w:val="25"/>
                <w:szCs w:val="24"/>
              </w:rPr>
              <w:t>品投资</w:t>
            </w:r>
            <w:proofErr w:type="gramEnd"/>
          </w:p>
        </w:tc>
        <w:tc>
          <w:tcPr>
            <w:tcW w:w="750" w:type="pct"/>
            <w:tcBorders>
              <w:top w:val="single" w:sz="4" w:space="0" w:color="auto"/>
              <w:left w:val="single" w:sz="4" w:space="0" w:color="auto"/>
              <w:bottom w:val="single" w:sz="4" w:space="0" w:color="auto"/>
              <w:right w:val="single" w:sz="4" w:space="0" w:color="auto"/>
            </w:tcBorders>
            <w:vAlign w:val="center"/>
          </w:tcPr>
          <w:p w14:paraId="69151B8D" w14:textId="77777777" w:rsidR="001F702C" w:rsidRDefault="00BD18A1">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69CEDD8A" w14:textId="77777777" w:rsidR="001F702C" w:rsidRDefault="00BD18A1">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1F702C" w14:paraId="4094EBF8"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25D28F03" w14:textId="77777777" w:rsidR="001F702C" w:rsidRDefault="00BD18A1">
            <w:pPr>
              <w:widowControl/>
              <w:snapToGrid w:val="0"/>
              <w:jc w:val="center"/>
              <w:rPr>
                <w:rFonts w:ascii="宋体" w:hAnsi="宋体"/>
                <w:color w:val="000000"/>
                <w:kern w:val="0"/>
                <w:sz w:val="25"/>
                <w:szCs w:val="24"/>
              </w:rPr>
            </w:pPr>
            <w:r>
              <w:rPr>
                <w:rFonts w:ascii="Times New Roman" w:hAnsi="Times New Roman"/>
                <w:color w:val="000000"/>
                <w:kern w:val="0"/>
                <w:sz w:val="25"/>
                <w:szCs w:val="24"/>
              </w:rPr>
              <w:t>6</w:t>
            </w:r>
          </w:p>
        </w:tc>
        <w:tc>
          <w:tcPr>
            <w:tcW w:w="750" w:type="pct"/>
            <w:tcBorders>
              <w:top w:val="single" w:sz="4" w:space="0" w:color="auto"/>
              <w:left w:val="single" w:sz="4" w:space="0" w:color="auto"/>
              <w:bottom w:val="single" w:sz="4" w:space="0" w:color="auto"/>
              <w:right w:val="single" w:sz="4" w:space="0" w:color="auto"/>
            </w:tcBorders>
            <w:vAlign w:val="center"/>
          </w:tcPr>
          <w:p w14:paraId="19C522A2" w14:textId="77777777" w:rsidR="001F702C" w:rsidRDefault="00BD18A1">
            <w:pPr>
              <w:widowControl/>
              <w:snapToGrid w:val="0"/>
              <w:jc w:val="left"/>
              <w:rPr>
                <w:rFonts w:ascii="宋体" w:hAnsi="宋体"/>
                <w:color w:val="000000"/>
                <w:kern w:val="0"/>
                <w:sz w:val="25"/>
                <w:szCs w:val="24"/>
              </w:rPr>
            </w:pPr>
            <w:r>
              <w:rPr>
                <w:rFonts w:ascii="Times New Roman" w:hAnsi="Times New Roman"/>
                <w:color w:val="000000"/>
                <w:kern w:val="0"/>
                <w:sz w:val="25"/>
                <w:szCs w:val="24"/>
              </w:rPr>
              <w:t>买入返售金融资产</w:t>
            </w:r>
          </w:p>
        </w:tc>
        <w:tc>
          <w:tcPr>
            <w:tcW w:w="750" w:type="pct"/>
            <w:tcBorders>
              <w:top w:val="single" w:sz="4" w:space="0" w:color="auto"/>
              <w:left w:val="single" w:sz="4" w:space="0" w:color="auto"/>
              <w:bottom w:val="single" w:sz="4" w:space="0" w:color="auto"/>
              <w:right w:val="single" w:sz="4" w:space="0" w:color="auto"/>
            </w:tcBorders>
            <w:vAlign w:val="center"/>
          </w:tcPr>
          <w:p w14:paraId="3ACE71B3" w14:textId="77777777" w:rsidR="001F702C" w:rsidRDefault="00BD18A1">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1CECB97F" w14:textId="77777777" w:rsidR="001F702C" w:rsidRDefault="00BD18A1">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1F702C" w14:paraId="66E3CE27"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2C2D50BA" w14:textId="77777777" w:rsidR="001F702C" w:rsidRDefault="001F702C">
            <w:pPr>
              <w:widowControl/>
              <w:snapToGrid w:val="0"/>
              <w:jc w:val="center"/>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14:paraId="617EBBEC" w14:textId="77777777" w:rsidR="001F702C" w:rsidRDefault="00BD18A1">
            <w:pPr>
              <w:widowControl/>
              <w:snapToGrid w:val="0"/>
              <w:jc w:val="left"/>
              <w:rPr>
                <w:rFonts w:ascii="宋体" w:hAnsi="宋体"/>
                <w:color w:val="000000"/>
                <w:kern w:val="0"/>
                <w:sz w:val="25"/>
                <w:szCs w:val="24"/>
              </w:rPr>
            </w:pPr>
            <w:r>
              <w:rPr>
                <w:rFonts w:ascii="Times New Roman" w:hAnsi="Times New Roman"/>
                <w:color w:val="000000"/>
                <w:kern w:val="0"/>
                <w:sz w:val="25"/>
                <w:szCs w:val="24"/>
              </w:rPr>
              <w:t>其中：买断式回购的买入返售金融资产</w:t>
            </w:r>
          </w:p>
        </w:tc>
        <w:tc>
          <w:tcPr>
            <w:tcW w:w="750" w:type="pct"/>
            <w:tcBorders>
              <w:top w:val="single" w:sz="4" w:space="0" w:color="auto"/>
              <w:left w:val="single" w:sz="4" w:space="0" w:color="auto"/>
              <w:bottom w:val="single" w:sz="4" w:space="0" w:color="auto"/>
              <w:right w:val="single" w:sz="4" w:space="0" w:color="auto"/>
            </w:tcBorders>
            <w:vAlign w:val="center"/>
          </w:tcPr>
          <w:p w14:paraId="55FC2A18" w14:textId="77777777" w:rsidR="001F702C" w:rsidRDefault="00BD18A1">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45E7C0FF" w14:textId="77777777" w:rsidR="001F702C" w:rsidRDefault="00BD18A1">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1F702C" w14:paraId="53E773D9"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4C688E00" w14:textId="77777777" w:rsidR="001F702C" w:rsidRDefault="00BD18A1">
            <w:pPr>
              <w:widowControl/>
              <w:snapToGrid w:val="0"/>
              <w:jc w:val="center"/>
              <w:rPr>
                <w:rFonts w:ascii="宋体" w:hAnsi="宋体"/>
                <w:color w:val="000000"/>
                <w:kern w:val="0"/>
                <w:sz w:val="25"/>
                <w:szCs w:val="24"/>
              </w:rPr>
            </w:pPr>
            <w:r>
              <w:rPr>
                <w:rFonts w:ascii="Times New Roman" w:hAnsi="Times New Roman"/>
                <w:color w:val="000000"/>
                <w:kern w:val="0"/>
                <w:sz w:val="25"/>
                <w:szCs w:val="24"/>
              </w:rPr>
              <w:t>7</w:t>
            </w:r>
          </w:p>
        </w:tc>
        <w:tc>
          <w:tcPr>
            <w:tcW w:w="750" w:type="pct"/>
            <w:tcBorders>
              <w:top w:val="single" w:sz="4" w:space="0" w:color="auto"/>
              <w:left w:val="single" w:sz="4" w:space="0" w:color="auto"/>
              <w:bottom w:val="single" w:sz="4" w:space="0" w:color="auto"/>
              <w:right w:val="single" w:sz="4" w:space="0" w:color="auto"/>
            </w:tcBorders>
            <w:vAlign w:val="center"/>
          </w:tcPr>
          <w:p w14:paraId="621C7C0D" w14:textId="77777777" w:rsidR="001F702C" w:rsidRDefault="00BD18A1">
            <w:pPr>
              <w:widowControl/>
              <w:snapToGrid w:val="0"/>
              <w:jc w:val="left"/>
              <w:rPr>
                <w:rFonts w:ascii="宋体" w:hAnsi="宋体"/>
                <w:color w:val="000000"/>
                <w:kern w:val="0"/>
                <w:sz w:val="25"/>
                <w:szCs w:val="24"/>
              </w:rPr>
            </w:pPr>
            <w:r>
              <w:rPr>
                <w:rFonts w:ascii="Times New Roman" w:hAnsi="Times New Roman"/>
                <w:color w:val="000000"/>
                <w:kern w:val="0"/>
                <w:sz w:val="25"/>
                <w:szCs w:val="24"/>
              </w:rPr>
              <w:t>银行存款和结算备付金合计</w:t>
            </w:r>
          </w:p>
        </w:tc>
        <w:tc>
          <w:tcPr>
            <w:tcW w:w="750" w:type="pct"/>
            <w:tcBorders>
              <w:top w:val="single" w:sz="4" w:space="0" w:color="auto"/>
              <w:left w:val="single" w:sz="4" w:space="0" w:color="auto"/>
              <w:bottom w:val="single" w:sz="4" w:space="0" w:color="auto"/>
              <w:right w:val="single" w:sz="4" w:space="0" w:color="auto"/>
            </w:tcBorders>
            <w:vAlign w:val="center"/>
          </w:tcPr>
          <w:p w14:paraId="79CFE7B2" w14:textId="77777777" w:rsidR="001F702C" w:rsidRDefault="00BD18A1">
            <w:pPr>
              <w:widowControl/>
              <w:snapToGrid w:val="0"/>
              <w:jc w:val="right"/>
              <w:rPr>
                <w:rFonts w:ascii="宋体" w:hAnsi="宋体"/>
                <w:color w:val="000000"/>
                <w:kern w:val="0"/>
                <w:sz w:val="25"/>
                <w:szCs w:val="24"/>
              </w:rPr>
            </w:pPr>
            <w:r>
              <w:rPr>
                <w:rFonts w:ascii="Times New Roman" w:hAnsi="Times New Roman"/>
                <w:color w:val="000000"/>
                <w:kern w:val="0"/>
                <w:sz w:val="25"/>
                <w:szCs w:val="24"/>
              </w:rPr>
              <w:t>1,047,338.74</w:t>
            </w:r>
          </w:p>
        </w:tc>
        <w:tc>
          <w:tcPr>
            <w:tcW w:w="400" w:type="pct"/>
            <w:tcBorders>
              <w:top w:val="single" w:sz="4" w:space="0" w:color="auto"/>
              <w:left w:val="single" w:sz="4" w:space="0" w:color="auto"/>
              <w:bottom w:val="single" w:sz="4" w:space="0" w:color="auto"/>
              <w:right w:val="single" w:sz="4" w:space="0" w:color="auto"/>
            </w:tcBorders>
            <w:vAlign w:val="center"/>
          </w:tcPr>
          <w:p w14:paraId="37F883DD" w14:textId="77777777" w:rsidR="001F702C" w:rsidRDefault="00BD18A1">
            <w:pPr>
              <w:widowControl/>
              <w:snapToGrid w:val="0"/>
              <w:jc w:val="right"/>
              <w:rPr>
                <w:rFonts w:ascii="宋体" w:hAnsi="宋体"/>
                <w:color w:val="000000"/>
                <w:kern w:val="0"/>
                <w:sz w:val="25"/>
                <w:szCs w:val="24"/>
              </w:rPr>
            </w:pPr>
            <w:r>
              <w:rPr>
                <w:rFonts w:ascii="Times New Roman" w:hAnsi="Times New Roman"/>
                <w:color w:val="000000"/>
                <w:kern w:val="0"/>
                <w:sz w:val="25"/>
                <w:szCs w:val="24"/>
              </w:rPr>
              <w:t>0.01</w:t>
            </w:r>
          </w:p>
        </w:tc>
      </w:tr>
      <w:tr w:rsidR="001F702C" w14:paraId="7C763D93"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71543F5E" w14:textId="77777777" w:rsidR="001F702C" w:rsidRDefault="00BD18A1">
            <w:pPr>
              <w:widowControl/>
              <w:snapToGrid w:val="0"/>
              <w:jc w:val="center"/>
              <w:rPr>
                <w:rFonts w:ascii="宋体" w:hAnsi="宋体"/>
                <w:color w:val="000000"/>
                <w:kern w:val="0"/>
                <w:sz w:val="25"/>
                <w:szCs w:val="24"/>
              </w:rPr>
            </w:pPr>
            <w:r>
              <w:rPr>
                <w:rFonts w:ascii="Times New Roman" w:hAnsi="Times New Roman"/>
                <w:color w:val="000000"/>
                <w:kern w:val="0"/>
                <w:sz w:val="25"/>
                <w:szCs w:val="24"/>
              </w:rPr>
              <w:t>8</w:t>
            </w:r>
          </w:p>
        </w:tc>
        <w:tc>
          <w:tcPr>
            <w:tcW w:w="750" w:type="pct"/>
            <w:tcBorders>
              <w:top w:val="single" w:sz="4" w:space="0" w:color="auto"/>
              <w:left w:val="single" w:sz="4" w:space="0" w:color="auto"/>
              <w:bottom w:val="single" w:sz="4" w:space="0" w:color="auto"/>
              <w:right w:val="single" w:sz="4" w:space="0" w:color="auto"/>
            </w:tcBorders>
            <w:vAlign w:val="center"/>
          </w:tcPr>
          <w:p w14:paraId="480FFCCC" w14:textId="77777777" w:rsidR="001F702C" w:rsidRDefault="00BD18A1">
            <w:pPr>
              <w:widowControl/>
              <w:snapToGrid w:val="0"/>
              <w:jc w:val="left"/>
              <w:rPr>
                <w:rFonts w:ascii="宋体" w:hAnsi="宋体"/>
                <w:color w:val="000000"/>
                <w:kern w:val="0"/>
                <w:sz w:val="25"/>
                <w:szCs w:val="24"/>
              </w:rPr>
            </w:pPr>
            <w:r>
              <w:rPr>
                <w:rFonts w:ascii="Times New Roman" w:hAnsi="Times New Roman"/>
                <w:color w:val="000000"/>
                <w:kern w:val="0"/>
                <w:sz w:val="25"/>
                <w:szCs w:val="24"/>
              </w:rPr>
              <w:t>其他资产</w:t>
            </w:r>
          </w:p>
        </w:tc>
        <w:tc>
          <w:tcPr>
            <w:tcW w:w="750" w:type="pct"/>
            <w:tcBorders>
              <w:top w:val="single" w:sz="4" w:space="0" w:color="auto"/>
              <w:left w:val="single" w:sz="4" w:space="0" w:color="auto"/>
              <w:bottom w:val="single" w:sz="4" w:space="0" w:color="auto"/>
              <w:right w:val="single" w:sz="4" w:space="0" w:color="auto"/>
            </w:tcBorders>
            <w:vAlign w:val="center"/>
          </w:tcPr>
          <w:p w14:paraId="2861FD7F" w14:textId="77777777" w:rsidR="001F702C" w:rsidRDefault="00BD18A1">
            <w:pPr>
              <w:widowControl/>
              <w:snapToGrid w:val="0"/>
              <w:jc w:val="right"/>
              <w:rPr>
                <w:rFonts w:ascii="宋体" w:hAnsi="宋体"/>
                <w:color w:val="000000"/>
                <w:kern w:val="0"/>
                <w:sz w:val="25"/>
                <w:szCs w:val="24"/>
              </w:rPr>
            </w:pPr>
            <w:r>
              <w:rPr>
                <w:rFonts w:ascii="Times New Roman" w:hAnsi="Times New Roman"/>
                <w:color w:val="000000"/>
                <w:kern w:val="0"/>
                <w:sz w:val="25"/>
                <w:szCs w:val="24"/>
              </w:rPr>
              <w:t>142,244,397.16</w:t>
            </w:r>
          </w:p>
        </w:tc>
        <w:tc>
          <w:tcPr>
            <w:tcW w:w="400" w:type="pct"/>
            <w:tcBorders>
              <w:top w:val="single" w:sz="4" w:space="0" w:color="auto"/>
              <w:left w:val="single" w:sz="4" w:space="0" w:color="auto"/>
              <w:bottom w:val="single" w:sz="4" w:space="0" w:color="auto"/>
              <w:right w:val="single" w:sz="4" w:space="0" w:color="auto"/>
            </w:tcBorders>
            <w:vAlign w:val="center"/>
          </w:tcPr>
          <w:p w14:paraId="5246AD61" w14:textId="77777777" w:rsidR="001F702C" w:rsidRDefault="00BD18A1">
            <w:pPr>
              <w:widowControl/>
              <w:snapToGrid w:val="0"/>
              <w:jc w:val="right"/>
              <w:rPr>
                <w:rFonts w:ascii="宋体" w:hAnsi="宋体"/>
                <w:color w:val="000000"/>
                <w:kern w:val="0"/>
                <w:sz w:val="25"/>
                <w:szCs w:val="24"/>
              </w:rPr>
            </w:pPr>
            <w:r>
              <w:rPr>
                <w:rFonts w:ascii="Times New Roman" w:hAnsi="Times New Roman"/>
                <w:color w:val="000000"/>
                <w:kern w:val="0"/>
                <w:sz w:val="25"/>
                <w:szCs w:val="24"/>
              </w:rPr>
              <w:t>1.87</w:t>
            </w:r>
          </w:p>
        </w:tc>
      </w:tr>
      <w:tr w:rsidR="001F702C" w14:paraId="031E1E0F"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5F251A59" w14:textId="77777777" w:rsidR="001F702C" w:rsidRDefault="00BD18A1">
            <w:pPr>
              <w:widowControl/>
              <w:snapToGrid w:val="0"/>
              <w:jc w:val="center"/>
              <w:rPr>
                <w:rFonts w:ascii="宋体" w:hAnsi="宋体"/>
                <w:color w:val="000000"/>
                <w:kern w:val="0"/>
                <w:sz w:val="25"/>
                <w:szCs w:val="24"/>
              </w:rPr>
            </w:pPr>
            <w:r>
              <w:rPr>
                <w:rFonts w:ascii="Times New Roman" w:hAnsi="Times New Roman"/>
                <w:color w:val="000000"/>
                <w:kern w:val="0"/>
                <w:sz w:val="25"/>
                <w:szCs w:val="24"/>
              </w:rPr>
              <w:t>9</w:t>
            </w:r>
          </w:p>
        </w:tc>
        <w:tc>
          <w:tcPr>
            <w:tcW w:w="750" w:type="pct"/>
            <w:tcBorders>
              <w:top w:val="single" w:sz="4" w:space="0" w:color="auto"/>
              <w:left w:val="single" w:sz="4" w:space="0" w:color="auto"/>
              <w:bottom w:val="single" w:sz="4" w:space="0" w:color="auto"/>
              <w:right w:val="single" w:sz="4" w:space="0" w:color="auto"/>
            </w:tcBorders>
            <w:vAlign w:val="center"/>
          </w:tcPr>
          <w:p w14:paraId="2D70C28B" w14:textId="77777777" w:rsidR="001F702C" w:rsidRDefault="00BD18A1">
            <w:pPr>
              <w:widowControl/>
              <w:snapToGrid w:val="0"/>
              <w:jc w:val="left"/>
              <w:rPr>
                <w:rFonts w:ascii="宋体" w:hAnsi="宋体"/>
                <w:color w:val="000000"/>
                <w:kern w:val="0"/>
                <w:sz w:val="25"/>
                <w:szCs w:val="24"/>
              </w:rPr>
            </w:pPr>
            <w:r>
              <w:rPr>
                <w:rFonts w:ascii="Times New Roman" w:hAnsi="Times New Roman"/>
                <w:color w:val="000000"/>
                <w:kern w:val="0"/>
                <w:sz w:val="25"/>
                <w:szCs w:val="24"/>
              </w:rPr>
              <w:t>合计</w:t>
            </w:r>
          </w:p>
        </w:tc>
        <w:tc>
          <w:tcPr>
            <w:tcW w:w="750" w:type="pct"/>
            <w:tcBorders>
              <w:top w:val="single" w:sz="4" w:space="0" w:color="auto"/>
              <w:left w:val="single" w:sz="4" w:space="0" w:color="auto"/>
              <w:bottom w:val="single" w:sz="4" w:space="0" w:color="auto"/>
              <w:right w:val="single" w:sz="4" w:space="0" w:color="auto"/>
            </w:tcBorders>
            <w:vAlign w:val="center"/>
          </w:tcPr>
          <w:p w14:paraId="59E40BC9" w14:textId="77777777" w:rsidR="001F702C" w:rsidRDefault="00BD18A1">
            <w:pPr>
              <w:widowControl/>
              <w:snapToGrid w:val="0"/>
              <w:jc w:val="right"/>
              <w:rPr>
                <w:rFonts w:ascii="宋体" w:hAnsi="宋体"/>
                <w:color w:val="000000"/>
                <w:kern w:val="0"/>
                <w:sz w:val="25"/>
                <w:szCs w:val="24"/>
              </w:rPr>
            </w:pPr>
            <w:r>
              <w:rPr>
                <w:rFonts w:ascii="Times New Roman" w:hAnsi="Times New Roman"/>
                <w:color w:val="000000"/>
                <w:kern w:val="0"/>
                <w:sz w:val="25"/>
                <w:szCs w:val="24"/>
              </w:rPr>
              <w:t>7,593,084,116.64</w:t>
            </w:r>
          </w:p>
        </w:tc>
        <w:tc>
          <w:tcPr>
            <w:tcW w:w="400" w:type="pct"/>
            <w:tcBorders>
              <w:top w:val="single" w:sz="4" w:space="0" w:color="auto"/>
              <w:left w:val="single" w:sz="4" w:space="0" w:color="auto"/>
              <w:bottom w:val="single" w:sz="4" w:space="0" w:color="auto"/>
              <w:right w:val="single" w:sz="4" w:space="0" w:color="auto"/>
            </w:tcBorders>
            <w:vAlign w:val="center"/>
          </w:tcPr>
          <w:p w14:paraId="1CA50E31" w14:textId="77777777" w:rsidR="001F702C" w:rsidRDefault="00BD18A1">
            <w:pPr>
              <w:widowControl/>
              <w:snapToGrid w:val="0"/>
              <w:jc w:val="right"/>
              <w:rPr>
                <w:rFonts w:ascii="宋体" w:hAnsi="宋体"/>
                <w:color w:val="000000"/>
                <w:kern w:val="0"/>
                <w:sz w:val="25"/>
                <w:szCs w:val="24"/>
              </w:rPr>
            </w:pPr>
            <w:r>
              <w:rPr>
                <w:rFonts w:ascii="Times New Roman" w:hAnsi="Times New Roman"/>
                <w:color w:val="000000"/>
                <w:kern w:val="0"/>
                <w:sz w:val="25"/>
                <w:szCs w:val="24"/>
              </w:rPr>
              <w:t>100.00</w:t>
            </w:r>
          </w:p>
        </w:tc>
      </w:tr>
    </w:tbl>
    <w:p w14:paraId="3573D807"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2、报告期末按行业分类的股票投资组合</w:t>
      </w:r>
    </w:p>
    <w:p w14:paraId="38334F53"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2.1 报告期末按行业分类的境内股票投资组合</w:t>
      </w:r>
    </w:p>
    <w:p w14:paraId="2376F846"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14:paraId="261F5618"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2.2 报告期末按行业分类的港股通投资股票投资组合</w:t>
      </w:r>
    </w:p>
    <w:p w14:paraId="1B36A732"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14:paraId="1AB8DFCA"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3、期末按公允价值占基金资产净值比例大小排序的股票投资明细</w:t>
      </w:r>
    </w:p>
    <w:p w14:paraId="416E0BD2"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3.1 报告期末按公允价值占基金资产净值比例大小排序的前十名股票投资明细</w:t>
      </w:r>
    </w:p>
    <w:p w14:paraId="35C83D0C"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14:paraId="5DDAD351"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4、报告期末按债券品种分类的债券投资组合</w:t>
      </w:r>
    </w:p>
    <w:tbl>
      <w:tblPr>
        <w:tblW w:w="5000" w:type="pct"/>
        <w:tblCellMar>
          <w:left w:w="0" w:type="dxa"/>
          <w:right w:w="0" w:type="dxa"/>
        </w:tblCellMar>
        <w:tblLook w:val="0000" w:firstRow="0" w:lastRow="0" w:firstColumn="0" w:lastColumn="0" w:noHBand="0" w:noVBand="0"/>
      </w:tblPr>
      <w:tblGrid>
        <w:gridCol w:w="1006"/>
        <w:gridCol w:w="3018"/>
        <w:gridCol w:w="3017"/>
        <w:gridCol w:w="1609"/>
      </w:tblGrid>
      <w:tr w:rsidR="001F702C" w14:paraId="46B99B39" w14:textId="77777777">
        <w:trPr>
          <w:cantSplit/>
          <w:trHeight w:val="375"/>
        </w:trPr>
        <w:tc>
          <w:tcPr>
            <w:tcW w:w="250" w:type="pct"/>
            <w:tcBorders>
              <w:top w:val="single" w:sz="4" w:space="0" w:color="auto"/>
              <w:left w:val="single" w:sz="4" w:space="0" w:color="auto"/>
              <w:bottom w:val="single" w:sz="4" w:space="0" w:color="auto"/>
              <w:right w:val="single" w:sz="4" w:space="0" w:color="auto"/>
            </w:tcBorders>
            <w:shd w:val="clear" w:color="auto" w:fill="D9D9D9"/>
            <w:vAlign w:val="center"/>
          </w:tcPr>
          <w:p w14:paraId="2EE9C216" w14:textId="77777777" w:rsidR="001F702C" w:rsidRDefault="00BD18A1">
            <w:pPr>
              <w:widowControl/>
              <w:snapToGrid w:val="0"/>
              <w:jc w:val="center"/>
              <w:rPr>
                <w:rFonts w:ascii="宋体" w:hAnsi="宋体"/>
                <w:color w:val="000000"/>
                <w:kern w:val="0"/>
                <w:sz w:val="25"/>
                <w:szCs w:val="24"/>
              </w:rPr>
            </w:pPr>
            <w:r>
              <w:rPr>
                <w:rFonts w:ascii="Times New Roman" w:hAnsi="Times New Roman"/>
                <w:color w:val="000000"/>
                <w:kern w:val="0"/>
                <w:sz w:val="25"/>
                <w:szCs w:val="24"/>
              </w:rPr>
              <w:t>序号</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14:paraId="58C7A2E7" w14:textId="77777777" w:rsidR="001F702C" w:rsidRDefault="00BD18A1">
            <w:pPr>
              <w:widowControl/>
              <w:snapToGrid w:val="0"/>
              <w:jc w:val="center"/>
              <w:rPr>
                <w:rFonts w:ascii="宋体" w:hAnsi="宋体"/>
                <w:color w:val="000000"/>
                <w:kern w:val="0"/>
                <w:sz w:val="25"/>
                <w:szCs w:val="24"/>
              </w:rPr>
            </w:pPr>
            <w:r>
              <w:rPr>
                <w:rFonts w:ascii="Times New Roman" w:hAnsi="Times New Roman"/>
                <w:color w:val="000000"/>
                <w:kern w:val="0"/>
                <w:sz w:val="25"/>
                <w:szCs w:val="24"/>
              </w:rPr>
              <w:t>债券品种</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14:paraId="7DC15ABF" w14:textId="77777777" w:rsidR="001F702C" w:rsidRDefault="00BD18A1">
            <w:pPr>
              <w:widowControl/>
              <w:snapToGrid w:val="0"/>
              <w:jc w:val="center"/>
              <w:rPr>
                <w:rFonts w:ascii="宋体" w:hAnsi="宋体"/>
                <w:color w:val="000000"/>
                <w:kern w:val="0"/>
                <w:sz w:val="25"/>
                <w:szCs w:val="24"/>
              </w:rPr>
            </w:pPr>
            <w:r>
              <w:rPr>
                <w:rFonts w:ascii="Times New Roman" w:hAnsi="Times New Roman"/>
                <w:color w:val="000000"/>
                <w:kern w:val="0"/>
                <w:sz w:val="25"/>
                <w:szCs w:val="24"/>
              </w:rPr>
              <w:t>公允价值（元）</w:t>
            </w:r>
          </w:p>
        </w:tc>
        <w:tc>
          <w:tcPr>
            <w:tcW w:w="400" w:type="pct"/>
            <w:tcBorders>
              <w:top w:val="single" w:sz="4" w:space="0" w:color="auto"/>
              <w:left w:val="single" w:sz="4" w:space="0" w:color="auto"/>
              <w:bottom w:val="single" w:sz="4" w:space="0" w:color="auto"/>
              <w:right w:val="single" w:sz="4" w:space="0" w:color="auto"/>
            </w:tcBorders>
            <w:shd w:val="clear" w:color="auto" w:fill="D9D9D9"/>
            <w:vAlign w:val="center"/>
          </w:tcPr>
          <w:p w14:paraId="7DC341A0" w14:textId="77777777" w:rsidR="001F702C" w:rsidRDefault="00BD18A1">
            <w:pPr>
              <w:widowControl/>
              <w:snapToGrid w:val="0"/>
              <w:jc w:val="center"/>
              <w:rPr>
                <w:rFonts w:ascii="宋体" w:hAnsi="宋体"/>
                <w:color w:val="000000"/>
                <w:kern w:val="0"/>
                <w:sz w:val="25"/>
                <w:szCs w:val="24"/>
              </w:rPr>
            </w:pPr>
            <w:r>
              <w:rPr>
                <w:rFonts w:ascii="Times New Roman" w:hAnsi="Times New Roman"/>
                <w:color w:val="000000"/>
                <w:kern w:val="0"/>
                <w:sz w:val="25"/>
                <w:szCs w:val="24"/>
              </w:rPr>
              <w:t>占基金资产净值比例（</w:t>
            </w:r>
            <w:r>
              <w:rPr>
                <w:rFonts w:ascii="Times New Roman" w:hAnsi="Times New Roman"/>
                <w:color w:val="000000"/>
                <w:kern w:val="0"/>
                <w:sz w:val="25"/>
                <w:szCs w:val="24"/>
              </w:rPr>
              <w:t>%</w:t>
            </w:r>
            <w:r>
              <w:rPr>
                <w:rFonts w:ascii="Times New Roman" w:hAnsi="Times New Roman"/>
                <w:color w:val="000000"/>
                <w:kern w:val="0"/>
                <w:sz w:val="25"/>
                <w:szCs w:val="24"/>
              </w:rPr>
              <w:t>）</w:t>
            </w:r>
          </w:p>
        </w:tc>
      </w:tr>
      <w:tr w:rsidR="001F702C" w14:paraId="0CCD2C47"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5984BC89" w14:textId="77777777" w:rsidR="001F702C" w:rsidRDefault="00BD18A1">
            <w:pPr>
              <w:widowControl/>
              <w:snapToGrid w:val="0"/>
              <w:jc w:val="center"/>
              <w:rPr>
                <w:rFonts w:ascii="宋体" w:hAnsi="宋体"/>
                <w:color w:val="000000"/>
                <w:kern w:val="0"/>
                <w:sz w:val="25"/>
                <w:szCs w:val="24"/>
              </w:rPr>
            </w:pPr>
            <w:r>
              <w:rPr>
                <w:rFonts w:ascii="Times New Roman" w:hAnsi="Times New Roman"/>
                <w:color w:val="000000"/>
                <w:kern w:val="0"/>
                <w:sz w:val="25"/>
                <w:szCs w:val="24"/>
              </w:rPr>
              <w:t>1</w:t>
            </w:r>
          </w:p>
        </w:tc>
        <w:tc>
          <w:tcPr>
            <w:tcW w:w="750" w:type="pct"/>
            <w:tcBorders>
              <w:top w:val="single" w:sz="4" w:space="0" w:color="auto"/>
              <w:left w:val="single" w:sz="4" w:space="0" w:color="auto"/>
              <w:bottom w:val="single" w:sz="4" w:space="0" w:color="auto"/>
              <w:right w:val="single" w:sz="4" w:space="0" w:color="auto"/>
            </w:tcBorders>
            <w:vAlign w:val="center"/>
          </w:tcPr>
          <w:p w14:paraId="5441C403" w14:textId="77777777" w:rsidR="001F702C" w:rsidRDefault="00BD18A1">
            <w:pPr>
              <w:widowControl/>
              <w:snapToGrid w:val="0"/>
              <w:jc w:val="left"/>
              <w:rPr>
                <w:rFonts w:ascii="宋体" w:hAnsi="宋体"/>
                <w:color w:val="000000"/>
                <w:kern w:val="0"/>
                <w:sz w:val="25"/>
                <w:szCs w:val="24"/>
              </w:rPr>
            </w:pPr>
            <w:r>
              <w:rPr>
                <w:rFonts w:ascii="Times New Roman" w:hAnsi="Times New Roman"/>
                <w:color w:val="000000"/>
                <w:kern w:val="0"/>
                <w:sz w:val="25"/>
                <w:szCs w:val="24"/>
              </w:rPr>
              <w:t>国家债券</w:t>
            </w:r>
          </w:p>
        </w:tc>
        <w:tc>
          <w:tcPr>
            <w:tcW w:w="750" w:type="pct"/>
            <w:tcBorders>
              <w:top w:val="single" w:sz="4" w:space="0" w:color="auto"/>
              <w:left w:val="single" w:sz="4" w:space="0" w:color="auto"/>
              <w:bottom w:val="single" w:sz="4" w:space="0" w:color="auto"/>
              <w:right w:val="single" w:sz="4" w:space="0" w:color="auto"/>
            </w:tcBorders>
            <w:vAlign w:val="center"/>
          </w:tcPr>
          <w:p w14:paraId="7A0984AC" w14:textId="77777777" w:rsidR="001F702C" w:rsidRDefault="00BD18A1">
            <w:pPr>
              <w:widowControl/>
              <w:snapToGrid w:val="0"/>
              <w:jc w:val="right"/>
              <w:rPr>
                <w:rFonts w:ascii="宋体" w:hAnsi="宋体"/>
                <w:color w:val="000000"/>
                <w:kern w:val="0"/>
                <w:sz w:val="25"/>
                <w:szCs w:val="24"/>
              </w:rPr>
            </w:pPr>
            <w:r>
              <w:rPr>
                <w:rFonts w:ascii="Times New Roman" w:hAnsi="Times New Roman"/>
                <w:color w:val="000000"/>
                <w:kern w:val="0"/>
                <w:sz w:val="25"/>
                <w:szCs w:val="24"/>
              </w:rPr>
              <w:t>100,508,453.04</w:t>
            </w:r>
          </w:p>
        </w:tc>
        <w:tc>
          <w:tcPr>
            <w:tcW w:w="400" w:type="pct"/>
            <w:tcBorders>
              <w:top w:val="single" w:sz="4" w:space="0" w:color="auto"/>
              <w:left w:val="single" w:sz="4" w:space="0" w:color="auto"/>
              <w:bottom w:val="single" w:sz="4" w:space="0" w:color="auto"/>
              <w:right w:val="single" w:sz="4" w:space="0" w:color="auto"/>
            </w:tcBorders>
            <w:vAlign w:val="center"/>
          </w:tcPr>
          <w:p w14:paraId="5A33B5AA" w14:textId="77777777" w:rsidR="001F702C" w:rsidRDefault="00BD18A1">
            <w:pPr>
              <w:widowControl/>
              <w:snapToGrid w:val="0"/>
              <w:jc w:val="right"/>
              <w:rPr>
                <w:rFonts w:ascii="宋体" w:hAnsi="宋体"/>
                <w:color w:val="000000"/>
                <w:kern w:val="0"/>
                <w:sz w:val="25"/>
                <w:szCs w:val="24"/>
              </w:rPr>
            </w:pPr>
            <w:r>
              <w:rPr>
                <w:rFonts w:ascii="Times New Roman" w:hAnsi="Times New Roman"/>
                <w:color w:val="000000"/>
                <w:kern w:val="0"/>
                <w:sz w:val="25"/>
                <w:szCs w:val="24"/>
              </w:rPr>
              <w:t>1.42</w:t>
            </w:r>
          </w:p>
        </w:tc>
      </w:tr>
      <w:tr w:rsidR="001F702C" w14:paraId="0990F917"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36285A63" w14:textId="77777777" w:rsidR="001F702C" w:rsidRDefault="00BD18A1">
            <w:pPr>
              <w:widowControl/>
              <w:snapToGrid w:val="0"/>
              <w:jc w:val="center"/>
              <w:rPr>
                <w:rFonts w:ascii="宋体" w:hAnsi="宋体"/>
                <w:color w:val="000000"/>
                <w:kern w:val="0"/>
                <w:sz w:val="25"/>
                <w:szCs w:val="24"/>
              </w:rPr>
            </w:pPr>
            <w:r>
              <w:rPr>
                <w:rFonts w:ascii="Times New Roman" w:hAnsi="Times New Roman"/>
                <w:color w:val="000000"/>
                <w:kern w:val="0"/>
                <w:sz w:val="25"/>
                <w:szCs w:val="24"/>
              </w:rPr>
              <w:t>2</w:t>
            </w:r>
          </w:p>
        </w:tc>
        <w:tc>
          <w:tcPr>
            <w:tcW w:w="750" w:type="pct"/>
            <w:tcBorders>
              <w:top w:val="single" w:sz="4" w:space="0" w:color="auto"/>
              <w:left w:val="single" w:sz="4" w:space="0" w:color="auto"/>
              <w:bottom w:val="single" w:sz="4" w:space="0" w:color="auto"/>
              <w:right w:val="single" w:sz="4" w:space="0" w:color="auto"/>
            </w:tcBorders>
            <w:vAlign w:val="center"/>
          </w:tcPr>
          <w:p w14:paraId="45206374" w14:textId="77777777" w:rsidR="001F702C" w:rsidRDefault="00BD18A1">
            <w:pPr>
              <w:widowControl/>
              <w:snapToGrid w:val="0"/>
              <w:jc w:val="left"/>
              <w:rPr>
                <w:rFonts w:ascii="宋体" w:hAnsi="宋体"/>
                <w:color w:val="000000"/>
                <w:kern w:val="0"/>
                <w:sz w:val="25"/>
                <w:szCs w:val="24"/>
              </w:rPr>
            </w:pPr>
            <w:r>
              <w:rPr>
                <w:rFonts w:ascii="Times New Roman" w:hAnsi="Times New Roman"/>
                <w:color w:val="000000"/>
                <w:kern w:val="0"/>
                <w:sz w:val="25"/>
                <w:szCs w:val="24"/>
              </w:rPr>
              <w:t>央行票据</w:t>
            </w:r>
          </w:p>
        </w:tc>
        <w:tc>
          <w:tcPr>
            <w:tcW w:w="750" w:type="pct"/>
            <w:tcBorders>
              <w:top w:val="single" w:sz="4" w:space="0" w:color="auto"/>
              <w:left w:val="single" w:sz="4" w:space="0" w:color="auto"/>
              <w:bottom w:val="single" w:sz="4" w:space="0" w:color="auto"/>
              <w:right w:val="single" w:sz="4" w:space="0" w:color="auto"/>
            </w:tcBorders>
            <w:vAlign w:val="center"/>
          </w:tcPr>
          <w:p w14:paraId="06942AAB" w14:textId="77777777" w:rsidR="001F702C" w:rsidRDefault="00BD18A1">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7D358735" w14:textId="77777777" w:rsidR="001F702C" w:rsidRDefault="00BD18A1">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1F702C" w14:paraId="51C98545"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19B08C26" w14:textId="77777777" w:rsidR="001F702C" w:rsidRDefault="00BD18A1">
            <w:pPr>
              <w:widowControl/>
              <w:snapToGrid w:val="0"/>
              <w:jc w:val="center"/>
              <w:rPr>
                <w:rFonts w:ascii="宋体" w:hAnsi="宋体"/>
                <w:color w:val="000000"/>
                <w:kern w:val="0"/>
                <w:sz w:val="25"/>
                <w:szCs w:val="24"/>
              </w:rPr>
            </w:pPr>
            <w:r>
              <w:rPr>
                <w:rFonts w:ascii="Times New Roman" w:hAnsi="Times New Roman"/>
                <w:color w:val="000000"/>
                <w:kern w:val="0"/>
                <w:sz w:val="25"/>
                <w:szCs w:val="24"/>
              </w:rPr>
              <w:t>3</w:t>
            </w:r>
          </w:p>
        </w:tc>
        <w:tc>
          <w:tcPr>
            <w:tcW w:w="750" w:type="pct"/>
            <w:tcBorders>
              <w:top w:val="single" w:sz="4" w:space="0" w:color="auto"/>
              <w:left w:val="single" w:sz="4" w:space="0" w:color="auto"/>
              <w:bottom w:val="single" w:sz="4" w:space="0" w:color="auto"/>
              <w:right w:val="single" w:sz="4" w:space="0" w:color="auto"/>
            </w:tcBorders>
            <w:vAlign w:val="center"/>
          </w:tcPr>
          <w:p w14:paraId="24FD4867" w14:textId="77777777" w:rsidR="001F702C" w:rsidRDefault="00BD18A1">
            <w:pPr>
              <w:widowControl/>
              <w:snapToGrid w:val="0"/>
              <w:jc w:val="left"/>
              <w:rPr>
                <w:rFonts w:ascii="宋体" w:hAnsi="宋体"/>
                <w:color w:val="000000"/>
                <w:kern w:val="0"/>
                <w:sz w:val="25"/>
                <w:szCs w:val="24"/>
              </w:rPr>
            </w:pPr>
            <w:r>
              <w:rPr>
                <w:rFonts w:ascii="Times New Roman" w:hAnsi="Times New Roman"/>
                <w:color w:val="000000"/>
                <w:kern w:val="0"/>
                <w:sz w:val="25"/>
                <w:szCs w:val="24"/>
              </w:rPr>
              <w:t>金融债券</w:t>
            </w:r>
          </w:p>
        </w:tc>
        <w:tc>
          <w:tcPr>
            <w:tcW w:w="750" w:type="pct"/>
            <w:tcBorders>
              <w:top w:val="single" w:sz="4" w:space="0" w:color="auto"/>
              <w:left w:val="single" w:sz="4" w:space="0" w:color="auto"/>
              <w:bottom w:val="single" w:sz="4" w:space="0" w:color="auto"/>
              <w:right w:val="single" w:sz="4" w:space="0" w:color="auto"/>
            </w:tcBorders>
            <w:vAlign w:val="center"/>
          </w:tcPr>
          <w:p w14:paraId="23CF4C8B" w14:textId="77777777" w:rsidR="001F702C" w:rsidRDefault="00BD18A1">
            <w:pPr>
              <w:widowControl/>
              <w:snapToGrid w:val="0"/>
              <w:jc w:val="right"/>
              <w:rPr>
                <w:rFonts w:ascii="宋体" w:hAnsi="宋体"/>
                <w:color w:val="000000"/>
                <w:kern w:val="0"/>
                <w:sz w:val="25"/>
                <w:szCs w:val="24"/>
              </w:rPr>
            </w:pPr>
            <w:r>
              <w:rPr>
                <w:rFonts w:ascii="Times New Roman" w:hAnsi="Times New Roman"/>
                <w:color w:val="000000"/>
                <w:kern w:val="0"/>
                <w:sz w:val="25"/>
                <w:szCs w:val="24"/>
              </w:rPr>
              <w:t>7,349,283,927.70</w:t>
            </w:r>
          </w:p>
        </w:tc>
        <w:tc>
          <w:tcPr>
            <w:tcW w:w="400" w:type="pct"/>
            <w:tcBorders>
              <w:top w:val="single" w:sz="4" w:space="0" w:color="auto"/>
              <w:left w:val="single" w:sz="4" w:space="0" w:color="auto"/>
              <w:bottom w:val="single" w:sz="4" w:space="0" w:color="auto"/>
              <w:right w:val="single" w:sz="4" w:space="0" w:color="auto"/>
            </w:tcBorders>
            <w:vAlign w:val="center"/>
          </w:tcPr>
          <w:p w14:paraId="62B84204" w14:textId="77777777" w:rsidR="001F702C" w:rsidRDefault="00BD18A1">
            <w:pPr>
              <w:widowControl/>
              <w:snapToGrid w:val="0"/>
              <w:jc w:val="right"/>
              <w:rPr>
                <w:rFonts w:ascii="宋体" w:hAnsi="宋体"/>
                <w:color w:val="000000"/>
                <w:kern w:val="0"/>
                <w:sz w:val="25"/>
                <w:szCs w:val="24"/>
              </w:rPr>
            </w:pPr>
            <w:r>
              <w:rPr>
                <w:rFonts w:ascii="Times New Roman" w:hAnsi="Times New Roman"/>
                <w:color w:val="000000"/>
                <w:kern w:val="0"/>
                <w:sz w:val="25"/>
                <w:szCs w:val="24"/>
              </w:rPr>
              <w:t>103.67</w:t>
            </w:r>
          </w:p>
        </w:tc>
      </w:tr>
      <w:tr w:rsidR="001F702C" w14:paraId="54E6D980"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3B0A7E89" w14:textId="77777777" w:rsidR="001F702C" w:rsidRDefault="001F702C">
            <w:pPr>
              <w:widowControl/>
              <w:snapToGrid w:val="0"/>
              <w:jc w:val="center"/>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14:paraId="1CA518C6" w14:textId="77777777" w:rsidR="001F702C" w:rsidRDefault="00BD18A1">
            <w:pPr>
              <w:widowControl/>
              <w:snapToGrid w:val="0"/>
              <w:jc w:val="left"/>
              <w:rPr>
                <w:rFonts w:ascii="宋体" w:hAnsi="宋体"/>
                <w:color w:val="000000"/>
                <w:kern w:val="0"/>
                <w:sz w:val="25"/>
                <w:szCs w:val="24"/>
              </w:rPr>
            </w:pPr>
            <w:r>
              <w:rPr>
                <w:rFonts w:ascii="Times New Roman" w:hAnsi="Times New Roman"/>
                <w:color w:val="000000"/>
                <w:kern w:val="0"/>
                <w:sz w:val="25"/>
                <w:szCs w:val="24"/>
              </w:rPr>
              <w:t>其中：政策性金融债</w:t>
            </w:r>
          </w:p>
        </w:tc>
        <w:tc>
          <w:tcPr>
            <w:tcW w:w="750" w:type="pct"/>
            <w:tcBorders>
              <w:top w:val="single" w:sz="4" w:space="0" w:color="auto"/>
              <w:left w:val="single" w:sz="4" w:space="0" w:color="auto"/>
              <w:bottom w:val="single" w:sz="4" w:space="0" w:color="auto"/>
              <w:right w:val="single" w:sz="4" w:space="0" w:color="auto"/>
            </w:tcBorders>
            <w:vAlign w:val="center"/>
          </w:tcPr>
          <w:p w14:paraId="04B436F4" w14:textId="77777777" w:rsidR="001F702C" w:rsidRDefault="00BD18A1">
            <w:pPr>
              <w:widowControl/>
              <w:snapToGrid w:val="0"/>
              <w:jc w:val="right"/>
              <w:rPr>
                <w:rFonts w:ascii="宋体" w:hAnsi="宋体"/>
                <w:color w:val="000000"/>
                <w:kern w:val="0"/>
                <w:sz w:val="25"/>
                <w:szCs w:val="24"/>
              </w:rPr>
            </w:pPr>
            <w:r>
              <w:rPr>
                <w:rFonts w:ascii="Times New Roman" w:hAnsi="Times New Roman"/>
                <w:color w:val="000000"/>
                <w:kern w:val="0"/>
                <w:sz w:val="25"/>
                <w:szCs w:val="24"/>
              </w:rPr>
              <w:t>7,349,283,927.70</w:t>
            </w:r>
          </w:p>
        </w:tc>
        <w:tc>
          <w:tcPr>
            <w:tcW w:w="400" w:type="pct"/>
            <w:tcBorders>
              <w:top w:val="single" w:sz="4" w:space="0" w:color="auto"/>
              <w:left w:val="single" w:sz="4" w:space="0" w:color="auto"/>
              <w:bottom w:val="single" w:sz="4" w:space="0" w:color="auto"/>
              <w:right w:val="single" w:sz="4" w:space="0" w:color="auto"/>
            </w:tcBorders>
            <w:vAlign w:val="center"/>
          </w:tcPr>
          <w:p w14:paraId="10ACEC03" w14:textId="77777777" w:rsidR="001F702C" w:rsidRDefault="00BD18A1">
            <w:pPr>
              <w:widowControl/>
              <w:snapToGrid w:val="0"/>
              <w:jc w:val="right"/>
              <w:rPr>
                <w:rFonts w:ascii="宋体" w:hAnsi="宋体"/>
                <w:color w:val="000000"/>
                <w:kern w:val="0"/>
                <w:sz w:val="25"/>
                <w:szCs w:val="24"/>
              </w:rPr>
            </w:pPr>
            <w:r>
              <w:rPr>
                <w:rFonts w:ascii="Times New Roman" w:hAnsi="Times New Roman"/>
                <w:color w:val="000000"/>
                <w:kern w:val="0"/>
                <w:sz w:val="25"/>
                <w:szCs w:val="24"/>
              </w:rPr>
              <w:t>103.67</w:t>
            </w:r>
          </w:p>
        </w:tc>
      </w:tr>
      <w:tr w:rsidR="001F702C" w14:paraId="1CB69191"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3732D5FF" w14:textId="77777777" w:rsidR="001F702C" w:rsidRDefault="00BD18A1">
            <w:pPr>
              <w:widowControl/>
              <w:snapToGrid w:val="0"/>
              <w:jc w:val="center"/>
              <w:rPr>
                <w:rFonts w:ascii="宋体" w:hAnsi="宋体"/>
                <w:color w:val="000000"/>
                <w:kern w:val="0"/>
                <w:sz w:val="25"/>
                <w:szCs w:val="24"/>
              </w:rPr>
            </w:pPr>
            <w:r>
              <w:rPr>
                <w:rFonts w:ascii="Times New Roman" w:hAnsi="Times New Roman"/>
                <w:color w:val="000000"/>
                <w:kern w:val="0"/>
                <w:sz w:val="25"/>
                <w:szCs w:val="24"/>
              </w:rPr>
              <w:t>4</w:t>
            </w:r>
          </w:p>
        </w:tc>
        <w:tc>
          <w:tcPr>
            <w:tcW w:w="750" w:type="pct"/>
            <w:tcBorders>
              <w:top w:val="single" w:sz="4" w:space="0" w:color="auto"/>
              <w:left w:val="single" w:sz="4" w:space="0" w:color="auto"/>
              <w:bottom w:val="single" w:sz="4" w:space="0" w:color="auto"/>
              <w:right w:val="single" w:sz="4" w:space="0" w:color="auto"/>
            </w:tcBorders>
            <w:vAlign w:val="center"/>
          </w:tcPr>
          <w:p w14:paraId="344870F4" w14:textId="77777777" w:rsidR="001F702C" w:rsidRDefault="00BD18A1">
            <w:pPr>
              <w:widowControl/>
              <w:snapToGrid w:val="0"/>
              <w:jc w:val="left"/>
              <w:rPr>
                <w:rFonts w:ascii="宋体" w:hAnsi="宋体"/>
                <w:color w:val="000000"/>
                <w:kern w:val="0"/>
                <w:sz w:val="25"/>
                <w:szCs w:val="24"/>
              </w:rPr>
            </w:pPr>
            <w:r>
              <w:rPr>
                <w:rFonts w:ascii="Times New Roman" w:hAnsi="Times New Roman"/>
                <w:color w:val="000000"/>
                <w:kern w:val="0"/>
                <w:sz w:val="25"/>
                <w:szCs w:val="24"/>
              </w:rPr>
              <w:t>企业债券</w:t>
            </w:r>
          </w:p>
        </w:tc>
        <w:tc>
          <w:tcPr>
            <w:tcW w:w="750" w:type="pct"/>
            <w:tcBorders>
              <w:top w:val="single" w:sz="4" w:space="0" w:color="auto"/>
              <w:left w:val="single" w:sz="4" w:space="0" w:color="auto"/>
              <w:bottom w:val="single" w:sz="4" w:space="0" w:color="auto"/>
              <w:right w:val="single" w:sz="4" w:space="0" w:color="auto"/>
            </w:tcBorders>
            <w:vAlign w:val="center"/>
          </w:tcPr>
          <w:p w14:paraId="5A2207E5" w14:textId="77777777" w:rsidR="001F702C" w:rsidRDefault="00BD18A1">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6695D26D" w14:textId="77777777" w:rsidR="001F702C" w:rsidRDefault="00BD18A1">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1F702C" w14:paraId="7E38C9A3"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22FB25B8" w14:textId="77777777" w:rsidR="001F702C" w:rsidRDefault="00BD18A1">
            <w:pPr>
              <w:widowControl/>
              <w:snapToGrid w:val="0"/>
              <w:jc w:val="center"/>
              <w:rPr>
                <w:rFonts w:ascii="宋体" w:hAnsi="宋体"/>
                <w:color w:val="000000"/>
                <w:kern w:val="0"/>
                <w:sz w:val="25"/>
                <w:szCs w:val="24"/>
              </w:rPr>
            </w:pPr>
            <w:r>
              <w:rPr>
                <w:rFonts w:ascii="Times New Roman" w:hAnsi="Times New Roman"/>
                <w:color w:val="000000"/>
                <w:kern w:val="0"/>
                <w:sz w:val="25"/>
                <w:szCs w:val="24"/>
              </w:rPr>
              <w:t>5</w:t>
            </w:r>
          </w:p>
        </w:tc>
        <w:tc>
          <w:tcPr>
            <w:tcW w:w="750" w:type="pct"/>
            <w:tcBorders>
              <w:top w:val="single" w:sz="4" w:space="0" w:color="auto"/>
              <w:left w:val="single" w:sz="4" w:space="0" w:color="auto"/>
              <w:bottom w:val="single" w:sz="4" w:space="0" w:color="auto"/>
              <w:right w:val="single" w:sz="4" w:space="0" w:color="auto"/>
            </w:tcBorders>
            <w:vAlign w:val="center"/>
          </w:tcPr>
          <w:p w14:paraId="17E2C69C" w14:textId="77777777" w:rsidR="001F702C" w:rsidRDefault="00BD18A1">
            <w:pPr>
              <w:widowControl/>
              <w:snapToGrid w:val="0"/>
              <w:jc w:val="left"/>
              <w:rPr>
                <w:rFonts w:ascii="宋体" w:hAnsi="宋体"/>
                <w:color w:val="000000"/>
                <w:kern w:val="0"/>
                <w:sz w:val="25"/>
                <w:szCs w:val="24"/>
              </w:rPr>
            </w:pPr>
            <w:r>
              <w:rPr>
                <w:rFonts w:ascii="Times New Roman" w:hAnsi="Times New Roman"/>
                <w:color w:val="000000"/>
                <w:kern w:val="0"/>
                <w:sz w:val="25"/>
                <w:szCs w:val="24"/>
              </w:rPr>
              <w:t>企业短期融资</w:t>
            </w:r>
            <w:proofErr w:type="gramStart"/>
            <w:r>
              <w:rPr>
                <w:rFonts w:ascii="Times New Roman" w:hAnsi="Times New Roman"/>
                <w:color w:val="000000"/>
                <w:kern w:val="0"/>
                <w:sz w:val="25"/>
                <w:szCs w:val="24"/>
              </w:rPr>
              <w:t>券</w:t>
            </w:r>
            <w:proofErr w:type="gramEnd"/>
          </w:p>
        </w:tc>
        <w:tc>
          <w:tcPr>
            <w:tcW w:w="750" w:type="pct"/>
            <w:tcBorders>
              <w:top w:val="single" w:sz="4" w:space="0" w:color="auto"/>
              <w:left w:val="single" w:sz="4" w:space="0" w:color="auto"/>
              <w:bottom w:val="single" w:sz="4" w:space="0" w:color="auto"/>
              <w:right w:val="single" w:sz="4" w:space="0" w:color="auto"/>
            </w:tcBorders>
            <w:vAlign w:val="center"/>
          </w:tcPr>
          <w:p w14:paraId="71E9FC13" w14:textId="77777777" w:rsidR="001F702C" w:rsidRDefault="00BD18A1">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387867F4" w14:textId="77777777" w:rsidR="001F702C" w:rsidRDefault="00BD18A1">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1F702C" w14:paraId="1A3CA0A9"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639C75C9" w14:textId="77777777" w:rsidR="001F702C" w:rsidRDefault="00BD18A1">
            <w:pPr>
              <w:widowControl/>
              <w:snapToGrid w:val="0"/>
              <w:jc w:val="center"/>
              <w:rPr>
                <w:rFonts w:ascii="宋体" w:hAnsi="宋体"/>
                <w:color w:val="000000"/>
                <w:kern w:val="0"/>
                <w:sz w:val="25"/>
                <w:szCs w:val="24"/>
              </w:rPr>
            </w:pPr>
            <w:r>
              <w:rPr>
                <w:rFonts w:ascii="Times New Roman" w:hAnsi="Times New Roman"/>
                <w:color w:val="000000"/>
                <w:kern w:val="0"/>
                <w:sz w:val="25"/>
                <w:szCs w:val="24"/>
              </w:rPr>
              <w:t>6</w:t>
            </w:r>
          </w:p>
        </w:tc>
        <w:tc>
          <w:tcPr>
            <w:tcW w:w="750" w:type="pct"/>
            <w:tcBorders>
              <w:top w:val="single" w:sz="4" w:space="0" w:color="auto"/>
              <w:left w:val="single" w:sz="4" w:space="0" w:color="auto"/>
              <w:bottom w:val="single" w:sz="4" w:space="0" w:color="auto"/>
              <w:right w:val="single" w:sz="4" w:space="0" w:color="auto"/>
            </w:tcBorders>
            <w:vAlign w:val="center"/>
          </w:tcPr>
          <w:p w14:paraId="045F9EBA" w14:textId="77777777" w:rsidR="001F702C" w:rsidRDefault="00BD18A1">
            <w:pPr>
              <w:widowControl/>
              <w:snapToGrid w:val="0"/>
              <w:jc w:val="left"/>
              <w:rPr>
                <w:rFonts w:ascii="宋体" w:hAnsi="宋体"/>
                <w:color w:val="000000"/>
                <w:kern w:val="0"/>
                <w:sz w:val="25"/>
                <w:szCs w:val="24"/>
              </w:rPr>
            </w:pPr>
            <w:r>
              <w:rPr>
                <w:rFonts w:ascii="Times New Roman" w:hAnsi="Times New Roman"/>
                <w:color w:val="000000"/>
                <w:kern w:val="0"/>
                <w:sz w:val="25"/>
                <w:szCs w:val="24"/>
              </w:rPr>
              <w:t>中期票据</w:t>
            </w:r>
          </w:p>
        </w:tc>
        <w:tc>
          <w:tcPr>
            <w:tcW w:w="750" w:type="pct"/>
            <w:tcBorders>
              <w:top w:val="single" w:sz="4" w:space="0" w:color="auto"/>
              <w:left w:val="single" w:sz="4" w:space="0" w:color="auto"/>
              <w:bottom w:val="single" w:sz="4" w:space="0" w:color="auto"/>
              <w:right w:val="single" w:sz="4" w:space="0" w:color="auto"/>
            </w:tcBorders>
            <w:vAlign w:val="center"/>
          </w:tcPr>
          <w:p w14:paraId="6358FEF7" w14:textId="77777777" w:rsidR="001F702C" w:rsidRDefault="00BD18A1">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683A28D0" w14:textId="77777777" w:rsidR="001F702C" w:rsidRDefault="00BD18A1">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1F702C" w14:paraId="10EDAC52"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22EC38DB" w14:textId="77777777" w:rsidR="001F702C" w:rsidRDefault="00BD18A1">
            <w:pPr>
              <w:widowControl/>
              <w:snapToGrid w:val="0"/>
              <w:jc w:val="center"/>
              <w:rPr>
                <w:rFonts w:ascii="宋体" w:hAnsi="宋体"/>
                <w:color w:val="000000"/>
                <w:kern w:val="0"/>
                <w:sz w:val="25"/>
                <w:szCs w:val="24"/>
              </w:rPr>
            </w:pPr>
            <w:r>
              <w:rPr>
                <w:rFonts w:ascii="Times New Roman" w:hAnsi="Times New Roman"/>
                <w:color w:val="000000"/>
                <w:kern w:val="0"/>
                <w:sz w:val="25"/>
                <w:szCs w:val="24"/>
              </w:rPr>
              <w:t>7</w:t>
            </w:r>
          </w:p>
        </w:tc>
        <w:tc>
          <w:tcPr>
            <w:tcW w:w="750" w:type="pct"/>
            <w:tcBorders>
              <w:top w:val="single" w:sz="4" w:space="0" w:color="auto"/>
              <w:left w:val="single" w:sz="4" w:space="0" w:color="auto"/>
              <w:bottom w:val="single" w:sz="4" w:space="0" w:color="auto"/>
              <w:right w:val="single" w:sz="4" w:space="0" w:color="auto"/>
            </w:tcBorders>
            <w:vAlign w:val="center"/>
          </w:tcPr>
          <w:p w14:paraId="5B4DEBA5" w14:textId="77777777" w:rsidR="001F702C" w:rsidRDefault="00BD18A1">
            <w:pPr>
              <w:widowControl/>
              <w:snapToGrid w:val="0"/>
              <w:jc w:val="left"/>
              <w:rPr>
                <w:rFonts w:ascii="宋体" w:hAnsi="宋体"/>
                <w:color w:val="000000"/>
                <w:kern w:val="0"/>
                <w:sz w:val="25"/>
                <w:szCs w:val="24"/>
              </w:rPr>
            </w:pPr>
            <w:r>
              <w:rPr>
                <w:rFonts w:ascii="Times New Roman" w:hAnsi="Times New Roman"/>
                <w:color w:val="000000"/>
                <w:kern w:val="0"/>
                <w:sz w:val="25"/>
                <w:szCs w:val="24"/>
              </w:rPr>
              <w:t>可转债（可交换债）</w:t>
            </w:r>
          </w:p>
        </w:tc>
        <w:tc>
          <w:tcPr>
            <w:tcW w:w="750" w:type="pct"/>
            <w:tcBorders>
              <w:top w:val="single" w:sz="4" w:space="0" w:color="auto"/>
              <w:left w:val="single" w:sz="4" w:space="0" w:color="auto"/>
              <w:bottom w:val="single" w:sz="4" w:space="0" w:color="auto"/>
              <w:right w:val="single" w:sz="4" w:space="0" w:color="auto"/>
            </w:tcBorders>
            <w:vAlign w:val="center"/>
          </w:tcPr>
          <w:p w14:paraId="5755FAB9" w14:textId="77777777" w:rsidR="001F702C" w:rsidRDefault="00BD18A1">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1880669F" w14:textId="77777777" w:rsidR="001F702C" w:rsidRDefault="00BD18A1">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1F702C" w14:paraId="0A6669AA"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08F86F01" w14:textId="77777777" w:rsidR="001F702C" w:rsidRDefault="00BD18A1">
            <w:pPr>
              <w:widowControl/>
              <w:snapToGrid w:val="0"/>
              <w:jc w:val="center"/>
              <w:rPr>
                <w:rFonts w:ascii="宋体" w:hAnsi="宋体"/>
                <w:color w:val="000000"/>
                <w:kern w:val="0"/>
                <w:sz w:val="25"/>
                <w:szCs w:val="24"/>
              </w:rPr>
            </w:pPr>
            <w:r>
              <w:rPr>
                <w:rFonts w:ascii="Times New Roman" w:hAnsi="Times New Roman"/>
                <w:color w:val="000000"/>
                <w:kern w:val="0"/>
                <w:sz w:val="25"/>
                <w:szCs w:val="24"/>
              </w:rPr>
              <w:t>8</w:t>
            </w:r>
          </w:p>
        </w:tc>
        <w:tc>
          <w:tcPr>
            <w:tcW w:w="750" w:type="pct"/>
            <w:tcBorders>
              <w:top w:val="single" w:sz="4" w:space="0" w:color="auto"/>
              <w:left w:val="single" w:sz="4" w:space="0" w:color="auto"/>
              <w:bottom w:val="single" w:sz="4" w:space="0" w:color="auto"/>
              <w:right w:val="single" w:sz="4" w:space="0" w:color="auto"/>
            </w:tcBorders>
            <w:vAlign w:val="center"/>
          </w:tcPr>
          <w:p w14:paraId="3DC72918" w14:textId="77777777" w:rsidR="001F702C" w:rsidRDefault="00BD18A1">
            <w:pPr>
              <w:widowControl/>
              <w:snapToGrid w:val="0"/>
              <w:jc w:val="left"/>
              <w:rPr>
                <w:rFonts w:ascii="宋体" w:hAnsi="宋体"/>
                <w:color w:val="000000"/>
                <w:kern w:val="0"/>
                <w:sz w:val="25"/>
                <w:szCs w:val="24"/>
              </w:rPr>
            </w:pPr>
            <w:r>
              <w:rPr>
                <w:rFonts w:ascii="Times New Roman" w:hAnsi="Times New Roman"/>
                <w:color w:val="000000"/>
                <w:kern w:val="0"/>
                <w:sz w:val="25"/>
                <w:szCs w:val="24"/>
              </w:rPr>
              <w:t>同业存单</w:t>
            </w:r>
          </w:p>
        </w:tc>
        <w:tc>
          <w:tcPr>
            <w:tcW w:w="750" w:type="pct"/>
            <w:tcBorders>
              <w:top w:val="single" w:sz="4" w:space="0" w:color="auto"/>
              <w:left w:val="single" w:sz="4" w:space="0" w:color="auto"/>
              <w:bottom w:val="single" w:sz="4" w:space="0" w:color="auto"/>
              <w:right w:val="single" w:sz="4" w:space="0" w:color="auto"/>
            </w:tcBorders>
            <w:vAlign w:val="center"/>
          </w:tcPr>
          <w:p w14:paraId="1C804C3F" w14:textId="77777777" w:rsidR="001F702C" w:rsidRDefault="00BD18A1">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00F9CE27" w14:textId="77777777" w:rsidR="001F702C" w:rsidRDefault="00BD18A1">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1F702C" w14:paraId="6E0104CE"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15F05AC8" w14:textId="77777777" w:rsidR="001F702C" w:rsidRDefault="00BD18A1">
            <w:pPr>
              <w:widowControl/>
              <w:snapToGrid w:val="0"/>
              <w:jc w:val="center"/>
              <w:rPr>
                <w:rFonts w:ascii="宋体" w:hAnsi="宋体"/>
                <w:color w:val="000000"/>
                <w:kern w:val="0"/>
                <w:sz w:val="25"/>
                <w:szCs w:val="24"/>
              </w:rPr>
            </w:pPr>
            <w:r>
              <w:rPr>
                <w:rFonts w:ascii="Times New Roman" w:hAnsi="Times New Roman"/>
                <w:color w:val="000000"/>
                <w:kern w:val="0"/>
                <w:sz w:val="25"/>
                <w:szCs w:val="24"/>
              </w:rPr>
              <w:t>9</w:t>
            </w:r>
          </w:p>
        </w:tc>
        <w:tc>
          <w:tcPr>
            <w:tcW w:w="750" w:type="pct"/>
            <w:tcBorders>
              <w:top w:val="single" w:sz="4" w:space="0" w:color="auto"/>
              <w:left w:val="single" w:sz="4" w:space="0" w:color="auto"/>
              <w:bottom w:val="single" w:sz="4" w:space="0" w:color="auto"/>
              <w:right w:val="single" w:sz="4" w:space="0" w:color="auto"/>
            </w:tcBorders>
            <w:vAlign w:val="center"/>
          </w:tcPr>
          <w:p w14:paraId="40D7563A" w14:textId="77777777" w:rsidR="001F702C" w:rsidRDefault="00BD18A1">
            <w:pPr>
              <w:widowControl/>
              <w:snapToGrid w:val="0"/>
              <w:jc w:val="left"/>
              <w:rPr>
                <w:rFonts w:ascii="宋体" w:hAnsi="宋体"/>
                <w:color w:val="000000"/>
                <w:kern w:val="0"/>
                <w:sz w:val="25"/>
                <w:szCs w:val="24"/>
              </w:rPr>
            </w:pPr>
            <w:r>
              <w:rPr>
                <w:rFonts w:ascii="Times New Roman" w:hAnsi="Times New Roman"/>
                <w:color w:val="000000"/>
                <w:kern w:val="0"/>
                <w:sz w:val="25"/>
                <w:szCs w:val="24"/>
              </w:rPr>
              <w:t>其他</w:t>
            </w:r>
          </w:p>
        </w:tc>
        <w:tc>
          <w:tcPr>
            <w:tcW w:w="750" w:type="pct"/>
            <w:tcBorders>
              <w:top w:val="single" w:sz="4" w:space="0" w:color="auto"/>
              <w:left w:val="single" w:sz="4" w:space="0" w:color="auto"/>
              <w:bottom w:val="single" w:sz="4" w:space="0" w:color="auto"/>
              <w:right w:val="single" w:sz="4" w:space="0" w:color="auto"/>
            </w:tcBorders>
            <w:vAlign w:val="center"/>
          </w:tcPr>
          <w:p w14:paraId="2013CDAB" w14:textId="77777777" w:rsidR="001F702C" w:rsidRDefault="00BD18A1">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32C5EC25" w14:textId="77777777" w:rsidR="001F702C" w:rsidRDefault="00BD18A1">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1F702C" w14:paraId="7E95F49E"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382249F9" w14:textId="77777777" w:rsidR="001F702C" w:rsidRDefault="00BD18A1">
            <w:pPr>
              <w:widowControl/>
              <w:snapToGrid w:val="0"/>
              <w:jc w:val="center"/>
              <w:rPr>
                <w:rFonts w:ascii="宋体" w:hAnsi="宋体"/>
                <w:color w:val="000000"/>
                <w:kern w:val="0"/>
                <w:sz w:val="25"/>
                <w:szCs w:val="24"/>
              </w:rPr>
            </w:pPr>
            <w:r>
              <w:rPr>
                <w:rFonts w:ascii="Times New Roman" w:hAnsi="Times New Roman"/>
                <w:color w:val="000000"/>
                <w:kern w:val="0"/>
                <w:sz w:val="25"/>
                <w:szCs w:val="24"/>
              </w:rPr>
              <w:t>10</w:t>
            </w:r>
          </w:p>
        </w:tc>
        <w:tc>
          <w:tcPr>
            <w:tcW w:w="750" w:type="pct"/>
            <w:tcBorders>
              <w:top w:val="single" w:sz="4" w:space="0" w:color="auto"/>
              <w:left w:val="single" w:sz="4" w:space="0" w:color="auto"/>
              <w:bottom w:val="single" w:sz="4" w:space="0" w:color="auto"/>
              <w:right w:val="single" w:sz="4" w:space="0" w:color="auto"/>
            </w:tcBorders>
            <w:vAlign w:val="center"/>
          </w:tcPr>
          <w:p w14:paraId="167CA81B" w14:textId="77777777" w:rsidR="001F702C" w:rsidRDefault="00BD18A1">
            <w:pPr>
              <w:widowControl/>
              <w:snapToGrid w:val="0"/>
              <w:jc w:val="left"/>
              <w:rPr>
                <w:rFonts w:ascii="宋体" w:hAnsi="宋体"/>
                <w:color w:val="000000"/>
                <w:kern w:val="0"/>
                <w:sz w:val="25"/>
                <w:szCs w:val="24"/>
              </w:rPr>
            </w:pPr>
            <w:r>
              <w:rPr>
                <w:rFonts w:ascii="Times New Roman" w:hAnsi="Times New Roman"/>
                <w:color w:val="000000"/>
                <w:kern w:val="0"/>
                <w:sz w:val="25"/>
                <w:szCs w:val="24"/>
              </w:rPr>
              <w:t>合计</w:t>
            </w:r>
          </w:p>
        </w:tc>
        <w:tc>
          <w:tcPr>
            <w:tcW w:w="750" w:type="pct"/>
            <w:tcBorders>
              <w:top w:val="single" w:sz="4" w:space="0" w:color="auto"/>
              <w:left w:val="single" w:sz="4" w:space="0" w:color="auto"/>
              <w:bottom w:val="single" w:sz="4" w:space="0" w:color="auto"/>
              <w:right w:val="single" w:sz="4" w:space="0" w:color="auto"/>
            </w:tcBorders>
            <w:vAlign w:val="center"/>
          </w:tcPr>
          <w:p w14:paraId="4749D4B2" w14:textId="77777777" w:rsidR="001F702C" w:rsidRDefault="00BD18A1">
            <w:pPr>
              <w:widowControl/>
              <w:snapToGrid w:val="0"/>
              <w:jc w:val="right"/>
              <w:rPr>
                <w:rFonts w:ascii="宋体" w:hAnsi="宋体"/>
                <w:color w:val="000000"/>
                <w:kern w:val="0"/>
                <w:sz w:val="25"/>
                <w:szCs w:val="24"/>
              </w:rPr>
            </w:pPr>
            <w:r>
              <w:rPr>
                <w:rFonts w:ascii="Times New Roman" w:hAnsi="Times New Roman"/>
                <w:color w:val="000000"/>
                <w:kern w:val="0"/>
                <w:sz w:val="25"/>
                <w:szCs w:val="24"/>
              </w:rPr>
              <w:t>7,449,792,380.74</w:t>
            </w:r>
          </w:p>
        </w:tc>
        <w:tc>
          <w:tcPr>
            <w:tcW w:w="400" w:type="pct"/>
            <w:tcBorders>
              <w:top w:val="single" w:sz="4" w:space="0" w:color="auto"/>
              <w:left w:val="single" w:sz="4" w:space="0" w:color="auto"/>
              <w:bottom w:val="single" w:sz="4" w:space="0" w:color="auto"/>
              <w:right w:val="single" w:sz="4" w:space="0" w:color="auto"/>
            </w:tcBorders>
            <w:vAlign w:val="center"/>
          </w:tcPr>
          <w:p w14:paraId="7671960A" w14:textId="77777777" w:rsidR="001F702C" w:rsidRDefault="00BD18A1">
            <w:pPr>
              <w:widowControl/>
              <w:snapToGrid w:val="0"/>
              <w:jc w:val="right"/>
              <w:rPr>
                <w:rFonts w:ascii="宋体" w:hAnsi="宋体"/>
                <w:color w:val="000000"/>
                <w:kern w:val="0"/>
                <w:sz w:val="25"/>
                <w:szCs w:val="24"/>
              </w:rPr>
            </w:pPr>
            <w:r>
              <w:rPr>
                <w:rFonts w:ascii="Times New Roman" w:hAnsi="Times New Roman"/>
                <w:color w:val="000000"/>
                <w:kern w:val="0"/>
                <w:sz w:val="25"/>
                <w:szCs w:val="24"/>
              </w:rPr>
              <w:t>105.09</w:t>
            </w:r>
          </w:p>
        </w:tc>
      </w:tr>
    </w:tbl>
    <w:p w14:paraId="59D63C52"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5、报告期末按公允价值占基金资产净值比例大小排序的前五名债券投资明细</w:t>
      </w:r>
    </w:p>
    <w:tbl>
      <w:tblPr>
        <w:tblW w:w="5000" w:type="pct"/>
        <w:tblCellMar>
          <w:left w:w="0" w:type="dxa"/>
          <w:right w:w="0" w:type="dxa"/>
        </w:tblCellMar>
        <w:tblLook w:val="0000" w:firstRow="0" w:lastRow="0" w:firstColumn="0" w:lastColumn="0" w:noHBand="0" w:noVBand="0"/>
      </w:tblPr>
      <w:tblGrid>
        <w:gridCol w:w="512"/>
        <w:gridCol w:w="1594"/>
        <w:gridCol w:w="1594"/>
        <w:gridCol w:w="1595"/>
        <w:gridCol w:w="1760"/>
        <w:gridCol w:w="1595"/>
      </w:tblGrid>
      <w:tr w:rsidR="001F702C" w14:paraId="08644F09" w14:textId="77777777">
        <w:trPr>
          <w:cantSplit/>
          <w:trHeight w:val="375"/>
        </w:trPr>
        <w:tc>
          <w:tcPr>
            <w:tcW w:w="250" w:type="pct"/>
            <w:tcBorders>
              <w:top w:val="single" w:sz="4" w:space="0" w:color="auto"/>
              <w:left w:val="single" w:sz="4" w:space="0" w:color="auto"/>
              <w:bottom w:val="single" w:sz="4" w:space="0" w:color="auto"/>
              <w:right w:val="single" w:sz="4" w:space="0" w:color="auto"/>
            </w:tcBorders>
            <w:shd w:val="clear" w:color="auto" w:fill="D9D9D9"/>
            <w:vAlign w:val="center"/>
          </w:tcPr>
          <w:p w14:paraId="0AD4F76D" w14:textId="77777777" w:rsidR="001F702C" w:rsidRDefault="00BD18A1">
            <w:pPr>
              <w:widowControl/>
              <w:snapToGrid w:val="0"/>
              <w:jc w:val="center"/>
              <w:rPr>
                <w:rFonts w:ascii="宋体" w:hAnsi="宋体"/>
                <w:color w:val="000000"/>
                <w:kern w:val="0"/>
                <w:sz w:val="25"/>
                <w:szCs w:val="24"/>
              </w:rPr>
            </w:pPr>
            <w:r>
              <w:rPr>
                <w:rFonts w:ascii="Times New Roman" w:hAnsi="Times New Roman"/>
                <w:color w:val="000000"/>
                <w:kern w:val="0"/>
                <w:sz w:val="25"/>
                <w:szCs w:val="24"/>
              </w:rPr>
              <w:t>序号</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14:paraId="2724B7B6" w14:textId="77777777" w:rsidR="001F702C" w:rsidRDefault="00BD18A1">
            <w:pPr>
              <w:widowControl/>
              <w:snapToGrid w:val="0"/>
              <w:jc w:val="center"/>
              <w:rPr>
                <w:rFonts w:ascii="宋体" w:hAnsi="宋体"/>
                <w:color w:val="000000"/>
                <w:kern w:val="0"/>
                <w:sz w:val="25"/>
                <w:szCs w:val="24"/>
              </w:rPr>
            </w:pPr>
            <w:r>
              <w:rPr>
                <w:rFonts w:ascii="Times New Roman" w:hAnsi="Times New Roman"/>
                <w:color w:val="000000"/>
                <w:kern w:val="0"/>
                <w:sz w:val="25"/>
                <w:szCs w:val="24"/>
              </w:rPr>
              <w:t>债券代码</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14:paraId="46A893EA" w14:textId="77777777" w:rsidR="001F702C" w:rsidRDefault="00BD18A1">
            <w:pPr>
              <w:widowControl/>
              <w:snapToGrid w:val="0"/>
              <w:jc w:val="center"/>
              <w:rPr>
                <w:rFonts w:ascii="宋体" w:hAnsi="宋体"/>
                <w:color w:val="000000"/>
                <w:kern w:val="0"/>
                <w:sz w:val="25"/>
                <w:szCs w:val="24"/>
              </w:rPr>
            </w:pPr>
            <w:r>
              <w:rPr>
                <w:rFonts w:ascii="Times New Roman" w:hAnsi="Times New Roman"/>
                <w:color w:val="000000"/>
                <w:kern w:val="0"/>
                <w:sz w:val="25"/>
                <w:szCs w:val="24"/>
              </w:rPr>
              <w:t>债券名称</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14:paraId="4C3F46D5" w14:textId="77777777" w:rsidR="001F702C" w:rsidRDefault="00BD18A1">
            <w:pPr>
              <w:widowControl/>
              <w:snapToGrid w:val="0"/>
              <w:jc w:val="center"/>
              <w:rPr>
                <w:rFonts w:ascii="宋体" w:hAnsi="宋体"/>
                <w:color w:val="000000"/>
                <w:kern w:val="0"/>
                <w:sz w:val="25"/>
                <w:szCs w:val="24"/>
              </w:rPr>
            </w:pPr>
            <w:r>
              <w:rPr>
                <w:rFonts w:ascii="Times New Roman" w:hAnsi="Times New Roman"/>
                <w:color w:val="000000"/>
                <w:kern w:val="0"/>
                <w:sz w:val="25"/>
                <w:szCs w:val="24"/>
              </w:rPr>
              <w:t>数量（张）</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14:paraId="328D3684" w14:textId="77777777" w:rsidR="001F702C" w:rsidRDefault="00BD18A1">
            <w:pPr>
              <w:widowControl/>
              <w:snapToGrid w:val="0"/>
              <w:jc w:val="center"/>
              <w:rPr>
                <w:rFonts w:ascii="宋体" w:hAnsi="宋体"/>
                <w:color w:val="000000"/>
                <w:kern w:val="0"/>
                <w:sz w:val="25"/>
                <w:szCs w:val="24"/>
              </w:rPr>
            </w:pPr>
            <w:r>
              <w:rPr>
                <w:rFonts w:ascii="Times New Roman" w:hAnsi="Times New Roman"/>
                <w:color w:val="000000"/>
                <w:kern w:val="0"/>
                <w:sz w:val="25"/>
                <w:szCs w:val="24"/>
              </w:rPr>
              <w:t>公允价值（元）</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14:paraId="6E713753" w14:textId="77777777" w:rsidR="001F702C" w:rsidRDefault="00BD18A1">
            <w:pPr>
              <w:widowControl/>
              <w:snapToGrid w:val="0"/>
              <w:jc w:val="center"/>
              <w:rPr>
                <w:rFonts w:ascii="宋体" w:hAnsi="宋体"/>
                <w:color w:val="000000"/>
                <w:kern w:val="0"/>
                <w:sz w:val="25"/>
                <w:szCs w:val="24"/>
              </w:rPr>
            </w:pPr>
            <w:r>
              <w:rPr>
                <w:rFonts w:ascii="Times New Roman" w:hAnsi="Times New Roman"/>
                <w:color w:val="000000"/>
                <w:kern w:val="0"/>
                <w:sz w:val="25"/>
                <w:szCs w:val="24"/>
              </w:rPr>
              <w:t>占基金资产净值比例（</w:t>
            </w:r>
            <w:r>
              <w:rPr>
                <w:rFonts w:ascii="Times New Roman" w:hAnsi="Times New Roman"/>
                <w:color w:val="000000"/>
                <w:kern w:val="0"/>
                <w:sz w:val="25"/>
                <w:szCs w:val="24"/>
              </w:rPr>
              <w:t>%</w:t>
            </w:r>
            <w:r>
              <w:rPr>
                <w:rFonts w:ascii="Times New Roman" w:hAnsi="Times New Roman"/>
                <w:color w:val="000000"/>
                <w:kern w:val="0"/>
                <w:sz w:val="25"/>
                <w:szCs w:val="24"/>
              </w:rPr>
              <w:t>）</w:t>
            </w:r>
          </w:p>
        </w:tc>
      </w:tr>
      <w:tr w:rsidR="001F702C" w14:paraId="6DBD7C17"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0B38C4B2" w14:textId="77777777" w:rsidR="001F702C" w:rsidRDefault="00BD18A1">
            <w:pPr>
              <w:widowControl/>
              <w:snapToGrid w:val="0"/>
              <w:jc w:val="center"/>
              <w:rPr>
                <w:rFonts w:ascii="宋体" w:hAnsi="宋体"/>
                <w:color w:val="000000"/>
                <w:kern w:val="0"/>
                <w:sz w:val="25"/>
                <w:szCs w:val="24"/>
              </w:rPr>
            </w:pPr>
            <w:r>
              <w:rPr>
                <w:rFonts w:ascii="Times New Roman" w:hAnsi="Times New Roman"/>
                <w:color w:val="000000"/>
                <w:kern w:val="0"/>
                <w:sz w:val="25"/>
                <w:szCs w:val="24"/>
              </w:rPr>
              <w:t>1</w:t>
            </w:r>
          </w:p>
        </w:tc>
        <w:tc>
          <w:tcPr>
            <w:tcW w:w="750" w:type="pct"/>
            <w:tcBorders>
              <w:top w:val="single" w:sz="4" w:space="0" w:color="auto"/>
              <w:left w:val="single" w:sz="4" w:space="0" w:color="auto"/>
              <w:bottom w:val="single" w:sz="4" w:space="0" w:color="auto"/>
              <w:right w:val="single" w:sz="4" w:space="0" w:color="auto"/>
            </w:tcBorders>
            <w:vAlign w:val="center"/>
          </w:tcPr>
          <w:p w14:paraId="1BDE8B87" w14:textId="77777777" w:rsidR="001F702C" w:rsidRDefault="00BD18A1">
            <w:pPr>
              <w:widowControl/>
              <w:snapToGrid w:val="0"/>
              <w:jc w:val="center"/>
              <w:rPr>
                <w:rFonts w:ascii="宋体" w:hAnsi="宋体"/>
                <w:color w:val="000000"/>
                <w:kern w:val="0"/>
                <w:sz w:val="25"/>
                <w:szCs w:val="24"/>
              </w:rPr>
            </w:pPr>
            <w:r>
              <w:rPr>
                <w:rFonts w:ascii="Times New Roman" w:hAnsi="Times New Roman"/>
                <w:color w:val="000000"/>
                <w:kern w:val="0"/>
                <w:sz w:val="25"/>
                <w:szCs w:val="24"/>
              </w:rPr>
              <w:t>180401</w:t>
            </w:r>
          </w:p>
        </w:tc>
        <w:tc>
          <w:tcPr>
            <w:tcW w:w="750" w:type="pct"/>
            <w:tcBorders>
              <w:top w:val="single" w:sz="4" w:space="0" w:color="auto"/>
              <w:left w:val="single" w:sz="4" w:space="0" w:color="auto"/>
              <w:bottom w:val="single" w:sz="4" w:space="0" w:color="auto"/>
              <w:right w:val="single" w:sz="4" w:space="0" w:color="auto"/>
            </w:tcBorders>
            <w:vAlign w:val="center"/>
          </w:tcPr>
          <w:p w14:paraId="439B699F" w14:textId="77777777" w:rsidR="001F702C" w:rsidRDefault="00BD18A1">
            <w:pPr>
              <w:widowControl/>
              <w:snapToGrid w:val="0"/>
              <w:jc w:val="center"/>
              <w:rPr>
                <w:rFonts w:ascii="宋体" w:hAnsi="宋体"/>
                <w:color w:val="000000"/>
                <w:kern w:val="0"/>
                <w:sz w:val="25"/>
                <w:szCs w:val="24"/>
              </w:rPr>
            </w:pPr>
            <w:r>
              <w:rPr>
                <w:rFonts w:ascii="Times New Roman" w:hAnsi="Times New Roman"/>
                <w:color w:val="000000"/>
                <w:kern w:val="0"/>
                <w:sz w:val="25"/>
                <w:szCs w:val="24"/>
              </w:rPr>
              <w:t>18</w:t>
            </w:r>
            <w:r>
              <w:rPr>
                <w:rFonts w:ascii="Times New Roman" w:hAnsi="Times New Roman"/>
                <w:color w:val="000000"/>
                <w:kern w:val="0"/>
                <w:sz w:val="25"/>
                <w:szCs w:val="24"/>
              </w:rPr>
              <w:t>农发</w:t>
            </w:r>
            <w:r>
              <w:rPr>
                <w:rFonts w:ascii="Times New Roman" w:hAnsi="Times New Roman"/>
                <w:color w:val="000000"/>
                <w:kern w:val="0"/>
                <w:sz w:val="25"/>
                <w:szCs w:val="24"/>
              </w:rPr>
              <w:t>01</w:t>
            </w:r>
          </w:p>
        </w:tc>
        <w:tc>
          <w:tcPr>
            <w:tcW w:w="750" w:type="pct"/>
            <w:tcBorders>
              <w:top w:val="single" w:sz="4" w:space="0" w:color="auto"/>
              <w:left w:val="single" w:sz="4" w:space="0" w:color="auto"/>
              <w:bottom w:val="single" w:sz="4" w:space="0" w:color="auto"/>
              <w:right w:val="single" w:sz="4" w:space="0" w:color="auto"/>
            </w:tcBorders>
            <w:vAlign w:val="center"/>
          </w:tcPr>
          <w:p w14:paraId="3C2FDFB7" w14:textId="77777777" w:rsidR="001F702C" w:rsidRDefault="00BD18A1">
            <w:pPr>
              <w:widowControl/>
              <w:snapToGrid w:val="0"/>
              <w:jc w:val="right"/>
              <w:rPr>
                <w:rFonts w:ascii="宋体" w:hAnsi="宋体"/>
                <w:color w:val="000000"/>
                <w:kern w:val="0"/>
                <w:sz w:val="25"/>
                <w:szCs w:val="24"/>
              </w:rPr>
            </w:pPr>
            <w:r>
              <w:rPr>
                <w:rFonts w:ascii="Times New Roman" w:hAnsi="Times New Roman"/>
                <w:color w:val="000000"/>
                <w:kern w:val="0"/>
                <w:sz w:val="25"/>
                <w:szCs w:val="24"/>
              </w:rPr>
              <w:t>12,100,000</w:t>
            </w:r>
          </w:p>
        </w:tc>
        <w:tc>
          <w:tcPr>
            <w:tcW w:w="750" w:type="pct"/>
            <w:tcBorders>
              <w:top w:val="single" w:sz="4" w:space="0" w:color="auto"/>
              <w:left w:val="single" w:sz="4" w:space="0" w:color="auto"/>
              <w:bottom w:val="single" w:sz="4" w:space="0" w:color="auto"/>
              <w:right w:val="single" w:sz="4" w:space="0" w:color="auto"/>
            </w:tcBorders>
            <w:vAlign w:val="center"/>
          </w:tcPr>
          <w:p w14:paraId="13A638FD" w14:textId="77777777" w:rsidR="001F702C" w:rsidRDefault="00BD18A1">
            <w:pPr>
              <w:widowControl/>
              <w:snapToGrid w:val="0"/>
              <w:jc w:val="right"/>
              <w:rPr>
                <w:rFonts w:ascii="宋体" w:hAnsi="宋体"/>
                <w:color w:val="000000"/>
                <w:kern w:val="0"/>
                <w:sz w:val="25"/>
                <w:szCs w:val="24"/>
              </w:rPr>
            </w:pPr>
            <w:r>
              <w:rPr>
                <w:rFonts w:ascii="Times New Roman" w:hAnsi="Times New Roman"/>
                <w:color w:val="000000"/>
                <w:kern w:val="0"/>
                <w:sz w:val="25"/>
                <w:szCs w:val="24"/>
              </w:rPr>
              <w:t>1,273,257,142.47</w:t>
            </w:r>
          </w:p>
        </w:tc>
        <w:tc>
          <w:tcPr>
            <w:tcW w:w="750" w:type="pct"/>
            <w:tcBorders>
              <w:top w:val="single" w:sz="4" w:space="0" w:color="auto"/>
              <w:left w:val="single" w:sz="4" w:space="0" w:color="auto"/>
              <w:bottom w:val="single" w:sz="4" w:space="0" w:color="auto"/>
              <w:right w:val="single" w:sz="4" w:space="0" w:color="auto"/>
            </w:tcBorders>
            <w:vAlign w:val="center"/>
          </w:tcPr>
          <w:p w14:paraId="6AE4FCA7" w14:textId="77777777" w:rsidR="001F702C" w:rsidRDefault="00BD18A1">
            <w:pPr>
              <w:widowControl/>
              <w:snapToGrid w:val="0"/>
              <w:jc w:val="right"/>
              <w:rPr>
                <w:rFonts w:ascii="宋体" w:hAnsi="宋体"/>
                <w:color w:val="000000"/>
                <w:kern w:val="0"/>
                <w:sz w:val="25"/>
                <w:szCs w:val="24"/>
              </w:rPr>
            </w:pPr>
            <w:r>
              <w:rPr>
                <w:rFonts w:ascii="Times New Roman" w:hAnsi="Times New Roman"/>
                <w:color w:val="000000"/>
                <w:kern w:val="0"/>
                <w:sz w:val="25"/>
                <w:szCs w:val="24"/>
              </w:rPr>
              <w:t>17.96</w:t>
            </w:r>
          </w:p>
        </w:tc>
      </w:tr>
      <w:tr w:rsidR="001F702C" w14:paraId="28C6558B"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194E6E14" w14:textId="77777777" w:rsidR="001F702C" w:rsidRDefault="00BD18A1">
            <w:pPr>
              <w:widowControl/>
              <w:snapToGrid w:val="0"/>
              <w:jc w:val="center"/>
              <w:rPr>
                <w:rFonts w:ascii="宋体" w:hAnsi="宋体"/>
                <w:color w:val="000000"/>
                <w:kern w:val="0"/>
                <w:sz w:val="25"/>
                <w:szCs w:val="24"/>
              </w:rPr>
            </w:pPr>
            <w:r>
              <w:rPr>
                <w:rFonts w:ascii="Times New Roman" w:hAnsi="Times New Roman"/>
                <w:color w:val="000000"/>
                <w:kern w:val="0"/>
                <w:sz w:val="25"/>
                <w:szCs w:val="24"/>
              </w:rPr>
              <w:t>2</w:t>
            </w:r>
          </w:p>
        </w:tc>
        <w:tc>
          <w:tcPr>
            <w:tcW w:w="750" w:type="pct"/>
            <w:tcBorders>
              <w:top w:val="single" w:sz="4" w:space="0" w:color="auto"/>
              <w:left w:val="single" w:sz="4" w:space="0" w:color="auto"/>
              <w:bottom w:val="single" w:sz="4" w:space="0" w:color="auto"/>
              <w:right w:val="single" w:sz="4" w:space="0" w:color="auto"/>
            </w:tcBorders>
            <w:vAlign w:val="center"/>
          </w:tcPr>
          <w:p w14:paraId="70E1A225" w14:textId="77777777" w:rsidR="001F702C" w:rsidRDefault="00BD18A1">
            <w:pPr>
              <w:widowControl/>
              <w:snapToGrid w:val="0"/>
              <w:jc w:val="center"/>
              <w:rPr>
                <w:rFonts w:ascii="宋体" w:hAnsi="宋体"/>
                <w:color w:val="000000"/>
                <w:kern w:val="0"/>
                <w:sz w:val="25"/>
                <w:szCs w:val="24"/>
              </w:rPr>
            </w:pPr>
            <w:r>
              <w:rPr>
                <w:rFonts w:ascii="Times New Roman" w:hAnsi="Times New Roman"/>
                <w:color w:val="000000"/>
                <w:kern w:val="0"/>
                <w:sz w:val="25"/>
                <w:szCs w:val="24"/>
              </w:rPr>
              <w:t>220403</w:t>
            </w:r>
          </w:p>
        </w:tc>
        <w:tc>
          <w:tcPr>
            <w:tcW w:w="750" w:type="pct"/>
            <w:tcBorders>
              <w:top w:val="single" w:sz="4" w:space="0" w:color="auto"/>
              <w:left w:val="single" w:sz="4" w:space="0" w:color="auto"/>
              <w:bottom w:val="single" w:sz="4" w:space="0" w:color="auto"/>
              <w:right w:val="single" w:sz="4" w:space="0" w:color="auto"/>
            </w:tcBorders>
            <w:vAlign w:val="center"/>
          </w:tcPr>
          <w:p w14:paraId="1B165E14" w14:textId="77777777" w:rsidR="001F702C" w:rsidRDefault="00BD18A1">
            <w:pPr>
              <w:widowControl/>
              <w:snapToGrid w:val="0"/>
              <w:jc w:val="center"/>
              <w:rPr>
                <w:rFonts w:ascii="宋体" w:hAnsi="宋体"/>
                <w:color w:val="000000"/>
                <w:kern w:val="0"/>
                <w:sz w:val="25"/>
                <w:szCs w:val="24"/>
              </w:rPr>
            </w:pPr>
            <w:r>
              <w:rPr>
                <w:rFonts w:ascii="Times New Roman" w:hAnsi="Times New Roman"/>
                <w:color w:val="000000"/>
                <w:kern w:val="0"/>
                <w:sz w:val="25"/>
                <w:szCs w:val="24"/>
              </w:rPr>
              <w:t>22</w:t>
            </w:r>
            <w:r>
              <w:rPr>
                <w:rFonts w:ascii="Times New Roman" w:hAnsi="Times New Roman"/>
                <w:color w:val="000000"/>
                <w:kern w:val="0"/>
                <w:sz w:val="25"/>
                <w:szCs w:val="24"/>
              </w:rPr>
              <w:t>农发</w:t>
            </w:r>
            <w:r>
              <w:rPr>
                <w:rFonts w:ascii="Times New Roman" w:hAnsi="Times New Roman"/>
                <w:color w:val="000000"/>
                <w:kern w:val="0"/>
                <w:sz w:val="25"/>
                <w:szCs w:val="24"/>
              </w:rPr>
              <w:t>03</w:t>
            </w:r>
          </w:p>
        </w:tc>
        <w:tc>
          <w:tcPr>
            <w:tcW w:w="750" w:type="pct"/>
            <w:tcBorders>
              <w:top w:val="single" w:sz="4" w:space="0" w:color="auto"/>
              <w:left w:val="single" w:sz="4" w:space="0" w:color="auto"/>
              <w:bottom w:val="single" w:sz="4" w:space="0" w:color="auto"/>
              <w:right w:val="single" w:sz="4" w:space="0" w:color="auto"/>
            </w:tcBorders>
            <w:vAlign w:val="center"/>
          </w:tcPr>
          <w:p w14:paraId="4423E9D3" w14:textId="77777777" w:rsidR="001F702C" w:rsidRDefault="00BD18A1">
            <w:pPr>
              <w:widowControl/>
              <w:snapToGrid w:val="0"/>
              <w:jc w:val="right"/>
              <w:rPr>
                <w:rFonts w:ascii="宋体" w:hAnsi="宋体"/>
                <w:color w:val="000000"/>
                <w:kern w:val="0"/>
                <w:sz w:val="25"/>
                <w:szCs w:val="24"/>
              </w:rPr>
            </w:pPr>
            <w:r>
              <w:rPr>
                <w:rFonts w:ascii="Times New Roman" w:hAnsi="Times New Roman"/>
                <w:color w:val="000000"/>
                <w:kern w:val="0"/>
                <w:sz w:val="25"/>
                <w:szCs w:val="24"/>
              </w:rPr>
              <w:t>11,800,000</w:t>
            </w:r>
          </w:p>
        </w:tc>
        <w:tc>
          <w:tcPr>
            <w:tcW w:w="750" w:type="pct"/>
            <w:tcBorders>
              <w:top w:val="single" w:sz="4" w:space="0" w:color="auto"/>
              <w:left w:val="single" w:sz="4" w:space="0" w:color="auto"/>
              <w:bottom w:val="single" w:sz="4" w:space="0" w:color="auto"/>
              <w:right w:val="single" w:sz="4" w:space="0" w:color="auto"/>
            </w:tcBorders>
            <w:vAlign w:val="center"/>
          </w:tcPr>
          <w:p w14:paraId="30CE2536" w14:textId="77777777" w:rsidR="001F702C" w:rsidRDefault="00BD18A1">
            <w:pPr>
              <w:widowControl/>
              <w:snapToGrid w:val="0"/>
              <w:jc w:val="right"/>
              <w:rPr>
                <w:rFonts w:ascii="宋体" w:hAnsi="宋体"/>
                <w:color w:val="000000"/>
                <w:kern w:val="0"/>
                <w:sz w:val="25"/>
                <w:szCs w:val="24"/>
              </w:rPr>
            </w:pPr>
            <w:r>
              <w:rPr>
                <w:rFonts w:ascii="Times New Roman" w:hAnsi="Times New Roman"/>
                <w:color w:val="000000"/>
                <w:kern w:val="0"/>
                <w:sz w:val="25"/>
                <w:szCs w:val="24"/>
              </w:rPr>
              <w:t>1,182,289,393.44</w:t>
            </w:r>
          </w:p>
        </w:tc>
        <w:tc>
          <w:tcPr>
            <w:tcW w:w="750" w:type="pct"/>
            <w:tcBorders>
              <w:top w:val="single" w:sz="4" w:space="0" w:color="auto"/>
              <w:left w:val="single" w:sz="4" w:space="0" w:color="auto"/>
              <w:bottom w:val="single" w:sz="4" w:space="0" w:color="auto"/>
              <w:right w:val="single" w:sz="4" w:space="0" w:color="auto"/>
            </w:tcBorders>
            <w:vAlign w:val="center"/>
          </w:tcPr>
          <w:p w14:paraId="6F764F1F" w14:textId="77777777" w:rsidR="001F702C" w:rsidRDefault="00BD18A1">
            <w:pPr>
              <w:widowControl/>
              <w:snapToGrid w:val="0"/>
              <w:jc w:val="right"/>
              <w:rPr>
                <w:rFonts w:ascii="宋体" w:hAnsi="宋体"/>
                <w:color w:val="000000"/>
                <w:kern w:val="0"/>
                <w:sz w:val="25"/>
                <w:szCs w:val="24"/>
              </w:rPr>
            </w:pPr>
            <w:r>
              <w:rPr>
                <w:rFonts w:ascii="Times New Roman" w:hAnsi="Times New Roman"/>
                <w:color w:val="000000"/>
                <w:kern w:val="0"/>
                <w:sz w:val="25"/>
                <w:szCs w:val="24"/>
              </w:rPr>
              <w:t>16.68</w:t>
            </w:r>
          </w:p>
        </w:tc>
      </w:tr>
      <w:tr w:rsidR="001F702C" w14:paraId="429ED02B"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5BCC83F2" w14:textId="77777777" w:rsidR="001F702C" w:rsidRDefault="00BD18A1">
            <w:pPr>
              <w:widowControl/>
              <w:snapToGrid w:val="0"/>
              <w:jc w:val="center"/>
              <w:rPr>
                <w:rFonts w:ascii="宋体" w:hAnsi="宋体"/>
                <w:color w:val="000000"/>
                <w:kern w:val="0"/>
                <w:sz w:val="25"/>
                <w:szCs w:val="24"/>
              </w:rPr>
            </w:pPr>
            <w:r>
              <w:rPr>
                <w:rFonts w:ascii="Times New Roman" w:hAnsi="Times New Roman"/>
                <w:color w:val="000000"/>
                <w:kern w:val="0"/>
                <w:sz w:val="25"/>
                <w:szCs w:val="24"/>
              </w:rPr>
              <w:t>3</w:t>
            </w:r>
          </w:p>
        </w:tc>
        <w:tc>
          <w:tcPr>
            <w:tcW w:w="750" w:type="pct"/>
            <w:tcBorders>
              <w:top w:val="single" w:sz="4" w:space="0" w:color="auto"/>
              <w:left w:val="single" w:sz="4" w:space="0" w:color="auto"/>
              <w:bottom w:val="single" w:sz="4" w:space="0" w:color="auto"/>
              <w:right w:val="single" w:sz="4" w:space="0" w:color="auto"/>
            </w:tcBorders>
            <w:vAlign w:val="center"/>
          </w:tcPr>
          <w:p w14:paraId="4FEEBB92" w14:textId="77777777" w:rsidR="001F702C" w:rsidRDefault="00BD18A1">
            <w:pPr>
              <w:widowControl/>
              <w:snapToGrid w:val="0"/>
              <w:jc w:val="center"/>
              <w:rPr>
                <w:rFonts w:ascii="宋体" w:hAnsi="宋体"/>
                <w:color w:val="000000"/>
                <w:kern w:val="0"/>
                <w:sz w:val="25"/>
                <w:szCs w:val="24"/>
              </w:rPr>
            </w:pPr>
            <w:r>
              <w:rPr>
                <w:rFonts w:ascii="Times New Roman" w:hAnsi="Times New Roman"/>
                <w:color w:val="000000"/>
                <w:kern w:val="0"/>
                <w:sz w:val="25"/>
                <w:szCs w:val="24"/>
              </w:rPr>
              <w:t>190409</w:t>
            </w:r>
          </w:p>
        </w:tc>
        <w:tc>
          <w:tcPr>
            <w:tcW w:w="750" w:type="pct"/>
            <w:tcBorders>
              <w:top w:val="single" w:sz="4" w:space="0" w:color="auto"/>
              <w:left w:val="single" w:sz="4" w:space="0" w:color="auto"/>
              <w:bottom w:val="single" w:sz="4" w:space="0" w:color="auto"/>
              <w:right w:val="single" w:sz="4" w:space="0" w:color="auto"/>
            </w:tcBorders>
            <w:vAlign w:val="center"/>
          </w:tcPr>
          <w:p w14:paraId="149EB605" w14:textId="77777777" w:rsidR="001F702C" w:rsidRDefault="00BD18A1">
            <w:pPr>
              <w:widowControl/>
              <w:snapToGrid w:val="0"/>
              <w:jc w:val="center"/>
              <w:rPr>
                <w:rFonts w:ascii="宋体" w:hAnsi="宋体"/>
                <w:color w:val="000000"/>
                <w:kern w:val="0"/>
                <w:sz w:val="25"/>
                <w:szCs w:val="24"/>
              </w:rPr>
            </w:pPr>
            <w:r>
              <w:rPr>
                <w:rFonts w:ascii="Times New Roman" w:hAnsi="Times New Roman"/>
                <w:color w:val="000000"/>
                <w:kern w:val="0"/>
                <w:sz w:val="25"/>
                <w:szCs w:val="24"/>
              </w:rPr>
              <w:t>19</w:t>
            </w:r>
            <w:r>
              <w:rPr>
                <w:rFonts w:ascii="Times New Roman" w:hAnsi="Times New Roman"/>
                <w:color w:val="000000"/>
                <w:kern w:val="0"/>
                <w:sz w:val="25"/>
                <w:szCs w:val="24"/>
              </w:rPr>
              <w:t>农发</w:t>
            </w:r>
            <w:r>
              <w:rPr>
                <w:rFonts w:ascii="Times New Roman" w:hAnsi="Times New Roman"/>
                <w:color w:val="000000"/>
                <w:kern w:val="0"/>
                <w:sz w:val="25"/>
                <w:szCs w:val="24"/>
              </w:rPr>
              <w:t>09</w:t>
            </w:r>
          </w:p>
        </w:tc>
        <w:tc>
          <w:tcPr>
            <w:tcW w:w="750" w:type="pct"/>
            <w:tcBorders>
              <w:top w:val="single" w:sz="4" w:space="0" w:color="auto"/>
              <w:left w:val="single" w:sz="4" w:space="0" w:color="auto"/>
              <w:bottom w:val="single" w:sz="4" w:space="0" w:color="auto"/>
              <w:right w:val="single" w:sz="4" w:space="0" w:color="auto"/>
            </w:tcBorders>
            <w:vAlign w:val="center"/>
          </w:tcPr>
          <w:p w14:paraId="27B99976" w14:textId="77777777" w:rsidR="001F702C" w:rsidRDefault="00BD18A1">
            <w:pPr>
              <w:widowControl/>
              <w:snapToGrid w:val="0"/>
              <w:jc w:val="right"/>
              <w:rPr>
                <w:rFonts w:ascii="宋体" w:hAnsi="宋体"/>
                <w:color w:val="000000"/>
                <w:kern w:val="0"/>
                <w:sz w:val="25"/>
                <w:szCs w:val="24"/>
              </w:rPr>
            </w:pPr>
            <w:r>
              <w:rPr>
                <w:rFonts w:ascii="Times New Roman" w:hAnsi="Times New Roman"/>
                <w:color w:val="000000"/>
                <w:kern w:val="0"/>
                <w:sz w:val="25"/>
                <w:szCs w:val="24"/>
              </w:rPr>
              <w:t>8,200,000</w:t>
            </w:r>
          </w:p>
        </w:tc>
        <w:tc>
          <w:tcPr>
            <w:tcW w:w="750" w:type="pct"/>
            <w:tcBorders>
              <w:top w:val="single" w:sz="4" w:space="0" w:color="auto"/>
              <w:left w:val="single" w:sz="4" w:space="0" w:color="auto"/>
              <w:bottom w:val="single" w:sz="4" w:space="0" w:color="auto"/>
              <w:right w:val="single" w:sz="4" w:space="0" w:color="auto"/>
            </w:tcBorders>
            <w:vAlign w:val="center"/>
          </w:tcPr>
          <w:p w14:paraId="16410DD3" w14:textId="77777777" w:rsidR="001F702C" w:rsidRDefault="00BD18A1">
            <w:pPr>
              <w:widowControl/>
              <w:snapToGrid w:val="0"/>
              <w:jc w:val="right"/>
              <w:rPr>
                <w:rFonts w:ascii="宋体" w:hAnsi="宋体"/>
                <w:color w:val="000000"/>
                <w:kern w:val="0"/>
                <w:sz w:val="25"/>
                <w:szCs w:val="24"/>
              </w:rPr>
            </w:pPr>
            <w:r>
              <w:rPr>
                <w:rFonts w:ascii="Times New Roman" w:hAnsi="Times New Roman"/>
                <w:color w:val="000000"/>
                <w:kern w:val="0"/>
                <w:sz w:val="25"/>
                <w:szCs w:val="24"/>
              </w:rPr>
              <w:t>844,695,479.45</w:t>
            </w:r>
          </w:p>
        </w:tc>
        <w:tc>
          <w:tcPr>
            <w:tcW w:w="750" w:type="pct"/>
            <w:tcBorders>
              <w:top w:val="single" w:sz="4" w:space="0" w:color="auto"/>
              <w:left w:val="single" w:sz="4" w:space="0" w:color="auto"/>
              <w:bottom w:val="single" w:sz="4" w:space="0" w:color="auto"/>
              <w:right w:val="single" w:sz="4" w:space="0" w:color="auto"/>
            </w:tcBorders>
            <w:vAlign w:val="center"/>
          </w:tcPr>
          <w:p w14:paraId="58BC15D7" w14:textId="77777777" w:rsidR="001F702C" w:rsidRDefault="00BD18A1">
            <w:pPr>
              <w:widowControl/>
              <w:snapToGrid w:val="0"/>
              <w:jc w:val="right"/>
              <w:rPr>
                <w:rFonts w:ascii="宋体" w:hAnsi="宋体"/>
                <w:color w:val="000000"/>
                <w:kern w:val="0"/>
                <w:sz w:val="25"/>
                <w:szCs w:val="24"/>
              </w:rPr>
            </w:pPr>
            <w:r>
              <w:rPr>
                <w:rFonts w:ascii="Times New Roman" w:hAnsi="Times New Roman"/>
                <w:color w:val="000000"/>
                <w:kern w:val="0"/>
                <w:sz w:val="25"/>
                <w:szCs w:val="24"/>
              </w:rPr>
              <w:t>11.92</w:t>
            </w:r>
          </w:p>
        </w:tc>
      </w:tr>
      <w:tr w:rsidR="001F702C" w14:paraId="4D58431A"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61A4CD26" w14:textId="77777777" w:rsidR="001F702C" w:rsidRDefault="00BD18A1">
            <w:pPr>
              <w:widowControl/>
              <w:snapToGrid w:val="0"/>
              <w:jc w:val="center"/>
              <w:rPr>
                <w:rFonts w:ascii="宋体" w:hAnsi="宋体"/>
                <w:color w:val="000000"/>
                <w:kern w:val="0"/>
                <w:sz w:val="25"/>
                <w:szCs w:val="24"/>
              </w:rPr>
            </w:pPr>
            <w:r>
              <w:rPr>
                <w:rFonts w:ascii="Times New Roman" w:hAnsi="Times New Roman"/>
                <w:color w:val="000000"/>
                <w:kern w:val="0"/>
                <w:sz w:val="25"/>
                <w:szCs w:val="24"/>
              </w:rPr>
              <w:t>4</w:t>
            </w:r>
          </w:p>
        </w:tc>
        <w:tc>
          <w:tcPr>
            <w:tcW w:w="750" w:type="pct"/>
            <w:tcBorders>
              <w:top w:val="single" w:sz="4" w:space="0" w:color="auto"/>
              <w:left w:val="single" w:sz="4" w:space="0" w:color="auto"/>
              <w:bottom w:val="single" w:sz="4" w:space="0" w:color="auto"/>
              <w:right w:val="single" w:sz="4" w:space="0" w:color="auto"/>
            </w:tcBorders>
            <w:vAlign w:val="center"/>
          </w:tcPr>
          <w:p w14:paraId="0A5F083E" w14:textId="77777777" w:rsidR="001F702C" w:rsidRDefault="00BD18A1">
            <w:pPr>
              <w:widowControl/>
              <w:snapToGrid w:val="0"/>
              <w:jc w:val="center"/>
              <w:rPr>
                <w:rFonts w:ascii="宋体" w:hAnsi="宋体"/>
                <w:color w:val="000000"/>
                <w:kern w:val="0"/>
                <w:sz w:val="25"/>
                <w:szCs w:val="24"/>
              </w:rPr>
            </w:pPr>
            <w:r>
              <w:rPr>
                <w:rFonts w:ascii="Times New Roman" w:hAnsi="Times New Roman"/>
                <w:color w:val="000000"/>
                <w:kern w:val="0"/>
                <w:sz w:val="25"/>
                <w:szCs w:val="24"/>
              </w:rPr>
              <w:t>092218005</w:t>
            </w:r>
          </w:p>
        </w:tc>
        <w:tc>
          <w:tcPr>
            <w:tcW w:w="750" w:type="pct"/>
            <w:tcBorders>
              <w:top w:val="single" w:sz="4" w:space="0" w:color="auto"/>
              <w:left w:val="single" w:sz="4" w:space="0" w:color="auto"/>
              <w:bottom w:val="single" w:sz="4" w:space="0" w:color="auto"/>
              <w:right w:val="single" w:sz="4" w:space="0" w:color="auto"/>
            </w:tcBorders>
            <w:vAlign w:val="center"/>
          </w:tcPr>
          <w:p w14:paraId="7ACBF967" w14:textId="77777777" w:rsidR="001F702C" w:rsidRDefault="00BD18A1">
            <w:pPr>
              <w:widowControl/>
              <w:snapToGrid w:val="0"/>
              <w:jc w:val="center"/>
              <w:rPr>
                <w:rFonts w:ascii="宋体" w:hAnsi="宋体"/>
                <w:color w:val="000000"/>
                <w:kern w:val="0"/>
                <w:sz w:val="25"/>
                <w:szCs w:val="24"/>
              </w:rPr>
            </w:pPr>
            <w:r>
              <w:rPr>
                <w:rFonts w:ascii="Times New Roman" w:hAnsi="Times New Roman"/>
                <w:color w:val="000000"/>
                <w:kern w:val="0"/>
                <w:sz w:val="25"/>
                <w:szCs w:val="24"/>
              </w:rPr>
              <w:t>22</w:t>
            </w:r>
            <w:proofErr w:type="gramStart"/>
            <w:r>
              <w:rPr>
                <w:rFonts w:ascii="Times New Roman" w:hAnsi="Times New Roman"/>
                <w:color w:val="000000"/>
                <w:kern w:val="0"/>
                <w:sz w:val="25"/>
                <w:szCs w:val="24"/>
              </w:rPr>
              <w:t>农发清发</w:t>
            </w:r>
            <w:proofErr w:type="gramEnd"/>
            <w:r>
              <w:rPr>
                <w:rFonts w:ascii="Times New Roman" w:hAnsi="Times New Roman"/>
                <w:color w:val="000000"/>
                <w:kern w:val="0"/>
                <w:sz w:val="25"/>
                <w:szCs w:val="24"/>
              </w:rPr>
              <w:t>05</w:t>
            </w:r>
          </w:p>
        </w:tc>
        <w:tc>
          <w:tcPr>
            <w:tcW w:w="750" w:type="pct"/>
            <w:tcBorders>
              <w:top w:val="single" w:sz="4" w:space="0" w:color="auto"/>
              <w:left w:val="single" w:sz="4" w:space="0" w:color="auto"/>
              <w:bottom w:val="single" w:sz="4" w:space="0" w:color="auto"/>
              <w:right w:val="single" w:sz="4" w:space="0" w:color="auto"/>
            </w:tcBorders>
            <w:vAlign w:val="center"/>
          </w:tcPr>
          <w:p w14:paraId="7E2BDE2C" w14:textId="77777777" w:rsidR="001F702C" w:rsidRDefault="00BD18A1">
            <w:pPr>
              <w:widowControl/>
              <w:snapToGrid w:val="0"/>
              <w:jc w:val="right"/>
              <w:rPr>
                <w:rFonts w:ascii="宋体" w:hAnsi="宋体"/>
                <w:color w:val="000000"/>
                <w:kern w:val="0"/>
                <w:sz w:val="25"/>
                <w:szCs w:val="24"/>
              </w:rPr>
            </w:pPr>
            <w:r>
              <w:rPr>
                <w:rFonts w:ascii="Times New Roman" w:hAnsi="Times New Roman"/>
                <w:color w:val="000000"/>
                <w:kern w:val="0"/>
                <w:sz w:val="25"/>
                <w:szCs w:val="24"/>
              </w:rPr>
              <w:t>7,500,000</w:t>
            </w:r>
          </w:p>
        </w:tc>
        <w:tc>
          <w:tcPr>
            <w:tcW w:w="750" w:type="pct"/>
            <w:tcBorders>
              <w:top w:val="single" w:sz="4" w:space="0" w:color="auto"/>
              <w:left w:val="single" w:sz="4" w:space="0" w:color="auto"/>
              <w:bottom w:val="single" w:sz="4" w:space="0" w:color="auto"/>
              <w:right w:val="single" w:sz="4" w:space="0" w:color="auto"/>
            </w:tcBorders>
            <w:vAlign w:val="center"/>
          </w:tcPr>
          <w:p w14:paraId="73F744A1" w14:textId="77777777" w:rsidR="001F702C" w:rsidRDefault="00BD18A1">
            <w:pPr>
              <w:widowControl/>
              <w:snapToGrid w:val="0"/>
              <w:jc w:val="right"/>
              <w:rPr>
                <w:rFonts w:ascii="宋体" w:hAnsi="宋体"/>
                <w:color w:val="000000"/>
                <w:kern w:val="0"/>
                <w:sz w:val="25"/>
                <w:szCs w:val="24"/>
              </w:rPr>
            </w:pPr>
            <w:r>
              <w:rPr>
                <w:rFonts w:ascii="Times New Roman" w:hAnsi="Times New Roman"/>
                <w:color w:val="000000"/>
                <w:kern w:val="0"/>
                <w:sz w:val="25"/>
                <w:szCs w:val="24"/>
              </w:rPr>
              <w:t>752,755,479.45</w:t>
            </w:r>
          </w:p>
        </w:tc>
        <w:tc>
          <w:tcPr>
            <w:tcW w:w="750" w:type="pct"/>
            <w:tcBorders>
              <w:top w:val="single" w:sz="4" w:space="0" w:color="auto"/>
              <w:left w:val="single" w:sz="4" w:space="0" w:color="auto"/>
              <w:bottom w:val="single" w:sz="4" w:space="0" w:color="auto"/>
              <w:right w:val="single" w:sz="4" w:space="0" w:color="auto"/>
            </w:tcBorders>
            <w:vAlign w:val="center"/>
          </w:tcPr>
          <w:p w14:paraId="7010BE0F" w14:textId="77777777" w:rsidR="001F702C" w:rsidRDefault="00BD18A1">
            <w:pPr>
              <w:widowControl/>
              <w:snapToGrid w:val="0"/>
              <w:jc w:val="right"/>
              <w:rPr>
                <w:rFonts w:ascii="宋体" w:hAnsi="宋体"/>
                <w:color w:val="000000"/>
                <w:kern w:val="0"/>
                <w:sz w:val="25"/>
                <w:szCs w:val="24"/>
              </w:rPr>
            </w:pPr>
            <w:r>
              <w:rPr>
                <w:rFonts w:ascii="Times New Roman" w:hAnsi="Times New Roman"/>
                <w:color w:val="000000"/>
                <w:kern w:val="0"/>
                <w:sz w:val="25"/>
                <w:szCs w:val="24"/>
              </w:rPr>
              <w:t>10.62</w:t>
            </w:r>
          </w:p>
        </w:tc>
      </w:tr>
      <w:tr w:rsidR="001F702C" w14:paraId="052C35E1"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4E132DD0" w14:textId="77777777" w:rsidR="001F702C" w:rsidRDefault="00BD18A1">
            <w:pPr>
              <w:widowControl/>
              <w:snapToGrid w:val="0"/>
              <w:jc w:val="center"/>
              <w:rPr>
                <w:rFonts w:ascii="宋体" w:hAnsi="宋体"/>
                <w:color w:val="000000"/>
                <w:kern w:val="0"/>
                <w:sz w:val="25"/>
                <w:szCs w:val="24"/>
              </w:rPr>
            </w:pPr>
            <w:r>
              <w:rPr>
                <w:rFonts w:ascii="Times New Roman" w:hAnsi="Times New Roman"/>
                <w:color w:val="000000"/>
                <w:kern w:val="0"/>
                <w:sz w:val="25"/>
                <w:szCs w:val="24"/>
              </w:rPr>
              <w:t>5</w:t>
            </w:r>
          </w:p>
        </w:tc>
        <w:tc>
          <w:tcPr>
            <w:tcW w:w="750" w:type="pct"/>
            <w:tcBorders>
              <w:top w:val="single" w:sz="4" w:space="0" w:color="auto"/>
              <w:left w:val="single" w:sz="4" w:space="0" w:color="auto"/>
              <w:bottom w:val="single" w:sz="4" w:space="0" w:color="auto"/>
              <w:right w:val="single" w:sz="4" w:space="0" w:color="auto"/>
            </w:tcBorders>
            <w:vAlign w:val="center"/>
          </w:tcPr>
          <w:p w14:paraId="50D15795" w14:textId="77777777" w:rsidR="001F702C" w:rsidRDefault="00BD18A1">
            <w:pPr>
              <w:widowControl/>
              <w:snapToGrid w:val="0"/>
              <w:jc w:val="center"/>
              <w:rPr>
                <w:rFonts w:ascii="宋体" w:hAnsi="宋体"/>
                <w:color w:val="000000"/>
                <w:kern w:val="0"/>
                <w:sz w:val="25"/>
                <w:szCs w:val="24"/>
              </w:rPr>
            </w:pPr>
            <w:r>
              <w:rPr>
                <w:rFonts w:ascii="Times New Roman" w:hAnsi="Times New Roman"/>
                <w:color w:val="000000"/>
                <w:kern w:val="0"/>
                <w:sz w:val="25"/>
                <w:szCs w:val="24"/>
              </w:rPr>
              <w:t>210406</w:t>
            </w:r>
          </w:p>
        </w:tc>
        <w:tc>
          <w:tcPr>
            <w:tcW w:w="750" w:type="pct"/>
            <w:tcBorders>
              <w:top w:val="single" w:sz="4" w:space="0" w:color="auto"/>
              <w:left w:val="single" w:sz="4" w:space="0" w:color="auto"/>
              <w:bottom w:val="single" w:sz="4" w:space="0" w:color="auto"/>
              <w:right w:val="single" w:sz="4" w:space="0" w:color="auto"/>
            </w:tcBorders>
            <w:vAlign w:val="center"/>
          </w:tcPr>
          <w:p w14:paraId="0A19D2DD" w14:textId="77777777" w:rsidR="001F702C" w:rsidRDefault="00BD18A1">
            <w:pPr>
              <w:widowControl/>
              <w:snapToGrid w:val="0"/>
              <w:jc w:val="center"/>
              <w:rPr>
                <w:rFonts w:ascii="宋体" w:hAnsi="宋体"/>
                <w:color w:val="000000"/>
                <w:kern w:val="0"/>
                <w:sz w:val="25"/>
                <w:szCs w:val="24"/>
              </w:rPr>
            </w:pPr>
            <w:r>
              <w:rPr>
                <w:rFonts w:ascii="Times New Roman" w:hAnsi="Times New Roman"/>
                <w:color w:val="000000"/>
                <w:kern w:val="0"/>
                <w:sz w:val="25"/>
                <w:szCs w:val="24"/>
              </w:rPr>
              <w:t>21</w:t>
            </w:r>
            <w:r>
              <w:rPr>
                <w:rFonts w:ascii="Times New Roman" w:hAnsi="Times New Roman"/>
                <w:color w:val="000000"/>
                <w:kern w:val="0"/>
                <w:sz w:val="25"/>
                <w:szCs w:val="24"/>
              </w:rPr>
              <w:t>农发</w:t>
            </w:r>
            <w:r>
              <w:rPr>
                <w:rFonts w:ascii="Times New Roman" w:hAnsi="Times New Roman"/>
                <w:color w:val="000000"/>
                <w:kern w:val="0"/>
                <w:sz w:val="25"/>
                <w:szCs w:val="24"/>
              </w:rPr>
              <w:t>06</w:t>
            </w:r>
          </w:p>
        </w:tc>
        <w:tc>
          <w:tcPr>
            <w:tcW w:w="750" w:type="pct"/>
            <w:tcBorders>
              <w:top w:val="single" w:sz="4" w:space="0" w:color="auto"/>
              <w:left w:val="single" w:sz="4" w:space="0" w:color="auto"/>
              <w:bottom w:val="single" w:sz="4" w:space="0" w:color="auto"/>
              <w:right w:val="single" w:sz="4" w:space="0" w:color="auto"/>
            </w:tcBorders>
            <w:vAlign w:val="center"/>
          </w:tcPr>
          <w:p w14:paraId="1BBB12B2" w14:textId="77777777" w:rsidR="001F702C" w:rsidRDefault="00BD18A1">
            <w:pPr>
              <w:widowControl/>
              <w:snapToGrid w:val="0"/>
              <w:jc w:val="right"/>
              <w:rPr>
                <w:rFonts w:ascii="宋体" w:hAnsi="宋体"/>
                <w:color w:val="000000"/>
                <w:kern w:val="0"/>
                <w:sz w:val="25"/>
                <w:szCs w:val="24"/>
              </w:rPr>
            </w:pPr>
            <w:r>
              <w:rPr>
                <w:rFonts w:ascii="Times New Roman" w:hAnsi="Times New Roman"/>
                <w:color w:val="000000"/>
                <w:kern w:val="0"/>
                <w:sz w:val="25"/>
                <w:szCs w:val="24"/>
              </w:rPr>
              <w:t>7,000,000</w:t>
            </w:r>
          </w:p>
        </w:tc>
        <w:tc>
          <w:tcPr>
            <w:tcW w:w="750" w:type="pct"/>
            <w:tcBorders>
              <w:top w:val="single" w:sz="4" w:space="0" w:color="auto"/>
              <w:left w:val="single" w:sz="4" w:space="0" w:color="auto"/>
              <w:bottom w:val="single" w:sz="4" w:space="0" w:color="auto"/>
              <w:right w:val="single" w:sz="4" w:space="0" w:color="auto"/>
            </w:tcBorders>
            <w:vAlign w:val="center"/>
          </w:tcPr>
          <w:p w14:paraId="72C90928" w14:textId="77777777" w:rsidR="001F702C" w:rsidRDefault="00BD18A1">
            <w:pPr>
              <w:widowControl/>
              <w:snapToGrid w:val="0"/>
              <w:jc w:val="right"/>
              <w:rPr>
                <w:rFonts w:ascii="宋体" w:hAnsi="宋体"/>
                <w:color w:val="000000"/>
                <w:kern w:val="0"/>
                <w:sz w:val="25"/>
                <w:szCs w:val="24"/>
              </w:rPr>
            </w:pPr>
            <w:r>
              <w:rPr>
                <w:rFonts w:ascii="Times New Roman" w:hAnsi="Times New Roman"/>
                <w:color w:val="000000"/>
                <w:kern w:val="0"/>
                <w:sz w:val="25"/>
                <w:szCs w:val="24"/>
              </w:rPr>
              <w:t>716,342,027.40</w:t>
            </w:r>
          </w:p>
        </w:tc>
        <w:tc>
          <w:tcPr>
            <w:tcW w:w="750" w:type="pct"/>
            <w:tcBorders>
              <w:top w:val="single" w:sz="4" w:space="0" w:color="auto"/>
              <w:left w:val="single" w:sz="4" w:space="0" w:color="auto"/>
              <w:bottom w:val="single" w:sz="4" w:space="0" w:color="auto"/>
              <w:right w:val="single" w:sz="4" w:space="0" w:color="auto"/>
            </w:tcBorders>
            <w:vAlign w:val="center"/>
          </w:tcPr>
          <w:p w14:paraId="25714336" w14:textId="77777777" w:rsidR="001F702C" w:rsidRDefault="00BD18A1">
            <w:pPr>
              <w:widowControl/>
              <w:snapToGrid w:val="0"/>
              <w:jc w:val="right"/>
              <w:rPr>
                <w:rFonts w:ascii="宋体" w:hAnsi="宋体"/>
                <w:color w:val="000000"/>
                <w:kern w:val="0"/>
                <w:sz w:val="25"/>
                <w:szCs w:val="24"/>
              </w:rPr>
            </w:pPr>
            <w:r>
              <w:rPr>
                <w:rFonts w:ascii="Times New Roman" w:hAnsi="Times New Roman"/>
                <w:color w:val="000000"/>
                <w:kern w:val="0"/>
                <w:sz w:val="25"/>
                <w:szCs w:val="24"/>
              </w:rPr>
              <w:t>10.10</w:t>
            </w:r>
          </w:p>
        </w:tc>
      </w:tr>
    </w:tbl>
    <w:p w14:paraId="0C1BA241"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注：|序号：1 |债券代码：180401 |债券名称：18农发01 |数量：12,100,000 |公允价值：1,273,257,142.47 |占基金净资产比例：17.96%　|序号：2 |债券代码：220403 |债券名称：22农发03 |数量：11,800,000 |公允价值：1,182,289,393.44 |占基金净资产比例：16.68%　|序号：3 |债券代码：190409 |债券名称：19农发09 |数量：8,200,000 |公允价值：844,695,479.45 |占基金净资产比例：11.92%　|序号：4 |债券代码：092218005 |债券名称：22</w:t>
      </w:r>
      <w:proofErr w:type="gramStart"/>
      <w:r>
        <w:rPr>
          <w:rFonts w:ascii="宋体" w:hAnsi="宋体"/>
          <w:sz w:val="24"/>
        </w:rPr>
        <w:t>农发清发</w:t>
      </w:r>
      <w:proofErr w:type="gramEnd"/>
      <w:r>
        <w:rPr>
          <w:rFonts w:ascii="宋体" w:hAnsi="宋体"/>
          <w:sz w:val="24"/>
        </w:rPr>
        <w:t>05 |数量：7,500,000 |公允价值：752,755,479.45 |占基金净资产比例：10.62%　|序号：5 |债券代码：210406 |债券名称：21农发06 |数量：7,000,000 |公允价值：716,342,027.40 |占基金净资产比例：10.10%　|序号：6 |债券代码：190404 |债券名称：19农发04 |数量：6,500,000 |公允价值：679,709,986.30 |占基金净资产比例：9.59%　|序号：7 |债券代码：220406 |债券名称：22农发06 |数量：</w:t>
      </w:r>
      <w:r>
        <w:rPr>
          <w:rFonts w:ascii="宋体" w:hAnsi="宋体"/>
          <w:sz w:val="24"/>
        </w:rPr>
        <w:lastRenderedPageBreak/>
        <w:t>5,800,000 |公允价值：587,427,030.14 |占基金净资产比例：8.29%　|序号：8 |债券代码：200405 |债券名称：20农发05 |数量：4,400,000 |公允价值：446,382,410.96 |占基金净资产比例：6.30%　|序号：9 |债券代码：150405 |债券名称：15农发05 |数量：3,500,000 |公允价值：360,181,260.27 |占基金净资产比例：5.08%　|序号：10 |债券代码：220411 |债券名称：22农发11 |数量：2,000,000 |公允价值：201,145,534.25 |占基金净资产比例：2.84%　|序号：11 |债券代码：220408 |债券名称：22农发08 |数量：1,700,000 |公允价值：171,190,465.75 |占基金净资产比例：2.41%　|序号：12 |债券代码：230004 |债券名称：23附息国债04 |数量：1,000,000 |公允价值：100,508,453.04 |占基金净资产比例：1.42%　|序号：13 |债券代码：180411 |债券名称：18农发11 |数量：500,000 |公允价值：52,457,123.29 |占基金净资产比例：0.74%　|序号：14 |债券代码：092218003 |债券名称：22</w:t>
      </w:r>
      <w:proofErr w:type="gramStart"/>
      <w:r>
        <w:rPr>
          <w:rFonts w:ascii="宋体" w:hAnsi="宋体"/>
          <w:sz w:val="24"/>
        </w:rPr>
        <w:t>农发清发</w:t>
      </w:r>
      <w:proofErr w:type="gramEnd"/>
      <w:r>
        <w:rPr>
          <w:rFonts w:ascii="宋体" w:hAnsi="宋体"/>
          <w:sz w:val="24"/>
        </w:rPr>
        <w:t>03 |数量：500,000 |公允价值：50,842,547.95 |占基金净资产比例：0.72%　|序号：15 |债券代码：092118101 |债券名称：21</w:t>
      </w:r>
      <w:proofErr w:type="gramStart"/>
      <w:r>
        <w:rPr>
          <w:rFonts w:ascii="宋体" w:hAnsi="宋体"/>
          <w:sz w:val="24"/>
        </w:rPr>
        <w:t>农发清发</w:t>
      </w:r>
      <w:proofErr w:type="gramEnd"/>
      <w:r>
        <w:rPr>
          <w:rFonts w:ascii="宋体" w:hAnsi="宋体"/>
          <w:sz w:val="24"/>
        </w:rPr>
        <w:t>101 |数量：300,000 |公允价值：30,608,046.58 |占基金净资产比例：0.43%</w:t>
      </w:r>
    </w:p>
    <w:p w14:paraId="1B2C3CDB"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6、报告期末按公允价值占基金资产净值比例大小排序的前十名资产支持证券投资明细</w:t>
      </w:r>
    </w:p>
    <w:p w14:paraId="0B275B9A"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14:paraId="7FF1E5B4"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7、报告期末按公允价值占基金资产净值比例大小排序的前五名贵金属投资明细</w:t>
      </w:r>
    </w:p>
    <w:p w14:paraId="7E062485"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14:paraId="4CB40584"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8、报告期末按公允价值占基金资产净值比例大小排序的前五名权证投资明细</w:t>
      </w:r>
    </w:p>
    <w:p w14:paraId="314474E4"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14:paraId="2A4523CC"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9、报告期末本基金投资的国债期货交易情况说明</w:t>
      </w:r>
    </w:p>
    <w:p w14:paraId="397B2233"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9.1 本期国债期货投资政策</w:t>
      </w:r>
    </w:p>
    <w:p w14:paraId="43DBD73E"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14:paraId="63DD41C2"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9.2 报告期末本基金投资的国债期货持仓和损益明细</w:t>
      </w:r>
    </w:p>
    <w:p w14:paraId="3A30A052"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14:paraId="76833264"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9.3 本期国债期货投资评价</w:t>
      </w:r>
    </w:p>
    <w:p w14:paraId="223126E8"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14:paraId="52AE606E"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10、投资组合报告附注</w:t>
      </w:r>
    </w:p>
    <w:p w14:paraId="06B6471D"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10.1 本基金投资的前十名证券的发行主体本期是否出现被监管部门立案调查，或在报告编制日前一年内受到公开谴责、处罚的情形</w:t>
      </w:r>
    </w:p>
    <w:p w14:paraId="19D2CD46"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报告期内本基金投资的前十名证券的发行主体未被监管部门立案调查，在本报告编制日前一年内本基金投资的前十名证券的发行主体未受到公开谴责和处罚。</w:t>
      </w:r>
    </w:p>
    <w:p w14:paraId="4719B093"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10.2 基金投资的前十名股票是否超出基金合同规定的备选股票库</w:t>
      </w:r>
    </w:p>
    <w:p w14:paraId="3F97CF72"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本基金投资的前十名股票中，没有超出基金合同规定的备选股票库之外的股票。</w:t>
      </w:r>
    </w:p>
    <w:p w14:paraId="3DFE0C4D"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10.3 其他资产构成</w:t>
      </w:r>
    </w:p>
    <w:tbl>
      <w:tblPr>
        <w:tblW w:w="5000" w:type="pct"/>
        <w:tblCellMar>
          <w:left w:w="0" w:type="dxa"/>
          <w:right w:w="0" w:type="dxa"/>
        </w:tblCellMar>
        <w:tblLook w:val="0000" w:firstRow="0" w:lastRow="0" w:firstColumn="0" w:lastColumn="0" w:noHBand="0" w:noVBand="0"/>
      </w:tblPr>
      <w:tblGrid>
        <w:gridCol w:w="1544"/>
        <w:gridCol w:w="4634"/>
        <w:gridCol w:w="2472"/>
      </w:tblGrid>
      <w:tr w:rsidR="001F702C" w14:paraId="671FEDA5" w14:textId="77777777">
        <w:trPr>
          <w:cantSplit/>
          <w:trHeight w:val="375"/>
        </w:trPr>
        <w:tc>
          <w:tcPr>
            <w:tcW w:w="250" w:type="pct"/>
            <w:tcBorders>
              <w:top w:val="single" w:sz="4" w:space="0" w:color="auto"/>
              <w:left w:val="single" w:sz="4" w:space="0" w:color="auto"/>
              <w:bottom w:val="single" w:sz="4" w:space="0" w:color="auto"/>
              <w:right w:val="single" w:sz="4" w:space="0" w:color="auto"/>
            </w:tcBorders>
            <w:shd w:val="clear" w:color="auto" w:fill="D9D9D9"/>
            <w:vAlign w:val="center"/>
          </w:tcPr>
          <w:p w14:paraId="562AAF2D" w14:textId="77777777" w:rsidR="001F702C" w:rsidRDefault="00BD18A1">
            <w:pPr>
              <w:widowControl/>
              <w:snapToGrid w:val="0"/>
              <w:jc w:val="center"/>
              <w:rPr>
                <w:rFonts w:ascii="宋体" w:hAnsi="宋体"/>
                <w:color w:val="000000"/>
                <w:kern w:val="0"/>
                <w:sz w:val="25"/>
                <w:szCs w:val="24"/>
              </w:rPr>
            </w:pPr>
            <w:r>
              <w:rPr>
                <w:rFonts w:ascii="Times New Roman" w:hAnsi="Times New Roman"/>
                <w:color w:val="000000"/>
                <w:kern w:val="0"/>
                <w:sz w:val="25"/>
                <w:szCs w:val="24"/>
              </w:rPr>
              <w:t>序号</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14:paraId="3E8F3CF2" w14:textId="77777777" w:rsidR="001F702C" w:rsidRDefault="00BD18A1">
            <w:pPr>
              <w:widowControl/>
              <w:snapToGrid w:val="0"/>
              <w:jc w:val="center"/>
              <w:rPr>
                <w:rFonts w:ascii="宋体" w:hAnsi="宋体"/>
                <w:color w:val="000000"/>
                <w:kern w:val="0"/>
                <w:sz w:val="25"/>
                <w:szCs w:val="24"/>
              </w:rPr>
            </w:pPr>
            <w:r>
              <w:rPr>
                <w:rFonts w:ascii="Times New Roman" w:hAnsi="Times New Roman"/>
                <w:color w:val="000000"/>
                <w:kern w:val="0"/>
                <w:sz w:val="25"/>
                <w:szCs w:val="24"/>
              </w:rPr>
              <w:t>名称</w:t>
            </w:r>
          </w:p>
        </w:tc>
        <w:tc>
          <w:tcPr>
            <w:tcW w:w="400" w:type="pct"/>
            <w:tcBorders>
              <w:top w:val="single" w:sz="4" w:space="0" w:color="auto"/>
              <w:left w:val="single" w:sz="4" w:space="0" w:color="auto"/>
              <w:bottom w:val="single" w:sz="4" w:space="0" w:color="auto"/>
              <w:right w:val="single" w:sz="4" w:space="0" w:color="auto"/>
            </w:tcBorders>
            <w:shd w:val="clear" w:color="auto" w:fill="D9D9D9"/>
            <w:vAlign w:val="center"/>
          </w:tcPr>
          <w:p w14:paraId="1821E376" w14:textId="77777777" w:rsidR="001F702C" w:rsidRDefault="00BD18A1">
            <w:pPr>
              <w:widowControl/>
              <w:snapToGrid w:val="0"/>
              <w:jc w:val="center"/>
              <w:rPr>
                <w:rFonts w:ascii="宋体" w:hAnsi="宋体"/>
                <w:color w:val="000000"/>
                <w:kern w:val="0"/>
                <w:sz w:val="25"/>
                <w:szCs w:val="24"/>
              </w:rPr>
            </w:pPr>
            <w:r>
              <w:rPr>
                <w:rFonts w:ascii="Times New Roman" w:hAnsi="Times New Roman"/>
                <w:color w:val="000000"/>
                <w:kern w:val="0"/>
                <w:sz w:val="25"/>
                <w:szCs w:val="24"/>
              </w:rPr>
              <w:t>金额（元）</w:t>
            </w:r>
          </w:p>
        </w:tc>
      </w:tr>
      <w:tr w:rsidR="001F702C" w14:paraId="3D0B249D"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4EECD398" w14:textId="77777777" w:rsidR="001F702C" w:rsidRDefault="00BD18A1">
            <w:pPr>
              <w:widowControl/>
              <w:snapToGrid w:val="0"/>
              <w:jc w:val="center"/>
              <w:rPr>
                <w:rFonts w:ascii="宋体" w:hAnsi="宋体"/>
                <w:color w:val="000000"/>
                <w:kern w:val="0"/>
                <w:sz w:val="25"/>
                <w:szCs w:val="24"/>
              </w:rPr>
            </w:pPr>
            <w:r>
              <w:rPr>
                <w:rFonts w:ascii="Times New Roman" w:hAnsi="Times New Roman"/>
                <w:color w:val="000000"/>
                <w:kern w:val="0"/>
                <w:sz w:val="25"/>
                <w:szCs w:val="24"/>
              </w:rPr>
              <w:t>1</w:t>
            </w:r>
          </w:p>
        </w:tc>
        <w:tc>
          <w:tcPr>
            <w:tcW w:w="750" w:type="pct"/>
            <w:tcBorders>
              <w:top w:val="single" w:sz="4" w:space="0" w:color="auto"/>
              <w:left w:val="single" w:sz="4" w:space="0" w:color="auto"/>
              <w:bottom w:val="single" w:sz="4" w:space="0" w:color="auto"/>
              <w:right w:val="single" w:sz="4" w:space="0" w:color="auto"/>
            </w:tcBorders>
            <w:vAlign w:val="center"/>
          </w:tcPr>
          <w:p w14:paraId="6E7E4356" w14:textId="77777777" w:rsidR="001F702C" w:rsidRDefault="00BD18A1">
            <w:pPr>
              <w:widowControl/>
              <w:snapToGrid w:val="0"/>
              <w:jc w:val="left"/>
              <w:rPr>
                <w:rFonts w:ascii="宋体" w:hAnsi="宋体"/>
                <w:color w:val="000000"/>
                <w:kern w:val="0"/>
                <w:sz w:val="25"/>
                <w:szCs w:val="24"/>
              </w:rPr>
            </w:pPr>
            <w:r>
              <w:rPr>
                <w:rFonts w:ascii="Times New Roman" w:hAnsi="Times New Roman"/>
                <w:color w:val="000000"/>
                <w:kern w:val="0"/>
                <w:sz w:val="25"/>
                <w:szCs w:val="24"/>
              </w:rPr>
              <w:t>存出保证金</w:t>
            </w:r>
          </w:p>
        </w:tc>
        <w:tc>
          <w:tcPr>
            <w:tcW w:w="400" w:type="pct"/>
            <w:tcBorders>
              <w:top w:val="single" w:sz="4" w:space="0" w:color="auto"/>
              <w:left w:val="single" w:sz="4" w:space="0" w:color="auto"/>
              <w:bottom w:val="single" w:sz="4" w:space="0" w:color="auto"/>
              <w:right w:val="single" w:sz="4" w:space="0" w:color="auto"/>
            </w:tcBorders>
            <w:vAlign w:val="center"/>
          </w:tcPr>
          <w:p w14:paraId="7CEA2144" w14:textId="77777777" w:rsidR="001F702C" w:rsidRDefault="00BD18A1">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1F702C" w14:paraId="3456DF4B"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6F887F10" w14:textId="77777777" w:rsidR="001F702C" w:rsidRDefault="00BD18A1">
            <w:pPr>
              <w:widowControl/>
              <w:snapToGrid w:val="0"/>
              <w:jc w:val="center"/>
              <w:rPr>
                <w:rFonts w:ascii="宋体" w:hAnsi="宋体"/>
                <w:color w:val="000000"/>
                <w:kern w:val="0"/>
                <w:sz w:val="25"/>
                <w:szCs w:val="24"/>
              </w:rPr>
            </w:pPr>
            <w:r>
              <w:rPr>
                <w:rFonts w:ascii="Times New Roman" w:hAnsi="Times New Roman"/>
                <w:color w:val="000000"/>
                <w:kern w:val="0"/>
                <w:sz w:val="25"/>
                <w:szCs w:val="24"/>
              </w:rPr>
              <w:t>2</w:t>
            </w:r>
          </w:p>
        </w:tc>
        <w:tc>
          <w:tcPr>
            <w:tcW w:w="750" w:type="pct"/>
            <w:tcBorders>
              <w:top w:val="single" w:sz="4" w:space="0" w:color="auto"/>
              <w:left w:val="single" w:sz="4" w:space="0" w:color="auto"/>
              <w:bottom w:val="single" w:sz="4" w:space="0" w:color="auto"/>
              <w:right w:val="single" w:sz="4" w:space="0" w:color="auto"/>
            </w:tcBorders>
            <w:vAlign w:val="center"/>
          </w:tcPr>
          <w:p w14:paraId="627F7575" w14:textId="77777777" w:rsidR="001F702C" w:rsidRDefault="00BD18A1">
            <w:pPr>
              <w:widowControl/>
              <w:snapToGrid w:val="0"/>
              <w:jc w:val="left"/>
              <w:rPr>
                <w:rFonts w:ascii="宋体" w:hAnsi="宋体"/>
                <w:color w:val="000000"/>
                <w:kern w:val="0"/>
                <w:sz w:val="25"/>
                <w:szCs w:val="24"/>
              </w:rPr>
            </w:pPr>
            <w:r>
              <w:rPr>
                <w:rFonts w:ascii="Times New Roman" w:hAnsi="Times New Roman"/>
                <w:color w:val="000000"/>
                <w:kern w:val="0"/>
                <w:sz w:val="25"/>
                <w:szCs w:val="24"/>
              </w:rPr>
              <w:t>应收证券清算款</w:t>
            </w:r>
          </w:p>
        </w:tc>
        <w:tc>
          <w:tcPr>
            <w:tcW w:w="400" w:type="pct"/>
            <w:tcBorders>
              <w:top w:val="single" w:sz="4" w:space="0" w:color="auto"/>
              <w:left w:val="single" w:sz="4" w:space="0" w:color="auto"/>
              <w:bottom w:val="single" w:sz="4" w:space="0" w:color="auto"/>
              <w:right w:val="single" w:sz="4" w:space="0" w:color="auto"/>
            </w:tcBorders>
            <w:vAlign w:val="center"/>
          </w:tcPr>
          <w:p w14:paraId="4EC9F207" w14:textId="77777777" w:rsidR="001F702C" w:rsidRDefault="00BD18A1">
            <w:pPr>
              <w:widowControl/>
              <w:snapToGrid w:val="0"/>
              <w:jc w:val="right"/>
              <w:rPr>
                <w:rFonts w:ascii="宋体" w:hAnsi="宋体"/>
                <w:color w:val="000000"/>
                <w:kern w:val="0"/>
                <w:sz w:val="25"/>
                <w:szCs w:val="24"/>
              </w:rPr>
            </w:pPr>
            <w:r>
              <w:rPr>
                <w:rFonts w:ascii="Times New Roman" w:hAnsi="Times New Roman"/>
                <w:color w:val="000000"/>
                <w:kern w:val="0"/>
                <w:sz w:val="25"/>
                <w:szCs w:val="24"/>
              </w:rPr>
              <w:t>142,185,607.39</w:t>
            </w:r>
          </w:p>
        </w:tc>
      </w:tr>
      <w:tr w:rsidR="001F702C" w14:paraId="5D534722"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03C1178B" w14:textId="77777777" w:rsidR="001F702C" w:rsidRDefault="00BD18A1">
            <w:pPr>
              <w:widowControl/>
              <w:snapToGrid w:val="0"/>
              <w:jc w:val="center"/>
              <w:rPr>
                <w:rFonts w:ascii="宋体" w:hAnsi="宋体"/>
                <w:color w:val="000000"/>
                <w:kern w:val="0"/>
                <w:sz w:val="25"/>
                <w:szCs w:val="24"/>
              </w:rPr>
            </w:pPr>
            <w:r>
              <w:rPr>
                <w:rFonts w:ascii="Times New Roman" w:hAnsi="Times New Roman"/>
                <w:color w:val="000000"/>
                <w:kern w:val="0"/>
                <w:sz w:val="25"/>
                <w:szCs w:val="24"/>
              </w:rPr>
              <w:t>3</w:t>
            </w:r>
          </w:p>
        </w:tc>
        <w:tc>
          <w:tcPr>
            <w:tcW w:w="750" w:type="pct"/>
            <w:tcBorders>
              <w:top w:val="single" w:sz="4" w:space="0" w:color="auto"/>
              <w:left w:val="single" w:sz="4" w:space="0" w:color="auto"/>
              <w:bottom w:val="single" w:sz="4" w:space="0" w:color="auto"/>
              <w:right w:val="single" w:sz="4" w:space="0" w:color="auto"/>
            </w:tcBorders>
            <w:vAlign w:val="center"/>
          </w:tcPr>
          <w:p w14:paraId="21B0D410" w14:textId="77777777" w:rsidR="001F702C" w:rsidRDefault="00BD18A1">
            <w:pPr>
              <w:widowControl/>
              <w:snapToGrid w:val="0"/>
              <w:jc w:val="left"/>
              <w:rPr>
                <w:rFonts w:ascii="宋体" w:hAnsi="宋体"/>
                <w:color w:val="000000"/>
                <w:kern w:val="0"/>
                <w:sz w:val="25"/>
                <w:szCs w:val="24"/>
              </w:rPr>
            </w:pPr>
            <w:r>
              <w:rPr>
                <w:rFonts w:ascii="Times New Roman" w:hAnsi="Times New Roman"/>
                <w:color w:val="000000"/>
                <w:kern w:val="0"/>
                <w:sz w:val="25"/>
                <w:szCs w:val="24"/>
              </w:rPr>
              <w:t>应收股利</w:t>
            </w:r>
          </w:p>
        </w:tc>
        <w:tc>
          <w:tcPr>
            <w:tcW w:w="400" w:type="pct"/>
            <w:tcBorders>
              <w:top w:val="single" w:sz="4" w:space="0" w:color="auto"/>
              <w:left w:val="single" w:sz="4" w:space="0" w:color="auto"/>
              <w:bottom w:val="single" w:sz="4" w:space="0" w:color="auto"/>
              <w:right w:val="single" w:sz="4" w:space="0" w:color="auto"/>
            </w:tcBorders>
            <w:vAlign w:val="center"/>
          </w:tcPr>
          <w:p w14:paraId="17C435DE" w14:textId="77777777" w:rsidR="001F702C" w:rsidRDefault="00BD18A1">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1F702C" w14:paraId="58BF23D3"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5EDCDA1D" w14:textId="77777777" w:rsidR="001F702C" w:rsidRDefault="00BD18A1">
            <w:pPr>
              <w:widowControl/>
              <w:snapToGrid w:val="0"/>
              <w:jc w:val="center"/>
              <w:rPr>
                <w:rFonts w:ascii="宋体" w:hAnsi="宋体"/>
                <w:color w:val="000000"/>
                <w:kern w:val="0"/>
                <w:sz w:val="25"/>
                <w:szCs w:val="24"/>
              </w:rPr>
            </w:pPr>
            <w:r>
              <w:rPr>
                <w:rFonts w:ascii="Times New Roman" w:hAnsi="Times New Roman"/>
                <w:color w:val="000000"/>
                <w:kern w:val="0"/>
                <w:sz w:val="25"/>
                <w:szCs w:val="24"/>
              </w:rPr>
              <w:t>4</w:t>
            </w:r>
          </w:p>
        </w:tc>
        <w:tc>
          <w:tcPr>
            <w:tcW w:w="750" w:type="pct"/>
            <w:tcBorders>
              <w:top w:val="single" w:sz="4" w:space="0" w:color="auto"/>
              <w:left w:val="single" w:sz="4" w:space="0" w:color="auto"/>
              <w:bottom w:val="single" w:sz="4" w:space="0" w:color="auto"/>
              <w:right w:val="single" w:sz="4" w:space="0" w:color="auto"/>
            </w:tcBorders>
            <w:vAlign w:val="center"/>
          </w:tcPr>
          <w:p w14:paraId="59A8608D" w14:textId="77777777" w:rsidR="001F702C" w:rsidRDefault="00BD18A1">
            <w:pPr>
              <w:widowControl/>
              <w:snapToGrid w:val="0"/>
              <w:jc w:val="left"/>
              <w:rPr>
                <w:rFonts w:ascii="宋体" w:hAnsi="宋体"/>
                <w:color w:val="000000"/>
                <w:kern w:val="0"/>
                <w:sz w:val="25"/>
                <w:szCs w:val="24"/>
              </w:rPr>
            </w:pPr>
            <w:r>
              <w:rPr>
                <w:rFonts w:ascii="Times New Roman" w:hAnsi="Times New Roman"/>
                <w:color w:val="000000"/>
                <w:kern w:val="0"/>
                <w:sz w:val="25"/>
                <w:szCs w:val="24"/>
              </w:rPr>
              <w:t>应收利息</w:t>
            </w:r>
          </w:p>
        </w:tc>
        <w:tc>
          <w:tcPr>
            <w:tcW w:w="400" w:type="pct"/>
            <w:tcBorders>
              <w:top w:val="single" w:sz="4" w:space="0" w:color="auto"/>
              <w:left w:val="single" w:sz="4" w:space="0" w:color="auto"/>
              <w:bottom w:val="single" w:sz="4" w:space="0" w:color="auto"/>
              <w:right w:val="single" w:sz="4" w:space="0" w:color="auto"/>
            </w:tcBorders>
            <w:vAlign w:val="center"/>
          </w:tcPr>
          <w:p w14:paraId="2B8CEF25" w14:textId="77777777" w:rsidR="001F702C" w:rsidRDefault="00BD18A1">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1F702C" w14:paraId="5F908DD1"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37CE3723" w14:textId="77777777" w:rsidR="001F702C" w:rsidRDefault="00BD18A1">
            <w:pPr>
              <w:widowControl/>
              <w:snapToGrid w:val="0"/>
              <w:jc w:val="center"/>
              <w:rPr>
                <w:rFonts w:ascii="宋体" w:hAnsi="宋体"/>
                <w:color w:val="000000"/>
                <w:kern w:val="0"/>
                <w:sz w:val="25"/>
                <w:szCs w:val="24"/>
              </w:rPr>
            </w:pPr>
            <w:r>
              <w:rPr>
                <w:rFonts w:ascii="Times New Roman" w:hAnsi="Times New Roman"/>
                <w:color w:val="000000"/>
                <w:kern w:val="0"/>
                <w:sz w:val="25"/>
                <w:szCs w:val="24"/>
              </w:rPr>
              <w:t>5</w:t>
            </w:r>
          </w:p>
        </w:tc>
        <w:tc>
          <w:tcPr>
            <w:tcW w:w="750" w:type="pct"/>
            <w:tcBorders>
              <w:top w:val="single" w:sz="4" w:space="0" w:color="auto"/>
              <w:left w:val="single" w:sz="4" w:space="0" w:color="auto"/>
              <w:bottom w:val="single" w:sz="4" w:space="0" w:color="auto"/>
              <w:right w:val="single" w:sz="4" w:space="0" w:color="auto"/>
            </w:tcBorders>
            <w:vAlign w:val="center"/>
          </w:tcPr>
          <w:p w14:paraId="7D25F940" w14:textId="77777777" w:rsidR="001F702C" w:rsidRDefault="00BD18A1">
            <w:pPr>
              <w:widowControl/>
              <w:snapToGrid w:val="0"/>
              <w:jc w:val="left"/>
              <w:rPr>
                <w:rFonts w:ascii="宋体" w:hAnsi="宋体"/>
                <w:color w:val="000000"/>
                <w:kern w:val="0"/>
                <w:sz w:val="25"/>
                <w:szCs w:val="24"/>
              </w:rPr>
            </w:pPr>
            <w:r>
              <w:rPr>
                <w:rFonts w:ascii="Times New Roman" w:hAnsi="Times New Roman"/>
                <w:color w:val="000000"/>
                <w:kern w:val="0"/>
                <w:sz w:val="25"/>
                <w:szCs w:val="24"/>
              </w:rPr>
              <w:t>应收申购款</w:t>
            </w:r>
          </w:p>
        </w:tc>
        <w:tc>
          <w:tcPr>
            <w:tcW w:w="400" w:type="pct"/>
            <w:tcBorders>
              <w:top w:val="single" w:sz="4" w:space="0" w:color="auto"/>
              <w:left w:val="single" w:sz="4" w:space="0" w:color="auto"/>
              <w:bottom w:val="single" w:sz="4" w:space="0" w:color="auto"/>
              <w:right w:val="single" w:sz="4" w:space="0" w:color="auto"/>
            </w:tcBorders>
            <w:vAlign w:val="center"/>
          </w:tcPr>
          <w:p w14:paraId="34D80DA7" w14:textId="77777777" w:rsidR="001F702C" w:rsidRDefault="00BD18A1">
            <w:pPr>
              <w:widowControl/>
              <w:snapToGrid w:val="0"/>
              <w:jc w:val="right"/>
              <w:rPr>
                <w:rFonts w:ascii="宋体" w:hAnsi="宋体"/>
                <w:color w:val="000000"/>
                <w:kern w:val="0"/>
                <w:sz w:val="25"/>
                <w:szCs w:val="24"/>
              </w:rPr>
            </w:pPr>
            <w:r>
              <w:rPr>
                <w:rFonts w:ascii="Times New Roman" w:hAnsi="Times New Roman"/>
                <w:color w:val="000000"/>
                <w:kern w:val="0"/>
                <w:sz w:val="25"/>
                <w:szCs w:val="24"/>
              </w:rPr>
              <w:t>58,789.77</w:t>
            </w:r>
          </w:p>
        </w:tc>
      </w:tr>
      <w:tr w:rsidR="001F702C" w14:paraId="6A61B244"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479D7613" w14:textId="77777777" w:rsidR="001F702C" w:rsidRDefault="00BD18A1">
            <w:pPr>
              <w:widowControl/>
              <w:snapToGrid w:val="0"/>
              <w:jc w:val="center"/>
              <w:rPr>
                <w:rFonts w:ascii="宋体" w:hAnsi="宋体"/>
                <w:color w:val="000000"/>
                <w:kern w:val="0"/>
                <w:sz w:val="25"/>
                <w:szCs w:val="24"/>
              </w:rPr>
            </w:pPr>
            <w:r>
              <w:rPr>
                <w:rFonts w:ascii="Times New Roman" w:hAnsi="Times New Roman"/>
                <w:color w:val="000000"/>
                <w:kern w:val="0"/>
                <w:sz w:val="25"/>
                <w:szCs w:val="24"/>
              </w:rPr>
              <w:t>6</w:t>
            </w:r>
          </w:p>
        </w:tc>
        <w:tc>
          <w:tcPr>
            <w:tcW w:w="750" w:type="pct"/>
            <w:tcBorders>
              <w:top w:val="single" w:sz="4" w:space="0" w:color="auto"/>
              <w:left w:val="single" w:sz="4" w:space="0" w:color="auto"/>
              <w:bottom w:val="single" w:sz="4" w:space="0" w:color="auto"/>
              <w:right w:val="single" w:sz="4" w:space="0" w:color="auto"/>
            </w:tcBorders>
            <w:vAlign w:val="center"/>
          </w:tcPr>
          <w:p w14:paraId="7EC786FF" w14:textId="77777777" w:rsidR="001F702C" w:rsidRDefault="00BD18A1">
            <w:pPr>
              <w:widowControl/>
              <w:snapToGrid w:val="0"/>
              <w:jc w:val="left"/>
              <w:rPr>
                <w:rFonts w:ascii="宋体" w:hAnsi="宋体"/>
                <w:color w:val="000000"/>
                <w:kern w:val="0"/>
                <w:sz w:val="25"/>
                <w:szCs w:val="24"/>
              </w:rPr>
            </w:pPr>
            <w:r>
              <w:rPr>
                <w:rFonts w:ascii="Times New Roman" w:hAnsi="Times New Roman"/>
                <w:color w:val="000000"/>
                <w:kern w:val="0"/>
                <w:sz w:val="25"/>
                <w:szCs w:val="24"/>
              </w:rPr>
              <w:t>其他应收款</w:t>
            </w:r>
          </w:p>
        </w:tc>
        <w:tc>
          <w:tcPr>
            <w:tcW w:w="400" w:type="pct"/>
            <w:tcBorders>
              <w:top w:val="single" w:sz="4" w:space="0" w:color="auto"/>
              <w:left w:val="single" w:sz="4" w:space="0" w:color="auto"/>
              <w:bottom w:val="single" w:sz="4" w:space="0" w:color="auto"/>
              <w:right w:val="single" w:sz="4" w:space="0" w:color="auto"/>
            </w:tcBorders>
            <w:vAlign w:val="center"/>
          </w:tcPr>
          <w:p w14:paraId="4792EB82" w14:textId="77777777" w:rsidR="001F702C" w:rsidRDefault="00BD18A1">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1F702C" w14:paraId="4D16F6B8"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4100C4F4" w14:textId="77777777" w:rsidR="001F702C" w:rsidRDefault="00BD18A1">
            <w:pPr>
              <w:widowControl/>
              <w:snapToGrid w:val="0"/>
              <w:jc w:val="center"/>
              <w:rPr>
                <w:rFonts w:ascii="宋体" w:hAnsi="宋体"/>
                <w:color w:val="000000"/>
                <w:kern w:val="0"/>
                <w:sz w:val="25"/>
                <w:szCs w:val="24"/>
              </w:rPr>
            </w:pPr>
            <w:r>
              <w:rPr>
                <w:rFonts w:ascii="Times New Roman" w:hAnsi="Times New Roman"/>
                <w:color w:val="000000"/>
                <w:kern w:val="0"/>
                <w:sz w:val="25"/>
                <w:szCs w:val="24"/>
              </w:rPr>
              <w:t>7</w:t>
            </w:r>
          </w:p>
        </w:tc>
        <w:tc>
          <w:tcPr>
            <w:tcW w:w="750" w:type="pct"/>
            <w:tcBorders>
              <w:top w:val="single" w:sz="4" w:space="0" w:color="auto"/>
              <w:left w:val="single" w:sz="4" w:space="0" w:color="auto"/>
              <w:bottom w:val="single" w:sz="4" w:space="0" w:color="auto"/>
              <w:right w:val="single" w:sz="4" w:space="0" w:color="auto"/>
            </w:tcBorders>
            <w:vAlign w:val="center"/>
          </w:tcPr>
          <w:p w14:paraId="55908DD8" w14:textId="77777777" w:rsidR="001F702C" w:rsidRDefault="00BD18A1">
            <w:pPr>
              <w:widowControl/>
              <w:snapToGrid w:val="0"/>
              <w:jc w:val="left"/>
              <w:rPr>
                <w:rFonts w:ascii="宋体" w:hAnsi="宋体"/>
                <w:color w:val="000000"/>
                <w:kern w:val="0"/>
                <w:sz w:val="25"/>
                <w:szCs w:val="24"/>
              </w:rPr>
            </w:pPr>
            <w:r>
              <w:rPr>
                <w:rFonts w:ascii="Times New Roman" w:hAnsi="Times New Roman"/>
                <w:color w:val="000000"/>
                <w:kern w:val="0"/>
                <w:sz w:val="25"/>
                <w:szCs w:val="24"/>
              </w:rPr>
              <w:t>其他</w:t>
            </w:r>
          </w:p>
        </w:tc>
        <w:tc>
          <w:tcPr>
            <w:tcW w:w="400" w:type="pct"/>
            <w:tcBorders>
              <w:top w:val="single" w:sz="4" w:space="0" w:color="auto"/>
              <w:left w:val="single" w:sz="4" w:space="0" w:color="auto"/>
              <w:bottom w:val="single" w:sz="4" w:space="0" w:color="auto"/>
              <w:right w:val="single" w:sz="4" w:space="0" w:color="auto"/>
            </w:tcBorders>
            <w:vAlign w:val="center"/>
          </w:tcPr>
          <w:p w14:paraId="259E8311" w14:textId="77777777" w:rsidR="001F702C" w:rsidRDefault="00BD18A1">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1F702C" w14:paraId="259ECFF9"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0503DEFE" w14:textId="77777777" w:rsidR="001F702C" w:rsidRDefault="00BD18A1">
            <w:pPr>
              <w:widowControl/>
              <w:snapToGrid w:val="0"/>
              <w:jc w:val="center"/>
              <w:rPr>
                <w:rFonts w:ascii="宋体" w:hAnsi="宋体"/>
                <w:color w:val="000000"/>
                <w:kern w:val="0"/>
                <w:sz w:val="25"/>
                <w:szCs w:val="24"/>
              </w:rPr>
            </w:pPr>
            <w:r>
              <w:rPr>
                <w:rFonts w:ascii="Times New Roman" w:hAnsi="Times New Roman"/>
                <w:color w:val="000000"/>
                <w:kern w:val="0"/>
                <w:sz w:val="25"/>
                <w:szCs w:val="24"/>
              </w:rPr>
              <w:t>8</w:t>
            </w:r>
          </w:p>
        </w:tc>
        <w:tc>
          <w:tcPr>
            <w:tcW w:w="750" w:type="pct"/>
            <w:tcBorders>
              <w:top w:val="single" w:sz="4" w:space="0" w:color="auto"/>
              <w:left w:val="single" w:sz="4" w:space="0" w:color="auto"/>
              <w:bottom w:val="single" w:sz="4" w:space="0" w:color="auto"/>
              <w:right w:val="single" w:sz="4" w:space="0" w:color="auto"/>
            </w:tcBorders>
            <w:vAlign w:val="center"/>
          </w:tcPr>
          <w:p w14:paraId="008E6A34" w14:textId="77777777" w:rsidR="001F702C" w:rsidRDefault="00BD18A1">
            <w:pPr>
              <w:widowControl/>
              <w:snapToGrid w:val="0"/>
              <w:jc w:val="left"/>
              <w:rPr>
                <w:rFonts w:ascii="宋体" w:hAnsi="宋体"/>
                <w:color w:val="000000"/>
                <w:kern w:val="0"/>
                <w:sz w:val="25"/>
                <w:szCs w:val="24"/>
              </w:rPr>
            </w:pPr>
            <w:r>
              <w:rPr>
                <w:rFonts w:ascii="Times New Roman" w:hAnsi="Times New Roman"/>
                <w:color w:val="000000"/>
                <w:kern w:val="0"/>
                <w:sz w:val="25"/>
                <w:szCs w:val="24"/>
              </w:rPr>
              <w:t>合计</w:t>
            </w:r>
          </w:p>
        </w:tc>
        <w:tc>
          <w:tcPr>
            <w:tcW w:w="400" w:type="pct"/>
            <w:tcBorders>
              <w:top w:val="single" w:sz="4" w:space="0" w:color="auto"/>
              <w:left w:val="single" w:sz="4" w:space="0" w:color="auto"/>
              <w:bottom w:val="single" w:sz="4" w:space="0" w:color="auto"/>
              <w:right w:val="single" w:sz="4" w:space="0" w:color="auto"/>
            </w:tcBorders>
            <w:vAlign w:val="center"/>
          </w:tcPr>
          <w:p w14:paraId="728CFBA5" w14:textId="77777777" w:rsidR="001F702C" w:rsidRDefault="00BD18A1">
            <w:pPr>
              <w:widowControl/>
              <w:snapToGrid w:val="0"/>
              <w:jc w:val="right"/>
              <w:rPr>
                <w:rFonts w:ascii="宋体" w:hAnsi="宋体"/>
                <w:color w:val="000000"/>
                <w:kern w:val="0"/>
                <w:sz w:val="25"/>
                <w:szCs w:val="24"/>
              </w:rPr>
            </w:pPr>
            <w:r>
              <w:rPr>
                <w:rFonts w:ascii="Times New Roman" w:hAnsi="Times New Roman"/>
                <w:color w:val="000000"/>
                <w:kern w:val="0"/>
                <w:sz w:val="25"/>
                <w:szCs w:val="24"/>
              </w:rPr>
              <w:t>142,244,397.16</w:t>
            </w:r>
          </w:p>
        </w:tc>
      </w:tr>
    </w:tbl>
    <w:p w14:paraId="589D392E"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10.4 报告期末持有的处于转股期的可转换债券明细</w:t>
      </w:r>
    </w:p>
    <w:p w14:paraId="22A77C9E"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14:paraId="0E648A40"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10.5 报告</w:t>
      </w:r>
      <w:proofErr w:type="gramStart"/>
      <w:r>
        <w:rPr>
          <w:rFonts w:ascii="宋体" w:hAnsi="宋体"/>
          <w:sz w:val="24"/>
        </w:rPr>
        <w:t>期末前</w:t>
      </w:r>
      <w:proofErr w:type="gramEnd"/>
      <w:r>
        <w:rPr>
          <w:rFonts w:ascii="宋体" w:hAnsi="宋体"/>
          <w:sz w:val="24"/>
        </w:rPr>
        <w:t>十名股票中存在流通受限情况的说明</w:t>
      </w:r>
    </w:p>
    <w:p w14:paraId="42186C5A"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14:paraId="3E018DE4"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10.6 投资组合报告附注的其他文字描述部分</w:t>
      </w:r>
    </w:p>
    <w:p w14:paraId="5CAD2B75"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由于四舍五入的原因，分项之和与合计项之间可能存在尾差。</w:t>
      </w:r>
    </w:p>
    <w:p w14:paraId="7A691A37" w14:textId="77777777" w:rsidR="00367445" w:rsidRDefault="00BD18A1" w:rsidP="00367445">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2D1FB3B5" w14:textId="77777777" w:rsidR="001F702C" w:rsidRDefault="00BD18A1">
      <w:pPr>
        <w:pStyle w:val="1"/>
        <w:snapToGrid w:val="0"/>
        <w:spacing w:beforeLines="0" w:before="240" w:after="240"/>
        <w:rPr>
          <w:rFonts w:ascii="宋体" w:hAnsi="宋体"/>
          <w:szCs w:val="30"/>
        </w:rPr>
      </w:pPr>
      <w:bookmarkStart w:id="14" w:name="_Toc140049415"/>
      <w:r>
        <w:rPr>
          <w:rFonts w:ascii="Times New Roman" w:hAnsi="Times New Roman"/>
          <w:sz w:val="30"/>
        </w:rPr>
        <w:lastRenderedPageBreak/>
        <w:t>十一、基金的业绩</w:t>
      </w:r>
      <w:bookmarkEnd w:id="14"/>
    </w:p>
    <w:p w14:paraId="343DE6D2"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基金业绩截止日为2023年03月31日，所载财务数据未经审计师审计。</w:t>
      </w:r>
    </w:p>
    <w:p w14:paraId="45CCC561"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依照恪尽职守、诚实信用、谨慎勤勉的原则管理和运用基金财产，但不保证基金一定盈利，也不保证最低收益。基金的过往业绩并不代表其未来表现。投资有风险，投资人在做出投资决策前应仔细阅读本基金的招募说明书。</w:t>
      </w:r>
    </w:p>
    <w:p w14:paraId="5BBCF1D4"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1、本报告</w:t>
      </w:r>
      <w:proofErr w:type="gramStart"/>
      <w:r>
        <w:rPr>
          <w:rFonts w:ascii="宋体" w:hAnsi="宋体"/>
          <w:sz w:val="24"/>
        </w:rPr>
        <w:t>期基金</w:t>
      </w:r>
      <w:proofErr w:type="gramEnd"/>
      <w:r>
        <w:rPr>
          <w:rFonts w:ascii="宋体" w:hAnsi="宋体"/>
          <w:sz w:val="24"/>
        </w:rPr>
        <w:t>份额净值增长率及其与同期业绩比较基准收益率的比较</w:t>
      </w:r>
    </w:p>
    <w:p w14:paraId="7A9638D0"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（1）交银中债1-3年农发</w:t>
      </w:r>
      <w:proofErr w:type="gramStart"/>
      <w:r>
        <w:rPr>
          <w:rFonts w:ascii="宋体" w:hAnsi="宋体"/>
          <w:sz w:val="24"/>
        </w:rPr>
        <w:t>债指数</w:t>
      </w:r>
      <w:proofErr w:type="gramEnd"/>
      <w:r>
        <w:rPr>
          <w:rFonts w:ascii="宋体" w:hAnsi="宋体"/>
          <w:sz w:val="24"/>
        </w:rPr>
        <w:t>A：</w:t>
      </w:r>
    </w:p>
    <w:tbl>
      <w:tblPr>
        <w:tblW w:w="5000" w:type="pct"/>
        <w:tblCellMar>
          <w:left w:w="0" w:type="dxa"/>
          <w:right w:w="0" w:type="dxa"/>
        </w:tblCellMar>
        <w:tblLook w:val="0000" w:firstRow="0" w:lastRow="0" w:firstColumn="0" w:lastColumn="0" w:noHBand="0" w:noVBand="0"/>
      </w:tblPr>
      <w:tblGrid>
        <w:gridCol w:w="1297"/>
        <w:gridCol w:w="1297"/>
        <w:gridCol w:w="1297"/>
        <w:gridCol w:w="1298"/>
        <w:gridCol w:w="1298"/>
        <w:gridCol w:w="1298"/>
        <w:gridCol w:w="865"/>
      </w:tblGrid>
      <w:tr w:rsidR="001F702C" w14:paraId="1D12FA43"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700E8BDB" w14:textId="77777777" w:rsidR="001F702C" w:rsidRDefault="00BD18A1">
            <w:pPr>
              <w:widowControl/>
              <w:snapToGrid w:val="0"/>
              <w:jc w:val="center"/>
              <w:rPr>
                <w:rFonts w:ascii="宋体" w:hAnsi="宋体"/>
                <w:color w:val="000000"/>
                <w:kern w:val="0"/>
                <w:sz w:val="25"/>
                <w:szCs w:val="24"/>
              </w:rPr>
            </w:pPr>
            <w:r>
              <w:rPr>
                <w:rFonts w:ascii="Times New Roman" w:hAnsi="Times New Roman"/>
                <w:color w:val="000000"/>
                <w:kern w:val="0"/>
                <w:sz w:val="25"/>
                <w:szCs w:val="24"/>
              </w:rPr>
              <w:t>阶段</w:t>
            </w:r>
          </w:p>
        </w:tc>
        <w:tc>
          <w:tcPr>
            <w:tcW w:w="750" w:type="pct"/>
            <w:tcBorders>
              <w:top w:val="single" w:sz="4" w:space="0" w:color="auto"/>
              <w:left w:val="single" w:sz="4" w:space="0" w:color="auto"/>
              <w:bottom w:val="single" w:sz="4" w:space="0" w:color="auto"/>
              <w:right w:val="single" w:sz="4" w:space="0" w:color="auto"/>
            </w:tcBorders>
            <w:vAlign w:val="center"/>
          </w:tcPr>
          <w:p w14:paraId="791839FB" w14:textId="77777777" w:rsidR="001F702C" w:rsidRDefault="00BD18A1">
            <w:pPr>
              <w:widowControl/>
              <w:snapToGrid w:val="0"/>
              <w:jc w:val="center"/>
              <w:rPr>
                <w:rFonts w:ascii="宋体" w:hAnsi="宋体"/>
                <w:color w:val="000000"/>
                <w:kern w:val="0"/>
                <w:sz w:val="25"/>
                <w:szCs w:val="24"/>
              </w:rPr>
            </w:pPr>
            <w:r>
              <w:rPr>
                <w:rFonts w:ascii="Times New Roman" w:hAnsi="Times New Roman"/>
                <w:color w:val="000000"/>
                <w:kern w:val="0"/>
                <w:sz w:val="25"/>
                <w:szCs w:val="24"/>
              </w:rPr>
              <w:t>净值增长率</w:t>
            </w:r>
            <w:r>
              <w:rPr>
                <w:rFonts w:ascii="Times New Roman" w:hAnsi="Times New Roman"/>
                <w:color w:val="000000"/>
                <w:kern w:val="0"/>
                <w:sz w:val="25"/>
                <w:szCs w:val="24"/>
              </w:rPr>
              <w:t>①</w:t>
            </w:r>
          </w:p>
        </w:tc>
        <w:tc>
          <w:tcPr>
            <w:tcW w:w="750" w:type="pct"/>
            <w:tcBorders>
              <w:top w:val="single" w:sz="4" w:space="0" w:color="auto"/>
              <w:left w:val="single" w:sz="4" w:space="0" w:color="auto"/>
              <w:bottom w:val="single" w:sz="4" w:space="0" w:color="auto"/>
              <w:right w:val="single" w:sz="4" w:space="0" w:color="auto"/>
            </w:tcBorders>
            <w:vAlign w:val="center"/>
          </w:tcPr>
          <w:p w14:paraId="317541E7" w14:textId="77777777" w:rsidR="001F702C" w:rsidRDefault="00BD18A1">
            <w:pPr>
              <w:widowControl/>
              <w:snapToGrid w:val="0"/>
              <w:jc w:val="center"/>
              <w:rPr>
                <w:rFonts w:ascii="宋体" w:hAnsi="宋体"/>
                <w:color w:val="000000"/>
                <w:kern w:val="0"/>
                <w:sz w:val="25"/>
                <w:szCs w:val="24"/>
              </w:rPr>
            </w:pPr>
            <w:r>
              <w:rPr>
                <w:rFonts w:ascii="Times New Roman" w:hAnsi="Times New Roman"/>
                <w:color w:val="000000"/>
                <w:kern w:val="0"/>
                <w:sz w:val="25"/>
                <w:szCs w:val="24"/>
              </w:rPr>
              <w:t>净值增长率标准差</w:t>
            </w:r>
            <w:r>
              <w:rPr>
                <w:rFonts w:ascii="Times New Roman" w:hAnsi="Times New Roman"/>
                <w:color w:val="000000"/>
                <w:kern w:val="0"/>
                <w:sz w:val="25"/>
                <w:szCs w:val="24"/>
              </w:rPr>
              <w:t>②</w:t>
            </w:r>
          </w:p>
        </w:tc>
        <w:tc>
          <w:tcPr>
            <w:tcW w:w="750" w:type="pct"/>
            <w:tcBorders>
              <w:top w:val="single" w:sz="4" w:space="0" w:color="auto"/>
              <w:left w:val="single" w:sz="4" w:space="0" w:color="auto"/>
              <w:bottom w:val="single" w:sz="4" w:space="0" w:color="auto"/>
              <w:right w:val="single" w:sz="4" w:space="0" w:color="auto"/>
            </w:tcBorders>
            <w:vAlign w:val="center"/>
          </w:tcPr>
          <w:p w14:paraId="7A6E0E29" w14:textId="77777777" w:rsidR="001F702C" w:rsidRDefault="00BD18A1">
            <w:pPr>
              <w:widowControl/>
              <w:snapToGrid w:val="0"/>
              <w:jc w:val="center"/>
              <w:rPr>
                <w:rFonts w:ascii="宋体" w:hAnsi="宋体"/>
                <w:color w:val="000000"/>
                <w:kern w:val="0"/>
                <w:sz w:val="25"/>
                <w:szCs w:val="24"/>
              </w:rPr>
            </w:pPr>
            <w:r>
              <w:rPr>
                <w:rFonts w:ascii="Times New Roman" w:hAnsi="Times New Roman"/>
                <w:color w:val="000000"/>
                <w:kern w:val="0"/>
                <w:sz w:val="25"/>
                <w:szCs w:val="24"/>
              </w:rPr>
              <w:t>业绩比较基准收益率</w:t>
            </w:r>
            <w:r>
              <w:rPr>
                <w:rFonts w:ascii="Times New Roman" w:hAnsi="Times New Roman"/>
                <w:color w:val="000000"/>
                <w:kern w:val="0"/>
                <w:sz w:val="25"/>
                <w:szCs w:val="24"/>
              </w:rPr>
              <w:t>③</w:t>
            </w:r>
          </w:p>
        </w:tc>
        <w:tc>
          <w:tcPr>
            <w:tcW w:w="750" w:type="pct"/>
            <w:tcBorders>
              <w:top w:val="single" w:sz="4" w:space="0" w:color="auto"/>
              <w:left w:val="single" w:sz="4" w:space="0" w:color="auto"/>
              <w:bottom w:val="single" w:sz="4" w:space="0" w:color="auto"/>
              <w:right w:val="single" w:sz="4" w:space="0" w:color="auto"/>
            </w:tcBorders>
            <w:vAlign w:val="center"/>
          </w:tcPr>
          <w:p w14:paraId="6B223387" w14:textId="77777777" w:rsidR="001F702C" w:rsidRDefault="00BD18A1">
            <w:pPr>
              <w:widowControl/>
              <w:snapToGrid w:val="0"/>
              <w:jc w:val="center"/>
              <w:rPr>
                <w:rFonts w:ascii="宋体" w:hAnsi="宋体"/>
                <w:color w:val="000000"/>
                <w:kern w:val="0"/>
                <w:sz w:val="25"/>
                <w:szCs w:val="24"/>
              </w:rPr>
            </w:pPr>
            <w:r>
              <w:rPr>
                <w:rFonts w:ascii="Times New Roman" w:hAnsi="Times New Roman"/>
                <w:color w:val="000000"/>
                <w:kern w:val="0"/>
                <w:sz w:val="25"/>
                <w:szCs w:val="24"/>
              </w:rPr>
              <w:t>业绩比较基准收益率标准差</w:t>
            </w:r>
            <w:r>
              <w:rPr>
                <w:rFonts w:ascii="Times New Roman" w:hAnsi="Times New Roman"/>
                <w:color w:val="000000"/>
                <w:kern w:val="0"/>
                <w:sz w:val="25"/>
                <w:szCs w:val="24"/>
              </w:rPr>
              <w:t>④</w:t>
            </w:r>
          </w:p>
        </w:tc>
        <w:tc>
          <w:tcPr>
            <w:tcW w:w="750" w:type="pct"/>
            <w:tcBorders>
              <w:top w:val="single" w:sz="4" w:space="0" w:color="auto"/>
              <w:left w:val="single" w:sz="4" w:space="0" w:color="auto"/>
              <w:bottom w:val="single" w:sz="4" w:space="0" w:color="auto"/>
              <w:right w:val="single" w:sz="4" w:space="0" w:color="auto"/>
            </w:tcBorders>
            <w:vAlign w:val="center"/>
          </w:tcPr>
          <w:p w14:paraId="1A1FACF8" w14:textId="77777777" w:rsidR="001F702C" w:rsidRDefault="00BD18A1">
            <w:pPr>
              <w:widowControl/>
              <w:snapToGrid w:val="0"/>
              <w:jc w:val="center"/>
              <w:rPr>
                <w:rFonts w:ascii="宋体" w:hAnsi="宋体"/>
                <w:color w:val="000000"/>
                <w:kern w:val="0"/>
                <w:sz w:val="25"/>
                <w:szCs w:val="24"/>
              </w:rPr>
            </w:pPr>
            <w:r>
              <w:rPr>
                <w:rFonts w:ascii="Times New Roman" w:hAnsi="Times New Roman"/>
                <w:color w:val="000000"/>
                <w:kern w:val="0"/>
                <w:sz w:val="25"/>
                <w:szCs w:val="24"/>
              </w:rPr>
              <w:t>①</w:t>
            </w:r>
            <w:r>
              <w:rPr>
                <w:rFonts w:ascii="Times New Roman" w:hAnsi="Times New Roman"/>
                <w:color w:val="000000"/>
                <w:kern w:val="0"/>
                <w:sz w:val="25"/>
                <w:szCs w:val="24"/>
              </w:rPr>
              <w:t>－</w:t>
            </w:r>
            <w:r>
              <w:rPr>
                <w:rFonts w:ascii="Times New Roman" w:hAnsi="Times New Roman"/>
                <w:color w:val="000000"/>
                <w:kern w:val="0"/>
                <w:sz w:val="25"/>
                <w:szCs w:val="24"/>
              </w:rPr>
              <w:t>③</w:t>
            </w:r>
          </w:p>
        </w:tc>
        <w:tc>
          <w:tcPr>
            <w:tcW w:w="750" w:type="pct"/>
            <w:tcBorders>
              <w:top w:val="single" w:sz="4" w:space="0" w:color="auto"/>
              <w:left w:val="single" w:sz="4" w:space="0" w:color="auto"/>
              <w:bottom w:val="single" w:sz="4" w:space="0" w:color="auto"/>
              <w:right w:val="single" w:sz="4" w:space="0" w:color="auto"/>
            </w:tcBorders>
            <w:vAlign w:val="center"/>
          </w:tcPr>
          <w:p w14:paraId="4C3B615D" w14:textId="77777777" w:rsidR="001F702C" w:rsidRDefault="00BD18A1">
            <w:pPr>
              <w:widowControl/>
              <w:snapToGrid w:val="0"/>
              <w:jc w:val="center"/>
              <w:rPr>
                <w:rFonts w:ascii="宋体" w:hAnsi="宋体"/>
                <w:color w:val="000000"/>
                <w:kern w:val="0"/>
                <w:sz w:val="25"/>
                <w:szCs w:val="24"/>
              </w:rPr>
            </w:pPr>
            <w:r>
              <w:rPr>
                <w:rFonts w:ascii="Times New Roman" w:hAnsi="Times New Roman"/>
                <w:color w:val="000000"/>
                <w:kern w:val="0"/>
                <w:sz w:val="25"/>
                <w:szCs w:val="24"/>
              </w:rPr>
              <w:t>②</w:t>
            </w:r>
            <w:r>
              <w:rPr>
                <w:rFonts w:ascii="Times New Roman" w:hAnsi="Times New Roman"/>
                <w:color w:val="000000"/>
                <w:kern w:val="0"/>
                <w:sz w:val="25"/>
                <w:szCs w:val="24"/>
              </w:rPr>
              <w:t>－</w:t>
            </w:r>
            <w:r>
              <w:rPr>
                <w:rFonts w:ascii="Times New Roman" w:hAnsi="Times New Roman"/>
                <w:color w:val="000000"/>
                <w:kern w:val="0"/>
                <w:sz w:val="25"/>
                <w:szCs w:val="24"/>
              </w:rPr>
              <w:t>④</w:t>
            </w:r>
          </w:p>
        </w:tc>
      </w:tr>
      <w:tr w:rsidR="001F702C" w14:paraId="3E58D268"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7C17AF22" w14:textId="77777777" w:rsidR="001F702C" w:rsidRDefault="00BD18A1">
            <w:pPr>
              <w:widowControl/>
              <w:snapToGrid w:val="0"/>
              <w:jc w:val="left"/>
              <w:rPr>
                <w:rFonts w:ascii="宋体" w:hAnsi="宋体"/>
                <w:color w:val="000000"/>
                <w:kern w:val="0"/>
                <w:sz w:val="25"/>
                <w:szCs w:val="24"/>
              </w:rPr>
            </w:pPr>
            <w:r>
              <w:rPr>
                <w:rFonts w:ascii="Times New Roman" w:hAnsi="Times New Roman"/>
                <w:color w:val="000000"/>
                <w:kern w:val="0"/>
                <w:sz w:val="25"/>
                <w:szCs w:val="24"/>
              </w:rPr>
              <w:t>过去三个月</w:t>
            </w:r>
          </w:p>
        </w:tc>
        <w:tc>
          <w:tcPr>
            <w:tcW w:w="750" w:type="pct"/>
            <w:tcBorders>
              <w:top w:val="single" w:sz="4" w:space="0" w:color="auto"/>
              <w:left w:val="single" w:sz="4" w:space="0" w:color="auto"/>
              <w:bottom w:val="single" w:sz="4" w:space="0" w:color="auto"/>
              <w:right w:val="single" w:sz="4" w:space="0" w:color="auto"/>
            </w:tcBorders>
            <w:vAlign w:val="center"/>
          </w:tcPr>
          <w:p w14:paraId="33A6A08A" w14:textId="77777777" w:rsidR="001F702C" w:rsidRDefault="00BD18A1">
            <w:pPr>
              <w:widowControl/>
              <w:snapToGrid w:val="0"/>
              <w:jc w:val="left"/>
              <w:rPr>
                <w:rFonts w:ascii="宋体" w:hAnsi="宋体"/>
                <w:color w:val="000000"/>
                <w:kern w:val="0"/>
                <w:sz w:val="25"/>
                <w:szCs w:val="24"/>
              </w:rPr>
            </w:pPr>
            <w:r>
              <w:rPr>
                <w:rFonts w:ascii="Times New Roman" w:hAnsi="Times New Roman"/>
                <w:color w:val="000000"/>
                <w:kern w:val="0"/>
                <w:sz w:val="25"/>
                <w:szCs w:val="24"/>
              </w:rPr>
              <w:t>0.48%</w:t>
            </w:r>
          </w:p>
        </w:tc>
        <w:tc>
          <w:tcPr>
            <w:tcW w:w="750" w:type="pct"/>
            <w:tcBorders>
              <w:top w:val="single" w:sz="4" w:space="0" w:color="auto"/>
              <w:left w:val="single" w:sz="4" w:space="0" w:color="auto"/>
              <w:bottom w:val="single" w:sz="4" w:space="0" w:color="auto"/>
              <w:right w:val="single" w:sz="4" w:space="0" w:color="auto"/>
            </w:tcBorders>
            <w:vAlign w:val="center"/>
          </w:tcPr>
          <w:p w14:paraId="1A69AB45" w14:textId="77777777" w:rsidR="001F702C" w:rsidRDefault="00BD18A1">
            <w:pPr>
              <w:widowControl/>
              <w:snapToGrid w:val="0"/>
              <w:jc w:val="left"/>
              <w:rPr>
                <w:rFonts w:ascii="宋体" w:hAnsi="宋体"/>
                <w:color w:val="000000"/>
                <w:kern w:val="0"/>
                <w:sz w:val="25"/>
                <w:szCs w:val="24"/>
              </w:rPr>
            </w:pPr>
            <w:r>
              <w:rPr>
                <w:rFonts w:ascii="Times New Roman" w:hAnsi="Times New Roman"/>
                <w:color w:val="000000"/>
                <w:kern w:val="0"/>
                <w:sz w:val="25"/>
                <w:szCs w:val="24"/>
              </w:rPr>
              <w:t>0.03%</w:t>
            </w:r>
          </w:p>
        </w:tc>
        <w:tc>
          <w:tcPr>
            <w:tcW w:w="750" w:type="pct"/>
            <w:tcBorders>
              <w:top w:val="single" w:sz="4" w:space="0" w:color="auto"/>
              <w:left w:val="single" w:sz="4" w:space="0" w:color="auto"/>
              <w:bottom w:val="single" w:sz="4" w:space="0" w:color="auto"/>
              <w:right w:val="single" w:sz="4" w:space="0" w:color="auto"/>
            </w:tcBorders>
            <w:vAlign w:val="center"/>
          </w:tcPr>
          <w:p w14:paraId="62DC4770" w14:textId="77777777" w:rsidR="001F702C" w:rsidRDefault="00BD18A1">
            <w:pPr>
              <w:widowControl/>
              <w:snapToGrid w:val="0"/>
              <w:jc w:val="left"/>
              <w:rPr>
                <w:rFonts w:ascii="宋体" w:hAnsi="宋体"/>
                <w:color w:val="000000"/>
                <w:kern w:val="0"/>
                <w:sz w:val="25"/>
                <w:szCs w:val="24"/>
              </w:rPr>
            </w:pPr>
            <w:r>
              <w:rPr>
                <w:rFonts w:ascii="Times New Roman" w:hAnsi="Times New Roman"/>
                <w:color w:val="000000"/>
                <w:kern w:val="0"/>
                <w:sz w:val="25"/>
                <w:szCs w:val="24"/>
              </w:rPr>
              <w:t>-1.01%</w:t>
            </w:r>
          </w:p>
        </w:tc>
        <w:tc>
          <w:tcPr>
            <w:tcW w:w="750" w:type="pct"/>
            <w:tcBorders>
              <w:top w:val="single" w:sz="4" w:space="0" w:color="auto"/>
              <w:left w:val="single" w:sz="4" w:space="0" w:color="auto"/>
              <w:bottom w:val="single" w:sz="4" w:space="0" w:color="auto"/>
              <w:right w:val="single" w:sz="4" w:space="0" w:color="auto"/>
            </w:tcBorders>
            <w:vAlign w:val="center"/>
          </w:tcPr>
          <w:p w14:paraId="37AD7791" w14:textId="77777777" w:rsidR="001F702C" w:rsidRDefault="00BD18A1">
            <w:pPr>
              <w:widowControl/>
              <w:snapToGrid w:val="0"/>
              <w:jc w:val="left"/>
              <w:rPr>
                <w:rFonts w:ascii="宋体" w:hAnsi="宋体"/>
                <w:color w:val="000000"/>
                <w:kern w:val="0"/>
                <w:sz w:val="25"/>
                <w:szCs w:val="24"/>
              </w:rPr>
            </w:pPr>
            <w:r>
              <w:rPr>
                <w:rFonts w:ascii="Times New Roman" w:hAnsi="Times New Roman"/>
                <w:color w:val="000000"/>
                <w:kern w:val="0"/>
                <w:sz w:val="25"/>
                <w:szCs w:val="24"/>
              </w:rPr>
              <w:t>0.09%</w:t>
            </w:r>
          </w:p>
        </w:tc>
        <w:tc>
          <w:tcPr>
            <w:tcW w:w="750" w:type="pct"/>
            <w:tcBorders>
              <w:top w:val="single" w:sz="4" w:space="0" w:color="auto"/>
              <w:left w:val="single" w:sz="4" w:space="0" w:color="auto"/>
              <w:bottom w:val="single" w:sz="4" w:space="0" w:color="auto"/>
              <w:right w:val="single" w:sz="4" w:space="0" w:color="auto"/>
            </w:tcBorders>
            <w:vAlign w:val="center"/>
          </w:tcPr>
          <w:p w14:paraId="14D0D463" w14:textId="77777777" w:rsidR="001F702C" w:rsidRDefault="00BD18A1">
            <w:pPr>
              <w:widowControl/>
              <w:snapToGrid w:val="0"/>
              <w:jc w:val="left"/>
              <w:rPr>
                <w:rFonts w:ascii="宋体" w:hAnsi="宋体"/>
                <w:color w:val="000000"/>
                <w:kern w:val="0"/>
                <w:sz w:val="25"/>
                <w:szCs w:val="24"/>
              </w:rPr>
            </w:pPr>
            <w:r>
              <w:rPr>
                <w:rFonts w:ascii="Times New Roman" w:hAnsi="Times New Roman"/>
                <w:color w:val="000000"/>
                <w:kern w:val="0"/>
                <w:sz w:val="25"/>
                <w:szCs w:val="24"/>
              </w:rPr>
              <w:t>1.49%</w:t>
            </w:r>
          </w:p>
        </w:tc>
        <w:tc>
          <w:tcPr>
            <w:tcW w:w="750" w:type="pct"/>
            <w:tcBorders>
              <w:top w:val="single" w:sz="4" w:space="0" w:color="auto"/>
              <w:left w:val="single" w:sz="4" w:space="0" w:color="auto"/>
              <w:bottom w:val="single" w:sz="4" w:space="0" w:color="auto"/>
              <w:right w:val="single" w:sz="4" w:space="0" w:color="auto"/>
            </w:tcBorders>
            <w:vAlign w:val="center"/>
          </w:tcPr>
          <w:p w14:paraId="2A70A438" w14:textId="77777777" w:rsidR="001F702C" w:rsidRDefault="00BD18A1">
            <w:pPr>
              <w:widowControl/>
              <w:snapToGrid w:val="0"/>
              <w:jc w:val="left"/>
              <w:rPr>
                <w:rFonts w:ascii="宋体" w:hAnsi="宋体"/>
                <w:color w:val="000000"/>
                <w:kern w:val="0"/>
                <w:sz w:val="25"/>
                <w:szCs w:val="24"/>
              </w:rPr>
            </w:pPr>
            <w:r>
              <w:rPr>
                <w:rFonts w:ascii="Times New Roman" w:hAnsi="Times New Roman"/>
                <w:color w:val="000000"/>
                <w:kern w:val="0"/>
                <w:sz w:val="25"/>
                <w:szCs w:val="24"/>
              </w:rPr>
              <w:t>-0.06%</w:t>
            </w:r>
          </w:p>
        </w:tc>
      </w:tr>
      <w:tr w:rsidR="001F702C" w14:paraId="284AAD86"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708CC65B" w14:textId="77777777" w:rsidR="001F702C" w:rsidRDefault="00BD18A1">
            <w:pPr>
              <w:widowControl/>
              <w:snapToGrid w:val="0"/>
              <w:jc w:val="left"/>
              <w:rPr>
                <w:rFonts w:ascii="宋体" w:hAnsi="宋体"/>
                <w:color w:val="000000"/>
                <w:kern w:val="0"/>
                <w:sz w:val="25"/>
                <w:szCs w:val="24"/>
              </w:rPr>
            </w:pPr>
            <w:r>
              <w:rPr>
                <w:rFonts w:ascii="Times New Roman" w:hAnsi="Times New Roman"/>
                <w:color w:val="000000"/>
                <w:kern w:val="0"/>
                <w:sz w:val="25"/>
                <w:szCs w:val="24"/>
              </w:rPr>
              <w:t>2022</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14:paraId="63A28472" w14:textId="77777777" w:rsidR="001F702C" w:rsidRDefault="00BD18A1">
            <w:pPr>
              <w:widowControl/>
              <w:snapToGrid w:val="0"/>
              <w:jc w:val="left"/>
              <w:rPr>
                <w:rFonts w:ascii="宋体" w:hAnsi="宋体"/>
                <w:color w:val="000000"/>
                <w:kern w:val="0"/>
                <w:sz w:val="25"/>
                <w:szCs w:val="24"/>
              </w:rPr>
            </w:pPr>
            <w:r>
              <w:rPr>
                <w:rFonts w:ascii="Times New Roman" w:hAnsi="Times New Roman"/>
                <w:color w:val="000000"/>
                <w:kern w:val="0"/>
                <w:sz w:val="25"/>
                <w:szCs w:val="24"/>
              </w:rPr>
              <w:t>2.53%</w:t>
            </w:r>
          </w:p>
        </w:tc>
        <w:tc>
          <w:tcPr>
            <w:tcW w:w="750" w:type="pct"/>
            <w:tcBorders>
              <w:top w:val="single" w:sz="4" w:space="0" w:color="auto"/>
              <w:left w:val="single" w:sz="4" w:space="0" w:color="auto"/>
              <w:bottom w:val="single" w:sz="4" w:space="0" w:color="auto"/>
              <w:right w:val="single" w:sz="4" w:space="0" w:color="auto"/>
            </w:tcBorders>
            <w:vAlign w:val="center"/>
          </w:tcPr>
          <w:p w14:paraId="6CBFFF20" w14:textId="77777777" w:rsidR="001F702C" w:rsidRDefault="00BD18A1">
            <w:pPr>
              <w:widowControl/>
              <w:snapToGrid w:val="0"/>
              <w:jc w:val="left"/>
              <w:rPr>
                <w:rFonts w:ascii="宋体" w:hAnsi="宋体"/>
                <w:color w:val="000000"/>
                <w:kern w:val="0"/>
                <w:sz w:val="25"/>
                <w:szCs w:val="24"/>
              </w:rPr>
            </w:pPr>
            <w:r>
              <w:rPr>
                <w:rFonts w:ascii="Times New Roman" w:hAnsi="Times New Roman"/>
                <w:color w:val="000000"/>
                <w:kern w:val="0"/>
                <w:sz w:val="25"/>
                <w:szCs w:val="24"/>
              </w:rPr>
              <w:t>0.05%</w:t>
            </w:r>
          </w:p>
        </w:tc>
        <w:tc>
          <w:tcPr>
            <w:tcW w:w="750" w:type="pct"/>
            <w:tcBorders>
              <w:top w:val="single" w:sz="4" w:space="0" w:color="auto"/>
              <w:left w:val="single" w:sz="4" w:space="0" w:color="auto"/>
              <w:bottom w:val="single" w:sz="4" w:space="0" w:color="auto"/>
              <w:right w:val="single" w:sz="4" w:space="0" w:color="auto"/>
            </w:tcBorders>
            <w:vAlign w:val="center"/>
          </w:tcPr>
          <w:p w14:paraId="1CAB562E" w14:textId="77777777" w:rsidR="001F702C" w:rsidRDefault="00BD18A1">
            <w:pPr>
              <w:widowControl/>
              <w:snapToGrid w:val="0"/>
              <w:jc w:val="left"/>
              <w:rPr>
                <w:rFonts w:ascii="宋体" w:hAnsi="宋体"/>
                <w:color w:val="000000"/>
                <w:kern w:val="0"/>
                <w:sz w:val="25"/>
                <w:szCs w:val="24"/>
              </w:rPr>
            </w:pPr>
            <w:r>
              <w:rPr>
                <w:rFonts w:ascii="Times New Roman" w:hAnsi="Times New Roman"/>
                <w:color w:val="000000"/>
                <w:kern w:val="0"/>
                <w:sz w:val="25"/>
                <w:szCs w:val="24"/>
              </w:rPr>
              <w:t>-0.98%</w:t>
            </w:r>
          </w:p>
        </w:tc>
        <w:tc>
          <w:tcPr>
            <w:tcW w:w="750" w:type="pct"/>
            <w:tcBorders>
              <w:top w:val="single" w:sz="4" w:space="0" w:color="auto"/>
              <w:left w:val="single" w:sz="4" w:space="0" w:color="auto"/>
              <w:bottom w:val="single" w:sz="4" w:space="0" w:color="auto"/>
              <w:right w:val="single" w:sz="4" w:space="0" w:color="auto"/>
            </w:tcBorders>
            <w:vAlign w:val="center"/>
          </w:tcPr>
          <w:p w14:paraId="7415D762" w14:textId="77777777" w:rsidR="001F702C" w:rsidRDefault="00BD18A1">
            <w:pPr>
              <w:widowControl/>
              <w:snapToGrid w:val="0"/>
              <w:jc w:val="left"/>
              <w:rPr>
                <w:rFonts w:ascii="宋体" w:hAnsi="宋体"/>
                <w:color w:val="000000"/>
                <w:kern w:val="0"/>
                <w:sz w:val="25"/>
                <w:szCs w:val="24"/>
              </w:rPr>
            </w:pPr>
            <w:r>
              <w:rPr>
                <w:rFonts w:ascii="Times New Roman" w:hAnsi="Times New Roman"/>
                <w:color w:val="000000"/>
                <w:kern w:val="0"/>
                <w:sz w:val="25"/>
                <w:szCs w:val="24"/>
              </w:rPr>
              <w:t>0.07%</w:t>
            </w:r>
          </w:p>
        </w:tc>
        <w:tc>
          <w:tcPr>
            <w:tcW w:w="750" w:type="pct"/>
            <w:tcBorders>
              <w:top w:val="single" w:sz="4" w:space="0" w:color="auto"/>
              <w:left w:val="single" w:sz="4" w:space="0" w:color="auto"/>
              <w:bottom w:val="single" w:sz="4" w:space="0" w:color="auto"/>
              <w:right w:val="single" w:sz="4" w:space="0" w:color="auto"/>
            </w:tcBorders>
            <w:vAlign w:val="center"/>
          </w:tcPr>
          <w:p w14:paraId="04F4BF0B" w14:textId="77777777" w:rsidR="001F702C" w:rsidRDefault="00BD18A1">
            <w:pPr>
              <w:widowControl/>
              <w:snapToGrid w:val="0"/>
              <w:jc w:val="left"/>
              <w:rPr>
                <w:rFonts w:ascii="宋体" w:hAnsi="宋体"/>
                <w:color w:val="000000"/>
                <w:kern w:val="0"/>
                <w:sz w:val="25"/>
                <w:szCs w:val="24"/>
              </w:rPr>
            </w:pPr>
            <w:r>
              <w:rPr>
                <w:rFonts w:ascii="Times New Roman" w:hAnsi="Times New Roman"/>
                <w:color w:val="000000"/>
                <w:kern w:val="0"/>
                <w:sz w:val="25"/>
                <w:szCs w:val="24"/>
              </w:rPr>
              <w:t>3.51%</w:t>
            </w:r>
          </w:p>
        </w:tc>
        <w:tc>
          <w:tcPr>
            <w:tcW w:w="750" w:type="pct"/>
            <w:tcBorders>
              <w:top w:val="single" w:sz="4" w:space="0" w:color="auto"/>
              <w:left w:val="single" w:sz="4" w:space="0" w:color="auto"/>
              <w:bottom w:val="single" w:sz="4" w:space="0" w:color="auto"/>
              <w:right w:val="single" w:sz="4" w:space="0" w:color="auto"/>
            </w:tcBorders>
            <w:vAlign w:val="center"/>
          </w:tcPr>
          <w:p w14:paraId="3C51C6F6" w14:textId="77777777" w:rsidR="001F702C" w:rsidRDefault="00BD18A1">
            <w:pPr>
              <w:widowControl/>
              <w:snapToGrid w:val="0"/>
              <w:jc w:val="left"/>
              <w:rPr>
                <w:rFonts w:ascii="宋体" w:hAnsi="宋体"/>
                <w:color w:val="000000"/>
                <w:kern w:val="0"/>
                <w:sz w:val="25"/>
                <w:szCs w:val="24"/>
              </w:rPr>
            </w:pPr>
            <w:r>
              <w:rPr>
                <w:rFonts w:ascii="Times New Roman" w:hAnsi="Times New Roman"/>
                <w:color w:val="000000"/>
                <w:kern w:val="0"/>
                <w:sz w:val="25"/>
                <w:szCs w:val="24"/>
              </w:rPr>
              <w:t>-0.02%</w:t>
            </w:r>
          </w:p>
        </w:tc>
      </w:tr>
      <w:tr w:rsidR="001F702C" w14:paraId="2B160651"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53EFC592" w14:textId="77777777" w:rsidR="001F702C" w:rsidRDefault="00BD18A1">
            <w:pPr>
              <w:widowControl/>
              <w:snapToGrid w:val="0"/>
              <w:jc w:val="left"/>
              <w:rPr>
                <w:rFonts w:ascii="宋体" w:hAnsi="宋体"/>
                <w:color w:val="000000"/>
                <w:kern w:val="0"/>
                <w:sz w:val="25"/>
                <w:szCs w:val="24"/>
              </w:rPr>
            </w:pPr>
            <w:r>
              <w:rPr>
                <w:rFonts w:ascii="Times New Roman" w:hAnsi="Times New Roman"/>
                <w:color w:val="000000"/>
                <w:kern w:val="0"/>
                <w:sz w:val="25"/>
                <w:szCs w:val="24"/>
              </w:rPr>
              <w:t>2021</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14:paraId="307B4E5A" w14:textId="77777777" w:rsidR="001F702C" w:rsidRDefault="00BD18A1">
            <w:pPr>
              <w:widowControl/>
              <w:snapToGrid w:val="0"/>
              <w:jc w:val="left"/>
              <w:rPr>
                <w:rFonts w:ascii="宋体" w:hAnsi="宋体"/>
                <w:color w:val="000000"/>
                <w:kern w:val="0"/>
                <w:sz w:val="25"/>
                <w:szCs w:val="24"/>
              </w:rPr>
            </w:pPr>
            <w:r>
              <w:rPr>
                <w:rFonts w:ascii="Times New Roman" w:hAnsi="Times New Roman"/>
                <w:color w:val="000000"/>
                <w:kern w:val="0"/>
                <w:sz w:val="25"/>
                <w:szCs w:val="24"/>
              </w:rPr>
              <w:t>3.61%</w:t>
            </w:r>
          </w:p>
        </w:tc>
        <w:tc>
          <w:tcPr>
            <w:tcW w:w="750" w:type="pct"/>
            <w:tcBorders>
              <w:top w:val="single" w:sz="4" w:space="0" w:color="auto"/>
              <w:left w:val="single" w:sz="4" w:space="0" w:color="auto"/>
              <w:bottom w:val="single" w:sz="4" w:space="0" w:color="auto"/>
              <w:right w:val="single" w:sz="4" w:space="0" w:color="auto"/>
            </w:tcBorders>
            <w:vAlign w:val="center"/>
          </w:tcPr>
          <w:p w14:paraId="0579A425" w14:textId="77777777" w:rsidR="001F702C" w:rsidRDefault="00BD18A1">
            <w:pPr>
              <w:widowControl/>
              <w:snapToGrid w:val="0"/>
              <w:jc w:val="left"/>
              <w:rPr>
                <w:rFonts w:ascii="宋体" w:hAnsi="宋体"/>
                <w:color w:val="000000"/>
                <w:kern w:val="0"/>
                <w:sz w:val="25"/>
                <w:szCs w:val="24"/>
              </w:rPr>
            </w:pPr>
            <w:r>
              <w:rPr>
                <w:rFonts w:ascii="Times New Roman" w:hAnsi="Times New Roman"/>
                <w:color w:val="000000"/>
                <w:kern w:val="0"/>
                <w:sz w:val="25"/>
                <w:szCs w:val="24"/>
              </w:rPr>
              <w:t>0.03%</w:t>
            </w:r>
          </w:p>
        </w:tc>
        <w:tc>
          <w:tcPr>
            <w:tcW w:w="750" w:type="pct"/>
            <w:tcBorders>
              <w:top w:val="single" w:sz="4" w:space="0" w:color="auto"/>
              <w:left w:val="single" w:sz="4" w:space="0" w:color="auto"/>
              <w:bottom w:val="single" w:sz="4" w:space="0" w:color="auto"/>
              <w:right w:val="single" w:sz="4" w:space="0" w:color="auto"/>
            </w:tcBorders>
            <w:vAlign w:val="center"/>
          </w:tcPr>
          <w:p w14:paraId="269AE3EE" w14:textId="77777777" w:rsidR="001F702C" w:rsidRDefault="00BD18A1">
            <w:pPr>
              <w:widowControl/>
              <w:snapToGrid w:val="0"/>
              <w:jc w:val="left"/>
              <w:rPr>
                <w:rFonts w:ascii="宋体" w:hAnsi="宋体"/>
                <w:color w:val="000000"/>
                <w:kern w:val="0"/>
                <w:sz w:val="25"/>
                <w:szCs w:val="24"/>
              </w:rPr>
            </w:pPr>
            <w:r>
              <w:rPr>
                <w:rFonts w:ascii="Times New Roman" w:hAnsi="Times New Roman"/>
                <w:color w:val="000000"/>
                <w:kern w:val="0"/>
                <w:sz w:val="25"/>
                <w:szCs w:val="24"/>
              </w:rPr>
              <w:t>0.05%</w:t>
            </w:r>
          </w:p>
        </w:tc>
        <w:tc>
          <w:tcPr>
            <w:tcW w:w="750" w:type="pct"/>
            <w:tcBorders>
              <w:top w:val="single" w:sz="4" w:space="0" w:color="auto"/>
              <w:left w:val="single" w:sz="4" w:space="0" w:color="auto"/>
              <w:bottom w:val="single" w:sz="4" w:space="0" w:color="auto"/>
              <w:right w:val="single" w:sz="4" w:space="0" w:color="auto"/>
            </w:tcBorders>
            <w:vAlign w:val="center"/>
          </w:tcPr>
          <w:p w14:paraId="1F26D5B0" w14:textId="77777777" w:rsidR="001F702C" w:rsidRDefault="00BD18A1">
            <w:pPr>
              <w:widowControl/>
              <w:snapToGrid w:val="0"/>
              <w:jc w:val="left"/>
              <w:rPr>
                <w:rFonts w:ascii="宋体" w:hAnsi="宋体"/>
                <w:color w:val="000000"/>
                <w:kern w:val="0"/>
                <w:sz w:val="25"/>
                <w:szCs w:val="24"/>
              </w:rPr>
            </w:pPr>
            <w:r>
              <w:rPr>
                <w:rFonts w:ascii="Times New Roman" w:hAnsi="Times New Roman"/>
                <w:color w:val="000000"/>
                <w:kern w:val="0"/>
                <w:sz w:val="25"/>
                <w:szCs w:val="24"/>
              </w:rPr>
              <w:t>0.06%</w:t>
            </w:r>
          </w:p>
        </w:tc>
        <w:tc>
          <w:tcPr>
            <w:tcW w:w="750" w:type="pct"/>
            <w:tcBorders>
              <w:top w:val="single" w:sz="4" w:space="0" w:color="auto"/>
              <w:left w:val="single" w:sz="4" w:space="0" w:color="auto"/>
              <w:bottom w:val="single" w:sz="4" w:space="0" w:color="auto"/>
              <w:right w:val="single" w:sz="4" w:space="0" w:color="auto"/>
            </w:tcBorders>
            <w:vAlign w:val="center"/>
          </w:tcPr>
          <w:p w14:paraId="2FE08B91" w14:textId="77777777" w:rsidR="001F702C" w:rsidRDefault="00BD18A1">
            <w:pPr>
              <w:widowControl/>
              <w:snapToGrid w:val="0"/>
              <w:jc w:val="left"/>
              <w:rPr>
                <w:rFonts w:ascii="宋体" w:hAnsi="宋体"/>
                <w:color w:val="000000"/>
                <w:kern w:val="0"/>
                <w:sz w:val="25"/>
                <w:szCs w:val="24"/>
              </w:rPr>
            </w:pPr>
            <w:r>
              <w:rPr>
                <w:rFonts w:ascii="Times New Roman" w:hAnsi="Times New Roman"/>
                <w:color w:val="000000"/>
                <w:kern w:val="0"/>
                <w:sz w:val="25"/>
                <w:szCs w:val="24"/>
              </w:rPr>
              <w:t>3.56%</w:t>
            </w:r>
          </w:p>
        </w:tc>
        <w:tc>
          <w:tcPr>
            <w:tcW w:w="750" w:type="pct"/>
            <w:tcBorders>
              <w:top w:val="single" w:sz="4" w:space="0" w:color="auto"/>
              <w:left w:val="single" w:sz="4" w:space="0" w:color="auto"/>
              <w:bottom w:val="single" w:sz="4" w:space="0" w:color="auto"/>
              <w:right w:val="single" w:sz="4" w:space="0" w:color="auto"/>
            </w:tcBorders>
            <w:vAlign w:val="center"/>
          </w:tcPr>
          <w:p w14:paraId="54571038" w14:textId="77777777" w:rsidR="001F702C" w:rsidRDefault="00BD18A1">
            <w:pPr>
              <w:widowControl/>
              <w:snapToGrid w:val="0"/>
              <w:jc w:val="left"/>
              <w:rPr>
                <w:rFonts w:ascii="宋体" w:hAnsi="宋体"/>
                <w:color w:val="000000"/>
                <w:kern w:val="0"/>
                <w:sz w:val="25"/>
                <w:szCs w:val="24"/>
              </w:rPr>
            </w:pPr>
            <w:r>
              <w:rPr>
                <w:rFonts w:ascii="Times New Roman" w:hAnsi="Times New Roman"/>
                <w:color w:val="000000"/>
                <w:kern w:val="0"/>
                <w:sz w:val="25"/>
                <w:szCs w:val="24"/>
              </w:rPr>
              <w:t>-0.03%</w:t>
            </w:r>
          </w:p>
        </w:tc>
      </w:tr>
      <w:tr w:rsidR="001F702C" w14:paraId="4AB6B79E"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06FD2054" w14:textId="77777777" w:rsidR="001F702C" w:rsidRDefault="00BD18A1">
            <w:pPr>
              <w:widowControl/>
              <w:snapToGrid w:val="0"/>
              <w:jc w:val="left"/>
              <w:rPr>
                <w:rFonts w:ascii="宋体" w:hAnsi="宋体"/>
                <w:color w:val="000000"/>
                <w:kern w:val="0"/>
                <w:sz w:val="25"/>
                <w:szCs w:val="24"/>
              </w:rPr>
            </w:pPr>
            <w:r>
              <w:rPr>
                <w:rFonts w:ascii="Times New Roman" w:hAnsi="Times New Roman"/>
                <w:color w:val="000000"/>
                <w:kern w:val="0"/>
                <w:sz w:val="25"/>
                <w:szCs w:val="24"/>
              </w:rPr>
              <w:t>2020</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14:paraId="37CDF442" w14:textId="77777777" w:rsidR="001F702C" w:rsidRDefault="00BD18A1">
            <w:pPr>
              <w:widowControl/>
              <w:snapToGrid w:val="0"/>
              <w:jc w:val="left"/>
              <w:rPr>
                <w:rFonts w:ascii="宋体" w:hAnsi="宋体"/>
                <w:color w:val="000000"/>
                <w:kern w:val="0"/>
                <w:sz w:val="25"/>
                <w:szCs w:val="24"/>
              </w:rPr>
            </w:pPr>
            <w:r>
              <w:rPr>
                <w:rFonts w:ascii="Times New Roman" w:hAnsi="Times New Roman"/>
                <w:color w:val="000000"/>
                <w:kern w:val="0"/>
                <w:sz w:val="25"/>
                <w:szCs w:val="24"/>
              </w:rPr>
              <w:t>2.51%</w:t>
            </w:r>
          </w:p>
        </w:tc>
        <w:tc>
          <w:tcPr>
            <w:tcW w:w="750" w:type="pct"/>
            <w:tcBorders>
              <w:top w:val="single" w:sz="4" w:space="0" w:color="auto"/>
              <w:left w:val="single" w:sz="4" w:space="0" w:color="auto"/>
              <w:bottom w:val="single" w:sz="4" w:space="0" w:color="auto"/>
              <w:right w:val="single" w:sz="4" w:space="0" w:color="auto"/>
            </w:tcBorders>
            <w:vAlign w:val="center"/>
          </w:tcPr>
          <w:p w14:paraId="7320553A" w14:textId="77777777" w:rsidR="001F702C" w:rsidRDefault="00BD18A1">
            <w:pPr>
              <w:widowControl/>
              <w:snapToGrid w:val="0"/>
              <w:jc w:val="left"/>
              <w:rPr>
                <w:rFonts w:ascii="宋体" w:hAnsi="宋体"/>
                <w:color w:val="000000"/>
                <w:kern w:val="0"/>
                <w:sz w:val="25"/>
                <w:szCs w:val="24"/>
              </w:rPr>
            </w:pPr>
            <w:r>
              <w:rPr>
                <w:rFonts w:ascii="Times New Roman" w:hAnsi="Times New Roman"/>
                <w:color w:val="000000"/>
                <w:kern w:val="0"/>
                <w:sz w:val="25"/>
                <w:szCs w:val="24"/>
              </w:rPr>
              <w:t>0.06%</w:t>
            </w:r>
          </w:p>
        </w:tc>
        <w:tc>
          <w:tcPr>
            <w:tcW w:w="750" w:type="pct"/>
            <w:tcBorders>
              <w:top w:val="single" w:sz="4" w:space="0" w:color="auto"/>
              <w:left w:val="single" w:sz="4" w:space="0" w:color="auto"/>
              <w:bottom w:val="single" w:sz="4" w:space="0" w:color="auto"/>
              <w:right w:val="single" w:sz="4" w:space="0" w:color="auto"/>
            </w:tcBorders>
            <w:vAlign w:val="center"/>
          </w:tcPr>
          <w:p w14:paraId="3A727653" w14:textId="77777777" w:rsidR="001F702C" w:rsidRDefault="00BD18A1">
            <w:pPr>
              <w:widowControl/>
              <w:snapToGrid w:val="0"/>
              <w:jc w:val="left"/>
              <w:rPr>
                <w:rFonts w:ascii="宋体" w:hAnsi="宋体"/>
                <w:color w:val="000000"/>
                <w:kern w:val="0"/>
                <w:sz w:val="25"/>
                <w:szCs w:val="24"/>
              </w:rPr>
            </w:pPr>
            <w:r>
              <w:rPr>
                <w:rFonts w:ascii="Times New Roman" w:hAnsi="Times New Roman"/>
                <w:color w:val="000000"/>
                <w:kern w:val="0"/>
                <w:sz w:val="25"/>
                <w:szCs w:val="24"/>
              </w:rPr>
              <w:t>-1.00%</w:t>
            </w:r>
          </w:p>
        </w:tc>
        <w:tc>
          <w:tcPr>
            <w:tcW w:w="750" w:type="pct"/>
            <w:tcBorders>
              <w:top w:val="single" w:sz="4" w:space="0" w:color="auto"/>
              <w:left w:val="single" w:sz="4" w:space="0" w:color="auto"/>
              <w:bottom w:val="single" w:sz="4" w:space="0" w:color="auto"/>
              <w:right w:val="single" w:sz="4" w:space="0" w:color="auto"/>
            </w:tcBorders>
            <w:vAlign w:val="center"/>
          </w:tcPr>
          <w:p w14:paraId="5432297D" w14:textId="77777777" w:rsidR="001F702C" w:rsidRDefault="00BD18A1">
            <w:pPr>
              <w:widowControl/>
              <w:snapToGrid w:val="0"/>
              <w:jc w:val="left"/>
              <w:rPr>
                <w:rFonts w:ascii="宋体" w:hAnsi="宋体"/>
                <w:color w:val="000000"/>
                <w:kern w:val="0"/>
                <w:sz w:val="25"/>
                <w:szCs w:val="24"/>
              </w:rPr>
            </w:pPr>
            <w:r>
              <w:rPr>
                <w:rFonts w:ascii="Times New Roman" w:hAnsi="Times New Roman"/>
                <w:color w:val="000000"/>
                <w:kern w:val="0"/>
                <w:sz w:val="25"/>
                <w:szCs w:val="24"/>
              </w:rPr>
              <w:t>0.07%</w:t>
            </w:r>
          </w:p>
        </w:tc>
        <w:tc>
          <w:tcPr>
            <w:tcW w:w="750" w:type="pct"/>
            <w:tcBorders>
              <w:top w:val="single" w:sz="4" w:space="0" w:color="auto"/>
              <w:left w:val="single" w:sz="4" w:space="0" w:color="auto"/>
              <w:bottom w:val="single" w:sz="4" w:space="0" w:color="auto"/>
              <w:right w:val="single" w:sz="4" w:space="0" w:color="auto"/>
            </w:tcBorders>
            <w:vAlign w:val="center"/>
          </w:tcPr>
          <w:p w14:paraId="236E8A5C" w14:textId="77777777" w:rsidR="001F702C" w:rsidRDefault="00BD18A1">
            <w:pPr>
              <w:widowControl/>
              <w:snapToGrid w:val="0"/>
              <w:jc w:val="left"/>
              <w:rPr>
                <w:rFonts w:ascii="宋体" w:hAnsi="宋体"/>
                <w:color w:val="000000"/>
                <w:kern w:val="0"/>
                <w:sz w:val="25"/>
                <w:szCs w:val="24"/>
              </w:rPr>
            </w:pPr>
            <w:r>
              <w:rPr>
                <w:rFonts w:ascii="Times New Roman" w:hAnsi="Times New Roman"/>
                <w:color w:val="000000"/>
                <w:kern w:val="0"/>
                <w:sz w:val="25"/>
                <w:szCs w:val="24"/>
              </w:rPr>
              <w:t>3.51%</w:t>
            </w:r>
          </w:p>
        </w:tc>
        <w:tc>
          <w:tcPr>
            <w:tcW w:w="750" w:type="pct"/>
            <w:tcBorders>
              <w:top w:val="single" w:sz="4" w:space="0" w:color="auto"/>
              <w:left w:val="single" w:sz="4" w:space="0" w:color="auto"/>
              <w:bottom w:val="single" w:sz="4" w:space="0" w:color="auto"/>
              <w:right w:val="single" w:sz="4" w:space="0" w:color="auto"/>
            </w:tcBorders>
            <w:vAlign w:val="center"/>
          </w:tcPr>
          <w:p w14:paraId="62BEBF1D" w14:textId="77777777" w:rsidR="001F702C" w:rsidRDefault="00BD18A1">
            <w:pPr>
              <w:widowControl/>
              <w:snapToGrid w:val="0"/>
              <w:jc w:val="left"/>
              <w:rPr>
                <w:rFonts w:ascii="宋体" w:hAnsi="宋体"/>
                <w:color w:val="000000"/>
                <w:kern w:val="0"/>
                <w:sz w:val="25"/>
                <w:szCs w:val="24"/>
              </w:rPr>
            </w:pPr>
            <w:r>
              <w:rPr>
                <w:rFonts w:ascii="Times New Roman" w:hAnsi="Times New Roman"/>
                <w:color w:val="000000"/>
                <w:kern w:val="0"/>
                <w:sz w:val="25"/>
                <w:szCs w:val="24"/>
              </w:rPr>
              <w:t>-0.01%</w:t>
            </w:r>
          </w:p>
        </w:tc>
      </w:tr>
      <w:tr w:rsidR="001F702C" w14:paraId="0F0B16FB"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5EAEFA72" w14:textId="77777777" w:rsidR="001F702C" w:rsidRDefault="00BD18A1">
            <w:pPr>
              <w:widowControl/>
              <w:snapToGrid w:val="0"/>
              <w:jc w:val="left"/>
              <w:rPr>
                <w:rFonts w:ascii="宋体" w:hAnsi="宋体"/>
                <w:color w:val="000000"/>
                <w:kern w:val="0"/>
                <w:sz w:val="25"/>
                <w:szCs w:val="24"/>
              </w:rPr>
            </w:pPr>
            <w:r>
              <w:rPr>
                <w:rFonts w:ascii="Times New Roman" w:hAnsi="Times New Roman"/>
                <w:color w:val="000000"/>
                <w:kern w:val="0"/>
                <w:sz w:val="25"/>
                <w:szCs w:val="24"/>
              </w:rPr>
              <w:t>2019</w:t>
            </w:r>
            <w:r>
              <w:rPr>
                <w:rFonts w:ascii="Times New Roman" w:hAnsi="Times New Roman"/>
                <w:color w:val="000000"/>
                <w:kern w:val="0"/>
                <w:sz w:val="25"/>
                <w:szCs w:val="24"/>
              </w:rPr>
              <w:t>年度（自基金合同生效日起至</w:t>
            </w:r>
            <w:r>
              <w:rPr>
                <w:rFonts w:ascii="Times New Roman" w:hAnsi="Times New Roman"/>
                <w:color w:val="000000"/>
                <w:kern w:val="0"/>
                <w:sz w:val="25"/>
                <w:szCs w:val="24"/>
              </w:rPr>
              <w:t>2019</w:t>
            </w:r>
            <w:r>
              <w:rPr>
                <w:rFonts w:ascii="Times New Roman" w:hAnsi="Times New Roman"/>
                <w:color w:val="000000"/>
                <w:kern w:val="0"/>
                <w:sz w:val="25"/>
                <w:szCs w:val="24"/>
              </w:rPr>
              <w:t>年</w:t>
            </w:r>
            <w:r>
              <w:rPr>
                <w:rFonts w:ascii="Times New Roman" w:hAnsi="Times New Roman"/>
                <w:color w:val="000000"/>
                <w:kern w:val="0"/>
                <w:sz w:val="25"/>
                <w:szCs w:val="24"/>
              </w:rPr>
              <w:t>12</w:t>
            </w:r>
            <w:r>
              <w:rPr>
                <w:rFonts w:ascii="Times New Roman" w:hAnsi="Times New Roman"/>
                <w:color w:val="000000"/>
                <w:kern w:val="0"/>
                <w:sz w:val="25"/>
                <w:szCs w:val="24"/>
              </w:rPr>
              <w:t>月</w:t>
            </w:r>
            <w:r>
              <w:rPr>
                <w:rFonts w:ascii="Times New Roman" w:hAnsi="Times New Roman"/>
                <w:color w:val="000000"/>
                <w:kern w:val="0"/>
                <w:sz w:val="25"/>
                <w:szCs w:val="24"/>
              </w:rPr>
              <w:t>31</w:t>
            </w:r>
            <w:r>
              <w:rPr>
                <w:rFonts w:ascii="Times New Roman" w:hAnsi="Times New Roman"/>
                <w:color w:val="000000"/>
                <w:kern w:val="0"/>
                <w:sz w:val="25"/>
                <w:szCs w:val="24"/>
              </w:rPr>
              <w:t>日）</w:t>
            </w:r>
          </w:p>
        </w:tc>
        <w:tc>
          <w:tcPr>
            <w:tcW w:w="750" w:type="pct"/>
            <w:tcBorders>
              <w:top w:val="single" w:sz="4" w:space="0" w:color="auto"/>
              <w:left w:val="single" w:sz="4" w:space="0" w:color="auto"/>
              <w:bottom w:val="single" w:sz="4" w:space="0" w:color="auto"/>
              <w:right w:val="single" w:sz="4" w:space="0" w:color="auto"/>
            </w:tcBorders>
            <w:vAlign w:val="center"/>
          </w:tcPr>
          <w:p w14:paraId="79CABD47" w14:textId="77777777" w:rsidR="001F702C" w:rsidRDefault="00BD18A1">
            <w:pPr>
              <w:widowControl/>
              <w:snapToGrid w:val="0"/>
              <w:jc w:val="left"/>
              <w:rPr>
                <w:rFonts w:ascii="宋体" w:hAnsi="宋体"/>
                <w:color w:val="000000"/>
                <w:kern w:val="0"/>
                <w:sz w:val="25"/>
                <w:szCs w:val="24"/>
              </w:rPr>
            </w:pPr>
            <w:r>
              <w:rPr>
                <w:rFonts w:ascii="Times New Roman" w:hAnsi="Times New Roman"/>
                <w:color w:val="000000"/>
                <w:kern w:val="0"/>
                <w:sz w:val="25"/>
                <w:szCs w:val="24"/>
              </w:rPr>
              <w:t>3.09%</w:t>
            </w:r>
          </w:p>
        </w:tc>
        <w:tc>
          <w:tcPr>
            <w:tcW w:w="750" w:type="pct"/>
            <w:tcBorders>
              <w:top w:val="single" w:sz="4" w:space="0" w:color="auto"/>
              <w:left w:val="single" w:sz="4" w:space="0" w:color="auto"/>
              <w:bottom w:val="single" w:sz="4" w:space="0" w:color="auto"/>
              <w:right w:val="single" w:sz="4" w:space="0" w:color="auto"/>
            </w:tcBorders>
            <w:vAlign w:val="center"/>
          </w:tcPr>
          <w:p w14:paraId="71CC5323" w14:textId="77777777" w:rsidR="001F702C" w:rsidRDefault="00BD18A1">
            <w:pPr>
              <w:widowControl/>
              <w:snapToGrid w:val="0"/>
              <w:jc w:val="left"/>
              <w:rPr>
                <w:rFonts w:ascii="宋体" w:hAnsi="宋体"/>
                <w:color w:val="000000"/>
                <w:kern w:val="0"/>
                <w:sz w:val="25"/>
                <w:szCs w:val="24"/>
              </w:rPr>
            </w:pPr>
            <w:r>
              <w:rPr>
                <w:rFonts w:ascii="Times New Roman" w:hAnsi="Times New Roman"/>
                <w:color w:val="000000"/>
                <w:kern w:val="0"/>
                <w:sz w:val="25"/>
                <w:szCs w:val="24"/>
              </w:rPr>
              <w:t>0.03%</w:t>
            </w:r>
          </w:p>
        </w:tc>
        <w:tc>
          <w:tcPr>
            <w:tcW w:w="750" w:type="pct"/>
            <w:tcBorders>
              <w:top w:val="single" w:sz="4" w:space="0" w:color="auto"/>
              <w:left w:val="single" w:sz="4" w:space="0" w:color="auto"/>
              <w:bottom w:val="single" w:sz="4" w:space="0" w:color="auto"/>
              <w:right w:val="single" w:sz="4" w:space="0" w:color="auto"/>
            </w:tcBorders>
            <w:vAlign w:val="center"/>
          </w:tcPr>
          <w:p w14:paraId="469E59C7" w14:textId="77777777" w:rsidR="001F702C" w:rsidRDefault="00BD18A1">
            <w:pPr>
              <w:widowControl/>
              <w:snapToGrid w:val="0"/>
              <w:jc w:val="left"/>
              <w:rPr>
                <w:rFonts w:ascii="宋体" w:hAnsi="宋体"/>
                <w:color w:val="000000"/>
                <w:kern w:val="0"/>
                <w:sz w:val="25"/>
                <w:szCs w:val="24"/>
              </w:rPr>
            </w:pPr>
            <w:r>
              <w:rPr>
                <w:rFonts w:ascii="Times New Roman" w:hAnsi="Times New Roman"/>
                <w:color w:val="000000"/>
                <w:kern w:val="0"/>
                <w:sz w:val="25"/>
                <w:szCs w:val="24"/>
              </w:rPr>
              <w:t>0.05%</w:t>
            </w:r>
          </w:p>
        </w:tc>
        <w:tc>
          <w:tcPr>
            <w:tcW w:w="750" w:type="pct"/>
            <w:tcBorders>
              <w:top w:val="single" w:sz="4" w:space="0" w:color="auto"/>
              <w:left w:val="single" w:sz="4" w:space="0" w:color="auto"/>
              <w:bottom w:val="single" w:sz="4" w:space="0" w:color="auto"/>
              <w:right w:val="single" w:sz="4" w:space="0" w:color="auto"/>
            </w:tcBorders>
            <w:vAlign w:val="center"/>
          </w:tcPr>
          <w:p w14:paraId="43E70F12" w14:textId="77777777" w:rsidR="001F702C" w:rsidRDefault="00BD18A1">
            <w:pPr>
              <w:widowControl/>
              <w:snapToGrid w:val="0"/>
              <w:jc w:val="left"/>
              <w:rPr>
                <w:rFonts w:ascii="宋体" w:hAnsi="宋体"/>
                <w:color w:val="000000"/>
                <w:kern w:val="0"/>
                <w:sz w:val="25"/>
                <w:szCs w:val="24"/>
              </w:rPr>
            </w:pPr>
            <w:r>
              <w:rPr>
                <w:rFonts w:ascii="Times New Roman" w:hAnsi="Times New Roman"/>
                <w:color w:val="000000"/>
                <w:kern w:val="0"/>
                <w:sz w:val="25"/>
                <w:szCs w:val="24"/>
              </w:rPr>
              <w:t>0.05%</w:t>
            </w:r>
          </w:p>
        </w:tc>
        <w:tc>
          <w:tcPr>
            <w:tcW w:w="750" w:type="pct"/>
            <w:tcBorders>
              <w:top w:val="single" w:sz="4" w:space="0" w:color="auto"/>
              <w:left w:val="single" w:sz="4" w:space="0" w:color="auto"/>
              <w:bottom w:val="single" w:sz="4" w:space="0" w:color="auto"/>
              <w:right w:val="single" w:sz="4" w:space="0" w:color="auto"/>
            </w:tcBorders>
            <w:vAlign w:val="center"/>
          </w:tcPr>
          <w:p w14:paraId="1239EEF9" w14:textId="77777777" w:rsidR="001F702C" w:rsidRDefault="00BD18A1">
            <w:pPr>
              <w:widowControl/>
              <w:snapToGrid w:val="0"/>
              <w:jc w:val="left"/>
              <w:rPr>
                <w:rFonts w:ascii="宋体" w:hAnsi="宋体"/>
                <w:color w:val="000000"/>
                <w:kern w:val="0"/>
                <w:sz w:val="25"/>
                <w:szCs w:val="24"/>
              </w:rPr>
            </w:pPr>
            <w:r>
              <w:rPr>
                <w:rFonts w:ascii="Times New Roman" w:hAnsi="Times New Roman"/>
                <w:color w:val="000000"/>
                <w:kern w:val="0"/>
                <w:sz w:val="25"/>
                <w:szCs w:val="24"/>
              </w:rPr>
              <w:t>3.04%</w:t>
            </w:r>
          </w:p>
        </w:tc>
        <w:tc>
          <w:tcPr>
            <w:tcW w:w="750" w:type="pct"/>
            <w:tcBorders>
              <w:top w:val="single" w:sz="4" w:space="0" w:color="auto"/>
              <w:left w:val="single" w:sz="4" w:space="0" w:color="auto"/>
              <w:bottom w:val="single" w:sz="4" w:space="0" w:color="auto"/>
              <w:right w:val="single" w:sz="4" w:space="0" w:color="auto"/>
            </w:tcBorders>
            <w:vAlign w:val="center"/>
          </w:tcPr>
          <w:p w14:paraId="53917A3B" w14:textId="77777777" w:rsidR="001F702C" w:rsidRDefault="00BD18A1">
            <w:pPr>
              <w:widowControl/>
              <w:snapToGrid w:val="0"/>
              <w:jc w:val="left"/>
              <w:rPr>
                <w:rFonts w:ascii="宋体" w:hAnsi="宋体"/>
                <w:color w:val="000000"/>
                <w:kern w:val="0"/>
                <w:sz w:val="25"/>
                <w:szCs w:val="24"/>
              </w:rPr>
            </w:pPr>
            <w:r>
              <w:rPr>
                <w:rFonts w:ascii="Times New Roman" w:hAnsi="Times New Roman"/>
                <w:color w:val="000000"/>
                <w:kern w:val="0"/>
                <w:sz w:val="25"/>
                <w:szCs w:val="24"/>
              </w:rPr>
              <w:t>-0.02%</w:t>
            </w:r>
          </w:p>
        </w:tc>
      </w:tr>
    </w:tbl>
    <w:p w14:paraId="377D6417"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注：本</w:t>
      </w:r>
      <w:proofErr w:type="gramStart"/>
      <w:r>
        <w:rPr>
          <w:rFonts w:ascii="宋体" w:hAnsi="宋体"/>
          <w:sz w:val="24"/>
        </w:rPr>
        <w:t>基金基金</w:t>
      </w:r>
      <w:proofErr w:type="gramEnd"/>
      <w:r>
        <w:rPr>
          <w:rFonts w:ascii="宋体" w:hAnsi="宋体"/>
          <w:sz w:val="24"/>
        </w:rPr>
        <w:t>合同生效日为2019年1月23日，本基金的业绩比较基准为“中债-1-3年农发行债券指数收益率*95%+银行活期存款利率（税后）*5%”。</w:t>
      </w:r>
    </w:p>
    <w:p w14:paraId="60759614"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（2）交银中债1-3年农发</w:t>
      </w:r>
      <w:proofErr w:type="gramStart"/>
      <w:r>
        <w:rPr>
          <w:rFonts w:ascii="宋体" w:hAnsi="宋体"/>
          <w:sz w:val="24"/>
        </w:rPr>
        <w:t>债指数</w:t>
      </w:r>
      <w:proofErr w:type="gramEnd"/>
      <w:r>
        <w:rPr>
          <w:rFonts w:ascii="宋体" w:hAnsi="宋体"/>
          <w:sz w:val="24"/>
        </w:rPr>
        <w:t>C</w:t>
      </w:r>
    </w:p>
    <w:tbl>
      <w:tblPr>
        <w:tblW w:w="5000" w:type="pct"/>
        <w:tblCellMar>
          <w:left w:w="0" w:type="dxa"/>
          <w:right w:w="0" w:type="dxa"/>
        </w:tblCellMar>
        <w:tblLook w:val="0000" w:firstRow="0" w:lastRow="0" w:firstColumn="0" w:lastColumn="0" w:noHBand="0" w:noVBand="0"/>
      </w:tblPr>
      <w:tblGrid>
        <w:gridCol w:w="1297"/>
        <w:gridCol w:w="1297"/>
        <w:gridCol w:w="1297"/>
        <w:gridCol w:w="1298"/>
        <w:gridCol w:w="1298"/>
        <w:gridCol w:w="1298"/>
        <w:gridCol w:w="865"/>
      </w:tblGrid>
      <w:tr w:rsidR="001F702C" w14:paraId="3D9944E8"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1A0B614C" w14:textId="77777777" w:rsidR="001F702C" w:rsidRDefault="00BD18A1">
            <w:pPr>
              <w:widowControl/>
              <w:snapToGrid w:val="0"/>
              <w:jc w:val="center"/>
              <w:rPr>
                <w:rFonts w:ascii="宋体" w:hAnsi="宋体"/>
                <w:color w:val="000000"/>
                <w:kern w:val="0"/>
                <w:sz w:val="25"/>
                <w:szCs w:val="24"/>
              </w:rPr>
            </w:pPr>
            <w:r>
              <w:rPr>
                <w:rFonts w:ascii="Times New Roman" w:hAnsi="Times New Roman"/>
                <w:color w:val="000000"/>
                <w:kern w:val="0"/>
                <w:sz w:val="25"/>
                <w:szCs w:val="24"/>
              </w:rPr>
              <w:t>阶段</w:t>
            </w:r>
          </w:p>
        </w:tc>
        <w:tc>
          <w:tcPr>
            <w:tcW w:w="750" w:type="pct"/>
            <w:tcBorders>
              <w:top w:val="single" w:sz="4" w:space="0" w:color="auto"/>
              <w:left w:val="single" w:sz="4" w:space="0" w:color="auto"/>
              <w:bottom w:val="single" w:sz="4" w:space="0" w:color="auto"/>
              <w:right w:val="single" w:sz="4" w:space="0" w:color="auto"/>
            </w:tcBorders>
            <w:vAlign w:val="center"/>
          </w:tcPr>
          <w:p w14:paraId="41A066E4" w14:textId="77777777" w:rsidR="001F702C" w:rsidRDefault="00BD18A1">
            <w:pPr>
              <w:widowControl/>
              <w:snapToGrid w:val="0"/>
              <w:jc w:val="center"/>
              <w:rPr>
                <w:rFonts w:ascii="宋体" w:hAnsi="宋体"/>
                <w:color w:val="000000"/>
                <w:kern w:val="0"/>
                <w:sz w:val="25"/>
                <w:szCs w:val="24"/>
              </w:rPr>
            </w:pPr>
            <w:r>
              <w:rPr>
                <w:rFonts w:ascii="Times New Roman" w:hAnsi="Times New Roman"/>
                <w:color w:val="000000"/>
                <w:kern w:val="0"/>
                <w:sz w:val="25"/>
                <w:szCs w:val="24"/>
              </w:rPr>
              <w:t>净值增长率</w:t>
            </w:r>
            <w:r>
              <w:rPr>
                <w:rFonts w:ascii="Times New Roman" w:hAnsi="Times New Roman"/>
                <w:color w:val="000000"/>
                <w:kern w:val="0"/>
                <w:sz w:val="25"/>
                <w:szCs w:val="24"/>
              </w:rPr>
              <w:t>①</w:t>
            </w:r>
          </w:p>
        </w:tc>
        <w:tc>
          <w:tcPr>
            <w:tcW w:w="750" w:type="pct"/>
            <w:tcBorders>
              <w:top w:val="single" w:sz="4" w:space="0" w:color="auto"/>
              <w:left w:val="single" w:sz="4" w:space="0" w:color="auto"/>
              <w:bottom w:val="single" w:sz="4" w:space="0" w:color="auto"/>
              <w:right w:val="single" w:sz="4" w:space="0" w:color="auto"/>
            </w:tcBorders>
            <w:vAlign w:val="center"/>
          </w:tcPr>
          <w:p w14:paraId="41982134" w14:textId="77777777" w:rsidR="001F702C" w:rsidRDefault="00BD18A1">
            <w:pPr>
              <w:widowControl/>
              <w:snapToGrid w:val="0"/>
              <w:jc w:val="center"/>
              <w:rPr>
                <w:rFonts w:ascii="宋体" w:hAnsi="宋体"/>
                <w:color w:val="000000"/>
                <w:kern w:val="0"/>
                <w:sz w:val="25"/>
                <w:szCs w:val="24"/>
              </w:rPr>
            </w:pPr>
            <w:r>
              <w:rPr>
                <w:rFonts w:ascii="Times New Roman" w:hAnsi="Times New Roman"/>
                <w:color w:val="000000"/>
                <w:kern w:val="0"/>
                <w:sz w:val="25"/>
                <w:szCs w:val="24"/>
              </w:rPr>
              <w:t>净值增长率标准差</w:t>
            </w:r>
            <w:r>
              <w:rPr>
                <w:rFonts w:ascii="Times New Roman" w:hAnsi="Times New Roman"/>
                <w:color w:val="000000"/>
                <w:kern w:val="0"/>
                <w:sz w:val="25"/>
                <w:szCs w:val="24"/>
              </w:rPr>
              <w:t>②</w:t>
            </w:r>
          </w:p>
        </w:tc>
        <w:tc>
          <w:tcPr>
            <w:tcW w:w="750" w:type="pct"/>
            <w:tcBorders>
              <w:top w:val="single" w:sz="4" w:space="0" w:color="auto"/>
              <w:left w:val="single" w:sz="4" w:space="0" w:color="auto"/>
              <w:bottom w:val="single" w:sz="4" w:space="0" w:color="auto"/>
              <w:right w:val="single" w:sz="4" w:space="0" w:color="auto"/>
            </w:tcBorders>
            <w:vAlign w:val="center"/>
          </w:tcPr>
          <w:p w14:paraId="043EA2B5" w14:textId="77777777" w:rsidR="001F702C" w:rsidRDefault="00BD18A1">
            <w:pPr>
              <w:widowControl/>
              <w:snapToGrid w:val="0"/>
              <w:jc w:val="center"/>
              <w:rPr>
                <w:rFonts w:ascii="宋体" w:hAnsi="宋体"/>
                <w:color w:val="000000"/>
                <w:kern w:val="0"/>
                <w:sz w:val="25"/>
                <w:szCs w:val="24"/>
              </w:rPr>
            </w:pPr>
            <w:r>
              <w:rPr>
                <w:rFonts w:ascii="Times New Roman" w:hAnsi="Times New Roman"/>
                <w:color w:val="000000"/>
                <w:kern w:val="0"/>
                <w:sz w:val="25"/>
                <w:szCs w:val="24"/>
              </w:rPr>
              <w:t>业绩比较基准收益率</w:t>
            </w:r>
            <w:r>
              <w:rPr>
                <w:rFonts w:ascii="Times New Roman" w:hAnsi="Times New Roman"/>
                <w:color w:val="000000"/>
                <w:kern w:val="0"/>
                <w:sz w:val="25"/>
                <w:szCs w:val="24"/>
              </w:rPr>
              <w:t>③</w:t>
            </w:r>
          </w:p>
        </w:tc>
        <w:tc>
          <w:tcPr>
            <w:tcW w:w="750" w:type="pct"/>
            <w:tcBorders>
              <w:top w:val="single" w:sz="4" w:space="0" w:color="auto"/>
              <w:left w:val="single" w:sz="4" w:space="0" w:color="auto"/>
              <w:bottom w:val="single" w:sz="4" w:space="0" w:color="auto"/>
              <w:right w:val="single" w:sz="4" w:space="0" w:color="auto"/>
            </w:tcBorders>
            <w:vAlign w:val="center"/>
          </w:tcPr>
          <w:p w14:paraId="71F4B2EC" w14:textId="77777777" w:rsidR="001F702C" w:rsidRDefault="00BD18A1">
            <w:pPr>
              <w:widowControl/>
              <w:snapToGrid w:val="0"/>
              <w:jc w:val="center"/>
              <w:rPr>
                <w:rFonts w:ascii="宋体" w:hAnsi="宋体"/>
                <w:color w:val="000000"/>
                <w:kern w:val="0"/>
                <w:sz w:val="25"/>
                <w:szCs w:val="24"/>
              </w:rPr>
            </w:pPr>
            <w:r>
              <w:rPr>
                <w:rFonts w:ascii="Times New Roman" w:hAnsi="Times New Roman"/>
                <w:color w:val="000000"/>
                <w:kern w:val="0"/>
                <w:sz w:val="25"/>
                <w:szCs w:val="24"/>
              </w:rPr>
              <w:t>业绩比较基准收益率标准差</w:t>
            </w:r>
            <w:r>
              <w:rPr>
                <w:rFonts w:ascii="Times New Roman" w:hAnsi="Times New Roman"/>
                <w:color w:val="000000"/>
                <w:kern w:val="0"/>
                <w:sz w:val="25"/>
                <w:szCs w:val="24"/>
              </w:rPr>
              <w:t>④</w:t>
            </w:r>
          </w:p>
        </w:tc>
        <w:tc>
          <w:tcPr>
            <w:tcW w:w="750" w:type="pct"/>
            <w:tcBorders>
              <w:top w:val="single" w:sz="4" w:space="0" w:color="auto"/>
              <w:left w:val="single" w:sz="4" w:space="0" w:color="auto"/>
              <w:bottom w:val="single" w:sz="4" w:space="0" w:color="auto"/>
              <w:right w:val="single" w:sz="4" w:space="0" w:color="auto"/>
            </w:tcBorders>
            <w:vAlign w:val="center"/>
          </w:tcPr>
          <w:p w14:paraId="5380F847" w14:textId="77777777" w:rsidR="001F702C" w:rsidRDefault="00BD18A1">
            <w:pPr>
              <w:widowControl/>
              <w:snapToGrid w:val="0"/>
              <w:jc w:val="center"/>
              <w:rPr>
                <w:rFonts w:ascii="宋体" w:hAnsi="宋体"/>
                <w:color w:val="000000"/>
                <w:kern w:val="0"/>
                <w:sz w:val="25"/>
                <w:szCs w:val="24"/>
              </w:rPr>
            </w:pPr>
            <w:r>
              <w:rPr>
                <w:rFonts w:ascii="Times New Roman" w:hAnsi="Times New Roman"/>
                <w:color w:val="000000"/>
                <w:kern w:val="0"/>
                <w:sz w:val="25"/>
                <w:szCs w:val="24"/>
              </w:rPr>
              <w:t>①</w:t>
            </w:r>
            <w:r>
              <w:rPr>
                <w:rFonts w:ascii="Times New Roman" w:hAnsi="Times New Roman"/>
                <w:color w:val="000000"/>
                <w:kern w:val="0"/>
                <w:sz w:val="25"/>
                <w:szCs w:val="24"/>
              </w:rPr>
              <w:t>－</w:t>
            </w:r>
            <w:r>
              <w:rPr>
                <w:rFonts w:ascii="Times New Roman" w:hAnsi="Times New Roman"/>
                <w:color w:val="000000"/>
                <w:kern w:val="0"/>
                <w:sz w:val="25"/>
                <w:szCs w:val="24"/>
              </w:rPr>
              <w:t>③</w:t>
            </w:r>
          </w:p>
        </w:tc>
        <w:tc>
          <w:tcPr>
            <w:tcW w:w="750" w:type="pct"/>
            <w:tcBorders>
              <w:top w:val="single" w:sz="4" w:space="0" w:color="auto"/>
              <w:left w:val="single" w:sz="4" w:space="0" w:color="auto"/>
              <w:bottom w:val="single" w:sz="4" w:space="0" w:color="auto"/>
              <w:right w:val="single" w:sz="4" w:space="0" w:color="auto"/>
            </w:tcBorders>
            <w:vAlign w:val="center"/>
          </w:tcPr>
          <w:p w14:paraId="15C18F0B" w14:textId="77777777" w:rsidR="001F702C" w:rsidRDefault="00BD18A1">
            <w:pPr>
              <w:widowControl/>
              <w:snapToGrid w:val="0"/>
              <w:jc w:val="center"/>
              <w:rPr>
                <w:rFonts w:ascii="宋体" w:hAnsi="宋体"/>
                <w:color w:val="000000"/>
                <w:kern w:val="0"/>
                <w:sz w:val="25"/>
                <w:szCs w:val="24"/>
              </w:rPr>
            </w:pPr>
            <w:r>
              <w:rPr>
                <w:rFonts w:ascii="Times New Roman" w:hAnsi="Times New Roman"/>
                <w:color w:val="000000"/>
                <w:kern w:val="0"/>
                <w:sz w:val="25"/>
                <w:szCs w:val="24"/>
              </w:rPr>
              <w:t>②</w:t>
            </w:r>
            <w:r>
              <w:rPr>
                <w:rFonts w:ascii="Times New Roman" w:hAnsi="Times New Roman"/>
                <w:color w:val="000000"/>
                <w:kern w:val="0"/>
                <w:sz w:val="25"/>
                <w:szCs w:val="24"/>
              </w:rPr>
              <w:t>－</w:t>
            </w:r>
            <w:r>
              <w:rPr>
                <w:rFonts w:ascii="Times New Roman" w:hAnsi="Times New Roman"/>
                <w:color w:val="000000"/>
                <w:kern w:val="0"/>
                <w:sz w:val="25"/>
                <w:szCs w:val="24"/>
              </w:rPr>
              <w:t>④</w:t>
            </w:r>
          </w:p>
        </w:tc>
      </w:tr>
      <w:tr w:rsidR="001F702C" w14:paraId="24644AF1"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3BF53CB1" w14:textId="77777777" w:rsidR="001F702C" w:rsidRDefault="00BD18A1">
            <w:pPr>
              <w:widowControl/>
              <w:snapToGrid w:val="0"/>
              <w:jc w:val="left"/>
              <w:rPr>
                <w:rFonts w:ascii="宋体" w:hAnsi="宋体"/>
                <w:color w:val="000000"/>
                <w:kern w:val="0"/>
                <w:sz w:val="25"/>
                <w:szCs w:val="24"/>
              </w:rPr>
            </w:pPr>
            <w:r>
              <w:rPr>
                <w:rFonts w:ascii="Times New Roman" w:hAnsi="Times New Roman"/>
                <w:color w:val="000000"/>
                <w:kern w:val="0"/>
                <w:sz w:val="25"/>
                <w:szCs w:val="24"/>
              </w:rPr>
              <w:t>过去三个月</w:t>
            </w:r>
          </w:p>
        </w:tc>
        <w:tc>
          <w:tcPr>
            <w:tcW w:w="750" w:type="pct"/>
            <w:tcBorders>
              <w:top w:val="single" w:sz="4" w:space="0" w:color="auto"/>
              <w:left w:val="single" w:sz="4" w:space="0" w:color="auto"/>
              <w:bottom w:val="single" w:sz="4" w:space="0" w:color="auto"/>
              <w:right w:val="single" w:sz="4" w:space="0" w:color="auto"/>
            </w:tcBorders>
            <w:vAlign w:val="center"/>
          </w:tcPr>
          <w:p w14:paraId="4A2625EC" w14:textId="77777777" w:rsidR="001F702C" w:rsidRDefault="00BD18A1">
            <w:pPr>
              <w:widowControl/>
              <w:snapToGrid w:val="0"/>
              <w:jc w:val="left"/>
              <w:rPr>
                <w:rFonts w:ascii="宋体" w:hAnsi="宋体"/>
                <w:color w:val="000000"/>
                <w:kern w:val="0"/>
                <w:sz w:val="25"/>
                <w:szCs w:val="24"/>
              </w:rPr>
            </w:pPr>
            <w:r>
              <w:rPr>
                <w:rFonts w:ascii="Times New Roman" w:hAnsi="Times New Roman"/>
                <w:color w:val="000000"/>
                <w:kern w:val="0"/>
                <w:sz w:val="25"/>
                <w:szCs w:val="24"/>
              </w:rPr>
              <w:t>0.60%</w:t>
            </w:r>
          </w:p>
        </w:tc>
        <w:tc>
          <w:tcPr>
            <w:tcW w:w="750" w:type="pct"/>
            <w:tcBorders>
              <w:top w:val="single" w:sz="4" w:space="0" w:color="auto"/>
              <w:left w:val="single" w:sz="4" w:space="0" w:color="auto"/>
              <w:bottom w:val="single" w:sz="4" w:space="0" w:color="auto"/>
              <w:right w:val="single" w:sz="4" w:space="0" w:color="auto"/>
            </w:tcBorders>
            <w:vAlign w:val="center"/>
          </w:tcPr>
          <w:p w14:paraId="34899D7C" w14:textId="77777777" w:rsidR="001F702C" w:rsidRDefault="00BD18A1">
            <w:pPr>
              <w:widowControl/>
              <w:snapToGrid w:val="0"/>
              <w:jc w:val="left"/>
              <w:rPr>
                <w:rFonts w:ascii="宋体" w:hAnsi="宋体"/>
                <w:color w:val="000000"/>
                <w:kern w:val="0"/>
                <w:sz w:val="25"/>
                <w:szCs w:val="24"/>
              </w:rPr>
            </w:pPr>
            <w:r>
              <w:rPr>
                <w:rFonts w:ascii="Times New Roman" w:hAnsi="Times New Roman"/>
                <w:color w:val="000000"/>
                <w:kern w:val="0"/>
                <w:sz w:val="25"/>
                <w:szCs w:val="24"/>
              </w:rPr>
              <w:t>0.04%</w:t>
            </w:r>
          </w:p>
        </w:tc>
        <w:tc>
          <w:tcPr>
            <w:tcW w:w="750" w:type="pct"/>
            <w:tcBorders>
              <w:top w:val="single" w:sz="4" w:space="0" w:color="auto"/>
              <w:left w:val="single" w:sz="4" w:space="0" w:color="auto"/>
              <w:bottom w:val="single" w:sz="4" w:space="0" w:color="auto"/>
              <w:right w:val="single" w:sz="4" w:space="0" w:color="auto"/>
            </w:tcBorders>
            <w:vAlign w:val="center"/>
          </w:tcPr>
          <w:p w14:paraId="1E6B7437" w14:textId="77777777" w:rsidR="001F702C" w:rsidRDefault="00BD18A1">
            <w:pPr>
              <w:widowControl/>
              <w:snapToGrid w:val="0"/>
              <w:jc w:val="left"/>
              <w:rPr>
                <w:rFonts w:ascii="宋体" w:hAnsi="宋体"/>
                <w:color w:val="000000"/>
                <w:kern w:val="0"/>
                <w:sz w:val="25"/>
                <w:szCs w:val="24"/>
              </w:rPr>
            </w:pPr>
            <w:r>
              <w:rPr>
                <w:rFonts w:ascii="Times New Roman" w:hAnsi="Times New Roman"/>
                <w:color w:val="000000"/>
                <w:kern w:val="0"/>
                <w:sz w:val="25"/>
                <w:szCs w:val="24"/>
              </w:rPr>
              <w:t>-1.01%</w:t>
            </w:r>
          </w:p>
        </w:tc>
        <w:tc>
          <w:tcPr>
            <w:tcW w:w="750" w:type="pct"/>
            <w:tcBorders>
              <w:top w:val="single" w:sz="4" w:space="0" w:color="auto"/>
              <w:left w:val="single" w:sz="4" w:space="0" w:color="auto"/>
              <w:bottom w:val="single" w:sz="4" w:space="0" w:color="auto"/>
              <w:right w:val="single" w:sz="4" w:space="0" w:color="auto"/>
            </w:tcBorders>
            <w:vAlign w:val="center"/>
          </w:tcPr>
          <w:p w14:paraId="1B56377A" w14:textId="77777777" w:rsidR="001F702C" w:rsidRDefault="00BD18A1">
            <w:pPr>
              <w:widowControl/>
              <w:snapToGrid w:val="0"/>
              <w:jc w:val="left"/>
              <w:rPr>
                <w:rFonts w:ascii="宋体" w:hAnsi="宋体"/>
                <w:color w:val="000000"/>
                <w:kern w:val="0"/>
                <w:sz w:val="25"/>
                <w:szCs w:val="24"/>
              </w:rPr>
            </w:pPr>
            <w:r>
              <w:rPr>
                <w:rFonts w:ascii="Times New Roman" w:hAnsi="Times New Roman"/>
                <w:color w:val="000000"/>
                <w:kern w:val="0"/>
                <w:sz w:val="25"/>
                <w:szCs w:val="24"/>
              </w:rPr>
              <w:t>0.09%</w:t>
            </w:r>
          </w:p>
        </w:tc>
        <w:tc>
          <w:tcPr>
            <w:tcW w:w="750" w:type="pct"/>
            <w:tcBorders>
              <w:top w:val="single" w:sz="4" w:space="0" w:color="auto"/>
              <w:left w:val="single" w:sz="4" w:space="0" w:color="auto"/>
              <w:bottom w:val="single" w:sz="4" w:space="0" w:color="auto"/>
              <w:right w:val="single" w:sz="4" w:space="0" w:color="auto"/>
            </w:tcBorders>
            <w:vAlign w:val="center"/>
          </w:tcPr>
          <w:p w14:paraId="559B0076" w14:textId="77777777" w:rsidR="001F702C" w:rsidRDefault="00BD18A1">
            <w:pPr>
              <w:widowControl/>
              <w:snapToGrid w:val="0"/>
              <w:jc w:val="left"/>
              <w:rPr>
                <w:rFonts w:ascii="宋体" w:hAnsi="宋体"/>
                <w:color w:val="000000"/>
                <w:kern w:val="0"/>
                <w:sz w:val="25"/>
                <w:szCs w:val="24"/>
              </w:rPr>
            </w:pPr>
            <w:r>
              <w:rPr>
                <w:rFonts w:ascii="Times New Roman" w:hAnsi="Times New Roman"/>
                <w:color w:val="000000"/>
                <w:kern w:val="0"/>
                <w:sz w:val="25"/>
                <w:szCs w:val="24"/>
              </w:rPr>
              <w:t>1.61%</w:t>
            </w:r>
          </w:p>
        </w:tc>
        <w:tc>
          <w:tcPr>
            <w:tcW w:w="750" w:type="pct"/>
            <w:tcBorders>
              <w:top w:val="single" w:sz="4" w:space="0" w:color="auto"/>
              <w:left w:val="single" w:sz="4" w:space="0" w:color="auto"/>
              <w:bottom w:val="single" w:sz="4" w:space="0" w:color="auto"/>
              <w:right w:val="single" w:sz="4" w:space="0" w:color="auto"/>
            </w:tcBorders>
            <w:vAlign w:val="center"/>
          </w:tcPr>
          <w:p w14:paraId="366D9119" w14:textId="77777777" w:rsidR="001F702C" w:rsidRDefault="00BD18A1">
            <w:pPr>
              <w:widowControl/>
              <w:snapToGrid w:val="0"/>
              <w:jc w:val="left"/>
              <w:rPr>
                <w:rFonts w:ascii="宋体" w:hAnsi="宋体"/>
                <w:color w:val="000000"/>
                <w:kern w:val="0"/>
                <w:sz w:val="25"/>
                <w:szCs w:val="24"/>
              </w:rPr>
            </w:pPr>
            <w:r>
              <w:rPr>
                <w:rFonts w:ascii="Times New Roman" w:hAnsi="Times New Roman"/>
                <w:color w:val="000000"/>
                <w:kern w:val="0"/>
                <w:sz w:val="25"/>
                <w:szCs w:val="24"/>
              </w:rPr>
              <w:t>-0.05%</w:t>
            </w:r>
          </w:p>
        </w:tc>
      </w:tr>
      <w:tr w:rsidR="001F702C" w14:paraId="360EA2B5"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369BD7BE" w14:textId="77777777" w:rsidR="001F702C" w:rsidRDefault="00BD18A1">
            <w:pPr>
              <w:widowControl/>
              <w:snapToGrid w:val="0"/>
              <w:jc w:val="left"/>
              <w:rPr>
                <w:rFonts w:ascii="宋体" w:hAnsi="宋体"/>
                <w:color w:val="000000"/>
                <w:kern w:val="0"/>
                <w:sz w:val="25"/>
                <w:szCs w:val="24"/>
              </w:rPr>
            </w:pPr>
            <w:r>
              <w:rPr>
                <w:rFonts w:ascii="Times New Roman" w:hAnsi="Times New Roman"/>
                <w:color w:val="000000"/>
                <w:kern w:val="0"/>
                <w:sz w:val="25"/>
                <w:szCs w:val="24"/>
              </w:rPr>
              <w:t>2022</w:t>
            </w:r>
            <w:r>
              <w:rPr>
                <w:rFonts w:ascii="Times New Roman" w:hAnsi="Times New Roman"/>
                <w:color w:val="000000"/>
                <w:kern w:val="0"/>
                <w:sz w:val="25"/>
                <w:szCs w:val="24"/>
              </w:rPr>
              <w:t>年度（自基金份额类别首次确认起至</w:t>
            </w:r>
            <w:r>
              <w:rPr>
                <w:rFonts w:ascii="Times New Roman" w:hAnsi="Times New Roman"/>
                <w:color w:val="000000"/>
                <w:kern w:val="0"/>
                <w:sz w:val="25"/>
                <w:szCs w:val="24"/>
              </w:rPr>
              <w:t>2022</w:t>
            </w:r>
            <w:r>
              <w:rPr>
                <w:rFonts w:ascii="Times New Roman" w:hAnsi="Times New Roman"/>
                <w:color w:val="000000"/>
                <w:kern w:val="0"/>
                <w:sz w:val="25"/>
                <w:szCs w:val="24"/>
              </w:rPr>
              <w:t>年</w:t>
            </w:r>
            <w:r>
              <w:rPr>
                <w:rFonts w:ascii="Times New Roman" w:hAnsi="Times New Roman"/>
                <w:color w:val="000000"/>
                <w:kern w:val="0"/>
                <w:sz w:val="25"/>
                <w:szCs w:val="24"/>
              </w:rPr>
              <w:t>12</w:t>
            </w:r>
            <w:r>
              <w:rPr>
                <w:rFonts w:ascii="Times New Roman" w:hAnsi="Times New Roman"/>
                <w:color w:val="000000"/>
                <w:kern w:val="0"/>
                <w:sz w:val="25"/>
                <w:szCs w:val="24"/>
              </w:rPr>
              <w:t>月</w:t>
            </w:r>
            <w:r>
              <w:rPr>
                <w:rFonts w:ascii="Times New Roman" w:hAnsi="Times New Roman"/>
                <w:color w:val="000000"/>
                <w:kern w:val="0"/>
                <w:sz w:val="25"/>
                <w:szCs w:val="24"/>
              </w:rPr>
              <w:t>31</w:t>
            </w:r>
            <w:r>
              <w:rPr>
                <w:rFonts w:ascii="Times New Roman" w:hAnsi="Times New Roman"/>
                <w:color w:val="000000"/>
                <w:kern w:val="0"/>
                <w:sz w:val="25"/>
                <w:szCs w:val="24"/>
              </w:rPr>
              <w:t>日）</w:t>
            </w:r>
          </w:p>
        </w:tc>
        <w:tc>
          <w:tcPr>
            <w:tcW w:w="750" w:type="pct"/>
            <w:tcBorders>
              <w:top w:val="single" w:sz="4" w:space="0" w:color="auto"/>
              <w:left w:val="single" w:sz="4" w:space="0" w:color="auto"/>
              <w:bottom w:val="single" w:sz="4" w:space="0" w:color="auto"/>
              <w:right w:val="single" w:sz="4" w:space="0" w:color="auto"/>
            </w:tcBorders>
            <w:vAlign w:val="center"/>
          </w:tcPr>
          <w:p w14:paraId="13B065D9" w14:textId="77777777" w:rsidR="001F702C" w:rsidRDefault="00BD18A1">
            <w:pPr>
              <w:widowControl/>
              <w:snapToGrid w:val="0"/>
              <w:jc w:val="left"/>
              <w:rPr>
                <w:rFonts w:ascii="宋体" w:hAnsi="宋体"/>
                <w:color w:val="000000"/>
                <w:kern w:val="0"/>
                <w:sz w:val="25"/>
                <w:szCs w:val="24"/>
              </w:rPr>
            </w:pPr>
            <w:r>
              <w:rPr>
                <w:rFonts w:ascii="Times New Roman" w:hAnsi="Times New Roman"/>
                <w:color w:val="000000"/>
                <w:kern w:val="0"/>
                <w:sz w:val="25"/>
                <w:szCs w:val="24"/>
              </w:rPr>
              <w:t>0.01%</w:t>
            </w:r>
          </w:p>
        </w:tc>
        <w:tc>
          <w:tcPr>
            <w:tcW w:w="750" w:type="pct"/>
            <w:tcBorders>
              <w:top w:val="single" w:sz="4" w:space="0" w:color="auto"/>
              <w:left w:val="single" w:sz="4" w:space="0" w:color="auto"/>
              <w:bottom w:val="single" w:sz="4" w:space="0" w:color="auto"/>
              <w:right w:val="single" w:sz="4" w:space="0" w:color="auto"/>
            </w:tcBorders>
            <w:vAlign w:val="center"/>
          </w:tcPr>
          <w:p w14:paraId="713FF6CB" w14:textId="77777777" w:rsidR="001F702C" w:rsidRDefault="00BD18A1">
            <w:pPr>
              <w:widowControl/>
              <w:snapToGrid w:val="0"/>
              <w:jc w:val="left"/>
              <w:rPr>
                <w:rFonts w:ascii="宋体" w:hAnsi="宋体"/>
                <w:color w:val="000000"/>
                <w:kern w:val="0"/>
                <w:sz w:val="25"/>
                <w:szCs w:val="24"/>
              </w:rPr>
            </w:pPr>
            <w:r>
              <w:rPr>
                <w:rFonts w:ascii="Times New Roman" w:hAnsi="Times New Roman"/>
                <w:color w:val="000000"/>
                <w:kern w:val="0"/>
                <w:sz w:val="25"/>
                <w:szCs w:val="24"/>
              </w:rPr>
              <w:t>0.07%</w:t>
            </w:r>
          </w:p>
        </w:tc>
        <w:tc>
          <w:tcPr>
            <w:tcW w:w="750" w:type="pct"/>
            <w:tcBorders>
              <w:top w:val="single" w:sz="4" w:space="0" w:color="auto"/>
              <w:left w:val="single" w:sz="4" w:space="0" w:color="auto"/>
              <w:bottom w:val="single" w:sz="4" w:space="0" w:color="auto"/>
              <w:right w:val="single" w:sz="4" w:space="0" w:color="auto"/>
            </w:tcBorders>
            <w:vAlign w:val="center"/>
          </w:tcPr>
          <w:p w14:paraId="3DEBB618" w14:textId="77777777" w:rsidR="001F702C" w:rsidRDefault="00BD18A1">
            <w:pPr>
              <w:widowControl/>
              <w:snapToGrid w:val="0"/>
              <w:jc w:val="left"/>
              <w:rPr>
                <w:rFonts w:ascii="宋体" w:hAnsi="宋体"/>
                <w:color w:val="000000"/>
                <w:kern w:val="0"/>
                <w:sz w:val="25"/>
                <w:szCs w:val="24"/>
              </w:rPr>
            </w:pPr>
            <w:r>
              <w:rPr>
                <w:rFonts w:ascii="Times New Roman" w:hAnsi="Times New Roman"/>
                <w:color w:val="000000"/>
                <w:kern w:val="0"/>
                <w:sz w:val="25"/>
                <w:szCs w:val="24"/>
              </w:rPr>
              <w:t>-0.32%</w:t>
            </w:r>
          </w:p>
        </w:tc>
        <w:tc>
          <w:tcPr>
            <w:tcW w:w="750" w:type="pct"/>
            <w:tcBorders>
              <w:top w:val="single" w:sz="4" w:space="0" w:color="auto"/>
              <w:left w:val="single" w:sz="4" w:space="0" w:color="auto"/>
              <w:bottom w:val="single" w:sz="4" w:space="0" w:color="auto"/>
              <w:right w:val="single" w:sz="4" w:space="0" w:color="auto"/>
            </w:tcBorders>
            <w:vAlign w:val="center"/>
          </w:tcPr>
          <w:p w14:paraId="16B58360" w14:textId="77777777" w:rsidR="001F702C" w:rsidRDefault="00BD18A1">
            <w:pPr>
              <w:widowControl/>
              <w:snapToGrid w:val="0"/>
              <w:jc w:val="left"/>
              <w:rPr>
                <w:rFonts w:ascii="宋体" w:hAnsi="宋体"/>
                <w:color w:val="000000"/>
                <w:kern w:val="0"/>
                <w:sz w:val="25"/>
                <w:szCs w:val="24"/>
              </w:rPr>
            </w:pPr>
            <w:r>
              <w:rPr>
                <w:rFonts w:ascii="Times New Roman" w:hAnsi="Times New Roman"/>
                <w:color w:val="000000"/>
                <w:kern w:val="0"/>
                <w:sz w:val="25"/>
                <w:szCs w:val="24"/>
              </w:rPr>
              <w:t>0.07%</w:t>
            </w:r>
          </w:p>
        </w:tc>
        <w:tc>
          <w:tcPr>
            <w:tcW w:w="750" w:type="pct"/>
            <w:tcBorders>
              <w:top w:val="single" w:sz="4" w:space="0" w:color="auto"/>
              <w:left w:val="single" w:sz="4" w:space="0" w:color="auto"/>
              <w:bottom w:val="single" w:sz="4" w:space="0" w:color="auto"/>
              <w:right w:val="single" w:sz="4" w:space="0" w:color="auto"/>
            </w:tcBorders>
            <w:vAlign w:val="center"/>
          </w:tcPr>
          <w:p w14:paraId="4C7DA662" w14:textId="77777777" w:rsidR="001F702C" w:rsidRDefault="00BD18A1">
            <w:pPr>
              <w:widowControl/>
              <w:snapToGrid w:val="0"/>
              <w:jc w:val="left"/>
              <w:rPr>
                <w:rFonts w:ascii="宋体" w:hAnsi="宋体"/>
                <w:color w:val="000000"/>
                <w:kern w:val="0"/>
                <w:sz w:val="25"/>
                <w:szCs w:val="24"/>
              </w:rPr>
            </w:pPr>
            <w:r>
              <w:rPr>
                <w:rFonts w:ascii="Times New Roman" w:hAnsi="Times New Roman"/>
                <w:color w:val="000000"/>
                <w:kern w:val="0"/>
                <w:sz w:val="25"/>
                <w:szCs w:val="24"/>
              </w:rPr>
              <w:t>0.33%</w:t>
            </w:r>
          </w:p>
        </w:tc>
        <w:tc>
          <w:tcPr>
            <w:tcW w:w="750" w:type="pct"/>
            <w:tcBorders>
              <w:top w:val="single" w:sz="4" w:space="0" w:color="auto"/>
              <w:left w:val="single" w:sz="4" w:space="0" w:color="auto"/>
              <w:bottom w:val="single" w:sz="4" w:space="0" w:color="auto"/>
              <w:right w:val="single" w:sz="4" w:space="0" w:color="auto"/>
            </w:tcBorders>
            <w:vAlign w:val="center"/>
          </w:tcPr>
          <w:p w14:paraId="0B64D366" w14:textId="77777777" w:rsidR="001F702C" w:rsidRDefault="00BD18A1">
            <w:pPr>
              <w:widowControl/>
              <w:snapToGrid w:val="0"/>
              <w:jc w:val="left"/>
              <w:rPr>
                <w:rFonts w:ascii="宋体" w:hAnsi="宋体"/>
                <w:color w:val="000000"/>
                <w:kern w:val="0"/>
                <w:sz w:val="25"/>
                <w:szCs w:val="24"/>
              </w:rPr>
            </w:pPr>
            <w:r>
              <w:rPr>
                <w:rFonts w:ascii="Times New Roman" w:hAnsi="Times New Roman"/>
                <w:color w:val="000000"/>
                <w:kern w:val="0"/>
                <w:sz w:val="25"/>
                <w:szCs w:val="24"/>
              </w:rPr>
              <w:t>0.00%</w:t>
            </w:r>
          </w:p>
        </w:tc>
      </w:tr>
    </w:tbl>
    <w:p w14:paraId="6A84CB80"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注：本基金的业绩比较基准为“中债-1-3年农发行债券指数收益率*95%+银行活期存款利率（税后）*5%”。</w:t>
      </w:r>
    </w:p>
    <w:p w14:paraId="037FCDDD"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2、自基金合同生效以来基金份额累计净值增长率变动及其与同期业绩比较基</w:t>
      </w:r>
      <w:r>
        <w:rPr>
          <w:rFonts w:ascii="宋体" w:hAnsi="宋体"/>
          <w:sz w:val="24"/>
        </w:rPr>
        <w:lastRenderedPageBreak/>
        <w:t>准收益率变动的比较</w:t>
      </w:r>
    </w:p>
    <w:p w14:paraId="59093B06" w14:textId="77777777" w:rsidR="001F702C" w:rsidRDefault="00BD18A1">
      <w:pPr>
        <w:autoSpaceDE w:val="0"/>
        <w:autoSpaceDN w:val="0"/>
        <w:adjustRightInd w:val="0"/>
        <w:snapToGrid w:val="0"/>
        <w:spacing w:line="360" w:lineRule="auto"/>
        <w:ind w:firstLineChars="200" w:firstLine="480"/>
        <w:jc w:val="center"/>
        <w:rPr>
          <w:rFonts w:ascii="宋体" w:hAnsi="宋体"/>
          <w:szCs w:val="24"/>
        </w:rPr>
      </w:pPr>
      <w:r>
        <w:rPr>
          <w:rFonts w:ascii="宋体" w:hAnsi="宋体"/>
          <w:sz w:val="24"/>
        </w:rPr>
        <w:t>交银施罗德中债1-3年农发行债券指数证券投资基金</w:t>
      </w:r>
    </w:p>
    <w:p w14:paraId="522A47AB" w14:textId="77777777" w:rsidR="001F702C" w:rsidRDefault="00BD18A1">
      <w:pPr>
        <w:autoSpaceDE w:val="0"/>
        <w:autoSpaceDN w:val="0"/>
        <w:adjustRightInd w:val="0"/>
        <w:snapToGrid w:val="0"/>
        <w:spacing w:line="360" w:lineRule="auto"/>
        <w:ind w:firstLineChars="200" w:firstLine="480"/>
        <w:jc w:val="center"/>
        <w:rPr>
          <w:rFonts w:ascii="宋体" w:hAnsi="宋体"/>
          <w:szCs w:val="24"/>
        </w:rPr>
      </w:pPr>
      <w:r>
        <w:rPr>
          <w:rFonts w:ascii="宋体" w:hAnsi="宋体"/>
          <w:sz w:val="24"/>
        </w:rPr>
        <w:t>份额累计净值增长率与业绩比较基准收益率的历史走势对比图</w:t>
      </w:r>
    </w:p>
    <w:p w14:paraId="3B0C59F1" w14:textId="77777777" w:rsidR="001F702C" w:rsidRDefault="00BD18A1">
      <w:pPr>
        <w:autoSpaceDE w:val="0"/>
        <w:autoSpaceDN w:val="0"/>
        <w:adjustRightInd w:val="0"/>
        <w:snapToGrid w:val="0"/>
        <w:spacing w:line="360" w:lineRule="auto"/>
        <w:ind w:firstLineChars="200" w:firstLine="480"/>
        <w:jc w:val="center"/>
        <w:rPr>
          <w:rFonts w:ascii="宋体" w:hAnsi="宋体"/>
          <w:szCs w:val="24"/>
        </w:rPr>
      </w:pPr>
      <w:r>
        <w:rPr>
          <w:rFonts w:ascii="宋体" w:hAnsi="宋体"/>
          <w:sz w:val="24"/>
        </w:rPr>
        <w:t>（2019年1月23日至2023年03月31日）</w:t>
      </w:r>
    </w:p>
    <w:p w14:paraId="63E33ED3" w14:textId="77777777" w:rsidR="001F702C" w:rsidRDefault="00D471D2">
      <w:pPr>
        <w:autoSpaceDE w:val="0"/>
        <w:autoSpaceDN w:val="0"/>
        <w:adjustRightInd w:val="0"/>
        <w:snapToGrid w:val="0"/>
        <w:spacing w:line="360" w:lineRule="auto"/>
        <w:ind w:firstLineChars="200" w:firstLine="480"/>
        <w:jc w:val="left"/>
        <w:rPr>
          <w:rFonts w:ascii="宋体" w:hAnsi="宋体"/>
          <w:szCs w:val="24"/>
        </w:rPr>
      </w:pPr>
      <w:r>
        <w:rPr>
          <w:rFonts w:ascii="宋体" w:hAnsi="宋体" w:hint="eastAsia"/>
          <w:sz w:val="24"/>
        </w:rPr>
        <w:t>（</w:t>
      </w:r>
      <w:r w:rsidR="00BD18A1">
        <w:rPr>
          <w:rFonts w:ascii="宋体" w:hAnsi="宋体"/>
          <w:sz w:val="24"/>
        </w:rPr>
        <w:t>1</w:t>
      </w:r>
      <w:r>
        <w:rPr>
          <w:rFonts w:ascii="宋体" w:hAnsi="宋体" w:hint="eastAsia"/>
          <w:sz w:val="24"/>
        </w:rPr>
        <w:t>）</w:t>
      </w:r>
      <w:r w:rsidR="00BD18A1">
        <w:rPr>
          <w:rFonts w:ascii="宋体" w:hAnsi="宋体"/>
          <w:sz w:val="24"/>
        </w:rPr>
        <w:t>交银中债1-3年农发</w:t>
      </w:r>
      <w:proofErr w:type="gramStart"/>
      <w:r w:rsidR="00BD18A1">
        <w:rPr>
          <w:rFonts w:ascii="宋体" w:hAnsi="宋体"/>
          <w:sz w:val="24"/>
        </w:rPr>
        <w:t>债指数</w:t>
      </w:r>
      <w:proofErr w:type="gramEnd"/>
      <w:r w:rsidR="00BD18A1">
        <w:rPr>
          <w:rFonts w:ascii="宋体" w:hAnsi="宋体"/>
          <w:sz w:val="24"/>
        </w:rPr>
        <w:t>A</w:t>
      </w:r>
    </w:p>
    <w:p w14:paraId="1FEE2169" w14:textId="4A344107" w:rsidR="001F702C" w:rsidRDefault="002D5702">
      <w:pPr>
        <w:autoSpaceDE w:val="0"/>
        <w:autoSpaceDN w:val="0"/>
        <w:adjustRightInd w:val="0"/>
        <w:snapToGrid w:val="0"/>
        <w:spacing w:line="360" w:lineRule="auto"/>
        <w:ind w:firstLineChars="200" w:firstLine="480"/>
        <w:jc w:val="left"/>
        <w:rPr>
          <w:rFonts w:ascii="宋体" w:hAnsi="宋体"/>
          <w:szCs w:val="24"/>
        </w:rPr>
      </w:pPr>
      <w:r>
        <w:rPr>
          <w:rFonts w:ascii="宋体" w:hAnsi="宋体"/>
          <w:noProof/>
          <w:kern w:val="0"/>
          <w:sz w:val="24"/>
        </w:rPr>
        <w:drawing>
          <wp:inline distT="0" distB="0" distL="0" distR="0" wp14:anchorId="79BE52F9" wp14:editId="6A228AD0">
            <wp:extent cx="5581650" cy="3411220"/>
            <wp:effectExtent l="0" t="0" r="0" b="0"/>
            <wp:docPr id="4" name="图片 2" descr="1521256610242020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52125661024202082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81650" cy="3411220"/>
                    </a:xfrm>
                    <a:prstGeom prst="rect">
                      <a:avLst/>
                    </a:prstGeom>
                    <a:noFill/>
                    <a:ln>
                      <a:noFill/>
                    </a:ln>
                  </pic:spPr>
                </pic:pic>
              </a:graphicData>
            </a:graphic>
          </wp:inline>
        </w:drawing>
      </w:r>
    </w:p>
    <w:p w14:paraId="0D847D2F"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（2）交银中债1-3年农发</w:t>
      </w:r>
      <w:proofErr w:type="gramStart"/>
      <w:r>
        <w:rPr>
          <w:rFonts w:ascii="宋体" w:hAnsi="宋体"/>
          <w:sz w:val="24"/>
        </w:rPr>
        <w:t>债指数</w:t>
      </w:r>
      <w:proofErr w:type="gramEnd"/>
      <w:r>
        <w:rPr>
          <w:rFonts w:ascii="宋体" w:hAnsi="宋体"/>
          <w:sz w:val="24"/>
        </w:rPr>
        <w:t>C</w:t>
      </w:r>
    </w:p>
    <w:p w14:paraId="2EC324DB" w14:textId="7FB62606" w:rsidR="001F702C" w:rsidRDefault="002D5702">
      <w:pPr>
        <w:autoSpaceDE w:val="0"/>
        <w:autoSpaceDN w:val="0"/>
        <w:adjustRightInd w:val="0"/>
        <w:snapToGrid w:val="0"/>
        <w:spacing w:line="360" w:lineRule="auto"/>
        <w:ind w:firstLineChars="200" w:firstLine="480"/>
        <w:jc w:val="left"/>
        <w:rPr>
          <w:rFonts w:ascii="宋体" w:hAnsi="宋体"/>
          <w:szCs w:val="24"/>
        </w:rPr>
      </w:pPr>
      <w:r>
        <w:rPr>
          <w:rFonts w:ascii="宋体" w:hAnsi="宋体"/>
          <w:noProof/>
          <w:kern w:val="0"/>
          <w:sz w:val="24"/>
        </w:rPr>
        <w:drawing>
          <wp:inline distT="0" distB="0" distL="0" distR="0" wp14:anchorId="158214E5" wp14:editId="6C4A76A2">
            <wp:extent cx="5581650" cy="3411220"/>
            <wp:effectExtent l="0" t="0" r="0" b="0"/>
            <wp:docPr id="3" name="图片 3" descr="1521256610242020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52125661024202082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81650" cy="3411220"/>
                    </a:xfrm>
                    <a:prstGeom prst="rect">
                      <a:avLst/>
                    </a:prstGeom>
                    <a:noFill/>
                    <a:ln>
                      <a:noFill/>
                    </a:ln>
                  </pic:spPr>
                </pic:pic>
              </a:graphicData>
            </a:graphic>
          </wp:inline>
        </w:drawing>
      </w:r>
    </w:p>
    <w:p w14:paraId="0F69A28E"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注：1、本基金建仓期为自基金合同生效日起的6个月。截至建仓期结束，本基金各项资产配置比例符合基金合同及招募说明书有关投资比例的约定。</w:t>
      </w:r>
    </w:p>
    <w:p w14:paraId="628DCF84"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2、本基金自2022年9月8日起，开始销售C类份额，投资者提交的申购申请于2022年9月9日被确认并将有效份额登记在册。</w:t>
      </w:r>
    </w:p>
    <w:p w14:paraId="755EE20D" w14:textId="77777777" w:rsidR="00367445" w:rsidRDefault="00BD18A1" w:rsidP="00367445">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54130A87" w14:textId="77777777" w:rsidR="001F702C" w:rsidRDefault="00BD18A1">
      <w:pPr>
        <w:pStyle w:val="1"/>
        <w:snapToGrid w:val="0"/>
        <w:spacing w:beforeLines="0" w:before="240" w:after="240"/>
        <w:rPr>
          <w:rFonts w:ascii="宋体" w:hAnsi="宋体"/>
          <w:szCs w:val="30"/>
        </w:rPr>
      </w:pPr>
      <w:bookmarkStart w:id="15" w:name="_Toc140049416"/>
      <w:r>
        <w:rPr>
          <w:rFonts w:ascii="Times New Roman" w:hAnsi="Times New Roman"/>
          <w:sz w:val="30"/>
        </w:rPr>
        <w:lastRenderedPageBreak/>
        <w:t>十二、基金的财产</w:t>
      </w:r>
      <w:bookmarkEnd w:id="15"/>
    </w:p>
    <w:p w14:paraId="7987B5FB"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（一）基金资产总值</w:t>
      </w:r>
    </w:p>
    <w:p w14:paraId="665D4F53"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基金资产总值是指基金拥有的各类有价证券、银行存款本息、基金应收申购款及其他资产的价值总和。</w:t>
      </w:r>
    </w:p>
    <w:p w14:paraId="24B907C8"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（二）基金资产净值</w:t>
      </w:r>
    </w:p>
    <w:p w14:paraId="696C5B52"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基金资产净值是指基金资产总值减去基金负债后的价值。</w:t>
      </w:r>
    </w:p>
    <w:p w14:paraId="7CF8468E"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（三）基金财产的账户</w:t>
      </w:r>
    </w:p>
    <w:p w14:paraId="5BB7B9C2"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14:paraId="325E3134"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（四）基金财产的保管和处分</w:t>
      </w:r>
    </w:p>
    <w:p w14:paraId="629256AE"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w:t>
      </w:r>
      <w:proofErr w:type="gramStart"/>
      <w:r>
        <w:rPr>
          <w:rFonts w:ascii="宋体" w:hAnsi="宋体"/>
          <w:sz w:val="24"/>
        </w:rPr>
        <w:t>律法规</w:t>
      </w:r>
      <w:proofErr w:type="gramEnd"/>
      <w:r>
        <w:rPr>
          <w:rFonts w:ascii="宋体" w:hAnsi="宋体"/>
          <w:sz w:val="24"/>
        </w:rPr>
        <w:t>和《基金合同》的规定处分外，基金财产不得被处分。</w:t>
      </w:r>
    </w:p>
    <w:p w14:paraId="2314334B"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基金管理人、基金托管人因依法解散、被依法撤销或者被依法宣告破产等原因进行清算的，基金财产不属于其清算财产。基金管理人管理运作基金财产所产生的债权，不得与其固有资产产生的债务相互</w:t>
      </w:r>
      <w:proofErr w:type="gramStart"/>
      <w:r>
        <w:rPr>
          <w:rFonts w:ascii="宋体" w:hAnsi="宋体"/>
          <w:sz w:val="24"/>
        </w:rPr>
        <w:t>抵销</w:t>
      </w:r>
      <w:proofErr w:type="gramEnd"/>
      <w:r>
        <w:rPr>
          <w:rFonts w:ascii="宋体" w:hAnsi="宋体"/>
          <w:sz w:val="24"/>
        </w:rPr>
        <w:t>；基金管理人管理运作不同基金的基金财产所产生的债权债务不得相互</w:t>
      </w:r>
      <w:proofErr w:type="gramStart"/>
      <w:r>
        <w:rPr>
          <w:rFonts w:ascii="宋体" w:hAnsi="宋体"/>
          <w:sz w:val="24"/>
        </w:rPr>
        <w:t>抵销</w:t>
      </w:r>
      <w:proofErr w:type="gramEnd"/>
      <w:r>
        <w:rPr>
          <w:rFonts w:ascii="宋体" w:hAnsi="宋体"/>
          <w:sz w:val="24"/>
        </w:rPr>
        <w:t>。非因基金财产本身承担的债务，不得对基金财产强制执行。</w:t>
      </w:r>
    </w:p>
    <w:p w14:paraId="5900952B" w14:textId="77777777" w:rsidR="00367445" w:rsidRDefault="00BD18A1" w:rsidP="00367445">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0667730F" w14:textId="77777777" w:rsidR="001F702C" w:rsidRDefault="00BD18A1">
      <w:pPr>
        <w:pStyle w:val="1"/>
        <w:snapToGrid w:val="0"/>
        <w:spacing w:beforeLines="0" w:before="240" w:after="240"/>
        <w:rPr>
          <w:rFonts w:ascii="宋体" w:hAnsi="宋体"/>
          <w:szCs w:val="30"/>
        </w:rPr>
      </w:pPr>
      <w:bookmarkStart w:id="16" w:name="_Toc140049417"/>
      <w:r>
        <w:rPr>
          <w:rFonts w:ascii="Times New Roman" w:hAnsi="Times New Roman"/>
          <w:sz w:val="30"/>
        </w:rPr>
        <w:lastRenderedPageBreak/>
        <w:t>十三、基金资产的估值</w:t>
      </w:r>
      <w:bookmarkEnd w:id="16"/>
    </w:p>
    <w:p w14:paraId="49B5B128"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（一）估值日</w:t>
      </w:r>
    </w:p>
    <w:p w14:paraId="5A5A39E6"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本基金的估值日为本基金相关的证券交易场所的交易日以及国家法律法规规定需要对外披露基金净值的</w:t>
      </w:r>
      <w:proofErr w:type="gramStart"/>
      <w:r>
        <w:rPr>
          <w:rFonts w:ascii="宋体" w:hAnsi="宋体"/>
          <w:sz w:val="24"/>
        </w:rPr>
        <w:t>非交易</w:t>
      </w:r>
      <w:proofErr w:type="gramEnd"/>
      <w:r>
        <w:rPr>
          <w:rFonts w:ascii="宋体" w:hAnsi="宋体"/>
          <w:sz w:val="24"/>
        </w:rPr>
        <w:t>日。</w:t>
      </w:r>
    </w:p>
    <w:p w14:paraId="526C1BBF"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（二）估值对象</w:t>
      </w:r>
    </w:p>
    <w:p w14:paraId="18715D82"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基金所拥有的债券和其它投资等持续以公允价值计量的金融资产及负债。</w:t>
      </w:r>
    </w:p>
    <w:p w14:paraId="501D0603"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（三）估值方法</w:t>
      </w:r>
    </w:p>
    <w:p w14:paraId="047C8D5D"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本基金所持有的投资品种，按如下原则进行估值：</w:t>
      </w:r>
    </w:p>
    <w:p w14:paraId="3947EE52"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1、证券交易所上市的有价证券的估值</w:t>
      </w:r>
    </w:p>
    <w:p w14:paraId="178E88D9"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交易所市场上市实行净价交易或挂牌转让的固定收益品种（另有规定的除外），选取第三方估值机构提供的相应品种当日的估值净价进行估值；交易所上市实行全价交易的债券（可转债除外），选取第三方估值机构提供的估值全价减去估值全价中所含的债券应收利息得到的净价进行估值。</w:t>
      </w:r>
    </w:p>
    <w:p w14:paraId="5224A421"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2、处于未上市期间的有价证券应区分如下情况处理：</w:t>
      </w:r>
    </w:p>
    <w:p w14:paraId="62B961C6"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（1）首次公开发行未上市的债券，采用估值技术确定公允价值，在估值技术难以可靠计量公允价值的情况下，按成本估值。</w:t>
      </w:r>
    </w:p>
    <w:p w14:paraId="7CE8D652"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对在交易所市场发行未上市或未挂牌转让的债券，对存在活跃市场的情况下，应以活跃市场上未经调整的报价作为计量日的公允价值进行估值；对于活跃市场报价未能代表计量日公允价值的情况下，按成本应对市场报价进行调整，确认计量日的公允价值；对于不存在市场活动或市场活动很少的情况下，则采用估值技术确定公允价值。</w:t>
      </w:r>
    </w:p>
    <w:p w14:paraId="0B730F7D"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5825E016"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4、存款的估值方法</w:t>
      </w:r>
    </w:p>
    <w:p w14:paraId="4012963E"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持有的银行定期存款或通知存款以本金列示，按协议或合同利率逐日确认利息收入。</w:t>
      </w:r>
    </w:p>
    <w:p w14:paraId="241A91BB"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5、本基金可以采用第三方估值机构按照上述公允价值确定原则提供的估值价格数据。</w:t>
      </w:r>
    </w:p>
    <w:p w14:paraId="2A55782B"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6、如有确凿证据表明按上述方法进行估值不能客观反映其公允价值的，基金管理人可根据具体情况与基金托管人商定后，按最能反映公允价值的价格估值。</w:t>
      </w:r>
    </w:p>
    <w:p w14:paraId="2BEFDD2B"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7、当发生大额申购或赎回情形时，基金管理人可以对本基金采用摆动定价机制，以确保基金估值的公平性。</w:t>
      </w:r>
    </w:p>
    <w:p w14:paraId="2C048267"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8、相关法律法规以及监管部门有强制规定的，从其规定。如有新增事项，按国家最新规定估值。</w:t>
      </w:r>
    </w:p>
    <w:p w14:paraId="440B83B5"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08C88BE0"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意见的，基金管理人向基金托管人出具加盖公章的书面说明后，按照基金管理人对基金资产净值的计算结果对外予以公布。</w:t>
      </w:r>
    </w:p>
    <w:p w14:paraId="10AAD10B"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（四）估值程序</w:t>
      </w:r>
    </w:p>
    <w:p w14:paraId="04223D1C" w14:textId="2314CBDB"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1、各类基金份额的基金份额净值是按照每个工作日闭市后，该类基金份额的基金资产净值除以当日该类基金份额的余额数量计算，精确到0.0001元，小数点后第五位四舍五入。国家另有规定的，从其规定。</w:t>
      </w:r>
    </w:p>
    <w:p w14:paraId="308F11CC"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基金管理人于每个工作日计算各类基金份额的基金资产净值及基金份额净值，并按规定公告。如遇特殊情况，经中国证监会同意，可以适当延迟计算或公告。</w:t>
      </w:r>
    </w:p>
    <w:p w14:paraId="7BAA828B" w14:textId="775BE43C"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w:t>
      </w:r>
      <w:proofErr w:type="gramStart"/>
      <w:r>
        <w:rPr>
          <w:rFonts w:ascii="宋体" w:hAnsi="宋体"/>
          <w:sz w:val="24"/>
        </w:rPr>
        <w:t>应每个</w:t>
      </w:r>
      <w:proofErr w:type="gramEnd"/>
      <w:r>
        <w:rPr>
          <w:rFonts w:ascii="宋体" w:hAnsi="宋体"/>
          <w:sz w:val="24"/>
        </w:rPr>
        <w:t>工作日对基金资产估值，但基金管理人根据法律法规或基金合同的规定暂停估值时除外。基金管理人每个工作日对基金资产估值后，将</w:t>
      </w:r>
      <w:r w:rsidR="00367445">
        <w:rPr>
          <w:rFonts w:ascii="宋体" w:hAnsi="宋体" w:hint="eastAsia"/>
          <w:sz w:val="24"/>
        </w:rPr>
        <w:t>各类</w:t>
      </w:r>
      <w:r>
        <w:rPr>
          <w:rFonts w:ascii="宋体" w:hAnsi="宋体"/>
          <w:sz w:val="24"/>
        </w:rPr>
        <w:t>基金份额净值结果发送基金托管人，经基金托管人复核无误后，由基金管理人依据基金合同和相关法律法规的规定对外公布。</w:t>
      </w:r>
    </w:p>
    <w:p w14:paraId="575EFA9E"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（五）估值错误的处理</w:t>
      </w:r>
    </w:p>
    <w:p w14:paraId="71C15D6E"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基金管理人和基金托管人将采取必要、适当、合理的措施确保基金资产估值的</w:t>
      </w:r>
      <w:r>
        <w:rPr>
          <w:rFonts w:ascii="宋体" w:hAnsi="宋体"/>
          <w:sz w:val="24"/>
        </w:rPr>
        <w:lastRenderedPageBreak/>
        <w:t>准确性、及时性。当基金份额净值小数点后第4位以内（含第4位）发生估值错误时，视为基金份额净值错误。</w:t>
      </w:r>
    </w:p>
    <w:p w14:paraId="222A4398"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基金合同的当事人应按照以下约定处理：</w:t>
      </w:r>
    </w:p>
    <w:p w14:paraId="4A6FD0CC"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1、估值错误类型</w:t>
      </w:r>
    </w:p>
    <w:p w14:paraId="3EA9ECE3"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14:paraId="17F1A4F2"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上述估值错误的主要类型包括但不限于：资料申报差错、数据传输差错、数据计算差错、系统故障差错、下达指令差错等。</w:t>
      </w:r>
    </w:p>
    <w:p w14:paraId="2C51A1A5"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对于因技术原因引起的差错，若系同行业现有技术水平无法预见、无法避免、无法抗拒，则属不可抗力，按照下述规定执行。</w:t>
      </w:r>
    </w:p>
    <w:p w14:paraId="52B30697"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由于不可抗力原因造成投资人的交易资料灭失或被错误处理或造成其他错误等，因不可抗力原因出现估值错误的当事人不对其他当事人承担赔偿责任，但因该估值错误取得不当得利的当事人仍应负有返还不当得利的义务。</w:t>
      </w:r>
    </w:p>
    <w:p w14:paraId="3910ABEB"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2、估值错误处理原则</w:t>
      </w:r>
    </w:p>
    <w:p w14:paraId="4FA020C6"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4D1633EE"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（2）估值错误的责任方对有关当事人的直接损失负责，不对间接损失负责，并且仅对估值错误的有关直接当事人负责，不对第三方负责。</w:t>
      </w:r>
    </w:p>
    <w:p w14:paraId="67D30FCB"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（3）因估值错误而获得不当得利的当事人负有及时返还不当得利的义务。但估值错误责任方仍应对估值错误负责。如果由于获得不当得利的当事人</w:t>
      </w:r>
      <w:proofErr w:type="gramStart"/>
      <w:r>
        <w:rPr>
          <w:rFonts w:ascii="宋体" w:hAnsi="宋体"/>
          <w:sz w:val="24"/>
        </w:rPr>
        <w:t>不</w:t>
      </w:r>
      <w:proofErr w:type="gramEnd"/>
      <w:r>
        <w:rPr>
          <w:rFonts w:ascii="宋体" w:hAnsi="宋体"/>
          <w:sz w:val="24"/>
        </w:rPr>
        <w:t>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w:t>
      </w:r>
      <w:r>
        <w:rPr>
          <w:rFonts w:ascii="宋体" w:hAnsi="宋体"/>
          <w:sz w:val="24"/>
        </w:rPr>
        <w:lastRenderedPageBreak/>
        <w:t>和超过其实际损失的差额部分支付给估值错误责任方。</w:t>
      </w:r>
    </w:p>
    <w:p w14:paraId="2711D2E3"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（4）估值错误调整采用尽量恢复至假设未发生估值错误的正确情形的方式。</w:t>
      </w:r>
    </w:p>
    <w:p w14:paraId="71D416C5"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（5）按法律法规规定的其他原则处理估值错误。</w:t>
      </w:r>
    </w:p>
    <w:p w14:paraId="707A6844"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3、估值错误处理程序</w:t>
      </w:r>
    </w:p>
    <w:p w14:paraId="22FEFDB4"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估值错误被发现后，有关的当事人应当及时进行处理，处理的程序如下：</w:t>
      </w:r>
    </w:p>
    <w:p w14:paraId="2B57A5C1"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（1）查明估值错误发生的原因，列明所有的当事人，并根据估值错误发生的原因确定估值错误的责任方；</w:t>
      </w:r>
    </w:p>
    <w:p w14:paraId="5C7E9BE7"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（2）根据估值错误处理原则或当事人协商的方法对因估值错误造成的损失进行评估；</w:t>
      </w:r>
    </w:p>
    <w:p w14:paraId="002FCF01"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（3）根据估值错误处理原则或当事人协商的方法由估值错误的责任方进行更正和赔偿损失；</w:t>
      </w:r>
    </w:p>
    <w:p w14:paraId="452503EC"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（4）根据估值错误处理的方法，需要修改基金登记机构交易数据的，由基金登记机构进行更正，并就估值错误的更正向有关当事人进行确认。</w:t>
      </w:r>
    </w:p>
    <w:p w14:paraId="3814552B"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4、基金份额净值估值错误处理的方法如下：</w:t>
      </w:r>
    </w:p>
    <w:p w14:paraId="7F143214"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（1）基金份额净值计算出现错误时，基金管理人应当立即予以纠正，通报基金托管人，并采取合理的措施防止损失进一步扩大。</w:t>
      </w:r>
    </w:p>
    <w:p w14:paraId="44D212D7"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（2）错误偏差达到基金份额净值的0.25%时，基金管理人应当通报基金托管人并报中国证监会备案；错误偏差达到基金份额净值的0.5%时，基金管理人应当公告并报中国证监会备案。</w:t>
      </w:r>
    </w:p>
    <w:p w14:paraId="4A299966"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（3）前述内容如法律法规或监管机关另有规定的，从其规定处理。</w:t>
      </w:r>
    </w:p>
    <w:p w14:paraId="38EEA8FC"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（六）暂停估值的情形</w:t>
      </w:r>
    </w:p>
    <w:p w14:paraId="36D5979A"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1、基金投资所涉及的证券交易市场遇法定节假日或因其他原因暂停营业时；</w:t>
      </w:r>
    </w:p>
    <w:p w14:paraId="3B25B06F"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2、因不可抗力致使基金管理人、基金托管人无法准确评估基金资产价值时；</w:t>
      </w:r>
    </w:p>
    <w:p w14:paraId="2FEE62B9"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3、当特定资产占前一估值日基金资产净值50%以上的，经与基金托管人协商确认后，基金管理人应当暂停估值；</w:t>
      </w:r>
    </w:p>
    <w:p w14:paraId="674E2939"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4、法律法规、中国证监会和基金合同认定的其它情形。</w:t>
      </w:r>
    </w:p>
    <w:p w14:paraId="3C905DA1"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（七）基金净值的确认</w:t>
      </w:r>
    </w:p>
    <w:p w14:paraId="0964AEE0"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用于基金信息披露的各类基金份额的基金资产净值和基金份额净值由基金管理人负责计算，基金托管人负责进行复核。基金管理人应于每个开放日交易结束后计算当日的各类基金份额的基金资产净值和基金份额净值并发送给基金托管人。基金</w:t>
      </w:r>
      <w:r>
        <w:rPr>
          <w:rFonts w:ascii="宋体" w:hAnsi="宋体"/>
          <w:sz w:val="24"/>
        </w:rPr>
        <w:lastRenderedPageBreak/>
        <w:t>托管人对净值计算结果复核确认后发送给基金管理人，由基金管理人依据基金合同和相关法律法规的规定对基金净值予以公布。</w:t>
      </w:r>
    </w:p>
    <w:p w14:paraId="7695827E"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（八）特殊情形的处理</w:t>
      </w:r>
    </w:p>
    <w:p w14:paraId="60BC01AD"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1、基金管理人或基金托管人按估值方法的第6项进行估值时，所造成的误差不作为基金资产估值错误处理。</w:t>
      </w:r>
    </w:p>
    <w:p w14:paraId="279924E3"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由于不可抗力原因，或由于证券交易所、证券经纪机构及登记结算公司发送的数据错误，或国家会计政策变更、市场规则变更等，基金管理人和基金托管人虽然已经采取必要、适当、合理的措施进行检查，但是未能发现该错误而造成的基金资产估值错误，基金管理人、基金托管人免除赔偿责任。但基金管理人、基金托管人应积极采取必要的措施减轻或消除由此造成的影响。</w:t>
      </w:r>
    </w:p>
    <w:p w14:paraId="3928E68A"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（九）实施</w:t>
      </w:r>
      <w:proofErr w:type="gramStart"/>
      <w:r>
        <w:rPr>
          <w:rFonts w:ascii="宋体" w:hAnsi="宋体"/>
          <w:sz w:val="24"/>
        </w:rPr>
        <w:t>侧袋机制</w:t>
      </w:r>
      <w:proofErr w:type="gramEnd"/>
      <w:r>
        <w:rPr>
          <w:rFonts w:ascii="宋体" w:hAnsi="宋体"/>
          <w:sz w:val="24"/>
        </w:rPr>
        <w:t>期间的基金资产估值</w:t>
      </w:r>
    </w:p>
    <w:p w14:paraId="7121204F"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本基金实施</w:t>
      </w:r>
      <w:proofErr w:type="gramStart"/>
      <w:r>
        <w:rPr>
          <w:rFonts w:ascii="宋体" w:hAnsi="宋体"/>
          <w:sz w:val="24"/>
        </w:rPr>
        <w:t>侧袋机制</w:t>
      </w:r>
      <w:proofErr w:type="gramEnd"/>
      <w:r>
        <w:rPr>
          <w:rFonts w:ascii="宋体" w:hAnsi="宋体"/>
          <w:sz w:val="24"/>
        </w:rPr>
        <w:t>的，应根据本部分的约定</w:t>
      </w:r>
      <w:proofErr w:type="gramStart"/>
      <w:r>
        <w:rPr>
          <w:rFonts w:ascii="宋体" w:hAnsi="宋体"/>
          <w:sz w:val="24"/>
        </w:rPr>
        <w:t>对主袋账户</w:t>
      </w:r>
      <w:proofErr w:type="gramEnd"/>
      <w:r>
        <w:rPr>
          <w:rFonts w:ascii="宋体" w:hAnsi="宋体"/>
          <w:sz w:val="24"/>
        </w:rPr>
        <w:t>资产进行估值并</w:t>
      </w:r>
      <w:proofErr w:type="gramStart"/>
      <w:r>
        <w:rPr>
          <w:rFonts w:ascii="宋体" w:hAnsi="宋体"/>
          <w:sz w:val="24"/>
        </w:rPr>
        <w:t>披露主袋账户</w:t>
      </w:r>
      <w:proofErr w:type="gramEnd"/>
      <w:r>
        <w:rPr>
          <w:rFonts w:ascii="宋体" w:hAnsi="宋体"/>
          <w:sz w:val="24"/>
        </w:rPr>
        <w:t>的基金净值信息，暂停</w:t>
      </w:r>
      <w:proofErr w:type="gramStart"/>
      <w:r>
        <w:rPr>
          <w:rFonts w:ascii="宋体" w:hAnsi="宋体"/>
          <w:sz w:val="24"/>
        </w:rPr>
        <w:t>披露侧袋账户</w:t>
      </w:r>
      <w:proofErr w:type="gramEnd"/>
      <w:r>
        <w:rPr>
          <w:rFonts w:ascii="宋体" w:hAnsi="宋体"/>
          <w:sz w:val="24"/>
        </w:rPr>
        <w:t>份额净值</w:t>
      </w:r>
      <w:r w:rsidRPr="00BB248E">
        <w:rPr>
          <w:rFonts w:ascii="宋体" w:hAnsi="宋体" w:hint="eastAsia"/>
          <w:b/>
          <w:kern w:val="0"/>
          <w:sz w:val="24"/>
        </w:rPr>
        <w:t>。</w:t>
      </w:r>
    </w:p>
    <w:p w14:paraId="1EE17149" w14:textId="77777777" w:rsidR="00367445" w:rsidRDefault="00BD18A1" w:rsidP="00367445">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49C3B74A" w14:textId="77777777" w:rsidR="001F702C" w:rsidRDefault="00BD18A1">
      <w:pPr>
        <w:pStyle w:val="1"/>
        <w:snapToGrid w:val="0"/>
        <w:spacing w:beforeLines="0" w:before="240" w:after="240"/>
        <w:rPr>
          <w:rFonts w:ascii="宋体" w:hAnsi="宋体"/>
          <w:szCs w:val="30"/>
        </w:rPr>
      </w:pPr>
      <w:bookmarkStart w:id="17" w:name="_Toc140049418"/>
      <w:r>
        <w:rPr>
          <w:rFonts w:ascii="Times New Roman" w:hAnsi="Times New Roman"/>
          <w:sz w:val="30"/>
        </w:rPr>
        <w:lastRenderedPageBreak/>
        <w:t>十四、基金收益与分配</w:t>
      </w:r>
      <w:bookmarkEnd w:id="17"/>
    </w:p>
    <w:p w14:paraId="745B6D71"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（一）基金利润的构成</w:t>
      </w:r>
    </w:p>
    <w:p w14:paraId="728286E7"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基金利润指基金利息收入、投资收益、公允价值变动收益和其他收入扣除相关费用后的余额，基金已实现收益指基金利润减去公允价值变动收益后的余额。</w:t>
      </w:r>
    </w:p>
    <w:p w14:paraId="147E39B1"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（二）基金可供分配利润</w:t>
      </w:r>
    </w:p>
    <w:p w14:paraId="4977F2D3"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基金可供分配利润指截至收益分配基准日基金未分配利润与未分配利润中已实现收益的孰低数。</w:t>
      </w:r>
    </w:p>
    <w:p w14:paraId="19AB52FC"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（三）基金收益分配原则</w:t>
      </w:r>
    </w:p>
    <w:p w14:paraId="5C9B4837" w14:textId="6380570A"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1、由于本基金A类基金份额</w:t>
      </w:r>
      <w:r w:rsidR="00367445" w:rsidRPr="00EC2A62">
        <w:rPr>
          <w:rFonts w:ascii="宋体" w:hAnsi="宋体" w:hint="eastAsia"/>
          <w:sz w:val="24"/>
        </w:rPr>
        <w:t>和D类基金份额</w:t>
      </w:r>
      <w:r>
        <w:rPr>
          <w:rFonts w:ascii="宋体" w:hAnsi="宋体"/>
          <w:sz w:val="24"/>
        </w:rPr>
        <w:t>不收取销售服务费，C类基金份额收取销售服务费，各基金份额类别对应的可供分配利润将有所不同；本基金同一基金份额类别的每一基金份额享有同等分配权；</w:t>
      </w:r>
    </w:p>
    <w:p w14:paraId="4C2E4870"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2、在符合有关基金分红条件的前提下，基金管理人可以根据实际情况进行收益分配，具体分配方案以公告为准，</w:t>
      </w:r>
      <w:proofErr w:type="gramStart"/>
      <w:r>
        <w:rPr>
          <w:rFonts w:ascii="宋体" w:hAnsi="宋体"/>
          <w:sz w:val="24"/>
        </w:rPr>
        <w:t>若基金</w:t>
      </w:r>
      <w:proofErr w:type="gramEnd"/>
      <w:r>
        <w:rPr>
          <w:rFonts w:ascii="宋体" w:hAnsi="宋体"/>
          <w:sz w:val="24"/>
        </w:rPr>
        <w:t>合同生效不满3个月可不进行收益分配；</w:t>
      </w:r>
    </w:p>
    <w:p w14:paraId="269DBE17" w14:textId="56FCB0FE"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3、本基金收益分配方式分两种：现金分红与红利再投资，投资者可选择现金红利或将现金红利自动转为</w:t>
      </w:r>
      <w:r w:rsidR="004C03B6" w:rsidRPr="00A22ACB">
        <w:rPr>
          <w:rFonts w:hint="eastAsia"/>
          <w:bCs/>
          <w:sz w:val="24"/>
        </w:rPr>
        <w:t>相应类别的</w:t>
      </w:r>
      <w:r>
        <w:rPr>
          <w:rFonts w:ascii="宋体" w:hAnsi="宋体"/>
          <w:sz w:val="24"/>
        </w:rPr>
        <w:t>基金份额进行再投资；若投资者不选择，本基金默认的收益分配方式是现金分红；基金份额持有人可对其持有的A类基金份额</w:t>
      </w:r>
      <w:r w:rsidR="00367445">
        <w:rPr>
          <w:rFonts w:ascii="宋体" w:hAnsi="宋体" w:hint="eastAsia"/>
          <w:sz w:val="24"/>
        </w:rPr>
        <w:t>、</w:t>
      </w:r>
      <w:r>
        <w:rPr>
          <w:rFonts w:ascii="宋体" w:hAnsi="宋体"/>
          <w:sz w:val="24"/>
        </w:rPr>
        <w:t>C类基金份额</w:t>
      </w:r>
      <w:r w:rsidR="00367445" w:rsidRPr="00EC2A62">
        <w:rPr>
          <w:rFonts w:ascii="宋体" w:hAnsi="宋体" w:hint="eastAsia"/>
          <w:sz w:val="24"/>
        </w:rPr>
        <w:t>和D类基金份额</w:t>
      </w:r>
      <w:r>
        <w:rPr>
          <w:rFonts w:ascii="宋体" w:hAnsi="宋体"/>
          <w:sz w:val="24"/>
        </w:rPr>
        <w:t>分别选择不同的收益分配方式；</w:t>
      </w:r>
    </w:p>
    <w:p w14:paraId="0C924430" w14:textId="6FDD67C6"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4、基金收益分配后任一类基金份额净值不能低于面值，即基金收益分配基准日的任一类基金份额净值减去该类每单位基金份额收益分配金额后不能低于面值；</w:t>
      </w:r>
    </w:p>
    <w:p w14:paraId="624E9205"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5、法律法规或监管机构另有规定的，从其规定。</w:t>
      </w:r>
    </w:p>
    <w:p w14:paraId="7B44A693"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（四）收益分配方案</w:t>
      </w:r>
    </w:p>
    <w:p w14:paraId="13B750AA"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基金收益分配方案中应载明截止收益分配基准日的可供分配利润、基金收益分配对象、分配时间、分配数额及比例、分配方式等内容。</w:t>
      </w:r>
    </w:p>
    <w:p w14:paraId="7A9E3596"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（五）收益分配方案的确定、公告与实施</w:t>
      </w:r>
    </w:p>
    <w:p w14:paraId="227AC5A9"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本基金收益分配方案由基金管理人拟定，并由基金托管人复核，依照《信息披露办法》的有关规定在指定媒介公告。</w:t>
      </w:r>
    </w:p>
    <w:p w14:paraId="5AFDBC22"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基金红利发放</w:t>
      </w:r>
      <w:proofErr w:type="gramStart"/>
      <w:r>
        <w:rPr>
          <w:rFonts w:ascii="宋体" w:hAnsi="宋体"/>
          <w:sz w:val="24"/>
        </w:rPr>
        <w:t>日距离</w:t>
      </w:r>
      <w:proofErr w:type="gramEnd"/>
      <w:r>
        <w:rPr>
          <w:rFonts w:ascii="宋体" w:hAnsi="宋体"/>
          <w:sz w:val="24"/>
        </w:rPr>
        <w:t>收益分配基准日（即可供分配利润计算截止日）的时间不得超过15个工作日。</w:t>
      </w:r>
    </w:p>
    <w:p w14:paraId="53275917"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法律法规或监管机关另有规定的，从其规定。</w:t>
      </w:r>
    </w:p>
    <w:p w14:paraId="2791A10C"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（六）基金收益分配中发生的费用</w:t>
      </w:r>
    </w:p>
    <w:p w14:paraId="18DC0D19"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收益分配时所发生的银行转账或其他手续费用由投资者自行承担。当投资者的现金红利小于一定金额，不足以支付银行转账或其他手续费用时，登记机构可将基金份额持有人的现金红利自动转为相应类别的基金份额。红利再投资的计算方法，依照《业务规则》执行。</w:t>
      </w:r>
    </w:p>
    <w:p w14:paraId="4CEF335A"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（七）收益分配方式的修改</w:t>
      </w:r>
    </w:p>
    <w:p w14:paraId="0F91D12D"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投资人可至销售机构办理收益分配方式的修改，投资人对本基金不同的交易账户可设置不同的收益分配方式。</w:t>
      </w:r>
    </w:p>
    <w:p w14:paraId="681257C7"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投资人同一日多次申报收益分配方式变更的，按照《业务规则》执行，最终确认的收益分配方式以登记机构记录为准。</w:t>
      </w:r>
    </w:p>
    <w:p w14:paraId="22BE627C"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（八）实施</w:t>
      </w:r>
      <w:proofErr w:type="gramStart"/>
      <w:r>
        <w:rPr>
          <w:rFonts w:ascii="宋体" w:hAnsi="宋体"/>
          <w:sz w:val="24"/>
        </w:rPr>
        <w:t>侧袋机制</w:t>
      </w:r>
      <w:proofErr w:type="gramEnd"/>
      <w:r>
        <w:rPr>
          <w:rFonts w:ascii="宋体" w:hAnsi="宋体"/>
          <w:sz w:val="24"/>
        </w:rPr>
        <w:t>期间的收益分配</w:t>
      </w:r>
    </w:p>
    <w:p w14:paraId="7CD4E5D1"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本基金实施</w:t>
      </w:r>
      <w:proofErr w:type="gramStart"/>
      <w:r>
        <w:rPr>
          <w:rFonts w:ascii="宋体" w:hAnsi="宋体"/>
          <w:sz w:val="24"/>
        </w:rPr>
        <w:t>侧袋机制</w:t>
      </w:r>
      <w:proofErr w:type="gramEnd"/>
      <w:r>
        <w:rPr>
          <w:rFonts w:ascii="宋体" w:hAnsi="宋体"/>
          <w:sz w:val="24"/>
        </w:rPr>
        <w:t>的，</w:t>
      </w:r>
      <w:proofErr w:type="gramStart"/>
      <w:r>
        <w:rPr>
          <w:rFonts w:ascii="宋体" w:hAnsi="宋体"/>
          <w:sz w:val="24"/>
        </w:rPr>
        <w:t>侧袋账户</w:t>
      </w:r>
      <w:proofErr w:type="gramEnd"/>
      <w:r>
        <w:rPr>
          <w:rFonts w:ascii="宋体" w:hAnsi="宋体"/>
          <w:sz w:val="24"/>
        </w:rPr>
        <w:t>不进行收益分配。</w:t>
      </w:r>
    </w:p>
    <w:p w14:paraId="0E817AAA" w14:textId="77777777" w:rsidR="00367445" w:rsidRDefault="00BD18A1" w:rsidP="00367445">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184B896D" w14:textId="77777777" w:rsidR="001F702C" w:rsidRDefault="00BD18A1">
      <w:pPr>
        <w:pStyle w:val="1"/>
        <w:snapToGrid w:val="0"/>
        <w:spacing w:beforeLines="0" w:before="240" w:after="240"/>
        <w:rPr>
          <w:rFonts w:ascii="宋体" w:hAnsi="宋体"/>
          <w:szCs w:val="30"/>
        </w:rPr>
      </w:pPr>
      <w:bookmarkStart w:id="18" w:name="_Toc140049419"/>
      <w:r>
        <w:rPr>
          <w:rFonts w:ascii="Times New Roman" w:hAnsi="Times New Roman"/>
          <w:sz w:val="30"/>
        </w:rPr>
        <w:lastRenderedPageBreak/>
        <w:t>十五、基金的费用与税收</w:t>
      </w:r>
      <w:bookmarkEnd w:id="18"/>
    </w:p>
    <w:p w14:paraId="24E3E0E2"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（一）基金费用的种类</w:t>
      </w:r>
    </w:p>
    <w:p w14:paraId="5537001D"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1、基金管理人的管理费；</w:t>
      </w:r>
    </w:p>
    <w:p w14:paraId="3A0C3359"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2、基金托管人的托管费；</w:t>
      </w:r>
    </w:p>
    <w:p w14:paraId="011ABCDF"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3、指数许可使用费；</w:t>
      </w:r>
    </w:p>
    <w:p w14:paraId="79CC5AD3"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4、《基金合同》生效后与基金相关的信息披露费用；</w:t>
      </w:r>
    </w:p>
    <w:p w14:paraId="2FC54A1D"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5、《基金合同》生效后与基金相关的会计师费、律师费、仲裁费和诉讼费；</w:t>
      </w:r>
    </w:p>
    <w:p w14:paraId="3EB90A7C"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6、基金份额持有人大会费用；</w:t>
      </w:r>
    </w:p>
    <w:p w14:paraId="5BD4099E"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7、基金的证券交易费用；</w:t>
      </w:r>
    </w:p>
    <w:p w14:paraId="7081D2AE"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8、基金的银行汇划费用；</w:t>
      </w:r>
    </w:p>
    <w:p w14:paraId="3F7C46B6"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9、基金的开户费用、账户维护费用；</w:t>
      </w:r>
    </w:p>
    <w:p w14:paraId="1DB1845E"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10、本基金从C类基金份额的基金财产中计提的销售服务费；</w:t>
      </w:r>
    </w:p>
    <w:p w14:paraId="3E2FD23B"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11、按照国家有关规定和《基金合同》约定，可以在基金财产中列支的其他费用。</w:t>
      </w:r>
    </w:p>
    <w:p w14:paraId="4BA0F13B"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（二）基金费用计提方法、计提标准和支付方式</w:t>
      </w:r>
    </w:p>
    <w:p w14:paraId="78534F6E"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1、与基金运作有关的费用</w:t>
      </w:r>
    </w:p>
    <w:p w14:paraId="2F1B177D"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（1）基金管理人的管理费</w:t>
      </w:r>
    </w:p>
    <w:p w14:paraId="3D60D8DF"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本基金的管理费按前一日基金资产净值的0.15%年费率计提。管理费的计算方法如下：</w:t>
      </w:r>
    </w:p>
    <w:p w14:paraId="476CC145"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H＝E×0.15%÷当年天数</w:t>
      </w:r>
    </w:p>
    <w:p w14:paraId="323F613D"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H为每日应计提的基金管理费</w:t>
      </w:r>
    </w:p>
    <w:p w14:paraId="44822D96"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E为前一日的基金资产净值</w:t>
      </w:r>
    </w:p>
    <w:p w14:paraId="511BB7D2"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费每日计提，逐日累计至每月月末，按月支付，由基金管理人于次月首日起5个工作日内向基金托管人发送基金管理费划款指令，基金托管人复核后从基金财产中一次性支付给基金管理人。若遇法定节假日、休息日或不可抗力致使无法按时支付的，支付日期顺延。</w:t>
      </w:r>
    </w:p>
    <w:p w14:paraId="2F67D572"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（2）基金托管人的托管费</w:t>
      </w:r>
    </w:p>
    <w:p w14:paraId="3D744E4E"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本基金的托管费按前一日基金资产净值的0.05%年费率计提。托管费的计算方法如下：</w:t>
      </w:r>
    </w:p>
    <w:p w14:paraId="31ECE2A6"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H＝E×0.05%÷当年天数</w:t>
      </w:r>
    </w:p>
    <w:p w14:paraId="67BFCBC0"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H为每日应计提的基金托管费</w:t>
      </w:r>
    </w:p>
    <w:p w14:paraId="43F86F99"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E为前一日的基金资产净值</w:t>
      </w:r>
    </w:p>
    <w:p w14:paraId="2CDE1B2C"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费每日计提，逐日累计至每月月末，按月支付，由基金管理人于次月首日起5个工作日内向基金托管人发送基金托管费划款指令，基金托管人复核后从基金财产中一次性支取。若遇法定节假日、休息日或不可抗力致使无法按时支付的，支付日期顺延。</w:t>
      </w:r>
    </w:p>
    <w:p w14:paraId="5FC5319D"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（3）指数许可使用费</w:t>
      </w:r>
    </w:p>
    <w:p w14:paraId="2B0D2A94"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作为指数基金，需根据与标的指数许可方签署的指数许可使用协议的约定向标的指数许可方支付指数许可使用费。在通常情况下，指数许可使用费按前一日的基金资产净值所适应的年度费率计提。指数许可使用费每日计算，逐日累计。</w:t>
      </w:r>
    </w:p>
    <w:tbl>
      <w:tblPr>
        <w:tblW w:w="5000" w:type="pct"/>
        <w:tblCellMar>
          <w:left w:w="0" w:type="dxa"/>
          <w:right w:w="0" w:type="dxa"/>
        </w:tblCellMar>
        <w:tblLook w:val="0000" w:firstRow="0" w:lastRow="0" w:firstColumn="0" w:lastColumn="0" w:noHBand="0" w:noVBand="0"/>
      </w:tblPr>
      <w:tblGrid>
        <w:gridCol w:w="1544"/>
        <w:gridCol w:w="4634"/>
        <w:gridCol w:w="2472"/>
      </w:tblGrid>
      <w:tr w:rsidR="001F702C" w14:paraId="1BE6DE57"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332741BD" w14:textId="77777777" w:rsidR="001F702C" w:rsidRDefault="00BD18A1">
            <w:pPr>
              <w:widowControl/>
              <w:snapToGrid w:val="0"/>
              <w:jc w:val="center"/>
              <w:rPr>
                <w:rFonts w:ascii="宋体" w:hAnsi="宋体"/>
                <w:color w:val="000000"/>
                <w:kern w:val="0"/>
                <w:sz w:val="25"/>
                <w:szCs w:val="24"/>
              </w:rPr>
            </w:pPr>
            <w:r>
              <w:rPr>
                <w:rFonts w:ascii="Times New Roman" w:hAnsi="Times New Roman"/>
                <w:color w:val="000000"/>
                <w:kern w:val="0"/>
                <w:sz w:val="25"/>
                <w:szCs w:val="24"/>
              </w:rPr>
              <w:t>基金资产季度平均净值</w:t>
            </w:r>
          </w:p>
        </w:tc>
        <w:tc>
          <w:tcPr>
            <w:tcW w:w="750" w:type="pct"/>
            <w:tcBorders>
              <w:top w:val="single" w:sz="4" w:space="0" w:color="auto"/>
              <w:left w:val="single" w:sz="4" w:space="0" w:color="auto"/>
              <w:bottom w:val="single" w:sz="4" w:space="0" w:color="auto"/>
              <w:right w:val="single" w:sz="4" w:space="0" w:color="auto"/>
            </w:tcBorders>
            <w:vAlign w:val="center"/>
          </w:tcPr>
          <w:p w14:paraId="0411BE90" w14:textId="77777777" w:rsidR="001F702C" w:rsidRDefault="00BD18A1">
            <w:pPr>
              <w:widowControl/>
              <w:snapToGrid w:val="0"/>
              <w:jc w:val="center"/>
              <w:rPr>
                <w:rFonts w:ascii="宋体" w:hAnsi="宋体"/>
                <w:color w:val="000000"/>
                <w:kern w:val="0"/>
                <w:sz w:val="25"/>
                <w:szCs w:val="24"/>
              </w:rPr>
            </w:pPr>
            <w:r>
              <w:rPr>
                <w:rFonts w:ascii="Times New Roman" w:hAnsi="Times New Roman"/>
                <w:color w:val="000000"/>
                <w:kern w:val="0"/>
                <w:sz w:val="25"/>
                <w:szCs w:val="24"/>
              </w:rPr>
              <w:t>季度费率</w:t>
            </w:r>
          </w:p>
        </w:tc>
        <w:tc>
          <w:tcPr>
            <w:tcW w:w="400" w:type="pct"/>
            <w:tcBorders>
              <w:top w:val="single" w:sz="4" w:space="0" w:color="auto"/>
              <w:left w:val="single" w:sz="4" w:space="0" w:color="auto"/>
              <w:bottom w:val="single" w:sz="4" w:space="0" w:color="auto"/>
              <w:right w:val="single" w:sz="4" w:space="0" w:color="auto"/>
            </w:tcBorders>
            <w:vAlign w:val="center"/>
          </w:tcPr>
          <w:p w14:paraId="37C8580E" w14:textId="77777777" w:rsidR="001F702C" w:rsidRDefault="00BD18A1">
            <w:pPr>
              <w:widowControl/>
              <w:snapToGrid w:val="0"/>
              <w:jc w:val="center"/>
              <w:rPr>
                <w:rFonts w:ascii="宋体" w:hAnsi="宋体"/>
                <w:color w:val="000000"/>
                <w:kern w:val="0"/>
                <w:sz w:val="25"/>
                <w:szCs w:val="24"/>
              </w:rPr>
            </w:pPr>
            <w:r>
              <w:rPr>
                <w:rFonts w:ascii="Times New Roman" w:hAnsi="Times New Roman"/>
                <w:color w:val="000000"/>
                <w:kern w:val="0"/>
                <w:sz w:val="25"/>
                <w:szCs w:val="24"/>
              </w:rPr>
              <w:t>年度费率</w:t>
            </w:r>
          </w:p>
        </w:tc>
      </w:tr>
      <w:tr w:rsidR="001F702C" w14:paraId="02F23634"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02EC6D80" w14:textId="77777777" w:rsidR="001F702C" w:rsidRDefault="00BD18A1">
            <w:pPr>
              <w:widowControl/>
              <w:snapToGrid w:val="0"/>
              <w:jc w:val="center"/>
              <w:rPr>
                <w:rFonts w:ascii="宋体" w:hAnsi="宋体"/>
                <w:color w:val="000000"/>
                <w:kern w:val="0"/>
                <w:sz w:val="25"/>
                <w:szCs w:val="24"/>
              </w:rPr>
            </w:pPr>
            <w:r>
              <w:rPr>
                <w:rFonts w:ascii="Times New Roman" w:hAnsi="Times New Roman"/>
                <w:color w:val="000000"/>
                <w:kern w:val="0"/>
                <w:sz w:val="25"/>
                <w:szCs w:val="24"/>
              </w:rPr>
              <w:t>10</w:t>
            </w:r>
            <w:r>
              <w:rPr>
                <w:rFonts w:ascii="Times New Roman" w:hAnsi="Times New Roman"/>
                <w:color w:val="000000"/>
                <w:kern w:val="0"/>
                <w:sz w:val="25"/>
                <w:szCs w:val="24"/>
              </w:rPr>
              <w:t>亿人民币以下（不包括</w:t>
            </w:r>
            <w:r>
              <w:rPr>
                <w:rFonts w:ascii="Times New Roman" w:hAnsi="Times New Roman"/>
                <w:color w:val="000000"/>
                <w:kern w:val="0"/>
                <w:sz w:val="25"/>
                <w:szCs w:val="24"/>
              </w:rPr>
              <w:t>10</w:t>
            </w:r>
            <w:r>
              <w:rPr>
                <w:rFonts w:ascii="Times New Roman" w:hAnsi="Times New Roman"/>
                <w:color w:val="000000"/>
                <w:kern w:val="0"/>
                <w:sz w:val="25"/>
                <w:szCs w:val="24"/>
              </w:rPr>
              <w:t>亿人民币整）</w:t>
            </w:r>
          </w:p>
        </w:tc>
        <w:tc>
          <w:tcPr>
            <w:tcW w:w="750" w:type="pct"/>
            <w:tcBorders>
              <w:top w:val="single" w:sz="4" w:space="0" w:color="auto"/>
              <w:left w:val="single" w:sz="4" w:space="0" w:color="auto"/>
              <w:bottom w:val="single" w:sz="4" w:space="0" w:color="auto"/>
              <w:right w:val="single" w:sz="4" w:space="0" w:color="auto"/>
            </w:tcBorders>
            <w:vAlign w:val="center"/>
          </w:tcPr>
          <w:p w14:paraId="43317C53" w14:textId="77777777" w:rsidR="001F702C" w:rsidRDefault="00BD18A1">
            <w:pPr>
              <w:widowControl/>
              <w:snapToGrid w:val="0"/>
              <w:jc w:val="left"/>
              <w:rPr>
                <w:rFonts w:ascii="宋体" w:hAnsi="宋体"/>
                <w:color w:val="000000"/>
                <w:kern w:val="0"/>
                <w:sz w:val="25"/>
                <w:szCs w:val="24"/>
              </w:rPr>
            </w:pPr>
            <w:r>
              <w:rPr>
                <w:rFonts w:ascii="Times New Roman" w:hAnsi="Times New Roman"/>
                <w:color w:val="000000"/>
                <w:kern w:val="0"/>
                <w:sz w:val="25"/>
                <w:szCs w:val="24"/>
              </w:rPr>
              <w:t>1 bp</w:t>
            </w:r>
          </w:p>
        </w:tc>
        <w:tc>
          <w:tcPr>
            <w:tcW w:w="400" w:type="pct"/>
            <w:tcBorders>
              <w:top w:val="single" w:sz="4" w:space="0" w:color="auto"/>
              <w:left w:val="single" w:sz="4" w:space="0" w:color="auto"/>
              <w:bottom w:val="single" w:sz="4" w:space="0" w:color="auto"/>
              <w:right w:val="single" w:sz="4" w:space="0" w:color="auto"/>
            </w:tcBorders>
            <w:vAlign w:val="center"/>
          </w:tcPr>
          <w:p w14:paraId="5C7B582A" w14:textId="77777777" w:rsidR="001F702C" w:rsidRDefault="00BD18A1">
            <w:pPr>
              <w:widowControl/>
              <w:snapToGrid w:val="0"/>
              <w:jc w:val="left"/>
              <w:rPr>
                <w:rFonts w:ascii="宋体" w:hAnsi="宋体"/>
                <w:color w:val="000000"/>
                <w:kern w:val="0"/>
                <w:sz w:val="25"/>
                <w:szCs w:val="24"/>
              </w:rPr>
            </w:pPr>
            <w:r>
              <w:rPr>
                <w:rFonts w:ascii="Times New Roman" w:hAnsi="Times New Roman"/>
                <w:color w:val="000000"/>
                <w:kern w:val="0"/>
                <w:sz w:val="25"/>
                <w:szCs w:val="24"/>
              </w:rPr>
              <w:t>4bp</w:t>
            </w:r>
          </w:p>
        </w:tc>
      </w:tr>
      <w:tr w:rsidR="001F702C" w14:paraId="293F6C05"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21160E6F" w14:textId="77777777" w:rsidR="001F702C" w:rsidRDefault="00BD18A1">
            <w:pPr>
              <w:widowControl/>
              <w:snapToGrid w:val="0"/>
              <w:jc w:val="center"/>
              <w:rPr>
                <w:rFonts w:ascii="宋体" w:hAnsi="宋体"/>
                <w:color w:val="000000"/>
                <w:kern w:val="0"/>
                <w:sz w:val="25"/>
                <w:szCs w:val="24"/>
              </w:rPr>
            </w:pPr>
            <w:r>
              <w:rPr>
                <w:rFonts w:ascii="Times New Roman" w:hAnsi="Times New Roman"/>
                <w:color w:val="000000"/>
                <w:kern w:val="0"/>
                <w:sz w:val="25"/>
                <w:szCs w:val="24"/>
              </w:rPr>
              <w:t>10</w:t>
            </w:r>
            <w:r>
              <w:rPr>
                <w:rFonts w:ascii="Times New Roman" w:hAnsi="Times New Roman"/>
                <w:color w:val="000000"/>
                <w:kern w:val="0"/>
                <w:sz w:val="25"/>
                <w:szCs w:val="24"/>
              </w:rPr>
              <w:t>亿</w:t>
            </w:r>
            <w:r>
              <w:rPr>
                <w:rFonts w:ascii="Times New Roman" w:hAnsi="Times New Roman"/>
                <w:color w:val="000000"/>
                <w:kern w:val="0"/>
                <w:sz w:val="25"/>
                <w:szCs w:val="24"/>
              </w:rPr>
              <w:t>-20</w:t>
            </w:r>
            <w:r>
              <w:rPr>
                <w:rFonts w:ascii="Times New Roman" w:hAnsi="Times New Roman"/>
                <w:color w:val="000000"/>
                <w:kern w:val="0"/>
                <w:sz w:val="25"/>
                <w:szCs w:val="24"/>
              </w:rPr>
              <w:t>亿人民币之间（包括</w:t>
            </w:r>
            <w:r>
              <w:rPr>
                <w:rFonts w:ascii="Times New Roman" w:hAnsi="Times New Roman"/>
                <w:color w:val="000000"/>
                <w:kern w:val="0"/>
                <w:sz w:val="25"/>
                <w:szCs w:val="24"/>
              </w:rPr>
              <w:t>10</w:t>
            </w:r>
            <w:r>
              <w:rPr>
                <w:rFonts w:ascii="Times New Roman" w:hAnsi="Times New Roman"/>
                <w:color w:val="000000"/>
                <w:kern w:val="0"/>
                <w:sz w:val="25"/>
                <w:szCs w:val="24"/>
              </w:rPr>
              <w:t>亿人民币整，不包括</w:t>
            </w:r>
            <w:r>
              <w:rPr>
                <w:rFonts w:ascii="Times New Roman" w:hAnsi="Times New Roman"/>
                <w:color w:val="000000"/>
                <w:kern w:val="0"/>
                <w:sz w:val="25"/>
                <w:szCs w:val="24"/>
              </w:rPr>
              <w:t>20</w:t>
            </w:r>
            <w:r>
              <w:rPr>
                <w:rFonts w:ascii="Times New Roman" w:hAnsi="Times New Roman"/>
                <w:color w:val="000000"/>
                <w:kern w:val="0"/>
                <w:sz w:val="25"/>
                <w:szCs w:val="24"/>
              </w:rPr>
              <w:t>亿人民币整）</w:t>
            </w:r>
          </w:p>
        </w:tc>
        <w:tc>
          <w:tcPr>
            <w:tcW w:w="750" w:type="pct"/>
            <w:tcBorders>
              <w:top w:val="single" w:sz="4" w:space="0" w:color="auto"/>
              <w:left w:val="single" w:sz="4" w:space="0" w:color="auto"/>
              <w:bottom w:val="single" w:sz="4" w:space="0" w:color="auto"/>
              <w:right w:val="single" w:sz="4" w:space="0" w:color="auto"/>
            </w:tcBorders>
            <w:vAlign w:val="center"/>
          </w:tcPr>
          <w:p w14:paraId="66346BE0" w14:textId="77777777" w:rsidR="001F702C" w:rsidRDefault="00BD18A1">
            <w:pPr>
              <w:widowControl/>
              <w:snapToGrid w:val="0"/>
              <w:jc w:val="left"/>
              <w:rPr>
                <w:rFonts w:ascii="宋体" w:hAnsi="宋体"/>
                <w:color w:val="000000"/>
                <w:kern w:val="0"/>
                <w:sz w:val="25"/>
                <w:szCs w:val="24"/>
              </w:rPr>
            </w:pPr>
            <w:r>
              <w:rPr>
                <w:rFonts w:ascii="Times New Roman" w:hAnsi="Times New Roman"/>
                <w:color w:val="000000"/>
                <w:kern w:val="0"/>
                <w:sz w:val="25"/>
                <w:szCs w:val="24"/>
              </w:rPr>
              <w:t>0.75 bp</w:t>
            </w:r>
          </w:p>
        </w:tc>
        <w:tc>
          <w:tcPr>
            <w:tcW w:w="400" w:type="pct"/>
            <w:tcBorders>
              <w:top w:val="single" w:sz="4" w:space="0" w:color="auto"/>
              <w:left w:val="single" w:sz="4" w:space="0" w:color="auto"/>
              <w:bottom w:val="single" w:sz="4" w:space="0" w:color="auto"/>
              <w:right w:val="single" w:sz="4" w:space="0" w:color="auto"/>
            </w:tcBorders>
            <w:vAlign w:val="center"/>
          </w:tcPr>
          <w:p w14:paraId="041B6006" w14:textId="77777777" w:rsidR="001F702C" w:rsidRDefault="00BD18A1">
            <w:pPr>
              <w:widowControl/>
              <w:snapToGrid w:val="0"/>
              <w:jc w:val="left"/>
              <w:rPr>
                <w:rFonts w:ascii="宋体" w:hAnsi="宋体"/>
                <w:color w:val="000000"/>
                <w:kern w:val="0"/>
                <w:sz w:val="25"/>
                <w:szCs w:val="24"/>
              </w:rPr>
            </w:pPr>
            <w:r>
              <w:rPr>
                <w:rFonts w:ascii="Times New Roman" w:hAnsi="Times New Roman"/>
                <w:color w:val="000000"/>
                <w:kern w:val="0"/>
                <w:sz w:val="25"/>
                <w:szCs w:val="24"/>
              </w:rPr>
              <w:t>3 bp</w:t>
            </w:r>
          </w:p>
        </w:tc>
      </w:tr>
      <w:tr w:rsidR="001F702C" w14:paraId="69C02729"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011FCB3F" w14:textId="77777777" w:rsidR="001F702C" w:rsidRDefault="00BD18A1">
            <w:pPr>
              <w:widowControl/>
              <w:snapToGrid w:val="0"/>
              <w:jc w:val="center"/>
              <w:rPr>
                <w:rFonts w:ascii="宋体" w:hAnsi="宋体"/>
                <w:color w:val="000000"/>
                <w:kern w:val="0"/>
                <w:sz w:val="25"/>
                <w:szCs w:val="24"/>
              </w:rPr>
            </w:pPr>
            <w:r>
              <w:rPr>
                <w:rFonts w:ascii="Times New Roman" w:hAnsi="Times New Roman"/>
                <w:color w:val="000000"/>
                <w:kern w:val="0"/>
                <w:sz w:val="25"/>
                <w:szCs w:val="24"/>
              </w:rPr>
              <w:t>超过</w:t>
            </w:r>
            <w:r>
              <w:rPr>
                <w:rFonts w:ascii="Times New Roman" w:hAnsi="Times New Roman"/>
                <w:color w:val="000000"/>
                <w:kern w:val="0"/>
                <w:sz w:val="25"/>
                <w:szCs w:val="24"/>
              </w:rPr>
              <w:t>20</w:t>
            </w:r>
            <w:r>
              <w:rPr>
                <w:rFonts w:ascii="Times New Roman" w:hAnsi="Times New Roman"/>
                <w:color w:val="000000"/>
                <w:kern w:val="0"/>
                <w:sz w:val="25"/>
                <w:szCs w:val="24"/>
              </w:rPr>
              <w:t>亿人民币（包括</w:t>
            </w:r>
            <w:r>
              <w:rPr>
                <w:rFonts w:ascii="Times New Roman" w:hAnsi="Times New Roman"/>
                <w:color w:val="000000"/>
                <w:kern w:val="0"/>
                <w:sz w:val="25"/>
                <w:szCs w:val="24"/>
              </w:rPr>
              <w:t>20</w:t>
            </w:r>
            <w:r>
              <w:rPr>
                <w:rFonts w:ascii="Times New Roman" w:hAnsi="Times New Roman"/>
                <w:color w:val="000000"/>
                <w:kern w:val="0"/>
                <w:sz w:val="25"/>
                <w:szCs w:val="24"/>
              </w:rPr>
              <w:t>亿人民币整）</w:t>
            </w:r>
          </w:p>
        </w:tc>
        <w:tc>
          <w:tcPr>
            <w:tcW w:w="750" w:type="pct"/>
            <w:tcBorders>
              <w:top w:val="single" w:sz="4" w:space="0" w:color="auto"/>
              <w:left w:val="single" w:sz="4" w:space="0" w:color="auto"/>
              <w:bottom w:val="single" w:sz="4" w:space="0" w:color="auto"/>
              <w:right w:val="single" w:sz="4" w:space="0" w:color="auto"/>
            </w:tcBorders>
            <w:vAlign w:val="center"/>
          </w:tcPr>
          <w:p w14:paraId="3BC4D1AE" w14:textId="77777777" w:rsidR="001F702C" w:rsidRDefault="00BD18A1">
            <w:pPr>
              <w:widowControl/>
              <w:snapToGrid w:val="0"/>
              <w:jc w:val="left"/>
              <w:rPr>
                <w:rFonts w:ascii="宋体" w:hAnsi="宋体"/>
                <w:color w:val="000000"/>
                <w:kern w:val="0"/>
                <w:sz w:val="25"/>
                <w:szCs w:val="24"/>
              </w:rPr>
            </w:pPr>
            <w:r>
              <w:rPr>
                <w:rFonts w:ascii="Times New Roman" w:hAnsi="Times New Roman"/>
                <w:color w:val="000000"/>
                <w:kern w:val="0"/>
                <w:sz w:val="25"/>
                <w:szCs w:val="24"/>
              </w:rPr>
              <w:t>0.625 bp</w:t>
            </w:r>
          </w:p>
        </w:tc>
        <w:tc>
          <w:tcPr>
            <w:tcW w:w="400" w:type="pct"/>
            <w:tcBorders>
              <w:top w:val="single" w:sz="4" w:space="0" w:color="auto"/>
              <w:left w:val="single" w:sz="4" w:space="0" w:color="auto"/>
              <w:bottom w:val="single" w:sz="4" w:space="0" w:color="auto"/>
              <w:right w:val="single" w:sz="4" w:space="0" w:color="auto"/>
            </w:tcBorders>
            <w:vAlign w:val="center"/>
          </w:tcPr>
          <w:p w14:paraId="08ACD6FC" w14:textId="77777777" w:rsidR="001F702C" w:rsidRDefault="00BD18A1">
            <w:pPr>
              <w:widowControl/>
              <w:snapToGrid w:val="0"/>
              <w:jc w:val="left"/>
              <w:rPr>
                <w:rFonts w:ascii="宋体" w:hAnsi="宋体"/>
                <w:color w:val="000000"/>
                <w:kern w:val="0"/>
                <w:sz w:val="25"/>
                <w:szCs w:val="24"/>
              </w:rPr>
            </w:pPr>
            <w:r>
              <w:rPr>
                <w:rFonts w:ascii="Times New Roman" w:hAnsi="Times New Roman"/>
                <w:color w:val="000000"/>
                <w:kern w:val="0"/>
                <w:sz w:val="25"/>
                <w:szCs w:val="24"/>
              </w:rPr>
              <w:t>2.5bp</w:t>
            </w:r>
          </w:p>
        </w:tc>
      </w:tr>
    </w:tbl>
    <w:p w14:paraId="0BAB30C8"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注：1bp=基本点数=1/10,000=0.01%</w:t>
      </w:r>
    </w:p>
    <w:p w14:paraId="417B16D0"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当基金季度平均净值规模在10亿元以下（不包括10亿元），指数许可使用费按前一日的基金资产净值的0.04%的年费率计提。计算方法如下：</w:t>
      </w:r>
    </w:p>
    <w:p w14:paraId="2A26FF35"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H=E×0.04%÷当年天数</w:t>
      </w:r>
    </w:p>
    <w:p w14:paraId="35195F55"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H为每日应计提的指数许可使用费</w:t>
      </w:r>
    </w:p>
    <w:p w14:paraId="296B19DF"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E为前一日的基金资产净值</w:t>
      </w:r>
    </w:p>
    <w:p w14:paraId="0CCC3943"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当基金季度平均净值规模在10亿元至20亿元（包括10亿元，不包括20亿元），指数许可使用费按前一日的基金资产净值的0.03%的年费率计提。计算方法如下：</w:t>
      </w:r>
    </w:p>
    <w:p w14:paraId="11BD6A21"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H=E×0.03%÷当年天数</w:t>
      </w:r>
    </w:p>
    <w:p w14:paraId="2A9D1C9A"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H为每日应计提的指数许可使用费</w:t>
      </w:r>
    </w:p>
    <w:p w14:paraId="685F04A7"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E为前一日的基金资产净值</w:t>
      </w:r>
    </w:p>
    <w:p w14:paraId="20426A2A"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当基金季度平均净值规模在20亿元以上（包括20亿元），指数许可使用费按前一日的基金资产净值的0.025%的年费率计提。计算方法如下：</w:t>
      </w:r>
    </w:p>
    <w:p w14:paraId="2EEF8B86"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H=E×0.025%÷当年天数</w:t>
      </w:r>
    </w:p>
    <w:p w14:paraId="36C86B59"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H为每日应计提的指数许可使用费</w:t>
      </w:r>
    </w:p>
    <w:p w14:paraId="41CAFCBD"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E为前一日的基金资产净值</w:t>
      </w:r>
    </w:p>
    <w:p w14:paraId="234EBC79"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基金合同生效后指数许可使用费计费时间从《基金合同》生效日的后一日开始计算；基金成立的首个季度费用按照《基金合同》生效日所在季度剩余自然日计提。</w:t>
      </w:r>
    </w:p>
    <w:p w14:paraId="1EA13152"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基金合同生效后指数许可使用费的支付方式为每季支付一次，自《基金合同》生效日的后一日起，由基金管理人向基金托管人发送划付指令，经基金托管人复核后于每年1 月，4 月，7 月，10 月的前十个工作日内向标的指数许可方支付上一季度的基金合同生效后指数许可使用费。</w:t>
      </w:r>
    </w:p>
    <w:p w14:paraId="28EDD595"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若标的指数许可方与基金管理人对指数许可使用费的费率及支付方式另有约定的，从其最新约定。</w:t>
      </w:r>
    </w:p>
    <w:p w14:paraId="472770D9"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（4）C类基金份额的销售服务费</w:t>
      </w:r>
    </w:p>
    <w:p w14:paraId="4F2105C1" w14:textId="660492C6"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本基金A类基金份额</w:t>
      </w:r>
      <w:r w:rsidR="00376874" w:rsidRPr="00376874">
        <w:rPr>
          <w:rFonts w:ascii="宋体" w:hAnsi="宋体" w:hint="eastAsia"/>
          <w:sz w:val="24"/>
        </w:rPr>
        <w:t>和D类基金份额</w:t>
      </w:r>
      <w:r>
        <w:rPr>
          <w:rFonts w:ascii="宋体" w:hAnsi="宋体"/>
          <w:sz w:val="24"/>
        </w:rPr>
        <w:t>不收取销售服务费，C类基金份额的销售服务费按前一日C类基金资产净值的0.1%年费率计提。计算方法如下：</w:t>
      </w:r>
    </w:p>
    <w:p w14:paraId="40E69D8C"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H＝E×0.1%÷当年天数</w:t>
      </w:r>
    </w:p>
    <w:p w14:paraId="6A36D4EE"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H为C类基金份额每日应计提的销售服务费</w:t>
      </w:r>
    </w:p>
    <w:p w14:paraId="54939CD4"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E为C类基金份额前一日基金资产净值</w:t>
      </w:r>
    </w:p>
    <w:p w14:paraId="3DF46036"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C类基金份额销售服务费每日计提，逐日累计至每月月末，按月支付，由基金管理人于次月首日起5个工作日内向基金托管人发送划款指令，由基金托管人复核后从基金财产中一次性支付给基金管理人，由基金管理人代付给销售机构。若遇法定节假日、休息日或不可抗力致使无法按时支付的，支付日期顺延。</w:t>
      </w:r>
    </w:p>
    <w:p w14:paraId="631BC05F"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C类基金份额的销售服务费将专门用于本基金的推广、销售与基金份额持有人服务。</w:t>
      </w:r>
    </w:p>
    <w:p w14:paraId="3AAFE4AA"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（5）上述“（一）基金费用的种类”中第4－9项、第11项费用，根据有关法</w:t>
      </w:r>
      <w:r>
        <w:rPr>
          <w:rFonts w:ascii="宋体" w:hAnsi="宋体"/>
          <w:sz w:val="24"/>
        </w:rPr>
        <w:lastRenderedPageBreak/>
        <w:t>规及相应协议规定，按费用实际支出金额列入当期费用，由基金托管人从基金财产中支付。</w:t>
      </w:r>
    </w:p>
    <w:p w14:paraId="08E413AB"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2、与基金销售有关的费用</w:t>
      </w:r>
    </w:p>
    <w:p w14:paraId="30D34CA8"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（1）申购费</w:t>
      </w:r>
    </w:p>
    <w:p w14:paraId="35309216"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本基金申购费的费率水平、计算公式和收取方式详见“基金份额的申购与赎回”一章。</w:t>
      </w:r>
    </w:p>
    <w:p w14:paraId="236133A8"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（2）赎回费</w:t>
      </w:r>
    </w:p>
    <w:p w14:paraId="63076974"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本基金赎回费的费率水平、计算公式和收取方式详见“基金份额的申购与赎回”一章。</w:t>
      </w:r>
    </w:p>
    <w:p w14:paraId="2E65748A"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（三）不列入基金费用的项目</w:t>
      </w:r>
    </w:p>
    <w:p w14:paraId="05348D1B"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下列费用不列入基金费用：</w:t>
      </w:r>
    </w:p>
    <w:p w14:paraId="4C15F669"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1、基金管理人和基金托管人因未履行或未完全履行义务导致的费用支出或基金财产的损失；</w:t>
      </w:r>
    </w:p>
    <w:p w14:paraId="019AFD6E"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2、基金管理人和基金托管人处理与基金运作无关的事项发生的费用；</w:t>
      </w:r>
    </w:p>
    <w:p w14:paraId="31F90BED"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3、《基金合同》生效前的相关费用；</w:t>
      </w:r>
    </w:p>
    <w:p w14:paraId="3A4B47F5"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4、其他根据相关法律法规及中国证监会的有关规定不得列入基金费用的项目。</w:t>
      </w:r>
    </w:p>
    <w:p w14:paraId="75146492"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基金管理人和基金托管人可根据基金发展情况，在履行适当程序后调整基金管理费率、基金托管费率等相关费率。降低C类基金份额销售服务费率，无须召开基金份额持有人大会。基金管理人必须依照有关规定于新的费率实施日前在指定媒介上刊登公告。</w:t>
      </w:r>
    </w:p>
    <w:p w14:paraId="2A63200A"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（五）实施</w:t>
      </w:r>
      <w:proofErr w:type="gramStart"/>
      <w:r>
        <w:rPr>
          <w:rFonts w:ascii="宋体" w:hAnsi="宋体"/>
          <w:sz w:val="24"/>
        </w:rPr>
        <w:t>侧袋机制</w:t>
      </w:r>
      <w:proofErr w:type="gramEnd"/>
      <w:r>
        <w:rPr>
          <w:rFonts w:ascii="宋体" w:hAnsi="宋体"/>
          <w:sz w:val="24"/>
        </w:rPr>
        <w:t>期间的基金费用</w:t>
      </w:r>
    </w:p>
    <w:p w14:paraId="37D0E1CC"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本基金实施</w:t>
      </w:r>
      <w:proofErr w:type="gramStart"/>
      <w:r>
        <w:rPr>
          <w:rFonts w:ascii="宋体" w:hAnsi="宋体"/>
          <w:sz w:val="24"/>
        </w:rPr>
        <w:t>侧袋机制</w:t>
      </w:r>
      <w:proofErr w:type="gramEnd"/>
      <w:r>
        <w:rPr>
          <w:rFonts w:ascii="宋体" w:hAnsi="宋体"/>
          <w:sz w:val="24"/>
        </w:rPr>
        <w:t>的，</w:t>
      </w:r>
      <w:proofErr w:type="gramStart"/>
      <w:r>
        <w:rPr>
          <w:rFonts w:ascii="宋体" w:hAnsi="宋体"/>
          <w:sz w:val="24"/>
        </w:rPr>
        <w:t>与侧袋账户</w:t>
      </w:r>
      <w:proofErr w:type="gramEnd"/>
      <w:r>
        <w:rPr>
          <w:rFonts w:ascii="宋体" w:hAnsi="宋体"/>
          <w:sz w:val="24"/>
        </w:rPr>
        <w:t>有关的费用可以</w:t>
      </w:r>
      <w:proofErr w:type="gramStart"/>
      <w:r>
        <w:rPr>
          <w:rFonts w:ascii="宋体" w:hAnsi="宋体"/>
          <w:sz w:val="24"/>
        </w:rPr>
        <w:t>从侧袋账户</w:t>
      </w:r>
      <w:proofErr w:type="gramEnd"/>
      <w:r>
        <w:rPr>
          <w:rFonts w:ascii="宋体" w:hAnsi="宋体"/>
          <w:sz w:val="24"/>
        </w:rPr>
        <w:t>中列支，但应</w:t>
      </w:r>
      <w:proofErr w:type="gramStart"/>
      <w:r>
        <w:rPr>
          <w:rFonts w:ascii="宋体" w:hAnsi="宋体"/>
          <w:sz w:val="24"/>
        </w:rPr>
        <w:t>待侧袋</w:t>
      </w:r>
      <w:proofErr w:type="gramEnd"/>
      <w:r>
        <w:rPr>
          <w:rFonts w:ascii="宋体" w:hAnsi="宋体"/>
          <w:sz w:val="24"/>
        </w:rPr>
        <w:t>账户资产变现后方可列支，有关费用可酌情收取或减免，但不得收取管理费，详见本招募说明书“侧袋机制”部分的规定。</w:t>
      </w:r>
    </w:p>
    <w:p w14:paraId="6373117E"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（六）基金税收</w:t>
      </w:r>
    </w:p>
    <w:p w14:paraId="50730C6D"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本基金运作过程中涉及的各纳税主体，其纳税义务按国家税收法律、法规执行。</w:t>
      </w:r>
    </w:p>
    <w:p w14:paraId="68B0A2E3" w14:textId="77777777" w:rsidR="00367445" w:rsidRDefault="00BD18A1" w:rsidP="00367445">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5B65D0E1" w14:textId="77777777" w:rsidR="001F702C" w:rsidRDefault="00BD18A1">
      <w:pPr>
        <w:pStyle w:val="1"/>
        <w:snapToGrid w:val="0"/>
        <w:spacing w:beforeLines="0" w:before="240" w:after="240"/>
        <w:rPr>
          <w:rFonts w:ascii="宋体" w:hAnsi="宋体"/>
          <w:szCs w:val="30"/>
        </w:rPr>
      </w:pPr>
      <w:bookmarkStart w:id="19" w:name="_Toc140049420"/>
      <w:r>
        <w:rPr>
          <w:rFonts w:ascii="Times New Roman" w:hAnsi="Times New Roman"/>
          <w:sz w:val="30"/>
        </w:rPr>
        <w:lastRenderedPageBreak/>
        <w:t>十六、基金的会计与审计</w:t>
      </w:r>
      <w:bookmarkEnd w:id="19"/>
    </w:p>
    <w:p w14:paraId="6C0B2F96"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（一）基金会计政策</w:t>
      </w:r>
    </w:p>
    <w:p w14:paraId="042D8442"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1、基金管理人为本基金的基金会计责任方；</w:t>
      </w:r>
    </w:p>
    <w:p w14:paraId="613787B4"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2、基金的会计年度为公历年度的1月1日至12月31日；</w:t>
      </w:r>
    </w:p>
    <w:p w14:paraId="2A5DF948"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3、基金核算以人民币为记账本位币，以人民币元为记账单位；</w:t>
      </w:r>
    </w:p>
    <w:p w14:paraId="7231006B"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4、会计制度执行国家有关会计制度；</w:t>
      </w:r>
    </w:p>
    <w:p w14:paraId="5CE9EABA"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5、本基金独立建账、独立核算；</w:t>
      </w:r>
    </w:p>
    <w:p w14:paraId="14DEC41B"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6、基金管理人及基金托管人各自保留完整的会计账目、凭证并进行日常的会计核算，按照有关规定编制基金会计报表；</w:t>
      </w:r>
    </w:p>
    <w:p w14:paraId="4115EDD1"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7、基金托管人每月与基金管理人就基金的会计核算、报表编制等进行核对并以书面方式确认。</w:t>
      </w:r>
    </w:p>
    <w:p w14:paraId="015132A3"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（二）基金的年度审计</w:t>
      </w:r>
    </w:p>
    <w:p w14:paraId="2310442D"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1、基金管理人聘请与基金管理人、基金托管人相互独立的具有证券、期货相关业务资格的会计师事务所及其注册会计师对本基金的年度财务报表进行审计。</w:t>
      </w:r>
    </w:p>
    <w:p w14:paraId="4214253A"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2、会计师事务所更换经办注册会计师，应事先征得基金管理人同意。</w:t>
      </w:r>
    </w:p>
    <w:p w14:paraId="19E4EDDD"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3、基金管理人认为有充足理由更换会计师事务所，须通报基金托管人。更换会计师事务所需按照《信息披露办法》的有关规定在指定媒介公告。</w:t>
      </w:r>
    </w:p>
    <w:p w14:paraId="7E85F386" w14:textId="77777777" w:rsidR="00367445" w:rsidRDefault="00BD18A1" w:rsidP="00367445">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73DC5D61" w14:textId="77777777" w:rsidR="001F702C" w:rsidRDefault="00BD18A1">
      <w:pPr>
        <w:pStyle w:val="1"/>
        <w:snapToGrid w:val="0"/>
        <w:spacing w:beforeLines="0" w:before="240" w:after="240"/>
        <w:rPr>
          <w:rFonts w:ascii="宋体" w:hAnsi="宋体"/>
          <w:szCs w:val="30"/>
        </w:rPr>
      </w:pPr>
      <w:bookmarkStart w:id="20" w:name="_Toc140049421"/>
      <w:r>
        <w:rPr>
          <w:rFonts w:ascii="Times New Roman" w:hAnsi="Times New Roman"/>
          <w:sz w:val="30"/>
        </w:rPr>
        <w:lastRenderedPageBreak/>
        <w:t>十七、基金的信息披露</w:t>
      </w:r>
      <w:bookmarkEnd w:id="20"/>
    </w:p>
    <w:p w14:paraId="67F73C42"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（一）本基金的信息披露应符合《基金法》、《运作办法》、《信息披露办法》、《流动性风险管理规定》、《基金合同》及其他有关规定。</w:t>
      </w:r>
    </w:p>
    <w:p w14:paraId="12CFB115"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（二）信息披露义务人</w:t>
      </w:r>
    </w:p>
    <w:p w14:paraId="44C924D5"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本基金信息披露义务人包括基金管理人、基金托管人、召集基金份额持有人大会的基金份额持有人等法律、行政法规和中国证监会规定的自然人、法人和非法人组织。</w:t>
      </w:r>
    </w:p>
    <w:p w14:paraId="7396CDAD"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本基金信息披露义务人以保护基金份额持有人利益为根本出发点，按照法律法规和中国证监会的规定披露基金信息，并保证所披露信息的真实性、准确性、完整性、及时性、简明性和易得性。</w:t>
      </w:r>
    </w:p>
    <w:p w14:paraId="7B5D5EEE"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信息披露义务人应当在中国证监会规定时间内，将应予披露的基金信息通过中国证监会指定的全国性报刊（以下简称“指定报刊”）及指定互联网网站（以下简称“指定网站”）等媒介披露，并保证基金投资者能够按照《基金合同》约定的时间和方式查阅或者复制公开披露的信息资料。</w:t>
      </w:r>
    </w:p>
    <w:p w14:paraId="480FBEAE"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（三）本基金信息披露义务人承诺公开披露的基金信息，不得有下列行为：</w:t>
      </w:r>
    </w:p>
    <w:p w14:paraId="1F12FA8C"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1、虚假记载、误导性陈述或者重大遗漏；</w:t>
      </w:r>
    </w:p>
    <w:p w14:paraId="36227E76"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2、对证券投资业绩进行预测；</w:t>
      </w:r>
    </w:p>
    <w:p w14:paraId="645A5825"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3、违规承诺收益或者承担损失；</w:t>
      </w:r>
    </w:p>
    <w:p w14:paraId="78F47721"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4、诋毁其他基金管理人、基金托管人或者基金销售机构；</w:t>
      </w:r>
    </w:p>
    <w:p w14:paraId="558B1836"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5、登载任何自然人、法人和非法人组织的祝贺性、恭维性或推荐性的文字；</w:t>
      </w:r>
    </w:p>
    <w:p w14:paraId="542CA6C2"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6、中国证监会禁止的其他行为。</w:t>
      </w:r>
    </w:p>
    <w:p w14:paraId="500643D5"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（四）本基金公开披露的信息应采用中文文本。如同时采用外文文本的，基金信息披露义务人应保证不同文本的内容一致。不同文本之间发生歧义的，以中文文本为准。</w:t>
      </w:r>
    </w:p>
    <w:p w14:paraId="1B6516AD"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本基金公开披露的信息采用阿拉伯数字；除特别说明外，货币单位为人民币元。</w:t>
      </w:r>
    </w:p>
    <w:p w14:paraId="1023AB97"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（五）公开披露的基金信息</w:t>
      </w:r>
    </w:p>
    <w:p w14:paraId="437A70EF"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公开披露的基金信息包括：</w:t>
      </w:r>
    </w:p>
    <w:p w14:paraId="4B4B59B0"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1、基金招募说明书、《基金合同》、基金托管协议、基金产品资料概要</w:t>
      </w:r>
    </w:p>
    <w:p w14:paraId="24BC9F1D"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（1）《基金合同》是界定《基金合同》当事人的各项权利、义务关系，明确基金份额持有人大会召开的规则及具体程序，说明基金产品的特性等涉及基金投资者重大利益的事项的法律文件。</w:t>
      </w:r>
    </w:p>
    <w:p w14:paraId="7330DDC5"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p>
    <w:p w14:paraId="34B8BE49"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（3）基金托管协议是界定基金托管人和基金管理人在基金财产保管及基金运作监督等活动中的权利、义务关系的法律文件。</w:t>
      </w:r>
    </w:p>
    <w:p w14:paraId="2E68C9C4"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14:paraId="0511367A"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基金募集申请经中国证监会注册后，基金管理人在基金份额发售的3日前，将基金招募说明书、《基金合同》摘要登载在指定媒介上；基金管理人、基金托管人应当将《基金合同》、基金托管协议登载在网站上。</w:t>
      </w:r>
    </w:p>
    <w:p w14:paraId="0063AABC"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2、基金份额发售公告</w:t>
      </w:r>
    </w:p>
    <w:p w14:paraId="0A999B8F"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基金管理人应当就基金份额发售的具体事宜编制基金份额发售公告，并在披露招募说明书的当日登载于指定媒介上。</w:t>
      </w:r>
    </w:p>
    <w:p w14:paraId="41F16556"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3、《基金合同》生效公告</w:t>
      </w:r>
    </w:p>
    <w:p w14:paraId="64C978C9"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基金管理人应当在收到中国证监会确认文件的次日在指定媒介上登载《基金合同》生效公告。</w:t>
      </w:r>
    </w:p>
    <w:p w14:paraId="202B9ECC"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4、基金净值信息</w:t>
      </w:r>
    </w:p>
    <w:p w14:paraId="4477C18A" w14:textId="56F2BFB1"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《基金合同》生效后，在开始办理基金份额申购或者赎回前，基金管理人应当至少每周在指定网站分别披露一次A类基金份额和C类基金份额所对应的基金份额净值和基金份额累计净值。</w:t>
      </w:r>
    </w:p>
    <w:p w14:paraId="4148A546" w14:textId="371EF0D1"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在开始办理基金份额申购或者赎回后，基金管理人应当在不晚于每个开放日的次日，通过指定网站、基金销售机构网站或者营业网点分别披露开放日的A类基金份额</w:t>
      </w:r>
      <w:r w:rsidR="00376874">
        <w:rPr>
          <w:rFonts w:ascii="宋体" w:hAnsi="宋体" w:hint="eastAsia"/>
          <w:sz w:val="24"/>
        </w:rPr>
        <w:t>、</w:t>
      </w:r>
      <w:r>
        <w:rPr>
          <w:rFonts w:ascii="宋体" w:hAnsi="宋体"/>
          <w:sz w:val="24"/>
        </w:rPr>
        <w:t>C类基金份额</w:t>
      </w:r>
      <w:r w:rsidR="00376874">
        <w:rPr>
          <w:rFonts w:ascii="宋体" w:hAnsi="宋体" w:hint="eastAsia"/>
          <w:sz w:val="24"/>
        </w:rPr>
        <w:t>和D类基金份额</w:t>
      </w:r>
      <w:r>
        <w:rPr>
          <w:rFonts w:ascii="宋体" w:hAnsi="宋体"/>
          <w:sz w:val="24"/>
        </w:rPr>
        <w:t>所对应的基金份额净值和基金份额累计净值。</w:t>
      </w:r>
    </w:p>
    <w:p w14:paraId="1AF9359D" w14:textId="39095506"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基金管理人应当在不晚于半年度和年度最后一日的次日，在指定网站披露半年度和年度最后一日的A类基金份额</w:t>
      </w:r>
      <w:r w:rsidR="00376874">
        <w:rPr>
          <w:rFonts w:ascii="宋体" w:hAnsi="宋体" w:hint="eastAsia"/>
          <w:sz w:val="24"/>
        </w:rPr>
        <w:t>、</w:t>
      </w:r>
      <w:r>
        <w:rPr>
          <w:rFonts w:ascii="宋体" w:hAnsi="宋体"/>
          <w:sz w:val="24"/>
        </w:rPr>
        <w:t>C类基金份额</w:t>
      </w:r>
      <w:r w:rsidR="00376874">
        <w:rPr>
          <w:rFonts w:ascii="宋体" w:hAnsi="宋体" w:hint="eastAsia"/>
          <w:sz w:val="24"/>
        </w:rPr>
        <w:t>和D类基金份额</w:t>
      </w:r>
      <w:r>
        <w:rPr>
          <w:rFonts w:ascii="宋体" w:hAnsi="宋体"/>
          <w:sz w:val="24"/>
        </w:rPr>
        <w:t>所对应的基金份额净值和基金份额累计净值。</w:t>
      </w:r>
    </w:p>
    <w:p w14:paraId="658A90F0"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5、基金份额申购、赎回价格</w:t>
      </w:r>
    </w:p>
    <w:p w14:paraId="0FE73D47"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基金管理人应当在《基金合同》、招募说明书等信息披露文件上载</w:t>
      </w:r>
      <w:proofErr w:type="gramStart"/>
      <w:r>
        <w:rPr>
          <w:rFonts w:ascii="宋体" w:hAnsi="宋体"/>
          <w:sz w:val="24"/>
        </w:rPr>
        <w:t>明基金</w:t>
      </w:r>
      <w:proofErr w:type="gramEnd"/>
      <w:r>
        <w:rPr>
          <w:rFonts w:ascii="宋体" w:hAnsi="宋体"/>
          <w:sz w:val="24"/>
        </w:rPr>
        <w:t>份额申购、赎回价格的计算方式及有关申购、赎回费率，并保证投资者能够在基金销售机构网站或营业网点查阅或者复制前述信息资料。</w:t>
      </w:r>
    </w:p>
    <w:p w14:paraId="35268A76"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6、基金定期报告，包括基金年度报告、基金中期报告和基金季度报告</w:t>
      </w:r>
    </w:p>
    <w:p w14:paraId="229A9727"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14:paraId="1FA5752F"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基金管理人应当在上半年结束之日起两个月内，编制完成基金中期报告，将中期报告登载在指定网站上，并将中期报告提示性公告登载在指定报刊上。</w:t>
      </w:r>
    </w:p>
    <w:p w14:paraId="298D4087"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基金管理人应当在季度结束之日起15个工作日内，编制完成基金季度报告，将季度报告登载在指定网站上，并将季度报告提示性公告登载在指定报刊上。</w:t>
      </w:r>
    </w:p>
    <w:p w14:paraId="2AF13437"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《基金合同》生效不足2个月的，基金管理人可以不编制当期季度报告、中期报告或者年度报告。</w:t>
      </w:r>
    </w:p>
    <w:p w14:paraId="026CEC2A"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报告期内出现单一投资者持有基金份额达到或超过基金总份额20%的情形，为保障其他投资者的权益，基金管理人至少应当在定期报告“影响投资者决策的其他重要信息”项下披露该投资者的类别、报告期末持有份额及占比、报告期内持有份额变化情况及本基金的特有风险，中国证监会认定的特殊情形除外。</w:t>
      </w:r>
    </w:p>
    <w:p w14:paraId="27ACB3FE"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基金管理人应当在基金年度报告和中期报告中披露基金组合资产情况及其流动性风险分析等。</w:t>
      </w:r>
    </w:p>
    <w:p w14:paraId="2781DB9D"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7、临时报告</w:t>
      </w:r>
    </w:p>
    <w:p w14:paraId="3BD2D354"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本基金发生重大事件，有关信息披露义务人应当在2日内编制临时报告书，并登载在指定报刊和指定网站上。</w:t>
      </w:r>
    </w:p>
    <w:p w14:paraId="22020752"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前款所称重大事件，是指可能对基金份额持有人权益或者基金份额的价格产生</w:t>
      </w:r>
      <w:r>
        <w:rPr>
          <w:rFonts w:ascii="宋体" w:hAnsi="宋体"/>
          <w:sz w:val="24"/>
        </w:rPr>
        <w:lastRenderedPageBreak/>
        <w:t>重大影响的下列事件：</w:t>
      </w:r>
    </w:p>
    <w:p w14:paraId="42DFAB68"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（1）基金份额持有人大会的召开及决定的事项；</w:t>
      </w:r>
    </w:p>
    <w:p w14:paraId="19BF8DB9"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（2）《基金合同》终止、基金清算；</w:t>
      </w:r>
    </w:p>
    <w:p w14:paraId="64ACBCFC"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（3）转换基金运作方式、基金合并；</w:t>
      </w:r>
    </w:p>
    <w:p w14:paraId="51DAF406"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（4）更换基金管理人、基金托管人、基金份额登记机构，基金改聘会计师事务所；</w:t>
      </w:r>
    </w:p>
    <w:p w14:paraId="57D07A45"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（5）基金管理人委托基金服务机构代为办理基金的份额登记、核算、估值等事项，基金托管人委托基金服务机构代为办理基金的核算、估值、复核等事项；</w:t>
      </w:r>
    </w:p>
    <w:p w14:paraId="73EF9F13"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（6）基金管理人、基金托管人的法定名称、住所发生变更；</w:t>
      </w:r>
    </w:p>
    <w:p w14:paraId="4AB69F54"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（7）基金管理人变更持有百分之五以上股权的股东、基金管理人的实际控制人变更；</w:t>
      </w:r>
    </w:p>
    <w:p w14:paraId="5B0B2411"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（8）基金募集期延长或提前结束募集；</w:t>
      </w:r>
    </w:p>
    <w:p w14:paraId="5573961D"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（9）基金管理人的高级管理人员、基金经理和基金托管人专门基金托管部门负责人发生变动；</w:t>
      </w:r>
    </w:p>
    <w:p w14:paraId="4E52ACA1"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（10）基金管理人的董事在最近12个月内变更超过百分之五十，基金管理人、基金托管人专门基金托管部门的主要业务人员在最近12个月内变动超过百分之三十；</w:t>
      </w:r>
    </w:p>
    <w:p w14:paraId="54B56B03"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（11）涉及基金财产、基金管理业务、基金托管业务的诉讼或仲裁；</w:t>
      </w:r>
    </w:p>
    <w:p w14:paraId="4ED739B7"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（12）基金管理人或其高级管理人员、基金经理因基金管理业务相关行为受到重大行政处罚、刑事处罚，基金托管人或其专门基金托管部门负责人因基金托管业务相关行为受到重大行政处罚、刑事处罚；</w:t>
      </w:r>
    </w:p>
    <w:p w14:paraId="31CE0357"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14:paraId="4762DC9F"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（14）基金收益分配事项；</w:t>
      </w:r>
    </w:p>
    <w:p w14:paraId="36B6AC8F"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（15）管理费、托管费、销售服务费、申购费、赎回费等费用计提标准、计提方式和费率发生变更；</w:t>
      </w:r>
    </w:p>
    <w:p w14:paraId="1906B9E7"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（16）任一类基金份额净值计价错误达该类基金份额净值百分之零点五；</w:t>
      </w:r>
    </w:p>
    <w:p w14:paraId="32167F20"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（17）本基金开始办理申购、赎回；</w:t>
      </w:r>
    </w:p>
    <w:p w14:paraId="2417CEE9"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（18）本基金发生巨额赎回并延期办理；</w:t>
      </w:r>
    </w:p>
    <w:p w14:paraId="406983C8"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（19）本基金连续发生巨额赎回并暂停接受赎回申请或延缓支付赎回款项；</w:t>
      </w:r>
    </w:p>
    <w:p w14:paraId="2AF15FE8"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（20）本基金暂停接受申购、赎回申请或重新接受申购、赎回申请；</w:t>
      </w:r>
    </w:p>
    <w:p w14:paraId="08F90F5E"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（21）发生涉及基金申购、赎回事项调整或潜在影响投资者赎回等重大事项时；</w:t>
      </w:r>
    </w:p>
    <w:p w14:paraId="55CF3295"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（22）基金管理人采用摆动定价机制进行估值；</w:t>
      </w:r>
    </w:p>
    <w:p w14:paraId="08D46921"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（23）本基金增加或调整基金份额类别；</w:t>
      </w:r>
    </w:p>
    <w:p w14:paraId="57D1D926"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（24）本基金推出新业务或服务；</w:t>
      </w:r>
    </w:p>
    <w:p w14:paraId="28846F8E"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（25）基金信息披露义务人认为可能对基金份额持有人权益或者基金份额的价格产生重大影响的其他事项或中国证监会规定的其他事项。</w:t>
      </w:r>
    </w:p>
    <w:p w14:paraId="7BB871E0"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8、澄清公告</w:t>
      </w:r>
    </w:p>
    <w:p w14:paraId="6DF58FAA"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14:paraId="00955F2D"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9、基金份额持有人大会决议</w:t>
      </w:r>
    </w:p>
    <w:p w14:paraId="7D7102E8"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基金份额持有人大会决定的事项，应当依法报中国证监会备案，并予以公告。</w:t>
      </w:r>
    </w:p>
    <w:p w14:paraId="73897C02"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基金份额持有人依法自行召集基金份额持有人大会，基金管理人、基金托管人对基金份额持有人大会决定的事项不依法履行信息披露义务的，召集人应当履行相关信息披露义务。</w:t>
      </w:r>
    </w:p>
    <w:p w14:paraId="7C675C86"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10、清算报告</w:t>
      </w:r>
    </w:p>
    <w:p w14:paraId="24556E01"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基金合同终止的，基金管理人应当依法组织清算组对基金财产进行清算并</w:t>
      </w:r>
      <w:proofErr w:type="gramStart"/>
      <w:r>
        <w:rPr>
          <w:rFonts w:ascii="宋体" w:hAnsi="宋体"/>
          <w:sz w:val="24"/>
        </w:rPr>
        <w:t>作出</w:t>
      </w:r>
      <w:proofErr w:type="gramEnd"/>
      <w:r>
        <w:rPr>
          <w:rFonts w:ascii="宋体" w:hAnsi="宋体"/>
          <w:sz w:val="24"/>
        </w:rPr>
        <w:t>清算报告。清算报告应当经过具有证券、期货相关业务资格的会计师事务所审计，并由律师事务所出具法律意见书。清算组应当将清算报告登载在指定网站上，并将清算报告提示性公告登载在指定报刊上。</w:t>
      </w:r>
    </w:p>
    <w:p w14:paraId="7C69D06F"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11、实施</w:t>
      </w:r>
      <w:proofErr w:type="gramStart"/>
      <w:r>
        <w:rPr>
          <w:rFonts w:ascii="宋体" w:hAnsi="宋体"/>
          <w:sz w:val="24"/>
        </w:rPr>
        <w:t>侧袋机制</w:t>
      </w:r>
      <w:proofErr w:type="gramEnd"/>
      <w:r>
        <w:rPr>
          <w:rFonts w:ascii="宋体" w:hAnsi="宋体"/>
          <w:sz w:val="24"/>
        </w:rPr>
        <w:t>期间的信息披露</w:t>
      </w:r>
    </w:p>
    <w:p w14:paraId="026E3BBF"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本基金实施</w:t>
      </w:r>
      <w:proofErr w:type="gramStart"/>
      <w:r>
        <w:rPr>
          <w:rFonts w:ascii="宋体" w:hAnsi="宋体"/>
          <w:sz w:val="24"/>
        </w:rPr>
        <w:t>侧袋机制</w:t>
      </w:r>
      <w:proofErr w:type="gramEnd"/>
      <w:r>
        <w:rPr>
          <w:rFonts w:ascii="宋体" w:hAnsi="宋体"/>
          <w:sz w:val="24"/>
        </w:rPr>
        <w:t>的，相关信息披露义务人应当根据法律法规、基金合同和招募说明书的规定进行信息披露，详见本招募说明书“侧袋机制”部分的规定。</w:t>
      </w:r>
    </w:p>
    <w:p w14:paraId="59F6C6F5"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12、中国证监会规定的其他信息。</w:t>
      </w:r>
    </w:p>
    <w:p w14:paraId="6B3B842A"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（六）信息披露事务管理</w:t>
      </w:r>
    </w:p>
    <w:p w14:paraId="654A23F6"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基金管理人、基金托管人应当建立健全信息披露管理制度，指定专门部门及高</w:t>
      </w:r>
      <w:r>
        <w:rPr>
          <w:rFonts w:ascii="宋体" w:hAnsi="宋体"/>
          <w:sz w:val="24"/>
        </w:rPr>
        <w:lastRenderedPageBreak/>
        <w:t>级管理人员负责管理信息披露事务。</w:t>
      </w:r>
    </w:p>
    <w:p w14:paraId="68527300"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基金信息披露义务人公开披露基金信息，应当符合中国证监会相关基金信息披露内容与格式准则等法律法规规定。</w:t>
      </w:r>
    </w:p>
    <w:p w14:paraId="3E12B0A6" w14:textId="67D37659"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基金托管人应当按照相关法律法规、中国证监会的规定和《基金合同》的约定，对基金管理人编制的基金资产净值、</w:t>
      </w:r>
      <w:r w:rsidR="00297EC4">
        <w:rPr>
          <w:rFonts w:ascii="宋体" w:hAnsi="宋体" w:hint="eastAsia"/>
          <w:sz w:val="24"/>
        </w:rPr>
        <w:t>各类</w:t>
      </w:r>
      <w:r>
        <w:rPr>
          <w:rFonts w:ascii="宋体" w:hAnsi="宋体"/>
          <w:sz w:val="24"/>
        </w:rPr>
        <w:t>基金份额净值、基金份额申购赎回价格、基金定期报告、更新的招募说明书、基金产品资料概要、基金清算报告等公开披露的相关基金信息进行复核、审查，并向基金管理人进行书面或电子确认。</w:t>
      </w:r>
    </w:p>
    <w:p w14:paraId="6E0FAE7D"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基金管理人、基金托管人应当在指定报刊中选择一家报刊披露本基金信息。基金管理人、基金托管人应当向中国证监会基金电子披露网站报送拟披露的基金信息，并保证相关报送信息的真实、准确、完整、及时。</w:t>
      </w:r>
    </w:p>
    <w:p w14:paraId="6AA5D79C"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基金管理人、基金托管人除依法在指定媒介上披露信息外，还可以根据需要在其他公共媒介披露信息，但是其他公共媒介不得早于指定媒介披露信息，并且在不同媒介上披露同一信息的内容应当一致。</w:t>
      </w:r>
    </w:p>
    <w:p w14:paraId="774D7294"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为基金信息披露义务人公开披露的基金信息出具审计报告、法律意见书的专业机构，应当制作工作底稿，并将相关档案至少保存到《基金合同》终止后10年。</w:t>
      </w:r>
    </w:p>
    <w:p w14:paraId="7131A215"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基金管理人、基金托管人除按法律法规要求披露信息外，也可着眼于为投资者决策提供有用信息的角度，在保证公平对待投资者、</w:t>
      </w:r>
      <w:proofErr w:type="gramStart"/>
      <w:r>
        <w:rPr>
          <w:rFonts w:ascii="宋体" w:hAnsi="宋体"/>
          <w:sz w:val="24"/>
        </w:rPr>
        <w:t>不</w:t>
      </w:r>
      <w:proofErr w:type="gramEnd"/>
      <w:r>
        <w:rPr>
          <w:rFonts w:ascii="宋体" w:hAnsi="宋体"/>
          <w:sz w:val="24"/>
        </w:rPr>
        <w:t>误导投资者、不影响基金正常投资操作的前提下，自主提升信息披露服务的质量。具体要求应当符合中国证监会及自律规则的相关规定。前述自主披露如产生信息披露费用，该费用不得从基金财产中列支。</w:t>
      </w:r>
    </w:p>
    <w:p w14:paraId="1823E576"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（七）信息披露文件的存放与查阅</w:t>
      </w:r>
    </w:p>
    <w:p w14:paraId="34268DA6"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依法必须披露的信息发布后，基金管理人、基金托管人应当按照相关法律法规规定将信息置备于各自住所，供社会公众查阅、复制。</w:t>
      </w:r>
    </w:p>
    <w:p w14:paraId="4614F278"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（八）本基金信息披露事项以法律法规规定及本章节约定的内容为准。</w:t>
      </w:r>
    </w:p>
    <w:p w14:paraId="2CA6C547" w14:textId="77777777" w:rsidR="00367445" w:rsidRDefault="00BD18A1" w:rsidP="00367445">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14EB0CE9" w14:textId="77777777" w:rsidR="001F702C" w:rsidRDefault="00BD18A1">
      <w:pPr>
        <w:pStyle w:val="1"/>
        <w:snapToGrid w:val="0"/>
        <w:spacing w:beforeLines="0" w:before="240" w:after="240"/>
        <w:rPr>
          <w:rFonts w:ascii="宋体" w:hAnsi="宋体"/>
          <w:szCs w:val="30"/>
        </w:rPr>
      </w:pPr>
      <w:bookmarkStart w:id="21" w:name="_Toc140049422"/>
      <w:r>
        <w:rPr>
          <w:rFonts w:ascii="Times New Roman" w:hAnsi="Times New Roman"/>
          <w:sz w:val="30"/>
        </w:rPr>
        <w:lastRenderedPageBreak/>
        <w:t>十八、</w:t>
      </w:r>
      <w:proofErr w:type="gramStart"/>
      <w:r>
        <w:rPr>
          <w:rFonts w:ascii="Times New Roman" w:hAnsi="Times New Roman"/>
          <w:sz w:val="30"/>
        </w:rPr>
        <w:t>侧袋机制</w:t>
      </w:r>
      <w:bookmarkEnd w:id="21"/>
      <w:proofErr w:type="gramEnd"/>
    </w:p>
    <w:p w14:paraId="185B1180" w14:textId="77777777" w:rsidR="001F702C" w:rsidRDefault="00BD18A1">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（一）</w:t>
      </w:r>
      <w:proofErr w:type="gramStart"/>
      <w:r w:rsidRPr="00BB248E">
        <w:rPr>
          <w:rFonts w:ascii="宋体" w:hAnsi="宋体" w:hint="eastAsia"/>
          <w:b/>
          <w:kern w:val="0"/>
          <w:sz w:val="24"/>
        </w:rPr>
        <w:t>侧袋机制</w:t>
      </w:r>
      <w:proofErr w:type="gramEnd"/>
      <w:r w:rsidRPr="00BB248E">
        <w:rPr>
          <w:rFonts w:ascii="宋体" w:hAnsi="宋体" w:hint="eastAsia"/>
          <w:b/>
          <w:kern w:val="0"/>
          <w:sz w:val="24"/>
        </w:rPr>
        <w:t>的实施条件</w:t>
      </w:r>
    </w:p>
    <w:p w14:paraId="78BB2095"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当基金持有特定资产且存在或潜在大额赎回申请时，根据最大限度保护基金份额持有人利益的原则，基金管理人经与基金托管人协商一致，并咨询会计师事务所意见后，可以依照法律法规及基金合同的约定</w:t>
      </w:r>
      <w:proofErr w:type="gramStart"/>
      <w:r>
        <w:rPr>
          <w:rFonts w:ascii="宋体" w:hAnsi="宋体"/>
          <w:sz w:val="24"/>
        </w:rPr>
        <w:t>启用侧袋机制</w:t>
      </w:r>
      <w:proofErr w:type="gramEnd"/>
      <w:r>
        <w:rPr>
          <w:rFonts w:ascii="宋体" w:hAnsi="宋体"/>
          <w:sz w:val="24"/>
        </w:rPr>
        <w:t>。</w:t>
      </w:r>
    </w:p>
    <w:p w14:paraId="3DDDE01A"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基金管理人应当在启用</w:t>
      </w:r>
      <w:proofErr w:type="gramStart"/>
      <w:r>
        <w:rPr>
          <w:rFonts w:ascii="宋体" w:hAnsi="宋体"/>
          <w:sz w:val="24"/>
        </w:rPr>
        <w:t>侧袋机制</w:t>
      </w:r>
      <w:proofErr w:type="gramEnd"/>
      <w:r>
        <w:rPr>
          <w:rFonts w:ascii="宋体" w:hAnsi="宋体"/>
          <w:sz w:val="24"/>
        </w:rPr>
        <w:t>后及时发布临时公告，并在五个工作日内聘请</w:t>
      </w:r>
      <w:proofErr w:type="gramStart"/>
      <w:r>
        <w:rPr>
          <w:rFonts w:ascii="宋体" w:hAnsi="宋体"/>
          <w:sz w:val="24"/>
        </w:rPr>
        <w:t>侧袋机制</w:t>
      </w:r>
      <w:proofErr w:type="gramEnd"/>
      <w:r>
        <w:rPr>
          <w:rFonts w:ascii="宋体" w:hAnsi="宋体"/>
          <w:sz w:val="24"/>
        </w:rPr>
        <w:t>启用日发表意见且符合《中华人民共和国证券法》规定的会计师事务所进行审计并披露专项审计意见。</w:t>
      </w:r>
    </w:p>
    <w:p w14:paraId="03EB158C" w14:textId="77777777" w:rsidR="001F702C" w:rsidRDefault="00BD18A1">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（二）实施</w:t>
      </w:r>
      <w:proofErr w:type="gramStart"/>
      <w:r w:rsidRPr="00BB248E">
        <w:rPr>
          <w:rFonts w:ascii="宋体" w:hAnsi="宋体" w:hint="eastAsia"/>
          <w:b/>
          <w:kern w:val="0"/>
          <w:sz w:val="24"/>
        </w:rPr>
        <w:t>侧袋机制</w:t>
      </w:r>
      <w:proofErr w:type="gramEnd"/>
      <w:r w:rsidRPr="00BB248E">
        <w:rPr>
          <w:rFonts w:ascii="宋体" w:hAnsi="宋体" w:hint="eastAsia"/>
          <w:b/>
          <w:kern w:val="0"/>
          <w:sz w:val="24"/>
        </w:rPr>
        <w:t>期间基金份额的申购与赎回</w:t>
      </w:r>
    </w:p>
    <w:p w14:paraId="6CA65600"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1、启用</w:t>
      </w:r>
      <w:proofErr w:type="gramStart"/>
      <w:r>
        <w:rPr>
          <w:rFonts w:ascii="宋体" w:hAnsi="宋体"/>
          <w:sz w:val="24"/>
        </w:rPr>
        <w:t>侧袋机制</w:t>
      </w:r>
      <w:proofErr w:type="gramEnd"/>
      <w:r>
        <w:rPr>
          <w:rFonts w:ascii="宋体" w:hAnsi="宋体"/>
          <w:sz w:val="24"/>
        </w:rPr>
        <w:t>当日，基金登记机构以基金份额持有人的原有账户份额为基础，确认</w:t>
      </w:r>
      <w:proofErr w:type="gramStart"/>
      <w:r>
        <w:rPr>
          <w:rFonts w:ascii="宋体" w:hAnsi="宋体"/>
          <w:sz w:val="24"/>
        </w:rPr>
        <w:t>相应侧袋账户</w:t>
      </w:r>
      <w:proofErr w:type="gramEnd"/>
      <w:r>
        <w:rPr>
          <w:rFonts w:ascii="宋体" w:hAnsi="宋体"/>
          <w:sz w:val="24"/>
        </w:rPr>
        <w:t>基金份额持有人名册和份额；当日收到的申购申请，按照启用</w:t>
      </w:r>
      <w:proofErr w:type="gramStart"/>
      <w:r>
        <w:rPr>
          <w:rFonts w:ascii="宋体" w:hAnsi="宋体"/>
          <w:sz w:val="24"/>
        </w:rPr>
        <w:t>侧袋机制</w:t>
      </w:r>
      <w:proofErr w:type="gramEnd"/>
      <w:r>
        <w:rPr>
          <w:rFonts w:ascii="宋体" w:hAnsi="宋体"/>
          <w:sz w:val="24"/>
        </w:rPr>
        <w:t>后</w:t>
      </w:r>
      <w:proofErr w:type="gramStart"/>
      <w:r>
        <w:rPr>
          <w:rFonts w:ascii="宋体" w:hAnsi="宋体"/>
          <w:sz w:val="24"/>
        </w:rPr>
        <w:t>的主袋账户</w:t>
      </w:r>
      <w:proofErr w:type="gramEnd"/>
      <w:r>
        <w:rPr>
          <w:rFonts w:ascii="宋体" w:hAnsi="宋体"/>
          <w:sz w:val="24"/>
        </w:rPr>
        <w:t>份额办理；当日收到的赎回申请，仅</w:t>
      </w:r>
      <w:proofErr w:type="gramStart"/>
      <w:r>
        <w:rPr>
          <w:rFonts w:ascii="宋体" w:hAnsi="宋体"/>
          <w:sz w:val="24"/>
        </w:rPr>
        <w:t>办理主袋账户</w:t>
      </w:r>
      <w:proofErr w:type="gramEnd"/>
      <w:r>
        <w:rPr>
          <w:rFonts w:ascii="宋体" w:hAnsi="宋体"/>
          <w:sz w:val="24"/>
        </w:rPr>
        <w:t>的赎回申请并支付赎回款项。</w:t>
      </w:r>
    </w:p>
    <w:p w14:paraId="443E3C67"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2、实施</w:t>
      </w:r>
      <w:proofErr w:type="gramStart"/>
      <w:r>
        <w:rPr>
          <w:rFonts w:ascii="宋体" w:hAnsi="宋体"/>
          <w:sz w:val="24"/>
        </w:rPr>
        <w:t>侧袋机制</w:t>
      </w:r>
      <w:proofErr w:type="gramEnd"/>
      <w:r>
        <w:rPr>
          <w:rFonts w:ascii="宋体" w:hAnsi="宋体"/>
          <w:sz w:val="24"/>
        </w:rPr>
        <w:t>期间，基金管理人不</w:t>
      </w:r>
      <w:proofErr w:type="gramStart"/>
      <w:r>
        <w:rPr>
          <w:rFonts w:ascii="宋体" w:hAnsi="宋体"/>
          <w:sz w:val="24"/>
        </w:rPr>
        <w:t>办理侧袋账户</w:t>
      </w:r>
      <w:proofErr w:type="gramEnd"/>
      <w:r>
        <w:rPr>
          <w:rFonts w:ascii="宋体" w:hAnsi="宋体"/>
          <w:sz w:val="24"/>
        </w:rPr>
        <w:t>份额的申购、赎回和转换；同时，基金管理人按照基金合同和招募说明书的约定</w:t>
      </w:r>
      <w:proofErr w:type="gramStart"/>
      <w:r>
        <w:rPr>
          <w:rFonts w:ascii="宋体" w:hAnsi="宋体"/>
          <w:sz w:val="24"/>
        </w:rPr>
        <w:t>办理主袋账户</w:t>
      </w:r>
      <w:proofErr w:type="gramEnd"/>
      <w:r>
        <w:rPr>
          <w:rFonts w:ascii="宋体" w:hAnsi="宋体"/>
          <w:sz w:val="24"/>
        </w:rPr>
        <w:t>份额的赎回，并</w:t>
      </w:r>
      <w:proofErr w:type="gramStart"/>
      <w:r>
        <w:rPr>
          <w:rFonts w:ascii="宋体" w:hAnsi="宋体"/>
          <w:sz w:val="24"/>
        </w:rPr>
        <w:t>根据主袋账户</w:t>
      </w:r>
      <w:proofErr w:type="gramEnd"/>
      <w:r>
        <w:rPr>
          <w:rFonts w:ascii="宋体" w:hAnsi="宋体"/>
          <w:sz w:val="24"/>
        </w:rPr>
        <w:t>运作情况确定是否暂停申购。</w:t>
      </w:r>
    </w:p>
    <w:p w14:paraId="22A025BE"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3、除基金管理人应</w:t>
      </w:r>
      <w:proofErr w:type="gramStart"/>
      <w:r>
        <w:rPr>
          <w:rFonts w:ascii="宋体" w:hAnsi="宋体"/>
          <w:sz w:val="24"/>
        </w:rPr>
        <w:t>按照主袋账户</w:t>
      </w:r>
      <w:proofErr w:type="gramEnd"/>
      <w:r>
        <w:rPr>
          <w:rFonts w:ascii="宋体" w:hAnsi="宋体"/>
          <w:sz w:val="24"/>
        </w:rPr>
        <w:t>的份额净值</w:t>
      </w:r>
      <w:proofErr w:type="gramStart"/>
      <w:r>
        <w:rPr>
          <w:rFonts w:ascii="宋体" w:hAnsi="宋体"/>
          <w:sz w:val="24"/>
        </w:rPr>
        <w:t>办理主袋账户</w:t>
      </w:r>
      <w:proofErr w:type="gramEnd"/>
      <w:r>
        <w:rPr>
          <w:rFonts w:ascii="宋体" w:hAnsi="宋体"/>
          <w:sz w:val="24"/>
        </w:rPr>
        <w:t>份额的申购和赎回外，本招募说明书“基金份额的申购与赎回”部分的申购、赎回规定</w:t>
      </w:r>
      <w:proofErr w:type="gramStart"/>
      <w:r>
        <w:rPr>
          <w:rFonts w:ascii="宋体" w:hAnsi="宋体"/>
          <w:sz w:val="24"/>
        </w:rPr>
        <w:t>适用于主袋账户</w:t>
      </w:r>
      <w:proofErr w:type="gramEnd"/>
      <w:r>
        <w:rPr>
          <w:rFonts w:ascii="宋体" w:hAnsi="宋体"/>
          <w:sz w:val="24"/>
        </w:rPr>
        <w:t>份额。巨额赎回按照单个开放</w:t>
      </w:r>
      <w:proofErr w:type="gramStart"/>
      <w:r>
        <w:rPr>
          <w:rFonts w:ascii="宋体" w:hAnsi="宋体"/>
          <w:sz w:val="24"/>
        </w:rPr>
        <w:t>日内主袋账户</w:t>
      </w:r>
      <w:proofErr w:type="gramEnd"/>
      <w:r>
        <w:rPr>
          <w:rFonts w:ascii="宋体" w:hAnsi="宋体"/>
          <w:sz w:val="24"/>
        </w:rPr>
        <w:t>份额净赎回申请超过前一开放</w:t>
      </w:r>
      <w:proofErr w:type="gramStart"/>
      <w:r>
        <w:rPr>
          <w:rFonts w:ascii="宋体" w:hAnsi="宋体"/>
          <w:sz w:val="24"/>
        </w:rPr>
        <w:t>日主袋账户</w:t>
      </w:r>
      <w:proofErr w:type="gramEnd"/>
      <w:r>
        <w:rPr>
          <w:rFonts w:ascii="宋体" w:hAnsi="宋体"/>
          <w:sz w:val="24"/>
        </w:rPr>
        <w:t>总份额的10%认定。</w:t>
      </w:r>
    </w:p>
    <w:p w14:paraId="74D4BA32" w14:textId="77777777" w:rsidR="001F702C" w:rsidRDefault="00BD18A1">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（三）实施</w:t>
      </w:r>
      <w:proofErr w:type="gramStart"/>
      <w:r w:rsidRPr="00BB248E">
        <w:rPr>
          <w:rFonts w:ascii="宋体" w:hAnsi="宋体" w:hint="eastAsia"/>
          <w:b/>
          <w:kern w:val="0"/>
          <w:sz w:val="24"/>
        </w:rPr>
        <w:t>侧袋机制</w:t>
      </w:r>
      <w:proofErr w:type="gramEnd"/>
      <w:r w:rsidRPr="00BB248E">
        <w:rPr>
          <w:rFonts w:ascii="宋体" w:hAnsi="宋体" w:hint="eastAsia"/>
          <w:b/>
          <w:kern w:val="0"/>
          <w:sz w:val="24"/>
        </w:rPr>
        <w:t>期间的基金投资</w:t>
      </w:r>
    </w:p>
    <w:p w14:paraId="1FF7F7A4"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proofErr w:type="gramStart"/>
      <w:r>
        <w:rPr>
          <w:rFonts w:ascii="宋体" w:hAnsi="宋体"/>
          <w:sz w:val="24"/>
        </w:rPr>
        <w:t>侧袋机制</w:t>
      </w:r>
      <w:proofErr w:type="gramEnd"/>
      <w:r>
        <w:rPr>
          <w:rFonts w:ascii="宋体" w:hAnsi="宋体"/>
          <w:sz w:val="24"/>
        </w:rPr>
        <w:t>实施期间，招募说明书“基金的投资”部分约定的投资组合比例、投资策略、组合限制、业绩比较基准、风险收益特征等约定仅</w:t>
      </w:r>
      <w:proofErr w:type="gramStart"/>
      <w:r>
        <w:rPr>
          <w:rFonts w:ascii="宋体" w:hAnsi="宋体"/>
          <w:sz w:val="24"/>
        </w:rPr>
        <w:t>适用于主袋账户</w:t>
      </w:r>
      <w:proofErr w:type="gramEnd"/>
      <w:r>
        <w:rPr>
          <w:rFonts w:ascii="宋体" w:hAnsi="宋体"/>
          <w:sz w:val="24"/>
        </w:rPr>
        <w:t>。基金管理人计算各项投资运作指标和基金业绩指标时仅需</w:t>
      </w:r>
      <w:proofErr w:type="gramStart"/>
      <w:r>
        <w:rPr>
          <w:rFonts w:ascii="宋体" w:hAnsi="宋体"/>
          <w:sz w:val="24"/>
        </w:rPr>
        <w:t>考虑主袋账户</w:t>
      </w:r>
      <w:proofErr w:type="gramEnd"/>
      <w:r>
        <w:rPr>
          <w:rFonts w:ascii="宋体" w:hAnsi="宋体"/>
          <w:sz w:val="24"/>
        </w:rPr>
        <w:t>资产。</w:t>
      </w:r>
    </w:p>
    <w:p w14:paraId="06E42294"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基金管理人原则上应当在</w:t>
      </w:r>
      <w:proofErr w:type="gramStart"/>
      <w:r>
        <w:rPr>
          <w:rFonts w:ascii="宋体" w:hAnsi="宋体"/>
          <w:sz w:val="24"/>
        </w:rPr>
        <w:t>侧袋机制</w:t>
      </w:r>
      <w:proofErr w:type="gramEnd"/>
      <w:r>
        <w:rPr>
          <w:rFonts w:ascii="宋体" w:hAnsi="宋体"/>
          <w:sz w:val="24"/>
        </w:rPr>
        <w:t>启用后20个交易日内完成</w:t>
      </w:r>
      <w:proofErr w:type="gramStart"/>
      <w:r>
        <w:rPr>
          <w:rFonts w:ascii="宋体" w:hAnsi="宋体"/>
          <w:sz w:val="24"/>
        </w:rPr>
        <w:t>对主袋账户</w:t>
      </w:r>
      <w:proofErr w:type="gramEnd"/>
      <w:r>
        <w:rPr>
          <w:rFonts w:ascii="宋体" w:hAnsi="宋体"/>
          <w:sz w:val="24"/>
        </w:rPr>
        <w:t>投资组合的调整，因资产流动性受限等中国证监会规定的情形除外。</w:t>
      </w:r>
    </w:p>
    <w:p w14:paraId="790F2CA1"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基金管理人不得</w:t>
      </w:r>
      <w:proofErr w:type="gramStart"/>
      <w:r>
        <w:rPr>
          <w:rFonts w:ascii="宋体" w:hAnsi="宋体"/>
          <w:sz w:val="24"/>
        </w:rPr>
        <w:t>在侧袋账户</w:t>
      </w:r>
      <w:proofErr w:type="gramEnd"/>
      <w:r>
        <w:rPr>
          <w:rFonts w:ascii="宋体" w:hAnsi="宋体"/>
          <w:sz w:val="24"/>
        </w:rPr>
        <w:t>中进行除特定资产处置变现以外的其他投资操作。</w:t>
      </w:r>
    </w:p>
    <w:p w14:paraId="5630046A" w14:textId="77777777" w:rsidR="001F702C" w:rsidRDefault="00BD18A1">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（四）实施</w:t>
      </w:r>
      <w:proofErr w:type="gramStart"/>
      <w:r w:rsidRPr="00BB248E">
        <w:rPr>
          <w:rFonts w:ascii="宋体" w:hAnsi="宋体" w:hint="eastAsia"/>
          <w:b/>
          <w:kern w:val="0"/>
          <w:sz w:val="24"/>
        </w:rPr>
        <w:t>侧袋机制</w:t>
      </w:r>
      <w:proofErr w:type="gramEnd"/>
      <w:r w:rsidRPr="00BB248E">
        <w:rPr>
          <w:rFonts w:ascii="宋体" w:hAnsi="宋体" w:hint="eastAsia"/>
          <w:b/>
          <w:kern w:val="0"/>
          <w:sz w:val="24"/>
        </w:rPr>
        <w:t>期间的基金估值</w:t>
      </w:r>
    </w:p>
    <w:p w14:paraId="0B262DF4"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本基金实施</w:t>
      </w:r>
      <w:proofErr w:type="gramStart"/>
      <w:r>
        <w:rPr>
          <w:rFonts w:ascii="宋体" w:hAnsi="宋体"/>
          <w:sz w:val="24"/>
        </w:rPr>
        <w:t>侧袋机制</w:t>
      </w:r>
      <w:proofErr w:type="gramEnd"/>
      <w:r>
        <w:rPr>
          <w:rFonts w:ascii="宋体" w:hAnsi="宋体"/>
          <w:sz w:val="24"/>
        </w:rPr>
        <w:t>的，基金管理人和基金托管人</w:t>
      </w:r>
      <w:proofErr w:type="gramStart"/>
      <w:r>
        <w:rPr>
          <w:rFonts w:ascii="宋体" w:hAnsi="宋体"/>
          <w:sz w:val="24"/>
        </w:rPr>
        <w:t>应对主袋账户</w:t>
      </w:r>
      <w:proofErr w:type="gramEnd"/>
      <w:r>
        <w:rPr>
          <w:rFonts w:ascii="宋体" w:hAnsi="宋体"/>
          <w:sz w:val="24"/>
        </w:rPr>
        <w:t>资产进行估值</w:t>
      </w:r>
      <w:r>
        <w:rPr>
          <w:rFonts w:ascii="宋体" w:hAnsi="宋体"/>
          <w:sz w:val="24"/>
        </w:rPr>
        <w:lastRenderedPageBreak/>
        <w:t>并</w:t>
      </w:r>
      <w:proofErr w:type="gramStart"/>
      <w:r>
        <w:rPr>
          <w:rFonts w:ascii="宋体" w:hAnsi="宋体"/>
          <w:sz w:val="24"/>
        </w:rPr>
        <w:t>披露主袋账户</w:t>
      </w:r>
      <w:proofErr w:type="gramEnd"/>
      <w:r>
        <w:rPr>
          <w:rFonts w:ascii="宋体" w:hAnsi="宋体"/>
          <w:sz w:val="24"/>
        </w:rPr>
        <w:t>的基金净值信息，暂停</w:t>
      </w:r>
      <w:proofErr w:type="gramStart"/>
      <w:r>
        <w:rPr>
          <w:rFonts w:ascii="宋体" w:hAnsi="宋体"/>
          <w:sz w:val="24"/>
        </w:rPr>
        <w:t>披露侧袋账户</w:t>
      </w:r>
      <w:proofErr w:type="gramEnd"/>
      <w:r>
        <w:rPr>
          <w:rFonts w:ascii="宋体" w:hAnsi="宋体"/>
          <w:sz w:val="24"/>
        </w:rPr>
        <w:t>份额净值。</w:t>
      </w:r>
      <w:proofErr w:type="gramStart"/>
      <w:r>
        <w:rPr>
          <w:rFonts w:ascii="宋体" w:hAnsi="宋体"/>
          <w:sz w:val="24"/>
        </w:rPr>
        <w:t>侧袋账户</w:t>
      </w:r>
      <w:proofErr w:type="gramEnd"/>
      <w:r>
        <w:rPr>
          <w:rFonts w:ascii="宋体" w:hAnsi="宋体"/>
          <w:sz w:val="24"/>
        </w:rPr>
        <w:t>的会计核算应符合《企业会计准则》的相关要求。</w:t>
      </w:r>
    </w:p>
    <w:p w14:paraId="52BD9C24" w14:textId="77777777" w:rsidR="001F702C" w:rsidRDefault="00BD18A1">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（五）</w:t>
      </w:r>
      <w:proofErr w:type="gramStart"/>
      <w:r w:rsidRPr="00BB248E">
        <w:rPr>
          <w:rFonts w:ascii="宋体" w:hAnsi="宋体" w:hint="eastAsia"/>
          <w:b/>
          <w:kern w:val="0"/>
          <w:sz w:val="24"/>
        </w:rPr>
        <w:t>实施侧袋账户</w:t>
      </w:r>
      <w:proofErr w:type="gramEnd"/>
      <w:r w:rsidRPr="00BB248E">
        <w:rPr>
          <w:rFonts w:ascii="宋体" w:hAnsi="宋体" w:hint="eastAsia"/>
          <w:b/>
          <w:kern w:val="0"/>
          <w:sz w:val="24"/>
        </w:rPr>
        <w:t>期间的基金费用</w:t>
      </w:r>
    </w:p>
    <w:p w14:paraId="4F1BFB40"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1、本基金实施</w:t>
      </w:r>
      <w:proofErr w:type="gramStart"/>
      <w:r>
        <w:rPr>
          <w:rFonts w:ascii="宋体" w:hAnsi="宋体"/>
          <w:sz w:val="24"/>
        </w:rPr>
        <w:t>侧袋机制</w:t>
      </w:r>
      <w:proofErr w:type="gramEnd"/>
      <w:r>
        <w:rPr>
          <w:rFonts w:ascii="宋体" w:hAnsi="宋体"/>
          <w:sz w:val="24"/>
        </w:rPr>
        <w:t>的，管理费和托管费</w:t>
      </w:r>
      <w:proofErr w:type="gramStart"/>
      <w:r>
        <w:rPr>
          <w:rFonts w:ascii="宋体" w:hAnsi="宋体"/>
          <w:sz w:val="24"/>
        </w:rPr>
        <w:t>按主袋账户</w:t>
      </w:r>
      <w:proofErr w:type="gramEnd"/>
      <w:r>
        <w:rPr>
          <w:rFonts w:ascii="宋体" w:hAnsi="宋体"/>
          <w:sz w:val="24"/>
        </w:rPr>
        <w:t>基金资产净值作为基数计提。</w:t>
      </w:r>
    </w:p>
    <w:p w14:paraId="7F82AED9"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w:t>
      </w:r>
      <w:proofErr w:type="gramStart"/>
      <w:r>
        <w:rPr>
          <w:rFonts w:ascii="宋体" w:hAnsi="宋体"/>
          <w:sz w:val="24"/>
        </w:rPr>
        <w:t>与侧袋账户</w:t>
      </w:r>
      <w:proofErr w:type="gramEnd"/>
      <w:r>
        <w:rPr>
          <w:rFonts w:ascii="宋体" w:hAnsi="宋体"/>
          <w:sz w:val="24"/>
        </w:rPr>
        <w:t>有关的费用可</w:t>
      </w:r>
      <w:proofErr w:type="gramStart"/>
      <w:r>
        <w:rPr>
          <w:rFonts w:ascii="宋体" w:hAnsi="宋体"/>
          <w:sz w:val="24"/>
        </w:rPr>
        <w:t>从侧袋账户</w:t>
      </w:r>
      <w:proofErr w:type="gramEnd"/>
      <w:r>
        <w:rPr>
          <w:rFonts w:ascii="宋体" w:hAnsi="宋体"/>
          <w:sz w:val="24"/>
        </w:rPr>
        <w:t>中列支，但应</w:t>
      </w:r>
      <w:proofErr w:type="gramStart"/>
      <w:r>
        <w:rPr>
          <w:rFonts w:ascii="宋体" w:hAnsi="宋体"/>
          <w:sz w:val="24"/>
        </w:rPr>
        <w:t>待侧袋</w:t>
      </w:r>
      <w:proofErr w:type="gramEnd"/>
      <w:r>
        <w:rPr>
          <w:rFonts w:ascii="宋体" w:hAnsi="宋体"/>
          <w:sz w:val="24"/>
        </w:rPr>
        <w:t>账户资产变现后方可列支，有关费用可酌情收取或减免，但不得收取管理费。</w:t>
      </w:r>
    </w:p>
    <w:p w14:paraId="537AAA8D" w14:textId="77777777" w:rsidR="001F702C" w:rsidRDefault="00BD18A1">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（六）</w:t>
      </w:r>
      <w:proofErr w:type="gramStart"/>
      <w:r w:rsidRPr="00BB248E">
        <w:rPr>
          <w:rFonts w:ascii="宋体" w:hAnsi="宋体" w:hint="eastAsia"/>
          <w:b/>
          <w:kern w:val="0"/>
          <w:sz w:val="24"/>
        </w:rPr>
        <w:t>侧袋账户</w:t>
      </w:r>
      <w:proofErr w:type="gramEnd"/>
      <w:r w:rsidRPr="00BB248E">
        <w:rPr>
          <w:rFonts w:ascii="宋体" w:hAnsi="宋体" w:hint="eastAsia"/>
          <w:b/>
          <w:kern w:val="0"/>
          <w:sz w:val="24"/>
        </w:rPr>
        <w:t>中特定资产的处置变现和支付</w:t>
      </w:r>
    </w:p>
    <w:p w14:paraId="23EDB678"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特定资产以可出售、可转让、恢复交易等方式恢复流动性后，基金管理人应当按照基金份额持有人利益最大化原则，采取将特定资产予以处置变现等方式，及时</w:t>
      </w:r>
      <w:proofErr w:type="gramStart"/>
      <w:r>
        <w:rPr>
          <w:rFonts w:ascii="宋体" w:hAnsi="宋体"/>
          <w:sz w:val="24"/>
        </w:rPr>
        <w:t>向侧袋账户</w:t>
      </w:r>
      <w:proofErr w:type="gramEnd"/>
      <w:r>
        <w:rPr>
          <w:rFonts w:ascii="宋体" w:hAnsi="宋体"/>
          <w:sz w:val="24"/>
        </w:rPr>
        <w:t>份额持有人支付对应变现款项。</w:t>
      </w:r>
    </w:p>
    <w:p w14:paraId="717DEBDD"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proofErr w:type="gramStart"/>
      <w:r>
        <w:rPr>
          <w:rFonts w:ascii="宋体" w:hAnsi="宋体"/>
          <w:sz w:val="24"/>
        </w:rPr>
        <w:t>侧袋机制</w:t>
      </w:r>
      <w:proofErr w:type="gramEnd"/>
      <w:r>
        <w:rPr>
          <w:rFonts w:ascii="宋体" w:hAnsi="宋体"/>
          <w:sz w:val="24"/>
        </w:rPr>
        <w:t>实施期间，</w:t>
      </w:r>
      <w:proofErr w:type="gramStart"/>
      <w:r>
        <w:rPr>
          <w:rFonts w:ascii="宋体" w:hAnsi="宋体"/>
          <w:sz w:val="24"/>
        </w:rPr>
        <w:t>无论侧袋账户</w:t>
      </w:r>
      <w:proofErr w:type="gramEnd"/>
      <w:r>
        <w:rPr>
          <w:rFonts w:ascii="宋体" w:hAnsi="宋体"/>
          <w:sz w:val="24"/>
        </w:rPr>
        <w:t>资产是否全部完成变现，基金管理人都应当及时</w:t>
      </w:r>
      <w:proofErr w:type="gramStart"/>
      <w:r>
        <w:rPr>
          <w:rFonts w:ascii="宋体" w:hAnsi="宋体"/>
          <w:sz w:val="24"/>
        </w:rPr>
        <w:t>向侧袋账户</w:t>
      </w:r>
      <w:proofErr w:type="gramEnd"/>
      <w:r>
        <w:rPr>
          <w:rFonts w:ascii="宋体" w:hAnsi="宋体"/>
          <w:sz w:val="24"/>
        </w:rPr>
        <w:t>全部份额持有人支付已变现部分对应的款项。</w:t>
      </w:r>
      <w:proofErr w:type="gramStart"/>
      <w:r>
        <w:rPr>
          <w:rFonts w:ascii="宋体" w:hAnsi="宋体"/>
          <w:sz w:val="24"/>
        </w:rPr>
        <w:t>若侧袋</w:t>
      </w:r>
      <w:proofErr w:type="gramEnd"/>
      <w:r>
        <w:rPr>
          <w:rFonts w:ascii="宋体" w:hAnsi="宋体"/>
          <w:sz w:val="24"/>
        </w:rPr>
        <w:t>账户资产无法一次性完成处置变现，基金管理人在每次处置变现后均应按照相关法律法规要求及时发布临时公告。</w:t>
      </w:r>
    </w:p>
    <w:p w14:paraId="06CE6810"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proofErr w:type="gramStart"/>
      <w:r>
        <w:rPr>
          <w:rFonts w:ascii="宋体" w:hAnsi="宋体"/>
          <w:sz w:val="24"/>
        </w:rPr>
        <w:t>侧袋账户</w:t>
      </w:r>
      <w:proofErr w:type="gramEnd"/>
      <w:r>
        <w:rPr>
          <w:rFonts w:ascii="宋体" w:hAnsi="宋体"/>
          <w:sz w:val="24"/>
        </w:rPr>
        <w:t>资产全部完成变现并终止</w:t>
      </w:r>
      <w:proofErr w:type="gramStart"/>
      <w:r>
        <w:rPr>
          <w:rFonts w:ascii="宋体" w:hAnsi="宋体"/>
          <w:sz w:val="24"/>
        </w:rPr>
        <w:t>侧袋机制</w:t>
      </w:r>
      <w:proofErr w:type="gramEnd"/>
      <w:r>
        <w:rPr>
          <w:rFonts w:ascii="宋体" w:hAnsi="宋体"/>
          <w:sz w:val="24"/>
        </w:rPr>
        <w:t>后，基金管理人应及时聘请符合《中华人民共和国证券法》规定的会计师事务所进行审计并披露专项审计意见。</w:t>
      </w:r>
    </w:p>
    <w:p w14:paraId="377ADB25" w14:textId="77777777" w:rsidR="001F702C" w:rsidRDefault="00BD18A1">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（七）</w:t>
      </w:r>
      <w:proofErr w:type="gramStart"/>
      <w:r w:rsidRPr="00BB248E">
        <w:rPr>
          <w:rFonts w:ascii="宋体" w:hAnsi="宋体" w:hint="eastAsia"/>
          <w:b/>
          <w:kern w:val="0"/>
          <w:sz w:val="24"/>
        </w:rPr>
        <w:t>侧袋机制</w:t>
      </w:r>
      <w:proofErr w:type="gramEnd"/>
      <w:r w:rsidRPr="00BB248E">
        <w:rPr>
          <w:rFonts w:ascii="宋体" w:hAnsi="宋体" w:hint="eastAsia"/>
          <w:b/>
          <w:kern w:val="0"/>
          <w:sz w:val="24"/>
        </w:rPr>
        <w:t>的信息披露</w:t>
      </w:r>
    </w:p>
    <w:p w14:paraId="7F35F028"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1、临时公告</w:t>
      </w:r>
    </w:p>
    <w:p w14:paraId="534B26F1"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w:t>
      </w:r>
      <w:proofErr w:type="gramStart"/>
      <w:r>
        <w:rPr>
          <w:rFonts w:ascii="宋体" w:hAnsi="宋体"/>
          <w:sz w:val="24"/>
        </w:rPr>
        <w:t>启用侧袋机制</w:t>
      </w:r>
      <w:proofErr w:type="gramEnd"/>
      <w:r>
        <w:rPr>
          <w:rFonts w:ascii="宋体" w:hAnsi="宋体"/>
          <w:sz w:val="24"/>
        </w:rPr>
        <w:t>、处置特定资产、终止</w:t>
      </w:r>
      <w:proofErr w:type="gramStart"/>
      <w:r>
        <w:rPr>
          <w:rFonts w:ascii="宋体" w:hAnsi="宋体"/>
          <w:sz w:val="24"/>
        </w:rPr>
        <w:t>侧袋机制</w:t>
      </w:r>
      <w:proofErr w:type="gramEnd"/>
      <w:r>
        <w:rPr>
          <w:rFonts w:ascii="宋体" w:hAnsi="宋体"/>
          <w:sz w:val="24"/>
        </w:rPr>
        <w:t>以及发生其他可能对投资者利益产生重大影响的事项后基金管理人应及时发布临时公告。</w:t>
      </w:r>
    </w:p>
    <w:p w14:paraId="0521C17F"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2、基金净值信息</w:t>
      </w:r>
    </w:p>
    <w:p w14:paraId="7B08E5B9"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基金管理人应按照招募说明书“基金的信息披露”部分规定的基金净值信息披露方式和频率</w:t>
      </w:r>
      <w:proofErr w:type="gramStart"/>
      <w:r>
        <w:rPr>
          <w:rFonts w:ascii="宋体" w:hAnsi="宋体"/>
          <w:sz w:val="24"/>
        </w:rPr>
        <w:t>披露主袋账户</w:t>
      </w:r>
      <w:proofErr w:type="gramEnd"/>
      <w:r>
        <w:rPr>
          <w:rFonts w:ascii="宋体" w:hAnsi="宋体"/>
          <w:sz w:val="24"/>
        </w:rPr>
        <w:t>份额的基金净值信息。实施</w:t>
      </w:r>
      <w:proofErr w:type="gramStart"/>
      <w:r>
        <w:rPr>
          <w:rFonts w:ascii="宋体" w:hAnsi="宋体"/>
          <w:sz w:val="24"/>
        </w:rPr>
        <w:t>侧袋机制</w:t>
      </w:r>
      <w:proofErr w:type="gramEnd"/>
      <w:r>
        <w:rPr>
          <w:rFonts w:ascii="宋体" w:hAnsi="宋体"/>
          <w:sz w:val="24"/>
        </w:rPr>
        <w:t>期间本基金暂停</w:t>
      </w:r>
      <w:proofErr w:type="gramStart"/>
      <w:r>
        <w:rPr>
          <w:rFonts w:ascii="宋体" w:hAnsi="宋体"/>
          <w:sz w:val="24"/>
        </w:rPr>
        <w:t>披露侧袋账户</w:t>
      </w:r>
      <w:proofErr w:type="gramEnd"/>
      <w:r>
        <w:rPr>
          <w:rFonts w:ascii="宋体" w:hAnsi="宋体"/>
          <w:sz w:val="24"/>
        </w:rPr>
        <w:t>份额净值和累计净值。</w:t>
      </w:r>
    </w:p>
    <w:p w14:paraId="1F61DA14"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3、定期报告</w:t>
      </w:r>
    </w:p>
    <w:p w14:paraId="07F7EC17"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proofErr w:type="gramStart"/>
      <w:r>
        <w:rPr>
          <w:rFonts w:ascii="宋体" w:hAnsi="宋体"/>
          <w:sz w:val="24"/>
        </w:rPr>
        <w:t>侧袋机制</w:t>
      </w:r>
      <w:proofErr w:type="gramEnd"/>
      <w:r>
        <w:rPr>
          <w:rFonts w:ascii="宋体" w:hAnsi="宋体"/>
          <w:sz w:val="24"/>
        </w:rPr>
        <w:t>实施期间，基金管理人应当在基金定期报告中披露报告期</w:t>
      </w:r>
      <w:proofErr w:type="gramStart"/>
      <w:r>
        <w:rPr>
          <w:rFonts w:ascii="宋体" w:hAnsi="宋体"/>
          <w:sz w:val="24"/>
        </w:rPr>
        <w:t>内侧袋</w:t>
      </w:r>
      <w:proofErr w:type="gramEnd"/>
      <w:r>
        <w:rPr>
          <w:rFonts w:ascii="宋体" w:hAnsi="宋体"/>
          <w:sz w:val="24"/>
        </w:rPr>
        <w:t>账户相关信息，基金定期报告中的基金会计报表仅需</w:t>
      </w:r>
      <w:proofErr w:type="gramStart"/>
      <w:r>
        <w:rPr>
          <w:rFonts w:ascii="宋体" w:hAnsi="宋体"/>
          <w:sz w:val="24"/>
        </w:rPr>
        <w:t>针对主袋账户</w:t>
      </w:r>
      <w:proofErr w:type="gramEnd"/>
      <w:r>
        <w:rPr>
          <w:rFonts w:ascii="宋体" w:hAnsi="宋体"/>
          <w:sz w:val="24"/>
        </w:rPr>
        <w:t>进行编制。会计师事务所对基金年度报告进行审计时，应对报告期内基金</w:t>
      </w:r>
      <w:proofErr w:type="gramStart"/>
      <w:r>
        <w:rPr>
          <w:rFonts w:ascii="宋体" w:hAnsi="宋体"/>
          <w:sz w:val="24"/>
        </w:rPr>
        <w:t>侧袋机制</w:t>
      </w:r>
      <w:proofErr w:type="gramEnd"/>
      <w:r>
        <w:rPr>
          <w:rFonts w:ascii="宋体" w:hAnsi="宋体"/>
          <w:sz w:val="24"/>
        </w:rPr>
        <w:t>运行相关的会计核算和年度报告披露等发表审计意见。</w:t>
      </w:r>
    </w:p>
    <w:p w14:paraId="4D28D205" w14:textId="77777777" w:rsidR="00367445" w:rsidRDefault="00BD18A1" w:rsidP="00367445">
      <w:pPr>
        <w:autoSpaceDE w:val="0"/>
        <w:autoSpaceDN w:val="0"/>
        <w:adjustRightInd w:val="0"/>
        <w:spacing w:line="360" w:lineRule="auto"/>
        <w:ind w:firstLineChars="200" w:firstLine="480"/>
        <w:rPr>
          <w:rFonts w:ascii="宋体" w:hAnsi="宋体"/>
          <w:szCs w:val="24"/>
        </w:rPr>
      </w:pPr>
      <w:r>
        <w:rPr>
          <w:rFonts w:ascii="宋体" w:hAnsi="宋体"/>
          <w:sz w:val="24"/>
        </w:rPr>
        <w:lastRenderedPageBreak/>
        <w:br w:type="page"/>
      </w:r>
    </w:p>
    <w:p w14:paraId="320DF557" w14:textId="77777777" w:rsidR="001F702C" w:rsidRDefault="00BD18A1">
      <w:pPr>
        <w:pStyle w:val="1"/>
        <w:snapToGrid w:val="0"/>
        <w:spacing w:beforeLines="0" w:before="240" w:after="240"/>
        <w:rPr>
          <w:rFonts w:ascii="宋体" w:hAnsi="宋体"/>
          <w:szCs w:val="30"/>
        </w:rPr>
      </w:pPr>
      <w:bookmarkStart w:id="22" w:name="_Toc140049423"/>
      <w:r>
        <w:rPr>
          <w:rFonts w:ascii="Times New Roman" w:hAnsi="Times New Roman"/>
          <w:sz w:val="30"/>
        </w:rPr>
        <w:lastRenderedPageBreak/>
        <w:t>十九、风险揭示</w:t>
      </w:r>
      <w:bookmarkEnd w:id="22"/>
    </w:p>
    <w:p w14:paraId="5C89D72E"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证券投资基金（以下简称“基金”）是一种长期投资工具，其主要功能是分散投资，降低投资单一证券所带来的个别风险。基金不同于银行储蓄和债券等能够提供固定收益预期的金融工具，投资人购买基金，既可能按其持有份额分享基金投资所产生的收益，也可能承担基金投资所带来的损失。</w:t>
      </w:r>
    </w:p>
    <w:p w14:paraId="2F10F1FA"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基金在投资运作过程中可能面临各种风险，既包括市场风险，也包括基金自身的管理风险、技术风险和合</w:t>
      </w:r>
      <w:proofErr w:type="gramStart"/>
      <w:r>
        <w:rPr>
          <w:rFonts w:ascii="宋体" w:hAnsi="宋体"/>
          <w:sz w:val="24"/>
        </w:rPr>
        <w:t>规</w:t>
      </w:r>
      <w:proofErr w:type="gramEnd"/>
      <w:r>
        <w:rPr>
          <w:rFonts w:ascii="宋体" w:hAnsi="宋体"/>
          <w:sz w:val="24"/>
        </w:rPr>
        <w:t>风险等。巨额赎回风险是开放式基金所特有的一种风险，即当单个开放日基金的净赎回申请（赎回申请份额总数加上基金转换中转出申请份额总数扣除申购申请份额总数及基金转换中转入申请份额总数后的余额）超过上一开放日基金总份额的百分之十时，投资人将可能无法及时赎回持有的全部基金份额。</w:t>
      </w:r>
    </w:p>
    <w:p w14:paraId="381FDDBC"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分为股票型基金、混合型基金、债券型基金、货币市场基金等不同类型，投资人投资不同类型的基金将获得不同的收益预期，也将承担不同程度的风险。一般来说，基金的收益预期越高，投资人承担的风险也越大。</w:t>
      </w:r>
    </w:p>
    <w:p w14:paraId="398A4DF0"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投资人应当认真阅读《基金合同》、《招募说明书》、基金产品资料概要等基金法律文件，了解基金的风险收益特征，并根据自身的投资目的、投资期限、投资经验、资产状况</w:t>
      </w:r>
      <w:proofErr w:type="gramStart"/>
      <w:r>
        <w:rPr>
          <w:rFonts w:ascii="宋体" w:hAnsi="宋体"/>
          <w:sz w:val="24"/>
        </w:rPr>
        <w:t>等判断</w:t>
      </w:r>
      <w:proofErr w:type="gramEnd"/>
      <w:r>
        <w:rPr>
          <w:rFonts w:ascii="宋体" w:hAnsi="宋体"/>
          <w:sz w:val="24"/>
        </w:rPr>
        <w:t>基金是否和投资人的风险承受能力相适应。</w:t>
      </w:r>
    </w:p>
    <w:p w14:paraId="09DCC576"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14:paraId="758FE81A"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因拆分、封转开、分红等行为导致基金份额净值变化，不会改变基金的风险收益特征，不会降低基金投资风险或提高基金投资收益。以1元初始面值开展基金募集或因拆分、封转开、分红等行为导致基金份额净值调整至1元初始面值或1元附近，在市场波动等因素的影响下，基金投资仍有可能出现亏损或基金净值仍有可能低于初始面值。</w:t>
      </w:r>
    </w:p>
    <w:p w14:paraId="2CC81C0A"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承诺以诚实信用、勤勉尽责的原则管理和运用基金资产，但不保证本基金一定盈利，也不保证最低收益。基金管理人管理的其他基金的业绩不构成对本基金业绩表现的保证。基金管理人提醒投资人基金投资的“买者自负”原则，在</w:t>
      </w:r>
      <w:r>
        <w:rPr>
          <w:rFonts w:ascii="宋体" w:hAnsi="宋体"/>
          <w:sz w:val="24"/>
        </w:rPr>
        <w:lastRenderedPageBreak/>
        <w:t>做出投资决策后，基金运营状况与基金净值变化引致的投资风险，由投资人自行负担。</w:t>
      </w:r>
    </w:p>
    <w:p w14:paraId="13E8895F"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基金份额持有人须了解并承受以下风险：</w:t>
      </w:r>
    </w:p>
    <w:p w14:paraId="5AEABDE7"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（一）市场风险</w:t>
      </w:r>
    </w:p>
    <w:p w14:paraId="7A843030"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证券市场价格因受到经济因素、政治因素、投资心理和交易制度等各种因素的影响而引起的波动，将对基金收益水平产生潜在风险，主要包括：</w:t>
      </w:r>
    </w:p>
    <w:p w14:paraId="3C39A982"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1、政策风险。因国家宏观政策（如货币政策、财政政策、行业政策、地区发展政策等）和证券市场监管政策发生变化，导致市场价格波动而产生风险。</w:t>
      </w:r>
    </w:p>
    <w:p w14:paraId="0B28B4AD"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2、经济周期风险。证券市场受宏观经济运行的影响，而经济运行具有周期性的特点，宏观经济运行状况将对证券市场的收益水平产生影响，从而对基金收益造成影响。</w:t>
      </w:r>
    </w:p>
    <w:p w14:paraId="33A7F929"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利率风险。金融市场利率的波动会导致证券市场价格和收益率的变动。利率直接影响着债券的价格和收益率，影响着企业的融资成本和利润。基金投资于债券和债券回购，其收益水平会受到利率变化和货币市场供求状况的影响。</w:t>
      </w:r>
    </w:p>
    <w:p w14:paraId="4E0E6918"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4、信用风险。基金所投资债券的发行人如果不能或拒绝支付到期本息，或者不能履行合约规定的其它义务，或者其信用等级降低，将会导致债券价格下降，进而造成基金资产损失，从而产生风险。</w:t>
      </w:r>
    </w:p>
    <w:p w14:paraId="19E29756"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5、购买力风险。基金投资的目的是基金资产的保值增值，如果发生通货膨胀，基金投资于证券所获得的收益可能会被通货膨胀抵消，从而使基金的实际收益下降，影响基金资产的保值增值。</w:t>
      </w:r>
    </w:p>
    <w:p w14:paraId="24D47B03"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6、债券收益率曲线变动风险。是指收益率曲线没有按预期变化导致基金投资决策出现偏差。</w:t>
      </w:r>
    </w:p>
    <w:p w14:paraId="067FE17C"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再投资风险。该风险与利率风险互为消长。当市场利率下降时，基金所持有的债券价格会上涨，而基金将投资于债券所得的利息收入进行再投资将获得较低的收益率，再投资的风险加大；反之，当市场利率上升时，基金所持有的债券价格会下降，利率风险加大，但是利息的再投资收益会上升。</w:t>
      </w:r>
    </w:p>
    <w:p w14:paraId="72F9F8C8"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债券回购风险。债券回购为提升整体基金组合收益提供了可能，但也存在一定的风险。债券回购的主要风险包括信用风险、投资风险及波动性加大的风险，其中，信用风险指回购交易中交易对手在回购到期时，不能偿还全部或部分证券或价款，造成基金净值损失的风险；投资风险是指在进行回购操作时，回购利率大于</w:t>
      </w:r>
      <w:r>
        <w:rPr>
          <w:rFonts w:ascii="宋体" w:hAnsi="宋体"/>
          <w:sz w:val="24"/>
        </w:rPr>
        <w:lastRenderedPageBreak/>
        <w:t>债券投资收益而导致的风险以及由于回购操作导致投资总量放大，致使整个组合风险放大的风险；而波动性加大的风险是指在进行回购操作时，在对基金组合收益进行放大的同时，也对基金组合的波动性（标准差）进行了放大，即基金组合的风险将会加大。回购比例越高，风险暴露程度也就越高，对基金净值造成损失的可能性也就越大。</w:t>
      </w:r>
    </w:p>
    <w:p w14:paraId="7ACA0D55"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（二）管理风险</w:t>
      </w:r>
    </w:p>
    <w:p w14:paraId="346E7FAC"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基金管理运作过程中基金管理人的知识、经验、判断、决策、技能等，会影响其对信息的占有和对经济形势、证券价格走势的判断，从而影响基金收益水平。因此，本基金的收益水平与基金管理人的管理水平、管理手段和管理技术等相关性较大，本基金可能因为基金管理人的因素而影响基金收益水平。</w:t>
      </w:r>
    </w:p>
    <w:p w14:paraId="0E24C4D3"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（三）流动性风险</w:t>
      </w:r>
    </w:p>
    <w:p w14:paraId="339F963D"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属于开放式基金，在基金的所有开放日，基金管理人都有义务接受投资人的赎回。如果基金资产不能迅速转变成现金，或者变现为现金时使资金净值产生不利的影响，都会影响基金运作和收益水平。尤其是在发生巨额赎回时，如果基金资产变现能力差，可能会产生基金</w:t>
      </w:r>
      <w:proofErr w:type="gramStart"/>
      <w:r>
        <w:rPr>
          <w:rFonts w:ascii="宋体" w:hAnsi="宋体"/>
          <w:sz w:val="24"/>
        </w:rPr>
        <w:t>仓位</w:t>
      </w:r>
      <w:proofErr w:type="gramEnd"/>
      <w:r>
        <w:rPr>
          <w:rFonts w:ascii="宋体" w:hAnsi="宋体"/>
          <w:sz w:val="24"/>
        </w:rPr>
        <w:t>调整的困难，导致流动性风险，可能影响基金份额净值。</w:t>
      </w:r>
    </w:p>
    <w:p w14:paraId="0C5375DC"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1、本基金的申购、赎回安排</w:t>
      </w:r>
    </w:p>
    <w:p w14:paraId="78DD2846"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采用开放方式运作，基金管理人在开放日办理基金份额的申购和赎回，具体办理时间为上海证券交易所、深圳证券交易所的正常交易日的交易时间，但基金管理人根据法律法规、中国证监会的要求或基金合同的规定公告暂停申购、赎回时除外。基金管理人自基金合同生效之日起不超过3个月开始办理申购和赎回业务，具体业务办理时间在申购赎回开始公告中规定。</w:t>
      </w:r>
    </w:p>
    <w:p w14:paraId="575EFDD7"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2、投资市场、行业及资产的流动性风险评估</w:t>
      </w:r>
    </w:p>
    <w:p w14:paraId="723CF70C"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本基金的投资市场主要为证券交易所、全国银行间债券市场等流动性较好的规范型交易场所，主要投资对象为具有良好流动性的金融工具，综合评估在正常市场环境下本基金的流动性风险适中。</w:t>
      </w:r>
    </w:p>
    <w:p w14:paraId="27DE6E50"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3、巨额赎回情形下的流动性风险管理措施</w:t>
      </w:r>
    </w:p>
    <w:p w14:paraId="1B3ABCB8"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w:t>
      </w:r>
    </w:p>
    <w:p w14:paraId="3766A786"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当基金出现巨额赎回时，基金管理人可以根据基金当时的资产组合状况决定全额赎回或部分延期赎回。</w:t>
      </w:r>
    </w:p>
    <w:p w14:paraId="7835A0DC"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（1）全额赎回：当基金管理人认为有能力支付投资人的全部赎回申请时，按正常赎回程序执行。</w:t>
      </w:r>
    </w:p>
    <w:p w14:paraId="3C690851" w14:textId="6AC66C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w:t>
      </w:r>
      <w:proofErr w:type="gramStart"/>
      <w:r>
        <w:rPr>
          <w:rFonts w:ascii="宋体" w:hAnsi="宋体"/>
          <w:sz w:val="24"/>
        </w:rPr>
        <w:t>并以下</w:t>
      </w:r>
      <w:proofErr w:type="gramEnd"/>
      <w:r>
        <w:rPr>
          <w:rFonts w:ascii="宋体" w:hAnsi="宋体"/>
          <w:sz w:val="24"/>
        </w:rPr>
        <w:t>一开放日的</w:t>
      </w:r>
      <w:r w:rsidR="00D57DD9">
        <w:rPr>
          <w:rFonts w:ascii="宋体" w:hAnsi="宋体" w:hint="eastAsia"/>
          <w:sz w:val="24"/>
        </w:rPr>
        <w:t>该类</w:t>
      </w:r>
      <w:r>
        <w:rPr>
          <w:rFonts w:ascii="宋体" w:hAnsi="宋体"/>
          <w:sz w:val="24"/>
        </w:rPr>
        <w:t>基金份额净值为基础计算赎回金额，以此类推，直到全部赎回为止。如投资人在提交赎回申请时未作明确选择，投资人未能赎回部分作自动延期赎回处理。</w:t>
      </w:r>
    </w:p>
    <w:p w14:paraId="2470D096" w14:textId="6CC4F42D"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发生巨额赎回且单个基金份额持有人的赎回申请超过上一日基金总份额20%的情形下，基金管理人有权采取如下措施：对于基金份额持有人当日超过20%的赎回申请，可以对其赎回申请延期办理；对于基金份额持有人未超过上述比例的部分，基金管理人可以根据前段“（1）全额赎回”或“（2）部分延期赎回”的约定方式与其他基金份额持有人的赎回申请一并办理。但是，如基金份额持有人在当日选择取消赎回，则其当日未获受理的部分赎回申请将被撤销。</w:t>
      </w:r>
    </w:p>
    <w:p w14:paraId="16FED712"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暂停赎回：连续2个开放日以上（含本数）发生巨额赎回，如基金管理人认为有必要，可暂停接受基金的赎回申请；已经接受的赎回申请可以延缓支付赎回款项，但不得超过20个工作日，并应当在指定媒介上进行公告。</w:t>
      </w:r>
    </w:p>
    <w:p w14:paraId="498D9971"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4、实施备用的流动性风险管理工具的情形、程序及对投资者的潜在影响</w:t>
      </w:r>
    </w:p>
    <w:p w14:paraId="58445DF7"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本基金在面临大规模赎回的情况下有可能因为无法变现造成流动性风险。</w:t>
      </w:r>
    </w:p>
    <w:p w14:paraId="51D5A55F"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果出现流动性风险，基金管理人经与基金托管人协商，在确保投资者得到公平对待的前提下，可实施备用的流动性风险管理工具，包括但不限于延期办理巨额赎回申请、暂停接受赎回申请、延缓支付赎回款项、收取短期赎回费、摆动定价、暂停基金估值、实施</w:t>
      </w:r>
      <w:proofErr w:type="gramStart"/>
      <w:r>
        <w:rPr>
          <w:rFonts w:ascii="宋体" w:hAnsi="宋体"/>
          <w:sz w:val="24"/>
        </w:rPr>
        <w:t>侧袋机制</w:t>
      </w:r>
      <w:proofErr w:type="gramEnd"/>
      <w:r>
        <w:rPr>
          <w:rFonts w:ascii="宋体" w:hAnsi="宋体"/>
          <w:sz w:val="24"/>
        </w:rPr>
        <w:t>等，作为特定情形下基金管理人流动性风险管理的辅</w:t>
      </w:r>
      <w:r>
        <w:rPr>
          <w:rFonts w:ascii="宋体" w:hAnsi="宋体"/>
          <w:sz w:val="24"/>
        </w:rPr>
        <w:lastRenderedPageBreak/>
        <w:t>助措施，同时基金管理人应时刻防范可能产生的流动性风险，对流动性风险进行日常监控，保护持有人的利益。当实施备用的流动性风险管理工具时，有可能无法按合同约定的时限支付赎回款项。</w:t>
      </w:r>
    </w:p>
    <w:p w14:paraId="0C3602C9"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proofErr w:type="gramStart"/>
      <w:r>
        <w:rPr>
          <w:rFonts w:ascii="宋体" w:hAnsi="宋体"/>
          <w:sz w:val="24"/>
        </w:rPr>
        <w:t>侧袋机制</w:t>
      </w:r>
      <w:proofErr w:type="gramEnd"/>
      <w:r>
        <w:rPr>
          <w:rFonts w:ascii="宋体" w:hAnsi="宋体"/>
          <w:sz w:val="24"/>
        </w:rPr>
        <w:t>是一种流动性风险管理工具，是将特定资产分离</w:t>
      </w:r>
      <w:proofErr w:type="gramStart"/>
      <w:r>
        <w:rPr>
          <w:rFonts w:ascii="宋体" w:hAnsi="宋体"/>
          <w:sz w:val="24"/>
        </w:rPr>
        <w:t>至专门的侧袋</w:t>
      </w:r>
      <w:proofErr w:type="gramEnd"/>
      <w:r>
        <w:rPr>
          <w:rFonts w:ascii="宋体" w:hAnsi="宋体"/>
          <w:sz w:val="24"/>
        </w:rPr>
        <w:t>账户进行处置清算，并以处置变现后的款项向基金份额持有人进行支付，目的在于有效隔离并化解风险。但基金启用</w:t>
      </w:r>
      <w:proofErr w:type="gramStart"/>
      <w:r>
        <w:rPr>
          <w:rFonts w:ascii="宋体" w:hAnsi="宋体"/>
          <w:sz w:val="24"/>
        </w:rPr>
        <w:t>侧袋机制</w:t>
      </w:r>
      <w:proofErr w:type="gramEnd"/>
      <w:r>
        <w:rPr>
          <w:rFonts w:ascii="宋体" w:hAnsi="宋体"/>
          <w:sz w:val="24"/>
        </w:rPr>
        <w:t>后，</w:t>
      </w:r>
      <w:proofErr w:type="gramStart"/>
      <w:r>
        <w:rPr>
          <w:rFonts w:ascii="宋体" w:hAnsi="宋体"/>
          <w:sz w:val="24"/>
        </w:rPr>
        <w:t>侧袋账户</w:t>
      </w:r>
      <w:proofErr w:type="gramEnd"/>
      <w:r>
        <w:rPr>
          <w:rFonts w:ascii="宋体" w:hAnsi="宋体"/>
          <w:sz w:val="24"/>
        </w:rPr>
        <w:t>份额将停止披露基金份额净值，并不得办理申购、赎回和转换，因此启用</w:t>
      </w:r>
      <w:proofErr w:type="gramStart"/>
      <w:r>
        <w:rPr>
          <w:rFonts w:ascii="宋体" w:hAnsi="宋体"/>
          <w:sz w:val="24"/>
        </w:rPr>
        <w:t>侧袋机制</w:t>
      </w:r>
      <w:proofErr w:type="gramEnd"/>
      <w:r>
        <w:rPr>
          <w:rFonts w:ascii="宋体" w:hAnsi="宋体"/>
          <w:sz w:val="24"/>
        </w:rPr>
        <w:t>时持有基金份额的持有人将在启用</w:t>
      </w:r>
      <w:proofErr w:type="gramStart"/>
      <w:r>
        <w:rPr>
          <w:rFonts w:ascii="宋体" w:hAnsi="宋体"/>
          <w:sz w:val="24"/>
        </w:rPr>
        <w:t>侧袋机制</w:t>
      </w:r>
      <w:proofErr w:type="gramEnd"/>
      <w:r>
        <w:rPr>
          <w:rFonts w:ascii="宋体" w:hAnsi="宋体"/>
          <w:sz w:val="24"/>
        </w:rPr>
        <w:t>后同时</w:t>
      </w:r>
      <w:proofErr w:type="gramStart"/>
      <w:r>
        <w:rPr>
          <w:rFonts w:ascii="宋体" w:hAnsi="宋体"/>
          <w:sz w:val="24"/>
        </w:rPr>
        <w:t>持有主袋账户</w:t>
      </w:r>
      <w:proofErr w:type="gramEnd"/>
      <w:r>
        <w:rPr>
          <w:rFonts w:ascii="宋体" w:hAnsi="宋体"/>
          <w:sz w:val="24"/>
        </w:rPr>
        <w:t>份额和</w:t>
      </w:r>
      <w:proofErr w:type="gramStart"/>
      <w:r>
        <w:rPr>
          <w:rFonts w:ascii="宋体" w:hAnsi="宋体"/>
          <w:sz w:val="24"/>
        </w:rPr>
        <w:t>侧袋</w:t>
      </w:r>
      <w:proofErr w:type="gramEnd"/>
      <w:r>
        <w:rPr>
          <w:rFonts w:ascii="宋体" w:hAnsi="宋体"/>
          <w:sz w:val="24"/>
        </w:rPr>
        <w:t>账户份额，</w:t>
      </w:r>
      <w:proofErr w:type="gramStart"/>
      <w:r>
        <w:rPr>
          <w:rFonts w:ascii="宋体" w:hAnsi="宋体"/>
          <w:sz w:val="24"/>
        </w:rPr>
        <w:t>侧袋账户</w:t>
      </w:r>
      <w:proofErr w:type="gramEnd"/>
      <w:r>
        <w:rPr>
          <w:rFonts w:ascii="宋体" w:hAnsi="宋体"/>
          <w:sz w:val="24"/>
        </w:rPr>
        <w:t>份额不能赎回，其对应特定资产的变现时间具有不确定性，最终变现价格也具有不确定性并且有可能大幅低于启用</w:t>
      </w:r>
      <w:proofErr w:type="gramStart"/>
      <w:r>
        <w:rPr>
          <w:rFonts w:ascii="宋体" w:hAnsi="宋体"/>
          <w:sz w:val="24"/>
        </w:rPr>
        <w:t>侧袋机制</w:t>
      </w:r>
      <w:proofErr w:type="gramEnd"/>
      <w:r>
        <w:rPr>
          <w:rFonts w:ascii="宋体" w:hAnsi="宋体"/>
          <w:sz w:val="24"/>
        </w:rPr>
        <w:t>时的特定资产的估值，基金份额持有人可能因此面临损失。</w:t>
      </w:r>
    </w:p>
    <w:p w14:paraId="0F158142"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实施</w:t>
      </w:r>
      <w:proofErr w:type="gramStart"/>
      <w:r>
        <w:rPr>
          <w:rFonts w:ascii="宋体" w:hAnsi="宋体"/>
          <w:sz w:val="24"/>
        </w:rPr>
        <w:t>侧袋机制</w:t>
      </w:r>
      <w:proofErr w:type="gramEnd"/>
      <w:r>
        <w:rPr>
          <w:rFonts w:ascii="宋体" w:hAnsi="宋体"/>
          <w:sz w:val="24"/>
        </w:rPr>
        <w:t>期间，因本基金不</w:t>
      </w:r>
      <w:proofErr w:type="gramStart"/>
      <w:r>
        <w:rPr>
          <w:rFonts w:ascii="宋体" w:hAnsi="宋体"/>
          <w:sz w:val="24"/>
        </w:rPr>
        <w:t>披露侧袋账户</w:t>
      </w:r>
      <w:proofErr w:type="gramEnd"/>
      <w:r>
        <w:rPr>
          <w:rFonts w:ascii="宋体" w:hAnsi="宋体"/>
          <w:sz w:val="24"/>
        </w:rPr>
        <w:t>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14:paraId="470C8935"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基金管理人将</w:t>
      </w:r>
      <w:proofErr w:type="gramStart"/>
      <w:r>
        <w:rPr>
          <w:rFonts w:ascii="宋体" w:hAnsi="宋体"/>
          <w:sz w:val="24"/>
        </w:rPr>
        <w:t>根据主袋账户</w:t>
      </w:r>
      <w:proofErr w:type="gramEnd"/>
      <w:r>
        <w:rPr>
          <w:rFonts w:ascii="宋体" w:hAnsi="宋体"/>
          <w:sz w:val="24"/>
        </w:rPr>
        <w:t>运作情况合理确定申购政策，因此实施</w:t>
      </w:r>
      <w:proofErr w:type="gramStart"/>
      <w:r>
        <w:rPr>
          <w:rFonts w:ascii="宋体" w:hAnsi="宋体"/>
          <w:sz w:val="24"/>
        </w:rPr>
        <w:t>侧袋机制</w:t>
      </w:r>
      <w:proofErr w:type="gramEnd"/>
      <w:r>
        <w:rPr>
          <w:rFonts w:ascii="宋体" w:hAnsi="宋体"/>
          <w:sz w:val="24"/>
        </w:rPr>
        <w:t>后主袋账户份额存在暂停申购的可能。</w:t>
      </w:r>
    </w:p>
    <w:p w14:paraId="46F893FD"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启用</w:t>
      </w:r>
      <w:proofErr w:type="gramStart"/>
      <w:r>
        <w:rPr>
          <w:rFonts w:ascii="宋体" w:hAnsi="宋体"/>
          <w:sz w:val="24"/>
        </w:rPr>
        <w:t>侧袋机制</w:t>
      </w:r>
      <w:proofErr w:type="gramEnd"/>
      <w:r>
        <w:rPr>
          <w:rFonts w:ascii="宋体" w:hAnsi="宋体"/>
          <w:sz w:val="24"/>
        </w:rPr>
        <w:t>后，基金管理人计算各项投资运作指标和基金业绩指标时仅需</w:t>
      </w:r>
      <w:proofErr w:type="gramStart"/>
      <w:r>
        <w:rPr>
          <w:rFonts w:ascii="宋体" w:hAnsi="宋体"/>
          <w:sz w:val="24"/>
        </w:rPr>
        <w:t>考虑主袋账户</w:t>
      </w:r>
      <w:proofErr w:type="gramEnd"/>
      <w:r>
        <w:rPr>
          <w:rFonts w:ascii="宋体" w:hAnsi="宋体"/>
          <w:sz w:val="24"/>
        </w:rPr>
        <w:t>资产，基金业绩指标应当</w:t>
      </w:r>
      <w:proofErr w:type="gramStart"/>
      <w:r>
        <w:rPr>
          <w:rFonts w:ascii="宋体" w:hAnsi="宋体"/>
          <w:sz w:val="24"/>
        </w:rPr>
        <w:t>以主袋账户</w:t>
      </w:r>
      <w:proofErr w:type="gramEnd"/>
      <w:r>
        <w:rPr>
          <w:rFonts w:ascii="宋体" w:hAnsi="宋体"/>
          <w:sz w:val="24"/>
        </w:rPr>
        <w:t>资产为基准，因此本基金披露的业绩指标不能反映特定资产的真实价值及变化情况。</w:t>
      </w:r>
    </w:p>
    <w:p w14:paraId="495233AA" w14:textId="77777777" w:rsidR="001F702C" w:rsidRDefault="00BD18A1">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（四）交易对手违约风险</w:t>
      </w:r>
    </w:p>
    <w:p w14:paraId="7194EA08"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交易对手违约风险是指当债券、票据或债券回购等交易对手违约时，将直接导致基金资产的损失，或导致基金不能及时抓住市场机会，对投资收益产生影响。</w:t>
      </w:r>
    </w:p>
    <w:p w14:paraId="78E3169C" w14:textId="77777777" w:rsidR="001F702C" w:rsidRDefault="00BD18A1">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（五）本基金投资策略所特有的指数</w:t>
      </w:r>
      <w:proofErr w:type="gramStart"/>
      <w:r w:rsidRPr="00BB248E">
        <w:rPr>
          <w:rFonts w:ascii="宋体" w:hAnsi="宋体" w:hint="eastAsia"/>
          <w:b/>
          <w:kern w:val="0"/>
          <w:sz w:val="24"/>
        </w:rPr>
        <w:t>化投资</w:t>
      </w:r>
      <w:proofErr w:type="gramEnd"/>
      <w:r w:rsidRPr="00BB248E">
        <w:rPr>
          <w:rFonts w:ascii="宋体" w:hAnsi="宋体" w:hint="eastAsia"/>
          <w:b/>
          <w:kern w:val="0"/>
          <w:sz w:val="24"/>
        </w:rPr>
        <w:t>风险</w:t>
      </w:r>
    </w:p>
    <w:p w14:paraId="3AE7597B"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1、标的指数的风险</w:t>
      </w:r>
    </w:p>
    <w:p w14:paraId="5860926F"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（1）标的指数下跌的风险</w:t>
      </w:r>
    </w:p>
    <w:p w14:paraId="0BDE827F"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标的指数成份</w:t>
      </w:r>
      <w:proofErr w:type="gramStart"/>
      <w:r>
        <w:rPr>
          <w:rFonts w:ascii="宋体" w:hAnsi="宋体"/>
          <w:sz w:val="24"/>
        </w:rPr>
        <w:t>券</w:t>
      </w:r>
      <w:proofErr w:type="gramEnd"/>
      <w:r>
        <w:rPr>
          <w:rFonts w:ascii="宋体" w:hAnsi="宋体"/>
          <w:sz w:val="24"/>
        </w:rPr>
        <w:t>的价格可能受到政治因素、经济因素、投资者心理和交易制度等各种因素的影响而波动，导致指数值波动，从而使基金收益水平发生变化，产生风险。</w:t>
      </w:r>
    </w:p>
    <w:p w14:paraId="7240F144"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（2）标的指数计算出错的风险</w:t>
      </w:r>
    </w:p>
    <w:p w14:paraId="4074A135"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指数编制方法的缺陷可能导致标的指数的表现与总体市场表现产生差异，从而</w:t>
      </w:r>
      <w:r>
        <w:rPr>
          <w:rFonts w:ascii="宋体" w:hAnsi="宋体"/>
          <w:sz w:val="24"/>
        </w:rPr>
        <w:lastRenderedPageBreak/>
        <w:t>使基金收益发生变化。同时，标的指数许可方不对指数的实时性、完整性和准确性做出任何承诺。标的指数值可能出现错误，投资者</w:t>
      </w:r>
      <w:proofErr w:type="gramStart"/>
      <w:r>
        <w:rPr>
          <w:rFonts w:ascii="宋体" w:hAnsi="宋体"/>
          <w:sz w:val="24"/>
        </w:rPr>
        <w:t>若参考指数</w:t>
      </w:r>
      <w:proofErr w:type="gramEnd"/>
      <w:r>
        <w:rPr>
          <w:rFonts w:ascii="宋体" w:hAnsi="宋体"/>
          <w:sz w:val="24"/>
        </w:rPr>
        <w:t>值进行投资决策可能导致损失。</w:t>
      </w:r>
    </w:p>
    <w:p w14:paraId="5559507C"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（3）标的指数变更的风险</w:t>
      </w:r>
    </w:p>
    <w:p w14:paraId="5E7183E8"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尽管可能性很小，但根据基金合同规定，如出现变更标的指数的情形，本基金将变更标的指数。基于原标的指数的投资政策将会改变，投资组合将随之调整，基金的收益风险特征将与新的标的指数保持一致，投资者须承担此项调整带来的风险与成本。</w:t>
      </w:r>
    </w:p>
    <w:p w14:paraId="43DE3379"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2、基金跟踪偏离风险</w:t>
      </w:r>
    </w:p>
    <w:p w14:paraId="3E697AC7"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基金在跟踪标的指数时由于各种原因导致基金的业绩表现与标的指数表现之间可能产生差异，主要影响因素可能包括：</w:t>
      </w:r>
    </w:p>
    <w:p w14:paraId="6F980B9E"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（1）本基金主要采用抽样复制和动态最优化的方法，投资于标的指数中具有代表性和流动性的成份</w:t>
      </w:r>
      <w:proofErr w:type="gramStart"/>
      <w:r>
        <w:rPr>
          <w:rFonts w:ascii="宋体" w:hAnsi="宋体"/>
          <w:sz w:val="24"/>
        </w:rPr>
        <w:t>券</w:t>
      </w:r>
      <w:proofErr w:type="gramEnd"/>
      <w:r>
        <w:rPr>
          <w:rFonts w:ascii="宋体" w:hAnsi="宋体"/>
          <w:sz w:val="24"/>
        </w:rPr>
        <w:t>和备选成份</w:t>
      </w:r>
      <w:proofErr w:type="gramStart"/>
      <w:r>
        <w:rPr>
          <w:rFonts w:ascii="宋体" w:hAnsi="宋体"/>
          <w:sz w:val="24"/>
        </w:rPr>
        <w:t>券</w:t>
      </w:r>
      <w:proofErr w:type="gramEnd"/>
      <w:r>
        <w:rPr>
          <w:rFonts w:ascii="宋体" w:hAnsi="宋体"/>
          <w:sz w:val="24"/>
        </w:rPr>
        <w:t>，或选择非成份</w:t>
      </w:r>
      <w:proofErr w:type="gramStart"/>
      <w:r>
        <w:rPr>
          <w:rFonts w:ascii="宋体" w:hAnsi="宋体"/>
          <w:sz w:val="24"/>
        </w:rPr>
        <w:t>券</w:t>
      </w:r>
      <w:proofErr w:type="gramEnd"/>
      <w:r>
        <w:rPr>
          <w:rFonts w:ascii="宋体" w:hAnsi="宋体"/>
          <w:sz w:val="24"/>
        </w:rPr>
        <w:t>作为替代，构造与标的指数风险收益特征相似的资产组合，基金投资组合与标的指数构成可能存在差异，从而可能导致基金实际收益率与标的指数收益率产生偏离；</w:t>
      </w:r>
    </w:p>
    <w:p w14:paraId="370298BF"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（2）在标的指数编制中，债券利息</w:t>
      </w:r>
      <w:proofErr w:type="gramStart"/>
      <w:r>
        <w:rPr>
          <w:rFonts w:ascii="宋体" w:hAnsi="宋体"/>
          <w:sz w:val="24"/>
        </w:rPr>
        <w:t>计算再</w:t>
      </w:r>
      <w:proofErr w:type="gramEnd"/>
      <w:r>
        <w:rPr>
          <w:rFonts w:ascii="宋体" w:hAnsi="宋体"/>
          <w:sz w:val="24"/>
        </w:rPr>
        <w:t>投资收益，而基金再投资中未必能获得相同的收益率；</w:t>
      </w:r>
    </w:p>
    <w:p w14:paraId="79AAA409"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（3）指数调整成份</w:t>
      </w:r>
      <w:proofErr w:type="gramStart"/>
      <w:r>
        <w:rPr>
          <w:rFonts w:ascii="宋体" w:hAnsi="宋体"/>
          <w:sz w:val="24"/>
        </w:rPr>
        <w:t>券</w:t>
      </w:r>
      <w:proofErr w:type="gramEnd"/>
      <w:r>
        <w:rPr>
          <w:rFonts w:ascii="宋体" w:hAnsi="宋体"/>
          <w:sz w:val="24"/>
        </w:rPr>
        <w:t>时，基金在相应的组合调整中可能暂时扩大与标的指数的构成差异，而且会产生相应的交易成本。</w:t>
      </w:r>
    </w:p>
    <w:p w14:paraId="2263E681"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（4）基金运作过程中发生的费用，包括交易成本、市场冲击成本、管理费和托管费等，可能导致本基金在跟踪指数时产生收益上的偏离；</w:t>
      </w:r>
    </w:p>
    <w:p w14:paraId="6D8EB8CE"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（5）基金发生申购或赎回时将带来一定的现金流或变现需求，当债券市场流动性不足时，或受银行间债券市场债券交易起点的限制，本基金投资组合面临一定程度的跟踪偏离风险；</w:t>
      </w:r>
    </w:p>
    <w:p w14:paraId="17549DCA"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（6）在指数</w:t>
      </w:r>
      <w:proofErr w:type="gramStart"/>
      <w:r>
        <w:rPr>
          <w:rFonts w:ascii="宋体" w:hAnsi="宋体"/>
          <w:sz w:val="24"/>
        </w:rPr>
        <w:t>化投资</w:t>
      </w:r>
      <w:proofErr w:type="gramEnd"/>
      <w:r>
        <w:rPr>
          <w:rFonts w:ascii="宋体" w:hAnsi="宋体"/>
          <w:sz w:val="24"/>
        </w:rPr>
        <w:t>过程中，基金管理人对指数基金的管理能力例如跟踪指数的技术手段、买入卖出的时机选择等都会对本基金的收益产生影响，从而影响本基金对业绩比较基准的跟踪程度。</w:t>
      </w:r>
    </w:p>
    <w:p w14:paraId="2436180A"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3、标的指数回报与债券市场平均回报偏离的风险</w:t>
      </w:r>
    </w:p>
    <w:p w14:paraId="4A450050"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标的指数并不能完全代表整个债券市场。标的指数成份</w:t>
      </w:r>
      <w:proofErr w:type="gramStart"/>
      <w:r>
        <w:rPr>
          <w:rFonts w:ascii="宋体" w:hAnsi="宋体"/>
          <w:sz w:val="24"/>
        </w:rPr>
        <w:t>券</w:t>
      </w:r>
      <w:proofErr w:type="gramEnd"/>
      <w:r>
        <w:rPr>
          <w:rFonts w:ascii="宋体" w:hAnsi="宋体"/>
          <w:sz w:val="24"/>
        </w:rPr>
        <w:t>的平均回报率与整个债券市场的平均回报率可能存在偏离。</w:t>
      </w:r>
    </w:p>
    <w:p w14:paraId="5429DE3E"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4、跟踪误差控制未达约定目标的风险</w:t>
      </w:r>
    </w:p>
    <w:p w14:paraId="653FE0EA"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本基金力争控制本基金日均跟踪偏离度的绝对值不超过0.35%，年跟踪误差不超过4%。但因标的指数编制规则调整或其他因素可能导致跟踪误差超过上述范围，本基金净值表现与指数价格走势可能发生较大偏离。</w:t>
      </w:r>
    </w:p>
    <w:p w14:paraId="5EA45C87"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5、指数编制机构停止服务的风险</w:t>
      </w:r>
    </w:p>
    <w:p w14:paraId="627E99FB"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本基金的标的指数</w:t>
      </w:r>
      <w:proofErr w:type="gramStart"/>
      <w:r>
        <w:rPr>
          <w:rFonts w:ascii="宋体" w:hAnsi="宋体"/>
          <w:sz w:val="24"/>
        </w:rPr>
        <w:t>由指数</w:t>
      </w:r>
      <w:proofErr w:type="gramEnd"/>
      <w:r>
        <w:rPr>
          <w:rFonts w:ascii="宋体" w:hAnsi="宋体"/>
          <w:sz w:val="24"/>
        </w:rPr>
        <w:t>编制机构发布并管理和维护，未来指数编制机构可能由于各种原因停止对指数的管理和维护，本基金将根据基金合同的约定自该情形发生之日起十个工作日内向中国证监会报告并提出解决方案，如更换基金标的指数、转换运作方式，与其他基金合并或者终止基金合同等，并在6个月内召集基金份额持有人大会进行表决，基金份额持有人大会未成功召开或就上述事项表决未通过的，基金合同终止。投资人将面临更换基金标的指数、转换运作方式，与其他基金合并或者终止基金合同等风险。</w:t>
      </w:r>
    </w:p>
    <w:p w14:paraId="2DE62473"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proofErr w:type="gramStart"/>
      <w:r>
        <w:rPr>
          <w:rFonts w:ascii="宋体" w:hAnsi="宋体"/>
          <w:sz w:val="24"/>
        </w:rPr>
        <w:t>自指数</w:t>
      </w:r>
      <w:proofErr w:type="gramEnd"/>
      <w:r>
        <w:rPr>
          <w:rFonts w:ascii="宋体" w:hAnsi="宋体"/>
          <w:sz w:val="24"/>
        </w:rPr>
        <w:t>编制机构停止标的指数的编制及发布</w:t>
      </w:r>
      <w:proofErr w:type="gramStart"/>
      <w:r>
        <w:rPr>
          <w:rFonts w:ascii="宋体" w:hAnsi="宋体"/>
          <w:sz w:val="24"/>
        </w:rPr>
        <w:t>至解决</w:t>
      </w:r>
      <w:proofErr w:type="gramEnd"/>
      <w:r>
        <w:rPr>
          <w:rFonts w:ascii="宋体" w:hAnsi="宋体"/>
          <w:sz w:val="24"/>
        </w:rPr>
        <w:t>方案确定期间，基金管理人应按照指数编制机构提供的最近一个交易日的指数信息遵循基金份额持有人利益优先原则维持基金投资运作，该期间由于标的指数不再更新等原因可能导致指数表现与相关市场表现存在差异，影响投资收益。</w:t>
      </w:r>
    </w:p>
    <w:p w14:paraId="711129B0"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6、成份</w:t>
      </w:r>
      <w:proofErr w:type="gramStart"/>
      <w:r>
        <w:rPr>
          <w:rFonts w:ascii="宋体" w:hAnsi="宋体"/>
          <w:sz w:val="24"/>
        </w:rPr>
        <w:t>券</w:t>
      </w:r>
      <w:proofErr w:type="gramEnd"/>
      <w:r>
        <w:rPr>
          <w:rFonts w:ascii="宋体" w:hAnsi="宋体"/>
          <w:sz w:val="24"/>
        </w:rPr>
        <w:t>停牌或违约的风险</w:t>
      </w:r>
    </w:p>
    <w:p w14:paraId="3A7943F1"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成份</w:t>
      </w:r>
      <w:proofErr w:type="gramStart"/>
      <w:r>
        <w:rPr>
          <w:rFonts w:ascii="宋体" w:hAnsi="宋体"/>
          <w:sz w:val="24"/>
        </w:rPr>
        <w:t>券</w:t>
      </w:r>
      <w:proofErr w:type="gramEnd"/>
      <w:r>
        <w:rPr>
          <w:rFonts w:ascii="宋体" w:hAnsi="宋体"/>
          <w:sz w:val="24"/>
        </w:rPr>
        <w:t>可能因各种原因临时或长期停牌。发生停牌时，基金可能面临因无法及时调整投资组合而导致跟踪偏离度和跟踪误差扩大的风险。</w:t>
      </w:r>
    </w:p>
    <w:p w14:paraId="593049E5"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基金可能面临因成份</w:t>
      </w:r>
      <w:proofErr w:type="gramStart"/>
      <w:r>
        <w:rPr>
          <w:rFonts w:ascii="宋体" w:hAnsi="宋体"/>
          <w:sz w:val="24"/>
        </w:rPr>
        <w:t>券</w:t>
      </w:r>
      <w:proofErr w:type="gramEnd"/>
      <w:r>
        <w:rPr>
          <w:rFonts w:ascii="宋体" w:hAnsi="宋体"/>
          <w:sz w:val="24"/>
        </w:rPr>
        <w:t>发行人不能按时支付债券利息或偿还本金，从而带来损失的风险。</w:t>
      </w:r>
    </w:p>
    <w:p w14:paraId="2C8FABC3"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本基金运作过程中，当指数成份</w:t>
      </w:r>
      <w:proofErr w:type="gramStart"/>
      <w:r>
        <w:rPr>
          <w:rFonts w:ascii="宋体" w:hAnsi="宋体"/>
          <w:sz w:val="24"/>
        </w:rPr>
        <w:t>券</w:t>
      </w:r>
      <w:proofErr w:type="gramEnd"/>
      <w:r>
        <w:rPr>
          <w:rFonts w:ascii="宋体" w:hAnsi="宋体"/>
          <w:sz w:val="24"/>
        </w:rPr>
        <w:t>发生明显负面事件面临违约风险，且指数编制机构暂未</w:t>
      </w:r>
      <w:proofErr w:type="gramStart"/>
      <w:r>
        <w:rPr>
          <w:rFonts w:ascii="宋体" w:hAnsi="宋体"/>
          <w:sz w:val="24"/>
        </w:rPr>
        <w:t>作出</w:t>
      </w:r>
      <w:proofErr w:type="gramEnd"/>
      <w:r>
        <w:rPr>
          <w:rFonts w:ascii="宋体" w:hAnsi="宋体"/>
          <w:sz w:val="24"/>
        </w:rPr>
        <w:t>调整的，基金管理人应当按照持有人利益优先的原则，履行内部决策程序后及时对相关成份</w:t>
      </w:r>
      <w:proofErr w:type="gramStart"/>
      <w:r>
        <w:rPr>
          <w:rFonts w:ascii="宋体" w:hAnsi="宋体"/>
          <w:sz w:val="24"/>
        </w:rPr>
        <w:t>券</w:t>
      </w:r>
      <w:proofErr w:type="gramEnd"/>
      <w:r>
        <w:rPr>
          <w:rFonts w:ascii="宋体" w:hAnsi="宋体"/>
          <w:sz w:val="24"/>
        </w:rPr>
        <w:t>进行调整，由此可能影响投资者的投资损益并使基金产生跟踪偏离度和跟踪误差。</w:t>
      </w:r>
    </w:p>
    <w:p w14:paraId="1EBD1BF4" w14:textId="77777777" w:rsidR="001F702C" w:rsidRDefault="00BD18A1">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（六）本基金的特有风险</w:t>
      </w:r>
    </w:p>
    <w:p w14:paraId="57E61763"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1、本基金为债券型基金，投资于债券资产的比例不低于基金资产的80%，因投资债券资产而面临债券资产市场的系统性风险和个</w:t>
      </w:r>
      <w:proofErr w:type="gramStart"/>
      <w:r>
        <w:rPr>
          <w:rFonts w:ascii="宋体" w:hAnsi="宋体"/>
          <w:sz w:val="24"/>
        </w:rPr>
        <w:t>券</w:t>
      </w:r>
      <w:proofErr w:type="gramEnd"/>
      <w:r>
        <w:rPr>
          <w:rFonts w:ascii="宋体" w:hAnsi="宋体"/>
          <w:sz w:val="24"/>
        </w:rPr>
        <w:t>风险；</w:t>
      </w:r>
    </w:p>
    <w:p w14:paraId="311C1033"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2、基金合同提前终止风险。连续六十个工作日出现基金份额持有人数量不满200人或者基金资产净值低于5000万元情形的，基金管理人应向中国证监会报告并</w:t>
      </w:r>
      <w:r>
        <w:rPr>
          <w:rFonts w:ascii="宋体" w:hAnsi="宋体"/>
          <w:sz w:val="24"/>
        </w:rPr>
        <w:lastRenderedPageBreak/>
        <w:t>提前终止基金合同，不需召开基金份额持有人大会。</w:t>
      </w:r>
    </w:p>
    <w:p w14:paraId="1CA64933" w14:textId="77777777" w:rsidR="001F702C" w:rsidRDefault="00BD18A1">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（七）其他风险</w:t>
      </w:r>
    </w:p>
    <w:p w14:paraId="3252E6BF"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1、因技术因素而产生的风险，如电脑系统不可靠产生的风险；</w:t>
      </w:r>
    </w:p>
    <w:p w14:paraId="316AF039"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2、因基金业务快速发展，在制度建设、人员配备、内控制度建立等方面的不完善产生的风险；</w:t>
      </w:r>
    </w:p>
    <w:p w14:paraId="6E8E9571"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3、因人为因素而产生的风险、如内幕交易、欺诈行为等产生的风险；</w:t>
      </w:r>
    </w:p>
    <w:p w14:paraId="6F080EFA"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4、对主要业务人员如基金经理的依赖而可能产生的风险；</w:t>
      </w:r>
    </w:p>
    <w:p w14:paraId="233381A3"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5、因业务竞争压力可能产生的风险；</w:t>
      </w:r>
    </w:p>
    <w:p w14:paraId="0A010496"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6、战争、自然灾害等不可抗力可能导致基金财产的损失，影响基金收益水平，从而带来风险；</w:t>
      </w:r>
    </w:p>
    <w:p w14:paraId="6419B513"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7、其他意外导致的风险。</w:t>
      </w:r>
    </w:p>
    <w:p w14:paraId="494477CA" w14:textId="77777777" w:rsidR="00367445" w:rsidRDefault="00BD18A1" w:rsidP="00367445">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62B44AB6" w14:textId="77777777" w:rsidR="001F702C" w:rsidRDefault="00BD18A1">
      <w:pPr>
        <w:pStyle w:val="1"/>
        <w:snapToGrid w:val="0"/>
        <w:spacing w:beforeLines="0" w:before="240" w:after="240"/>
        <w:rPr>
          <w:rFonts w:ascii="宋体" w:hAnsi="宋体"/>
          <w:szCs w:val="30"/>
        </w:rPr>
      </w:pPr>
      <w:bookmarkStart w:id="23" w:name="_Toc140049424"/>
      <w:r>
        <w:rPr>
          <w:rFonts w:ascii="Times New Roman" w:hAnsi="Times New Roman"/>
          <w:sz w:val="30"/>
        </w:rPr>
        <w:lastRenderedPageBreak/>
        <w:t>二十、基金合同的变更、终止与基金财产的清算</w:t>
      </w:r>
      <w:bookmarkEnd w:id="23"/>
    </w:p>
    <w:p w14:paraId="39A30926"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（一）《基金合同》的变更</w:t>
      </w:r>
    </w:p>
    <w:p w14:paraId="3EA2D943"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1、变更基金合同涉及法律法规规定或基金合同约定应经基金份额持有人大会决议通过的事项的，应召</w:t>
      </w:r>
      <w:proofErr w:type="gramStart"/>
      <w:r>
        <w:rPr>
          <w:rFonts w:ascii="宋体" w:hAnsi="宋体"/>
          <w:sz w:val="24"/>
        </w:rPr>
        <w:t>开基金</w:t>
      </w:r>
      <w:proofErr w:type="gramEnd"/>
      <w:r>
        <w:rPr>
          <w:rFonts w:ascii="宋体" w:hAnsi="宋体"/>
          <w:sz w:val="24"/>
        </w:rPr>
        <w:t>份额持有人大会决议通过。对于可不经基金份额持有人大会决议通过的事项，由基金管理人和基金托管人同意后变更并公告，并报中国证监会备案。</w:t>
      </w:r>
    </w:p>
    <w:p w14:paraId="0875ACBF"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2、关于《基金合同》变更的基金份额持有人大会决议生效后方可执行，并</w:t>
      </w:r>
      <w:proofErr w:type="gramStart"/>
      <w:r>
        <w:rPr>
          <w:rFonts w:ascii="宋体" w:hAnsi="宋体"/>
          <w:sz w:val="24"/>
        </w:rPr>
        <w:t>自决议</w:t>
      </w:r>
      <w:proofErr w:type="gramEnd"/>
      <w:r>
        <w:rPr>
          <w:rFonts w:ascii="宋体" w:hAnsi="宋体"/>
          <w:sz w:val="24"/>
        </w:rPr>
        <w:t>生效后依照《信息披露办法》的规定在指定媒介公告。</w:t>
      </w:r>
    </w:p>
    <w:p w14:paraId="2570C0DA"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（二）《基金合同》的终止事由</w:t>
      </w:r>
    </w:p>
    <w:p w14:paraId="71A33E23"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有下列情形之一的，《基金合同》应当终止：</w:t>
      </w:r>
    </w:p>
    <w:p w14:paraId="1E93C7D7"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1、基金份额持有人大会决定终止的；</w:t>
      </w:r>
    </w:p>
    <w:p w14:paraId="26665827"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2、基金管理人、基金托管人职责终止，在6个月内没有新基金管理人、新基金托管人承接的；</w:t>
      </w:r>
    </w:p>
    <w:p w14:paraId="3F5089DD"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3、连续60个工作日出现基金份额持有人数量不满200人或者基金资产净值低于5000万元情形的，基金管理人应向中国证监会报告并提前终止基金合同，不需召开基金份额持有人大会；</w:t>
      </w:r>
    </w:p>
    <w:p w14:paraId="0FC5B7E2"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4、出现标的指数不符合要求（不包括因成份</w:t>
      </w:r>
      <w:proofErr w:type="gramStart"/>
      <w:r>
        <w:rPr>
          <w:rFonts w:ascii="宋体" w:hAnsi="宋体"/>
          <w:sz w:val="24"/>
        </w:rPr>
        <w:t>券</w:t>
      </w:r>
      <w:proofErr w:type="gramEnd"/>
      <w:r>
        <w:rPr>
          <w:rFonts w:ascii="宋体" w:hAnsi="宋体"/>
          <w:sz w:val="24"/>
        </w:rPr>
        <w:t>价格波动等指数编制方法变动之外的因素致使标的指数不符合要求的情形）、指数编制机构退出等情形，基金管理人召集基金份额持有人大会对解决方案进行表决，基金份额持有人大会未成功召开或就上述事项表决未通过的；</w:t>
      </w:r>
    </w:p>
    <w:p w14:paraId="2F2C0F5A"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5、《基金合同》约定的其他情形；</w:t>
      </w:r>
    </w:p>
    <w:p w14:paraId="4855B6A7"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6、相关法律法规和中国证监会规定的其他情况。</w:t>
      </w:r>
    </w:p>
    <w:p w14:paraId="1B4CFF09"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（三）基金财产的清算</w:t>
      </w:r>
    </w:p>
    <w:p w14:paraId="73E0B1FE"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1、基金财产清算小组：自出现《基金合同》终止事由之日起30个工作日内成立清算小组，基金管理人组织基金财产清算小组并在中国证监会的监督下进行基金清算。</w:t>
      </w:r>
    </w:p>
    <w:p w14:paraId="0E19402F"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2、基金财产清算小组组成：基金财产清算小组成员由基金管理人、基金托管人、具有从事证券相关业务资格的注册会计师、律师以及中国证监会指定的人员组成。基金财产清算小组可以聘用必要的工作人员。</w:t>
      </w:r>
    </w:p>
    <w:p w14:paraId="79BFF58E"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3、基金财产清算小组职责：基金财产清算小组负责基金财产的保管、清理、估价、变现和分配。基金财产清算小组可以依法进行必要的民事活动。</w:t>
      </w:r>
    </w:p>
    <w:p w14:paraId="543C486A"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4、基金财产清算程序：</w:t>
      </w:r>
    </w:p>
    <w:p w14:paraId="27B2DFDA"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（1）《基金合同》终止情形出现时，由基金财产清算小组统一接管基金财产；</w:t>
      </w:r>
    </w:p>
    <w:p w14:paraId="144283C4"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（2）对基金财产和债权债务进行清理和确认；</w:t>
      </w:r>
    </w:p>
    <w:p w14:paraId="56C5BA50"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（3）对基金财产进行估值和变现；</w:t>
      </w:r>
    </w:p>
    <w:p w14:paraId="7A896D2B"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（4）制作清算报告；</w:t>
      </w:r>
    </w:p>
    <w:p w14:paraId="052E1039"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（5）聘请会计师事务所对清算报告进行外部审计，聘请律师事务所对清算报告出具法律意见书；</w:t>
      </w:r>
    </w:p>
    <w:p w14:paraId="53310916"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（6）将清算报告报中国证监会备案并公告；</w:t>
      </w:r>
    </w:p>
    <w:p w14:paraId="1B367B8B"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（7）对基金剩余财产进行分配。</w:t>
      </w:r>
    </w:p>
    <w:p w14:paraId="142E4237"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5、基金财产清算的期限为6个月，若</w:t>
      </w:r>
      <w:proofErr w:type="gramStart"/>
      <w:r>
        <w:rPr>
          <w:rFonts w:ascii="宋体" w:hAnsi="宋体"/>
          <w:sz w:val="24"/>
        </w:rPr>
        <w:t>遇基金</w:t>
      </w:r>
      <w:proofErr w:type="gramEnd"/>
      <w:r>
        <w:rPr>
          <w:rFonts w:ascii="宋体" w:hAnsi="宋体"/>
          <w:sz w:val="24"/>
        </w:rPr>
        <w:t>持有的有价证券出现长期休市、停牌或其他流通受限的情形除外。</w:t>
      </w:r>
    </w:p>
    <w:p w14:paraId="4DAEECBB"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（四）清算费用</w:t>
      </w:r>
    </w:p>
    <w:p w14:paraId="4ABC96FA"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清算费用是指基金财产清算小组在进行基金清算过程中发生的所有合理费用，清算费用由基金财产清算小组优先从基金财产中支付。</w:t>
      </w:r>
    </w:p>
    <w:p w14:paraId="3FF8D4E1"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（五）基金财产清算剩余资产的分配</w:t>
      </w:r>
    </w:p>
    <w:p w14:paraId="480B9055"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依据基金财产清算的分配方案，将基金财产清算后的全部剩余资产扣除基金财产清算费用、交纳所欠税款并清偿基金债务后，按基金份额持有人持有的基金份额比例进行分配。</w:t>
      </w:r>
    </w:p>
    <w:p w14:paraId="7EACE97D"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（六）基金财产清算的公告</w:t>
      </w:r>
    </w:p>
    <w:p w14:paraId="4A864DBB"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14:paraId="1D60D960"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（七）基金财产清算账册及文件的保存</w:t>
      </w:r>
    </w:p>
    <w:p w14:paraId="277FF492"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基金财产清算账册及有关文件由基金托管人保存15年以上。</w:t>
      </w:r>
    </w:p>
    <w:p w14:paraId="72D63D75" w14:textId="77777777" w:rsidR="00367445" w:rsidRDefault="00BD18A1" w:rsidP="00367445">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2000A917" w14:textId="77777777" w:rsidR="001F702C" w:rsidRDefault="00BD18A1">
      <w:pPr>
        <w:pStyle w:val="1"/>
        <w:snapToGrid w:val="0"/>
        <w:spacing w:beforeLines="0" w:before="240" w:after="240"/>
        <w:rPr>
          <w:rFonts w:ascii="宋体" w:hAnsi="宋体"/>
          <w:szCs w:val="30"/>
        </w:rPr>
      </w:pPr>
      <w:bookmarkStart w:id="24" w:name="_Toc140049425"/>
      <w:bookmarkStart w:id="25" w:name="_Hlk152337844"/>
      <w:r>
        <w:rPr>
          <w:rFonts w:ascii="Times New Roman" w:hAnsi="Times New Roman"/>
          <w:sz w:val="30"/>
        </w:rPr>
        <w:lastRenderedPageBreak/>
        <w:t>二十一、基金合同内容摘要</w:t>
      </w:r>
      <w:bookmarkEnd w:id="24"/>
    </w:p>
    <w:p w14:paraId="5463AD4C" w14:textId="77777777" w:rsidR="001F702C" w:rsidRDefault="00BD18A1">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（一）基金份额持有人、基金管理人和基金托管人的权利与义务</w:t>
      </w:r>
    </w:p>
    <w:p w14:paraId="0EFC2390"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1、基金管理人的权利与义务</w:t>
      </w:r>
    </w:p>
    <w:p w14:paraId="79ED14D0"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（1）根据《基金法》、《运作办法》及其他有关规定，基金管理人的权利包括但不限于：</w:t>
      </w:r>
    </w:p>
    <w:p w14:paraId="17447709"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1）依法募集资金；</w:t>
      </w:r>
    </w:p>
    <w:p w14:paraId="38975755"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2）自《基金合同》生效之日起，根据法律法规和《基金合同》独立运用并管理基金财产；</w:t>
      </w:r>
    </w:p>
    <w:p w14:paraId="20FE2129"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3）依照《基金合同》收取基金管理费以及法律法规规定或中国证监会批准的其他费用；</w:t>
      </w:r>
    </w:p>
    <w:p w14:paraId="504AEE19"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4）销售基金份额；</w:t>
      </w:r>
    </w:p>
    <w:p w14:paraId="659D0481"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5）按照规定召集基金份额持有人大会；</w:t>
      </w:r>
    </w:p>
    <w:p w14:paraId="53C2B762"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6）依据《基金合同》及有关法律规定监督基金托管人，如认为基金托管人违反了《基金合同》及国家有关法律规定，应呈报中国证监会和其他监管部门，并采取必要措施保护基金投资者的利益；</w:t>
      </w:r>
    </w:p>
    <w:p w14:paraId="7002015E"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7）在基金托管人更换时，提名新的基金托管人；</w:t>
      </w:r>
    </w:p>
    <w:p w14:paraId="17FB5A07"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8）选择、更换基金销售机构，对基金销售机构的相关行为进行监督和处理；</w:t>
      </w:r>
    </w:p>
    <w:p w14:paraId="20B98128"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9）担任或委托其他符合条件的机构担任基金登记机构办理基金登记业务并获得《基金合同》规定的费用；</w:t>
      </w:r>
    </w:p>
    <w:p w14:paraId="079CA15E"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10）依据《基金合同》及有关法律规定决定基金收益的分配方案；</w:t>
      </w:r>
    </w:p>
    <w:p w14:paraId="1EE751B7"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11）在《基金合同》约定的范围内，拒绝或暂停受理申购与赎回申请；</w:t>
      </w:r>
    </w:p>
    <w:p w14:paraId="2B36A6A9"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12）依照法律法规为基金的利益行使因基金财产投资于证券所产生的权利；</w:t>
      </w:r>
    </w:p>
    <w:p w14:paraId="6AA45851"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13）在法律法规允许的前提下，为基金的利益依法为基金进行融资；</w:t>
      </w:r>
    </w:p>
    <w:p w14:paraId="3DDCFABC"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14）以基金管理人的名义，代表基金份额持有人的利益行使诉讼权利或者实施其他法律行为；</w:t>
      </w:r>
    </w:p>
    <w:p w14:paraId="618BD9EF"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15）选择、更换律师事务所、会计师事务所、证券经纪商或其他为基金提供服务的外部机构；</w:t>
      </w:r>
    </w:p>
    <w:p w14:paraId="4D348548"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16）在符合有关法律、法规的前提下，制定和调整有关基金认购、申购、赎回、转换等的业务规则；</w:t>
      </w:r>
    </w:p>
    <w:p w14:paraId="72EA04BA"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17）法律法规及中国证监会规定的和《基金合同》约定的其他权利。</w:t>
      </w:r>
    </w:p>
    <w:p w14:paraId="16C45127"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（2）根据《基金法》、《运作办法》及其他有关规定，基金管理人的义务包括但不限于：</w:t>
      </w:r>
    </w:p>
    <w:p w14:paraId="046A0922"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1）依法募集资金，办理或者委托经中国证监会认定的其他机构办理基金份额的发售、申购、赎回和登记事宜；</w:t>
      </w:r>
    </w:p>
    <w:p w14:paraId="72ED0729"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2）办理基金备案手续；</w:t>
      </w:r>
    </w:p>
    <w:p w14:paraId="0A389760"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3）自《基金合同》生效之日起，以诚实信用、谨慎勤勉的原则管理和运用基金财产；</w:t>
      </w:r>
    </w:p>
    <w:p w14:paraId="3813EB82"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4）配备足够的具有专业资格的人员进行基金投资分析、决策，以专业化的经营方式管理和运作基金财产；</w:t>
      </w:r>
    </w:p>
    <w:p w14:paraId="6F3EA574"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5）建立健全内部风险控制、监察与稽核、财务管理及人事管理等制度，保证所管理的基金财产和基金管理人的财产相互独立，对所管理的不同基金分别管理，分别记账，进行证券投资；</w:t>
      </w:r>
    </w:p>
    <w:p w14:paraId="515E3B11"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6）除依据《基金法》、《基金合同》及其他有关规定外，不得利用基金财产为自己及任何第三人谋取利益，不得委托第三人运作基金财产；</w:t>
      </w:r>
    </w:p>
    <w:p w14:paraId="270CD29E"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7）依法接受基金托管人的监督；</w:t>
      </w:r>
    </w:p>
    <w:p w14:paraId="31F8D044"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8）采取适当合理的措施使计算基金份额认购、申购、赎回和注销价格的方法符合《基金合同》等法律文件的规定，按有关规定计算并公告基金净值信息，确定基金份额申购、赎回的价格；</w:t>
      </w:r>
    </w:p>
    <w:p w14:paraId="315A8484"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9）进行基金会计核算并编制基金财务会计报告；</w:t>
      </w:r>
    </w:p>
    <w:p w14:paraId="789A7E30"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10）编制季度报告、中期报告和年度报告；</w:t>
      </w:r>
    </w:p>
    <w:p w14:paraId="59E7E728"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11）严格按照《基金法》、《基金合同》及其他有关规定，履行信息披露及报告义务；</w:t>
      </w:r>
    </w:p>
    <w:p w14:paraId="309BBCC7"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12）保守基金商业秘密，不泄露基金投资计划、投资意向等。除《基金法》、《基金合同》及其他有关规定另有规定外，在基金信息公开披露前应予保密，不向他人泄露；</w:t>
      </w:r>
    </w:p>
    <w:p w14:paraId="61A5F090"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13）按《基金合同》的约定确定基金收益分配方案，及时向基金份额持有人分配基金收益；</w:t>
      </w:r>
    </w:p>
    <w:p w14:paraId="360AAF16"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14）按规定受理申购与赎回申请，及时、足额支付赎回款项；</w:t>
      </w:r>
    </w:p>
    <w:p w14:paraId="52EBB29D"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15）依据《基金法》、《基金合同》及其他有关规定召集基金份额持有人大会或</w:t>
      </w:r>
      <w:r>
        <w:rPr>
          <w:rFonts w:ascii="宋体" w:hAnsi="宋体"/>
          <w:sz w:val="24"/>
        </w:rPr>
        <w:lastRenderedPageBreak/>
        <w:t>配合基金托管人、基金份额持有人依法召集基金份额持有人大会；</w:t>
      </w:r>
    </w:p>
    <w:p w14:paraId="372FFFC9"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16）按规定保存基金财产管理业务活动的会计账册、报表、记录和其他相关资料15年以上；</w:t>
      </w:r>
    </w:p>
    <w:p w14:paraId="47749830"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5EFF3EEE"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18）组织并参加基金财产清算小组，参与基金财产的保管、清理、估价、变现和分配；</w:t>
      </w:r>
    </w:p>
    <w:p w14:paraId="011E13F8"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19）面临解散、依法被撤销或者被依法宣告破产时，及时报告中国证监会并通知基金托管人；</w:t>
      </w:r>
    </w:p>
    <w:p w14:paraId="79F0CCF5"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20）因违反《基金合同》导致基金财产的损失或损害基金份额持有人合法权益时，应当承担赔偿责任，其赔偿责任不因其退任而免除；</w:t>
      </w:r>
    </w:p>
    <w:p w14:paraId="25F3D83B"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21）监督基金托管人按法律法规和《基金合同》规定履行自己的义务，基金托管人违反《基金合同》造成基金财产损失时，基金管理人应为基金份额持有人利益向基金托管人追偿；</w:t>
      </w:r>
    </w:p>
    <w:p w14:paraId="16BB0CCD"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22）当基金管理人将其义务委托第三方处理时，应当对第三方处理有关基金事务的行为承担责任；</w:t>
      </w:r>
    </w:p>
    <w:p w14:paraId="20E6E53F"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23）以基金管理人名义，代表基金份额持有人利益行使诉讼权利或实施其他法律行为；</w:t>
      </w:r>
    </w:p>
    <w:p w14:paraId="54F57462"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24）基金管理人在募集期间未能达到基金的备案条件，《基金合同》不能生效，基金管理人承担因募集行为而产生的债务和费用，将已募集资金并加计银行同期活期存款利息在基金募集期结束后30日内退还基金认购人；</w:t>
      </w:r>
    </w:p>
    <w:p w14:paraId="677EACEA"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25）执行生效的基金份额持有人大会的决议；</w:t>
      </w:r>
    </w:p>
    <w:p w14:paraId="01BC7AA2"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26）建立并保存基金份额持有人名册；</w:t>
      </w:r>
    </w:p>
    <w:p w14:paraId="36B9425D"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27）法律法规及中国证监会规定的和《基金合同》约定的其他义务。</w:t>
      </w:r>
    </w:p>
    <w:p w14:paraId="7C33B563"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2、基金托管人的权利与义务</w:t>
      </w:r>
    </w:p>
    <w:p w14:paraId="66C2925F"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（1）根据《基金法》、《运作办法》及其他有关规定，基金托管人的权利包括但不限于：</w:t>
      </w:r>
    </w:p>
    <w:p w14:paraId="517626A5"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1）自《基金合同》生效之日起，依法</w:t>
      </w:r>
      <w:proofErr w:type="gramStart"/>
      <w:r>
        <w:rPr>
          <w:rFonts w:ascii="宋体" w:hAnsi="宋体"/>
          <w:sz w:val="24"/>
        </w:rPr>
        <w:t>律法规</w:t>
      </w:r>
      <w:proofErr w:type="gramEnd"/>
      <w:r>
        <w:rPr>
          <w:rFonts w:ascii="宋体" w:hAnsi="宋体"/>
          <w:sz w:val="24"/>
        </w:rPr>
        <w:t>和《基金合同》的规定安全保管基金财产；</w:t>
      </w:r>
    </w:p>
    <w:p w14:paraId="3CB56381"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2）依《基金合同》约定获得基金托管费以及法律法规规定或监管部门批准的其他费用；</w:t>
      </w:r>
    </w:p>
    <w:p w14:paraId="15B7245B"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2DFA7E64"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4）根据相关市场规则，为基金开设资金账户、证券账户等投资所需账户，为基金办理证券交易资金清算；</w:t>
      </w:r>
    </w:p>
    <w:p w14:paraId="7DCF992B"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5）提议召开或召集基金份额持有人大会；</w:t>
      </w:r>
    </w:p>
    <w:p w14:paraId="2033F478"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6）在基金管理人更换时，提名新的基金管理人；</w:t>
      </w:r>
    </w:p>
    <w:p w14:paraId="04365E2A"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7）法律法规及中国证监会规定的和《基金合同》约定的其他权利。</w:t>
      </w:r>
    </w:p>
    <w:p w14:paraId="34C71812"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（2）根据《基金法》、《运作办法》及其他有关规定，基金托管人的义务包括但不限于：</w:t>
      </w:r>
    </w:p>
    <w:p w14:paraId="54F347D3"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1）以诚实信用、勤勉尽责的原则持有并安全保管基金财产；</w:t>
      </w:r>
    </w:p>
    <w:p w14:paraId="141748F7"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2）设立专门的基金托管部门，具有符合要求的营业场所，配备足够的、合格的熟悉基金托管业务的专职人员，负责基金财产托管事宜；</w:t>
      </w:r>
    </w:p>
    <w:p w14:paraId="5C56E101"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0C02C2D3"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4）除依据《基金法》、《基金合同》及其他有关规定外，不得利用基金财产为自己及任何第三人谋取利益，不得委托第三人托管基金财产；</w:t>
      </w:r>
    </w:p>
    <w:p w14:paraId="60F8DBDD"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5）保管由基金管理人代表基金签订的与基金有关的重大合同及有关凭证；</w:t>
      </w:r>
    </w:p>
    <w:p w14:paraId="46178480"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6）按规定开设基金财产的资金账户和证券账户等投资所需账户，按照《基金合同》的约定，根据基金管理人的投资指令，及时办理清算、交割事宜；</w:t>
      </w:r>
    </w:p>
    <w:p w14:paraId="0F430CD4"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7）保守基金商业秘密，除《基金法》、《基金合同》及其他有关规定另有规定外，在基金信息公开披露前予以保密，不得向他人泄露；</w:t>
      </w:r>
    </w:p>
    <w:p w14:paraId="1A4FCAD4" w14:textId="68373A45"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8）复核、审查基金管理人计算的基金资产净值、</w:t>
      </w:r>
      <w:r w:rsidR="001672A4">
        <w:rPr>
          <w:rFonts w:ascii="宋体" w:hAnsi="宋体" w:hint="eastAsia"/>
          <w:sz w:val="24"/>
        </w:rPr>
        <w:t>各类</w:t>
      </w:r>
      <w:r>
        <w:rPr>
          <w:rFonts w:ascii="宋体" w:hAnsi="宋体"/>
          <w:sz w:val="24"/>
        </w:rPr>
        <w:t>基金份额净值、基金份额申购、赎回价格；</w:t>
      </w:r>
    </w:p>
    <w:p w14:paraId="0224E822"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9）办理与基金托管业务活动有关的信息披露事项；</w:t>
      </w:r>
    </w:p>
    <w:p w14:paraId="5CEA0DE8"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10）对基金财务会计报告、季度报告、中期报告和年度报告出具意见，说明基</w:t>
      </w:r>
      <w:r>
        <w:rPr>
          <w:rFonts w:ascii="宋体" w:hAnsi="宋体"/>
          <w:sz w:val="24"/>
        </w:rPr>
        <w:lastRenderedPageBreak/>
        <w:t>金管理人在各重要方面的运作是否严格按照《基金合同》的规定进行；如果基金管理人有未执行《基金合同》规定的行为，还应当说明基金托管人是否采取了适当的措施；</w:t>
      </w:r>
    </w:p>
    <w:p w14:paraId="1A2467E9"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11）保存基金托管业务活动的记录、账册、报表和其他相关资料15年以上；</w:t>
      </w:r>
    </w:p>
    <w:p w14:paraId="01B30BF9"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12）从基金管理人或其委托的登记机构处接收并保存基金份额持有人名册；</w:t>
      </w:r>
    </w:p>
    <w:p w14:paraId="4CDEF705"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13）按规定制作相关账册并与基金管理人核对；</w:t>
      </w:r>
    </w:p>
    <w:p w14:paraId="20B75110"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14）依据基金管理人的指令或有关规定向基金份额持有人支付基金收益和赎回款项；</w:t>
      </w:r>
    </w:p>
    <w:p w14:paraId="33AD9FEA"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15）依据《基金法》、《基金合同》及其他有关规定，召集基金份额持有人大会或配合基金管理人、基金份额持有人依法召集基金份额持有人大会；</w:t>
      </w:r>
    </w:p>
    <w:p w14:paraId="26DCAA54"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16）按照法律法规和《基金合同》的规定监督基金管理人的投资运作；</w:t>
      </w:r>
    </w:p>
    <w:p w14:paraId="7A7F1594"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17）参加基金财产清算小组，参与基金财产的保管、清理、估价、变现和分配；</w:t>
      </w:r>
    </w:p>
    <w:p w14:paraId="786BD063"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18）面临解散、依法被撤销或者被依法宣告破产时，及时报告中国证监会和银行业监督管理机构，并通知基金管理人；</w:t>
      </w:r>
    </w:p>
    <w:p w14:paraId="5B266F75"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19）因违反《基金合同》导致基金财产损失时，应承担赔偿责任，其赔偿责任不因其退任而免除；</w:t>
      </w:r>
    </w:p>
    <w:p w14:paraId="6C8EC154"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20）按规定监督基金管理人按法律法规和《基金合同》规定履行自己的义务，基金管理人因违反《基金合同》造成基金财产损失时，应为基金份额持有人利益向基金管理人追偿；</w:t>
      </w:r>
    </w:p>
    <w:p w14:paraId="3B9BADF3"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21）执行生效的基金份额持有人大会的决议；</w:t>
      </w:r>
    </w:p>
    <w:p w14:paraId="5E6D159F"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22）法律法规及中国证监会规定的和《基金合同》约定的其他义务。</w:t>
      </w:r>
    </w:p>
    <w:p w14:paraId="19E36681"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3、基金份额持有人的权利与义务</w:t>
      </w:r>
    </w:p>
    <w:p w14:paraId="43E0325D"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基金投资者持有本</w:t>
      </w:r>
      <w:proofErr w:type="gramStart"/>
      <w:r>
        <w:rPr>
          <w:rFonts w:ascii="宋体" w:hAnsi="宋体"/>
          <w:sz w:val="24"/>
        </w:rPr>
        <w:t>基金基金</w:t>
      </w:r>
      <w:proofErr w:type="gramEnd"/>
      <w:r>
        <w:rPr>
          <w:rFonts w:ascii="宋体" w:hAnsi="宋体"/>
          <w:sz w:val="24"/>
        </w:rPr>
        <w:t>份额的行为即视为对《基金合同》的承认和接受，基金投资者</w:t>
      </w:r>
      <w:proofErr w:type="gramStart"/>
      <w:r>
        <w:rPr>
          <w:rFonts w:ascii="宋体" w:hAnsi="宋体"/>
          <w:sz w:val="24"/>
        </w:rPr>
        <w:t>自依据</w:t>
      </w:r>
      <w:proofErr w:type="gramEnd"/>
      <w:r>
        <w:rPr>
          <w:rFonts w:ascii="宋体" w:hAnsi="宋体"/>
          <w:sz w:val="24"/>
        </w:rPr>
        <w:t>《基金合同》取得本基金的基金份额，即成为本基金份额持有人和《基金合同》的当事人，直至其不再持有本基金的基金份额。基金份额持有人作为《基金合同》当事人并不以在《基金合同》上书面签章或签字为必要条件。</w:t>
      </w:r>
    </w:p>
    <w:p w14:paraId="0AF8E8EA"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同一类别每份基金份额具有同等的合法权益。</w:t>
      </w:r>
    </w:p>
    <w:p w14:paraId="0A0C054B"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（1）根据《基金法》、《运作办法》及其他有关规定，基金份额持有人的权利包括但不限于：</w:t>
      </w:r>
    </w:p>
    <w:p w14:paraId="0A33CF23"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1）分享基金财产收益；</w:t>
      </w:r>
    </w:p>
    <w:p w14:paraId="009E30BC"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2）参与分配清算后的剩余基金财产；</w:t>
      </w:r>
    </w:p>
    <w:p w14:paraId="4FC0468E"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3）依法并按照基金合同和招募说明书的规定申请赎回或转让其持有的基金份额；</w:t>
      </w:r>
    </w:p>
    <w:p w14:paraId="1E5FA083"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4）按照规定要求召开基金份额持有人大会或者召集基金份额持有人大会；</w:t>
      </w:r>
    </w:p>
    <w:p w14:paraId="559D883F"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5）出席或者委派代表出席基金份额持有人大会，对基金份额持有人大会审议事项行使表决权；</w:t>
      </w:r>
    </w:p>
    <w:p w14:paraId="1780BDBE"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6）查阅或者复制公开披露的基金信息资料；</w:t>
      </w:r>
    </w:p>
    <w:p w14:paraId="40FBE83B"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7）监督基金管理人的投资运作；</w:t>
      </w:r>
    </w:p>
    <w:p w14:paraId="1B0900D8"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8）对基金管理人、基金托管人、基金服务机构损害其合法权益的行为依法提起诉讼或仲裁；</w:t>
      </w:r>
    </w:p>
    <w:p w14:paraId="4372170A"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9）法律法规及中国证监会规定的和《基金合同》约定的其他权利。</w:t>
      </w:r>
    </w:p>
    <w:p w14:paraId="0AEAB9CC"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（2）根据《基金法》、《运作办法》及其他有关规定，基金份额持有人的义务包括但不限于：</w:t>
      </w:r>
    </w:p>
    <w:p w14:paraId="69E66E72"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1）认真阅读并遵守《基金合同》、招募说明书等信息披露文件；</w:t>
      </w:r>
    </w:p>
    <w:p w14:paraId="4827F31D"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2）了解所投资基金产品，了解自身风险承受能力，自主判断基金的投资价值，自主做出投资决策，自行承担投资风险；</w:t>
      </w:r>
    </w:p>
    <w:p w14:paraId="3FA6885C"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3）关注基金信息披露，及时行使权利和履行义务；</w:t>
      </w:r>
    </w:p>
    <w:p w14:paraId="72CA0FAE"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4）缴纳基金认购、申购款项及法律法规和《基金合同》所规定的费用；</w:t>
      </w:r>
    </w:p>
    <w:p w14:paraId="4CC87362"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5）在其持有的基金份额范围内，承担基金亏损或者《基金合同》终止的有限责任；</w:t>
      </w:r>
    </w:p>
    <w:p w14:paraId="40FF431B"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6）不从事任何有损基金及其他《基金合同》当事人合法权益的活动；</w:t>
      </w:r>
    </w:p>
    <w:p w14:paraId="1BBE27BF"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7）执行生效的基金份额持有人大会的决议；</w:t>
      </w:r>
    </w:p>
    <w:p w14:paraId="6907820E"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8）返还在基金交易过程中因任何原因获得的不当得利；</w:t>
      </w:r>
    </w:p>
    <w:p w14:paraId="601551B7"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9）遵守基金管理人、基金托管人、销售机构和登记机构的相关交易及业务规则；</w:t>
      </w:r>
    </w:p>
    <w:p w14:paraId="2CECB246"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10）提供基金管理人和监管机构依法要求提供的信息，以及不时的更新和补充，并保证其真实性；</w:t>
      </w:r>
    </w:p>
    <w:p w14:paraId="0F7FE446"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11）法律法规及中国证监会规定的和《基金合同》约定的其他义务。</w:t>
      </w:r>
    </w:p>
    <w:p w14:paraId="386517CA" w14:textId="77777777" w:rsidR="001F702C" w:rsidRDefault="00BD18A1">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（二）基金份额持有人大会召集、议事及表决的程序和规则</w:t>
      </w:r>
    </w:p>
    <w:p w14:paraId="194E695E"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基金份额持有人大会由基金份额持有人组成，基金份额持有人的合法授权代表有权代表基金份额持有人出席会议并表决。基金份额持有人持有的每一基金份额拥有平等的投票权。</w:t>
      </w:r>
    </w:p>
    <w:p w14:paraId="702CEB79"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本基金份额持有人大会不设日常机构。</w:t>
      </w:r>
    </w:p>
    <w:p w14:paraId="0652873B"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1、召开事由</w:t>
      </w:r>
    </w:p>
    <w:p w14:paraId="271AA918"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（1）当出现或需要决定下列事由之一的，应当召开基金份额持有人大会，法律法规、基金合同和中国证监会另有规定的除外：</w:t>
      </w:r>
    </w:p>
    <w:p w14:paraId="44D5BC35"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1）终止《基金合同》；</w:t>
      </w:r>
    </w:p>
    <w:p w14:paraId="56A229D3"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2）更换基金管理人；</w:t>
      </w:r>
    </w:p>
    <w:p w14:paraId="262B6510"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3）更换基金托管人；</w:t>
      </w:r>
    </w:p>
    <w:p w14:paraId="69D0CF62"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4）转换基金运作方式；</w:t>
      </w:r>
    </w:p>
    <w:p w14:paraId="0AB0C1C4"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5）调整基金管理人、基金托管人的报酬标准和提高销售服务费；</w:t>
      </w:r>
    </w:p>
    <w:p w14:paraId="3A06238B"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6）变更基金类别；</w:t>
      </w:r>
    </w:p>
    <w:p w14:paraId="188E4CD6"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7）本基金与其他基金的合并；</w:t>
      </w:r>
    </w:p>
    <w:p w14:paraId="26267035"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8）变更基金投资目标、范围或策略；</w:t>
      </w:r>
    </w:p>
    <w:p w14:paraId="2BAB5927"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9）变更基金份额持有人大会程序；</w:t>
      </w:r>
    </w:p>
    <w:p w14:paraId="6787F3F9"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10）基金管理人或基金托管人要求召开基金份额持有人大会；</w:t>
      </w:r>
    </w:p>
    <w:p w14:paraId="65A78A3F"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11）单独或合计持有本基金总份额10%以上（含10%）基金份额的基金份额持有人（以基金管理人收到提议当日的基金份额计算，下同）就同一事项书面要求召开基金份额持有人大会；</w:t>
      </w:r>
    </w:p>
    <w:p w14:paraId="676F7737"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12）对基金合同当事人权利和义务产生重大影响的其他事项；</w:t>
      </w:r>
    </w:p>
    <w:p w14:paraId="3A3D5B23"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13）法律法规、《基金合同》或中国证监会规定的其他应当召开基金份额持有人大会的事项。</w:t>
      </w:r>
    </w:p>
    <w:p w14:paraId="5EDE259B"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（2）在法律法规和《基金合同》规定的范围内，且在对现有基金份额持有人利益无实质性不利影响的前提下，以下情况可由基金管理人和基金托管人协商后修改，不需召开基金份额持有人大会：</w:t>
      </w:r>
    </w:p>
    <w:p w14:paraId="0B5587A0"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1）调低基金销售服务费；</w:t>
      </w:r>
    </w:p>
    <w:p w14:paraId="6B40B035"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2）法律法规要求增加的基金费用的收取；</w:t>
      </w:r>
    </w:p>
    <w:p w14:paraId="2BB4CC1A"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3）调整本基金的申购费率、调低赎回费率、变更或增加收费方式；</w:t>
      </w:r>
    </w:p>
    <w:p w14:paraId="5206DC2F"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w:t>
      </w:r>
      <w:proofErr w:type="gramStart"/>
      <w:r>
        <w:rPr>
          <w:rFonts w:ascii="宋体" w:hAnsi="宋体"/>
          <w:sz w:val="24"/>
        </w:rPr>
        <w:t>因相应</w:t>
      </w:r>
      <w:proofErr w:type="gramEnd"/>
      <w:r>
        <w:rPr>
          <w:rFonts w:ascii="宋体" w:hAnsi="宋体"/>
          <w:sz w:val="24"/>
        </w:rPr>
        <w:t>的法律法规、登记机构的相关业务规则发生变动而应当对《基金合</w:t>
      </w:r>
      <w:r>
        <w:rPr>
          <w:rFonts w:ascii="宋体" w:hAnsi="宋体"/>
          <w:sz w:val="24"/>
        </w:rPr>
        <w:lastRenderedPageBreak/>
        <w:t>同》进行修改；</w:t>
      </w:r>
    </w:p>
    <w:p w14:paraId="6C39CFA3"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5）对《基金合同》的修改对基金份额持有人利益无实质性不利影响或修改不涉及《基金合同》当事人权利义务关系发生重大变化；</w:t>
      </w:r>
    </w:p>
    <w:p w14:paraId="00DF94E2"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6）在法律法规允许的情况下，且在对现有基金份额持有人利益无实质性不利影响的前提下，基金推出新业务或服务；</w:t>
      </w:r>
    </w:p>
    <w:p w14:paraId="1C5F4E89"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7）在符合法律法规及本基金合同规定、并且对基金份额持有人利益无实质不利影响的前提下，调整本基金份额类别的设置；</w:t>
      </w:r>
    </w:p>
    <w:p w14:paraId="0F54AC99"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8）在不违反法律法规及对基金份额持有人利益无实质性不利影响的前提下，基金管理人、登记机构、销售机构调整有关基金认购、申购、赎回、转换、收益分配、</w:t>
      </w:r>
      <w:proofErr w:type="gramStart"/>
      <w:r>
        <w:rPr>
          <w:rFonts w:ascii="宋体" w:hAnsi="宋体"/>
          <w:sz w:val="24"/>
        </w:rPr>
        <w:t>非交易</w:t>
      </w:r>
      <w:proofErr w:type="gramEnd"/>
      <w:r>
        <w:rPr>
          <w:rFonts w:ascii="宋体" w:hAnsi="宋体"/>
          <w:sz w:val="24"/>
        </w:rPr>
        <w:t>过户、转托管等业务的规则；</w:t>
      </w:r>
    </w:p>
    <w:p w14:paraId="3E6E2BDB"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9）按照法律法规和《基金合同》规定不需召开基金份额持有人大会的其他情形。</w:t>
      </w:r>
    </w:p>
    <w:p w14:paraId="23955095"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2、会议召集人及召集方式</w:t>
      </w:r>
    </w:p>
    <w:p w14:paraId="32412205"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（1）除法律法规规定或《基金合同》另有约定外，基金份额持有人大会由基金管理人召集；</w:t>
      </w:r>
    </w:p>
    <w:p w14:paraId="07C2F502"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（2）基金管理人未按规定召集或不能召集时，由基金托管人召集；</w:t>
      </w:r>
    </w:p>
    <w:p w14:paraId="5D3E0360"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w:t>
      </w:r>
    </w:p>
    <w:p w14:paraId="2F1455D0"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w:t>
      </w:r>
      <w:r>
        <w:rPr>
          <w:rFonts w:ascii="宋体" w:hAnsi="宋体"/>
          <w:sz w:val="24"/>
        </w:rPr>
        <w:lastRenderedPageBreak/>
        <w:t>基金管理人，基金管理人应当配合；</w:t>
      </w:r>
    </w:p>
    <w:p w14:paraId="3A2CE188"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14:paraId="66D4F77E"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（6）基金份额持有人会议的召集人负责选择确定开会时间、地点、方式和权益登记日。</w:t>
      </w:r>
    </w:p>
    <w:p w14:paraId="13279BDB"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3、召开基金份额持有人大会的通知时间、通知内容、通知方式</w:t>
      </w:r>
    </w:p>
    <w:p w14:paraId="7192D66E"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（1）召开基金份额持有人大会，召集人应于会议召开前30日，在指定媒介公告。基金份额持有人大会通知应至少载明以下内容：</w:t>
      </w:r>
    </w:p>
    <w:p w14:paraId="29392ACE"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1）会议召开的时间、地点和会议形式；</w:t>
      </w:r>
    </w:p>
    <w:p w14:paraId="112BE998"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2）会议</w:t>
      </w:r>
      <w:proofErr w:type="gramStart"/>
      <w:r>
        <w:rPr>
          <w:rFonts w:ascii="宋体" w:hAnsi="宋体"/>
          <w:sz w:val="24"/>
        </w:rPr>
        <w:t>拟审议</w:t>
      </w:r>
      <w:proofErr w:type="gramEnd"/>
      <w:r>
        <w:rPr>
          <w:rFonts w:ascii="宋体" w:hAnsi="宋体"/>
          <w:sz w:val="24"/>
        </w:rPr>
        <w:t>的事项、议事程序和表决方式；</w:t>
      </w:r>
    </w:p>
    <w:p w14:paraId="5CAD2E01"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3）有权出席基金份额持有人大会的基金份额持有人的权益登记日；</w:t>
      </w:r>
    </w:p>
    <w:p w14:paraId="7ACAC8A2"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4）授权委托证明的内容要求（包括但不限于代理人身份，代理权限和代理有效期限等）、送达时间和地点；</w:t>
      </w:r>
    </w:p>
    <w:p w14:paraId="507FDABF"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5）会务常设联系人姓名及联系电话；</w:t>
      </w:r>
    </w:p>
    <w:p w14:paraId="53F7C0CE"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6）出席会议者必须准备的文件和必须履行的手续；</w:t>
      </w:r>
    </w:p>
    <w:p w14:paraId="62AC7C7F"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7）召集人需要通知的其他事项。</w:t>
      </w:r>
    </w:p>
    <w:p w14:paraId="0E30EFED"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06711E22"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Pr>
          <w:rFonts w:ascii="宋体" w:hAnsi="宋体"/>
          <w:sz w:val="24"/>
        </w:rPr>
        <w:t>拒不派</w:t>
      </w:r>
      <w:proofErr w:type="gramEnd"/>
      <w:r>
        <w:rPr>
          <w:rFonts w:ascii="宋体" w:hAnsi="宋体"/>
          <w:sz w:val="24"/>
        </w:rPr>
        <w:t>代表对表决意见的计票进行监督的，不影响表决意见的计票效力。</w:t>
      </w:r>
    </w:p>
    <w:p w14:paraId="3C9DB952"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4、基金份额持有人出席会议的方式</w:t>
      </w:r>
    </w:p>
    <w:p w14:paraId="09DB56C2"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基金份额持有人大会可通过现场开会方式、通讯开会方式或法律法规和监管机</w:t>
      </w:r>
      <w:r>
        <w:rPr>
          <w:rFonts w:ascii="宋体" w:hAnsi="宋体"/>
          <w:sz w:val="24"/>
        </w:rPr>
        <w:lastRenderedPageBreak/>
        <w:t>关允许的其他方式召开，会议的召开方式由会议召集人确定。</w:t>
      </w:r>
    </w:p>
    <w:p w14:paraId="3E9C0D65"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03BAA905"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2AF2E9AD"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基金份额应不少于在权益登记日基金总份额的三分之一（含三分之一）。</w:t>
      </w:r>
    </w:p>
    <w:p w14:paraId="43FB68EA"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（2）通讯开会。通讯开会系指基金份额持有人将其对表决事项的投票以会议通知载明的形式在表决截止日以前送达至召集人指定的地址或系统。</w:t>
      </w:r>
    </w:p>
    <w:p w14:paraId="1EF4B566"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在同时符合以下条件时，通讯开会的方式视为有效：</w:t>
      </w:r>
    </w:p>
    <w:p w14:paraId="2CDFBC1C"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1）会议召集人按《基金合同》约定公布会议通知后，在2个工作日内连续公布相关提示性公告；</w:t>
      </w:r>
    </w:p>
    <w:p w14:paraId="1E403E8A"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21ABE8BC"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本人直接出具表决意见或授权他人代表出具表决意见的，基金份额持有人所持有的基金份额不小于在权益登记日基金总份额的二分之一（含二分之一）；若本人直接出具表决意见或授权他人代表出具表决意见的基金份额持有人所持有的基金份额小于在权益登记日基金总份额的二分之一，召集人可以在原公告的基金份额持有人大会召开时间的3个月以后、6个月以内，就原定审议事项重新召集基金份额</w:t>
      </w:r>
      <w:r>
        <w:rPr>
          <w:rFonts w:ascii="宋体" w:hAnsi="宋体"/>
          <w:sz w:val="24"/>
        </w:rPr>
        <w:lastRenderedPageBreak/>
        <w:t>持有人大会。重新召集的基金份额持有人大会应当有代表基金总份额三分之一以上（含三分之一）基金份额的持有人直接出具表决意见或授权他人代表出具表决意见；</w:t>
      </w:r>
    </w:p>
    <w:p w14:paraId="5B0C3B67"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14:paraId="7F4FC6B7"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在法律法规和监管机关允许的情况下，经会议通知载明，本基金可采用网络、电话、短信等其他非书面方式由基金份额持有人向其授权代表进行授权；本基金亦可采用网络、电话、短信等其他非现场方式或者以非现场方式与现场方式结合的方式召开基金份额持有人大会并表决，具体方式由会议召集人确定并在会议通知中列明，会议程序比照现场开会和通讯方式开会的程序进行。</w:t>
      </w:r>
    </w:p>
    <w:p w14:paraId="328754B1"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5、议事内容与程序</w:t>
      </w:r>
    </w:p>
    <w:p w14:paraId="0CC8C7AC"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（1）议事内容及提案权</w:t>
      </w:r>
    </w:p>
    <w:p w14:paraId="0DA0BBE6"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议事内容为关系基金份额持有人利益的重大事项，如《基金合同》的重大修改、决定终止《基金合同》、更换基金管理人、更换基金托管人、与其他基金合并（法律法规、基金合同和中国证监会另有规定的除外）、法律法规及《基金合同》规定的其他事项以及会议召集人认为需提交基金份额持有人大会讨论的其他事项。</w:t>
      </w:r>
    </w:p>
    <w:p w14:paraId="6A5512AF"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基金份额持有人大会的召集人发出召集会议的通知后，对原有提案的修改应当在基金份额持有人大会召开前及时公告。</w:t>
      </w:r>
    </w:p>
    <w:p w14:paraId="5CBAC340"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基金份额持有人大会不得对未事先公告的议事内容进行表决。</w:t>
      </w:r>
    </w:p>
    <w:p w14:paraId="03E15BE0"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（2）议事程序</w:t>
      </w:r>
    </w:p>
    <w:p w14:paraId="778E49E2"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1）现场开会</w:t>
      </w:r>
    </w:p>
    <w:p w14:paraId="28B55512"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现场开会的方式下，首先由大会主持人按照下列第7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或代理人作为该次基金份额持有人大会的主持人。基金管理人和基金托管人拒不出席或主持基金</w:t>
      </w:r>
      <w:r>
        <w:rPr>
          <w:rFonts w:ascii="宋体" w:hAnsi="宋体"/>
          <w:sz w:val="24"/>
        </w:rPr>
        <w:lastRenderedPageBreak/>
        <w:t>份额持有人大会，不影响基金份额持有人大会</w:t>
      </w:r>
      <w:proofErr w:type="gramStart"/>
      <w:r>
        <w:rPr>
          <w:rFonts w:ascii="宋体" w:hAnsi="宋体"/>
          <w:sz w:val="24"/>
        </w:rPr>
        <w:t>作出</w:t>
      </w:r>
      <w:proofErr w:type="gramEnd"/>
      <w:r>
        <w:rPr>
          <w:rFonts w:ascii="宋体" w:hAnsi="宋体"/>
          <w:sz w:val="24"/>
        </w:rPr>
        <w:t>的决议的效力。</w:t>
      </w:r>
    </w:p>
    <w:p w14:paraId="4F8D51A7"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会议召集人应当制作出席会议人员的签名册。签名</w:t>
      </w:r>
      <w:proofErr w:type="gramStart"/>
      <w:r>
        <w:rPr>
          <w:rFonts w:ascii="宋体" w:hAnsi="宋体"/>
          <w:sz w:val="24"/>
        </w:rPr>
        <w:t>册</w:t>
      </w:r>
      <w:proofErr w:type="gramEnd"/>
      <w:r>
        <w:rPr>
          <w:rFonts w:ascii="宋体" w:hAnsi="宋体"/>
          <w:sz w:val="24"/>
        </w:rPr>
        <w:t>载明参加会议人员姓名（或单位名称）、身份证明文件号码、持有或代表有表决权的基金份额、委托人姓名（或单位名称）和联系方式等事项。</w:t>
      </w:r>
    </w:p>
    <w:p w14:paraId="7B8263C2"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2）通讯开会</w:t>
      </w:r>
    </w:p>
    <w:p w14:paraId="5439FF7D"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在通讯开会的情况下，首先由召集人提前30日公布提案，在所通知的表决截止日期后2个工作日内在公证机关监督下由召集人统计全部有效表决，在公证机关监督下形成决议。</w:t>
      </w:r>
    </w:p>
    <w:p w14:paraId="500B3B8C"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6、表决</w:t>
      </w:r>
    </w:p>
    <w:p w14:paraId="59F83B3B"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基金份额持有人所持每份基金份额有一票表决权。</w:t>
      </w:r>
    </w:p>
    <w:p w14:paraId="23052A51"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基金份额持有人大会决议分为一般决议和特别决议：</w:t>
      </w:r>
    </w:p>
    <w:p w14:paraId="18351DC6"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14:paraId="48C3FF2F"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特别决议，特别决议应当经参加大会的基金份额持有人或其代理人所持表决权的三分之二以上（含三分之二）通过方可做出。转换基金运作方式、更换基金管理人或者基金托管人、终止《基金合同》、本基金与其他基金合并（法律法规、《基金合同》和中国证监会另有规定的除外）以特别决议通过方为有效。</w:t>
      </w:r>
    </w:p>
    <w:p w14:paraId="22218824"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基金份额持有人大会采取记名方式进行投票表决。</w:t>
      </w:r>
    </w:p>
    <w:p w14:paraId="7B708D4A"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w:t>
      </w:r>
    </w:p>
    <w:p w14:paraId="27E94346"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基金份额持有人大会的各项提案或同一项提案内并列的各项议题应当分开审议、逐项表决。</w:t>
      </w:r>
    </w:p>
    <w:p w14:paraId="3AC6A3C8"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7、计票</w:t>
      </w:r>
    </w:p>
    <w:p w14:paraId="7185F0D7"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（1）现场开会</w:t>
      </w:r>
    </w:p>
    <w:p w14:paraId="3A75695C"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w:t>
      </w:r>
      <w:r>
        <w:rPr>
          <w:rFonts w:ascii="宋体" w:hAnsi="宋体"/>
          <w:sz w:val="24"/>
        </w:rPr>
        <w:lastRenderedPageBreak/>
        <w:t>人自行召集</w:t>
      </w:r>
      <w:proofErr w:type="gramStart"/>
      <w:r>
        <w:rPr>
          <w:rFonts w:ascii="宋体" w:hAnsi="宋体"/>
          <w:sz w:val="24"/>
        </w:rPr>
        <w:t>或大会</w:t>
      </w:r>
      <w:proofErr w:type="gramEnd"/>
      <w:r>
        <w:rPr>
          <w:rFonts w:ascii="宋体" w:hAnsi="宋体"/>
          <w:sz w:val="24"/>
        </w:rPr>
        <w:t>虽然由基金管理人或基金托管人召集，但是基金管理人或基金托管人未出席大会的，基金份额持有人大会的主持人应当在会议开始后宣布在出席会议的基金份额持有人和代理人中选举三名基金份额持有人代表担任监票人。基金管理人或基金托管人不出席大会的，不影响计票的效力。</w:t>
      </w:r>
    </w:p>
    <w:p w14:paraId="4557AEA3"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2）监票人应当在基金份额持有人表决后立即进行清点并由大会主持人当场公布计票结果。</w:t>
      </w:r>
    </w:p>
    <w:p w14:paraId="4FD3703E"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3）如果会议主持人或基金份额持有人或代理人对于提交的表决结果有怀疑，可以在宣布表决结果后立即对所投票</w:t>
      </w:r>
      <w:proofErr w:type="gramStart"/>
      <w:r>
        <w:rPr>
          <w:rFonts w:ascii="宋体" w:hAnsi="宋体"/>
          <w:sz w:val="24"/>
        </w:rPr>
        <w:t>数要求</w:t>
      </w:r>
      <w:proofErr w:type="gramEnd"/>
      <w:r>
        <w:rPr>
          <w:rFonts w:ascii="宋体" w:hAnsi="宋体"/>
          <w:sz w:val="24"/>
        </w:rPr>
        <w:t>进行重新清点。监票人应当进行重新清点，重新清点以一次为限。重新清点后，大会主持人应当当场公布重新清点结果。</w:t>
      </w:r>
    </w:p>
    <w:p w14:paraId="7D85C9DE"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4）计票过程应由公证机关予以公证，基金管理人或基金托管人拒不出席大会的，不影响计票的效力。</w:t>
      </w:r>
    </w:p>
    <w:p w14:paraId="109E5791"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（2）通讯开会</w:t>
      </w:r>
    </w:p>
    <w:p w14:paraId="25920A5A"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w:t>
      </w:r>
      <w:proofErr w:type="gramStart"/>
      <w:r>
        <w:rPr>
          <w:rFonts w:ascii="宋体" w:hAnsi="宋体"/>
          <w:sz w:val="24"/>
        </w:rPr>
        <w:t>人拒派</w:t>
      </w:r>
      <w:proofErr w:type="gramEnd"/>
      <w:r>
        <w:rPr>
          <w:rFonts w:ascii="宋体" w:hAnsi="宋体"/>
          <w:sz w:val="24"/>
        </w:rPr>
        <w:t>代表对表决意见的计票进行监督的，不影响计票和表决结果。</w:t>
      </w:r>
    </w:p>
    <w:p w14:paraId="6EA3ECC5"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8、生效与公告</w:t>
      </w:r>
    </w:p>
    <w:p w14:paraId="21BF25BF"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基金份额持有人大会的决议，召集人应当自通过之日起5日内报中国证监会备案。基金份额持有人大会的决议自表决通过之日起生效。法律法规另有规定的，从其规定。</w:t>
      </w:r>
    </w:p>
    <w:p w14:paraId="3D17E4AE"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基金份额持有人大会决议自生效之日起2日内在指定媒介上公告。如果采用通讯方式进行表决，在公告基金份额持有人大会决议时，必须将公证书全文、公证机构、公证员姓名等一同公告。</w:t>
      </w:r>
    </w:p>
    <w:p w14:paraId="58ACCE50"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基金管理人、基金托管人和基金份额持有人应当执行生效的基金份额持有人大会的决议。生效的基金份额持有人大会决议对全体基金份额持有人、基金管理人、基金托管人均有约束力。</w:t>
      </w:r>
    </w:p>
    <w:p w14:paraId="7873AA80"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9、实施</w:t>
      </w:r>
      <w:proofErr w:type="gramStart"/>
      <w:r>
        <w:rPr>
          <w:rFonts w:ascii="宋体" w:hAnsi="宋体"/>
          <w:sz w:val="24"/>
        </w:rPr>
        <w:t>侧袋机制</w:t>
      </w:r>
      <w:proofErr w:type="gramEnd"/>
      <w:r>
        <w:rPr>
          <w:rFonts w:ascii="宋体" w:hAnsi="宋体"/>
          <w:sz w:val="24"/>
        </w:rPr>
        <w:t>期间基金份额持有人大会的特殊约定</w:t>
      </w:r>
    </w:p>
    <w:p w14:paraId="0860EFBB"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若本基金</w:t>
      </w:r>
      <w:proofErr w:type="gramStart"/>
      <w:r>
        <w:rPr>
          <w:rFonts w:ascii="宋体" w:hAnsi="宋体"/>
          <w:sz w:val="24"/>
        </w:rPr>
        <w:t>实施侧袋机制</w:t>
      </w:r>
      <w:proofErr w:type="gramEnd"/>
      <w:r>
        <w:rPr>
          <w:rFonts w:ascii="宋体" w:hAnsi="宋体"/>
          <w:sz w:val="24"/>
        </w:rPr>
        <w:t>，</w:t>
      </w:r>
      <w:proofErr w:type="gramStart"/>
      <w:r>
        <w:rPr>
          <w:rFonts w:ascii="宋体" w:hAnsi="宋体"/>
          <w:sz w:val="24"/>
        </w:rPr>
        <w:t>则相关</w:t>
      </w:r>
      <w:proofErr w:type="gramEnd"/>
      <w:r>
        <w:rPr>
          <w:rFonts w:ascii="宋体" w:hAnsi="宋体"/>
          <w:sz w:val="24"/>
        </w:rPr>
        <w:t>基金份额或表决权的比例</w:t>
      </w:r>
      <w:proofErr w:type="gramStart"/>
      <w:r>
        <w:rPr>
          <w:rFonts w:ascii="宋体" w:hAnsi="宋体"/>
          <w:sz w:val="24"/>
        </w:rPr>
        <w:t>指主袋份额</w:t>
      </w:r>
      <w:proofErr w:type="gramEnd"/>
      <w:r>
        <w:rPr>
          <w:rFonts w:ascii="宋体" w:hAnsi="宋体"/>
          <w:sz w:val="24"/>
        </w:rPr>
        <w:t>持有</w:t>
      </w:r>
      <w:proofErr w:type="gramStart"/>
      <w:r>
        <w:rPr>
          <w:rFonts w:ascii="宋体" w:hAnsi="宋体"/>
          <w:sz w:val="24"/>
        </w:rPr>
        <w:t>人和侧袋份额</w:t>
      </w:r>
      <w:proofErr w:type="gramEnd"/>
      <w:r>
        <w:rPr>
          <w:rFonts w:ascii="宋体" w:hAnsi="宋体"/>
          <w:sz w:val="24"/>
        </w:rPr>
        <w:t>持有人分别持有或代表的基金份额或表决权符合该等比例，但</w:t>
      </w:r>
      <w:proofErr w:type="gramStart"/>
      <w:r>
        <w:rPr>
          <w:rFonts w:ascii="宋体" w:hAnsi="宋体"/>
          <w:sz w:val="24"/>
        </w:rPr>
        <w:t>若相关</w:t>
      </w:r>
      <w:proofErr w:type="gramEnd"/>
      <w:r>
        <w:rPr>
          <w:rFonts w:ascii="宋体" w:hAnsi="宋体"/>
          <w:sz w:val="24"/>
        </w:rPr>
        <w:t>基金份额持有人大会召集和审议事项不</w:t>
      </w:r>
      <w:proofErr w:type="gramStart"/>
      <w:r>
        <w:rPr>
          <w:rFonts w:ascii="宋体" w:hAnsi="宋体"/>
          <w:sz w:val="24"/>
        </w:rPr>
        <w:t>涉及侧袋账户</w:t>
      </w:r>
      <w:proofErr w:type="gramEnd"/>
      <w:r>
        <w:rPr>
          <w:rFonts w:ascii="宋体" w:hAnsi="宋体"/>
          <w:sz w:val="24"/>
        </w:rPr>
        <w:t>的，则仅</w:t>
      </w:r>
      <w:proofErr w:type="gramStart"/>
      <w:r>
        <w:rPr>
          <w:rFonts w:ascii="宋体" w:hAnsi="宋体"/>
          <w:sz w:val="24"/>
        </w:rPr>
        <w:t>指主袋份额</w:t>
      </w:r>
      <w:proofErr w:type="gramEnd"/>
      <w:r>
        <w:rPr>
          <w:rFonts w:ascii="宋体" w:hAnsi="宋体"/>
          <w:sz w:val="24"/>
        </w:rPr>
        <w:t>持有人持有或</w:t>
      </w:r>
      <w:r>
        <w:rPr>
          <w:rFonts w:ascii="宋体" w:hAnsi="宋体"/>
          <w:sz w:val="24"/>
        </w:rPr>
        <w:lastRenderedPageBreak/>
        <w:t>代表的基金份额或表决权符合该等比例：</w:t>
      </w:r>
    </w:p>
    <w:p w14:paraId="09D99CE6"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（1）基金份额持有人行使提议权、召集权、提名权所需单独或合计代表相关基金份额10%以上（含10%）；</w:t>
      </w:r>
    </w:p>
    <w:p w14:paraId="7C64CD5C"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（2）现场开会的到会者在权益登记日代表的基金份额不少于本基金在权益登记</w:t>
      </w:r>
      <w:proofErr w:type="gramStart"/>
      <w:r>
        <w:rPr>
          <w:rFonts w:ascii="宋体" w:hAnsi="宋体"/>
          <w:sz w:val="24"/>
        </w:rPr>
        <w:t>日相关</w:t>
      </w:r>
      <w:proofErr w:type="gramEnd"/>
      <w:r>
        <w:rPr>
          <w:rFonts w:ascii="宋体" w:hAnsi="宋体"/>
          <w:sz w:val="24"/>
        </w:rPr>
        <w:t>基金份额的二分之一（含二分之一）；</w:t>
      </w:r>
    </w:p>
    <w:p w14:paraId="42275043"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（3）通讯开会的直接出具表决意见或授权他人代表出具表决意见的基金份额持有人所持有的基金份额不小于在权益登记</w:t>
      </w:r>
      <w:proofErr w:type="gramStart"/>
      <w:r>
        <w:rPr>
          <w:rFonts w:ascii="宋体" w:hAnsi="宋体"/>
          <w:sz w:val="24"/>
        </w:rPr>
        <w:t>日相关</w:t>
      </w:r>
      <w:proofErr w:type="gramEnd"/>
      <w:r>
        <w:rPr>
          <w:rFonts w:ascii="宋体" w:hAnsi="宋体"/>
          <w:sz w:val="24"/>
        </w:rPr>
        <w:t>基金份额的二分之一（含二分之一）；</w:t>
      </w:r>
    </w:p>
    <w:p w14:paraId="793EEE55"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（4）在参与基金份额持有人大会投票的基金份额持有人所持有的基金份额小于在权益登记</w:t>
      </w:r>
      <w:proofErr w:type="gramStart"/>
      <w:r>
        <w:rPr>
          <w:rFonts w:ascii="宋体" w:hAnsi="宋体"/>
          <w:sz w:val="24"/>
        </w:rPr>
        <w:t>日相关</w:t>
      </w:r>
      <w:proofErr w:type="gramEnd"/>
      <w:r>
        <w:rPr>
          <w:rFonts w:ascii="宋体" w:hAnsi="宋体"/>
          <w:sz w:val="24"/>
        </w:rPr>
        <w:t>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14:paraId="7E4A2477"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（5）现场开会由出席大会的基金份额持有人和代理人所持表决权的50%以上（含50%）选举产生一名基金份额持有人或代理人作为该次基金份额持有人大会的主持人；</w:t>
      </w:r>
    </w:p>
    <w:p w14:paraId="7D65F784"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（6）一般决议须经参加大会的基金份额持有人或其代理人所持表决权的二分之一以上（含二分之一）通过；</w:t>
      </w:r>
    </w:p>
    <w:p w14:paraId="4BD580C2"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（7）特别决议应当经参加大会的基金份额持有人或其代理人所持表决权的三分之二以上（含三分之二）通过。</w:t>
      </w:r>
    </w:p>
    <w:p w14:paraId="58B96B6A"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同</w:t>
      </w:r>
      <w:proofErr w:type="gramStart"/>
      <w:r>
        <w:rPr>
          <w:rFonts w:ascii="宋体" w:hAnsi="宋体"/>
          <w:sz w:val="24"/>
        </w:rPr>
        <w:t>一主侧袋账户</w:t>
      </w:r>
      <w:proofErr w:type="gramEnd"/>
      <w:r>
        <w:rPr>
          <w:rFonts w:ascii="宋体" w:hAnsi="宋体"/>
          <w:sz w:val="24"/>
        </w:rPr>
        <w:t>内的每份基金份额具有平等的表决权。</w:t>
      </w:r>
    </w:p>
    <w:p w14:paraId="5C5AB2A6"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w:t>
      </w:r>
      <w:proofErr w:type="gramStart"/>
      <w:r>
        <w:rPr>
          <w:rFonts w:ascii="宋体" w:hAnsi="宋体"/>
          <w:sz w:val="24"/>
        </w:rPr>
        <w:t>本部分对基金</w:t>
      </w:r>
      <w:proofErr w:type="gramEnd"/>
      <w:r>
        <w:rPr>
          <w:rFonts w:ascii="宋体" w:hAnsi="宋体"/>
          <w:sz w:val="24"/>
        </w:rPr>
        <w:t>份额持有人大会召开事由、召开条件、议事程序、表决条件等规定，凡是直接引用法律法规的部分，如将来法律法规修改导致相关内容被取消或变更的，基金管理人经与基金托管人协商一致并提前公告后，可直接对本部分内容进行修改和调整，无需召开基金份额持有人大会审议。</w:t>
      </w:r>
    </w:p>
    <w:p w14:paraId="1E846EC9" w14:textId="77777777" w:rsidR="001F702C" w:rsidRDefault="00BD18A1">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（三）基金合同解除和终止的事由、程序</w:t>
      </w:r>
    </w:p>
    <w:p w14:paraId="599ADEBF"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1、《基金合同》的变更</w:t>
      </w:r>
    </w:p>
    <w:p w14:paraId="25603B67"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（1）变更基金合同涉及法律法规规定或本基金合同约定应经基金份额持有人大会决议通过的事项的，应召</w:t>
      </w:r>
      <w:proofErr w:type="gramStart"/>
      <w:r>
        <w:rPr>
          <w:rFonts w:ascii="宋体" w:hAnsi="宋体"/>
          <w:sz w:val="24"/>
        </w:rPr>
        <w:t>开基金</w:t>
      </w:r>
      <w:proofErr w:type="gramEnd"/>
      <w:r>
        <w:rPr>
          <w:rFonts w:ascii="宋体" w:hAnsi="宋体"/>
          <w:sz w:val="24"/>
        </w:rPr>
        <w:t>份额持有人大会决议通过。对于可不经基金份额持有人大会决议通过的事项，由基金管理人和基金托管人同意后变更并公告，并</w:t>
      </w:r>
      <w:r>
        <w:rPr>
          <w:rFonts w:ascii="宋体" w:hAnsi="宋体"/>
          <w:sz w:val="24"/>
        </w:rPr>
        <w:lastRenderedPageBreak/>
        <w:t>报中国证监会备案。</w:t>
      </w:r>
    </w:p>
    <w:p w14:paraId="77D3951D"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（2）关于《基金合同》变更的基金份额持有人大会决议生效后方可执行，并</w:t>
      </w:r>
      <w:proofErr w:type="gramStart"/>
      <w:r>
        <w:rPr>
          <w:rFonts w:ascii="宋体" w:hAnsi="宋体"/>
          <w:sz w:val="24"/>
        </w:rPr>
        <w:t>自决议</w:t>
      </w:r>
      <w:proofErr w:type="gramEnd"/>
      <w:r>
        <w:rPr>
          <w:rFonts w:ascii="宋体" w:hAnsi="宋体"/>
          <w:sz w:val="24"/>
        </w:rPr>
        <w:t>生效后依照《信息披露办法》的规定在指定媒介公告。</w:t>
      </w:r>
    </w:p>
    <w:p w14:paraId="0B0C6A4E"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2、《基金合同》的终止事由</w:t>
      </w:r>
    </w:p>
    <w:p w14:paraId="7656F40C"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有下列情形之一的，《基金合同》应当终止：</w:t>
      </w:r>
    </w:p>
    <w:p w14:paraId="00DD55AB"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（1）基金份额持有人大会决定终止的；</w:t>
      </w:r>
    </w:p>
    <w:p w14:paraId="462C246A"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（2）基金管理人、基金托管人职责终止，在6个月内没有新基金管理人、新基金托管人承接的；</w:t>
      </w:r>
    </w:p>
    <w:p w14:paraId="267DBF31"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（3）连续60个工作日出现基金份额持有人数量不满200人或者基金资产净值低于5000万元情形的，基金管理人应向中国证监会报告并提前终止基金合同，不需召开基金份额持有人大会；</w:t>
      </w:r>
    </w:p>
    <w:p w14:paraId="411C8115"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（4）出现标的指数不符合要求（不包括因成份</w:t>
      </w:r>
      <w:proofErr w:type="gramStart"/>
      <w:r>
        <w:rPr>
          <w:rFonts w:ascii="宋体" w:hAnsi="宋体"/>
          <w:sz w:val="24"/>
        </w:rPr>
        <w:t>券</w:t>
      </w:r>
      <w:proofErr w:type="gramEnd"/>
      <w:r>
        <w:rPr>
          <w:rFonts w:ascii="宋体" w:hAnsi="宋体"/>
          <w:sz w:val="24"/>
        </w:rPr>
        <w:t>价格波动等指数编制方法变动之外的因素致使标的指数不符合要求的情形）、指数编制机构退出等情形，基金管理人召集基金份额持有人大会对解决方案进行表决，基金份额持有人大会未成功召开或就上述事项表决未通过的；</w:t>
      </w:r>
    </w:p>
    <w:p w14:paraId="7D90EB00"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（5）《基金合同》约定的其他情形；</w:t>
      </w:r>
    </w:p>
    <w:p w14:paraId="3B94602D"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（6）相关法律法规和中国证监会规定的其他情况。</w:t>
      </w:r>
    </w:p>
    <w:p w14:paraId="463A7DE2"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3、基金财产的清算</w:t>
      </w:r>
    </w:p>
    <w:p w14:paraId="4CFC1148"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（1）基金财产清算小组：自出现《基金合同》终止事由之日起30个工作日内成立清算小组，基金管理人组织基金财产清算小组并在中国证监会的监督下进行基金清算。</w:t>
      </w:r>
    </w:p>
    <w:p w14:paraId="7D2FCA40"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（2）基金财产清算小组组成：基金财产清算小组成员由基金管理人、基金托管人、具有从事证券相关业务资格的注册会计师、律师以及中国证监会指定的人员组成。基金财产清算小组可以聘用必要的工作人员。</w:t>
      </w:r>
    </w:p>
    <w:p w14:paraId="2D6EE3F3"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（3）基金财产清算小组职责：基金财产清算小组负责基金财产的保管、清理、估价、变现和分配。基金财产清算小组可以依法进行必要的民事活动。</w:t>
      </w:r>
    </w:p>
    <w:p w14:paraId="122BADEF"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（4）基金财产清算程序：</w:t>
      </w:r>
    </w:p>
    <w:p w14:paraId="30BC5655"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1）《基金合同》终止情形出现时，由基金财产清算小组统一接管基金财产；</w:t>
      </w:r>
    </w:p>
    <w:p w14:paraId="4448D0AC"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2）对基金财产和债权债务进行清理和确认；</w:t>
      </w:r>
    </w:p>
    <w:p w14:paraId="387A2F80"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3）对基金财产进行估值和变现；</w:t>
      </w:r>
    </w:p>
    <w:p w14:paraId="427D133F"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4）制作清算报告；</w:t>
      </w:r>
    </w:p>
    <w:p w14:paraId="5358383E"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5）聘请会计师事务所对清算报告进行外部审计，聘请律师事务所对清算报告出具法律意见书；</w:t>
      </w:r>
    </w:p>
    <w:p w14:paraId="7A7292FD"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6）将清算报告报中国证监会备案并公告；</w:t>
      </w:r>
    </w:p>
    <w:p w14:paraId="187DE667"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7）对基金剩余财产进行分配。</w:t>
      </w:r>
    </w:p>
    <w:p w14:paraId="30FCC5E0"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（5）基金财产清算的期限为6个月，若</w:t>
      </w:r>
      <w:proofErr w:type="gramStart"/>
      <w:r>
        <w:rPr>
          <w:rFonts w:ascii="宋体" w:hAnsi="宋体"/>
          <w:sz w:val="24"/>
        </w:rPr>
        <w:t>遇基金</w:t>
      </w:r>
      <w:proofErr w:type="gramEnd"/>
      <w:r>
        <w:rPr>
          <w:rFonts w:ascii="宋体" w:hAnsi="宋体"/>
          <w:sz w:val="24"/>
        </w:rPr>
        <w:t>持有的有价证券出现长期休市、停牌或其他流通受限的情形除外。</w:t>
      </w:r>
    </w:p>
    <w:p w14:paraId="6C3FEEA6"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4、清算费用</w:t>
      </w:r>
    </w:p>
    <w:p w14:paraId="6BB3530F"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清算费用是指基金财产清算小组在进行基金清算过程中发生的所有合理费用，清算费用由基金财产清算小组优先从基金财产中支付。</w:t>
      </w:r>
    </w:p>
    <w:p w14:paraId="598650EC"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5、基金财产清算剩余资产的分配</w:t>
      </w:r>
    </w:p>
    <w:p w14:paraId="10DB4BEC"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依据基金财产清算的分配方案，将基金财产清算后的全部剩余资产扣除基金财产清算费用、交纳所欠税款并清偿基金债务后，按基金份额持有人持有的基金份额比例进行分配。</w:t>
      </w:r>
    </w:p>
    <w:p w14:paraId="47FC5C93"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6、基金财产清算的公告</w:t>
      </w:r>
    </w:p>
    <w:p w14:paraId="377843F3"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14:paraId="1BD3A53C"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7、基金财产清算账册及文件的保存</w:t>
      </w:r>
    </w:p>
    <w:p w14:paraId="2176AE1D"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基金财产清算账册及有关文件由基金托管人保存15年以上。</w:t>
      </w:r>
    </w:p>
    <w:p w14:paraId="610254AB" w14:textId="77777777" w:rsidR="001F702C" w:rsidRDefault="00BD18A1">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（四）争议解决方式</w:t>
      </w:r>
    </w:p>
    <w:p w14:paraId="3176FE90"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各方当事人同意，因《基金合同》而产生的或与《基金合同》有关的一切争议，如经友好协商未能解决的，任何一方均有权将争议提交中国国际经济贸易仲裁委员会，按照中国国际经济贸易仲裁委员会届时有效的仲裁规则进行仲裁。仲裁地点为北京市。仲裁裁决是终局的，对各方当事人均有约束力，除非仲裁裁决另有规定，仲裁费用、律师费由败诉方承担。</w:t>
      </w:r>
    </w:p>
    <w:p w14:paraId="3D109701"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争议处理期间，基金合同当事人应恪守各自的职责，继续忠实、勤勉、尽责地履行基金合同规定的义务，维护基金份额持有人的合法权益。</w:t>
      </w:r>
    </w:p>
    <w:p w14:paraId="407DE026"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《基金合同》受中国法律管辖。</w:t>
      </w:r>
    </w:p>
    <w:p w14:paraId="380CE307" w14:textId="77777777" w:rsidR="001F702C" w:rsidRDefault="00BD18A1">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lastRenderedPageBreak/>
        <w:t>（五）基金合同存放地和投资者取得基金合同的方式</w:t>
      </w:r>
    </w:p>
    <w:p w14:paraId="616E597C"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《基金合同》正本一式六份，除上报有关监管机构一式二份外，基金管理人、基金托管人各持有二份，每份具有同等的法律效力。</w:t>
      </w:r>
    </w:p>
    <w:p w14:paraId="616BD0FF"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《基金合同》可印制成册，供投资者在基金管理人、基金托管人、销售机构的办公场所和营业场所查阅，但应以《基金合同》正本为准。</w:t>
      </w:r>
    </w:p>
    <w:p w14:paraId="003DB682" w14:textId="77777777" w:rsidR="00367445" w:rsidRDefault="00BD18A1" w:rsidP="00367445">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5A8F53F8" w14:textId="77777777" w:rsidR="001F702C" w:rsidRDefault="00BD18A1">
      <w:pPr>
        <w:pStyle w:val="1"/>
        <w:snapToGrid w:val="0"/>
        <w:spacing w:beforeLines="0" w:before="240" w:after="240"/>
        <w:rPr>
          <w:rFonts w:ascii="宋体" w:hAnsi="宋体"/>
          <w:szCs w:val="30"/>
        </w:rPr>
      </w:pPr>
      <w:bookmarkStart w:id="26" w:name="_Toc140049426"/>
      <w:bookmarkStart w:id="27" w:name="_Hlk152341691"/>
      <w:bookmarkEnd w:id="25"/>
      <w:r>
        <w:rPr>
          <w:rFonts w:ascii="Times New Roman" w:hAnsi="Times New Roman"/>
          <w:sz w:val="30"/>
        </w:rPr>
        <w:lastRenderedPageBreak/>
        <w:t>二十二、托管协议的内容摘要</w:t>
      </w:r>
      <w:bookmarkEnd w:id="26"/>
    </w:p>
    <w:p w14:paraId="47953A85" w14:textId="77777777" w:rsidR="001F702C" w:rsidRDefault="00BD18A1">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（一）托管协议当事人</w:t>
      </w:r>
    </w:p>
    <w:p w14:paraId="42F2D7FC"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w:t>
      </w:r>
    </w:p>
    <w:p w14:paraId="7954A5F3"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名称：交银施罗德基金管理有限公司</w:t>
      </w:r>
    </w:p>
    <w:p w14:paraId="3F6F5F74"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住所：中国(上海)自由贸易试验区银城中路188号交通银行大楼二层（裙）</w:t>
      </w:r>
    </w:p>
    <w:p w14:paraId="2EADA881"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w:t>
      </w:r>
      <w:proofErr w:type="gramStart"/>
      <w:r>
        <w:rPr>
          <w:rFonts w:ascii="宋体" w:hAnsi="宋体"/>
          <w:sz w:val="24"/>
        </w:rPr>
        <w:t>新区世纪</w:t>
      </w:r>
      <w:proofErr w:type="gramEnd"/>
      <w:r>
        <w:rPr>
          <w:rFonts w:ascii="宋体" w:hAnsi="宋体"/>
          <w:sz w:val="24"/>
        </w:rPr>
        <w:t>大道8号国</w:t>
      </w:r>
      <w:proofErr w:type="gramStart"/>
      <w:r>
        <w:rPr>
          <w:rFonts w:ascii="宋体" w:hAnsi="宋体"/>
          <w:sz w:val="24"/>
        </w:rPr>
        <w:t>金中心</w:t>
      </w:r>
      <w:proofErr w:type="gramEnd"/>
      <w:r>
        <w:rPr>
          <w:rFonts w:ascii="宋体" w:hAnsi="宋体"/>
          <w:sz w:val="24"/>
        </w:rPr>
        <w:t>二期21-22楼</w:t>
      </w:r>
    </w:p>
    <w:p w14:paraId="57261BA7"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邮政编码：200120</w:t>
      </w:r>
    </w:p>
    <w:p w14:paraId="6BFFB7BF"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法定代表人：阮红</w:t>
      </w:r>
    </w:p>
    <w:p w14:paraId="4C3911AC"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成立时间： 2005年8月4日</w:t>
      </w:r>
    </w:p>
    <w:p w14:paraId="4467D3EB"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批准设立机关：中国证券监督管理委员会</w:t>
      </w:r>
    </w:p>
    <w:p w14:paraId="5E39AF71"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批准设立文号：中国证监会证</w:t>
      </w:r>
      <w:proofErr w:type="gramStart"/>
      <w:r>
        <w:rPr>
          <w:rFonts w:ascii="宋体" w:hAnsi="宋体"/>
          <w:sz w:val="24"/>
        </w:rPr>
        <w:t>监基金字</w:t>
      </w:r>
      <w:proofErr w:type="gramEnd"/>
      <w:r>
        <w:rPr>
          <w:rFonts w:ascii="宋体" w:hAnsi="宋体"/>
          <w:sz w:val="24"/>
        </w:rPr>
        <w:t>[2005]128号</w:t>
      </w:r>
    </w:p>
    <w:p w14:paraId="660C706B"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组织形式：有限责任公司</w:t>
      </w:r>
    </w:p>
    <w:p w14:paraId="0641A812"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注册资本： 2亿元人民币</w:t>
      </w:r>
    </w:p>
    <w:p w14:paraId="1FD95CEF"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存续期间：持续经营</w:t>
      </w:r>
    </w:p>
    <w:p w14:paraId="70CEFE9C"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经营范围：基金募集、基金销售、资产管理和中国证监会许可的其它业务。</w:t>
      </w:r>
    </w:p>
    <w:p w14:paraId="500A92F1"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2、基金托管人</w:t>
      </w:r>
    </w:p>
    <w:p w14:paraId="40B41386"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名称：中国光大银行股份有限公司</w:t>
      </w:r>
    </w:p>
    <w:p w14:paraId="575DCBB4"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住所：北京市西城区太平桥大街25号、甲25 号中国光大中心</w:t>
      </w:r>
    </w:p>
    <w:p w14:paraId="445C91EE" w14:textId="5AD85E81"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w:t>
      </w:r>
      <w:r w:rsidR="00A417F0">
        <w:rPr>
          <w:rFonts w:ascii="宋体" w:hAnsi="宋体" w:hint="eastAsia"/>
          <w:sz w:val="24"/>
          <w:szCs w:val="24"/>
        </w:rPr>
        <w:t>王江</w:t>
      </w:r>
    </w:p>
    <w:p w14:paraId="2E5733A0"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成立时间：1992年6月18日</w:t>
      </w:r>
    </w:p>
    <w:p w14:paraId="626444A2"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批准设立机关和批准设立文号：国务院、国函[1992]7号</w:t>
      </w:r>
    </w:p>
    <w:p w14:paraId="3BA9EDF1"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注册资本：人民币466.79095亿元</w:t>
      </w:r>
    </w:p>
    <w:p w14:paraId="011A1065"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存续期间：持续经营</w:t>
      </w:r>
    </w:p>
    <w:p w14:paraId="5FF39E00"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基金托管资格批文及文号：证</w:t>
      </w:r>
      <w:proofErr w:type="gramStart"/>
      <w:r>
        <w:rPr>
          <w:rFonts w:ascii="宋体" w:hAnsi="宋体"/>
          <w:sz w:val="24"/>
        </w:rPr>
        <w:t>监基金字</w:t>
      </w:r>
      <w:proofErr w:type="gramEnd"/>
      <w:r>
        <w:rPr>
          <w:rFonts w:ascii="宋体" w:hAnsi="宋体"/>
          <w:sz w:val="24"/>
        </w:rPr>
        <w:t>【2002】75号</w:t>
      </w:r>
    </w:p>
    <w:p w14:paraId="20013F65" w14:textId="77777777" w:rsidR="001F702C" w:rsidRDefault="00BD18A1">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（二）基金托管人对基金管理人的业务监督和核查</w:t>
      </w:r>
    </w:p>
    <w:p w14:paraId="6AE9B904"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1、基金托管人根据有关法律法规的规定及基金合同的约定，对基金投资范围、投资比例进行监督。</w:t>
      </w:r>
    </w:p>
    <w:p w14:paraId="236BB88E"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本基金的投资范围为具有良好流动性的金融工具，包括国内依法发行上市的国债、农发债、债券回购、银行存款等固定收益类资产以及法律法规或中国证监会允</w:t>
      </w:r>
      <w:r>
        <w:rPr>
          <w:rFonts w:ascii="宋体" w:hAnsi="宋体"/>
          <w:sz w:val="24"/>
        </w:rPr>
        <w:lastRenderedPageBreak/>
        <w:t>许基金投资的其他金融工具（但须符合中国证监会相关规定）。本基金不投资股票、权证等权益类资产。</w:t>
      </w:r>
    </w:p>
    <w:p w14:paraId="7693DADA"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如法律法规或监管机构以后允许基金投资其他品种，基金管理人在履行适当程序后，可以将其纳入投资范围。</w:t>
      </w:r>
    </w:p>
    <w:p w14:paraId="213FD109"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本基金的投资组合比例为：本基金投资于债券资产的比例不低于基金资产的80%，其中标的指数成份</w:t>
      </w:r>
      <w:proofErr w:type="gramStart"/>
      <w:r>
        <w:rPr>
          <w:rFonts w:ascii="宋体" w:hAnsi="宋体"/>
          <w:sz w:val="24"/>
        </w:rPr>
        <w:t>券</w:t>
      </w:r>
      <w:proofErr w:type="gramEnd"/>
      <w:r>
        <w:rPr>
          <w:rFonts w:ascii="宋体" w:hAnsi="宋体"/>
          <w:sz w:val="24"/>
        </w:rPr>
        <w:t>和备选成份</w:t>
      </w:r>
      <w:proofErr w:type="gramStart"/>
      <w:r>
        <w:rPr>
          <w:rFonts w:ascii="宋体" w:hAnsi="宋体"/>
          <w:sz w:val="24"/>
        </w:rPr>
        <w:t>券</w:t>
      </w:r>
      <w:proofErr w:type="gramEnd"/>
      <w:r>
        <w:rPr>
          <w:rFonts w:ascii="宋体" w:hAnsi="宋体"/>
          <w:sz w:val="24"/>
        </w:rPr>
        <w:t>的比例不低于本基金非现金基金资产的80%；每个交易日日终，现金或到期日在一年以内的政府债券的投资比例合计不低于基金资产净值的5%，其中现金不包括结算备付金、存出保证金、应收申购款等。</w:t>
      </w:r>
    </w:p>
    <w:p w14:paraId="28431938"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如果法律法规或中国证监会变更投资品种的投资比例限制，基金管理人在履行适当程序后，可以调整上述投资品种的投资比例。</w:t>
      </w:r>
    </w:p>
    <w:p w14:paraId="312B2FBE"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2、基金托管人根据有关法律法规的规定及基金合同的约定，对基金投资、融资比例进行监督。基金托管人按下述比例和调整期限进行监督：</w:t>
      </w:r>
    </w:p>
    <w:p w14:paraId="60D360EA"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（1）本基金投资于债券资产的比例不低于基金资产的80%，其中标的指数成份</w:t>
      </w:r>
      <w:proofErr w:type="gramStart"/>
      <w:r>
        <w:rPr>
          <w:rFonts w:ascii="宋体" w:hAnsi="宋体"/>
          <w:sz w:val="24"/>
        </w:rPr>
        <w:t>券</w:t>
      </w:r>
      <w:proofErr w:type="gramEnd"/>
      <w:r>
        <w:rPr>
          <w:rFonts w:ascii="宋体" w:hAnsi="宋体"/>
          <w:sz w:val="24"/>
        </w:rPr>
        <w:t>和备选成份</w:t>
      </w:r>
      <w:proofErr w:type="gramStart"/>
      <w:r>
        <w:rPr>
          <w:rFonts w:ascii="宋体" w:hAnsi="宋体"/>
          <w:sz w:val="24"/>
        </w:rPr>
        <w:t>券</w:t>
      </w:r>
      <w:proofErr w:type="gramEnd"/>
      <w:r>
        <w:rPr>
          <w:rFonts w:ascii="宋体" w:hAnsi="宋体"/>
          <w:sz w:val="24"/>
        </w:rPr>
        <w:t>的比例不低于本基金非现金基金资产的80%；</w:t>
      </w:r>
    </w:p>
    <w:p w14:paraId="2839E97F"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（2）每个交易日日终，保持不低于基金资产净值5%的现金或者到期日在一年以内的政府债券，其中现金不包括结算备付金、存出保证金、应收申购款等；</w:t>
      </w:r>
    </w:p>
    <w:p w14:paraId="50BF639C"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（3）本基金进入全国银行间同业市场进行债券回购的资金余额不得超过基金资产净值的40%；本基金在全国银行间同业市场中的债券回购最长期限为1 年，债券回购到期后不得展期；</w:t>
      </w:r>
    </w:p>
    <w:p w14:paraId="595D3388"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（4）本基金的基金资产总值不得超过基金资产净值的140%；</w:t>
      </w:r>
    </w:p>
    <w:p w14:paraId="678EDCC5"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本基金主动投资于流动性受限资产的市值合计不得超过基金资产净值的15%；因证券市场波动、基金规模变动等基金管理人之外的因素致使基金不符合该比例限制的，基金管理人不得主动新增流动性受限资产的投资；</w:t>
      </w:r>
    </w:p>
    <w:p w14:paraId="6EB84EC6"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（6）本基金与私募类</w:t>
      </w:r>
      <w:proofErr w:type="gramStart"/>
      <w:r>
        <w:rPr>
          <w:rFonts w:ascii="宋体" w:hAnsi="宋体"/>
          <w:sz w:val="24"/>
        </w:rPr>
        <w:t>证券资管产品</w:t>
      </w:r>
      <w:proofErr w:type="gramEnd"/>
      <w:r>
        <w:rPr>
          <w:rFonts w:ascii="宋体" w:hAnsi="宋体"/>
          <w:sz w:val="24"/>
        </w:rPr>
        <w:t>及中国证监会认定的其他主体为交易对手开展逆回购交易的，可接受质押品的资质要求应当与基金合同约定的投资范围保持一致；</w:t>
      </w:r>
    </w:p>
    <w:p w14:paraId="2FB300A2"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（7）法律法规及中国证监会规定的和《基金合同》约定的其他投资限制。</w:t>
      </w:r>
    </w:p>
    <w:p w14:paraId="012C26B0"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除上述第（2）、（5）、（6）项外，因证券市场波动、证券发行人合并或基金规模变动等基金管理人之外的因素致使基金投资比例不符合上述规定投资比例的，基金管理人应当在10个交易日内进行调整，但中国证监会规定的特殊情形除外。法律</w:t>
      </w:r>
      <w:r>
        <w:rPr>
          <w:rFonts w:ascii="宋体" w:hAnsi="宋体"/>
          <w:sz w:val="24"/>
        </w:rPr>
        <w:lastRenderedPageBreak/>
        <w:t>法规另有规定的，从其规定。</w:t>
      </w:r>
    </w:p>
    <w:p w14:paraId="15D4EDA1"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w:t>
      </w:r>
    </w:p>
    <w:p w14:paraId="24ACFC1A"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如果法律法规对基金合同约定投资组合比例限制进行变更的，以变更后的规定为准。法律法规或监管部门取消上述限制，如适用于本基金，基金管理人在履行适当程序后，则本基金不再受相关限制。</w:t>
      </w:r>
    </w:p>
    <w:p w14:paraId="1B5042C8"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3、基金托管人根据有关法律法规的规定及基金合同的约定，对本托管协议第十五条第（十二）</w:t>
      </w:r>
      <w:proofErr w:type="gramStart"/>
      <w:r>
        <w:rPr>
          <w:rFonts w:ascii="宋体" w:hAnsi="宋体"/>
          <w:sz w:val="24"/>
        </w:rPr>
        <w:t>款基金</w:t>
      </w:r>
      <w:proofErr w:type="gramEnd"/>
      <w:r>
        <w:rPr>
          <w:rFonts w:ascii="宋体" w:hAnsi="宋体"/>
          <w:sz w:val="24"/>
        </w:rPr>
        <w:t>投资禁止行为进行监督。</w:t>
      </w:r>
    </w:p>
    <w:p w14:paraId="711EBFDE"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运用基金财产买卖基金管理人、基金托管人及其控股股东、实际控制人或者与其有重大利害关系的公司发行的证券或者承销期内承销的证券，或者从事其他重大关联交易的，应当符合本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43B39B9A"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如法律、行政法规或监管部门取消上述规定，如适用于本基金，基金管理人在履行适当程序后，本基金可不受上述规定的限制。</w:t>
      </w:r>
    </w:p>
    <w:p w14:paraId="5C652D0C"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4、基金托管人根据有关法律法规的规定及基金合同的约定，对基金管理人参与银行间债券市场进行监督。</w:t>
      </w:r>
    </w:p>
    <w:p w14:paraId="307E17DA"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在基金投资运作之前向基金托管人提供符合法律法规及行业标准的、经慎重选择的、本基金适用的银行间债券市场交易对手名单，并约定各交易对手所适用的交易结算方式。基金管理人应严格按照交易对手名单的范围在银行间债券市场选择交易对手。基金托管人事后监督基金管理人是否按事前提供的银行间债券市场交易对手名单进行交易。基金管理人可以每半年对银行间债券市场交易对手名单及结算方式进行更新，新名单确定前已与本次剔除的交易对手所进行但尚未结算的交易，仍应按照协议进行结算。如基金管理人根据市场情况需要临时调整银行间债券市场交易对手名单及结算方式的，应向基金托管人说明理由，并在与交易对手发生交易前3个工作日内与基金托管人协商解决。</w:t>
      </w:r>
    </w:p>
    <w:p w14:paraId="7065CEA6"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基金管理人负责对交易对手的资信控制，按银行间债券市场的交易规则进行交</w:t>
      </w:r>
      <w:r>
        <w:rPr>
          <w:rFonts w:ascii="宋体" w:hAnsi="宋体"/>
          <w:sz w:val="24"/>
        </w:rPr>
        <w:lastRenderedPageBreak/>
        <w:t>易，基金托管人则根据银行间债券市场成交单对合同履行情况进行监督，不承担交易对手不履行合同造成的损失。如基金托管人事后发现基金管理人没有按照事先约定的交易对手进行交易时，基金托管人应及时提醒基金管理人，基金托管人不承担由此造成的任何损失和责任。</w:t>
      </w:r>
    </w:p>
    <w:p w14:paraId="0CB5A8F3"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管理人投资银行定期存款应符合相关法律法规约定。基金管理人在投资银行定期存款的过程中，必须符合基金合同就投资品种、投资比例、存款期限等方面的限制。基金管理人应基于审慎原则评估存款银行信用风险并据此选择存款银行。因基金管理人违反上述原则给基金造成的损失，基金托管人不承担任何责任。开立定期存款账户时，定期存款账户的户名应与托管账户户名一致。对于跨行定期存款投资，基金管理人必须和存款机构签订定期存款协议，约定双方的权利和义务，该协议作为划款指令附件。该协议中必须体现如下明确条款：“存款证实书不得被质押或以任何方式被抵押，并不得用于转让和背书；本息到期归还或提前支取的所有款项必须划至托管专户（明确户名、开户行、账号等），不得划入其他任何账户”。并依照本协议交接原则对存单交接流程予以明确。如定期存款协议中未体现前述条款，基金托管人有权拒绝定期存款投资的划款指令。对于跨行存款，基金管理人需提前与基金托管人就定期存款协议及存单交接流程进行沟通。在取得存款证实书后，基金托管人保管证实书正本。基金托管人不对跨行存款的利率政策风险、存款行的选择承担责任。基金托管人对投资后处于基金托管人实际控制之外的资产不承担保管责任。跨行定期存款账户的预留印鉴为基金托管人托管业务专用章与托管业务授权人名章。</w:t>
      </w:r>
    </w:p>
    <w:p w14:paraId="301F2275" w14:textId="10AFA5AA"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6、基金托管人根据有关法律法规的规定及基金合同的约定，对基金资产净值计算、</w:t>
      </w:r>
      <w:r w:rsidR="00A417F0">
        <w:rPr>
          <w:rFonts w:ascii="宋体" w:hAnsi="宋体" w:hint="eastAsia"/>
          <w:sz w:val="24"/>
        </w:rPr>
        <w:t>各类</w:t>
      </w:r>
      <w:r>
        <w:rPr>
          <w:rFonts w:ascii="宋体" w:hAnsi="宋体"/>
          <w:sz w:val="24"/>
        </w:rPr>
        <w:t>基金份额净值计算、应收资金到账、基金费用开支及收入确定、基金收益分配、相关信息披露、基金宣传推介材料中登载基金业绩表现数据等进行监督和核查。如果基金管理人未经基金托管人的审核擅自将不实的业绩表现数据印制在宣传推介材料上，</w:t>
      </w:r>
      <w:proofErr w:type="gramStart"/>
      <w:r>
        <w:rPr>
          <w:rFonts w:ascii="宋体" w:hAnsi="宋体"/>
          <w:sz w:val="24"/>
        </w:rPr>
        <w:t>则基金</w:t>
      </w:r>
      <w:proofErr w:type="gramEnd"/>
      <w:r>
        <w:rPr>
          <w:rFonts w:ascii="宋体" w:hAnsi="宋体"/>
          <w:sz w:val="24"/>
        </w:rPr>
        <w:t>托管人对此不承担任何责任，并将在发现后立即报告中国证监会。</w:t>
      </w:r>
    </w:p>
    <w:p w14:paraId="3579B47A"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7、基金托管人发现基金管理人的上述事项及投资指令或实际投资运作违反法律法规、基金合同和本托管协议的规定，应及时以电话提醒或书面提示等方式通知基金管理人限期纠正。</w:t>
      </w:r>
    </w:p>
    <w:p w14:paraId="190D7B39"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基金管理人应积极配合和协助基金托管人的监督和核查。基金管理人收到书面</w:t>
      </w:r>
      <w:r>
        <w:rPr>
          <w:rFonts w:ascii="宋体" w:hAnsi="宋体"/>
          <w:sz w:val="24"/>
        </w:rPr>
        <w:lastRenderedPageBreak/>
        <w:t>通知后应在下一工作日前及时核对并以书面形式给基金托管人发出回函，就基金托管人合理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w:t>
      </w:r>
    </w:p>
    <w:p w14:paraId="353CF773"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8、基金管理人有义务配合和协助基金托管人依照法律法规、基金合同和本托管协议对基金业务执行核查。</w:t>
      </w:r>
    </w:p>
    <w:p w14:paraId="7EEDC406"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对基金托管人发出的书面提示，基金管理人应在规定时间内答复并改正，或就基金托管人合理的疑义进行解释或举证；对基金托管人按照法律法规、基金合同和本托管协议的要求需向中国证监会报送基金监督报告的事项，基金管理人应积极配合提供相关数据资料和制度等。</w:t>
      </w:r>
    </w:p>
    <w:p w14:paraId="028624CD"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w:t>
      </w:r>
      <w:proofErr w:type="gramStart"/>
      <w:r>
        <w:rPr>
          <w:rFonts w:ascii="宋体" w:hAnsi="宋体"/>
          <w:sz w:val="24"/>
        </w:rPr>
        <w:t>若基金</w:t>
      </w:r>
      <w:proofErr w:type="gramEnd"/>
      <w:r>
        <w:rPr>
          <w:rFonts w:ascii="宋体" w:hAnsi="宋体"/>
          <w:sz w:val="24"/>
        </w:rPr>
        <w:t>托管人发现基金管理人依据交易程序已经生效的指令违反法律、行政法规和其他有关规定，或者违反基金合同约定的，应当立即通知基金管理人。</w:t>
      </w:r>
    </w:p>
    <w:p w14:paraId="6F3E8172"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10、基金托管人发现基金管理人有重大违规行为，应及时报告中国证监会，同时通知基金管理人限期纠正，并将纠正结果报告中国证监会。</w:t>
      </w:r>
    </w:p>
    <w:p w14:paraId="4BF8DC5D"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基金管理人无正当理由，拒绝、阻挠对方根据本托管协议规定行使监督权，或采取拖延、欺诈等手段妨碍对方进行有效监督，情节严重或经基金托管人提出警告仍不改正的，基金托管人应报告中国证监会。</w:t>
      </w:r>
    </w:p>
    <w:p w14:paraId="252AC68F"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w:t>
      </w:r>
      <w:proofErr w:type="gramStart"/>
      <w:r>
        <w:rPr>
          <w:rFonts w:ascii="宋体" w:hAnsi="宋体"/>
          <w:sz w:val="24"/>
        </w:rPr>
        <w:t>侧袋机制</w:t>
      </w:r>
      <w:proofErr w:type="gramEnd"/>
      <w:r>
        <w:rPr>
          <w:rFonts w:ascii="宋体" w:hAnsi="宋体"/>
          <w:sz w:val="24"/>
        </w:rPr>
        <w:t>的实施和投资运作安排</w:t>
      </w:r>
    </w:p>
    <w:p w14:paraId="75102F91"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当基金持有特定资产且存在或潜在大额赎回申请时，根据最大限度保护基金份额持有人利益的原则，基金管理人经与基金托管人协商一致，并咨询会计师事务所意见后，可以依照法律法规及基金合同的约定</w:t>
      </w:r>
      <w:proofErr w:type="gramStart"/>
      <w:r>
        <w:rPr>
          <w:rFonts w:ascii="宋体" w:hAnsi="宋体"/>
          <w:sz w:val="24"/>
        </w:rPr>
        <w:t>启用侧袋机制</w:t>
      </w:r>
      <w:proofErr w:type="gramEnd"/>
      <w:r>
        <w:rPr>
          <w:rFonts w:ascii="宋体" w:hAnsi="宋体"/>
          <w:sz w:val="24"/>
        </w:rPr>
        <w:t>。</w:t>
      </w:r>
    </w:p>
    <w:p w14:paraId="08FDC2CB"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proofErr w:type="gramStart"/>
      <w:r>
        <w:rPr>
          <w:rFonts w:ascii="宋体" w:hAnsi="宋体"/>
          <w:sz w:val="24"/>
        </w:rPr>
        <w:t>侧袋机制</w:t>
      </w:r>
      <w:proofErr w:type="gramEnd"/>
      <w:r>
        <w:rPr>
          <w:rFonts w:ascii="宋体" w:hAnsi="宋体"/>
          <w:sz w:val="24"/>
        </w:rPr>
        <w:t>实施期间，本部分约定的投资组合比例、组合限制等约定仅</w:t>
      </w:r>
      <w:proofErr w:type="gramStart"/>
      <w:r>
        <w:rPr>
          <w:rFonts w:ascii="宋体" w:hAnsi="宋体"/>
          <w:sz w:val="24"/>
        </w:rPr>
        <w:t>适用于主袋账户</w:t>
      </w:r>
      <w:proofErr w:type="gramEnd"/>
      <w:r>
        <w:rPr>
          <w:rFonts w:ascii="宋体" w:hAnsi="宋体"/>
          <w:sz w:val="24"/>
        </w:rPr>
        <w:t>。</w:t>
      </w:r>
    </w:p>
    <w:p w14:paraId="0A2695A1"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proofErr w:type="gramStart"/>
      <w:r>
        <w:rPr>
          <w:rFonts w:ascii="宋体" w:hAnsi="宋体"/>
          <w:sz w:val="24"/>
        </w:rPr>
        <w:t>侧袋账户</w:t>
      </w:r>
      <w:proofErr w:type="gramEnd"/>
      <w:r>
        <w:rPr>
          <w:rFonts w:ascii="宋体" w:hAnsi="宋体"/>
          <w:sz w:val="24"/>
        </w:rPr>
        <w:t>的实施条件、实施程序、运作安排、投资安排、特定资产的处置变现和支付等对投资者权益有重大影响的事项详见招募说明书的规定。</w:t>
      </w:r>
    </w:p>
    <w:p w14:paraId="0546F797" w14:textId="77777777" w:rsidR="001F702C" w:rsidRDefault="00BD18A1">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（三）基金管理人对基金托管人的业务核查</w:t>
      </w:r>
    </w:p>
    <w:p w14:paraId="0E9514E1" w14:textId="0FF86AAA"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对基金托管人履行托管职责情况进行核查，核查事项包括基金托管人安全保管基金财产、开设基金财产的资金账户和证券账户等投资所需账户、复核基金管理人计算的各类基金份额的基金资产净值和基金份额净值、根据基金管</w:t>
      </w:r>
      <w:r>
        <w:rPr>
          <w:rFonts w:ascii="宋体" w:hAnsi="宋体"/>
          <w:sz w:val="24"/>
        </w:rPr>
        <w:lastRenderedPageBreak/>
        <w:t>理人指令办理清算交收、相关信息披露和监督基金投资运作等行为。</w:t>
      </w:r>
    </w:p>
    <w:p w14:paraId="084EB7FC"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w:t>
      </w:r>
      <w:proofErr w:type="gramStart"/>
      <w:r>
        <w:rPr>
          <w:rFonts w:ascii="宋体" w:hAnsi="宋体"/>
          <w:sz w:val="24"/>
        </w:rPr>
        <w:t>供基金</w:t>
      </w:r>
      <w:proofErr w:type="gramEnd"/>
      <w:r>
        <w:rPr>
          <w:rFonts w:ascii="宋体" w:hAnsi="宋体"/>
          <w:sz w:val="24"/>
        </w:rPr>
        <w:t>管理人核查托管财产的完整性和真实性，在规定时间内答复基金管理人并改正。</w:t>
      </w:r>
    </w:p>
    <w:p w14:paraId="4EF4F385"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14:paraId="262F1F44" w14:textId="77777777" w:rsidR="001F702C" w:rsidRDefault="00BD18A1">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（四）基金财产的保管</w:t>
      </w:r>
    </w:p>
    <w:p w14:paraId="78CF4765"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1、基金财产保管的原则</w:t>
      </w:r>
    </w:p>
    <w:p w14:paraId="42F2E9C6"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（1）基金财产应独立于基金管理人、基金托管人的固有财产；</w:t>
      </w:r>
    </w:p>
    <w:p w14:paraId="7BFF22F9"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（2）基金托管人应安全保管基金财产；</w:t>
      </w:r>
    </w:p>
    <w:p w14:paraId="05EDA6B1"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（3）基金托管人按照规定开设基金财产的资金账户和证券账户等投资所需账户；</w:t>
      </w:r>
    </w:p>
    <w:p w14:paraId="09208E13"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（4）基金托管人对所托管的不同基金财产分别设置账户，确保基金财产的完整与独立；</w:t>
      </w:r>
    </w:p>
    <w:p w14:paraId="40F7241A"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（5）基金托管人根据基金管理人的指令，按照基金合同和本协议的约定保管基金财产，如有特殊情况双方可另行协商解决；</w:t>
      </w:r>
    </w:p>
    <w:p w14:paraId="6430D1EF"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对于因为基金投资产生的应收资产，应由基金管理人负责与有关当事人确定到账日期并通知基金托管人，到账日基金财产没有到达基金账户的，基金托管人应及时通知并配合基金管理人采取措施进行催收。由此给基金财产造成损失的，基金管理人应负责向有关当事人追偿基金财产的损失，基金托管人应及时配合基金管理人向有关当事人追偿基金财产的损失；</w:t>
      </w:r>
    </w:p>
    <w:p w14:paraId="3FF2AB85"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（7）除依据法律法规和基金合同的规定外，基金托管人不得委托第三人托管</w:t>
      </w:r>
      <w:r>
        <w:rPr>
          <w:rFonts w:ascii="宋体" w:hAnsi="宋体"/>
          <w:sz w:val="24"/>
        </w:rPr>
        <w:lastRenderedPageBreak/>
        <w:t>基金财产。</w:t>
      </w:r>
    </w:p>
    <w:p w14:paraId="5BAAE428"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2、基金募集期间及募集资金的验资</w:t>
      </w:r>
    </w:p>
    <w:p w14:paraId="45FFC060"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（1）基金募集期间募集的资金应存于基金管理人开立的“基金募集专户”。该账户由基金管理人开立并管理。</w:t>
      </w:r>
    </w:p>
    <w:p w14:paraId="7F8407A6"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募集期满或基金停止募集时，募集的基金份额总额、基金募集金额、基金份额持有人人数符合《基金法》、《运作办法》等有关规定后，基金管理人应将属于基金财产的全部资金划入基金托管人开立的基金托管专户，同时在规定时间内，聘请具有从事证券相关业务资格的会计师事务所进行验资，出具验资报告。出具的验资报告由参加验资的2名或2名以上中国注册会计师签字方为有效。</w:t>
      </w:r>
    </w:p>
    <w:p w14:paraId="07267746"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w:t>
      </w:r>
      <w:proofErr w:type="gramStart"/>
      <w:r>
        <w:rPr>
          <w:rFonts w:ascii="宋体" w:hAnsi="宋体"/>
          <w:sz w:val="24"/>
        </w:rPr>
        <w:t>若基金</w:t>
      </w:r>
      <w:proofErr w:type="gramEnd"/>
      <w:r>
        <w:rPr>
          <w:rFonts w:ascii="宋体" w:hAnsi="宋体"/>
          <w:sz w:val="24"/>
        </w:rPr>
        <w:t>募集期限届满或基金停止募集时，未能达到基金合同生效的条件，由基金管理人按规定办理退款等事宜。</w:t>
      </w:r>
    </w:p>
    <w:p w14:paraId="69BA7798"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3、基金托管专户的开立和管理</w:t>
      </w:r>
    </w:p>
    <w:p w14:paraId="318AE0C8"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基金托管专户的名称:交银施罗德中债1-3年农发行债券指数证券投资基金</w:t>
      </w:r>
    </w:p>
    <w:p w14:paraId="37DE14F9"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托管账户开户行:中国光大银行深圳分行营业部</w:t>
      </w:r>
    </w:p>
    <w:p w14:paraId="5DD776C3"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托管人以基金的名义在其营业机构开设基金托管专户，保管基金的银行存款。本基金的一切货币收支活动，包括但不限于投资、支付赎回金额、支付基金收益、收取申购款，均需通过基金托管专户进行。</w:t>
      </w:r>
    </w:p>
    <w:p w14:paraId="2DF3FCAB"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（2）基金托管专户的开立和使用，限于满足开展本基金业务的需要。基金托管人和基金管理人不得假借本基金的名义开立任何其他银行账户；亦不得使用基金的任何账户进行本基金业务以外的活动。</w:t>
      </w:r>
    </w:p>
    <w:p w14:paraId="04310032"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（3）基金托管专户的开立和管理应符合有关法律法规以及银行业监督管理机构的其他有关规定。</w:t>
      </w:r>
    </w:p>
    <w:p w14:paraId="66E129FF"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4、基金证券账户和结算备付金账户的开立和管理</w:t>
      </w:r>
    </w:p>
    <w:p w14:paraId="6714FF70"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（1）基金托管人在中国证券登记结算有限责任公司上海分公司、深圳分公司为基金开立基金托管人与基金联名的证券账户。</w:t>
      </w:r>
    </w:p>
    <w:p w14:paraId="2B9869CB"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（2）基金证券账户的开立和使用，仅限于满足开展本基金业务的需要。基金托管人和基金管理人不得出借或未经对方同意擅自转让基金的任何证券账户，亦不得使用基金的任何账户进行本基金业务以外的活动。</w:t>
      </w:r>
    </w:p>
    <w:p w14:paraId="111F5F20"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（3）基金证券账户的开立和证券账户卡的保管由基金托管人负责，账户资产的管理和运用由基金管理人负责。</w:t>
      </w:r>
    </w:p>
    <w:p w14:paraId="7B9101F3"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4）基金托管人以基金托管人的名义在中国证券登记结算有限责任公司开立结算备付金账户，并代表所托管的基金完成与中国证券登记结算有限责任公司的一级法人清算工作，基金管理人应予以积极协助。结算备付金、交收价差资金等的收取按照中国证券登记结算有限责任公司的规定执行。</w:t>
      </w:r>
    </w:p>
    <w:p w14:paraId="0504B161"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（5）若中国证监会或其他监管机构在本托管协议订立日之后允许基金从事其他投资品种的投资业务，涉及相关账户的开立、使用的，若无相关规定，</w:t>
      </w:r>
      <w:proofErr w:type="gramStart"/>
      <w:r>
        <w:rPr>
          <w:rFonts w:ascii="宋体" w:hAnsi="宋体"/>
          <w:sz w:val="24"/>
        </w:rPr>
        <w:t>则基金</w:t>
      </w:r>
      <w:proofErr w:type="gramEnd"/>
      <w:r>
        <w:rPr>
          <w:rFonts w:ascii="宋体" w:hAnsi="宋体"/>
          <w:sz w:val="24"/>
        </w:rPr>
        <w:t>托管人比照上述关于账户开立、使用的规定执行。</w:t>
      </w:r>
    </w:p>
    <w:p w14:paraId="20159182"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5、银行间债券托管专户的开设和管理</w:t>
      </w:r>
    </w:p>
    <w:p w14:paraId="767BF5B3"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生效后，基金管理人负责以基金的名义申请并取得进入全国银行间同业拆借市场的交易资格，并代表基金进行交易；基金托管人负责以本基金的名义在银行间市场开设银行间债券市场债券托管账户、持有人账户和资金结算账户，并代表基金进行银行间市场债券的结算。基金管理人和基金托管人共同代表基金签订全国银行间债券市场债券回购主协议，基金托管人保管协议正本，基金管理人保存协议副本。</w:t>
      </w:r>
    </w:p>
    <w:p w14:paraId="0C8DCD31"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6、其他账户的开立和管理</w:t>
      </w:r>
    </w:p>
    <w:p w14:paraId="37057956"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本托管协议签订日之后，本基金被允许从事符合法律法规规定和《基金合同》约定的其他投资品种的投资业务时，如果涉及相关账户的开设和使用，由基金管理人协助基金托管人根据有关法律法规的规定和《基金合同》的约定，开立有关账户。该账户按有关规则使用并管理。</w:t>
      </w:r>
    </w:p>
    <w:p w14:paraId="680CBC58"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7、基金财产投资的有关有价凭证等的保管</w:t>
      </w:r>
    </w:p>
    <w:p w14:paraId="4BA26F95"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财产投资的有关实物证券等有价凭证由基金托管人存放于基金托管人的保管库，也可存入中央国债登记结算有限责任公司、中国证券登记结算有限责任公司上海分公司/深圳分公司、银行间市场清算所股份有限公司或票据营业中心的代保管库，保管凭证由基金托管人持有。实物证券等有价凭证的购买和转让，由基金管理人和基金托管人共同办理。基金托管人对由基金托管人及基金托管人委托保管的机构以外机构实际有效控制的证券不承担保管责任。</w:t>
      </w:r>
    </w:p>
    <w:p w14:paraId="319F8B62"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8、与基金财产有关的重大合同的保管</w:t>
      </w:r>
    </w:p>
    <w:p w14:paraId="50B309CA"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与基金财产有关的重大合同的签署，由基金管理人负责。由基金管理人代表基金签署的、与基金财产有关的重大合同的原件分别由基金管理人、基金托管人保管。除本协议另有规定外，基金管理人代表基金签署的与基金财产有关的重大合同</w:t>
      </w:r>
      <w:r>
        <w:rPr>
          <w:rFonts w:ascii="宋体" w:hAnsi="宋体"/>
          <w:sz w:val="24"/>
        </w:rPr>
        <w:lastRenderedPageBreak/>
        <w:t>包括但不限于基金年度审计合同、基金信息披露协议及基金投资业务中产生的重大合同，基金管理人应保证基金管理人和基金托管人至少各持有一份正本的原件。基金管理人应在重大合同签署后及时将重大合同传真给基金托管人，并在30个工作日内将正本送达基金托管人处。重大合同的保管期限为基金合同终止后15年。</w:t>
      </w:r>
    </w:p>
    <w:p w14:paraId="7F8B6664"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对于无法取得二份以上正本的，基金管理人应向基金托管人提供与合同原件核对一致的加盖公章的合同传真件，未经双方协商一致，合同原件不得转移。</w:t>
      </w:r>
    </w:p>
    <w:p w14:paraId="21E40CA1" w14:textId="77777777" w:rsidR="001F702C" w:rsidRDefault="00BD18A1">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（五）基金资产净值计算与复核</w:t>
      </w:r>
    </w:p>
    <w:p w14:paraId="44C55188"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1、基金资产净值</w:t>
      </w:r>
    </w:p>
    <w:p w14:paraId="60D5AE76" w14:textId="45D8A659"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资产净值是指基金资产总值减去负债后的价值。各类基金份额的基金份额净值是按照每个工作日闭市后，该类基金份额的基金资产净值除以当日该类基金份额的余额数量计算，精确到0.0001元，小数点后第五位四舍五入。</w:t>
      </w:r>
    </w:p>
    <w:p w14:paraId="0092DFD4"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2、复核程序</w:t>
      </w:r>
    </w:p>
    <w:p w14:paraId="1DA17E44" w14:textId="50C02F40"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基金管理人每个工作日对基金资产进行估值后，将</w:t>
      </w:r>
      <w:r w:rsidR="001210BD">
        <w:rPr>
          <w:rFonts w:ascii="宋体" w:hAnsi="宋体" w:hint="eastAsia"/>
          <w:color w:val="000000"/>
          <w:sz w:val="24"/>
          <w:szCs w:val="24"/>
        </w:rPr>
        <w:t>各类</w:t>
      </w:r>
      <w:r>
        <w:rPr>
          <w:rFonts w:ascii="宋体" w:hAnsi="宋体"/>
          <w:sz w:val="24"/>
        </w:rPr>
        <w:t>基金份额净值结果发送基金托管人，经基金托管人复核无误后，由基金管理人按规定对外公布，但基金管理人根据法律法规或基金合同的规定暂停估值时除外。</w:t>
      </w:r>
    </w:p>
    <w:p w14:paraId="5775BDA9"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根据有关法律法规，基金资产净值计算和基金会计核算的义务由基金管理人承担。本基金的基金会计责任方由基金管理人担任，因此，就与本基金有关的会计问题，如经相关各方在平等基础上充分讨论后，仍无法达成一致意见的，按照基金管理人对基金资产净值的计算结果对外予以公布。</w:t>
      </w:r>
    </w:p>
    <w:p w14:paraId="5AF9E242" w14:textId="77777777" w:rsidR="001F702C" w:rsidRDefault="00BD18A1">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（六）基金份额持有人名册的保管</w:t>
      </w:r>
    </w:p>
    <w:p w14:paraId="3F69E8AD"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名册至少应包括基金份额持有人的名称和持有的基金份额。基金份额持有人名册由基金登记机构根据基金管理人的指令编制和保管。基金管理人应定期向基金托管人提供基金份额持有人名册，基金托管人得到基金管理人提供的持有人名册后与基金管理人分别进行保管。保管方式可以采用电子或文档的形式，保存期不少于15年。如不能妥善保管，则按相关法规承担责任。</w:t>
      </w:r>
    </w:p>
    <w:p w14:paraId="5D10017F"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人因编制基金定期报告等合理原因要求基金管理人提供相关资料时，基金管理人应将有关资料送交基金托管人，不得无故拒绝或延误提供，并保证其真实性、准确性和完整性。基金托管人不得将所保管的基金份额持有人名册用于基金托管业务以外的其他用途，并应遵守保密义务。</w:t>
      </w:r>
    </w:p>
    <w:p w14:paraId="4A165E5F" w14:textId="77777777" w:rsidR="001F702C" w:rsidRDefault="00BD18A1">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（七）争议解决方式</w:t>
      </w:r>
    </w:p>
    <w:p w14:paraId="572F384E"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双方当事人同意，因本协议而产生的或与本协议有关的一切争议，如经友好协商未能解决的，任何一方均有权将争议提交中国国际经济贸易仲裁委员会，按照中国国际经济贸易仲裁委员会届时有效的仲裁规则进行仲裁。仲裁地点为北京市。仲裁裁决是终局的，对各方当事人均有约束力，除非仲裁裁决另有规定，仲裁费用、律师费由败诉方承担。</w:t>
      </w:r>
    </w:p>
    <w:p w14:paraId="498FE15A"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争议处理期间，双方当事人应恪守基金管理人和基金托管人职责，各自继续忠实、勤勉、尽责地履行基金合同和本托管协议规定的义务，维护基金份额持有人的合法权益。</w:t>
      </w:r>
    </w:p>
    <w:p w14:paraId="2FC50B72"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本协议受中国法律管辖。</w:t>
      </w:r>
    </w:p>
    <w:p w14:paraId="3554CE69" w14:textId="77777777" w:rsidR="001F702C" w:rsidRDefault="00BD18A1">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（八）托管协议的变更与终止</w:t>
      </w:r>
    </w:p>
    <w:p w14:paraId="117F5C40"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1、托管协议的变更程序</w:t>
      </w:r>
    </w:p>
    <w:p w14:paraId="5E02CF60"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本协议双方当事人经协商一致，可以对协议进行修改。修改后的新协议，其内容不得与基金合同的规定有任何冲突。基金托管协议的变更报中国证监会备案。</w:t>
      </w:r>
    </w:p>
    <w:p w14:paraId="2CDA84B2"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2、基金托管协议终止的情形</w:t>
      </w:r>
    </w:p>
    <w:p w14:paraId="56216CF1"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（1）基金合同终止；</w:t>
      </w:r>
    </w:p>
    <w:p w14:paraId="5B5D2FF1"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（2）基金托管人解散、依法被撤销、破产或由其他基金托管人接管基金资产；</w:t>
      </w:r>
    </w:p>
    <w:p w14:paraId="21051AF3"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（3）基金管理人解散、依法被撤销、破产或由其他基金管理人接管基金管理权；</w:t>
      </w:r>
    </w:p>
    <w:p w14:paraId="5BE7B36B"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（4）发生法律法规或基金合同规定的终止事项。</w:t>
      </w:r>
    </w:p>
    <w:p w14:paraId="62DAF339" w14:textId="77777777" w:rsidR="00367445" w:rsidRDefault="00BD18A1" w:rsidP="00367445">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04B1CC5E" w14:textId="77777777" w:rsidR="001F702C" w:rsidRDefault="00BD18A1">
      <w:pPr>
        <w:pStyle w:val="1"/>
        <w:snapToGrid w:val="0"/>
        <w:spacing w:beforeLines="0" w:before="240" w:after="240"/>
        <w:rPr>
          <w:rFonts w:ascii="宋体" w:hAnsi="宋体"/>
          <w:szCs w:val="30"/>
        </w:rPr>
      </w:pPr>
      <w:bookmarkStart w:id="28" w:name="_Toc140049427"/>
      <w:bookmarkEnd w:id="27"/>
      <w:r>
        <w:rPr>
          <w:rFonts w:ascii="Times New Roman" w:hAnsi="Times New Roman"/>
          <w:sz w:val="30"/>
        </w:rPr>
        <w:lastRenderedPageBreak/>
        <w:t>二十三、对基金份额持有人的服务</w:t>
      </w:r>
      <w:bookmarkEnd w:id="28"/>
    </w:p>
    <w:p w14:paraId="33F9F2E3"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基金管理人承诺为基金份额持有人提供一系列的服务。基金管理人根据基金份额持有人的需要和市场的变化，有权增加或变更服务项目。主要服务内容如下：</w:t>
      </w:r>
    </w:p>
    <w:p w14:paraId="16E7C5E9"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（一）持有人交易资料的寄送服务</w:t>
      </w:r>
    </w:p>
    <w:p w14:paraId="54A02E25"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1、每次交易结束后，投资人可在T+2个工作日后通过销售机构的网点查询和打印确认单。</w:t>
      </w:r>
    </w:p>
    <w:p w14:paraId="20172B9E"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2、本基金管理人将向持有人提供电子或纸质对账单，需要订阅或取消的客户可与本基金管理</w:t>
      </w:r>
      <w:proofErr w:type="gramStart"/>
      <w:r>
        <w:rPr>
          <w:rFonts w:ascii="宋体" w:hAnsi="宋体"/>
          <w:sz w:val="24"/>
        </w:rPr>
        <w:t>人客户</w:t>
      </w:r>
      <w:proofErr w:type="gramEnd"/>
      <w:r>
        <w:rPr>
          <w:rFonts w:ascii="宋体" w:hAnsi="宋体"/>
          <w:sz w:val="24"/>
        </w:rPr>
        <w:t>服务中心（400-700-5000，021-61055000）联系。</w:t>
      </w:r>
    </w:p>
    <w:p w14:paraId="33F10EA3"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（二）网上直销服务</w:t>
      </w:r>
    </w:p>
    <w:p w14:paraId="41CB4C92" w14:textId="76B9EF54"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管理人已开通基金网上直销业务，个人投资者可以直接通过本基金管理人网站的网上直销交易平台办理开户和本基金的申购、赎回、定期定额投资、转换等业务。通过网上直销交易平台办理本基金A类基金份额</w:t>
      </w:r>
      <w:r w:rsidR="003627CA">
        <w:rPr>
          <w:rFonts w:ascii="宋体" w:hAnsi="宋体" w:hint="eastAsia"/>
          <w:sz w:val="24"/>
        </w:rPr>
        <w:t>或</w:t>
      </w:r>
      <w:r w:rsidR="001210BD">
        <w:rPr>
          <w:rFonts w:ascii="宋体" w:hAnsi="宋体" w:hint="eastAsia"/>
          <w:sz w:val="24"/>
        </w:rPr>
        <w:t>D类基金份额</w:t>
      </w:r>
      <w:r>
        <w:rPr>
          <w:rFonts w:ascii="宋体" w:hAnsi="宋体"/>
          <w:sz w:val="24"/>
        </w:rPr>
        <w:t>的申购和定期定额投资业务的个人投资者将享受前端申购费率的优惠。具体优惠费率请参见公司网站列示的网上直销交易平台申购、定期定额投资费率表或相关公告。</w:t>
      </w:r>
    </w:p>
    <w:p w14:paraId="2F455036"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基金网上直销交易平台已开通的银行卡及各银行卡交易金额限额请参阅本基金管理人网站。</w:t>
      </w:r>
    </w:p>
    <w:p w14:paraId="1122F2EC"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在条件成熟的时候，本基金管理人将根据基金网上直销业务的发展状况，适时调整可用于网上直销交易平台的银行卡种类，敬请投资人留意相关公告。</w:t>
      </w:r>
    </w:p>
    <w:p w14:paraId="04CE1045" w14:textId="77777777" w:rsidR="001F702C" w:rsidRDefault="00BD18A1">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（三）信息咨询、查询服务</w:t>
      </w:r>
    </w:p>
    <w:p w14:paraId="7052D3F2"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投资人如果想查询申购和赎回等交易情况、分红方式状态、基金账户余额、基金产品与服务等信息，请拨打本基金管理</w:t>
      </w:r>
      <w:proofErr w:type="gramStart"/>
      <w:r>
        <w:rPr>
          <w:rFonts w:ascii="宋体" w:hAnsi="宋体"/>
          <w:sz w:val="24"/>
        </w:rPr>
        <w:t>人客户</w:t>
      </w:r>
      <w:proofErr w:type="gramEnd"/>
      <w:r>
        <w:rPr>
          <w:rFonts w:ascii="宋体" w:hAnsi="宋体"/>
          <w:sz w:val="24"/>
        </w:rPr>
        <w:t>服务电话（400-700-5000，021-61055000）或登录本基金管理人网站（www.fund001.com）进行咨询、查询。</w:t>
      </w:r>
    </w:p>
    <w:p w14:paraId="3499E38D"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管理人为投资人预设基金查询密码，预设的基金查询密码为投资人开户证件号码的后6位数字，不足6位数字的，前面加“0”补足。基金查询密码用于投资人通过客户服务电话查询基金账户下的账户和交易信息。投资人请在其知晓基金账号后，及时拨打本基金管理</w:t>
      </w:r>
      <w:proofErr w:type="gramStart"/>
      <w:r>
        <w:rPr>
          <w:rFonts w:ascii="宋体" w:hAnsi="宋体"/>
          <w:sz w:val="24"/>
        </w:rPr>
        <w:t>人客户</w:t>
      </w:r>
      <w:proofErr w:type="gramEnd"/>
      <w:r>
        <w:rPr>
          <w:rFonts w:ascii="宋体" w:hAnsi="宋体"/>
          <w:sz w:val="24"/>
        </w:rPr>
        <w:t>服务电话修改基金查询密码。</w:t>
      </w:r>
    </w:p>
    <w:p w14:paraId="0EBB5CC9"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投资人可以拨打本基金管理</w:t>
      </w:r>
      <w:proofErr w:type="gramStart"/>
      <w:r>
        <w:rPr>
          <w:rFonts w:ascii="宋体" w:hAnsi="宋体"/>
          <w:sz w:val="24"/>
        </w:rPr>
        <w:t>人客户</w:t>
      </w:r>
      <w:proofErr w:type="gramEnd"/>
      <w:r>
        <w:rPr>
          <w:rFonts w:ascii="宋体" w:hAnsi="宋体"/>
          <w:sz w:val="24"/>
        </w:rPr>
        <w:t>服务电话投诉直销机构的人员和服务。</w:t>
      </w:r>
    </w:p>
    <w:p w14:paraId="44E34637" w14:textId="77777777" w:rsidR="001F702C" w:rsidRDefault="00BD18A1">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（四）基金转换业务</w:t>
      </w:r>
    </w:p>
    <w:p w14:paraId="5E09727D"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本基金已开通转换业务，具体实施方法请参见相关公告。</w:t>
      </w:r>
    </w:p>
    <w:p w14:paraId="2B79FC54" w14:textId="77777777" w:rsidR="001F702C" w:rsidRDefault="00BD18A1">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lastRenderedPageBreak/>
        <w:t>（五）基金红利再投资</w:t>
      </w:r>
    </w:p>
    <w:p w14:paraId="01D1F0F8" w14:textId="5F7F328E"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收益分配时，基金份额持有人持有的基金份额可选择现金红利或选择红利再投将现金红利自动转为基金份额进行再投资，若投资人不选择，本基金默认的收益分配方式是现金分红；基金份额持有人可对其持有的A类</w:t>
      </w:r>
      <w:r w:rsidR="00491E5D">
        <w:rPr>
          <w:rFonts w:ascii="宋体" w:hAnsi="宋体" w:hint="eastAsia"/>
          <w:sz w:val="24"/>
        </w:rPr>
        <w:t>基金份额</w:t>
      </w:r>
      <w:r w:rsidR="00DD554F">
        <w:rPr>
          <w:rFonts w:ascii="宋体" w:hAnsi="宋体" w:hint="eastAsia"/>
          <w:sz w:val="24"/>
        </w:rPr>
        <w:t>、</w:t>
      </w:r>
      <w:r>
        <w:rPr>
          <w:rFonts w:ascii="宋体" w:hAnsi="宋体"/>
          <w:sz w:val="24"/>
        </w:rPr>
        <w:t>C类基金份额</w:t>
      </w:r>
      <w:r w:rsidR="00491E5D">
        <w:rPr>
          <w:rFonts w:ascii="宋体" w:hAnsi="宋体" w:hint="eastAsia"/>
          <w:sz w:val="24"/>
        </w:rPr>
        <w:t>和D类基金份额</w:t>
      </w:r>
      <w:r>
        <w:rPr>
          <w:rFonts w:ascii="宋体" w:hAnsi="宋体"/>
          <w:sz w:val="24"/>
        </w:rPr>
        <w:t>分别选择不同的收益分配方式。再投资红利按红利再投日（即除息日）除息后的基金份额净值自动转为基金份额，并免收申购费用。</w:t>
      </w:r>
    </w:p>
    <w:p w14:paraId="6E161463" w14:textId="77777777" w:rsidR="001F702C" w:rsidRDefault="00BD18A1">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（六）定期定额投资计划</w:t>
      </w:r>
    </w:p>
    <w:p w14:paraId="6018FFF1" w14:textId="3878BBD5"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本基金已开通A类基金份额</w:t>
      </w:r>
      <w:r w:rsidR="00E2532D">
        <w:rPr>
          <w:rFonts w:ascii="宋体" w:hAnsi="宋体" w:hint="eastAsia"/>
          <w:sz w:val="24"/>
        </w:rPr>
        <w:t>和D类基金份额</w:t>
      </w:r>
      <w:r>
        <w:rPr>
          <w:rFonts w:ascii="宋体" w:hAnsi="宋体"/>
          <w:sz w:val="24"/>
        </w:rPr>
        <w:t>的定期定额投资计划，具体实施方法请参见相关公告。</w:t>
      </w:r>
    </w:p>
    <w:p w14:paraId="3A1FB990"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服务联系方式：</w:t>
      </w:r>
    </w:p>
    <w:p w14:paraId="6E1E8A33"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本基金管理人的互联网地址及电子信箱</w:t>
      </w:r>
    </w:p>
    <w:p w14:paraId="24A8ABE8"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网址：www.fund001.com</w:t>
      </w:r>
    </w:p>
    <w:p w14:paraId="75D7B3FA"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电子信箱：services@jysld.com</w:t>
      </w:r>
    </w:p>
    <w:p w14:paraId="6F206FB5"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投资者也可登录本基金管理人网站，直接提出有关本基金的问题和建议。</w:t>
      </w:r>
    </w:p>
    <w:p w14:paraId="4A6A768D"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（七）如本招募说明书存在任何您/</w:t>
      </w:r>
      <w:proofErr w:type="gramStart"/>
      <w:r>
        <w:rPr>
          <w:rFonts w:ascii="宋体" w:hAnsi="宋体"/>
          <w:sz w:val="24"/>
        </w:rPr>
        <w:t>贵机构</w:t>
      </w:r>
      <w:proofErr w:type="gramEnd"/>
      <w:r>
        <w:rPr>
          <w:rFonts w:ascii="宋体" w:hAnsi="宋体"/>
          <w:sz w:val="24"/>
        </w:rPr>
        <w:t>无法理解的内容，请通过上述方式联系基金管理人。</w:t>
      </w:r>
      <w:proofErr w:type="gramStart"/>
      <w:r>
        <w:rPr>
          <w:rFonts w:ascii="宋体" w:hAnsi="宋体"/>
          <w:sz w:val="24"/>
        </w:rPr>
        <w:t>请确保</w:t>
      </w:r>
      <w:proofErr w:type="gramEnd"/>
      <w:r>
        <w:rPr>
          <w:rFonts w:ascii="宋体" w:hAnsi="宋体"/>
          <w:sz w:val="24"/>
        </w:rPr>
        <w:t>投资前，您/</w:t>
      </w:r>
      <w:proofErr w:type="gramStart"/>
      <w:r>
        <w:rPr>
          <w:rFonts w:ascii="宋体" w:hAnsi="宋体"/>
          <w:sz w:val="24"/>
        </w:rPr>
        <w:t>贵机构</w:t>
      </w:r>
      <w:proofErr w:type="gramEnd"/>
      <w:r>
        <w:rPr>
          <w:rFonts w:ascii="宋体" w:hAnsi="宋体"/>
          <w:sz w:val="24"/>
        </w:rPr>
        <w:t>已经全面理解了本招募说明书</w:t>
      </w:r>
    </w:p>
    <w:p w14:paraId="7152EC8A" w14:textId="77777777" w:rsidR="00367445" w:rsidRDefault="00BD18A1" w:rsidP="00367445">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15496ADD" w14:textId="77777777" w:rsidR="001F702C" w:rsidRDefault="00BD18A1">
      <w:pPr>
        <w:pStyle w:val="1"/>
        <w:snapToGrid w:val="0"/>
        <w:spacing w:beforeLines="0" w:before="240" w:after="240"/>
        <w:rPr>
          <w:rFonts w:ascii="宋体" w:hAnsi="宋体"/>
          <w:szCs w:val="30"/>
        </w:rPr>
      </w:pPr>
      <w:bookmarkStart w:id="29" w:name="_Toc140049428"/>
      <w:r>
        <w:rPr>
          <w:rFonts w:ascii="Times New Roman" w:hAnsi="Times New Roman"/>
          <w:sz w:val="30"/>
        </w:rPr>
        <w:lastRenderedPageBreak/>
        <w:t>二十四、其他应披露事项</w:t>
      </w:r>
      <w:bookmarkEnd w:id="29"/>
    </w:p>
    <w:p w14:paraId="3C955629"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基金合同如有未尽事宜，由基金合同当事人各方按有关法律法规协商解决。</w:t>
      </w:r>
    </w:p>
    <w:p w14:paraId="48172D60"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本招募说明书更新期间基金披露的其他重要事项</w:t>
      </w:r>
    </w:p>
    <w:tbl>
      <w:tblPr>
        <w:tblW w:w="5000" w:type="pct"/>
        <w:tblCellMar>
          <w:left w:w="0" w:type="dxa"/>
          <w:right w:w="0" w:type="dxa"/>
        </w:tblCellMar>
        <w:tblLook w:val="0000" w:firstRow="0" w:lastRow="0" w:firstColumn="0" w:lastColumn="0" w:noHBand="0" w:noVBand="0"/>
      </w:tblPr>
      <w:tblGrid>
        <w:gridCol w:w="1006"/>
        <w:gridCol w:w="3018"/>
        <w:gridCol w:w="3017"/>
        <w:gridCol w:w="1609"/>
      </w:tblGrid>
      <w:tr w:rsidR="001F702C" w14:paraId="355DAB3B"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3C34847B" w14:textId="77777777" w:rsidR="001F702C" w:rsidRDefault="00BD18A1">
            <w:pPr>
              <w:widowControl/>
              <w:snapToGrid w:val="0"/>
              <w:jc w:val="center"/>
              <w:rPr>
                <w:rFonts w:ascii="宋体" w:hAnsi="宋体"/>
                <w:color w:val="000000"/>
                <w:kern w:val="0"/>
                <w:sz w:val="25"/>
                <w:szCs w:val="24"/>
              </w:rPr>
            </w:pPr>
            <w:r>
              <w:rPr>
                <w:rFonts w:ascii="Times New Roman" w:hAnsi="Times New Roman"/>
                <w:color w:val="000000"/>
                <w:kern w:val="0"/>
                <w:sz w:val="25"/>
                <w:szCs w:val="24"/>
              </w:rPr>
              <w:t>序号</w:t>
            </w:r>
          </w:p>
        </w:tc>
        <w:tc>
          <w:tcPr>
            <w:tcW w:w="750" w:type="pct"/>
            <w:tcBorders>
              <w:top w:val="single" w:sz="4" w:space="0" w:color="auto"/>
              <w:left w:val="single" w:sz="4" w:space="0" w:color="auto"/>
              <w:bottom w:val="single" w:sz="4" w:space="0" w:color="auto"/>
              <w:right w:val="single" w:sz="4" w:space="0" w:color="auto"/>
            </w:tcBorders>
            <w:vAlign w:val="center"/>
          </w:tcPr>
          <w:p w14:paraId="45CB3CE6" w14:textId="77777777" w:rsidR="001F702C" w:rsidRDefault="00BD18A1">
            <w:pPr>
              <w:widowControl/>
              <w:snapToGrid w:val="0"/>
              <w:jc w:val="center"/>
              <w:rPr>
                <w:rFonts w:ascii="宋体" w:hAnsi="宋体"/>
                <w:color w:val="000000"/>
                <w:kern w:val="0"/>
                <w:sz w:val="25"/>
                <w:szCs w:val="24"/>
              </w:rPr>
            </w:pPr>
            <w:r>
              <w:rPr>
                <w:rFonts w:ascii="Times New Roman" w:hAnsi="Times New Roman"/>
                <w:color w:val="000000"/>
                <w:kern w:val="0"/>
                <w:sz w:val="25"/>
                <w:szCs w:val="24"/>
              </w:rPr>
              <w:t>公告事项</w:t>
            </w:r>
          </w:p>
        </w:tc>
        <w:tc>
          <w:tcPr>
            <w:tcW w:w="750" w:type="pct"/>
            <w:tcBorders>
              <w:top w:val="single" w:sz="4" w:space="0" w:color="auto"/>
              <w:left w:val="single" w:sz="4" w:space="0" w:color="auto"/>
              <w:bottom w:val="single" w:sz="4" w:space="0" w:color="auto"/>
              <w:right w:val="single" w:sz="4" w:space="0" w:color="auto"/>
            </w:tcBorders>
            <w:vAlign w:val="center"/>
          </w:tcPr>
          <w:p w14:paraId="20EC11B5" w14:textId="77777777" w:rsidR="001F702C" w:rsidRDefault="00BD18A1">
            <w:pPr>
              <w:widowControl/>
              <w:snapToGrid w:val="0"/>
              <w:jc w:val="center"/>
              <w:rPr>
                <w:rFonts w:ascii="宋体" w:hAnsi="宋体"/>
                <w:color w:val="000000"/>
                <w:kern w:val="0"/>
                <w:sz w:val="25"/>
                <w:szCs w:val="24"/>
              </w:rPr>
            </w:pPr>
            <w:r>
              <w:rPr>
                <w:rFonts w:ascii="Times New Roman" w:hAnsi="Times New Roman"/>
                <w:color w:val="000000"/>
                <w:kern w:val="0"/>
                <w:sz w:val="25"/>
                <w:szCs w:val="24"/>
              </w:rPr>
              <w:t>法定披露方式</w:t>
            </w:r>
          </w:p>
        </w:tc>
        <w:tc>
          <w:tcPr>
            <w:tcW w:w="400" w:type="pct"/>
            <w:tcBorders>
              <w:top w:val="single" w:sz="4" w:space="0" w:color="auto"/>
              <w:left w:val="single" w:sz="4" w:space="0" w:color="auto"/>
              <w:bottom w:val="single" w:sz="4" w:space="0" w:color="auto"/>
              <w:right w:val="single" w:sz="4" w:space="0" w:color="auto"/>
            </w:tcBorders>
            <w:vAlign w:val="center"/>
          </w:tcPr>
          <w:p w14:paraId="1B70118A" w14:textId="77777777" w:rsidR="001F702C" w:rsidRDefault="00BD18A1">
            <w:pPr>
              <w:widowControl/>
              <w:snapToGrid w:val="0"/>
              <w:jc w:val="center"/>
              <w:rPr>
                <w:rFonts w:ascii="宋体" w:hAnsi="宋体"/>
                <w:color w:val="000000"/>
                <w:kern w:val="0"/>
                <w:sz w:val="25"/>
                <w:szCs w:val="24"/>
              </w:rPr>
            </w:pPr>
            <w:r>
              <w:rPr>
                <w:rFonts w:ascii="Times New Roman" w:hAnsi="Times New Roman"/>
                <w:color w:val="000000"/>
                <w:kern w:val="0"/>
                <w:sz w:val="25"/>
                <w:szCs w:val="24"/>
              </w:rPr>
              <w:t>法定披露日期</w:t>
            </w:r>
          </w:p>
        </w:tc>
      </w:tr>
      <w:tr w:rsidR="001F702C" w14:paraId="0C5361B1"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657ED6F0" w14:textId="77777777" w:rsidR="001F702C" w:rsidRDefault="00BD18A1">
            <w:pPr>
              <w:widowControl/>
              <w:snapToGrid w:val="0"/>
              <w:jc w:val="left"/>
              <w:rPr>
                <w:rFonts w:ascii="宋体" w:hAnsi="宋体"/>
                <w:color w:val="000000"/>
                <w:kern w:val="0"/>
                <w:sz w:val="25"/>
                <w:szCs w:val="24"/>
              </w:rPr>
            </w:pPr>
            <w:r>
              <w:rPr>
                <w:rFonts w:ascii="Times New Roman" w:hAnsi="Times New Roman"/>
                <w:color w:val="000000"/>
                <w:kern w:val="0"/>
                <w:sz w:val="25"/>
                <w:szCs w:val="24"/>
              </w:rPr>
              <w:t>1</w:t>
            </w:r>
          </w:p>
        </w:tc>
        <w:tc>
          <w:tcPr>
            <w:tcW w:w="750" w:type="pct"/>
            <w:tcBorders>
              <w:top w:val="single" w:sz="4" w:space="0" w:color="auto"/>
              <w:left w:val="single" w:sz="4" w:space="0" w:color="auto"/>
              <w:bottom w:val="single" w:sz="4" w:space="0" w:color="auto"/>
              <w:right w:val="single" w:sz="4" w:space="0" w:color="auto"/>
            </w:tcBorders>
            <w:vAlign w:val="center"/>
          </w:tcPr>
          <w:p w14:paraId="4E08B397" w14:textId="77777777" w:rsidR="001F702C" w:rsidRDefault="00BD18A1">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交银施罗德基金管理有限公司关于增加广发证券股份有限公司为旗下基金的销售机构的公告</w:t>
            </w:r>
          </w:p>
        </w:tc>
        <w:tc>
          <w:tcPr>
            <w:tcW w:w="750" w:type="pct"/>
            <w:tcBorders>
              <w:top w:val="single" w:sz="4" w:space="0" w:color="auto"/>
              <w:left w:val="single" w:sz="4" w:space="0" w:color="auto"/>
              <w:bottom w:val="single" w:sz="4" w:space="0" w:color="auto"/>
              <w:right w:val="single" w:sz="4" w:space="0" w:color="auto"/>
            </w:tcBorders>
            <w:vAlign w:val="center"/>
          </w:tcPr>
          <w:p w14:paraId="3EDE921B" w14:textId="77777777" w:rsidR="001F702C" w:rsidRDefault="00BD18A1">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7B97DF03" w14:textId="77777777" w:rsidR="001F702C" w:rsidRDefault="00BD18A1">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2022-07-08</w:t>
            </w:r>
          </w:p>
        </w:tc>
      </w:tr>
      <w:tr w:rsidR="001F702C" w14:paraId="1A2C80F3"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75D7707B" w14:textId="77777777" w:rsidR="001F702C" w:rsidRDefault="00BD18A1">
            <w:pPr>
              <w:widowControl/>
              <w:snapToGrid w:val="0"/>
              <w:jc w:val="left"/>
              <w:rPr>
                <w:rFonts w:ascii="宋体" w:hAnsi="宋体"/>
                <w:color w:val="000000"/>
                <w:kern w:val="0"/>
                <w:sz w:val="25"/>
                <w:szCs w:val="24"/>
              </w:rPr>
            </w:pPr>
            <w:r>
              <w:rPr>
                <w:rFonts w:ascii="Times New Roman" w:hAnsi="Times New Roman"/>
                <w:color w:val="000000"/>
                <w:kern w:val="0"/>
                <w:sz w:val="25"/>
                <w:szCs w:val="24"/>
              </w:rPr>
              <w:t>2</w:t>
            </w:r>
          </w:p>
        </w:tc>
        <w:tc>
          <w:tcPr>
            <w:tcW w:w="750" w:type="pct"/>
            <w:tcBorders>
              <w:top w:val="single" w:sz="4" w:space="0" w:color="auto"/>
              <w:left w:val="single" w:sz="4" w:space="0" w:color="auto"/>
              <w:bottom w:val="single" w:sz="4" w:space="0" w:color="auto"/>
              <w:right w:val="single" w:sz="4" w:space="0" w:color="auto"/>
            </w:tcBorders>
            <w:vAlign w:val="center"/>
          </w:tcPr>
          <w:p w14:paraId="65030CD4" w14:textId="77777777" w:rsidR="001F702C" w:rsidRDefault="00BD18A1">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交银施罗德中债</w:t>
            </w:r>
            <w:r>
              <w:rPr>
                <w:rFonts w:ascii="Times New Roman" w:hAnsi="Times New Roman"/>
                <w:color w:val="000000"/>
                <w:kern w:val="0"/>
                <w:sz w:val="25"/>
                <w:szCs w:val="24"/>
              </w:rPr>
              <w:t>1-3</w:t>
            </w:r>
            <w:r>
              <w:rPr>
                <w:rFonts w:ascii="Times New Roman" w:hAnsi="Times New Roman"/>
                <w:color w:val="000000"/>
                <w:kern w:val="0"/>
                <w:sz w:val="25"/>
                <w:szCs w:val="24"/>
              </w:rPr>
              <w:t>年农发行债券指数证券投资基金</w:t>
            </w:r>
            <w:r>
              <w:rPr>
                <w:rFonts w:ascii="Times New Roman" w:hAnsi="Times New Roman"/>
                <w:color w:val="000000"/>
                <w:kern w:val="0"/>
                <w:sz w:val="25"/>
                <w:szCs w:val="24"/>
              </w:rPr>
              <w:t>(</w:t>
            </w:r>
            <w:r>
              <w:rPr>
                <w:rFonts w:ascii="Times New Roman" w:hAnsi="Times New Roman"/>
                <w:color w:val="000000"/>
                <w:kern w:val="0"/>
                <w:sz w:val="25"/>
                <w:szCs w:val="24"/>
              </w:rPr>
              <w:t>更新</w:t>
            </w:r>
            <w:r>
              <w:rPr>
                <w:rFonts w:ascii="Times New Roman" w:hAnsi="Times New Roman"/>
                <w:color w:val="000000"/>
                <w:kern w:val="0"/>
                <w:sz w:val="25"/>
                <w:szCs w:val="24"/>
              </w:rPr>
              <w:t>)</w:t>
            </w:r>
            <w:r>
              <w:rPr>
                <w:rFonts w:ascii="Times New Roman" w:hAnsi="Times New Roman"/>
                <w:color w:val="000000"/>
                <w:kern w:val="0"/>
                <w:sz w:val="25"/>
                <w:szCs w:val="24"/>
              </w:rPr>
              <w:t>招募说明书</w:t>
            </w:r>
            <w:r>
              <w:rPr>
                <w:rFonts w:ascii="Times New Roman" w:hAnsi="Times New Roman"/>
                <w:color w:val="000000"/>
                <w:kern w:val="0"/>
                <w:sz w:val="25"/>
                <w:szCs w:val="24"/>
              </w:rPr>
              <w:t>(2022</w:t>
            </w:r>
            <w:r>
              <w:rPr>
                <w:rFonts w:ascii="Times New Roman" w:hAnsi="Times New Roman"/>
                <w:color w:val="000000"/>
                <w:kern w:val="0"/>
                <w:sz w:val="25"/>
                <w:szCs w:val="24"/>
              </w:rPr>
              <w:t>年第</w:t>
            </w:r>
            <w:r>
              <w:rPr>
                <w:rFonts w:ascii="Times New Roman" w:hAnsi="Times New Roman"/>
                <w:color w:val="000000"/>
                <w:kern w:val="0"/>
                <w:sz w:val="25"/>
                <w:szCs w:val="24"/>
              </w:rPr>
              <w:t>1</w:t>
            </w:r>
            <w:r>
              <w:rPr>
                <w:rFonts w:ascii="Times New Roman" w:hAnsi="Times New Roman"/>
                <w:color w:val="000000"/>
                <w:kern w:val="0"/>
                <w:sz w:val="25"/>
                <w:szCs w:val="24"/>
              </w:rPr>
              <w:t>号</w:t>
            </w:r>
            <w:r>
              <w:rPr>
                <w:rFonts w:ascii="Times New Roman" w:hAnsi="Times New Roman"/>
                <w:color w:val="000000"/>
                <w:kern w:val="0"/>
                <w:sz w:val="25"/>
                <w:szCs w:val="24"/>
              </w:rPr>
              <w:t>)</w:t>
            </w:r>
          </w:p>
        </w:tc>
        <w:tc>
          <w:tcPr>
            <w:tcW w:w="750" w:type="pct"/>
            <w:tcBorders>
              <w:top w:val="single" w:sz="4" w:space="0" w:color="auto"/>
              <w:left w:val="single" w:sz="4" w:space="0" w:color="auto"/>
              <w:bottom w:val="single" w:sz="4" w:space="0" w:color="auto"/>
              <w:right w:val="single" w:sz="4" w:space="0" w:color="auto"/>
            </w:tcBorders>
            <w:vAlign w:val="center"/>
          </w:tcPr>
          <w:p w14:paraId="410FFB74" w14:textId="77777777" w:rsidR="001F702C" w:rsidRDefault="00BD18A1">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1D2E7433" w14:textId="77777777" w:rsidR="001F702C" w:rsidRDefault="00BD18A1">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2022-07-14</w:t>
            </w:r>
          </w:p>
        </w:tc>
      </w:tr>
      <w:tr w:rsidR="001F702C" w14:paraId="77A6BDC1"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385BBB80" w14:textId="77777777" w:rsidR="001F702C" w:rsidRDefault="00BD18A1">
            <w:pPr>
              <w:widowControl/>
              <w:snapToGrid w:val="0"/>
              <w:jc w:val="left"/>
              <w:rPr>
                <w:rFonts w:ascii="宋体" w:hAnsi="宋体"/>
                <w:color w:val="000000"/>
                <w:kern w:val="0"/>
                <w:sz w:val="25"/>
                <w:szCs w:val="24"/>
              </w:rPr>
            </w:pPr>
            <w:r>
              <w:rPr>
                <w:rFonts w:ascii="Times New Roman" w:hAnsi="Times New Roman"/>
                <w:color w:val="000000"/>
                <w:kern w:val="0"/>
                <w:sz w:val="25"/>
                <w:szCs w:val="24"/>
              </w:rPr>
              <w:t>3</w:t>
            </w:r>
          </w:p>
        </w:tc>
        <w:tc>
          <w:tcPr>
            <w:tcW w:w="750" w:type="pct"/>
            <w:tcBorders>
              <w:top w:val="single" w:sz="4" w:space="0" w:color="auto"/>
              <w:left w:val="single" w:sz="4" w:space="0" w:color="auto"/>
              <w:bottom w:val="single" w:sz="4" w:space="0" w:color="auto"/>
              <w:right w:val="single" w:sz="4" w:space="0" w:color="auto"/>
            </w:tcBorders>
            <w:vAlign w:val="center"/>
          </w:tcPr>
          <w:p w14:paraId="3234F372" w14:textId="77777777" w:rsidR="001F702C" w:rsidRDefault="00BD18A1">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交银施罗德中债</w:t>
            </w:r>
            <w:r>
              <w:rPr>
                <w:rFonts w:ascii="Times New Roman" w:hAnsi="Times New Roman"/>
                <w:color w:val="000000"/>
                <w:kern w:val="0"/>
                <w:sz w:val="25"/>
                <w:szCs w:val="24"/>
              </w:rPr>
              <w:t>1-3</w:t>
            </w:r>
            <w:r>
              <w:rPr>
                <w:rFonts w:ascii="Times New Roman" w:hAnsi="Times New Roman"/>
                <w:color w:val="000000"/>
                <w:kern w:val="0"/>
                <w:sz w:val="25"/>
                <w:szCs w:val="24"/>
              </w:rPr>
              <w:t>年农发行债券指数证券投资基金（</w:t>
            </w:r>
            <w:r>
              <w:rPr>
                <w:rFonts w:ascii="Times New Roman" w:hAnsi="Times New Roman"/>
                <w:color w:val="000000"/>
                <w:kern w:val="0"/>
                <w:sz w:val="25"/>
                <w:szCs w:val="24"/>
              </w:rPr>
              <w:t>A</w:t>
            </w:r>
            <w:r>
              <w:rPr>
                <w:rFonts w:ascii="Times New Roman" w:hAnsi="Times New Roman"/>
                <w:color w:val="000000"/>
                <w:kern w:val="0"/>
                <w:sz w:val="25"/>
                <w:szCs w:val="24"/>
              </w:rPr>
              <w:t>类份额）基金产品资料概要更新</w:t>
            </w:r>
            <w:r>
              <w:rPr>
                <w:rFonts w:ascii="Times New Roman" w:hAnsi="Times New Roman"/>
                <w:color w:val="000000"/>
                <w:kern w:val="0"/>
                <w:sz w:val="25"/>
                <w:szCs w:val="24"/>
              </w:rPr>
              <w:t>(2022</w:t>
            </w:r>
            <w:r>
              <w:rPr>
                <w:rFonts w:ascii="Times New Roman" w:hAnsi="Times New Roman"/>
                <w:color w:val="000000"/>
                <w:kern w:val="0"/>
                <w:sz w:val="25"/>
                <w:szCs w:val="24"/>
              </w:rPr>
              <w:t>年第</w:t>
            </w:r>
            <w:r>
              <w:rPr>
                <w:rFonts w:ascii="Times New Roman" w:hAnsi="Times New Roman"/>
                <w:color w:val="000000"/>
                <w:kern w:val="0"/>
                <w:sz w:val="25"/>
                <w:szCs w:val="24"/>
              </w:rPr>
              <w:t>1</w:t>
            </w:r>
            <w:r>
              <w:rPr>
                <w:rFonts w:ascii="Times New Roman" w:hAnsi="Times New Roman"/>
                <w:color w:val="000000"/>
                <w:kern w:val="0"/>
                <w:sz w:val="25"/>
                <w:szCs w:val="24"/>
              </w:rPr>
              <w:t>号</w:t>
            </w:r>
            <w:r>
              <w:rPr>
                <w:rFonts w:ascii="Times New Roman" w:hAnsi="Times New Roman"/>
                <w:color w:val="000000"/>
                <w:kern w:val="0"/>
                <w:sz w:val="25"/>
                <w:szCs w:val="24"/>
              </w:rPr>
              <w:t>)</w:t>
            </w:r>
          </w:p>
        </w:tc>
        <w:tc>
          <w:tcPr>
            <w:tcW w:w="750" w:type="pct"/>
            <w:tcBorders>
              <w:top w:val="single" w:sz="4" w:space="0" w:color="auto"/>
              <w:left w:val="single" w:sz="4" w:space="0" w:color="auto"/>
              <w:bottom w:val="single" w:sz="4" w:space="0" w:color="auto"/>
              <w:right w:val="single" w:sz="4" w:space="0" w:color="auto"/>
            </w:tcBorders>
            <w:vAlign w:val="center"/>
          </w:tcPr>
          <w:p w14:paraId="346C1D01" w14:textId="77777777" w:rsidR="001F702C" w:rsidRDefault="00BD18A1">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32A178DE" w14:textId="77777777" w:rsidR="001F702C" w:rsidRDefault="00BD18A1">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2022-07-14</w:t>
            </w:r>
          </w:p>
        </w:tc>
      </w:tr>
      <w:tr w:rsidR="001F702C" w14:paraId="48B85CEE"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52CA7E89" w14:textId="77777777" w:rsidR="001F702C" w:rsidRDefault="00BD18A1">
            <w:pPr>
              <w:widowControl/>
              <w:snapToGrid w:val="0"/>
              <w:jc w:val="left"/>
              <w:rPr>
                <w:rFonts w:ascii="宋体" w:hAnsi="宋体"/>
                <w:color w:val="000000"/>
                <w:kern w:val="0"/>
                <w:sz w:val="25"/>
                <w:szCs w:val="24"/>
              </w:rPr>
            </w:pPr>
            <w:r>
              <w:rPr>
                <w:rFonts w:ascii="Times New Roman" w:hAnsi="Times New Roman"/>
                <w:color w:val="000000"/>
                <w:kern w:val="0"/>
                <w:sz w:val="25"/>
                <w:szCs w:val="24"/>
              </w:rPr>
              <w:t>4</w:t>
            </w:r>
          </w:p>
        </w:tc>
        <w:tc>
          <w:tcPr>
            <w:tcW w:w="750" w:type="pct"/>
            <w:tcBorders>
              <w:top w:val="single" w:sz="4" w:space="0" w:color="auto"/>
              <w:left w:val="single" w:sz="4" w:space="0" w:color="auto"/>
              <w:bottom w:val="single" w:sz="4" w:space="0" w:color="auto"/>
              <w:right w:val="single" w:sz="4" w:space="0" w:color="auto"/>
            </w:tcBorders>
            <w:vAlign w:val="center"/>
          </w:tcPr>
          <w:p w14:paraId="3D653D7D" w14:textId="77777777" w:rsidR="001F702C" w:rsidRDefault="00BD18A1">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交银施罗德中债</w:t>
            </w:r>
            <w:r>
              <w:rPr>
                <w:rFonts w:ascii="Times New Roman" w:hAnsi="Times New Roman"/>
                <w:color w:val="000000"/>
                <w:kern w:val="0"/>
                <w:sz w:val="25"/>
                <w:szCs w:val="24"/>
              </w:rPr>
              <w:t>1-3</w:t>
            </w:r>
            <w:r>
              <w:rPr>
                <w:rFonts w:ascii="Times New Roman" w:hAnsi="Times New Roman"/>
                <w:color w:val="000000"/>
                <w:kern w:val="0"/>
                <w:sz w:val="25"/>
                <w:szCs w:val="24"/>
              </w:rPr>
              <w:t>年农发行债券指数证券投资基金（</w:t>
            </w:r>
            <w:r>
              <w:rPr>
                <w:rFonts w:ascii="Times New Roman" w:hAnsi="Times New Roman"/>
                <w:color w:val="000000"/>
                <w:kern w:val="0"/>
                <w:sz w:val="25"/>
                <w:szCs w:val="24"/>
              </w:rPr>
              <w:t>C</w:t>
            </w:r>
            <w:r>
              <w:rPr>
                <w:rFonts w:ascii="Times New Roman" w:hAnsi="Times New Roman"/>
                <w:color w:val="000000"/>
                <w:kern w:val="0"/>
                <w:sz w:val="25"/>
                <w:szCs w:val="24"/>
              </w:rPr>
              <w:t>类份额）基金产品资料概要更新</w:t>
            </w:r>
            <w:r>
              <w:rPr>
                <w:rFonts w:ascii="Times New Roman" w:hAnsi="Times New Roman"/>
                <w:color w:val="000000"/>
                <w:kern w:val="0"/>
                <w:sz w:val="25"/>
                <w:szCs w:val="24"/>
              </w:rPr>
              <w:t>(2022</w:t>
            </w:r>
            <w:r>
              <w:rPr>
                <w:rFonts w:ascii="Times New Roman" w:hAnsi="Times New Roman"/>
                <w:color w:val="000000"/>
                <w:kern w:val="0"/>
                <w:sz w:val="25"/>
                <w:szCs w:val="24"/>
              </w:rPr>
              <w:t>年第</w:t>
            </w:r>
            <w:r>
              <w:rPr>
                <w:rFonts w:ascii="Times New Roman" w:hAnsi="Times New Roman"/>
                <w:color w:val="000000"/>
                <w:kern w:val="0"/>
                <w:sz w:val="25"/>
                <w:szCs w:val="24"/>
              </w:rPr>
              <w:t>1</w:t>
            </w:r>
            <w:r>
              <w:rPr>
                <w:rFonts w:ascii="Times New Roman" w:hAnsi="Times New Roman"/>
                <w:color w:val="000000"/>
                <w:kern w:val="0"/>
                <w:sz w:val="25"/>
                <w:szCs w:val="24"/>
              </w:rPr>
              <w:t>号</w:t>
            </w:r>
            <w:r>
              <w:rPr>
                <w:rFonts w:ascii="Times New Roman" w:hAnsi="Times New Roman"/>
                <w:color w:val="000000"/>
                <w:kern w:val="0"/>
                <w:sz w:val="25"/>
                <w:szCs w:val="24"/>
              </w:rPr>
              <w:t>)</w:t>
            </w:r>
          </w:p>
        </w:tc>
        <w:tc>
          <w:tcPr>
            <w:tcW w:w="750" w:type="pct"/>
            <w:tcBorders>
              <w:top w:val="single" w:sz="4" w:space="0" w:color="auto"/>
              <w:left w:val="single" w:sz="4" w:space="0" w:color="auto"/>
              <w:bottom w:val="single" w:sz="4" w:space="0" w:color="auto"/>
              <w:right w:val="single" w:sz="4" w:space="0" w:color="auto"/>
            </w:tcBorders>
            <w:vAlign w:val="center"/>
          </w:tcPr>
          <w:p w14:paraId="6FF4B794" w14:textId="77777777" w:rsidR="001F702C" w:rsidRDefault="00BD18A1">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1A339A6F" w14:textId="77777777" w:rsidR="001F702C" w:rsidRDefault="00BD18A1">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2022-07-14</w:t>
            </w:r>
          </w:p>
        </w:tc>
      </w:tr>
      <w:tr w:rsidR="001F702C" w14:paraId="1FACAD69"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63D1F0AC" w14:textId="77777777" w:rsidR="001F702C" w:rsidRDefault="00BD18A1">
            <w:pPr>
              <w:widowControl/>
              <w:snapToGrid w:val="0"/>
              <w:jc w:val="left"/>
              <w:rPr>
                <w:rFonts w:ascii="宋体" w:hAnsi="宋体"/>
                <w:color w:val="000000"/>
                <w:kern w:val="0"/>
                <w:sz w:val="25"/>
                <w:szCs w:val="24"/>
              </w:rPr>
            </w:pPr>
            <w:r>
              <w:rPr>
                <w:rFonts w:ascii="Times New Roman" w:hAnsi="Times New Roman"/>
                <w:color w:val="000000"/>
                <w:kern w:val="0"/>
                <w:sz w:val="25"/>
                <w:szCs w:val="24"/>
              </w:rPr>
              <w:t>5</w:t>
            </w:r>
          </w:p>
        </w:tc>
        <w:tc>
          <w:tcPr>
            <w:tcW w:w="750" w:type="pct"/>
            <w:tcBorders>
              <w:top w:val="single" w:sz="4" w:space="0" w:color="auto"/>
              <w:left w:val="single" w:sz="4" w:space="0" w:color="auto"/>
              <w:bottom w:val="single" w:sz="4" w:space="0" w:color="auto"/>
              <w:right w:val="single" w:sz="4" w:space="0" w:color="auto"/>
            </w:tcBorders>
            <w:vAlign w:val="center"/>
          </w:tcPr>
          <w:p w14:paraId="080AEB00" w14:textId="77777777" w:rsidR="001F702C" w:rsidRDefault="00BD18A1">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交银施罗德基金管理有限公司关于增加招商银行股份有限公司为旗下基金销售机构的公告</w:t>
            </w:r>
          </w:p>
        </w:tc>
        <w:tc>
          <w:tcPr>
            <w:tcW w:w="750" w:type="pct"/>
            <w:tcBorders>
              <w:top w:val="single" w:sz="4" w:space="0" w:color="auto"/>
              <w:left w:val="single" w:sz="4" w:space="0" w:color="auto"/>
              <w:bottom w:val="single" w:sz="4" w:space="0" w:color="auto"/>
              <w:right w:val="single" w:sz="4" w:space="0" w:color="auto"/>
            </w:tcBorders>
            <w:vAlign w:val="center"/>
          </w:tcPr>
          <w:p w14:paraId="25E623C9" w14:textId="77777777" w:rsidR="001F702C" w:rsidRDefault="00BD18A1">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08F7A61F" w14:textId="77777777" w:rsidR="001F702C" w:rsidRDefault="00BD18A1">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2022-07-15</w:t>
            </w:r>
          </w:p>
        </w:tc>
      </w:tr>
      <w:tr w:rsidR="001F702C" w14:paraId="77A860A6"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3E8546D3" w14:textId="77777777" w:rsidR="001F702C" w:rsidRDefault="00BD18A1">
            <w:pPr>
              <w:widowControl/>
              <w:snapToGrid w:val="0"/>
              <w:jc w:val="left"/>
              <w:rPr>
                <w:rFonts w:ascii="宋体" w:hAnsi="宋体"/>
                <w:color w:val="000000"/>
                <w:kern w:val="0"/>
                <w:sz w:val="25"/>
                <w:szCs w:val="24"/>
              </w:rPr>
            </w:pPr>
            <w:r>
              <w:rPr>
                <w:rFonts w:ascii="Times New Roman" w:hAnsi="Times New Roman"/>
                <w:color w:val="000000"/>
                <w:kern w:val="0"/>
                <w:sz w:val="25"/>
                <w:szCs w:val="24"/>
              </w:rPr>
              <w:t>6</w:t>
            </w:r>
          </w:p>
        </w:tc>
        <w:tc>
          <w:tcPr>
            <w:tcW w:w="750" w:type="pct"/>
            <w:tcBorders>
              <w:top w:val="single" w:sz="4" w:space="0" w:color="auto"/>
              <w:left w:val="single" w:sz="4" w:space="0" w:color="auto"/>
              <w:bottom w:val="single" w:sz="4" w:space="0" w:color="auto"/>
              <w:right w:val="single" w:sz="4" w:space="0" w:color="auto"/>
            </w:tcBorders>
            <w:vAlign w:val="center"/>
          </w:tcPr>
          <w:p w14:paraId="19FAD08A" w14:textId="77777777" w:rsidR="001F702C" w:rsidRDefault="00BD18A1">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交银施罗德中债</w:t>
            </w:r>
            <w:r>
              <w:rPr>
                <w:rFonts w:ascii="Times New Roman" w:hAnsi="Times New Roman"/>
                <w:color w:val="000000"/>
                <w:kern w:val="0"/>
                <w:sz w:val="25"/>
                <w:szCs w:val="24"/>
              </w:rPr>
              <w:t>1-3</w:t>
            </w:r>
            <w:r>
              <w:rPr>
                <w:rFonts w:ascii="Times New Roman" w:hAnsi="Times New Roman"/>
                <w:color w:val="000000"/>
                <w:kern w:val="0"/>
                <w:sz w:val="25"/>
                <w:szCs w:val="24"/>
              </w:rPr>
              <w:t>年农发行债券指数证券投资基金</w:t>
            </w:r>
            <w:r>
              <w:rPr>
                <w:rFonts w:ascii="Times New Roman" w:hAnsi="Times New Roman"/>
                <w:color w:val="000000"/>
                <w:kern w:val="0"/>
                <w:sz w:val="25"/>
                <w:szCs w:val="24"/>
              </w:rPr>
              <w:t>2022</w:t>
            </w:r>
            <w:r>
              <w:rPr>
                <w:rFonts w:ascii="Times New Roman" w:hAnsi="Times New Roman"/>
                <w:color w:val="000000"/>
                <w:kern w:val="0"/>
                <w:sz w:val="25"/>
                <w:szCs w:val="24"/>
              </w:rPr>
              <w:t>年第</w:t>
            </w:r>
            <w:r>
              <w:rPr>
                <w:rFonts w:ascii="Times New Roman" w:hAnsi="Times New Roman"/>
                <w:color w:val="000000"/>
                <w:kern w:val="0"/>
                <w:sz w:val="25"/>
                <w:szCs w:val="24"/>
              </w:rPr>
              <w:t>2</w:t>
            </w:r>
            <w:r>
              <w:rPr>
                <w:rFonts w:ascii="Times New Roman" w:hAnsi="Times New Roman"/>
                <w:color w:val="000000"/>
                <w:kern w:val="0"/>
                <w:sz w:val="25"/>
                <w:szCs w:val="24"/>
              </w:rPr>
              <w:t>季度报告</w:t>
            </w:r>
          </w:p>
        </w:tc>
        <w:tc>
          <w:tcPr>
            <w:tcW w:w="750" w:type="pct"/>
            <w:tcBorders>
              <w:top w:val="single" w:sz="4" w:space="0" w:color="auto"/>
              <w:left w:val="single" w:sz="4" w:space="0" w:color="auto"/>
              <w:bottom w:val="single" w:sz="4" w:space="0" w:color="auto"/>
              <w:right w:val="single" w:sz="4" w:space="0" w:color="auto"/>
            </w:tcBorders>
            <w:vAlign w:val="center"/>
          </w:tcPr>
          <w:p w14:paraId="461F0756" w14:textId="77777777" w:rsidR="001F702C" w:rsidRDefault="00BD18A1">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2F6959D7" w14:textId="77777777" w:rsidR="001F702C" w:rsidRDefault="00BD18A1">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2022-07-20</w:t>
            </w:r>
          </w:p>
        </w:tc>
      </w:tr>
      <w:tr w:rsidR="001F702C" w14:paraId="7F69670C"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1190AE74" w14:textId="77777777" w:rsidR="001F702C" w:rsidRDefault="00BD18A1">
            <w:pPr>
              <w:widowControl/>
              <w:snapToGrid w:val="0"/>
              <w:jc w:val="left"/>
              <w:rPr>
                <w:rFonts w:ascii="宋体" w:hAnsi="宋体"/>
                <w:color w:val="000000"/>
                <w:kern w:val="0"/>
                <w:sz w:val="25"/>
                <w:szCs w:val="24"/>
              </w:rPr>
            </w:pPr>
            <w:r>
              <w:rPr>
                <w:rFonts w:ascii="Times New Roman" w:hAnsi="Times New Roman"/>
                <w:color w:val="000000"/>
                <w:kern w:val="0"/>
                <w:sz w:val="25"/>
                <w:szCs w:val="24"/>
              </w:rPr>
              <w:t>7</w:t>
            </w:r>
          </w:p>
        </w:tc>
        <w:tc>
          <w:tcPr>
            <w:tcW w:w="750" w:type="pct"/>
            <w:tcBorders>
              <w:top w:val="single" w:sz="4" w:space="0" w:color="auto"/>
              <w:left w:val="single" w:sz="4" w:space="0" w:color="auto"/>
              <w:bottom w:val="single" w:sz="4" w:space="0" w:color="auto"/>
              <w:right w:val="single" w:sz="4" w:space="0" w:color="auto"/>
            </w:tcBorders>
            <w:vAlign w:val="center"/>
          </w:tcPr>
          <w:p w14:paraId="76814C36" w14:textId="77777777" w:rsidR="001F702C" w:rsidRDefault="00BD18A1">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交银施罗德基金管理有限公司关于高级管理人员变更的公告</w:t>
            </w:r>
          </w:p>
        </w:tc>
        <w:tc>
          <w:tcPr>
            <w:tcW w:w="750" w:type="pct"/>
            <w:tcBorders>
              <w:top w:val="single" w:sz="4" w:space="0" w:color="auto"/>
              <w:left w:val="single" w:sz="4" w:space="0" w:color="auto"/>
              <w:bottom w:val="single" w:sz="4" w:space="0" w:color="auto"/>
              <w:right w:val="single" w:sz="4" w:space="0" w:color="auto"/>
            </w:tcBorders>
            <w:vAlign w:val="center"/>
          </w:tcPr>
          <w:p w14:paraId="5955BD09" w14:textId="77777777" w:rsidR="001F702C" w:rsidRDefault="00BD18A1">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4941E134" w14:textId="77777777" w:rsidR="001F702C" w:rsidRDefault="00BD18A1">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2022-07-30</w:t>
            </w:r>
          </w:p>
        </w:tc>
      </w:tr>
      <w:tr w:rsidR="001F702C" w14:paraId="3573A1B0"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09A32B6D" w14:textId="77777777" w:rsidR="001F702C" w:rsidRDefault="00BD18A1">
            <w:pPr>
              <w:widowControl/>
              <w:snapToGrid w:val="0"/>
              <w:jc w:val="left"/>
              <w:rPr>
                <w:rFonts w:ascii="宋体" w:hAnsi="宋体"/>
                <w:color w:val="000000"/>
                <w:kern w:val="0"/>
                <w:sz w:val="25"/>
                <w:szCs w:val="24"/>
              </w:rPr>
            </w:pPr>
            <w:r>
              <w:rPr>
                <w:rFonts w:ascii="Times New Roman" w:hAnsi="Times New Roman"/>
                <w:color w:val="000000"/>
                <w:kern w:val="0"/>
                <w:sz w:val="25"/>
                <w:szCs w:val="24"/>
              </w:rPr>
              <w:t>8</w:t>
            </w:r>
          </w:p>
        </w:tc>
        <w:tc>
          <w:tcPr>
            <w:tcW w:w="750" w:type="pct"/>
            <w:tcBorders>
              <w:top w:val="single" w:sz="4" w:space="0" w:color="auto"/>
              <w:left w:val="single" w:sz="4" w:space="0" w:color="auto"/>
              <w:bottom w:val="single" w:sz="4" w:space="0" w:color="auto"/>
              <w:right w:val="single" w:sz="4" w:space="0" w:color="auto"/>
            </w:tcBorders>
            <w:vAlign w:val="center"/>
          </w:tcPr>
          <w:p w14:paraId="53C5B602" w14:textId="77777777" w:rsidR="001F702C" w:rsidRDefault="00BD18A1">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交银施罗德中债</w:t>
            </w:r>
            <w:r>
              <w:rPr>
                <w:rFonts w:ascii="Times New Roman" w:hAnsi="Times New Roman"/>
                <w:color w:val="000000"/>
                <w:kern w:val="0"/>
                <w:sz w:val="25"/>
                <w:szCs w:val="24"/>
              </w:rPr>
              <w:t>1-3</w:t>
            </w:r>
            <w:r>
              <w:rPr>
                <w:rFonts w:ascii="Times New Roman" w:hAnsi="Times New Roman"/>
                <w:color w:val="000000"/>
                <w:kern w:val="0"/>
                <w:sz w:val="25"/>
                <w:szCs w:val="24"/>
              </w:rPr>
              <w:t>年农发行债券指数证券投资基金</w:t>
            </w:r>
            <w:r>
              <w:rPr>
                <w:rFonts w:ascii="Times New Roman" w:hAnsi="Times New Roman"/>
                <w:color w:val="000000"/>
                <w:kern w:val="0"/>
                <w:sz w:val="25"/>
                <w:szCs w:val="24"/>
              </w:rPr>
              <w:t>2022</w:t>
            </w:r>
            <w:r>
              <w:rPr>
                <w:rFonts w:ascii="Times New Roman" w:hAnsi="Times New Roman"/>
                <w:color w:val="000000"/>
                <w:kern w:val="0"/>
                <w:sz w:val="25"/>
                <w:szCs w:val="24"/>
              </w:rPr>
              <w:t>年中期报告</w:t>
            </w:r>
          </w:p>
        </w:tc>
        <w:tc>
          <w:tcPr>
            <w:tcW w:w="750" w:type="pct"/>
            <w:tcBorders>
              <w:top w:val="single" w:sz="4" w:space="0" w:color="auto"/>
              <w:left w:val="single" w:sz="4" w:space="0" w:color="auto"/>
              <w:bottom w:val="single" w:sz="4" w:space="0" w:color="auto"/>
              <w:right w:val="single" w:sz="4" w:space="0" w:color="auto"/>
            </w:tcBorders>
            <w:vAlign w:val="center"/>
          </w:tcPr>
          <w:p w14:paraId="62E45A85" w14:textId="77777777" w:rsidR="001F702C" w:rsidRDefault="00BD18A1">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6D717A74" w14:textId="77777777" w:rsidR="001F702C" w:rsidRDefault="00BD18A1">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2022-08-30</w:t>
            </w:r>
          </w:p>
        </w:tc>
      </w:tr>
      <w:tr w:rsidR="001F702C" w14:paraId="5F852582"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300EA5FE" w14:textId="77777777" w:rsidR="001F702C" w:rsidRDefault="00BD18A1">
            <w:pPr>
              <w:widowControl/>
              <w:snapToGrid w:val="0"/>
              <w:jc w:val="left"/>
              <w:rPr>
                <w:rFonts w:ascii="宋体" w:hAnsi="宋体"/>
                <w:color w:val="000000"/>
                <w:kern w:val="0"/>
                <w:sz w:val="25"/>
                <w:szCs w:val="24"/>
              </w:rPr>
            </w:pPr>
            <w:r>
              <w:rPr>
                <w:rFonts w:ascii="Times New Roman" w:hAnsi="Times New Roman"/>
                <w:color w:val="000000"/>
                <w:kern w:val="0"/>
                <w:sz w:val="25"/>
                <w:szCs w:val="24"/>
              </w:rPr>
              <w:t>9</w:t>
            </w:r>
          </w:p>
        </w:tc>
        <w:tc>
          <w:tcPr>
            <w:tcW w:w="750" w:type="pct"/>
            <w:tcBorders>
              <w:top w:val="single" w:sz="4" w:space="0" w:color="auto"/>
              <w:left w:val="single" w:sz="4" w:space="0" w:color="auto"/>
              <w:bottom w:val="single" w:sz="4" w:space="0" w:color="auto"/>
              <w:right w:val="single" w:sz="4" w:space="0" w:color="auto"/>
            </w:tcBorders>
            <w:vAlign w:val="center"/>
          </w:tcPr>
          <w:p w14:paraId="3D02DEEF" w14:textId="77777777" w:rsidR="001F702C" w:rsidRDefault="00BD18A1">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交银施罗德基金管理有限公司关于调整直销中心柜台投资者最低认申购金额限制的公告</w:t>
            </w:r>
          </w:p>
        </w:tc>
        <w:tc>
          <w:tcPr>
            <w:tcW w:w="750" w:type="pct"/>
            <w:tcBorders>
              <w:top w:val="single" w:sz="4" w:space="0" w:color="auto"/>
              <w:left w:val="single" w:sz="4" w:space="0" w:color="auto"/>
              <w:bottom w:val="single" w:sz="4" w:space="0" w:color="auto"/>
              <w:right w:val="single" w:sz="4" w:space="0" w:color="auto"/>
            </w:tcBorders>
            <w:vAlign w:val="center"/>
          </w:tcPr>
          <w:p w14:paraId="322F529D" w14:textId="77777777" w:rsidR="001F702C" w:rsidRDefault="00BD18A1">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5C811811" w14:textId="77777777" w:rsidR="001F702C" w:rsidRDefault="00BD18A1">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2022-09-03</w:t>
            </w:r>
          </w:p>
        </w:tc>
      </w:tr>
      <w:tr w:rsidR="001F702C" w14:paraId="404DD15A"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11FCC432" w14:textId="77777777" w:rsidR="001F702C" w:rsidRDefault="00BD18A1">
            <w:pPr>
              <w:widowControl/>
              <w:snapToGrid w:val="0"/>
              <w:jc w:val="left"/>
              <w:rPr>
                <w:rFonts w:ascii="宋体" w:hAnsi="宋体"/>
                <w:color w:val="000000"/>
                <w:kern w:val="0"/>
                <w:sz w:val="25"/>
                <w:szCs w:val="24"/>
              </w:rPr>
            </w:pPr>
            <w:r>
              <w:rPr>
                <w:rFonts w:ascii="Times New Roman" w:hAnsi="Times New Roman"/>
                <w:color w:val="000000"/>
                <w:kern w:val="0"/>
                <w:sz w:val="25"/>
                <w:szCs w:val="24"/>
              </w:rPr>
              <w:lastRenderedPageBreak/>
              <w:t>10</w:t>
            </w:r>
          </w:p>
        </w:tc>
        <w:tc>
          <w:tcPr>
            <w:tcW w:w="750" w:type="pct"/>
            <w:tcBorders>
              <w:top w:val="single" w:sz="4" w:space="0" w:color="auto"/>
              <w:left w:val="single" w:sz="4" w:space="0" w:color="auto"/>
              <w:bottom w:val="single" w:sz="4" w:space="0" w:color="auto"/>
              <w:right w:val="single" w:sz="4" w:space="0" w:color="auto"/>
            </w:tcBorders>
            <w:vAlign w:val="center"/>
          </w:tcPr>
          <w:p w14:paraId="28FF6F15" w14:textId="77777777" w:rsidR="001F702C" w:rsidRDefault="00BD18A1">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交银施罗德基金管理有限公司关于增加兴业银行股份有限公司银</w:t>
            </w:r>
            <w:proofErr w:type="gramStart"/>
            <w:r>
              <w:rPr>
                <w:rFonts w:ascii="Times New Roman" w:hAnsi="Times New Roman"/>
                <w:color w:val="000000"/>
                <w:kern w:val="0"/>
                <w:sz w:val="25"/>
                <w:szCs w:val="24"/>
              </w:rPr>
              <w:t>银</w:t>
            </w:r>
            <w:proofErr w:type="gramEnd"/>
            <w:r>
              <w:rPr>
                <w:rFonts w:ascii="Times New Roman" w:hAnsi="Times New Roman"/>
                <w:color w:val="000000"/>
                <w:kern w:val="0"/>
                <w:sz w:val="25"/>
                <w:szCs w:val="24"/>
              </w:rPr>
              <w:t>平台销售旗下部分基金的公告</w:t>
            </w:r>
          </w:p>
        </w:tc>
        <w:tc>
          <w:tcPr>
            <w:tcW w:w="750" w:type="pct"/>
            <w:tcBorders>
              <w:top w:val="single" w:sz="4" w:space="0" w:color="auto"/>
              <w:left w:val="single" w:sz="4" w:space="0" w:color="auto"/>
              <w:bottom w:val="single" w:sz="4" w:space="0" w:color="auto"/>
              <w:right w:val="single" w:sz="4" w:space="0" w:color="auto"/>
            </w:tcBorders>
            <w:vAlign w:val="center"/>
          </w:tcPr>
          <w:p w14:paraId="6A5545F4" w14:textId="77777777" w:rsidR="001F702C" w:rsidRDefault="00BD18A1">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64698CDC" w14:textId="77777777" w:rsidR="001F702C" w:rsidRDefault="00BD18A1">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2022-09-21</w:t>
            </w:r>
          </w:p>
        </w:tc>
      </w:tr>
      <w:tr w:rsidR="001F702C" w14:paraId="64292B17"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04654616" w14:textId="77777777" w:rsidR="001F702C" w:rsidRDefault="00BD18A1">
            <w:pPr>
              <w:widowControl/>
              <w:snapToGrid w:val="0"/>
              <w:jc w:val="left"/>
              <w:rPr>
                <w:rFonts w:ascii="宋体" w:hAnsi="宋体"/>
                <w:color w:val="000000"/>
                <w:kern w:val="0"/>
                <w:sz w:val="25"/>
                <w:szCs w:val="24"/>
              </w:rPr>
            </w:pPr>
            <w:r>
              <w:rPr>
                <w:rFonts w:ascii="Times New Roman" w:hAnsi="Times New Roman"/>
                <w:color w:val="000000"/>
                <w:kern w:val="0"/>
                <w:sz w:val="25"/>
                <w:szCs w:val="24"/>
              </w:rPr>
              <w:t>11</w:t>
            </w:r>
          </w:p>
        </w:tc>
        <w:tc>
          <w:tcPr>
            <w:tcW w:w="750" w:type="pct"/>
            <w:tcBorders>
              <w:top w:val="single" w:sz="4" w:space="0" w:color="auto"/>
              <w:left w:val="single" w:sz="4" w:space="0" w:color="auto"/>
              <w:bottom w:val="single" w:sz="4" w:space="0" w:color="auto"/>
              <w:right w:val="single" w:sz="4" w:space="0" w:color="auto"/>
            </w:tcBorders>
            <w:vAlign w:val="center"/>
          </w:tcPr>
          <w:p w14:paraId="3C3E6C0B" w14:textId="77777777" w:rsidR="001F702C" w:rsidRDefault="00BD18A1">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交银施罗德基金管理有限公司关于交银施罗德中债</w:t>
            </w:r>
            <w:r>
              <w:rPr>
                <w:rFonts w:ascii="Times New Roman" w:hAnsi="Times New Roman"/>
                <w:color w:val="000000"/>
                <w:kern w:val="0"/>
                <w:sz w:val="25"/>
                <w:szCs w:val="24"/>
              </w:rPr>
              <w:t>1-3</w:t>
            </w:r>
            <w:r>
              <w:rPr>
                <w:rFonts w:ascii="Times New Roman" w:hAnsi="Times New Roman"/>
                <w:color w:val="000000"/>
                <w:kern w:val="0"/>
                <w:sz w:val="25"/>
                <w:szCs w:val="24"/>
              </w:rPr>
              <w:t>年农发行债券指数证券投资基金于</w:t>
            </w:r>
            <w:r>
              <w:rPr>
                <w:rFonts w:ascii="Times New Roman" w:hAnsi="Times New Roman"/>
                <w:color w:val="000000"/>
                <w:kern w:val="0"/>
                <w:sz w:val="25"/>
                <w:szCs w:val="24"/>
              </w:rPr>
              <w:t>2022</w:t>
            </w:r>
            <w:r>
              <w:rPr>
                <w:rFonts w:ascii="Times New Roman" w:hAnsi="Times New Roman"/>
                <w:color w:val="000000"/>
                <w:kern w:val="0"/>
                <w:sz w:val="25"/>
                <w:szCs w:val="24"/>
              </w:rPr>
              <w:t>年</w:t>
            </w:r>
            <w:r>
              <w:rPr>
                <w:rFonts w:ascii="Times New Roman" w:hAnsi="Times New Roman"/>
                <w:color w:val="000000"/>
                <w:kern w:val="0"/>
                <w:sz w:val="25"/>
                <w:szCs w:val="24"/>
              </w:rPr>
              <w:t>“</w:t>
            </w:r>
            <w:r>
              <w:rPr>
                <w:rFonts w:ascii="Times New Roman" w:hAnsi="Times New Roman"/>
                <w:color w:val="000000"/>
                <w:kern w:val="0"/>
                <w:sz w:val="25"/>
                <w:szCs w:val="24"/>
              </w:rPr>
              <w:t>国庆节</w:t>
            </w:r>
            <w:r>
              <w:rPr>
                <w:rFonts w:ascii="Times New Roman" w:hAnsi="Times New Roman"/>
                <w:color w:val="000000"/>
                <w:kern w:val="0"/>
                <w:sz w:val="25"/>
                <w:szCs w:val="24"/>
              </w:rPr>
              <w:t>”</w:t>
            </w:r>
            <w:r>
              <w:rPr>
                <w:rFonts w:ascii="Times New Roman" w:hAnsi="Times New Roman"/>
                <w:color w:val="000000"/>
                <w:kern w:val="0"/>
                <w:sz w:val="25"/>
                <w:szCs w:val="24"/>
              </w:rPr>
              <w:t>假期前暂停及节后恢复大额申购（转换转入、定期定额投资）业务的公告</w:t>
            </w:r>
          </w:p>
        </w:tc>
        <w:tc>
          <w:tcPr>
            <w:tcW w:w="750" w:type="pct"/>
            <w:tcBorders>
              <w:top w:val="single" w:sz="4" w:space="0" w:color="auto"/>
              <w:left w:val="single" w:sz="4" w:space="0" w:color="auto"/>
              <w:bottom w:val="single" w:sz="4" w:space="0" w:color="auto"/>
              <w:right w:val="single" w:sz="4" w:space="0" w:color="auto"/>
            </w:tcBorders>
            <w:vAlign w:val="center"/>
          </w:tcPr>
          <w:p w14:paraId="41C3C8B9" w14:textId="77777777" w:rsidR="001F702C" w:rsidRDefault="00BD18A1">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0EF83C2C" w14:textId="77777777" w:rsidR="001F702C" w:rsidRDefault="00BD18A1">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2022-09-29</w:t>
            </w:r>
          </w:p>
        </w:tc>
      </w:tr>
      <w:tr w:rsidR="001F702C" w14:paraId="45838E7A"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1A66F9A9" w14:textId="77777777" w:rsidR="001F702C" w:rsidRDefault="00BD18A1">
            <w:pPr>
              <w:widowControl/>
              <w:snapToGrid w:val="0"/>
              <w:jc w:val="left"/>
              <w:rPr>
                <w:rFonts w:ascii="宋体" w:hAnsi="宋体"/>
                <w:color w:val="000000"/>
                <w:kern w:val="0"/>
                <w:sz w:val="25"/>
                <w:szCs w:val="24"/>
              </w:rPr>
            </w:pPr>
            <w:r>
              <w:rPr>
                <w:rFonts w:ascii="Times New Roman" w:hAnsi="Times New Roman"/>
                <w:color w:val="000000"/>
                <w:kern w:val="0"/>
                <w:sz w:val="25"/>
                <w:szCs w:val="24"/>
              </w:rPr>
              <w:t>12</w:t>
            </w:r>
          </w:p>
        </w:tc>
        <w:tc>
          <w:tcPr>
            <w:tcW w:w="750" w:type="pct"/>
            <w:tcBorders>
              <w:top w:val="single" w:sz="4" w:space="0" w:color="auto"/>
              <w:left w:val="single" w:sz="4" w:space="0" w:color="auto"/>
              <w:bottom w:val="single" w:sz="4" w:space="0" w:color="auto"/>
              <w:right w:val="single" w:sz="4" w:space="0" w:color="auto"/>
            </w:tcBorders>
            <w:vAlign w:val="center"/>
          </w:tcPr>
          <w:p w14:paraId="7B8475DF" w14:textId="77777777" w:rsidR="001F702C" w:rsidRDefault="00BD18A1">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交银施罗德中债</w:t>
            </w:r>
            <w:r>
              <w:rPr>
                <w:rFonts w:ascii="Times New Roman" w:hAnsi="Times New Roman"/>
                <w:color w:val="000000"/>
                <w:kern w:val="0"/>
                <w:sz w:val="25"/>
                <w:szCs w:val="24"/>
              </w:rPr>
              <w:t>1-3</w:t>
            </w:r>
            <w:r>
              <w:rPr>
                <w:rFonts w:ascii="Times New Roman" w:hAnsi="Times New Roman"/>
                <w:color w:val="000000"/>
                <w:kern w:val="0"/>
                <w:sz w:val="25"/>
                <w:szCs w:val="24"/>
              </w:rPr>
              <w:t>年农发行债券指数证券投资基金</w:t>
            </w:r>
            <w:r>
              <w:rPr>
                <w:rFonts w:ascii="Times New Roman" w:hAnsi="Times New Roman"/>
                <w:color w:val="000000"/>
                <w:kern w:val="0"/>
                <w:sz w:val="25"/>
                <w:szCs w:val="24"/>
              </w:rPr>
              <w:t>2022</w:t>
            </w:r>
            <w:r>
              <w:rPr>
                <w:rFonts w:ascii="Times New Roman" w:hAnsi="Times New Roman"/>
                <w:color w:val="000000"/>
                <w:kern w:val="0"/>
                <w:sz w:val="25"/>
                <w:szCs w:val="24"/>
              </w:rPr>
              <w:t>年第</w:t>
            </w:r>
            <w:r>
              <w:rPr>
                <w:rFonts w:ascii="Times New Roman" w:hAnsi="Times New Roman"/>
                <w:color w:val="000000"/>
                <w:kern w:val="0"/>
                <w:sz w:val="25"/>
                <w:szCs w:val="24"/>
              </w:rPr>
              <w:t>3</w:t>
            </w:r>
            <w:r>
              <w:rPr>
                <w:rFonts w:ascii="Times New Roman" w:hAnsi="Times New Roman"/>
                <w:color w:val="000000"/>
                <w:kern w:val="0"/>
                <w:sz w:val="25"/>
                <w:szCs w:val="24"/>
              </w:rPr>
              <w:t>季度报告</w:t>
            </w:r>
          </w:p>
        </w:tc>
        <w:tc>
          <w:tcPr>
            <w:tcW w:w="750" w:type="pct"/>
            <w:tcBorders>
              <w:top w:val="single" w:sz="4" w:space="0" w:color="auto"/>
              <w:left w:val="single" w:sz="4" w:space="0" w:color="auto"/>
              <w:bottom w:val="single" w:sz="4" w:space="0" w:color="auto"/>
              <w:right w:val="single" w:sz="4" w:space="0" w:color="auto"/>
            </w:tcBorders>
            <w:vAlign w:val="center"/>
          </w:tcPr>
          <w:p w14:paraId="23AAF608" w14:textId="77777777" w:rsidR="001F702C" w:rsidRDefault="00BD18A1">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70AD5ADC" w14:textId="77777777" w:rsidR="001F702C" w:rsidRDefault="00BD18A1">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2022-10-25</w:t>
            </w:r>
          </w:p>
        </w:tc>
      </w:tr>
      <w:tr w:rsidR="001F702C" w14:paraId="5CCB32E4"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62FDAF2B" w14:textId="77777777" w:rsidR="001F702C" w:rsidRDefault="00BD18A1">
            <w:pPr>
              <w:widowControl/>
              <w:snapToGrid w:val="0"/>
              <w:jc w:val="left"/>
              <w:rPr>
                <w:rFonts w:ascii="宋体" w:hAnsi="宋体"/>
                <w:color w:val="000000"/>
                <w:kern w:val="0"/>
                <w:sz w:val="25"/>
                <w:szCs w:val="24"/>
              </w:rPr>
            </w:pPr>
            <w:r>
              <w:rPr>
                <w:rFonts w:ascii="Times New Roman" w:hAnsi="Times New Roman"/>
                <w:color w:val="000000"/>
                <w:kern w:val="0"/>
                <w:sz w:val="25"/>
                <w:szCs w:val="24"/>
              </w:rPr>
              <w:t>13</w:t>
            </w:r>
          </w:p>
        </w:tc>
        <w:tc>
          <w:tcPr>
            <w:tcW w:w="750" w:type="pct"/>
            <w:tcBorders>
              <w:top w:val="single" w:sz="4" w:space="0" w:color="auto"/>
              <w:left w:val="single" w:sz="4" w:space="0" w:color="auto"/>
              <w:bottom w:val="single" w:sz="4" w:space="0" w:color="auto"/>
              <w:right w:val="single" w:sz="4" w:space="0" w:color="auto"/>
            </w:tcBorders>
            <w:vAlign w:val="center"/>
          </w:tcPr>
          <w:p w14:paraId="3935DE16" w14:textId="77777777" w:rsidR="001F702C" w:rsidRDefault="00BD18A1">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交银施罗德基金管理有限公司关于增加兴业银行股份有限公司银</w:t>
            </w:r>
            <w:proofErr w:type="gramStart"/>
            <w:r>
              <w:rPr>
                <w:rFonts w:ascii="Times New Roman" w:hAnsi="Times New Roman"/>
                <w:color w:val="000000"/>
                <w:kern w:val="0"/>
                <w:sz w:val="25"/>
                <w:szCs w:val="24"/>
              </w:rPr>
              <w:t>银</w:t>
            </w:r>
            <w:proofErr w:type="gramEnd"/>
            <w:r>
              <w:rPr>
                <w:rFonts w:ascii="Times New Roman" w:hAnsi="Times New Roman"/>
                <w:color w:val="000000"/>
                <w:kern w:val="0"/>
                <w:sz w:val="25"/>
                <w:szCs w:val="24"/>
              </w:rPr>
              <w:t>平台销售旗下部分基金的公告</w:t>
            </w:r>
          </w:p>
        </w:tc>
        <w:tc>
          <w:tcPr>
            <w:tcW w:w="750" w:type="pct"/>
            <w:tcBorders>
              <w:top w:val="single" w:sz="4" w:space="0" w:color="auto"/>
              <w:left w:val="single" w:sz="4" w:space="0" w:color="auto"/>
              <w:bottom w:val="single" w:sz="4" w:space="0" w:color="auto"/>
              <w:right w:val="single" w:sz="4" w:space="0" w:color="auto"/>
            </w:tcBorders>
            <w:vAlign w:val="center"/>
          </w:tcPr>
          <w:p w14:paraId="6295C72F" w14:textId="77777777" w:rsidR="001F702C" w:rsidRDefault="00BD18A1">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27074412" w14:textId="77777777" w:rsidR="001F702C" w:rsidRDefault="00BD18A1">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2022-11-17</w:t>
            </w:r>
          </w:p>
        </w:tc>
      </w:tr>
      <w:tr w:rsidR="001F702C" w14:paraId="721B2989"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7A6C322F" w14:textId="77777777" w:rsidR="001F702C" w:rsidRDefault="00BD18A1">
            <w:pPr>
              <w:widowControl/>
              <w:snapToGrid w:val="0"/>
              <w:jc w:val="left"/>
              <w:rPr>
                <w:rFonts w:ascii="宋体" w:hAnsi="宋体"/>
                <w:color w:val="000000"/>
                <w:kern w:val="0"/>
                <w:sz w:val="25"/>
                <w:szCs w:val="24"/>
              </w:rPr>
            </w:pPr>
            <w:r>
              <w:rPr>
                <w:rFonts w:ascii="Times New Roman" w:hAnsi="Times New Roman"/>
                <w:color w:val="000000"/>
                <w:kern w:val="0"/>
                <w:sz w:val="25"/>
                <w:szCs w:val="24"/>
              </w:rPr>
              <w:t>14</w:t>
            </w:r>
          </w:p>
        </w:tc>
        <w:tc>
          <w:tcPr>
            <w:tcW w:w="750" w:type="pct"/>
            <w:tcBorders>
              <w:top w:val="single" w:sz="4" w:space="0" w:color="auto"/>
              <w:left w:val="single" w:sz="4" w:space="0" w:color="auto"/>
              <w:bottom w:val="single" w:sz="4" w:space="0" w:color="auto"/>
              <w:right w:val="single" w:sz="4" w:space="0" w:color="auto"/>
            </w:tcBorders>
            <w:vAlign w:val="center"/>
          </w:tcPr>
          <w:p w14:paraId="23CE41B7" w14:textId="77777777" w:rsidR="001F702C" w:rsidRDefault="00BD18A1">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交银施罗德基金管理有限公司关于增加蚂蚁（杭州）基金销售有限公司为旗下基金销售机构的公告</w:t>
            </w:r>
          </w:p>
        </w:tc>
        <w:tc>
          <w:tcPr>
            <w:tcW w:w="750" w:type="pct"/>
            <w:tcBorders>
              <w:top w:val="single" w:sz="4" w:space="0" w:color="auto"/>
              <w:left w:val="single" w:sz="4" w:space="0" w:color="auto"/>
              <w:bottom w:val="single" w:sz="4" w:space="0" w:color="auto"/>
              <w:right w:val="single" w:sz="4" w:space="0" w:color="auto"/>
            </w:tcBorders>
            <w:vAlign w:val="center"/>
          </w:tcPr>
          <w:p w14:paraId="3ABBE113" w14:textId="77777777" w:rsidR="001F702C" w:rsidRDefault="00BD18A1">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54B65657" w14:textId="77777777" w:rsidR="001F702C" w:rsidRDefault="00BD18A1">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2022-11-30</w:t>
            </w:r>
          </w:p>
        </w:tc>
      </w:tr>
      <w:tr w:rsidR="001F702C" w14:paraId="2C427DD9"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1715561F" w14:textId="77777777" w:rsidR="001F702C" w:rsidRDefault="00BD18A1">
            <w:pPr>
              <w:widowControl/>
              <w:snapToGrid w:val="0"/>
              <w:jc w:val="left"/>
              <w:rPr>
                <w:rFonts w:ascii="宋体" w:hAnsi="宋体"/>
                <w:color w:val="000000"/>
                <w:kern w:val="0"/>
                <w:sz w:val="25"/>
                <w:szCs w:val="24"/>
              </w:rPr>
            </w:pPr>
            <w:r>
              <w:rPr>
                <w:rFonts w:ascii="Times New Roman" w:hAnsi="Times New Roman"/>
                <w:color w:val="000000"/>
                <w:kern w:val="0"/>
                <w:sz w:val="25"/>
                <w:szCs w:val="24"/>
              </w:rPr>
              <w:t>15</w:t>
            </w:r>
          </w:p>
        </w:tc>
        <w:tc>
          <w:tcPr>
            <w:tcW w:w="750" w:type="pct"/>
            <w:tcBorders>
              <w:top w:val="single" w:sz="4" w:space="0" w:color="auto"/>
              <w:left w:val="single" w:sz="4" w:space="0" w:color="auto"/>
              <w:bottom w:val="single" w:sz="4" w:space="0" w:color="auto"/>
              <w:right w:val="single" w:sz="4" w:space="0" w:color="auto"/>
            </w:tcBorders>
            <w:vAlign w:val="center"/>
          </w:tcPr>
          <w:p w14:paraId="2895A5BA" w14:textId="77777777" w:rsidR="001F702C" w:rsidRDefault="00BD18A1">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交银施罗德基金管理有限公司关于交银施罗德中债</w:t>
            </w:r>
            <w:r>
              <w:rPr>
                <w:rFonts w:ascii="Times New Roman" w:hAnsi="Times New Roman"/>
                <w:color w:val="000000"/>
                <w:kern w:val="0"/>
                <w:sz w:val="25"/>
                <w:szCs w:val="24"/>
              </w:rPr>
              <w:t>1-3</w:t>
            </w:r>
            <w:r>
              <w:rPr>
                <w:rFonts w:ascii="Times New Roman" w:hAnsi="Times New Roman"/>
                <w:color w:val="000000"/>
                <w:kern w:val="0"/>
                <w:sz w:val="25"/>
                <w:szCs w:val="24"/>
              </w:rPr>
              <w:t>年农发行债券指数证券投资基金暂停及恢复大额申购（转换转入、定期定额投资）业务的公告</w:t>
            </w:r>
          </w:p>
        </w:tc>
        <w:tc>
          <w:tcPr>
            <w:tcW w:w="750" w:type="pct"/>
            <w:tcBorders>
              <w:top w:val="single" w:sz="4" w:space="0" w:color="auto"/>
              <w:left w:val="single" w:sz="4" w:space="0" w:color="auto"/>
              <w:bottom w:val="single" w:sz="4" w:space="0" w:color="auto"/>
              <w:right w:val="single" w:sz="4" w:space="0" w:color="auto"/>
            </w:tcBorders>
            <w:vAlign w:val="center"/>
          </w:tcPr>
          <w:p w14:paraId="10038878" w14:textId="77777777" w:rsidR="001F702C" w:rsidRDefault="00BD18A1">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72972A66" w14:textId="77777777" w:rsidR="001F702C" w:rsidRDefault="00BD18A1">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2022-12-19</w:t>
            </w:r>
          </w:p>
        </w:tc>
      </w:tr>
      <w:tr w:rsidR="001F702C" w14:paraId="7E9690DA"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0DE2ABCD" w14:textId="77777777" w:rsidR="001F702C" w:rsidRDefault="00BD18A1">
            <w:pPr>
              <w:widowControl/>
              <w:snapToGrid w:val="0"/>
              <w:jc w:val="left"/>
              <w:rPr>
                <w:rFonts w:ascii="宋体" w:hAnsi="宋体"/>
                <w:color w:val="000000"/>
                <w:kern w:val="0"/>
                <w:sz w:val="25"/>
                <w:szCs w:val="24"/>
              </w:rPr>
            </w:pPr>
            <w:r>
              <w:rPr>
                <w:rFonts w:ascii="Times New Roman" w:hAnsi="Times New Roman"/>
                <w:color w:val="000000"/>
                <w:kern w:val="0"/>
                <w:sz w:val="25"/>
                <w:szCs w:val="24"/>
              </w:rPr>
              <w:t>16</w:t>
            </w:r>
          </w:p>
        </w:tc>
        <w:tc>
          <w:tcPr>
            <w:tcW w:w="750" w:type="pct"/>
            <w:tcBorders>
              <w:top w:val="single" w:sz="4" w:space="0" w:color="auto"/>
              <w:left w:val="single" w:sz="4" w:space="0" w:color="auto"/>
              <w:bottom w:val="single" w:sz="4" w:space="0" w:color="auto"/>
              <w:right w:val="single" w:sz="4" w:space="0" w:color="auto"/>
            </w:tcBorders>
            <w:vAlign w:val="center"/>
          </w:tcPr>
          <w:p w14:paraId="4BE59344" w14:textId="77777777" w:rsidR="001F702C" w:rsidRDefault="00BD18A1">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交银施罗德基金管理有限公司关于交银施罗德中债</w:t>
            </w:r>
            <w:r>
              <w:rPr>
                <w:rFonts w:ascii="Times New Roman" w:hAnsi="Times New Roman"/>
                <w:color w:val="000000"/>
                <w:kern w:val="0"/>
                <w:sz w:val="25"/>
                <w:szCs w:val="24"/>
              </w:rPr>
              <w:t>1-3</w:t>
            </w:r>
            <w:r>
              <w:rPr>
                <w:rFonts w:ascii="Times New Roman" w:hAnsi="Times New Roman"/>
                <w:color w:val="000000"/>
                <w:kern w:val="0"/>
                <w:sz w:val="25"/>
                <w:szCs w:val="24"/>
              </w:rPr>
              <w:t>年农发行债券指数证券投资基金分红公告</w:t>
            </w:r>
          </w:p>
        </w:tc>
        <w:tc>
          <w:tcPr>
            <w:tcW w:w="750" w:type="pct"/>
            <w:tcBorders>
              <w:top w:val="single" w:sz="4" w:space="0" w:color="auto"/>
              <w:left w:val="single" w:sz="4" w:space="0" w:color="auto"/>
              <w:bottom w:val="single" w:sz="4" w:space="0" w:color="auto"/>
              <w:right w:val="single" w:sz="4" w:space="0" w:color="auto"/>
            </w:tcBorders>
            <w:vAlign w:val="center"/>
          </w:tcPr>
          <w:p w14:paraId="414F6F98" w14:textId="77777777" w:rsidR="001F702C" w:rsidRDefault="00BD18A1">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1F78F688" w14:textId="77777777" w:rsidR="001F702C" w:rsidRDefault="00BD18A1">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2022-12-21</w:t>
            </w:r>
          </w:p>
        </w:tc>
      </w:tr>
      <w:tr w:rsidR="001F702C" w14:paraId="1745DD1B"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713FE60A" w14:textId="77777777" w:rsidR="001F702C" w:rsidRDefault="00BD18A1">
            <w:pPr>
              <w:widowControl/>
              <w:snapToGrid w:val="0"/>
              <w:jc w:val="left"/>
              <w:rPr>
                <w:rFonts w:ascii="宋体" w:hAnsi="宋体"/>
                <w:color w:val="000000"/>
                <w:kern w:val="0"/>
                <w:sz w:val="25"/>
                <w:szCs w:val="24"/>
              </w:rPr>
            </w:pPr>
            <w:r>
              <w:rPr>
                <w:rFonts w:ascii="Times New Roman" w:hAnsi="Times New Roman"/>
                <w:color w:val="000000"/>
                <w:kern w:val="0"/>
                <w:sz w:val="25"/>
                <w:szCs w:val="24"/>
              </w:rPr>
              <w:t>17</w:t>
            </w:r>
          </w:p>
        </w:tc>
        <w:tc>
          <w:tcPr>
            <w:tcW w:w="750" w:type="pct"/>
            <w:tcBorders>
              <w:top w:val="single" w:sz="4" w:space="0" w:color="auto"/>
              <w:left w:val="single" w:sz="4" w:space="0" w:color="auto"/>
              <w:bottom w:val="single" w:sz="4" w:space="0" w:color="auto"/>
              <w:right w:val="single" w:sz="4" w:space="0" w:color="auto"/>
            </w:tcBorders>
            <w:vAlign w:val="center"/>
          </w:tcPr>
          <w:p w14:paraId="3B690EBC" w14:textId="77777777" w:rsidR="001F702C" w:rsidRDefault="00BD18A1">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交银施罗德基金管理有限公司关于增加兴业银行股份有限公司银</w:t>
            </w:r>
            <w:proofErr w:type="gramStart"/>
            <w:r>
              <w:rPr>
                <w:rFonts w:ascii="Times New Roman" w:hAnsi="Times New Roman"/>
                <w:color w:val="000000"/>
                <w:kern w:val="0"/>
                <w:sz w:val="25"/>
                <w:szCs w:val="24"/>
              </w:rPr>
              <w:t>银</w:t>
            </w:r>
            <w:proofErr w:type="gramEnd"/>
            <w:r>
              <w:rPr>
                <w:rFonts w:ascii="Times New Roman" w:hAnsi="Times New Roman"/>
                <w:color w:val="000000"/>
                <w:kern w:val="0"/>
                <w:sz w:val="25"/>
                <w:szCs w:val="24"/>
              </w:rPr>
              <w:t>平台销售旗下部分基金的公告</w:t>
            </w:r>
          </w:p>
        </w:tc>
        <w:tc>
          <w:tcPr>
            <w:tcW w:w="750" w:type="pct"/>
            <w:tcBorders>
              <w:top w:val="single" w:sz="4" w:space="0" w:color="auto"/>
              <w:left w:val="single" w:sz="4" w:space="0" w:color="auto"/>
              <w:bottom w:val="single" w:sz="4" w:space="0" w:color="auto"/>
              <w:right w:val="single" w:sz="4" w:space="0" w:color="auto"/>
            </w:tcBorders>
            <w:vAlign w:val="center"/>
          </w:tcPr>
          <w:p w14:paraId="48671AF0" w14:textId="77777777" w:rsidR="001F702C" w:rsidRDefault="00BD18A1">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36813E75" w14:textId="77777777" w:rsidR="001F702C" w:rsidRDefault="00BD18A1">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2023-01-09</w:t>
            </w:r>
          </w:p>
        </w:tc>
      </w:tr>
      <w:tr w:rsidR="001F702C" w14:paraId="05DFE467"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6E401D09" w14:textId="77777777" w:rsidR="001F702C" w:rsidRDefault="00BD18A1">
            <w:pPr>
              <w:widowControl/>
              <w:snapToGrid w:val="0"/>
              <w:jc w:val="left"/>
              <w:rPr>
                <w:rFonts w:ascii="宋体" w:hAnsi="宋体"/>
                <w:color w:val="000000"/>
                <w:kern w:val="0"/>
                <w:sz w:val="25"/>
                <w:szCs w:val="24"/>
              </w:rPr>
            </w:pPr>
            <w:r>
              <w:rPr>
                <w:rFonts w:ascii="Times New Roman" w:hAnsi="Times New Roman"/>
                <w:color w:val="000000"/>
                <w:kern w:val="0"/>
                <w:sz w:val="25"/>
                <w:szCs w:val="24"/>
              </w:rPr>
              <w:t>18</w:t>
            </w:r>
          </w:p>
        </w:tc>
        <w:tc>
          <w:tcPr>
            <w:tcW w:w="750" w:type="pct"/>
            <w:tcBorders>
              <w:top w:val="single" w:sz="4" w:space="0" w:color="auto"/>
              <w:left w:val="single" w:sz="4" w:space="0" w:color="auto"/>
              <w:bottom w:val="single" w:sz="4" w:space="0" w:color="auto"/>
              <w:right w:val="single" w:sz="4" w:space="0" w:color="auto"/>
            </w:tcBorders>
            <w:vAlign w:val="center"/>
          </w:tcPr>
          <w:p w14:paraId="2CA6E65F" w14:textId="77777777" w:rsidR="001F702C" w:rsidRDefault="00BD18A1">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交银施罗德中债</w:t>
            </w:r>
            <w:r>
              <w:rPr>
                <w:rFonts w:ascii="Times New Roman" w:hAnsi="Times New Roman"/>
                <w:color w:val="000000"/>
                <w:kern w:val="0"/>
                <w:sz w:val="25"/>
                <w:szCs w:val="24"/>
              </w:rPr>
              <w:t>1-3</w:t>
            </w:r>
            <w:r>
              <w:rPr>
                <w:rFonts w:ascii="Times New Roman" w:hAnsi="Times New Roman"/>
                <w:color w:val="000000"/>
                <w:kern w:val="0"/>
                <w:sz w:val="25"/>
                <w:szCs w:val="24"/>
              </w:rPr>
              <w:t>年农发行债券指数证券投资基金</w:t>
            </w:r>
            <w:r>
              <w:rPr>
                <w:rFonts w:ascii="Times New Roman" w:hAnsi="Times New Roman"/>
                <w:color w:val="000000"/>
                <w:kern w:val="0"/>
                <w:sz w:val="25"/>
                <w:szCs w:val="24"/>
              </w:rPr>
              <w:t>2022</w:t>
            </w:r>
            <w:r>
              <w:rPr>
                <w:rFonts w:ascii="Times New Roman" w:hAnsi="Times New Roman"/>
                <w:color w:val="000000"/>
                <w:kern w:val="0"/>
                <w:sz w:val="25"/>
                <w:szCs w:val="24"/>
              </w:rPr>
              <w:t>年第</w:t>
            </w:r>
            <w:r>
              <w:rPr>
                <w:rFonts w:ascii="Times New Roman" w:hAnsi="Times New Roman"/>
                <w:color w:val="000000"/>
                <w:kern w:val="0"/>
                <w:sz w:val="25"/>
                <w:szCs w:val="24"/>
              </w:rPr>
              <w:t>4</w:t>
            </w:r>
            <w:r>
              <w:rPr>
                <w:rFonts w:ascii="Times New Roman" w:hAnsi="Times New Roman"/>
                <w:color w:val="000000"/>
                <w:kern w:val="0"/>
                <w:sz w:val="25"/>
                <w:szCs w:val="24"/>
              </w:rPr>
              <w:t>季度报告</w:t>
            </w:r>
          </w:p>
        </w:tc>
        <w:tc>
          <w:tcPr>
            <w:tcW w:w="750" w:type="pct"/>
            <w:tcBorders>
              <w:top w:val="single" w:sz="4" w:space="0" w:color="auto"/>
              <w:left w:val="single" w:sz="4" w:space="0" w:color="auto"/>
              <w:bottom w:val="single" w:sz="4" w:space="0" w:color="auto"/>
              <w:right w:val="single" w:sz="4" w:space="0" w:color="auto"/>
            </w:tcBorders>
            <w:vAlign w:val="center"/>
          </w:tcPr>
          <w:p w14:paraId="19E086FB" w14:textId="77777777" w:rsidR="001F702C" w:rsidRDefault="00BD18A1">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55A71510" w14:textId="77777777" w:rsidR="001F702C" w:rsidRDefault="00BD18A1">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2023-01-19</w:t>
            </w:r>
          </w:p>
        </w:tc>
      </w:tr>
      <w:tr w:rsidR="001F702C" w14:paraId="615B0EF9"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7949F1DF" w14:textId="77777777" w:rsidR="001F702C" w:rsidRDefault="00BD18A1">
            <w:pPr>
              <w:widowControl/>
              <w:snapToGrid w:val="0"/>
              <w:jc w:val="left"/>
              <w:rPr>
                <w:rFonts w:ascii="宋体" w:hAnsi="宋体"/>
                <w:color w:val="000000"/>
                <w:kern w:val="0"/>
                <w:sz w:val="25"/>
                <w:szCs w:val="24"/>
              </w:rPr>
            </w:pPr>
            <w:r>
              <w:rPr>
                <w:rFonts w:ascii="Times New Roman" w:hAnsi="Times New Roman"/>
                <w:color w:val="000000"/>
                <w:kern w:val="0"/>
                <w:sz w:val="25"/>
                <w:szCs w:val="24"/>
              </w:rPr>
              <w:t>19</w:t>
            </w:r>
          </w:p>
        </w:tc>
        <w:tc>
          <w:tcPr>
            <w:tcW w:w="750" w:type="pct"/>
            <w:tcBorders>
              <w:top w:val="single" w:sz="4" w:space="0" w:color="auto"/>
              <w:left w:val="single" w:sz="4" w:space="0" w:color="auto"/>
              <w:bottom w:val="single" w:sz="4" w:space="0" w:color="auto"/>
              <w:right w:val="single" w:sz="4" w:space="0" w:color="auto"/>
            </w:tcBorders>
            <w:vAlign w:val="center"/>
          </w:tcPr>
          <w:p w14:paraId="24D0E988" w14:textId="77777777" w:rsidR="001F702C" w:rsidRDefault="00BD18A1">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交银施罗德基金管理有限公司关于增加济安财富（北京）基金销售有限公司为旗下基金销售机构的公告</w:t>
            </w:r>
          </w:p>
        </w:tc>
        <w:tc>
          <w:tcPr>
            <w:tcW w:w="750" w:type="pct"/>
            <w:tcBorders>
              <w:top w:val="single" w:sz="4" w:space="0" w:color="auto"/>
              <w:left w:val="single" w:sz="4" w:space="0" w:color="auto"/>
              <w:bottom w:val="single" w:sz="4" w:space="0" w:color="auto"/>
              <w:right w:val="single" w:sz="4" w:space="0" w:color="auto"/>
            </w:tcBorders>
            <w:vAlign w:val="center"/>
          </w:tcPr>
          <w:p w14:paraId="7D9BC112" w14:textId="77777777" w:rsidR="001F702C" w:rsidRDefault="00BD18A1">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5B4AD85B" w14:textId="77777777" w:rsidR="001F702C" w:rsidRDefault="00BD18A1">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2023-02-10</w:t>
            </w:r>
          </w:p>
        </w:tc>
      </w:tr>
      <w:tr w:rsidR="001F702C" w14:paraId="7E06F343"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7D5A4038" w14:textId="77777777" w:rsidR="001F702C" w:rsidRDefault="00BD18A1">
            <w:pPr>
              <w:widowControl/>
              <w:snapToGrid w:val="0"/>
              <w:jc w:val="left"/>
              <w:rPr>
                <w:rFonts w:ascii="宋体" w:hAnsi="宋体"/>
                <w:color w:val="000000"/>
                <w:kern w:val="0"/>
                <w:sz w:val="25"/>
                <w:szCs w:val="24"/>
              </w:rPr>
            </w:pPr>
            <w:r>
              <w:rPr>
                <w:rFonts w:ascii="Times New Roman" w:hAnsi="Times New Roman"/>
                <w:color w:val="000000"/>
                <w:kern w:val="0"/>
                <w:sz w:val="25"/>
                <w:szCs w:val="24"/>
              </w:rPr>
              <w:lastRenderedPageBreak/>
              <w:t>20</w:t>
            </w:r>
          </w:p>
        </w:tc>
        <w:tc>
          <w:tcPr>
            <w:tcW w:w="750" w:type="pct"/>
            <w:tcBorders>
              <w:top w:val="single" w:sz="4" w:space="0" w:color="auto"/>
              <w:left w:val="single" w:sz="4" w:space="0" w:color="auto"/>
              <w:bottom w:val="single" w:sz="4" w:space="0" w:color="auto"/>
              <w:right w:val="single" w:sz="4" w:space="0" w:color="auto"/>
            </w:tcBorders>
            <w:vAlign w:val="center"/>
          </w:tcPr>
          <w:p w14:paraId="0A5E956A" w14:textId="77777777" w:rsidR="001F702C" w:rsidRDefault="00BD18A1">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交银施罗德基金管理有限公司关于增加海通证券股份有限公司为旗下基金销售机构的公告</w:t>
            </w:r>
          </w:p>
        </w:tc>
        <w:tc>
          <w:tcPr>
            <w:tcW w:w="750" w:type="pct"/>
            <w:tcBorders>
              <w:top w:val="single" w:sz="4" w:space="0" w:color="auto"/>
              <w:left w:val="single" w:sz="4" w:space="0" w:color="auto"/>
              <w:bottom w:val="single" w:sz="4" w:space="0" w:color="auto"/>
              <w:right w:val="single" w:sz="4" w:space="0" w:color="auto"/>
            </w:tcBorders>
            <w:vAlign w:val="center"/>
          </w:tcPr>
          <w:p w14:paraId="6996BABA" w14:textId="77777777" w:rsidR="001F702C" w:rsidRDefault="00BD18A1">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56866CC0" w14:textId="77777777" w:rsidR="001F702C" w:rsidRDefault="00BD18A1">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2023-02-17</w:t>
            </w:r>
          </w:p>
        </w:tc>
      </w:tr>
      <w:tr w:rsidR="001F702C" w14:paraId="7DB3C487"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6BAF58A8" w14:textId="77777777" w:rsidR="001F702C" w:rsidRDefault="00BD18A1">
            <w:pPr>
              <w:widowControl/>
              <w:snapToGrid w:val="0"/>
              <w:jc w:val="left"/>
              <w:rPr>
                <w:rFonts w:ascii="宋体" w:hAnsi="宋体"/>
                <w:color w:val="000000"/>
                <w:kern w:val="0"/>
                <w:sz w:val="25"/>
                <w:szCs w:val="24"/>
              </w:rPr>
            </w:pPr>
            <w:r>
              <w:rPr>
                <w:rFonts w:ascii="Times New Roman" w:hAnsi="Times New Roman"/>
                <w:color w:val="000000"/>
                <w:kern w:val="0"/>
                <w:sz w:val="25"/>
                <w:szCs w:val="24"/>
              </w:rPr>
              <w:t>21</w:t>
            </w:r>
          </w:p>
        </w:tc>
        <w:tc>
          <w:tcPr>
            <w:tcW w:w="750" w:type="pct"/>
            <w:tcBorders>
              <w:top w:val="single" w:sz="4" w:space="0" w:color="auto"/>
              <w:left w:val="single" w:sz="4" w:space="0" w:color="auto"/>
              <w:bottom w:val="single" w:sz="4" w:space="0" w:color="auto"/>
              <w:right w:val="single" w:sz="4" w:space="0" w:color="auto"/>
            </w:tcBorders>
            <w:vAlign w:val="center"/>
          </w:tcPr>
          <w:p w14:paraId="40E92708" w14:textId="77777777" w:rsidR="001F702C" w:rsidRDefault="00BD18A1">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交银施罗德中债</w:t>
            </w:r>
            <w:r>
              <w:rPr>
                <w:rFonts w:ascii="Times New Roman" w:hAnsi="Times New Roman"/>
                <w:color w:val="000000"/>
                <w:kern w:val="0"/>
                <w:sz w:val="25"/>
                <w:szCs w:val="24"/>
              </w:rPr>
              <w:t>1-3</w:t>
            </w:r>
            <w:r>
              <w:rPr>
                <w:rFonts w:ascii="Times New Roman" w:hAnsi="Times New Roman"/>
                <w:color w:val="000000"/>
                <w:kern w:val="0"/>
                <w:sz w:val="25"/>
                <w:szCs w:val="24"/>
              </w:rPr>
              <w:t>年农发行债券指数证券投资基金</w:t>
            </w:r>
            <w:r>
              <w:rPr>
                <w:rFonts w:ascii="Times New Roman" w:hAnsi="Times New Roman"/>
                <w:color w:val="000000"/>
                <w:kern w:val="0"/>
                <w:sz w:val="25"/>
                <w:szCs w:val="24"/>
              </w:rPr>
              <w:t>2022</w:t>
            </w:r>
            <w:r>
              <w:rPr>
                <w:rFonts w:ascii="Times New Roman" w:hAnsi="Times New Roman"/>
                <w:color w:val="000000"/>
                <w:kern w:val="0"/>
                <w:sz w:val="25"/>
                <w:szCs w:val="24"/>
              </w:rPr>
              <w:t>年年度报告</w:t>
            </w:r>
          </w:p>
        </w:tc>
        <w:tc>
          <w:tcPr>
            <w:tcW w:w="750" w:type="pct"/>
            <w:tcBorders>
              <w:top w:val="single" w:sz="4" w:space="0" w:color="auto"/>
              <w:left w:val="single" w:sz="4" w:space="0" w:color="auto"/>
              <w:bottom w:val="single" w:sz="4" w:space="0" w:color="auto"/>
              <w:right w:val="single" w:sz="4" w:space="0" w:color="auto"/>
            </w:tcBorders>
            <w:vAlign w:val="center"/>
          </w:tcPr>
          <w:p w14:paraId="4B8B3D70" w14:textId="77777777" w:rsidR="001F702C" w:rsidRDefault="00BD18A1">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37C0E23B" w14:textId="77777777" w:rsidR="001F702C" w:rsidRDefault="00BD18A1">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2023-03-30</w:t>
            </w:r>
          </w:p>
        </w:tc>
      </w:tr>
      <w:tr w:rsidR="001F702C" w14:paraId="2FFD7145"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748759BD" w14:textId="77777777" w:rsidR="001F702C" w:rsidRDefault="00BD18A1">
            <w:pPr>
              <w:widowControl/>
              <w:snapToGrid w:val="0"/>
              <w:jc w:val="left"/>
              <w:rPr>
                <w:rFonts w:ascii="宋体" w:hAnsi="宋体"/>
                <w:color w:val="000000"/>
                <w:kern w:val="0"/>
                <w:sz w:val="25"/>
                <w:szCs w:val="24"/>
              </w:rPr>
            </w:pPr>
            <w:r>
              <w:rPr>
                <w:rFonts w:ascii="Times New Roman" w:hAnsi="Times New Roman"/>
                <w:color w:val="000000"/>
                <w:kern w:val="0"/>
                <w:sz w:val="25"/>
                <w:szCs w:val="24"/>
              </w:rPr>
              <w:t>22</w:t>
            </w:r>
          </w:p>
        </w:tc>
        <w:tc>
          <w:tcPr>
            <w:tcW w:w="750" w:type="pct"/>
            <w:tcBorders>
              <w:top w:val="single" w:sz="4" w:space="0" w:color="auto"/>
              <w:left w:val="single" w:sz="4" w:space="0" w:color="auto"/>
              <w:bottom w:val="single" w:sz="4" w:space="0" w:color="auto"/>
              <w:right w:val="single" w:sz="4" w:space="0" w:color="auto"/>
            </w:tcBorders>
            <w:vAlign w:val="center"/>
          </w:tcPr>
          <w:p w14:paraId="078A9AAE" w14:textId="77777777" w:rsidR="001F702C" w:rsidRDefault="00BD18A1">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交银施罗德中债</w:t>
            </w:r>
            <w:r>
              <w:rPr>
                <w:rFonts w:ascii="Times New Roman" w:hAnsi="Times New Roman"/>
                <w:color w:val="000000"/>
                <w:kern w:val="0"/>
                <w:sz w:val="25"/>
                <w:szCs w:val="24"/>
              </w:rPr>
              <w:t>1-3</w:t>
            </w:r>
            <w:r>
              <w:rPr>
                <w:rFonts w:ascii="Times New Roman" w:hAnsi="Times New Roman"/>
                <w:color w:val="000000"/>
                <w:kern w:val="0"/>
                <w:sz w:val="25"/>
                <w:szCs w:val="24"/>
              </w:rPr>
              <w:t>年农发行债券指数证券投资基金</w:t>
            </w:r>
            <w:r>
              <w:rPr>
                <w:rFonts w:ascii="Times New Roman" w:hAnsi="Times New Roman"/>
                <w:color w:val="000000"/>
                <w:kern w:val="0"/>
                <w:sz w:val="25"/>
                <w:szCs w:val="24"/>
              </w:rPr>
              <w:t>2023</w:t>
            </w:r>
            <w:r>
              <w:rPr>
                <w:rFonts w:ascii="Times New Roman" w:hAnsi="Times New Roman"/>
                <w:color w:val="000000"/>
                <w:kern w:val="0"/>
                <w:sz w:val="25"/>
                <w:szCs w:val="24"/>
              </w:rPr>
              <w:t>年第</w:t>
            </w:r>
            <w:r>
              <w:rPr>
                <w:rFonts w:ascii="Times New Roman" w:hAnsi="Times New Roman"/>
                <w:color w:val="000000"/>
                <w:kern w:val="0"/>
                <w:sz w:val="25"/>
                <w:szCs w:val="24"/>
              </w:rPr>
              <w:t>1</w:t>
            </w:r>
            <w:r>
              <w:rPr>
                <w:rFonts w:ascii="Times New Roman" w:hAnsi="Times New Roman"/>
                <w:color w:val="000000"/>
                <w:kern w:val="0"/>
                <w:sz w:val="25"/>
                <w:szCs w:val="24"/>
              </w:rPr>
              <w:t>季度报告</w:t>
            </w:r>
          </w:p>
        </w:tc>
        <w:tc>
          <w:tcPr>
            <w:tcW w:w="750" w:type="pct"/>
            <w:tcBorders>
              <w:top w:val="single" w:sz="4" w:space="0" w:color="auto"/>
              <w:left w:val="single" w:sz="4" w:space="0" w:color="auto"/>
              <w:bottom w:val="single" w:sz="4" w:space="0" w:color="auto"/>
              <w:right w:val="single" w:sz="4" w:space="0" w:color="auto"/>
            </w:tcBorders>
            <w:vAlign w:val="center"/>
          </w:tcPr>
          <w:p w14:paraId="6B5CB1CA" w14:textId="77777777" w:rsidR="001F702C" w:rsidRDefault="00BD18A1">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5E1D9581" w14:textId="77777777" w:rsidR="001F702C" w:rsidRDefault="00BD18A1">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2023-04-21</w:t>
            </w:r>
          </w:p>
        </w:tc>
      </w:tr>
      <w:tr w:rsidR="001F702C" w14:paraId="64B404BB"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28EF4420" w14:textId="77777777" w:rsidR="001F702C" w:rsidRDefault="00BD18A1">
            <w:pPr>
              <w:widowControl/>
              <w:snapToGrid w:val="0"/>
              <w:jc w:val="left"/>
              <w:rPr>
                <w:rFonts w:ascii="宋体" w:hAnsi="宋体"/>
                <w:color w:val="000000"/>
                <w:kern w:val="0"/>
                <w:sz w:val="25"/>
                <w:szCs w:val="24"/>
              </w:rPr>
            </w:pPr>
            <w:r>
              <w:rPr>
                <w:rFonts w:ascii="Times New Roman" w:hAnsi="Times New Roman"/>
                <w:color w:val="000000"/>
                <w:kern w:val="0"/>
                <w:sz w:val="25"/>
                <w:szCs w:val="24"/>
              </w:rPr>
              <w:t>23</w:t>
            </w:r>
          </w:p>
        </w:tc>
        <w:tc>
          <w:tcPr>
            <w:tcW w:w="750" w:type="pct"/>
            <w:tcBorders>
              <w:top w:val="single" w:sz="4" w:space="0" w:color="auto"/>
              <w:left w:val="single" w:sz="4" w:space="0" w:color="auto"/>
              <w:bottom w:val="single" w:sz="4" w:space="0" w:color="auto"/>
              <w:right w:val="single" w:sz="4" w:space="0" w:color="auto"/>
            </w:tcBorders>
            <w:vAlign w:val="center"/>
          </w:tcPr>
          <w:p w14:paraId="7E155437" w14:textId="77777777" w:rsidR="001F702C" w:rsidRDefault="00BD18A1">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交银施罗德基金管理有限公司关于增加嘉实财富管理有限公司为旗下基金销售机构的公告</w:t>
            </w:r>
          </w:p>
        </w:tc>
        <w:tc>
          <w:tcPr>
            <w:tcW w:w="750" w:type="pct"/>
            <w:tcBorders>
              <w:top w:val="single" w:sz="4" w:space="0" w:color="auto"/>
              <w:left w:val="single" w:sz="4" w:space="0" w:color="auto"/>
              <w:bottom w:val="single" w:sz="4" w:space="0" w:color="auto"/>
              <w:right w:val="single" w:sz="4" w:space="0" w:color="auto"/>
            </w:tcBorders>
            <w:vAlign w:val="center"/>
          </w:tcPr>
          <w:p w14:paraId="134CC4F5" w14:textId="77777777" w:rsidR="001F702C" w:rsidRDefault="00BD18A1">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032CB1F7" w14:textId="77777777" w:rsidR="001F702C" w:rsidRDefault="00BD18A1">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2023-04-25</w:t>
            </w:r>
          </w:p>
        </w:tc>
      </w:tr>
      <w:tr w:rsidR="001F702C" w14:paraId="0B76887C"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69265605" w14:textId="77777777" w:rsidR="001F702C" w:rsidRDefault="00BD18A1">
            <w:pPr>
              <w:widowControl/>
              <w:snapToGrid w:val="0"/>
              <w:jc w:val="left"/>
              <w:rPr>
                <w:rFonts w:ascii="宋体" w:hAnsi="宋体"/>
                <w:color w:val="000000"/>
                <w:kern w:val="0"/>
                <w:sz w:val="25"/>
                <w:szCs w:val="24"/>
              </w:rPr>
            </w:pPr>
            <w:r>
              <w:rPr>
                <w:rFonts w:ascii="Times New Roman" w:hAnsi="Times New Roman"/>
                <w:color w:val="000000"/>
                <w:kern w:val="0"/>
                <w:sz w:val="25"/>
                <w:szCs w:val="24"/>
              </w:rPr>
              <w:t>24</w:t>
            </w:r>
          </w:p>
        </w:tc>
        <w:tc>
          <w:tcPr>
            <w:tcW w:w="750" w:type="pct"/>
            <w:tcBorders>
              <w:top w:val="single" w:sz="4" w:space="0" w:color="auto"/>
              <w:left w:val="single" w:sz="4" w:space="0" w:color="auto"/>
              <w:bottom w:val="single" w:sz="4" w:space="0" w:color="auto"/>
              <w:right w:val="single" w:sz="4" w:space="0" w:color="auto"/>
            </w:tcBorders>
            <w:vAlign w:val="center"/>
          </w:tcPr>
          <w:p w14:paraId="7EBEF7B9" w14:textId="77777777" w:rsidR="001F702C" w:rsidRDefault="00BD18A1">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交银施罗德基金管理有限公司关于交银施罗德中债</w:t>
            </w:r>
            <w:r>
              <w:rPr>
                <w:rFonts w:ascii="Times New Roman" w:hAnsi="Times New Roman"/>
                <w:color w:val="000000"/>
                <w:kern w:val="0"/>
                <w:sz w:val="25"/>
                <w:szCs w:val="24"/>
              </w:rPr>
              <w:t>1-3</w:t>
            </w:r>
            <w:r>
              <w:rPr>
                <w:rFonts w:ascii="Times New Roman" w:hAnsi="Times New Roman"/>
                <w:color w:val="000000"/>
                <w:kern w:val="0"/>
                <w:sz w:val="25"/>
                <w:szCs w:val="24"/>
              </w:rPr>
              <w:t>年农发行债券指数证券投资基金暂停及恢复大额申购（转换转入、定期定额投资）业务的公告</w:t>
            </w:r>
          </w:p>
        </w:tc>
        <w:tc>
          <w:tcPr>
            <w:tcW w:w="750" w:type="pct"/>
            <w:tcBorders>
              <w:top w:val="single" w:sz="4" w:space="0" w:color="auto"/>
              <w:left w:val="single" w:sz="4" w:space="0" w:color="auto"/>
              <w:bottom w:val="single" w:sz="4" w:space="0" w:color="auto"/>
              <w:right w:val="single" w:sz="4" w:space="0" w:color="auto"/>
            </w:tcBorders>
            <w:vAlign w:val="center"/>
          </w:tcPr>
          <w:p w14:paraId="7F326259" w14:textId="77777777" w:rsidR="001F702C" w:rsidRDefault="00BD18A1">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4AF3F122" w14:textId="77777777" w:rsidR="001F702C" w:rsidRDefault="00BD18A1">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2023-05-19</w:t>
            </w:r>
          </w:p>
        </w:tc>
      </w:tr>
      <w:tr w:rsidR="001F702C" w14:paraId="754E19C3"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5D5EBC6F" w14:textId="77777777" w:rsidR="001F702C" w:rsidRDefault="00BD18A1">
            <w:pPr>
              <w:widowControl/>
              <w:snapToGrid w:val="0"/>
              <w:jc w:val="left"/>
              <w:rPr>
                <w:rFonts w:ascii="宋体" w:hAnsi="宋体"/>
                <w:color w:val="000000"/>
                <w:kern w:val="0"/>
                <w:sz w:val="25"/>
                <w:szCs w:val="24"/>
              </w:rPr>
            </w:pPr>
            <w:r>
              <w:rPr>
                <w:rFonts w:ascii="Times New Roman" w:hAnsi="Times New Roman"/>
                <w:color w:val="000000"/>
                <w:kern w:val="0"/>
                <w:sz w:val="25"/>
                <w:szCs w:val="24"/>
              </w:rPr>
              <w:t>25</w:t>
            </w:r>
          </w:p>
        </w:tc>
        <w:tc>
          <w:tcPr>
            <w:tcW w:w="750" w:type="pct"/>
            <w:tcBorders>
              <w:top w:val="single" w:sz="4" w:space="0" w:color="auto"/>
              <w:left w:val="single" w:sz="4" w:space="0" w:color="auto"/>
              <w:bottom w:val="single" w:sz="4" w:space="0" w:color="auto"/>
              <w:right w:val="single" w:sz="4" w:space="0" w:color="auto"/>
            </w:tcBorders>
            <w:vAlign w:val="center"/>
          </w:tcPr>
          <w:p w14:paraId="166FE1CB" w14:textId="77777777" w:rsidR="001F702C" w:rsidRDefault="00BD18A1">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交银施罗德基金管理有限公司关于交银施罗德中债</w:t>
            </w:r>
            <w:r>
              <w:rPr>
                <w:rFonts w:ascii="Times New Roman" w:hAnsi="Times New Roman"/>
                <w:color w:val="000000"/>
                <w:kern w:val="0"/>
                <w:sz w:val="25"/>
                <w:szCs w:val="24"/>
              </w:rPr>
              <w:t>1-3</w:t>
            </w:r>
            <w:r>
              <w:rPr>
                <w:rFonts w:ascii="Times New Roman" w:hAnsi="Times New Roman"/>
                <w:color w:val="000000"/>
                <w:kern w:val="0"/>
                <w:sz w:val="25"/>
                <w:szCs w:val="24"/>
              </w:rPr>
              <w:t>年农发行债券指数证券投资基金分红公告</w:t>
            </w:r>
          </w:p>
        </w:tc>
        <w:tc>
          <w:tcPr>
            <w:tcW w:w="750" w:type="pct"/>
            <w:tcBorders>
              <w:top w:val="single" w:sz="4" w:space="0" w:color="auto"/>
              <w:left w:val="single" w:sz="4" w:space="0" w:color="auto"/>
              <w:bottom w:val="single" w:sz="4" w:space="0" w:color="auto"/>
              <w:right w:val="single" w:sz="4" w:space="0" w:color="auto"/>
            </w:tcBorders>
            <w:vAlign w:val="center"/>
          </w:tcPr>
          <w:p w14:paraId="5D35D8B3" w14:textId="77777777" w:rsidR="001F702C" w:rsidRDefault="00BD18A1">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75C72E74" w14:textId="77777777" w:rsidR="001F702C" w:rsidRDefault="00BD18A1">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2023-05-23</w:t>
            </w:r>
          </w:p>
        </w:tc>
      </w:tr>
      <w:tr w:rsidR="001F702C" w14:paraId="247E14B7"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503F5755" w14:textId="77777777" w:rsidR="001F702C" w:rsidRDefault="00BD18A1">
            <w:pPr>
              <w:widowControl/>
              <w:snapToGrid w:val="0"/>
              <w:jc w:val="left"/>
              <w:rPr>
                <w:rFonts w:ascii="宋体" w:hAnsi="宋体"/>
                <w:color w:val="000000"/>
                <w:kern w:val="0"/>
                <w:sz w:val="25"/>
                <w:szCs w:val="24"/>
              </w:rPr>
            </w:pPr>
            <w:r>
              <w:rPr>
                <w:rFonts w:ascii="Times New Roman" w:hAnsi="Times New Roman"/>
                <w:color w:val="000000"/>
                <w:kern w:val="0"/>
                <w:sz w:val="25"/>
                <w:szCs w:val="24"/>
              </w:rPr>
              <w:t>26</w:t>
            </w:r>
          </w:p>
        </w:tc>
        <w:tc>
          <w:tcPr>
            <w:tcW w:w="750" w:type="pct"/>
            <w:tcBorders>
              <w:top w:val="single" w:sz="4" w:space="0" w:color="auto"/>
              <w:left w:val="single" w:sz="4" w:space="0" w:color="auto"/>
              <w:bottom w:val="single" w:sz="4" w:space="0" w:color="auto"/>
              <w:right w:val="single" w:sz="4" w:space="0" w:color="auto"/>
            </w:tcBorders>
            <w:vAlign w:val="center"/>
          </w:tcPr>
          <w:p w14:paraId="29063DB5" w14:textId="77777777" w:rsidR="001F702C" w:rsidRDefault="00BD18A1">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交银施罗德基金管理有限公司关于增加华西证券股份有限公司为旗下基金的销售机构的公告</w:t>
            </w:r>
          </w:p>
        </w:tc>
        <w:tc>
          <w:tcPr>
            <w:tcW w:w="750" w:type="pct"/>
            <w:tcBorders>
              <w:top w:val="single" w:sz="4" w:space="0" w:color="auto"/>
              <w:left w:val="single" w:sz="4" w:space="0" w:color="auto"/>
              <w:bottom w:val="single" w:sz="4" w:space="0" w:color="auto"/>
              <w:right w:val="single" w:sz="4" w:space="0" w:color="auto"/>
            </w:tcBorders>
            <w:vAlign w:val="center"/>
          </w:tcPr>
          <w:p w14:paraId="6F7A1CD2" w14:textId="77777777" w:rsidR="001F702C" w:rsidRDefault="00BD18A1">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3AB09CD9" w14:textId="77777777" w:rsidR="001F702C" w:rsidRDefault="00BD18A1">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2023-06-07</w:t>
            </w:r>
          </w:p>
        </w:tc>
      </w:tr>
      <w:tr w:rsidR="001F702C" w14:paraId="08512BB5"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13ED68D4" w14:textId="77777777" w:rsidR="001F702C" w:rsidRDefault="00BD18A1">
            <w:pPr>
              <w:widowControl/>
              <w:snapToGrid w:val="0"/>
              <w:jc w:val="left"/>
              <w:rPr>
                <w:rFonts w:ascii="宋体" w:hAnsi="宋体"/>
                <w:color w:val="000000"/>
                <w:kern w:val="0"/>
                <w:sz w:val="25"/>
                <w:szCs w:val="24"/>
              </w:rPr>
            </w:pPr>
            <w:r>
              <w:rPr>
                <w:rFonts w:ascii="Times New Roman" w:hAnsi="Times New Roman"/>
                <w:color w:val="000000"/>
                <w:kern w:val="0"/>
                <w:sz w:val="25"/>
                <w:szCs w:val="24"/>
              </w:rPr>
              <w:t>27</w:t>
            </w:r>
          </w:p>
        </w:tc>
        <w:tc>
          <w:tcPr>
            <w:tcW w:w="750" w:type="pct"/>
            <w:tcBorders>
              <w:top w:val="single" w:sz="4" w:space="0" w:color="auto"/>
              <w:left w:val="single" w:sz="4" w:space="0" w:color="auto"/>
              <w:bottom w:val="single" w:sz="4" w:space="0" w:color="auto"/>
              <w:right w:val="single" w:sz="4" w:space="0" w:color="auto"/>
            </w:tcBorders>
            <w:vAlign w:val="center"/>
          </w:tcPr>
          <w:p w14:paraId="15DB5746" w14:textId="77777777" w:rsidR="001F702C" w:rsidRDefault="00BD18A1">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交银施罗德基金管理有限公司关于交银施罗德中债</w:t>
            </w:r>
            <w:r>
              <w:rPr>
                <w:rFonts w:ascii="Times New Roman" w:hAnsi="Times New Roman"/>
                <w:color w:val="000000"/>
                <w:kern w:val="0"/>
                <w:sz w:val="25"/>
                <w:szCs w:val="24"/>
              </w:rPr>
              <w:t>1-3</w:t>
            </w:r>
            <w:r>
              <w:rPr>
                <w:rFonts w:ascii="Times New Roman" w:hAnsi="Times New Roman"/>
                <w:color w:val="000000"/>
                <w:kern w:val="0"/>
                <w:sz w:val="25"/>
                <w:szCs w:val="24"/>
              </w:rPr>
              <w:t>年农发行债券指数证券投资</w:t>
            </w:r>
            <w:proofErr w:type="gramStart"/>
            <w:r>
              <w:rPr>
                <w:rFonts w:ascii="Times New Roman" w:hAnsi="Times New Roman"/>
                <w:color w:val="000000"/>
                <w:kern w:val="0"/>
                <w:sz w:val="25"/>
                <w:szCs w:val="24"/>
              </w:rPr>
              <w:t>基金基金</w:t>
            </w:r>
            <w:proofErr w:type="gramEnd"/>
            <w:r>
              <w:rPr>
                <w:rFonts w:ascii="Times New Roman" w:hAnsi="Times New Roman"/>
                <w:color w:val="000000"/>
                <w:kern w:val="0"/>
                <w:sz w:val="25"/>
                <w:szCs w:val="24"/>
              </w:rPr>
              <w:t>经理变更的公告</w:t>
            </w:r>
          </w:p>
        </w:tc>
        <w:tc>
          <w:tcPr>
            <w:tcW w:w="750" w:type="pct"/>
            <w:tcBorders>
              <w:top w:val="single" w:sz="4" w:space="0" w:color="auto"/>
              <w:left w:val="single" w:sz="4" w:space="0" w:color="auto"/>
              <w:bottom w:val="single" w:sz="4" w:space="0" w:color="auto"/>
              <w:right w:val="single" w:sz="4" w:space="0" w:color="auto"/>
            </w:tcBorders>
            <w:vAlign w:val="center"/>
          </w:tcPr>
          <w:p w14:paraId="1AAFCC22" w14:textId="77777777" w:rsidR="001F702C" w:rsidRDefault="00BD18A1">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6536F490" w14:textId="77777777" w:rsidR="001F702C" w:rsidRDefault="00BD18A1">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2023-06-09</w:t>
            </w:r>
          </w:p>
        </w:tc>
      </w:tr>
      <w:tr w:rsidR="001F702C" w14:paraId="47778635"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2D0667BE" w14:textId="77777777" w:rsidR="001F702C" w:rsidRDefault="00BD18A1">
            <w:pPr>
              <w:widowControl/>
              <w:snapToGrid w:val="0"/>
              <w:jc w:val="left"/>
              <w:rPr>
                <w:rFonts w:ascii="宋体" w:hAnsi="宋体"/>
                <w:color w:val="000000"/>
                <w:kern w:val="0"/>
                <w:sz w:val="25"/>
                <w:szCs w:val="24"/>
              </w:rPr>
            </w:pPr>
            <w:r>
              <w:rPr>
                <w:rFonts w:ascii="Times New Roman" w:hAnsi="Times New Roman"/>
                <w:color w:val="000000"/>
                <w:kern w:val="0"/>
                <w:sz w:val="25"/>
                <w:szCs w:val="24"/>
              </w:rPr>
              <w:t>28</w:t>
            </w:r>
          </w:p>
        </w:tc>
        <w:tc>
          <w:tcPr>
            <w:tcW w:w="750" w:type="pct"/>
            <w:tcBorders>
              <w:top w:val="single" w:sz="4" w:space="0" w:color="auto"/>
              <w:left w:val="single" w:sz="4" w:space="0" w:color="auto"/>
              <w:bottom w:val="single" w:sz="4" w:space="0" w:color="auto"/>
              <w:right w:val="single" w:sz="4" w:space="0" w:color="auto"/>
            </w:tcBorders>
            <w:vAlign w:val="center"/>
          </w:tcPr>
          <w:p w14:paraId="69C6A535" w14:textId="77777777" w:rsidR="001F702C" w:rsidRDefault="00BD18A1">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交银施罗德中债</w:t>
            </w:r>
            <w:r>
              <w:rPr>
                <w:rFonts w:ascii="Times New Roman" w:hAnsi="Times New Roman"/>
                <w:color w:val="000000"/>
                <w:kern w:val="0"/>
                <w:sz w:val="25"/>
                <w:szCs w:val="24"/>
              </w:rPr>
              <w:t>1-3</w:t>
            </w:r>
            <w:r>
              <w:rPr>
                <w:rFonts w:ascii="Times New Roman" w:hAnsi="Times New Roman"/>
                <w:color w:val="000000"/>
                <w:kern w:val="0"/>
                <w:sz w:val="25"/>
                <w:szCs w:val="24"/>
              </w:rPr>
              <w:t>年农发行债券指数证券投资基金</w:t>
            </w:r>
            <w:r>
              <w:rPr>
                <w:rFonts w:ascii="Times New Roman" w:hAnsi="Times New Roman"/>
                <w:color w:val="000000"/>
                <w:kern w:val="0"/>
                <w:sz w:val="25"/>
                <w:szCs w:val="24"/>
              </w:rPr>
              <w:t>(</w:t>
            </w:r>
            <w:r>
              <w:rPr>
                <w:rFonts w:ascii="Times New Roman" w:hAnsi="Times New Roman"/>
                <w:color w:val="000000"/>
                <w:kern w:val="0"/>
                <w:sz w:val="25"/>
                <w:szCs w:val="24"/>
              </w:rPr>
              <w:t>更新</w:t>
            </w:r>
            <w:r>
              <w:rPr>
                <w:rFonts w:ascii="Times New Roman" w:hAnsi="Times New Roman"/>
                <w:color w:val="000000"/>
                <w:kern w:val="0"/>
                <w:sz w:val="25"/>
                <w:szCs w:val="24"/>
              </w:rPr>
              <w:t>)</w:t>
            </w:r>
            <w:r>
              <w:rPr>
                <w:rFonts w:ascii="Times New Roman" w:hAnsi="Times New Roman"/>
                <w:color w:val="000000"/>
                <w:kern w:val="0"/>
                <w:sz w:val="25"/>
                <w:szCs w:val="24"/>
              </w:rPr>
              <w:t>招募说明书</w:t>
            </w:r>
            <w:r>
              <w:rPr>
                <w:rFonts w:ascii="Times New Roman" w:hAnsi="Times New Roman"/>
                <w:color w:val="000000"/>
                <w:kern w:val="0"/>
                <w:sz w:val="25"/>
                <w:szCs w:val="24"/>
              </w:rPr>
              <w:t>(2023</w:t>
            </w:r>
            <w:r>
              <w:rPr>
                <w:rFonts w:ascii="Times New Roman" w:hAnsi="Times New Roman"/>
                <w:color w:val="000000"/>
                <w:kern w:val="0"/>
                <w:sz w:val="25"/>
                <w:szCs w:val="24"/>
              </w:rPr>
              <w:t>年第</w:t>
            </w:r>
            <w:r>
              <w:rPr>
                <w:rFonts w:ascii="Times New Roman" w:hAnsi="Times New Roman"/>
                <w:color w:val="000000"/>
                <w:kern w:val="0"/>
                <w:sz w:val="25"/>
                <w:szCs w:val="24"/>
              </w:rPr>
              <w:t>1</w:t>
            </w:r>
            <w:r>
              <w:rPr>
                <w:rFonts w:ascii="Times New Roman" w:hAnsi="Times New Roman"/>
                <w:color w:val="000000"/>
                <w:kern w:val="0"/>
                <w:sz w:val="25"/>
                <w:szCs w:val="24"/>
              </w:rPr>
              <w:t>号</w:t>
            </w:r>
            <w:r>
              <w:rPr>
                <w:rFonts w:ascii="Times New Roman" w:hAnsi="Times New Roman"/>
                <w:color w:val="000000"/>
                <w:kern w:val="0"/>
                <w:sz w:val="25"/>
                <w:szCs w:val="24"/>
              </w:rPr>
              <w:t>)</w:t>
            </w:r>
          </w:p>
        </w:tc>
        <w:tc>
          <w:tcPr>
            <w:tcW w:w="750" w:type="pct"/>
            <w:tcBorders>
              <w:top w:val="single" w:sz="4" w:space="0" w:color="auto"/>
              <w:left w:val="single" w:sz="4" w:space="0" w:color="auto"/>
              <w:bottom w:val="single" w:sz="4" w:space="0" w:color="auto"/>
              <w:right w:val="single" w:sz="4" w:space="0" w:color="auto"/>
            </w:tcBorders>
            <w:vAlign w:val="center"/>
          </w:tcPr>
          <w:p w14:paraId="04BCE382" w14:textId="77777777" w:rsidR="001F702C" w:rsidRDefault="00BD18A1">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5D70B25D" w14:textId="77777777" w:rsidR="001F702C" w:rsidRDefault="00BD18A1">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2023-06-14</w:t>
            </w:r>
          </w:p>
        </w:tc>
      </w:tr>
      <w:tr w:rsidR="001F702C" w14:paraId="19AC50EE"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4F6472B9" w14:textId="77777777" w:rsidR="001F702C" w:rsidRDefault="00BD18A1">
            <w:pPr>
              <w:widowControl/>
              <w:snapToGrid w:val="0"/>
              <w:jc w:val="left"/>
              <w:rPr>
                <w:rFonts w:ascii="宋体" w:hAnsi="宋体"/>
                <w:color w:val="000000"/>
                <w:kern w:val="0"/>
                <w:sz w:val="25"/>
                <w:szCs w:val="24"/>
              </w:rPr>
            </w:pPr>
            <w:r>
              <w:rPr>
                <w:rFonts w:ascii="Times New Roman" w:hAnsi="Times New Roman"/>
                <w:color w:val="000000"/>
                <w:kern w:val="0"/>
                <w:sz w:val="25"/>
                <w:szCs w:val="24"/>
              </w:rPr>
              <w:t>29</w:t>
            </w:r>
          </w:p>
        </w:tc>
        <w:tc>
          <w:tcPr>
            <w:tcW w:w="750" w:type="pct"/>
            <w:tcBorders>
              <w:top w:val="single" w:sz="4" w:space="0" w:color="auto"/>
              <w:left w:val="single" w:sz="4" w:space="0" w:color="auto"/>
              <w:bottom w:val="single" w:sz="4" w:space="0" w:color="auto"/>
              <w:right w:val="single" w:sz="4" w:space="0" w:color="auto"/>
            </w:tcBorders>
            <w:vAlign w:val="center"/>
          </w:tcPr>
          <w:p w14:paraId="5B920A62" w14:textId="77777777" w:rsidR="001F702C" w:rsidRDefault="00BD18A1">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交银施罗德中债</w:t>
            </w:r>
            <w:r>
              <w:rPr>
                <w:rFonts w:ascii="Times New Roman" w:hAnsi="Times New Roman"/>
                <w:color w:val="000000"/>
                <w:kern w:val="0"/>
                <w:sz w:val="25"/>
                <w:szCs w:val="24"/>
              </w:rPr>
              <w:t>1-3</w:t>
            </w:r>
            <w:r>
              <w:rPr>
                <w:rFonts w:ascii="Times New Roman" w:hAnsi="Times New Roman"/>
                <w:color w:val="000000"/>
                <w:kern w:val="0"/>
                <w:sz w:val="25"/>
                <w:szCs w:val="24"/>
              </w:rPr>
              <w:t>年农发行债券指数证券投资基金（</w:t>
            </w:r>
            <w:r>
              <w:rPr>
                <w:rFonts w:ascii="Times New Roman" w:hAnsi="Times New Roman"/>
                <w:color w:val="000000"/>
                <w:kern w:val="0"/>
                <w:sz w:val="25"/>
                <w:szCs w:val="24"/>
              </w:rPr>
              <w:t>A</w:t>
            </w:r>
            <w:r>
              <w:rPr>
                <w:rFonts w:ascii="Times New Roman" w:hAnsi="Times New Roman"/>
                <w:color w:val="000000"/>
                <w:kern w:val="0"/>
                <w:sz w:val="25"/>
                <w:szCs w:val="24"/>
              </w:rPr>
              <w:t>类份额）基金产品资料概要更新</w:t>
            </w:r>
            <w:r>
              <w:rPr>
                <w:rFonts w:ascii="Times New Roman" w:hAnsi="Times New Roman"/>
                <w:color w:val="000000"/>
                <w:kern w:val="0"/>
                <w:sz w:val="25"/>
                <w:szCs w:val="24"/>
              </w:rPr>
              <w:t>(2023</w:t>
            </w:r>
            <w:r>
              <w:rPr>
                <w:rFonts w:ascii="Times New Roman" w:hAnsi="Times New Roman"/>
                <w:color w:val="000000"/>
                <w:kern w:val="0"/>
                <w:sz w:val="25"/>
                <w:szCs w:val="24"/>
              </w:rPr>
              <w:t>年第</w:t>
            </w:r>
            <w:r>
              <w:rPr>
                <w:rFonts w:ascii="Times New Roman" w:hAnsi="Times New Roman"/>
                <w:color w:val="000000"/>
                <w:kern w:val="0"/>
                <w:sz w:val="25"/>
                <w:szCs w:val="24"/>
              </w:rPr>
              <w:t>1</w:t>
            </w:r>
            <w:r>
              <w:rPr>
                <w:rFonts w:ascii="Times New Roman" w:hAnsi="Times New Roman"/>
                <w:color w:val="000000"/>
                <w:kern w:val="0"/>
                <w:sz w:val="25"/>
                <w:szCs w:val="24"/>
              </w:rPr>
              <w:t>号</w:t>
            </w:r>
            <w:r>
              <w:rPr>
                <w:rFonts w:ascii="Times New Roman" w:hAnsi="Times New Roman"/>
                <w:color w:val="000000"/>
                <w:kern w:val="0"/>
                <w:sz w:val="25"/>
                <w:szCs w:val="24"/>
              </w:rPr>
              <w:t>)</w:t>
            </w:r>
          </w:p>
        </w:tc>
        <w:tc>
          <w:tcPr>
            <w:tcW w:w="750" w:type="pct"/>
            <w:tcBorders>
              <w:top w:val="single" w:sz="4" w:space="0" w:color="auto"/>
              <w:left w:val="single" w:sz="4" w:space="0" w:color="auto"/>
              <w:bottom w:val="single" w:sz="4" w:space="0" w:color="auto"/>
              <w:right w:val="single" w:sz="4" w:space="0" w:color="auto"/>
            </w:tcBorders>
            <w:vAlign w:val="center"/>
          </w:tcPr>
          <w:p w14:paraId="0CA53004" w14:textId="77777777" w:rsidR="001F702C" w:rsidRDefault="00BD18A1">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382FB7D6" w14:textId="77777777" w:rsidR="001F702C" w:rsidRDefault="00BD18A1">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2023-06-14</w:t>
            </w:r>
          </w:p>
        </w:tc>
      </w:tr>
      <w:tr w:rsidR="001F702C" w14:paraId="13934949"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02A9792E" w14:textId="77777777" w:rsidR="001F702C" w:rsidRDefault="00BD18A1">
            <w:pPr>
              <w:widowControl/>
              <w:snapToGrid w:val="0"/>
              <w:jc w:val="left"/>
              <w:rPr>
                <w:rFonts w:ascii="宋体" w:hAnsi="宋体"/>
                <w:color w:val="000000"/>
                <w:kern w:val="0"/>
                <w:sz w:val="25"/>
                <w:szCs w:val="24"/>
              </w:rPr>
            </w:pPr>
            <w:r>
              <w:rPr>
                <w:rFonts w:ascii="Times New Roman" w:hAnsi="Times New Roman"/>
                <w:color w:val="000000"/>
                <w:kern w:val="0"/>
                <w:sz w:val="25"/>
                <w:szCs w:val="24"/>
              </w:rPr>
              <w:lastRenderedPageBreak/>
              <w:t>30</w:t>
            </w:r>
          </w:p>
        </w:tc>
        <w:tc>
          <w:tcPr>
            <w:tcW w:w="750" w:type="pct"/>
            <w:tcBorders>
              <w:top w:val="single" w:sz="4" w:space="0" w:color="auto"/>
              <w:left w:val="single" w:sz="4" w:space="0" w:color="auto"/>
              <w:bottom w:val="single" w:sz="4" w:space="0" w:color="auto"/>
              <w:right w:val="single" w:sz="4" w:space="0" w:color="auto"/>
            </w:tcBorders>
            <w:vAlign w:val="center"/>
          </w:tcPr>
          <w:p w14:paraId="3A9A8E76" w14:textId="77777777" w:rsidR="001F702C" w:rsidRDefault="00BD18A1">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交银施罗德中债</w:t>
            </w:r>
            <w:r>
              <w:rPr>
                <w:rFonts w:ascii="Times New Roman" w:hAnsi="Times New Roman"/>
                <w:color w:val="000000"/>
                <w:kern w:val="0"/>
                <w:sz w:val="25"/>
                <w:szCs w:val="24"/>
              </w:rPr>
              <w:t>1-3</w:t>
            </w:r>
            <w:r>
              <w:rPr>
                <w:rFonts w:ascii="Times New Roman" w:hAnsi="Times New Roman"/>
                <w:color w:val="000000"/>
                <w:kern w:val="0"/>
                <w:sz w:val="25"/>
                <w:szCs w:val="24"/>
              </w:rPr>
              <w:t>年农发行债券指数证券投资基金（</w:t>
            </w:r>
            <w:r>
              <w:rPr>
                <w:rFonts w:ascii="Times New Roman" w:hAnsi="Times New Roman"/>
                <w:color w:val="000000"/>
                <w:kern w:val="0"/>
                <w:sz w:val="25"/>
                <w:szCs w:val="24"/>
              </w:rPr>
              <w:t>C</w:t>
            </w:r>
            <w:r>
              <w:rPr>
                <w:rFonts w:ascii="Times New Roman" w:hAnsi="Times New Roman"/>
                <w:color w:val="000000"/>
                <w:kern w:val="0"/>
                <w:sz w:val="25"/>
                <w:szCs w:val="24"/>
              </w:rPr>
              <w:t>类份额）基金产品资料概要更新</w:t>
            </w:r>
            <w:r>
              <w:rPr>
                <w:rFonts w:ascii="Times New Roman" w:hAnsi="Times New Roman"/>
                <w:color w:val="000000"/>
                <w:kern w:val="0"/>
                <w:sz w:val="25"/>
                <w:szCs w:val="24"/>
              </w:rPr>
              <w:t>(2023</w:t>
            </w:r>
            <w:r>
              <w:rPr>
                <w:rFonts w:ascii="Times New Roman" w:hAnsi="Times New Roman"/>
                <w:color w:val="000000"/>
                <w:kern w:val="0"/>
                <w:sz w:val="25"/>
                <w:szCs w:val="24"/>
              </w:rPr>
              <w:t>年第</w:t>
            </w:r>
            <w:r>
              <w:rPr>
                <w:rFonts w:ascii="Times New Roman" w:hAnsi="Times New Roman"/>
                <w:color w:val="000000"/>
                <w:kern w:val="0"/>
                <w:sz w:val="25"/>
                <w:szCs w:val="24"/>
              </w:rPr>
              <w:t>1</w:t>
            </w:r>
            <w:r>
              <w:rPr>
                <w:rFonts w:ascii="Times New Roman" w:hAnsi="Times New Roman"/>
                <w:color w:val="000000"/>
                <w:kern w:val="0"/>
                <w:sz w:val="25"/>
                <w:szCs w:val="24"/>
              </w:rPr>
              <w:t>号</w:t>
            </w:r>
            <w:r>
              <w:rPr>
                <w:rFonts w:ascii="Times New Roman" w:hAnsi="Times New Roman"/>
                <w:color w:val="000000"/>
                <w:kern w:val="0"/>
                <w:sz w:val="25"/>
                <w:szCs w:val="24"/>
              </w:rPr>
              <w:t>)</w:t>
            </w:r>
          </w:p>
        </w:tc>
        <w:tc>
          <w:tcPr>
            <w:tcW w:w="750" w:type="pct"/>
            <w:tcBorders>
              <w:top w:val="single" w:sz="4" w:space="0" w:color="auto"/>
              <w:left w:val="single" w:sz="4" w:space="0" w:color="auto"/>
              <w:bottom w:val="single" w:sz="4" w:space="0" w:color="auto"/>
              <w:right w:val="single" w:sz="4" w:space="0" w:color="auto"/>
            </w:tcBorders>
            <w:vAlign w:val="center"/>
          </w:tcPr>
          <w:p w14:paraId="565819E9" w14:textId="77777777" w:rsidR="001F702C" w:rsidRDefault="00BD18A1">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0CE6F6B6" w14:textId="77777777" w:rsidR="001F702C" w:rsidRDefault="00BD18A1">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2023-06-14</w:t>
            </w:r>
          </w:p>
        </w:tc>
      </w:tr>
      <w:tr w:rsidR="001F702C" w14:paraId="4E1BC198"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146F2C98" w14:textId="77777777" w:rsidR="001F702C" w:rsidRDefault="00BD18A1">
            <w:pPr>
              <w:widowControl/>
              <w:snapToGrid w:val="0"/>
              <w:jc w:val="left"/>
              <w:rPr>
                <w:rFonts w:ascii="宋体" w:hAnsi="宋体"/>
                <w:color w:val="000000"/>
                <w:kern w:val="0"/>
                <w:sz w:val="25"/>
                <w:szCs w:val="24"/>
              </w:rPr>
            </w:pPr>
            <w:r>
              <w:rPr>
                <w:rFonts w:ascii="Times New Roman" w:hAnsi="Times New Roman"/>
                <w:color w:val="000000"/>
                <w:kern w:val="0"/>
                <w:sz w:val="25"/>
                <w:szCs w:val="24"/>
              </w:rPr>
              <w:t>31</w:t>
            </w:r>
          </w:p>
        </w:tc>
        <w:tc>
          <w:tcPr>
            <w:tcW w:w="750" w:type="pct"/>
            <w:tcBorders>
              <w:top w:val="single" w:sz="4" w:space="0" w:color="auto"/>
              <w:left w:val="single" w:sz="4" w:space="0" w:color="auto"/>
              <w:bottom w:val="single" w:sz="4" w:space="0" w:color="auto"/>
              <w:right w:val="single" w:sz="4" w:space="0" w:color="auto"/>
            </w:tcBorders>
            <w:vAlign w:val="center"/>
          </w:tcPr>
          <w:p w14:paraId="080E8A1B" w14:textId="77777777" w:rsidR="001F702C" w:rsidRDefault="00BD18A1">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交银施罗德基金管理有限公司关于增加珠海</w:t>
            </w:r>
            <w:proofErr w:type="gramStart"/>
            <w:r>
              <w:rPr>
                <w:rFonts w:ascii="Times New Roman" w:hAnsi="Times New Roman"/>
                <w:color w:val="000000"/>
                <w:kern w:val="0"/>
                <w:sz w:val="25"/>
                <w:szCs w:val="24"/>
              </w:rPr>
              <w:t>盈米基金</w:t>
            </w:r>
            <w:proofErr w:type="gramEnd"/>
            <w:r>
              <w:rPr>
                <w:rFonts w:ascii="Times New Roman" w:hAnsi="Times New Roman"/>
                <w:color w:val="000000"/>
                <w:kern w:val="0"/>
                <w:sz w:val="25"/>
                <w:szCs w:val="24"/>
              </w:rPr>
              <w:t>销售有限公司为旗下基金销售机构的公告</w:t>
            </w:r>
          </w:p>
        </w:tc>
        <w:tc>
          <w:tcPr>
            <w:tcW w:w="750" w:type="pct"/>
            <w:tcBorders>
              <w:top w:val="single" w:sz="4" w:space="0" w:color="auto"/>
              <w:left w:val="single" w:sz="4" w:space="0" w:color="auto"/>
              <w:bottom w:val="single" w:sz="4" w:space="0" w:color="auto"/>
              <w:right w:val="single" w:sz="4" w:space="0" w:color="auto"/>
            </w:tcBorders>
            <w:vAlign w:val="center"/>
          </w:tcPr>
          <w:p w14:paraId="30D4DAD7" w14:textId="77777777" w:rsidR="001F702C" w:rsidRDefault="00BD18A1">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70DC4A50" w14:textId="77777777" w:rsidR="001F702C" w:rsidRDefault="00BD18A1">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2023-06-15</w:t>
            </w:r>
          </w:p>
        </w:tc>
      </w:tr>
      <w:tr w:rsidR="001F702C" w14:paraId="31C8EF61"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19DEB8AA" w14:textId="77777777" w:rsidR="001F702C" w:rsidRDefault="00BD18A1">
            <w:pPr>
              <w:widowControl/>
              <w:snapToGrid w:val="0"/>
              <w:jc w:val="left"/>
              <w:rPr>
                <w:rFonts w:ascii="宋体" w:hAnsi="宋体"/>
                <w:color w:val="000000"/>
                <w:kern w:val="0"/>
                <w:sz w:val="25"/>
                <w:szCs w:val="24"/>
              </w:rPr>
            </w:pPr>
            <w:r>
              <w:rPr>
                <w:rFonts w:ascii="Times New Roman" w:hAnsi="Times New Roman"/>
                <w:color w:val="000000"/>
                <w:kern w:val="0"/>
                <w:sz w:val="25"/>
                <w:szCs w:val="24"/>
              </w:rPr>
              <w:t>32</w:t>
            </w:r>
          </w:p>
        </w:tc>
        <w:tc>
          <w:tcPr>
            <w:tcW w:w="750" w:type="pct"/>
            <w:tcBorders>
              <w:top w:val="single" w:sz="4" w:space="0" w:color="auto"/>
              <w:left w:val="single" w:sz="4" w:space="0" w:color="auto"/>
              <w:bottom w:val="single" w:sz="4" w:space="0" w:color="auto"/>
              <w:right w:val="single" w:sz="4" w:space="0" w:color="auto"/>
            </w:tcBorders>
            <w:vAlign w:val="center"/>
          </w:tcPr>
          <w:p w14:paraId="105F2070" w14:textId="77777777" w:rsidR="001F702C" w:rsidRDefault="00BD18A1">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交银施罗德基金管理有限公司关于增加博时财富基金销售有限公司为旗下基金销售机构的公告</w:t>
            </w:r>
          </w:p>
        </w:tc>
        <w:tc>
          <w:tcPr>
            <w:tcW w:w="750" w:type="pct"/>
            <w:tcBorders>
              <w:top w:val="single" w:sz="4" w:space="0" w:color="auto"/>
              <w:left w:val="single" w:sz="4" w:space="0" w:color="auto"/>
              <w:bottom w:val="single" w:sz="4" w:space="0" w:color="auto"/>
              <w:right w:val="single" w:sz="4" w:space="0" w:color="auto"/>
            </w:tcBorders>
            <w:vAlign w:val="center"/>
          </w:tcPr>
          <w:p w14:paraId="2C6C1186" w14:textId="77777777" w:rsidR="001F702C" w:rsidRDefault="00BD18A1">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48E91B4B" w14:textId="77777777" w:rsidR="001F702C" w:rsidRDefault="00BD18A1">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2023-06-21</w:t>
            </w:r>
          </w:p>
        </w:tc>
      </w:tr>
    </w:tbl>
    <w:p w14:paraId="04941BA2" w14:textId="77777777" w:rsidR="00367445" w:rsidRDefault="00BD18A1" w:rsidP="00367445">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40F4BC97" w14:textId="77777777" w:rsidR="001F702C" w:rsidRDefault="00BD18A1">
      <w:pPr>
        <w:pStyle w:val="1"/>
        <w:snapToGrid w:val="0"/>
        <w:spacing w:beforeLines="0" w:before="240" w:after="240"/>
        <w:rPr>
          <w:rFonts w:ascii="宋体" w:hAnsi="宋体"/>
          <w:szCs w:val="30"/>
        </w:rPr>
      </w:pPr>
      <w:bookmarkStart w:id="30" w:name="_Toc140049429"/>
      <w:r>
        <w:rPr>
          <w:rFonts w:ascii="Times New Roman" w:hAnsi="Times New Roman"/>
          <w:sz w:val="30"/>
        </w:rPr>
        <w:lastRenderedPageBreak/>
        <w:t>二十五、招募说明书的存放及查阅方式</w:t>
      </w:r>
      <w:bookmarkEnd w:id="30"/>
    </w:p>
    <w:p w14:paraId="07F3C32D"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招募说明书存放在基金管理人、基金托管人和基金销售机构的办公场所，投资人可在办公时间查阅；投资人在支付工本费后，可在合理时间内取得上述文件复制件或复印件。对投资人按此种方式所获得的文件及其复印件，基金管理人和基金托管人保证文本的内容与所公告的内容完全一致。</w:t>
      </w:r>
    </w:p>
    <w:p w14:paraId="2D93526A"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投资人还可以直接登录基金管理人的网站(www.fund001.com）查阅和下载招募说明书。</w:t>
      </w:r>
    </w:p>
    <w:p w14:paraId="07CD87C6" w14:textId="77777777" w:rsidR="00367445" w:rsidRDefault="00BD18A1" w:rsidP="00367445">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72DE738B" w14:textId="77777777" w:rsidR="001F702C" w:rsidRDefault="00BD18A1">
      <w:pPr>
        <w:pStyle w:val="1"/>
        <w:snapToGrid w:val="0"/>
        <w:spacing w:beforeLines="0" w:before="240" w:after="240"/>
        <w:rPr>
          <w:rFonts w:ascii="宋体" w:hAnsi="宋体"/>
          <w:szCs w:val="30"/>
        </w:rPr>
      </w:pPr>
      <w:bookmarkStart w:id="31" w:name="_Toc140049430"/>
      <w:r>
        <w:rPr>
          <w:rFonts w:ascii="Times New Roman" w:hAnsi="Times New Roman"/>
          <w:sz w:val="30"/>
        </w:rPr>
        <w:lastRenderedPageBreak/>
        <w:t>二十六、备查文件</w:t>
      </w:r>
      <w:bookmarkEnd w:id="31"/>
    </w:p>
    <w:p w14:paraId="5B0399AD"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以下备查文件存放在基金管理人的办公场所，在办公时间可供免费查阅。</w:t>
      </w:r>
    </w:p>
    <w:p w14:paraId="342B5731"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（一）中国证监会准予交银施罗德中债1-3年农发行债券指数证券投资基金募集注册的文件</w:t>
      </w:r>
    </w:p>
    <w:p w14:paraId="7DBCC85E"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（二）《交银施罗德中债1-3年农发行债券指数证券投资基金基金合同》</w:t>
      </w:r>
    </w:p>
    <w:p w14:paraId="4E5FA89F"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（三）《交银施罗德中债1-3年农发行债券指数证券投资基金托管协议》</w:t>
      </w:r>
    </w:p>
    <w:p w14:paraId="46D4B9F2"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（四）基金管理人业务资格批件、营业执照</w:t>
      </w:r>
    </w:p>
    <w:p w14:paraId="69EE5F1D"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（五）基金托管人业务资格批件、营业执照</w:t>
      </w:r>
    </w:p>
    <w:p w14:paraId="78C3D271" w14:textId="77777777" w:rsidR="001F702C" w:rsidRDefault="00BD18A1">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（六）关于申请募集注册交银施罗德中债1-3年农发行债券指数证券投资基金的法律意见书</w:t>
      </w:r>
    </w:p>
    <w:sectPr w:rsidR="001F702C">
      <w:footerReference w:type="default" r:id="rId16"/>
      <w:pgSz w:w="11920" w:h="16840"/>
      <w:pgMar w:top="1360" w:right="1580" w:bottom="280" w:left="1680" w:header="0" w:footer="1186"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566BFE" w16cid:durableId="2913B360"/>
  <w16cid:commentId w16cid:paraId="20C04E68" w16cid:durableId="2913B28D"/>
  <w16cid:commentId w16cid:paraId="7434B583" w16cid:durableId="2913B44B"/>
  <w16cid:commentId w16cid:paraId="6DB5A717" w16cid:durableId="29159084"/>
  <w16cid:commentId w16cid:paraId="281DACC5" w16cid:durableId="29159237"/>
  <w16cid:commentId w16cid:paraId="22402AFE" w16cid:durableId="29147A46"/>
  <w16cid:commentId w16cid:paraId="5FE94E9D" w16cid:durableId="2914797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E794EE" w14:textId="77777777" w:rsidR="00E56D57" w:rsidRDefault="00E56D57">
      <w:r>
        <w:separator/>
      </w:r>
    </w:p>
  </w:endnote>
  <w:endnote w:type="continuationSeparator" w:id="0">
    <w:p w14:paraId="09C93F40" w14:textId="77777777" w:rsidR="00E56D57" w:rsidRDefault="00E56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ˎ̥">
    <w:altName w:val="Times New Roman"/>
    <w:charset w:val="00"/>
    <w:family w:val="roman"/>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64D2B" w14:textId="7AB1A464" w:rsidR="005C42C4" w:rsidRDefault="005C42C4">
    <w:pPr>
      <w:autoSpaceDE w:val="0"/>
      <w:autoSpaceDN w:val="0"/>
      <w:adjustRightInd w:val="0"/>
      <w:spacing w:line="200" w:lineRule="exact"/>
      <w:jc w:val="left"/>
      <w:rPr>
        <w:rFonts w:ascii="Times New Roman" w:hAnsi="Times New Roman"/>
        <w:kern w:val="0"/>
        <w:sz w:val="20"/>
        <w:szCs w:val="20"/>
      </w:rPr>
    </w:pPr>
    <w:r>
      <w:rPr>
        <w:noProof/>
      </w:rPr>
      <mc:AlternateContent>
        <mc:Choice Requires="wps">
          <w:drawing>
            <wp:anchor distT="0" distB="0" distL="114300" distR="114300" simplePos="0" relativeHeight="251658752" behindDoc="1" locked="0" layoutInCell="0" allowOverlap="1" wp14:anchorId="1B8E28C8" wp14:editId="102BC858">
              <wp:simplePos x="0" y="0"/>
              <wp:positionH relativeFrom="page">
                <wp:posOffset>3726180</wp:posOffset>
              </wp:positionH>
              <wp:positionV relativeFrom="page">
                <wp:posOffset>9939020</wp:posOffset>
              </wp:positionV>
              <wp:extent cx="274320" cy="1397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22834F" w14:textId="07F3994B" w:rsidR="005C42C4" w:rsidRDefault="005C42C4">
                          <w:pPr>
                            <w:autoSpaceDE w:val="0"/>
                            <w:autoSpaceDN w:val="0"/>
                            <w:adjustRightInd w:val="0"/>
                            <w:spacing w:line="204" w:lineRule="exact"/>
                            <w:ind w:left="40"/>
                            <w:jc w:val="left"/>
                            <w:rPr>
                              <w:rFonts w:ascii="Times New Roman" w:hAnsi="Times New Roman"/>
                              <w:kern w:val="0"/>
                              <w:sz w:val="18"/>
                              <w:szCs w:val="18"/>
                            </w:rPr>
                          </w:pPr>
                          <w:r>
                            <w:rPr>
                              <w:rFonts w:ascii="Times New Roman" w:hAnsi="Times New Roman"/>
                              <w:kern w:val="0"/>
                              <w:sz w:val="18"/>
                              <w:szCs w:val="18"/>
                            </w:rPr>
                            <w:fldChar w:fldCharType="begin"/>
                          </w:r>
                          <w:r>
                            <w:rPr>
                              <w:rFonts w:ascii="Times New Roman" w:hAnsi="Times New Roman"/>
                              <w:kern w:val="0"/>
                              <w:sz w:val="18"/>
                              <w:szCs w:val="18"/>
                            </w:rPr>
                            <w:instrText xml:space="preserve"> PAGE </w:instrText>
                          </w:r>
                          <w:r>
                            <w:rPr>
                              <w:rFonts w:ascii="Times New Roman" w:hAnsi="Times New Roman"/>
                              <w:kern w:val="0"/>
                              <w:sz w:val="18"/>
                              <w:szCs w:val="18"/>
                            </w:rPr>
                            <w:fldChar w:fldCharType="separate"/>
                          </w:r>
                          <w:r w:rsidR="001607B6">
                            <w:rPr>
                              <w:rFonts w:ascii="Times New Roman" w:hAnsi="Times New Roman"/>
                              <w:noProof/>
                              <w:kern w:val="0"/>
                              <w:sz w:val="18"/>
                              <w:szCs w:val="18"/>
                            </w:rPr>
                            <w:t>4</w:t>
                          </w:r>
                          <w:r>
                            <w:rPr>
                              <w:rFonts w:ascii="Times New Roman" w:hAnsi="Times New Roman"/>
                              <w:kern w:val="0"/>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8E28C8" id="_x0000_t202" coordsize="21600,21600" o:spt="202" path="m,l,21600r21600,l21600,xe">
              <v:stroke joinstyle="miter"/>
              <v:path gradientshapeok="t" o:connecttype="rect"/>
            </v:shapetype>
            <v:shape id="Text Box 1" o:spid="_x0000_s1026" type="#_x0000_t202" style="position:absolute;margin-left:293.4pt;margin-top:782.6pt;width:21.6pt;height:1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" o:allowincell="f" filled="f" stroked="f">
              <v:textbox inset="0,0,0,0">
                <w:txbxContent>
                  <w:p w14:paraId="0F22834F" w14:textId="07F3994B" w:rsidR="005C42C4" w:rsidRDefault="005C42C4">
                    <w:pPr>
                      <w:autoSpaceDE w:val="0"/>
                      <w:autoSpaceDN w:val="0"/>
                      <w:adjustRightInd w:val="0"/>
                      <w:spacing w:line="204" w:lineRule="exact"/>
                      <w:ind w:left="40"/>
                      <w:jc w:val="left"/>
                      <w:rPr>
                        <w:rFonts w:ascii="Times New Roman" w:hAnsi="Times New Roman"/>
                        <w:kern w:val="0"/>
                        <w:sz w:val="18"/>
                        <w:szCs w:val="18"/>
                      </w:rPr>
                    </w:pPr>
                    <w:r>
                      <w:rPr>
                        <w:rFonts w:ascii="Times New Roman" w:hAnsi="Times New Roman"/>
                        <w:kern w:val="0"/>
                        <w:sz w:val="18"/>
                        <w:szCs w:val="18"/>
                      </w:rPr>
                      <w:fldChar w:fldCharType="begin"/>
                    </w:r>
                    <w:r>
                      <w:rPr>
                        <w:rFonts w:ascii="Times New Roman" w:hAnsi="Times New Roman"/>
                        <w:kern w:val="0"/>
                        <w:sz w:val="18"/>
                        <w:szCs w:val="18"/>
                      </w:rPr>
                      <w:instrText xml:space="preserve"> PAGE </w:instrText>
                    </w:r>
                    <w:r>
                      <w:rPr>
                        <w:rFonts w:ascii="Times New Roman" w:hAnsi="Times New Roman"/>
                        <w:kern w:val="0"/>
                        <w:sz w:val="18"/>
                        <w:szCs w:val="18"/>
                      </w:rPr>
                      <w:fldChar w:fldCharType="separate"/>
                    </w:r>
                    <w:r w:rsidR="001607B6">
                      <w:rPr>
                        <w:rFonts w:ascii="Times New Roman" w:hAnsi="Times New Roman"/>
                        <w:noProof/>
                        <w:kern w:val="0"/>
                        <w:sz w:val="18"/>
                        <w:szCs w:val="18"/>
                      </w:rPr>
                      <w:t>4</w:t>
                    </w:r>
                    <w:r>
                      <w:rPr>
                        <w:rFonts w:ascii="Times New Roman" w:hAnsi="Times New Roman"/>
                        <w:kern w:val="0"/>
                        <w:sz w:val="18"/>
                        <w:szCs w:val="18"/>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45D8B" w14:textId="76E6135C" w:rsidR="005C42C4" w:rsidRDefault="005C42C4">
    <w:pPr>
      <w:autoSpaceDE w:val="0"/>
      <w:autoSpaceDN w:val="0"/>
      <w:adjustRightInd w:val="0"/>
      <w:spacing w:line="200" w:lineRule="exact"/>
      <w:jc w:val="left"/>
      <w:rPr>
        <w:rFonts w:ascii="Times New Roman" w:hAnsi="Times New Roman"/>
        <w:kern w:val="0"/>
        <w:sz w:val="20"/>
        <w:szCs w:val="20"/>
      </w:rPr>
    </w:pPr>
    <w:r>
      <w:rPr>
        <w:noProof/>
      </w:rPr>
      <mc:AlternateContent>
        <mc:Choice Requires="wps">
          <w:drawing>
            <wp:anchor distT="0" distB="0" distL="114300" distR="114300" simplePos="0" relativeHeight="251659776" behindDoc="1" locked="0" layoutInCell="0" allowOverlap="1" wp14:anchorId="49EFC9EE" wp14:editId="53622303">
              <wp:simplePos x="0" y="0"/>
              <wp:positionH relativeFrom="page">
                <wp:posOffset>3698875</wp:posOffset>
              </wp:positionH>
              <wp:positionV relativeFrom="page">
                <wp:posOffset>9827895</wp:posOffset>
              </wp:positionV>
              <wp:extent cx="425450" cy="139700"/>
              <wp:effectExtent l="0"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C21C14" w14:textId="3C9088F1" w:rsidR="005C42C4" w:rsidRDefault="005C42C4">
                          <w:pPr>
                            <w:autoSpaceDE w:val="0"/>
                            <w:autoSpaceDN w:val="0"/>
                            <w:adjustRightInd w:val="0"/>
                            <w:spacing w:line="204" w:lineRule="exact"/>
                            <w:ind w:left="40"/>
                            <w:jc w:val="left"/>
                            <w:rPr>
                              <w:rFonts w:ascii="Times New Roman" w:hAnsi="Times New Roman"/>
                              <w:kern w:val="0"/>
                              <w:sz w:val="18"/>
                              <w:szCs w:val="18"/>
                            </w:rPr>
                          </w:pPr>
                          <w:r>
                            <w:rPr>
                              <w:rFonts w:ascii="Times New Roman" w:hAnsi="Times New Roman"/>
                              <w:kern w:val="0"/>
                              <w:sz w:val="18"/>
                              <w:szCs w:val="18"/>
                            </w:rPr>
                            <w:fldChar w:fldCharType="begin"/>
                          </w:r>
                          <w:r>
                            <w:rPr>
                              <w:rFonts w:ascii="Times New Roman" w:hAnsi="Times New Roman"/>
                              <w:kern w:val="0"/>
                              <w:sz w:val="18"/>
                              <w:szCs w:val="18"/>
                            </w:rPr>
                            <w:instrText xml:space="preserve"> PAGE </w:instrText>
                          </w:r>
                          <w:r>
                            <w:rPr>
                              <w:rFonts w:ascii="Times New Roman" w:hAnsi="Times New Roman"/>
                              <w:kern w:val="0"/>
                              <w:sz w:val="18"/>
                              <w:szCs w:val="18"/>
                            </w:rPr>
                            <w:fldChar w:fldCharType="separate"/>
                          </w:r>
                          <w:r w:rsidR="001607B6">
                            <w:rPr>
                              <w:rFonts w:ascii="Times New Roman" w:hAnsi="Times New Roman"/>
                              <w:noProof/>
                              <w:kern w:val="0"/>
                              <w:sz w:val="18"/>
                              <w:szCs w:val="18"/>
                            </w:rPr>
                            <w:t>5</w:t>
                          </w:r>
                          <w:r>
                            <w:rPr>
                              <w:rFonts w:ascii="Times New Roman" w:hAnsi="Times New Roman"/>
                              <w:kern w:val="0"/>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EFC9EE" id="_x0000_t202" coordsize="21600,21600" o:spt="202" path="m,l,21600r21600,l21600,xe">
              <v:stroke joinstyle="miter"/>
              <v:path gradientshapeok="t" o:connecttype="rect"/>
            </v:shapetype>
            <v:shape id="Text Box 20" o:spid="_x0000_s1027" type="#_x0000_t202" style="position:absolute;margin-left:291.25pt;margin-top:773.85pt;width:33.5pt;height:1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rcqsQIAALA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" o:allowincell="f" filled="f" stroked="f">
              <v:textbox inset="0,0,0,0">
                <w:txbxContent>
                  <w:p w14:paraId="32C21C14" w14:textId="3C9088F1" w:rsidR="005C42C4" w:rsidRDefault="005C42C4">
                    <w:pPr>
                      <w:autoSpaceDE w:val="0"/>
                      <w:autoSpaceDN w:val="0"/>
                      <w:adjustRightInd w:val="0"/>
                      <w:spacing w:line="204" w:lineRule="exact"/>
                      <w:ind w:left="40"/>
                      <w:jc w:val="left"/>
                      <w:rPr>
                        <w:rFonts w:ascii="Times New Roman" w:hAnsi="Times New Roman"/>
                        <w:kern w:val="0"/>
                        <w:sz w:val="18"/>
                        <w:szCs w:val="18"/>
                      </w:rPr>
                    </w:pPr>
                    <w:r>
                      <w:rPr>
                        <w:rFonts w:ascii="Times New Roman" w:hAnsi="Times New Roman"/>
                        <w:kern w:val="0"/>
                        <w:sz w:val="18"/>
                        <w:szCs w:val="18"/>
                      </w:rPr>
                      <w:fldChar w:fldCharType="begin"/>
                    </w:r>
                    <w:r>
                      <w:rPr>
                        <w:rFonts w:ascii="Times New Roman" w:hAnsi="Times New Roman"/>
                        <w:kern w:val="0"/>
                        <w:sz w:val="18"/>
                        <w:szCs w:val="18"/>
                      </w:rPr>
                      <w:instrText xml:space="preserve"> PAGE </w:instrText>
                    </w:r>
                    <w:r>
                      <w:rPr>
                        <w:rFonts w:ascii="Times New Roman" w:hAnsi="Times New Roman"/>
                        <w:kern w:val="0"/>
                        <w:sz w:val="18"/>
                        <w:szCs w:val="18"/>
                      </w:rPr>
                      <w:fldChar w:fldCharType="separate"/>
                    </w:r>
                    <w:r w:rsidR="001607B6">
                      <w:rPr>
                        <w:rFonts w:ascii="Times New Roman" w:hAnsi="Times New Roman"/>
                        <w:noProof/>
                        <w:kern w:val="0"/>
                        <w:sz w:val="18"/>
                        <w:szCs w:val="18"/>
                      </w:rPr>
                      <w:t>5</w:t>
                    </w:r>
                    <w:r>
                      <w:rPr>
                        <w:rFonts w:ascii="Times New Roman" w:hAnsi="Times New Roman"/>
                        <w:kern w:val="0"/>
                        <w:sz w:val="18"/>
                        <w:szCs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41EC9A" w14:textId="77777777" w:rsidR="00E56D57" w:rsidRDefault="00E56D57">
      <w:r>
        <w:separator/>
      </w:r>
    </w:p>
  </w:footnote>
  <w:footnote w:type="continuationSeparator" w:id="0">
    <w:p w14:paraId="5C5726E8" w14:textId="77777777" w:rsidR="00E56D57" w:rsidRDefault="00E56D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D4126" w14:textId="3FF4DD56" w:rsidR="005C42C4" w:rsidRDefault="005C42C4">
    <w:pPr>
      <w:pStyle w:val="a3"/>
      <w:jc w:val="right"/>
    </w:pPr>
    <w:r>
      <w:rPr>
        <w:noProof/>
      </w:rPr>
      <w:drawing>
        <wp:anchor distT="0" distB="0" distL="114300" distR="114300" simplePos="0" relativeHeight="251655680" behindDoc="0" locked="0" layoutInCell="1" allowOverlap="1" wp14:anchorId="56266F71" wp14:editId="1F2094B0">
          <wp:simplePos x="0" y="0"/>
          <wp:positionH relativeFrom="column">
            <wp:posOffset>19050</wp:posOffset>
          </wp:positionH>
          <wp:positionV relativeFrom="paragraph">
            <wp:posOffset>-152400</wp:posOffset>
          </wp:positionV>
          <wp:extent cx="1714500" cy="238125"/>
          <wp:effectExtent l="0" t="0" r="0" b="0"/>
          <wp:wrapNone/>
          <wp:docPr id="23" name="图片 3"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238125"/>
                  </a:xfrm>
                  <a:prstGeom prst="rect">
                    <a:avLst/>
                  </a:prstGeom>
                  <a:noFill/>
                </pic:spPr>
              </pic:pic>
            </a:graphicData>
          </a:graphic>
          <wp14:sizeRelH relativeFrom="page">
            <wp14:pctWidth>0</wp14:pctWidth>
          </wp14:sizeRelH>
          <wp14:sizeRelV relativeFrom="page">
            <wp14:pctHeight>0</wp14:pctHeight>
          </wp14:sizeRelV>
        </wp:anchor>
      </w:drawing>
    </w:r>
  </w:p>
  <w:p w14:paraId="23993EC0" w14:textId="77777777" w:rsidR="005C42C4" w:rsidRDefault="005C42C4">
    <w:pPr>
      <w:pStyle w:val="a3"/>
      <w:jc w:val="right"/>
      <w:rPr>
        <w:rFonts w:ascii="宋体" w:hAnsi="宋体"/>
      </w:rPr>
    </w:pPr>
    <w:r>
      <w:rPr>
        <w:rFonts w:ascii="宋体" w:hAnsi="宋体" w:hint="eastAsia"/>
      </w:rPr>
      <w:t>交银施罗德中债1-3年农发行债券指数证券投资基金(更新)招募说明书(2023年第2号)</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10E55" w14:textId="77777777" w:rsidR="005C42C4" w:rsidRDefault="005C42C4">
    <w:pPr>
      <w:pStyle w:val="11"/>
      <w:jc w:val="right"/>
    </w:pPr>
  </w:p>
  <w:p w14:paraId="3EFFBB08" w14:textId="77777777" w:rsidR="005C42C4" w:rsidRDefault="005C42C4">
    <w:pPr>
      <w:pStyle w:val="11"/>
      <w:jc w:val="right"/>
    </w:pPr>
  </w:p>
  <w:p w14:paraId="73B6E7D0" w14:textId="77777777" w:rsidR="005C42C4" w:rsidRDefault="005C42C4">
    <w:pPr>
      <w:pStyle w:val="a3"/>
      <w:jc w:val="right"/>
    </w:pPr>
  </w:p>
  <w:p w14:paraId="4AE80275" w14:textId="32AD8789" w:rsidR="005C42C4" w:rsidRDefault="005C42C4">
    <w:pPr>
      <w:pStyle w:val="a3"/>
      <w:jc w:val="right"/>
    </w:pPr>
    <w:r>
      <w:rPr>
        <w:noProof/>
      </w:rPr>
      <w:drawing>
        <wp:anchor distT="0" distB="0" distL="114300" distR="114300" simplePos="0" relativeHeight="251656704" behindDoc="0" locked="0" layoutInCell="1" allowOverlap="1" wp14:anchorId="37BF3542" wp14:editId="4073B9D9">
          <wp:simplePos x="0" y="0"/>
          <wp:positionH relativeFrom="column">
            <wp:posOffset>19050</wp:posOffset>
          </wp:positionH>
          <wp:positionV relativeFrom="paragraph">
            <wp:posOffset>-152400</wp:posOffset>
          </wp:positionV>
          <wp:extent cx="1714500" cy="238125"/>
          <wp:effectExtent l="0" t="0" r="0" b="0"/>
          <wp:wrapNone/>
          <wp:docPr id="22"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238125"/>
                  </a:xfrm>
                  <a:prstGeom prst="rect">
                    <a:avLst/>
                  </a:prstGeom>
                  <a:noFill/>
                </pic:spPr>
              </pic:pic>
            </a:graphicData>
          </a:graphic>
          <wp14:sizeRelH relativeFrom="page">
            <wp14:pctWidth>0</wp14:pctWidth>
          </wp14:sizeRelH>
          <wp14:sizeRelV relativeFrom="page">
            <wp14:pctHeight>0</wp14:pctHeight>
          </wp14:sizeRelV>
        </wp:anchor>
      </w:drawing>
    </w:r>
  </w:p>
  <w:p w14:paraId="41B331EC" w14:textId="16076F62" w:rsidR="005C42C4" w:rsidRDefault="005C42C4">
    <w:pPr>
      <w:pStyle w:val="a3"/>
      <w:jc w:val="right"/>
      <w:rPr>
        <w:rFonts w:ascii="宋体" w:hAnsi="宋体"/>
      </w:rPr>
    </w:pPr>
    <w:r>
      <w:rPr>
        <w:rFonts w:ascii="宋体" w:hAnsi="宋体" w:hint="eastAsia"/>
      </w:rPr>
      <w:t>交银施罗德中债1-3年农发行债券指数证券投资基金(更新)招募说明书(202</w:t>
    </w:r>
    <w:r>
      <w:rPr>
        <w:rFonts w:ascii="宋体" w:hAnsi="宋体"/>
      </w:rPr>
      <w:t>3</w:t>
    </w:r>
    <w:r>
      <w:rPr>
        <w:rFonts w:ascii="宋体" w:hAnsi="宋体" w:hint="eastAsia"/>
      </w:rPr>
      <w:t>年第</w:t>
    </w:r>
    <w:r>
      <w:rPr>
        <w:rFonts w:ascii="宋体" w:hAnsi="宋体"/>
      </w:rPr>
      <w:t>3</w:t>
    </w:r>
    <w:r>
      <w:rPr>
        <w:rFonts w:ascii="宋体" w:hAnsi="宋体" w:hint="eastAsia"/>
      </w:rPr>
      <w:t>号)</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1E67B" w14:textId="77777777" w:rsidR="005C42C4" w:rsidRDefault="005C42C4">
    <w:pPr>
      <w:pStyle w:val="a3"/>
      <w:jc w:val="right"/>
    </w:pPr>
  </w:p>
  <w:p w14:paraId="3F33C3B7" w14:textId="77777777" w:rsidR="005C42C4" w:rsidRDefault="005C42C4">
    <w:pPr>
      <w:pStyle w:val="a3"/>
      <w:jc w:val="right"/>
    </w:pPr>
  </w:p>
  <w:p w14:paraId="3FE824D0" w14:textId="77777777" w:rsidR="005C42C4" w:rsidRDefault="005C42C4">
    <w:pPr>
      <w:pStyle w:val="a3"/>
      <w:jc w:val="right"/>
    </w:pPr>
  </w:p>
  <w:p w14:paraId="47D91787" w14:textId="2584A0F6" w:rsidR="005C42C4" w:rsidRDefault="005C42C4">
    <w:pPr>
      <w:pStyle w:val="a3"/>
      <w:jc w:val="right"/>
    </w:pPr>
    <w:r>
      <w:rPr>
        <w:noProof/>
      </w:rPr>
      <w:drawing>
        <wp:anchor distT="0" distB="0" distL="114300" distR="114300" simplePos="0" relativeHeight="251657728" behindDoc="0" locked="0" layoutInCell="1" allowOverlap="1" wp14:anchorId="3D6AEC16" wp14:editId="57E273E3">
          <wp:simplePos x="0" y="0"/>
          <wp:positionH relativeFrom="column">
            <wp:posOffset>19050</wp:posOffset>
          </wp:positionH>
          <wp:positionV relativeFrom="paragraph">
            <wp:posOffset>-152400</wp:posOffset>
          </wp:positionV>
          <wp:extent cx="1714500" cy="238125"/>
          <wp:effectExtent l="0" t="0" r="0" b="0"/>
          <wp:wrapNone/>
          <wp:docPr id="21" name="图片 4"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238125"/>
                  </a:xfrm>
                  <a:prstGeom prst="rect">
                    <a:avLst/>
                  </a:prstGeom>
                  <a:noFill/>
                </pic:spPr>
              </pic:pic>
            </a:graphicData>
          </a:graphic>
          <wp14:sizeRelH relativeFrom="page">
            <wp14:pctWidth>0</wp14:pctWidth>
          </wp14:sizeRelH>
          <wp14:sizeRelV relativeFrom="page">
            <wp14:pctHeight>0</wp14:pctHeight>
          </wp14:sizeRelV>
        </wp:anchor>
      </w:drawing>
    </w:r>
  </w:p>
  <w:p w14:paraId="6E687952" w14:textId="1D2BB645" w:rsidR="005C42C4" w:rsidRDefault="005C42C4">
    <w:pPr>
      <w:pStyle w:val="a3"/>
      <w:jc w:val="right"/>
      <w:rPr>
        <w:rFonts w:ascii="宋体" w:hAnsi="宋体"/>
      </w:rPr>
    </w:pPr>
    <w:r>
      <w:rPr>
        <w:rFonts w:ascii="宋体" w:hAnsi="宋体" w:hint="eastAsia"/>
      </w:rPr>
      <w:t>交银施罗德中债1-3年农发行债券指数证券投资基金(更新)招募说明书(202</w:t>
    </w:r>
    <w:r>
      <w:rPr>
        <w:rFonts w:ascii="宋体" w:hAnsi="宋体"/>
      </w:rPr>
      <w:t>3</w:t>
    </w:r>
    <w:r>
      <w:rPr>
        <w:rFonts w:ascii="宋体" w:hAnsi="宋体" w:hint="eastAsia"/>
      </w:rPr>
      <w:t>年第</w:t>
    </w:r>
    <w:r>
      <w:rPr>
        <w:rFonts w:ascii="宋体" w:hAnsi="宋体"/>
      </w:rPr>
      <w:t>3</w:t>
    </w:r>
    <w:r>
      <w:rPr>
        <w:rFonts w:ascii="宋体" w:hAnsi="宋体" w:hint="eastAsia"/>
      </w:rPr>
      <w:t>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7D73EE"/>
    <w:multiLevelType w:val="multilevel"/>
    <w:tmpl w:val="547D73EE"/>
    <w:lvl w:ilvl="0">
      <w:start w:val="1"/>
      <w:numFmt w:val="decimal"/>
      <w:pStyle w:val="XBRLTitle1"/>
      <w:suff w:val="space"/>
      <w:lvlText w:val="§%1"/>
      <w:lvlJc w:val="left"/>
      <w:pPr>
        <w:ind w:left="425" w:hanging="425"/>
      </w:pPr>
      <w:rPr>
        <w:rFonts w:hint="eastAsia"/>
      </w:rPr>
    </w:lvl>
    <w:lvl w:ilvl="1">
      <w:start w:val="1"/>
      <w:numFmt w:val="decimal"/>
      <w:pStyle w:val="XBRLTitle2"/>
      <w:suff w:val="space"/>
      <w:lvlText w:val="%1.%2"/>
      <w:lvlJc w:val="left"/>
      <w:pPr>
        <w:ind w:left="738" w:hanging="454"/>
      </w:pPr>
      <w:rPr>
        <w:rFonts w:hint="eastAsia"/>
      </w:rPr>
    </w:lvl>
    <w:lvl w:ilvl="2">
      <w:start w:val="1"/>
      <w:numFmt w:val="decimal"/>
      <w:pStyle w:val="XBRLTitle3"/>
      <w:suff w:val="space"/>
      <w:lvlText w:val="%1.%2.%3"/>
      <w:lvlJc w:val="left"/>
      <w:pPr>
        <w:ind w:left="624" w:hanging="624"/>
      </w:pPr>
    </w:lvl>
    <w:lvl w:ilvl="3">
      <w:start w:val="1"/>
      <w:numFmt w:val="decimal"/>
      <w:pStyle w:val="XBRLTitle4"/>
      <w:suff w:val="space"/>
      <w:lvlText w:val="%1.%2.%3.%4"/>
      <w:lvlJc w:val="left"/>
      <w:pPr>
        <w:ind w:left="794" w:hanging="794"/>
      </w:pPr>
      <w:rPr>
        <w:rFonts w:hint="eastAsia"/>
      </w:rPr>
    </w:lvl>
    <w:lvl w:ilvl="4">
      <w:start w:val="1"/>
      <w:numFmt w:val="decimal"/>
      <w:pStyle w:val="XBRLTitle5"/>
      <w:suff w:val="space"/>
      <w:lvlText w:val="%1.%2.%3.%4.%5"/>
      <w:lvlJc w:val="left"/>
      <w:pPr>
        <w:ind w:left="1021" w:hanging="1021"/>
      </w:pPr>
      <w:rPr>
        <w:rFonts w:hint="eastAsia"/>
      </w:rPr>
    </w:lvl>
    <w:lvl w:ilvl="5">
      <w:start w:val="1"/>
      <w:numFmt w:val="decimal"/>
      <w:pStyle w:val="XBRLTitle6"/>
      <w:suff w:val="space"/>
      <w:lvlText w:val="%1.%2.%3.%4.%5.%6"/>
      <w:lvlJc w:val="left"/>
      <w:pPr>
        <w:ind w:left="1021" w:hanging="1021"/>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grammar="clean"/>
  <w:trackRevisions/>
  <w:defaultTabStop w:val="720"/>
  <w:drawingGridHorizontalSpacing w:val="105"/>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0C9"/>
    <w:rsid w:val="000002A2"/>
    <w:rsid w:val="00001EEA"/>
    <w:rsid w:val="00002090"/>
    <w:rsid w:val="00003EC9"/>
    <w:rsid w:val="0000560A"/>
    <w:rsid w:val="0001266E"/>
    <w:rsid w:val="00017996"/>
    <w:rsid w:val="00026A29"/>
    <w:rsid w:val="00026D00"/>
    <w:rsid w:val="00027C73"/>
    <w:rsid w:val="00030964"/>
    <w:rsid w:val="00030F3E"/>
    <w:rsid w:val="0003377F"/>
    <w:rsid w:val="000368A2"/>
    <w:rsid w:val="00043812"/>
    <w:rsid w:val="00044AFD"/>
    <w:rsid w:val="00044E2C"/>
    <w:rsid w:val="000457B7"/>
    <w:rsid w:val="0004614E"/>
    <w:rsid w:val="00046212"/>
    <w:rsid w:val="000500B8"/>
    <w:rsid w:val="000506ED"/>
    <w:rsid w:val="000543D5"/>
    <w:rsid w:val="000544F9"/>
    <w:rsid w:val="00055792"/>
    <w:rsid w:val="00055F52"/>
    <w:rsid w:val="00061C0D"/>
    <w:rsid w:val="0006212F"/>
    <w:rsid w:val="0006220F"/>
    <w:rsid w:val="000647B8"/>
    <w:rsid w:val="0006506B"/>
    <w:rsid w:val="0006551A"/>
    <w:rsid w:val="000700AC"/>
    <w:rsid w:val="000705A6"/>
    <w:rsid w:val="00071822"/>
    <w:rsid w:val="00074EDC"/>
    <w:rsid w:val="0007638A"/>
    <w:rsid w:val="00076B6E"/>
    <w:rsid w:val="000816EA"/>
    <w:rsid w:val="00081744"/>
    <w:rsid w:val="000828CE"/>
    <w:rsid w:val="000833CB"/>
    <w:rsid w:val="00083491"/>
    <w:rsid w:val="00084078"/>
    <w:rsid w:val="000843B3"/>
    <w:rsid w:val="000869C2"/>
    <w:rsid w:val="00087F4C"/>
    <w:rsid w:val="00090648"/>
    <w:rsid w:val="00094253"/>
    <w:rsid w:val="00095030"/>
    <w:rsid w:val="000A01A0"/>
    <w:rsid w:val="000A28B3"/>
    <w:rsid w:val="000A352B"/>
    <w:rsid w:val="000B0F8B"/>
    <w:rsid w:val="000B359E"/>
    <w:rsid w:val="000B3894"/>
    <w:rsid w:val="000B4E04"/>
    <w:rsid w:val="000B7F02"/>
    <w:rsid w:val="000C1E1E"/>
    <w:rsid w:val="000C38F1"/>
    <w:rsid w:val="000C5E77"/>
    <w:rsid w:val="000C68E9"/>
    <w:rsid w:val="000C6E28"/>
    <w:rsid w:val="000C7D97"/>
    <w:rsid w:val="000D0ADE"/>
    <w:rsid w:val="000D179E"/>
    <w:rsid w:val="000D66DC"/>
    <w:rsid w:val="000E1F3B"/>
    <w:rsid w:val="000E3AB4"/>
    <w:rsid w:val="000E7544"/>
    <w:rsid w:val="000F0C17"/>
    <w:rsid w:val="000F1E29"/>
    <w:rsid w:val="000F25D7"/>
    <w:rsid w:val="000F2904"/>
    <w:rsid w:val="000F34A1"/>
    <w:rsid w:val="000F50D1"/>
    <w:rsid w:val="000F5226"/>
    <w:rsid w:val="000F5583"/>
    <w:rsid w:val="000F561F"/>
    <w:rsid w:val="000F6050"/>
    <w:rsid w:val="000F66FF"/>
    <w:rsid w:val="000F698D"/>
    <w:rsid w:val="000F7D42"/>
    <w:rsid w:val="001008A5"/>
    <w:rsid w:val="00100C86"/>
    <w:rsid w:val="0011339C"/>
    <w:rsid w:val="001135B0"/>
    <w:rsid w:val="00113FAA"/>
    <w:rsid w:val="00115AE5"/>
    <w:rsid w:val="00116489"/>
    <w:rsid w:val="0011648B"/>
    <w:rsid w:val="001166C1"/>
    <w:rsid w:val="00116874"/>
    <w:rsid w:val="001177A3"/>
    <w:rsid w:val="001210BD"/>
    <w:rsid w:val="001219FF"/>
    <w:rsid w:val="001240EB"/>
    <w:rsid w:val="0012443D"/>
    <w:rsid w:val="00127053"/>
    <w:rsid w:val="0013182D"/>
    <w:rsid w:val="00131CEE"/>
    <w:rsid w:val="0013315B"/>
    <w:rsid w:val="00134FCF"/>
    <w:rsid w:val="00135AD8"/>
    <w:rsid w:val="0013630D"/>
    <w:rsid w:val="001367F2"/>
    <w:rsid w:val="001412E8"/>
    <w:rsid w:val="0014250F"/>
    <w:rsid w:val="001448A7"/>
    <w:rsid w:val="00144985"/>
    <w:rsid w:val="00144B52"/>
    <w:rsid w:val="00153D66"/>
    <w:rsid w:val="0015725E"/>
    <w:rsid w:val="001607B6"/>
    <w:rsid w:val="00162F69"/>
    <w:rsid w:val="00163C52"/>
    <w:rsid w:val="00164946"/>
    <w:rsid w:val="00164B18"/>
    <w:rsid w:val="001652D3"/>
    <w:rsid w:val="00165756"/>
    <w:rsid w:val="001672A4"/>
    <w:rsid w:val="001706D5"/>
    <w:rsid w:val="00171AF4"/>
    <w:rsid w:val="0017362C"/>
    <w:rsid w:val="0017392F"/>
    <w:rsid w:val="00174E16"/>
    <w:rsid w:val="0018184C"/>
    <w:rsid w:val="0018198F"/>
    <w:rsid w:val="00181C62"/>
    <w:rsid w:val="00183642"/>
    <w:rsid w:val="001860C4"/>
    <w:rsid w:val="00186FAE"/>
    <w:rsid w:val="001917D4"/>
    <w:rsid w:val="001917FC"/>
    <w:rsid w:val="0019192F"/>
    <w:rsid w:val="00191D7F"/>
    <w:rsid w:val="001925A2"/>
    <w:rsid w:val="0019451E"/>
    <w:rsid w:val="00195218"/>
    <w:rsid w:val="0019634F"/>
    <w:rsid w:val="00197A55"/>
    <w:rsid w:val="00197F7E"/>
    <w:rsid w:val="001A1623"/>
    <w:rsid w:val="001A2263"/>
    <w:rsid w:val="001A3A72"/>
    <w:rsid w:val="001B4531"/>
    <w:rsid w:val="001B5BDB"/>
    <w:rsid w:val="001B75F9"/>
    <w:rsid w:val="001C2B9E"/>
    <w:rsid w:val="001C38DA"/>
    <w:rsid w:val="001C7A48"/>
    <w:rsid w:val="001C7C12"/>
    <w:rsid w:val="001D058C"/>
    <w:rsid w:val="001D2797"/>
    <w:rsid w:val="001D2B67"/>
    <w:rsid w:val="001D3730"/>
    <w:rsid w:val="001D4727"/>
    <w:rsid w:val="001D5665"/>
    <w:rsid w:val="001D61DC"/>
    <w:rsid w:val="001D6377"/>
    <w:rsid w:val="001D68A8"/>
    <w:rsid w:val="001D6B88"/>
    <w:rsid w:val="001D6C5F"/>
    <w:rsid w:val="001D7ECC"/>
    <w:rsid w:val="001E144C"/>
    <w:rsid w:val="001E25FD"/>
    <w:rsid w:val="001E2A4F"/>
    <w:rsid w:val="001E3F8F"/>
    <w:rsid w:val="001E5250"/>
    <w:rsid w:val="001F33EB"/>
    <w:rsid w:val="001F3C2F"/>
    <w:rsid w:val="001F4DEA"/>
    <w:rsid w:val="001F4ECB"/>
    <w:rsid w:val="001F60AE"/>
    <w:rsid w:val="001F702C"/>
    <w:rsid w:val="001F7353"/>
    <w:rsid w:val="00201F27"/>
    <w:rsid w:val="00201F9B"/>
    <w:rsid w:val="00203597"/>
    <w:rsid w:val="002076AC"/>
    <w:rsid w:val="00211BAE"/>
    <w:rsid w:val="00212B27"/>
    <w:rsid w:val="00212BBA"/>
    <w:rsid w:val="0021469C"/>
    <w:rsid w:val="00215523"/>
    <w:rsid w:val="00216962"/>
    <w:rsid w:val="00217CA4"/>
    <w:rsid w:val="00221112"/>
    <w:rsid w:val="00221A1B"/>
    <w:rsid w:val="002220A4"/>
    <w:rsid w:val="00223C19"/>
    <w:rsid w:val="00224421"/>
    <w:rsid w:val="00226503"/>
    <w:rsid w:val="00226A60"/>
    <w:rsid w:val="0023578C"/>
    <w:rsid w:val="00235AC5"/>
    <w:rsid w:val="002377E0"/>
    <w:rsid w:val="00240BB6"/>
    <w:rsid w:val="002432CA"/>
    <w:rsid w:val="00243D40"/>
    <w:rsid w:val="00245250"/>
    <w:rsid w:val="002477CB"/>
    <w:rsid w:val="00247BF6"/>
    <w:rsid w:val="00250A33"/>
    <w:rsid w:val="00251126"/>
    <w:rsid w:val="002524D2"/>
    <w:rsid w:val="00252802"/>
    <w:rsid w:val="00261A50"/>
    <w:rsid w:val="002634C3"/>
    <w:rsid w:val="00265B3A"/>
    <w:rsid w:val="0027052E"/>
    <w:rsid w:val="00271E9D"/>
    <w:rsid w:val="00271F7D"/>
    <w:rsid w:val="00274E85"/>
    <w:rsid w:val="002777F6"/>
    <w:rsid w:val="00277907"/>
    <w:rsid w:val="00280C42"/>
    <w:rsid w:val="00281B73"/>
    <w:rsid w:val="00282DF8"/>
    <w:rsid w:val="002833C9"/>
    <w:rsid w:val="00285E5C"/>
    <w:rsid w:val="00290B63"/>
    <w:rsid w:val="00290E73"/>
    <w:rsid w:val="00293415"/>
    <w:rsid w:val="00294689"/>
    <w:rsid w:val="0029539A"/>
    <w:rsid w:val="00295554"/>
    <w:rsid w:val="00297EC4"/>
    <w:rsid w:val="002A1A82"/>
    <w:rsid w:val="002A2FB0"/>
    <w:rsid w:val="002A4D32"/>
    <w:rsid w:val="002A5F87"/>
    <w:rsid w:val="002B017B"/>
    <w:rsid w:val="002B0DC0"/>
    <w:rsid w:val="002B2664"/>
    <w:rsid w:val="002B4E21"/>
    <w:rsid w:val="002B5000"/>
    <w:rsid w:val="002B6CC1"/>
    <w:rsid w:val="002B78AA"/>
    <w:rsid w:val="002C383C"/>
    <w:rsid w:val="002C3ED8"/>
    <w:rsid w:val="002D15BB"/>
    <w:rsid w:val="002D1C13"/>
    <w:rsid w:val="002D3109"/>
    <w:rsid w:val="002D378C"/>
    <w:rsid w:val="002D5702"/>
    <w:rsid w:val="002D6413"/>
    <w:rsid w:val="002D6F14"/>
    <w:rsid w:val="002D74D5"/>
    <w:rsid w:val="002E3800"/>
    <w:rsid w:val="002E4922"/>
    <w:rsid w:val="002E4B2C"/>
    <w:rsid w:val="002E5261"/>
    <w:rsid w:val="002F00BB"/>
    <w:rsid w:val="002F1DE7"/>
    <w:rsid w:val="002F2627"/>
    <w:rsid w:val="002F2748"/>
    <w:rsid w:val="002F6445"/>
    <w:rsid w:val="002F6580"/>
    <w:rsid w:val="002F6DE8"/>
    <w:rsid w:val="002F74D8"/>
    <w:rsid w:val="002F7C72"/>
    <w:rsid w:val="002F7EDC"/>
    <w:rsid w:val="003003A8"/>
    <w:rsid w:val="0030091B"/>
    <w:rsid w:val="00301E62"/>
    <w:rsid w:val="00304063"/>
    <w:rsid w:val="0030555F"/>
    <w:rsid w:val="00305A3B"/>
    <w:rsid w:val="00305BB4"/>
    <w:rsid w:val="0030645F"/>
    <w:rsid w:val="00306B5A"/>
    <w:rsid w:val="003117B9"/>
    <w:rsid w:val="00311C71"/>
    <w:rsid w:val="00313073"/>
    <w:rsid w:val="0031336C"/>
    <w:rsid w:val="0031339F"/>
    <w:rsid w:val="00313F3E"/>
    <w:rsid w:val="00323F65"/>
    <w:rsid w:val="00325884"/>
    <w:rsid w:val="00326147"/>
    <w:rsid w:val="0033051E"/>
    <w:rsid w:val="00332B13"/>
    <w:rsid w:val="0033401D"/>
    <w:rsid w:val="00334456"/>
    <w:rsid w:val="00336150"/>
    <w:rsid w:val="00336E99"/>
    <w:rsid w:val="00337FC7"/>
    <w:rsid w:val="00342417"/>
    <w:rsid w:val="003454EC"/>
    <w:rsid w:val="00346537"/>
    <w:rsid w:val="00347B94"/>
    <w:rsid w:val="003527DD"/>
    <w:rsid w:val="003547A2"/>
    <w:rsid w:val="00355171"/>
    <w:rsid w:val="00362702"/>
    <w:rsid w:val="003627CA"/>
    <w:rsid w:val="00362A37"/>
    <w:rsid w:val="00362CF0"/>
    <w:rsid w:val="00362D5D"/>
    <w:rsid w:val="00364AC5"/>
    <w:rsid w:val="00365D15"/>
    <w:rsid w:val="0036702F"/>
    <w:rsid w:val="00367445"/>
    <w:rsid w:val="00367F3A"/>
    <w:rsid w:val="00370BDF"/>
    <w:rsid w:val="00372FA2"/>
    <w:rsid w:val="003735E9"/>
    <w:rsid w:val="003739FE"/>
    <w:rsid w:val="0037431D"/>
    <w:rsid w:val="003749D5"/>
    <w:rsid w:val="00376874"/>
    <w:rsid w:val="0038254F"/>
    <w:rsid w:val="003828EC"/>
    <w:rsid w:val="00382CBA"/>
    <w:rsid w:val="00383488"/>
    <w:rsid w:val="003843BB"/>
    <w:rsid w:val="00384D70"/>
    <w:rsid w:val="003859DA"/>
    <w:rsid w:val="00386153"/>
    <w:rsid w:val="00386BA7"/>
    <w:rsid w:val="00390B48"/>
    <w:rsid w:val="0039213A"/>
    <w:rsid w:val="00393BF6"/>
    <w:rsid w:val="00395D4D"/>
    <w:rsid w:val="00396233"/>
    <w:rsid w:val="00396D64"/>
    <w:rsid w:val="00397A06"/>
    <w:rsid w:val="003A0FAF"/>
    <w:rsid w:val="003A3072"/>
    <w:rsid w:val="003A38BD"/>
    <w:rsid w:val="003A38C8"/>
    <w:rsid w:val="003A6045"/>
    <w:rsid w:val="003A72D0"/>
    <w:rsid w:val="003A7C28"/>
    <w:rsid w:val="003B22FD"/>
    <w:rsid w:val="003B3004"/>
    <w:rsid w:val="003B3A47"/>
    <w:rsid w:val="003B4168"/>
    <w:rsid w:val="003B42FF"/>
    <w:rsid w:val="003B62D2"/>
    <w:rsid w:val="003B66A3"/>
    <w:rsid w:val="003C27F7"/>
    <w:rsid w:val="003C62C1"/>
    <w:rsid w:val="003C6FA4"/>
    <w:rsid w:val="003D0B3E"/>
    <w:rsid w:val="003D2352"/>
    <w:rsid w:val="003D3863"/>
    <w:rsid w:val="003D3D0A"/>
    <w:rsid w:val="003D6F23"/>
    <w:rsid w:val="003E0800"/>
    <w:rsid w:val="003E1584"/>
    <w:rsid w:val="003E33DE"/>
    <w:rsid w:val="003E3593"/>
    <w:rsid w:val="003E585F"/>
    <w:rsid w:val="003E6049"/>
    <w:rsid w:val="003E67F9"/>
    <w:rsid w:val="003E7663"/>
    <w:rsid w:val="003F0D27"/>
    <w:rsid w:val="003F1C98"/>
    <w:rsid w:val="003F317C"/>
    <w:rsid w:val="003F3DD0"/>
    <w:rsid w:val="003F4813"/>
    <w:rsid w:val="00406654"/>
    <w:rsid w:val="0041100B"/>
    <w:rsid w:val="004114F3"/>
    <w:rsid w:val="00412894"/>
    <w:rsid w:val="004130C3"/>
    <w:rsid w:val="00413E71"/>
    <w:rsid w:val="00421363"/>
    <w:rsid w:val="00421921"/>
    <w:rsid w:val="00422100"/>
    <w:rsid w:val="004254D3"/>
    <w:rsid w:val="0042746B"/>
    <w:rsid w:val="00433B69"/>
    <w:rsid w:val="004369AD"/>
    <w:rsid w:val="00436DD6"/>
    <w:rsid w:val="00437B56"/>
    <w:rsid w:val="00444FB7"/>
    <w:rsid w:val="00450674"/>
    <w:rsid w:val="004533FE"/>
    <w:rsid w:val="00454715"/>
    <w:rsid w:val="00454D80"/>
    <w:rsid w:val="00456785"/>
    <w:rsid w:val="00462EB0"/>
    <w:rsid w:val="004635B8"/>
    <w:rsid w:val="00463933"/>
    <w:rsid w:val="00464346"/>
    <w:rsid w:val="00470325"/>
    <w:rsid w:val="00470F42"/>
    <w:rsid w:val="00471605"/>
    <w:rsid w:val="0047297A"/>
    <w:rsid w:val="00474709"/>
    <w:rsid w:val="00480184"/>
    <w:rsid w:val="00480516"/>
    <w:rsid w:val="00480658"/>
    <w:rsid w:val="00480D3C"/>
    <w:rsid w:val="0048170B"/>
    <w:rsid w:val="0048175F"/>
    <w:rsid w:val="00481BD4"/>
    <w:rsid w:val="00482AA2"/>
    <w:rsid w:val="0048579F"/>
    <w:rsid w:val="00487005"/>
    <w:rsid w:val="004901A7"/>
    <w:rsid w:val="00491E5D"/>
    <w:rsid w:val="004A084F"/>
    <w:rsid w:val="004A1FA1"/>
    <w:rsid w:val="004A3225"/>
    <w:rsid w:val="004A3F90"/>
    <w:rsid w:val="004A5F59"/>
    <w:rsid w:val="004A6F1F"/>
    <w:rsid w:val="004B17D8"/>
    <w:rsid w:val="004B2323"/>
    <w:rsid w:val="004B4808"/>
    <w:rsid w:val="004B62C3"/>
    <w:rsid w:val="004C03B6"/>
    <w:rsid w:val="004C0BC8"/>
    <w:rsid w:val="004C461A"/>
    <w:rsid w:val="004C7D23"/>
    <w:rsid w:val="004D0783"/>
    <w:rsid w:val="004D11CB"/>
    <w:rsid w:val="004D49E3"/>
    <w:rsid w:val="004D7163"/>
    <w:rsid w:val="004E0366"/>
    <w:rsid w:val="004E1C30"/>
    <w:rsid w:val="004E3342"/>
    <w:rsid w:val="004E45AC"/>
    <w:rsid w:val="004E4672"/>
    <w:rsid w:val="004E5593"/>
    <w:rsid w:val="004E7A1E"/>
    <w:rsid w:val="004E7F1A"/>
    <w:rsid w:val="004F0352"/>
    <w:rsid w:val="004F0740"/>
    <w:rsid w:val="004F30E9"/>
    <w:rsid w:val="004F415D"/>
    <w:rsid w:val="004F4980"/>
    <w:rsid w:val="004F66F4"/>
    <w:rsid w:val="004F7710"/>
    <w:rsid w:val="00502A45"/>
    <w:rsid w:val="0050542C"/>
    <w:rsid w:val="00511DC2"/>
    <w:rsid w:val="00512DC1"/>
    <w:rsid w:val="00514C6B"/>
    <w:rsid w:val="005161EC"/>
    <w:rsid w:val="0051709F"/>
    <w:rsid w:val="005175EB"/>
    <w:rsid w:val="00521A18"/>
    <w:rsid w:val="00522079"/>
    <w:rsid w:val="00522622"/>
    <w:rsid w:val="0052450E"/>
    <w:rsid w:val="00524D70"/>
    <w:rsid w:val="00525410"/>
    <w:rsid w:val="00530703"/>
    <w:rsid w:val="00530763"/>
    <w:rsid w:val="00534EFD"/>
    <w:rsid w:val="005362F2"/>
    <w:rsid w:val="00543B42"/>
    <w:rsid w:val="0054651A"/>
    <w:rsid w:val="00546EA9"/>
    <w:rsid w:val="005474CD"/>
    <w:rsid w:val="005501B7"/>
    <w:rsid w:val="0055152E"/>
    <w:rsid w:val="00552094"/>
    <w:rsid w:val="00553D73"/>
    <w:rsid w:val="00554BAF"/>
    <w:rsid w:val="00555A15"/>
    <w:rsid w:val="00555ED8"/>
    <w:rsid w:val="00556291"/>
    <w:rsid w:val="005569E4"/>
    <w:rsid w:val="00560E11"/>
    <w:rsid w:val="00561147"/>
    <w:rsid w:val="00561463"/>
    <w:rsid w:val="00561F8F"/>
    <w:rsid w:val="00563A0E"/>
    <w:rsid w:val="005647D0"/>
    <w:rsid w:val="005650EC"/>
    <w:rsid w:val="00574C59"/>
    <w:rsid w:val="00576CE2"/>
    <w:rsid w:val="005770AC"/>
    <w:rsid w:val="00577C1A"/>
    <w:rsid w:val="00577FAA"/>
    <w:rsid w:val="0058041D"/>
    <w:rsid w:val="005826AA"/>
    <w:rsid w:val="00583CE7"/>
    <w:rsid w:val="005856E9"/>
    <w:rsid w:val="005867BB"/>
    <w:rsid w:val="00587452"/>
    <w:rsid w:val="00591C2A"/>
    <w:rsid w:val="00592461"/>
    <w:rsid w:val="00592539"/>
    <w:rsid w:val="00596A05"/>
    <w:rsid w:val="00596D6D"/>
    <w:rsid w:val="00597284"/>
    <w:rsid w:val="00597F8F"/>
    <w:rsid w:val="005A1051"/>
    <w:rsid w:val="005A1EA2"/>
    <w:rsid w:val="005A2467"/>
    <w:rsid w:val="005A5858"/>
    <w:rsid w:val="005A6E51"/>
    <w:rsid w:val="005A7C7F"/>
    <w:rsid w:val="005A7D88"/>
    <w:rsid w:val="005B130C"/>
    <w:rsid w:val="005B131C"/>
    <w:rsid w:val="005B14FF"/>
    <w:rsid w:val="005B3B71"/>
    <w:rsid w:val="005B4B1B"/>
    <w:rsid w:val="005B4F0F"/>
    <w:rsid w:val="005B58F0"/>
    <w:rsid w:val="005C0E62"/>
    <w:rsid w:val="005C0F5B"/>
    <w:rsid w:val="005C2E15"/>
    <w:rsid w:val="005C403B"/>
    <w:rsid w:val="005C42C4"/>
    <w:rsid w:val="005C57EB"/>
    <w:rsid w:val="005C63CB"/>
    <w:rsid w:val="005C7D3F"/>
    <w:rsid w:val="005D0AA6"/>
    <w:rsid w:val="005D165F"/>
    <w:rsid w:val="005D21F3"/>
    <w:rsid w:val="005D3CF8"/>
    <w:rsid w:val="005D4911"/>
    <w:rsid w:val="005D5D89"/>
    <w:rsid w:val="005E0D2D"/>
    <w:rsid w:val="005E3FB6"/>
    <w:rsid w:val="005F4583"/>
    <w:rsid w:val="005F4ABB"/>
    <w:rsid w:val="005F6066"/>
    <w:rsid w:val="005F64F1"/>
    <w:rsid w:val="005F6562"/>
    <w:rsid w:val="005F6C6D"/>
    <w:rsid w:val="005F6F09"/>
    <w:rsid w:val="005F787A"/>
    <w:rsid w:val="006019C7"/>
    <w:rsid w:val="00601E7B"/>
    <w:rsid w:val="00601EBC"/>
    <w:rsid w:val="00602D32"/>
    <w:rsid w:val="00603A84"/>
    <w:rsid w:val="006067DC"/>
    <w:rsid w:val="00610629"/>
    <w:rsid w:val="00611BCD"/>
    <w:rsid w:val="0061258D"/>
    <w:rsid w:val="006142EC"/>
    <w:rsid w:val="006155A5"/>
    <w:rsid w:val="00617824"/>
    <w:rsid w:val="00624214"/>
    <w:rsid w:val="00625419"/>
    <w:rsid w:val="00626D1A"/>
    <w:rsid w:val="00627429"/>
    <w:rsid w:val="0063089C"/>
    <w:rsid w:val="00632A91"/>
    <w:rsid w:val="0063322E"/>
    <w:rsid w:val="006345E8"/>
    <w:rsid w:val="0063765C"/>
    <w:rsid w:val="006403CB"/>
    <w:rsid w:val="006410B0"/>
    <w:rsid w:val="0064139F"/>
    <w:rsid w:val="00641404"/>
    <w:rsid w:val="00641EDA"/>
    <w:rsid w:val="00642B97"/>
    <w:rsid w:val="00643680"/>
    <w:rsid w:val="00644453"/>
    <w:rsid w:val="00644B32"/>
    <w:rsid w:val="0064639A"/>
    <w:rsid w:val="0064646F"/>
    <w:rsid w:val="00646523"/>
    <w:rsid w:val="00647BDD"/>
    <w:rsid w:val="0065273C"/>
    <w:rsid w:val="00656A74"/>
    <w:rsid w:val="00657221"/>
    <w:rsid w:val="006612F4"/>
    <w:rsid w:val="00661FC1"/>
    <w:rsid w:val="00663FED"/>
    <w:rsid w:val="00664B64"/>
    <w:rsid w:val="006678E3"/>
    <w:rsid w:val="00667A9C"/>
    <w:rsid w:val="006712E8"/>
    <w:rsid w:val="00672C26"/>
    <w:rsid w:val="00674052"/>
    <w:rsid w:val="006756FC"/>
    <w:rsid w:val="00677DA7"/>
    <w:rsid w:val="00680212"/>
    <w:rsid w:val="00680C90"/>
    <w:rsid w:val="00681036"/>
    <w:rsid w:val="006823AD"/>
    <w:rsid w:val="00682C29"/>
    <w:rsid w:val="00685872"/>
    <w:rsid w:val="00685AD7"/>
    <w:rsid w:val="00687D92"/>
    <w:rsid w:val="00691963"/>
    <w:rsid w:val="00692124"/>
    <w:rsid w:val="00692D96"/>
    <w:rsid w:val="00693C96"/>
    <w:rsid w:val="00696339"/>
    <w:rsid w:val="00696982"/>
    <w:rsid w:val="006A3F85"/>
    <w:rsid w:val="006A48FA"/>
    <w:rsid w:val="006A56F1"/>
    <w:rsid w:val="006A6E5C"/>
    <w:rsid w:val="006B0972"/>
    <w:rsid w:val="006B3153"/>
    <w:rsid w:val="006B5871"/>
    <w:rsid w:val="006B6187"/>
    <w:rsid w:val="006B6BB1"/>
    <w:rsid w:val="006B7212"/>
    <w:rsid w:val="006C14C3"/>
    <w:rsid w:val="006C4B6F"/>
    <w:rsid w:val="006C570A"/>
    <w:rsid w:val="006C589D"/>
    <w:rsid w:val="006C769C"/>
    <w:rsid w:val="006C76A6"/>
    <w:rsid w:val="006C7A95"/>
    <w:rsid w:val="006D06B8"/>
    <w:rsid w:val="006D11E8"/>
    <w:rsid w:val="006D4B0E"/>
    <w:rsid w:val="006D61B3"/>
    <w:rsid w:val="006D753C"/>
    <w:rsid w:val="006E0A00"/>
    <w:rsid w:val="006E1B99"/>
    <w:rsid w:val="006E306D"/>
    <w:rsid w:val="006E4BEC"/>
    <w:rsid w:val="006E6968"/>
    <w:rsid w:val="006F04C6"/>
    <w:rsid w:val="006F08A0"/>
    <w:rsid w:val="006F2A97"/>
    <w:rsid w:val="006F6089"/>
    <w:rsid w:val="006F7AD7"/>
    <w:rsid w:val="00702627"/>
    <w:rsid w:val="0070359F"/>
    <w:rsid w:val="0070464C"/>
    <w:rsid w:val="00705474"/>
    <w:rsid w:val="00705B46"/>
    <w:rsid w:val="007076B2"/>
    <w:rsid w:val="00710CEF"/>
    <w:rsid w:val="00711BBB"/>
    <w:rsid w:val="0071340A"/>
    <w:rsid w:val="00713FC7"/>
    <w:rsid w:val="00716FD1"/>
    <w:rsid w:val="00720D0F"/>
    <w:rsid w:val="007218A9"/>
    <w:rsid w:val="0072241C"/>
    <w:rsid w:val="007245A5"/>
    <w:rsid w:val="00730D83"/>
    <w:rsid w:val="00731628"/>
    <w:rsid w:val="0073208A"/>
    <w:rsid w:val="00734108"/>
    <w:rsid w:val="007343AD"/>
    <w:rsid w:val="0073448D"/>
    <w:rsid w:val="00735087"/>
    <w:rsid w:val="00736FA0"/>
    <w:rsid w:val="0074053E"/>
    <w:rsid w:val="0075000E"/>
    <w:rsid w:val="00752156"/>
    <w:rsid w:val="00753A7A"/>
    <w:rsid w:val="0075473C"/>
    <w:rsid w:val="00756E77"/>
    <w:rsid w:val="007577C2"/>
    <w:rsid w:val="0076038F"/>
    <w:rsid w:val="00760D77"/>
    <w:rsid w:val="007617E5"/>
    <w:rsid w:val="00761C45"/>
    <w:rsid w:val="00770924"/>
    <w:rsid w:val="007710C7"/>
    <w:rsid w:val="0077124E"/>
    <w:rsid w:val="00772FA7"/>
    <w:rsid w:val="0077578C"/>
    <w:rsid w:val="00781ACA"/>
    <w:rsid w:val="007823CF"/>
    <w:rsid w:val="00783E35"/>
    <w:rsid w:val="00784F67"/>
    <w:rsid w:val="00786754"/>
    <w:rsid w:val="00786D49"/>
    <w:rsid w:val="00787061"/>
    <w:rsid w:val="00790F0A"/>
    <w:rsid w:val="00790F5E"/>
    <w:rsid w:val="00791F16"/>
    <w:rsid w:val="007927A6"/>
    <w:rsid w:val="00797F6E"/>
    <w:rsid w:val="007A1F4C"/>
    <w:rsid w:val="007A53F8"/>
    <w:rsid w:val="007A773B"/>
    <w:rsid w:val="007B05BD"/>
    <w:rsid w:val="007B31A5"/>
    <w:rsid w:val="007B3327"/>
    <w:rsid w:val="007B3533"/>
    <w:rsid w:val="007B4996"/>
    <w:rsid w:val="007B6926"/>
    <w:rsid w:val="007B6FA3"/>
    <w:rsid w:val="007B705D"/>
    <w:rsid w:val="007C5764"/>
    <w:rsid w:val="007C61D0"/>
    <w:rsid w:val="007C6FAA"/>
    <w:rsid w:val="007C768F"/>
    <w:rsid w:val="007D251F"/>
    <w:rsid w:val="007D4FA2"/>
    <w:rsid w:val="007D5E78"/>
    <w:rsid w:val="007E0874"/>
    <w:rsid w:val="007E0FAD"/>
    <w:rsid w:val="007E58F6"/>
    <w:rsid w:val="007E597F"/>
    <w:rsid w:val="007E60E9"/>
    <w:rsid w:val="007E63F3"/>
    <w:rsid w:val="007E6F5A"/>
    <w:rsid w:val="007F0916"/>
    <w:rsid w:val="007F1E7D"/>
    <w:rsid w:val="007F2A79"/>
    <w:rsid w:val="007F3026"/>
    <w:rsid w:val="007F42DD"/>
    <w:rsid w:val="007F4E0F"/>
    <w:rsid w:val="007F77CA"/>
    <w:rsid w:val="008011ED"/>
    <w:rsid w:val="00801636"/>
    <w:rsid w:val="00803935"/>
    <w:rsid w:val="008045D0"/>
    <w:rsid w:val="008059B8"/>
    <w:rsid w:val="00805BB7"/>
    <w:rsid w:val="00810333"/>
    <w:rsid w:val="0081415C"/>
    <w:rsid w:val="0081590D"/>
    <w:rsid w:val="00815E57"/>
    <w:rsid w:val="008166F5"/>
    <w:rsid w:val="0081677E"/>
    <w:rsid w:val="00817467"/>
    <w:rsid w:val="0082043E"/>
    <w:rsid w:val="00822905"/>
    <w:rsid w:val="0082299E"/>
    <w:rsid w:val="00827CD1"/>
    <w:rsid w:val="00832164"/>
    <w:rsid w:val="00832F53"/>
    <w:rsid w:val="00834003"/>
    <w:rsid w:val="0083455F"/>
    <w:rsid w:val="00834EA0"/>
    <w:rsid w:val="00843042"/>
    <w:rsid w:val="00843C37"/>
    <w:rsid w:val="00844886"/>
    <w:rsid w:val="00844C2D"/>
    <w:rsid w:val="00846D68"/>
    <w:rsid w:val="008518E5"/>
    <w:rsid w:val="00852B15"/>
    <w:rsid w:val="00856135"/>
    <w:rsid w:val="00857A96"/>
    <w:rsid w:val="00861FE5"/>
    <w:rsid w:val="0086376D"/>
    <w:rsid w:val="00865528"/>
    <w:rsid w:val="0086767A"/>
    <w:rsid w:val="008703C2"/>
    <w:rsid w:val="0087209F"/>
    <w:rsid w:val="008806CC"/>
    <w:rsid w:val="008849E6"/>
    <w:rsid w:val="0088513E"/>
    <w:rsid w:val="00885FB9"/>
    <w:rsid w:val="00886300"/>
    <w:rsid w:val="0089099F"/>
    <w:rsid w:val="00890AAF"/>
    <w:rsid w:val="00890EA4"/>
    <w:rsid w:val="008919F7"/>
    <w:rsid w:val="00892F7A"/>
    <w:rsid w:val="00894CEB"/>
    <w:rsid w:val="00896A62"/>
    <w:rsid w:val="00897B88"/>
    <w:rsid w:val="008A113D"/>
    <w:rsid w:val="008A678B"/>
    <w:rsid w:val="008B0034"/>
    <w:rsid w:val="008B0702"/>
    <w:rsid w:val="008B2397"/>
    <w:rsid w:val="008B33B5"/>
    <w:rsid w:val="008B3CD6"/>
    <w:rsid w:val="008B6003"/>
    <w:rsid w:val="008B691D"/>
    <w:rsid w:val="008C4D11"/>
    <w:rsid w:val="008D123F"/>
    <w:rsid w:val="008D54FA"/>
    <w:rsid w:val="008D5C05"/>
    <w:rsid w:val="008D6490"/>
    <w:rsid w:val="008D6FFD"/>
    <w:rsid w:val="008E1191"/>
    <w:rsid w:val="008E342E"/>
    <w:rsid w:val="008E4D9C"/>
    <w:rsid w:val="008E566D"/>
    <w:rsid w:val="008E588C"/>
    <w:rsid w:val="008F52D9"/>
    <w:rsid w:val="008F6BC6"/>
    <w:rsid w:val="00902B4C"/>
    <w:rsid w:val="00903FC5"/>
    <w:rsid w:val="0090403F"/>
    <w:rsid w:val="009071FF"/>
    <w:rsid w:val="009108DB"/>
    <w:rsid w:val="009112EB"/>
    <w:rsid w:val="00913191"/>
    <w:rsid w:val="009131F2"/>
    <w:rsid w:val="00916431"/>
    <w:rsid w:val="00917DBE"/>
    <w:rsid w:val="0092605A"/>
    <w:rsid w:val="0092689A"/>
    <w:rsid w:val="0093228E"/>
    <w:rsid w:val="009325E1"/>
    <w:rsid w:val="00933602"/>
    <w:rsid w:val="009338B2"/>
    <w:rsid w:val="009351EF"/>
    <w:rsid w:val="0093698F"/>
    <w:rsid w:val="00940914"/>
    <w:rsid w:val="009409E8"/>
    <w:rsid w:val="00942250"/>
    <w:rsid w:val="00942706"/>
    <w:rsid w:val="00942E51"/>
    <w:rsid w:val="00946A6A"/>
    <w:rsid w:val="00947EB7"/>
    <w:rsid w:val="0095056B"/>
    <w:rsid w:val="00951200"/>
    <w:rsid w:val="00951FC3"/>
    <w:rsid w:val="009520BD"/>
    <w:rsid w:val="00952B29"/>
    <w:rsid w:val="0095372B"/>
    <w:rsid w:val="00953DBA"/>
    <w:rsid w:val="00954137"/>
    <w:rsid w:val="00955882"/>
    <w:rsid w:val="00955ABF"/>
    <w:rsid w:val="00956F74"/>
    <w:rsid w:val="00956F84"/>
    <w:rsid w:val="009575A0"/>
    <w:rsid w:val="00957C6C"/>
    <w:rsid w:val="00960AA2"/>
    <w:rsid w:val="009649DC"/>
    <w:rsid w:val="00966EB2"/>
    <w:rsid w:val="00970C67"/>
    <w:rsid w:val="00974456"/>
    <w:rsid w:val="00974A0C"/>
    <w:rsid w:val="00982C8E"/>
    <w:rsid w:val="00991483"/>
    <w:rsid w:val="0099296D"/>
    <w:rsid w:val="009935AA"/>
    <w:rsid w:val="00993F94"/>
    <w:rsid w:val="009951B2"/>
    <w:rsid w:val="009A039C"/>
    <w:rsid w:val="009A2859"/>
    <w:rsid w:val="009A4E90"/>
    <w:rsid w:val="009A50B8"/>
    <w:rsid w:val="009A737B"/>
    <w:rsid w:val="009B1712"/>
    <w:rsid w:val="009B1823"/>
    <w:rsid w:val="009B406F"/>
    <w:rsid w:val="009B443A"/>
    <w:rsid w:val="009B4D09"/>
    <w:rsid w:val="009B698D"/>
    <w:rsid w:val="009B6DD1"/>
    <w:rsid w:val="009C1332"/>
    <w:rsid w:val="009C4A4F"/>
    <w:rsid w:val="009C6D34"/>
    <w:rsid w:val="009D2E97"/>
    <w:rsid w:val="009D328E"/>
    <w:rsid w:val="009D3438"/>
    <w:rsid w:val="009D3B88"/>
    <w:rsid w:val="009D40B6"/>
    <w:rsid w:val="009D4D3A"/>
    <w:rsid w:val="009D7AD4"/>
    <w:rsid w:val="009E1231"/>
    <w:rsid w:val="009E1A57"/>
    <w:rsid w:val="009E36CA"/>
    <w:rsid w:val="009E4B6B"/>
    <w:rsid w:val="009E6470"/>
    <w:rsid w:val="009E7175"/>
    <w:rsid w:val="009F08CB"/>
    <w:rsid w:val="009F1E5E"/>
    <w:rsid w:val="009F497B"/>
    <w:rsid w:val="009F5331"/>
    <w:rsid w:val="009F53EA"/>
    <w:rsid w:val="009F6453"/>
    <w:rsid w:val="009F6AD6"/>
    <w:rsid w:val="009F6F30"/>
    <w:rsid w:val="009F7BFB"/>
    <w:rsid w:val="00A0081F"/>
    <w:rsid w:val="00A01B61"/>
    <w:rsid w:val="00A03BCB"/>
    <w:rsid w:val="00A03C6D"/>
    <w:rsid w:val="00A048F3"/>
    <w:rsid w:val="00A04CA6"/>
    <w:rsid w:val="00A052DD"/>
    <w:rsid w:val="00A06E6F"/>
    <w:rsid w:val="00A12A49"/>
    <w:rsid w:val="00A135C4"/>
    <w:rsid w:val="00A13CB5"/>
    <w:rsid w:val="00A13FEC"/>
    <w:rsid w:val="00A200C3"/>
    <w:rsid w:val="00A20225"/>
    <w:rsid w:val="00A21103"/>
    <w:rsid w:val="00A21E3C"/>
    <w:rsid w:val="00A23419"/>
    <w:rsid w:val="00A24BBD"/>
    <w:rsid w:val="00A26D62"/>
    <w:rsid w:val="00A272F6"/>
    <w:rsid w:val="00A27D2E"/>
    <w:rsid w:val="00A30D78"/>
    <w:rsid w:val="00A31032"/>
    <w:rsid w:val="00A31CCF"/>
    <w:rsid w:val="00A32598"/>
    <w:rsid w:val="00A33EF8"/>
    <w:rsid w:val="00A3432E"/>
    <w:rsid w:val="00A40DFB"/>
    <w:rsid w:val="00A417F0"/>
    <w:rsid w:val="00A435BF"/>
    <w:rsid w:val="00A448B0"/>
    <w:rsid w:val="00A46981"/>
    <w:rsid w:val="00A47480"/>
    <w:rsid w:val="00A5210B"/>
    <w:rsid w:val="00A524EC"/>
    <w:rsid w:val="00A52F4A"/>
    <w:rsid w:val="00A531D6"/>
    <w:rsid w:val="00A54346"/>
    <w:rsid w:val="00A55211"/>
    <w:rsid w:val="00A569C9"/>
    <w:rsid w:val="00A57E0C"/>
    <w:rsid w:val="00A6039D"/>
    <w:rsid w:val="00A631B5"/>
    <w:rsid w:val="00A63351"/>
    <w:rsid w:val="00A6487D"/>
    <w:rsid w:val="00A65DF5"/>
    <w:rsid w:val="00A66D3E"/>
    <w:rsid w:val="00A676CE"/>
    <w:rsid w:val="00A7001C"/>
    <w:rsid w:val="00A70A43"/>
    <w:rsid w:val="00A74E49"/>
    <w:rsid w:val="00A75807"/>
    <w:rsid w:val="00A77913"/>
    <w:rsid w:val="00A80D3E"/>
    <w:rsid w:val="00A8209D"/>
    <w:rsid w:val="00A82740"/>
    <w:rsid w:val="00A860C9"/>
    <w:rsid w:val="00A90F25"/>
    <w:rsid w:val="00A9137F"/>
    <w:rsid w:val="00A9483B"/>
    <w:rsid w:val="00A94F2C"/>
    <w:rsid w:val="00A972E1"/>
    <w:rsid w:val="00AA3F8C"/>
    <w:rsid w:val="00AA6E6B"/>
    <w:rsid w:val="00AB3052"/>
    <w:rsid w:val="00AB4248"/>
    <w:rsid w:val="00AB4520"/>
    <w:rsid w:val="00AB572D"/>
    <w:rsid w:val="00AB5A86"/>
    <w:rsid w:val="00AB6170"/>
    <w:rsid w:val="00AB707C"/>
    <w:rsid w:val="00AC0B37"/>
    <w:rsid w:val="00AC2185"/>
    <w:rsid w:val="00AC3068"/>
    <w:rsid w:val="00AC3C48"/>
    <w:rsid w:val="00AC4067"/>
    <w:rsid w:val="00AC53DF"/>
    <w:rsid w:val="00AC54F8"/>
    <w:rsid w:val="00AC692A"/>
    <w:rsid w:val="00AD0F08"/>
    <w:rsid w:val="00AD1585"/>
    <w:rsid w:val="00AD1747"/>
    <w:rsid w:val="00AD235B"/>
    <w:rsid w:val="00AD560B"/>
    <w:rsid w:val="00AD5BBB"/>
    <w:rsid w:val="00AE02B5"/>
    <w:rsid w:val="00AE0494"/>
    <w:rsid w:val="00AE0B28"/>
    <w:rsid w:val="00AE0C8D"/>
    <w:rsid w:val="00AE0D50"/>
    <w:rsid w:val="00AE1947"/>
    <w:rsid w:val="00AE242E"/>
    <w:rsid w:val="00AE2D8E"/>
    <w:rsid w:val="00AE4C9F"/>
    <w:rsid w:val="00AE7A40"/>
    <w:rsid w:val="00AE7EF9"/>
    <w:rsid w:val="00AF4A88"/>
    <w:rsid w:val="00AF60FC"/>
    <w:rsid w:val="00AF619D"/>
    <w:rsid w:val="00B01A75"/>
    <w:rsid w:val="00B02D39"/>
    <w:rsid w:val="00B03711"/>
    <w:rsid w:val="00B03B6B"/>
    <w:rsid w:val="00B04CC3"/>
    <w:rsid w:val="00B17DE2"/>
    <w:rsid w:val="00B2096A"/>
    <w:rsid w:val="00B20E8D"/>
    <w:rsid w:val="00B2338B"/>
    <w:rsid w:val="00B24B80"/>
    <w:rsid w:val="00B32541"/>
    <w:rsid w:val="00B3267F"/>
    <w:rsid w:val="00B35671"/>
    <w:rsid w:val="00B35F87"/>
    <w:rsid w:val="00B379DA"/>
    <w:rsid w:val="00B37A67"/>
    <w:rsid w:val="00B41203"/>
    <w:rsid w:val="00B41500"/>
    <w:rsid w:val="00B45107"/>
    <w:rsid w:val="00B5297F"/>
    <w:rsid w:val="00B52E16"/>
    <w:rsid w:val="00B53812"/>
    <w:rsid w:val="00B53C36"/>
    <w:rsid w:val="00B623DA"/>
    <w:rsid w:val="00B62736"/>
    <w:rsid w:val="00B62A71"/>
    <w:rsid w:val="00B62EF9"/>
    <w:rsid w:val="00B630C6"/>
    <w:rsid w:val="00B65DC0"/>
    <w:rsid w:val="00B675E8"/>
    <w:rsid w:val="00B67C2D"/>
    <w:rsid w:val="00B70D91"/>
    <w:rsid w:val="00B72FA0"/>
    <w:rsid w:val="00B73209"/>
    <w:rsid w:val="00B75F37"/>
    <w:rsid w:val="00B7708B"/>
    <w:rsid w:val="00B7721B"/>
    <w:rsid w:val="00B80E25"/>
    <w:rsid w:val="00B8347E"/>
    <w:rsid w:val="00B84B4A"/>
    <w:rsid w:val="00B8589C"/>
    <w:rsid w:val="00B86BAC"/>
    <w:rsid w:val="00B97B35"/>
    <w:rsid w:val="00BA3196"/>
    <w:rsid w:val="00BA3509"/>
    <w:rsid w:val="00BA5877"/>
    <w:rsid w:val="00BB124C"/>
    <w:rsid w:val="00BB17E3"/>
    <w:rsid w:val="00BB1CDB"/>
    <w:rsid w:val="00BB2110"/>
    <w:rsid w:val="00BB3645"/>
    <w:rsid w:val="00BB547E"/>
    <w:rsid w:val="00BB69B7"/>
    <w:rsid w:val="00BC2581"/>
    <w:rsid w:val="00BC3DCB"/>
    <w:rsid w:val="00BC3F55"/>
    <w:rsid w:val="00BC481A"/>
    <w:rsid w:val="00BC4D26"/>
    <w:rsid w:val="00BC555D"/>
    <w:rsid w:val="00BC658E"/>
    <w:rsid w:val="00BD0218"/>
    <w:rsid w:val="00BD03D2"/>
    <w:rsid w:val="00BD1869"/>
    <w:rsid w:val="00BD18A1"/>
    <w:rsid w:val="00BD200B"/>
    <w:rsid w:val="00BD63DF"/>
    <w:rsid w:val="00BD64D4"/>
    <w:rsid w:val="00BD7C4B"/>
    <w:rsid w:val="00BE06B2"/>
    <w:rsid w:val="00BE33E8"/>
    <w:rsid w:val="00BE4BA5"/>
    <w:rsid w:val="00BF2BEB"/>
    <w:rsid w:val="00BF3197"/>
    <w:rsid w:val="00BF5E23"/>
    <w:rsid w:val="00BF6AD1"/>
    <w:rsid w:val="00C01DB8"/>
    <w:rsid w:val="00C0300F"/>
    <w:rsid w:val="00C04C13"/>
    <w:rsid w:val="00C0523E"/>
    <w:rsid w:val="00C06C3C"/>
    <w:rsid w:val="00C0751C"/>
    <w:rsid w:val="00C07D81"/>
    <w:rsid w:val="00C07F14"/>
    <w:rsid w:val="00C11B64"/>
    <w:rsid w:val="00C1218B"/>
    <w:rsid w:val="00C12B6B"/>
    <w:rsid w:val="00C135F1"/>
    <w:rsid w:val="00C140D0"/>
    <w:rsid w:val="00C14775"/>
    <w:rsid w:val="00C150A5"/>
    <w:rsid w:val="00C22B21"/>
    <w:rsid w:val="00C23593"/>
    <w:rsid w:val="00C23845"/>
    <w:rsid w:val="00C31846"/>
    <w:rsid w:val="00C32A33"/>
    <w:rsid w:val="00C34248"/>
    <w:rsid w:val="00C367FB"/>
    <w:rsid w:val="00C41389"/>
    <w:rsid w:val="00C41BB7"/>
    <w:rsid w:val="00C42379"/>
    <w:rsid w:val="00C44004"/>
    <w:rsid w:val="00C445F4"/>
    <w:rsid w:val="00C54DF3"/>
    <w:rsid w:val="00C610B6"/>
    <w:rsid w:val="00C6257F"/>
    <w:rsid w:val="00C63117"/>
    <w:rsid w:val="00C640C7"/>
    <w:rsid w:val="00C65784"/>
    <w:rsid w:val="00C67BDD"/>
    <w:rsid w:val="00C70F24"/>
    <w:rsid w:val="00C717F6"/>
    <w:rsid w:val="00C72A8B"/>
    <w:rsid w:val="00C72FD7"/>
    <w:rsid w:val="00C8155C"/>
    <w:rsid w:val="00C907F0"/>
    <w:rsid w:val="00C93A91"/>
    <w:rsid w:val="00C95601"/>
    <w:rsid w:val="00CA1947"/>
    <w:rsid w:val="00CA1C91"/>
    <w:rsid w:val="00CA323D"/>
    <w:rsid w:val="00CA45DA"/>
    <w:rsid w:val="00CA54A0"/>
    <w:rsid w:val="00CA5D95"/>
    <w:rsid w:val="00CB5515"/>
    <w:rsid w:val="00CB76EF"/>
    <w:rsid w:val="00CB7840"/>
    <w:rsid w:val="00CC0E24"/>
    <w:rsid w:val="00CC2390"/>
    <w:rsid w:val="00CC34E2"/>
    <w:rsid w:val="00CC4A5C"/>
    <w:rsid w:val="00CC5BB7"/>
    <w:rsid w:val="00CC5F62"/>
    <w:rsid w:val="00CC69B4"/>
    <w:rsid w:val="00CC6D17"/>
    <w:rsid w:val="00CC7102"/>
    <w:rsid w:val="00CC7CF3"/>
    <w:rsid w:val="00CD0D68"/>
    <w:rsid w:val="00CD1E85"/>
    <w:rsid w:val="00CD3AEA"/>
    <w:rsid w:val="00CD3C32"/>
    <w:rsid w:val="00CD4235"/>
    <w:rsid w:val="00CD56D7"/>
    <w:rsid w:val="00CD57FC"/>
    <w:rsid w:val="00CD632A"/>
    <w:rsid w:val="00CE0B6D"/>
    <w:rsid w:val="00CE127E"/>
    <w:rsid w:val="00CE1C10"/>
    <w:rsid w:val="00CE217C"/>
    <w:rsid w:val="00CE4AE9"/>
    <w:rsid w:val="00CE75F9"/>
    <w:rsid w:val="00CF37AC"/>
    <w:rsid w:val="00CF41D0"/>
    <w:rsid w:val="00D00CF9"/>
    <w:rsid w:val="00D012FF"/>
    <w:rsid w:val="00D04CD8"/>
    <w:rsid w:val="00D04DEC"/>
    <w:rsid w:val="00D114ED"/>
    <w:rsid w:val="00D1261E"/>
    <w:rsid w:val="00D13F32"/>
    <w:rsid w:val="00D14B5E"/>
    <w:rsid w:val="00D1685E"/>
    <w:rsid w:val="00D171BA"/>
    <w:rsid w:val="00D258D9"/>
    <w:rsid w:val="00D25B74"/>
    <w:rsid w:val="00D25CA1"/>
    <w:rsid w:val="00D31474"/>
    <w:rsid w:val="00D32933"/>
    <w:rsid w:val="00D3579F"/>
    <w:rsid w:val="00D36B62"/>
    <w:rsid w:val="00D37BF5"/>
    <w:rsid w:val="00D421A7"/>
    <w:rsid w:val="00D42987"/>
    <w:rsid w:val="00D42C18"/>
    <w:rsid w:val="00D43F5E"/>
    <w:rsid w:val="00D44623"/>
    <w:rsid w:val="00D471D2"/>
    <w:rsid w:val="00D47CF6"/>
    <w:rsid w:val="00D50820"/>
    <w:rsid w:val="00D511C3"/>
    <w:rsid w:val="00D52D87"/>
    <w:rsid w:val="00D5481D"/>
    <w:rsid w:val="00D55B2D"/>
    <w:rsid w:val="00D57DD9"/>
    <w:rsid w:val="00D60045"/>
    <w:rsid w:val="00D628AE"/>
    <w:rsid w:val="00D647C9"/>
    <w:rsid w:val="00D6632B"/>
    <w:rsid w:val="00D67995"/>
    <w:rsid w:val="00D7163F"/>
    <w:rsid w:val="00D7298C"/>
    <w:rsid w:val="00D73998"/>
    <w:rsid w:val="00D76FD9"/>
    <w:rsid w:val="00D800BD"/>
    <w:rsid w:val="00D816C8"/>
    <w:rsid w:val="00D81BC5"/>
    <w:rsid w:val="00D827CE"/>
    <w:rsid w:val="00D849AB"/>
    <w:rsid w:val="00D84DEB"/>
    <w:rsid w:val="00D877A6"/>
    <w:rsid w:val="00D904D9"/>
    <w:rsid w:val="00D946F0"/>
    <w:rsid w:val="00D95156"/>
    <w:rsid w:val="00D95BD9"/>
    <w:rsid w:val="00D95DC3"/>
    <w:rsid w:val="00D96A46"/>
    <w:rsid w:val="00D96A67"/>
    <w:rsid w:val="00DA0B0B"/>
    <w:rsid w:val="00DA12D5"/>
    <w:rsid w:val="00DA3326"/>
    <w:rsid w:val="00DA3644"/>
    <w:rsid w:val="00DA3FCB"/>
    <w:rsid w:val="00DA630F"/>
    <w:rsid w:val="00DA6A38"/>
    <w:rsid w:val="00DA6B30"/>
    <w:rsid w:val="00DA7040"/>
    <w:rsid w:val="00DB07B5"/>
    <w:rsid w:val="00DB07F9"/>
    <w:rsid w:val="00DB3CAF"/>
    <w:rsid w:val="00DB4966"/>
    <w:rsid w:val="00DB70FF"/>
    <w:rsid w:val="00DC1078"/>
    <w:rsid w:val="00DC1386"/>
    <w:rsid w:val="00DC7A46"/>
    <w:rsid w:val="00DD0F54"/>
    <w:rsid w:val="00DD135E"/>
    <w:rsid w:val="00DD4F7A"/>
    <w:rsid w:val="00DD5050"/>
    <w:rsid w:val="00DD5306"/>
    <w:rsid w:val="00DD554F"/>
    <w:rsid w:val="00DD5903"/>
    <w:rsid w:val="00DD5E1E"/>
    <w:rsid w:val="00DE229B"/>
    <w:rsid w:val="00DE3A2B"/>
    <w:rsid w:val="00DE4A81"/>
    <w:rsid w:val="00DE7AB8"/>
    <w:rsid w:val="00DF3188"/>
    <w:rsid w:val="00DF5529"/>
    <w:rsid w:val="00DF6DE8"/>
    <w:rsid w:val="00DF6FB0"/>
    <w:rsid w:val="00DF76B3"/>
    <w:rsid w:val="00DF76F2"/>
    <w:rsid w:val="00E00083"/>
    <w:rsid w:val="00E009E2"/>
    <w:rsid w:val="00E00ABC"/>
    <w:rsid w:val="00E01CC7"/>
    <w:rsid w:val="00E01DE7"/>
    <w:rsid w:val="00E0411F"/>
    <w:rsid w:val="00E0572E"/>
    <w:rsid w:val="00E10005"/>
    <w:rsid w:val="00E1238E"/>
    <w:rsid w:val="00E124B9"/>
    <w:rsid w:val="00E13F21"/>
    <w:rsid w:val="00E1612B"/>
    <w:rsid w:val="00E17515"/>
    <w:rsid w:val="00E20591"/>
    <w:rsid w:val="00E22766"/>
    <w:rsid w:val="00E23FBA"/>
    <w:rsid w:val="00E2532D"/>
    <w:rsid w:val="00E2572E"/>
    <w:rsid w:val="00E2692D"/>
    <w:rsid w:val="00E271C2"/>
    <w:rsid w:val="00E27AC2"/>
    <w:rsid w:val="00E30031"/>
    <w:rsid w:val="00E329A6"/>
    <w:rsid w:val="00E34CB5"/>
    <w:rsid w:val="00E36419"/>
    <w:rsid w:val="00E37789"/>
    <w:rsid w:val="00E37DEB"/>
    <w:rsid w:val="00E42265"/>
    <w:rsid w:val="00E45C2C"/>
    <w:rsid w:val="00E45DAA"/>
    <w:rsid w:val="00E46560"/>
    <w:rsid w:val="00E47307"/>
    <w:rsid w:val="00E47601"/>
    <w:rsid w:val="00E50DB1"/>
    <w:rsid w:val="00E51053"/>
    <w:rsid w:val="00E51A6B"/>
    <w:rsid w:val="00E51A9F"/>
    <w:rsid w:val="00E52CA8"/>
    <w:rsid w:val="00E550CE"/>
    <w:rsid w:val="00E55E08"/>
    <w:rsid w:val="00E56D57"/>
    <w:rsid w:val="00E60B86"/>
    <w:rsid w:val="00E62E45"/>
    <w:rsid w:val="00E62F7D"/>
    <w:rsid w:val="00E700B8"/>
    <w:rsid w:val="00E702B9"/>
    <w:rsid w:val="00E70588"/>
    <w:rsid w:val="00E75FA1"/>
    <w:rsid w:val="00E76419"/>
    <w:rsid w:val="00E77787"/>
    <w:rsid w:val="00E77CD7"/>
    <w:rsid w:val="00E82017"/>
    <w:rsid w:val="00E82792"/>
    <w:rsid w:val="00E844D7"/>
    <w:rsid w:val="00E92E9D"/>
    <w:rsid w:val="00E93B3C"/>
    <w:rsid w:val="00E96A7F"/>
    <w:rsid w:val="00EA031A"/>
    <w:rsid w:val="00EA0CE9"/>
    <w:rsid w:val="00EA1A40"/>
    <w:rsid w:val="00EA2E81"/>
    <w:rsid w:val="00EA330D"/>
    <w:rsid w:val="00EA5190"/>
    <w:rsid w:val="00EA5F4C"/>
    <w:rsid w:val="00EA6109"/>
    <w:rsid w:val="00EB17D2"/>
    <w:rsid w:val="00EB183E"/>
    <w:rsid w:val="00EB2688"/>
    <w:rsid w:val="00EB6181"/>
    <w:rsid w:val="00EB664F"/>
    <w:rsid w:val="00EB7C87"/>
    <w:rsid w:val="00EB7E37"/>
    <w:rsid w:val="00EC12E8"/>
    <w:rsid w:val="00EC1357"/>
    <w:rsid w:val="00EC5ACF"/>
    <w:rsid w:val="00ED22A8"/>
    <w:rsid w:val="00ED2479"/>
    <w:rsid w:val="00ED4EB4"/>
    <w:rsid w:val="00ED5D09"/>
    <w:rsid w:val="00ED7107"/>
    <w:rsid w:val="00EE2221"/>
    <w:rsid w:val="00EE276F"/>
    <w:rsid w:val="00EE2982"/>
    <w:rsid w:val="00EE634F"/>
    <w:rsid w:val="00EF369D"/>
    <w:rsid w:val="00EF38A7"/>
    <w:rsid w:val="00EF6A39"/>
    <w:rsid w:val="00EF6FB1"/>
    <w:rsid w:val="00F00B38"/>
    <w:rsid w:val="00F0376E"/>
    <w:rsid w:val="00F044B3"/>
    <w:rsid w:val="00F05E83"/>
    <w:rsid w:val="00F07DC4"/>
    <w:rsid w:val="00F07E05"/>
    <w:rsid w:val="00F10842"/>
    <w:rsid w:val="00F1152A"/>
    <w:rsid w:val="00F13C42"/>
    <w:rsid w:val="00F161F7"/>
    <w:rsid w:val="00F206E8"/>
    <w:rsid w:val="00F21755"/>
    <w:rsid w:val="00F21F2E"/>
    <w:rsid w:val="00F23947"/>
    <w:rsid w:val="00F23B61"/>
    <w:rsid w:val="00F276F1"/>
    <w:rsid w:val="00F32680"/>
    <w:rsid w:val="00F33A66"/>
    <w:rsid w:val="00F34368"/>
    <w:rsid w:val="00F34E5A"/>
    <w:rsid w:val="00F35452"/>
    <w:rsid w:val="00F35939"/>
    <w:rsid w:val="00F45532"/>
    <w:rsid w:val="00F45ED2"/>
    <w:rsid w:val="00F53C4F"/>
    <w:rsid w:val="00F56A51"/>
    <w:rsid w:val="00F61899"/>
    <w:rsid w:val="00F66CD4"/>
    <w:rsid w:val="00F66E01"/>
    <w:rsid w:val="00F7129A"/>
    <w:rsid w:val="00F7180D"/>
    <w:rsid w:val="00F727A7"/>
    <w:rsid w:val="00F729D7"/>
    <w:rsid w:val="00F774CD"/>
    <w:rsid w:val="00F80F59"/>
    <w:rsid w:val="00F82E69"/>
    <w:rsid w:val="00F8414D"/>
    <w:rsid w:val="00F84181"/>
    <w:rsid w:val="00F84C5D"/>
    <w:rsid w:val="00F86271"/>
    <w:rsid w:val="00F87176"/>
    <w:rsid w:val="00F87303"/>
    <w:rsid w:val="00F91287"/>
    <w:rsid w:val="00F917FA"/>
    <w:rsid w:val="00F91B28"/>
    <w:rsid w:val="00F91DA0"/>
    <w:rsid w:val="00F9306F"/>
    <w:rsid w:val="00F94B4E"/>
    <w:rsid w:val="00F978B7"/>
    <w:rsid w:val="00FA2FCD"/>
    <w:rsid w:val="00FA3FA8"/>
    <w:rsid w:val="00FA4718"/>
    <w:rsid w:val="00FA6E64"/>
    <w:rsid w:val="00FB1DCD"/>
    <w:rsid w:val="00FB2F0E"/>
    <w:rsid w:val="00FB31CC"/>
    <w:rsid w:val="00FC05EE"/>
    <w:rsid w:val="00FC2EC6"/>
    <w:rsid w:val="00FC339A"/>
    <w:rsid w:val="00FC36E0"/>
    <w:rsid w:val="00FC546F"/>
    <w:rsid w:val="00FC6F5E"/>
    <w:rsid w:val="00FC711A"/>
    <w:rsid w:val="00FC7D31"/>
    <w:rsid w:val="00FD13AC"/>
    <w:rsid w:val="00FD2D28"/>
    <w:rsid w:val="00FD6BFE"/>
    <w:rsid w:val="00FE3FF3"/>
    <w:rsid w:val="00FE6D8B"/>
    <w:rsid w:val="00FE7DE4"/>
    <w:rsid w:val="00FF4027"/>
    <w:rsid w:val="00FF459F"/>
    <w:rsid w:val="00FF4D4F"/>
    <w:rsid w:val="1A113708"/>
    <w:rsid w:val="4D8212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BE29F3"/>
  <w15:docId w15:val="{1D616172-9989-4F05-8539-243FE342D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keepNext/>
      <w:keepLines/>
      <w:spacing w:beforeLines="100" w:before="100" w:afterLines="100" w:after="100" w:line="360" w:lineRule="auto"/>
      <w:jc w:val="center"/>
      <w:outlineLvl w:val="0"/>
    </w:pPr>
    <w:rPr>
      <w:b/>
      <w:bCs/>
      <w:kern w:val="44"/>
      <w:sz w:val="28"/>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Cambria" w:hAnsi="Cambria"/>
      <w:b/>
      <w:bCs/>
      <w:sz w:val="32"/>
      <w:szCs w:val="32"/>
    </w:rPr>
  </w:style>
  <w:style w:type="paragraph" w:styleId="4">
    <w:name w:val="heading 4"/>
    <w:basedOn w:val="a"/>
    <w:next w:val="a"/>
    <w:link w:val="40"/>
    <w:uiPriority w:val="9"/>
    <w:unhideWhenUsed/>
    <w:qFormat/>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pBdr>
        <w:bottom w:val="single" w:sz="6" w:space="1" w:color="auto"/>
      </w:pBdr>
      <w:tabs>
        <w:tab w:val="center" w:pos="4153"/>
        <w:tab w:val="right" w:pos="8306"/>
      </w:tabs>
      <w:snapToGrid w:val="0"/>
      <w:jc w:val="center"/>
    </w:pPr>
    <w:rPr>
      <w:kern w:val="0"/>
      <w:sz w:val="18"/>
      <w:szCs w:val="18"/>
    </w:rPr>
  </w:style>
  <w:style w:type="paragraph" w:styleId="a5">
    <w:name w:val="annotation subject"/>
    <w:basedOn w:val="a6"/>
    <w:next w:val="a6"/>
    <w:link w:val="a7"/>
    <w:uiPriority w:val="99"/>
    <w:unhideWhenUsed/>
    <w:rPr>
      <w:b/>
      <w:bCs/>
    </w:rPr>
  </w:style>
  <w:style w:type="paragraph" w:styleId="a6">
    <w:name w:val="annotation text"/>
    <w:basedOn w:val="a"/>
    <w:link w:val="a8"/>
    <w:unhideWhenUsed/>
    <w:qFormat/>
    <w:pPr>
      <w:jc w:val="left"/>
    </w:pPr>
  </w:style>
  <w:style w:type="paragraph" w:styleId="a9">
    <w:name w:val="Document Map"/>
    <w:basedOn w:val="a"/>
    <w:link w:val="aa"/>
    <w:uiPriority w:val="99"/>
    <w:unhideWhenUsed/>
    <w:rPr>
      <w:rFonts w:ascii="宋体"/>
      <w:sz w:val="18"/>
      <w:szCs w:val="18"/>
    </w:rPr>
  </w:style>
  <w:style w:type="paragraph" w:styleId="ab">
    <w:name w:val="Balloon Text"/>
    <w:basedOn w:val="a"/>
    <w:semiHidden/>
    <w:rPr>
      <w:sz w:val="18"/>
      <w:szCs w:val="18"/>
    </w:rPr>
  </w:style>
  <w:style w:type="paragraph" w:styleId="ac">
    <w:name w:val="footer"/>
    <w:basedOn w:val="a"/>
    <w:link w:val="ad"/>
    <w:uiPriority w:val="99"/>
    <w:unhideWhenUsed/>
    <w:pPr>
      <w:tabs>
        <w:tab w:val="center" w:pos="4153"/>
        <w:tab w:val="right" w:pos="8306"/>
      </w:tabs>
      <w:snapToGrid w:val="0"/>
      <w:jc w:val="left"/>
    </w:pPr>
    <w:rPr>
      <w:kern w:val="0"/>
      <w:sz w:val="18"/>
      <w:szCs w:val="18"/>
    </w:rPr>
  </w:style>
  <w:style w:type="paragraph" w:styleId="11">
    <w:name w:val="toc 1"/>
    <w:basedOn w:val="a"/>
    <w:next w:val="a"/>
    <w:uiPriority w:val="39"/>
    <w:unhideWhenUsed/>
  </w:style>
  <w:style w:type="paragraph" w:styleId="ae">
    <w:name w:val="Subtitle"/>
    <w:basedOn w:val="a"/>
    <w:next w:val="a"/>
    <w:link w:val="af"/>
    <w:qFormat/>
    <w:pPr>
      <w:spacing w:before="240" w:after="60" w:line="312" w:lineRule="auto"/>
      <w:jc w:val="center"/>
      <w:outlineLvl w:val="1"/>
    </w:pPr>
    <w:rPr>
      <w:rFonts w:ascii="Cambria" w:hAnsi="Cambria"/>
      <w:b/>
      <w:bCs/>
      <w:kern w:val="28"/>
      <w:sz w:val="32"/>
      <w:szCs w:val="32"/>
    </w:rPr>
  </w:style>
  <w:style w:type="paragraph" w:styleId="21">
    <w:name w:val="toc 2"/>
    <w:basedOn w:val="a"/>
    <w:next w:val="a"/>
    <w:uiPriority w:val="39"/>
    <w:unhideWhenUsed/>
    <w:pPr>
      <w:ind w:leftChars="200" w:left="480"/>
    </w:pPr>
  </w:style>
  <w:style w:type="character" w:styleId="af0">
    <w:name w:val="Hyperlink"/>
    <w:uiPriority w:val="99"/>
    <w:unhideWhenUsed/>
    <w:rPr>
      <w:color w:val="0000FF"/>
      <w:u w:val="single"/>
    </w:rPr>
  </w:style>
  <w:style w:type="character" w:styleId="af1">
    <w:name w:val="annotation reference"/>
    <w:unhideWhenUsed/>
    <w:rPr>
      <w:sz w:val="21"/>
      <w:szCs w:val="21"/>
    </w:rPr>
  </w:style>
  <w:style w:type="table" w:styleId="af2">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5">
    <w:name w:val="Light Shading Accent 5"/>
    <w:basedOn w:val="a1"/>
    <w:uiPriority w:val="60"/>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single" w:sz="8" w:space="0" w:color="4BACC6"/>
          <w:bottom w:val="nil"/>
          <w:right w:val="nil"/>
          <w:insideH w:val="nil"/>
          <w:insideV w:val="nil"/>
          <w:tl2br w:val="nil"/>
          <w:tr2bl w:val="nil"/>
        </w:tcBorders>
      </w:tcPr>
    </w:tblStylePr>
    <w:tblStylePr w:type="lastRow">
      <w:pPr>
        <w:spacing w:before="0" w:after="0" w:line="240" w:lineRule="auto"/>
      </w:pPr>
      <w:rPr>
        <w:b/>
        <w:bCs/>
      </w:rPr>
      <w:tblPr/>
      <w:tcPr>
        <w:tcBorders>
          <w:top w:val="single" w:sz="8" w:space="0" w:color="4BACC6"/>
          <w:left w:val="single" w:sz="8" w:space="0" w:color="4BACC6"/>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2EAF1"/>
      </w:tcPr>
    </w:tblStylePr>
    <w:tblStylePr w:type="band1Horz">
      <w:tblPr/>
      <w:tcPr>
        <w:tcBorders>
          <w:top w:val="nil"/>
          <w:left w:val="nil"/>
          <w:bottom w:val="nil"/>
          <w:right w:val="nil"/>
          <w:insideH w:val="nil"/>
          <w:insideV w:val="nil"/>
          <w:tl2br w:val="nil"/>
          <w:tr2bl w:val="nil"/>
        </w:tcBorders>
        <w:shd w:val="clear" w:color="auto" w:fill="D2EAF1"/>
      </w:tcPr>
    </w:tblStylePr>
  </w:style>
  <w:style w:type="paragraph" w:customStyle="1" w:styleId="af3">
    <w:basedOn w:val="1"/>
    <w:next w:val="a"/>
    <w:uiPriority w:val="39"/>
    <w:qFormat/>
    <w:pPr>
      <w:widowControl/>
      <w:spacing w:beforeLines="0" w:before="480" w:line="276" w:lineRule="auto"/>
      <w:jc w:val="left"/>
      <w:outlineLvl w:val="9"/>
    </w:pPr>
    <w:rPr>
      <w:rFonts w:ascii="Cambria" w:hAnsi="Cambria"/>
      <w:color w:val="365F91"/>
      <w:kern w:val="0"/>
      <w:szCs w:val="28"/>
    </w:rPr>
  </w:style>
  <w:style w:type="paragraph" w:customStyle="1" w:styleId="XBRLTitle6">
    <w:name w:val="XBRLTitle6"/>
    <w:basedOn w:val="ae"/>
    <w:next w:val="4"/>
    <w:qFormat/>
    <w:pPr>
      <w:keepNext/>
      <w:keepLines/>
      <w:numPr>
        <w:ilvl w:val="5"/>
        <w:numId w:val="1"/>
      </w:numPr>
      <w:ind w:left="0" w:firstLine="0"/>
      <w:jc w:val="left"/>
    </w:pPr>
    <w:rPr>
      <w:bCs w:val="0"/>
      <w:sz w:val="24"/>
    </w:rPr>
  </w:style>
  <w:style w:type="paragraph" w:customStyle="1" w:styleId="af4">
    <w:uiPriority w:val="99"/>
    <w:semiHidden/>
    <w:rPr>
      <w:kern w:val="2"/>
      <w:sz w:val="21"/>
      <w:szCs w:val="22"/>
    </w:rPr>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customStyle="1" w:styleId="XBRLTitle1">
    <w:name w:val="XBRLTitle1"/>
    <w:basedOn w:val="1"/>
    <w:next w:val="2"/>
    <w:qFormat/>
    <w:pPr>
      <w:numPr>
        <w:numId w:val="1"/>
      </w:numPr>
      <w:spacing w:beforeLines="50" w:before="340" w:afterLines="50" w:after="330" w:line="240" w:lineRule="auto"/>
    </w:pPr>
    <w:rPr>
      <w:rFonts w:ascii="Cambria" w:hAnsi="Cambria"/>
    </w:rPr>
  </w:style>
  <w:style w:type="paragraph" w:customStyle="1" w:styleId="XBRLTitle2">
    <w:name w:val="XBRLTitle2"/>
    <w:basedOn w:val="ae"/>
    <w:next w:val="4"/>
    <w:qFormat/>
    <w:pPr>
      <w:keepNext/>
      <w:keepLines/>
      <w:numPr>
        <w:ilvl w:val="1"/>
        <w:numId w:val="1"/>
      </w:numPr>
      <w:jc w:val="left"/>
    </w:pPr>
    <w:rPr>
      <w:bCs w:val="0"/>
      <w:sz w:val="24"/>
    </w:rPr>
  </w:style>
  <w:style w:type="paragraph" w:customStyle="1" w:styleId="XBRLTitle3">
    <w:name w:val="XBRLTitle3"/>
    <w:basedOn w:val="ae"/>
    <w:next w:val="4"/>
    <w:qFormat/>
    <w:pPr>
      <w:keepNext/>
      <w:keepLines/>
      <w:numPr>
        <w:ilvl w:val="2"/>
        <w:numId w:val="1"/>
      </w:numPr>
      <w:ind w:left="0" w:firstLine="0"/>
      <w:jc w:val="left"/>
    </w:pPr>
    <w:rPr>
      <w:bCs w:val="0"/>
      <w:sz w:val="24"/>
    </w:rPr>
  </w:style>
  <w:style w:type="paragraph" w:customStyle="1" w:styleId="XBRLTitle5">
    <w:name w:val="XBRLTitle5"/>
    <w:basedOn w:val="ae"/>
    <w:next w:val="4"/>
    <w:qFormat/>
    <w:pPr>
      <w:keepNext/>
      <w:keepLines/>
      <w:numPr>
        <w:ilvl w:val="4"/>
        <w:numId w:val="1"/>
      </w:numPr>
      <w:ind w:left="0" w:firstLine="0"/>
      <w:jc w:val="left"/>
    </w:pPr>
    <w:rPr>
      <w:bCs w:val="0"/>
      <w:sz w:val="24"/>
    </w:rPr>
  </w:style>
  <w:style w:type="paragraph" w:customStyle="1" w:styleId="XBRLTitle4">
    <w:name w:val="XBRLTitle4"/>
    <w:basedOn w:val="ae"/>
    <w:next w:val="4"/>
    <w:qFormat/>
    <w:pPr>
      <w:keepNext/>
      <w:keepLines/>
      <w:numPr>
        <w:ilvl w:val="3"/>
        <w:numId w:val="1"/>
      </w:numPr>
      <w:ind w:left="0" w:firstLine="0"/>
      <w:jc w:val="left"/>
    </w:pPr>
    <w:rPr>
      <w:bCs w:val="0"/>
      <w:sz w:val="24"/>
    </w:rPr>
  </w:style>
  <w:style w:type="character" w:customStyle="1" w:styleId="Char1">
    <w:name w:val="副标题 Char1"/>
    <w:rPr>
      <w:rFonts w:ascii="Cambria" w:hAnsi="Cambria"/>
      <w:b/>
      <w:kern w:val="28"/>
      <w:sz w:val="24"/>
      <w:szCs w:val="32"/>
    </w:rPr>
  </w:style>
  <w:style w:type="character" w:customStyle="1" w:styleId="txtcontent11">
    <w:name w:val="txtcontent11"/>
    <w:rPr>
      <w:rFonts w:ascii="ˎ̥" w:hAnsi="ˎ̥" w:hint="default"/>
      <w:color w:val="000000"/>
      <w:sz w:val="21"/>
      <w:szCs w:val="21"/>
    </w:rPr>
  </w:style>
  <w:style w:type="character" w:customStyle="1" w:styleId="a8">
    <w:name w:val="批注文字 字符"/>
    <w:link w:val="a6"/>
    <w:qFormat/>
    <w:rPr>
      <w:kern w:val="2"/>
      <w:sz w:val="21"/>
      <w:szCs w:val="22"/>
    </w:rPr>
  </w:style>
  <w:style w:type="character" w:customStyle="1" w:styleId="a7">
    <w:name w:val="批注主题 字符"/>
    <w:link w:val="a5"/>
    <w:uiPriority w:val="99"/>
    <w:semiHidden/>
    <w:rPr>
      <w:b/>
      <w:bCs/>
      <w:kern w:val="2"/>
      <w:sz w:val="21"/>
      <w:szCs w:val="22"/>
    </w:rPr>
  </w:style>
  <w:style w:type="character" w:customStyle="1" w:styleId="a4">
    <w:name w:val="页眉 字符"/>
    <w:link w:val="a3"/>
    <w:uiPriority w:val="99"/>
    <w:rPr>
      <w:sz w:val="18"/>
      <w:szCs w:val="18"/>
    </w:rPr>
  </w:style>
  <w:style w:type="character" w:customStyle="1" w:styleId="af">
    <w:name w:val="副标题 字符"/>
    <w:link w:val="ae"/>
    <w:rPr>
      <w:rFonts w:ascii="Cambria" w:hAnsi="Cambria" w:cs="Times New Roman"/>
      <w:b/>
      <w:bCs/>
      <w:kern w:val="28"/>
      <w:sz w:val="32"/>
      <w:szCs w:val="32"/>
    </w:rPr>
  </w:style>
  <w:style w:type="character" w:customStyle="1" w:styleId="aa">
    <w:name w:val="文档结构图 字符"/>
    <w:link w:val="a9"/>
    <w:uiPriority w:val="99"/>
    <w:semiHidden/>
    <w:rPr>
      <w:rFonts w:ascii="宋体"/>
      <w:kern w:val="2"/>
      <w:sz w:val="18"/>
      <w:szCs w:val="18"/>
    </w:rPr>
  </w:style>
  <w:style w:type="character" w:customStyle="1" w:styleId="ad">
    <w:name w:val="页脚 字符"/>
    <w:link w:val="ac"/>
    <w:uiPriority w:val="99"/>
    <w:rPr>
      <w:sz w:val="18"/>
      <w:szCs w:val="18"/>
    </w:rPr>
  </w:style>
  <w:style w:type="character" w:customStyle="1" w:styleId="20">
    <w:name w:val="标题 2 字符"/>
    <w:link w:val="2"/>
    <w:uiPriority w:val="9"/>
    <w:semiHidden/>
    <w:rPr>
      <w:rFonts w:ascii="Cambria" w:eastAsia="宋体" w:hAnsi="Cambria" w:cs="Times New Roman"/>
      <w:b/>
      <w:bCs/>
      <w:kern w:val="2"/>
      <w:sz w:val="32"/>
      <w:szCs w:val="32"/>
    </w:rPr>
  </w:style>
  <w:style w:type="character" w:customStyle="1" w:styleId="40">
    <w:name w:val="标题 4 字符"/>
    <w:link w:val="4"/>
    <w:uiPriority w:val="9"/>
    <w:semiHidden/>
    <w:rPr>
      <w:rFonts w:ascii="Cambria" w:eastAsia="宋体" w:hAnsi="Cambria" w:cs="Times New Roman"/>
      <w:b/>
      <w:bCs/>
      <w:kern w:val="2"/>
      <w:sz w:val="28"/>
      <w:szCs w:val="28"/>
    </w:rPr>
  </w:style>
  <w:style w:type="character" w:customStyle="1" w:styleId="10">
    <w:name w:val="标题 1 字符"/>
    <w:link w:val="1"/>
    <w:uiPriority w:val="9"/>
    <w:rPr>
      <w:b/>
      <w:bCs/>
      <w:kern w:val="44"/>
      <w:sz w:val="28"/>
      <w:szCs w:val="44"/>
    </w:rPr>
  </w:style>
  <w:style w:type="paragraph" w:styleId="af5">
    <w:name w:val="Revision"/>
    <w:hidden/>
    <w:uiPriority w:val="99"/>
    <w:semiHidden/>
    <w:rsid w:val="0086767A"/>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602366">
      <w:bodyDiv w:val="1"/>
      <w:marLeft w:val="0"/>
      <w:marRight w:val="0"/>
      <w:marTop w:val="0"/>
      <w:marBottom w:val="0"/>
      <w:divBdr>
        <w:top w:val="none" w:sz="0" w:space="0" w:color="auto"/>
        <w:left w:val="none" w:sz="0" w:space="0" w:color="auto"/>
        <w:bottom w:val="none" w:sz="0" w:space="0" w:color="auto"/>
        <w:right w:val="none" w:sz="0" w:space="0" w:color="auto"/>
      </w:divBdr>
    </w:div>
    <w:div w:id="329721572">
      <w:bodyDiv w:val="1"/>
      <w:marLeft w:val="0"/>
      <w:marRight w:val="0"/>
      <w:marTop w:val="0"/>
      <w:marBottom w:val="0"/>
      <w:divBdr>
        <w:top w:val="none" w:sz="0" w:space="0" w:color="auto"/>
        <w:left w:val="none" w:sz="0" w:space="0" w:color="auto"/>
        <w:bottom w:val="none" w:sz="0" w:space="0" w:color="auto"/>
        <w:right w:val="none" w:sz="0" w:space="0" w:color="auto"/>
      </w:divBdr>
    </w:div>
    <w:div w:id="330521540">
      <w:bodyDiv w:val="1"/>
      <w:marLeft w:val="0"/>
      <w:marRight w:val="0"/>
      <w:marTop w:val="0"/>
      <w:marBottom w:val="0"/>
      <w:divBdr>
        <w:top w:val="none" w:sz="0" w:space="0" w:color="auto"/>
        <w:left w:val="none" w:sz="0" w:space="0" w:color="auto"/>
        <w:bottom w:val="none" w:sz="0" w:space="0" w:color="auto"/>
        <w:right w:val="none" w:sz="0" w:space="0" w:color="auto"/>
      </w:divBdr>
    </w:div>
    <w:div w:id="425269720">
      <w:bodyDiv w:val="1"/>
      <w:marLeft w:val="0"/>
      <w:marRight w:val="0"/>
      <w:marTop w:val="0"/>
      <w:marBottom w:val="0"/>
      <w:divBdr>
        <w:top w:val="none" w:sz="0" w:space="0" w:color="auto"/>
        <w:left w:val="none" w:sz="0" w:space="0" w:color="auto"/>
        <w:bottom w:val="none" w:sz="0" w:space="0" w:color="auto"/>
        <w:right w:val="none" w:sz="0" w:space="0" w:color="auto"/>
      </w:divBdr>
    </w:div>
    <w:div w:id="717555271">
      <w:bodyDiv w:val="1"/>
      <w:marLeft w:val="0"/>
      <w:marRight w:val="0"/>
      <w:marTop w:val="0"/>
      <w:marBottom w:val="0"/>
      <w:divBdr>
        <w:top w:val="none" w:sz="0" w:space="0" w:color="auto"/>
        <w:left w:val="none" w:sz="0" w:space="0" w:color="auto"/>
        <w:bottom w:val="none" w:sz="0" w:space="0" w:color="auto"/>
        <w:right w:val="none" w:sz="0" w:space="0" w:color="auto"/>
      </w:divBdr>
    </w:div>
    <w:div w:id="921521784">
      <w:bodyDiv w:val="1"/>
      <w:marLeft w:val="0"/>
      <w:marRight w:val="0"/>
      <w:marTop w:val="0"/>
      <w:marBottom w:val="0"/>
      <w:divBdr>
        <w:top w:val="none" w:sz="0" w:space="0" w:color="auto"/>
        <w:left w:val="none" w:sz="0" w:space="0" w:color="auto"/>
        <w:bottom w:val="none" w:sz="0" w:space="0" w:color="auto"/>
        <w:right w:val="none" w:sz="0" w:space="0" w:color="auto"/>
      </w:divBdr>
    </w:div>
    <w:div w:id="1158153154">
      <w:bodyDiv w:val="1"/>
      <w:marLeft w:val="0"/>
      <w:marRight w:val="0"/>
      <w:marTop w:val="0"/>
      <w:marBottom w:val="0"/>
      <w:divBdr>
        <w:top w:val="none" w:sz="0" w:space="0" w:color="auto"/>
        <w:left w:val="none" w:sz="0" w:space="0" w:color="auto"/>
        <w:bottom w:val="none" w:sz="0" w:space="0" w:color="auto"/>
        <w:right w:val="none" w:sz="0" w:space="0" w:color="auto"/>
      </w:divBdr>
    </w:div>
    <w:div w:id="1194346596">
      <w:bodyDiv w:val="1"/>
      <w:marLeft w:val="0"/>
      <w:marRight w:val="0"/>
      <w:marTop w:val="0"/>
      <w:marBottom w:val="0"/>
      <w:divBdr>
        <w:top w:val="none" w:sz="0" w:space="0" w:color="auto"/>
        <w:left w:val="none" w:sz="0" w:space="0" w:color="auto"/>
        <w:bottom w:val="none" w:sz="0" w:space="0" w:color="auto"/>
        <w:right w:val="none" w:sz="0" w:space="0" w:color="auto"/>
      </w:divBdr>
    </w:div>
    <w:div w:id="1256017805">
      <w:bodyDiv w:val="1"/>
      <w:marLeft w:val="0"/>
      <w:marRight w:val="0"/>
      <w:marTop w:val="0"/>
      <w:marBottom w:val="0"/>
      <w:divBdr>
        <w:top w:val="none" w:sz="0" w:space="0" w:color="auto"/>
        <w:left w:val="none" w:sz="0" w:space="0" w:color="auto"/>
        <w:bottom w:val="none" w:sz="0" w:space="0" w:color="auto"/>
        <w:right w:val="none" w:sz="0" w:space="0" w:color="auto"/>
      </w:divBdr>
    </w:div>
    <w:div w:id="1353191974">
      <w:bodyDiv w:val="1"/>
      <w:marLeft w:val="0"/>
      <w:marRight w:val="0"/>
      <w:marTop w:val="0"/>
      <w:marBottom w:val="0"/>
      <w:divBdr>
        <w:top w:val="none" w:sz="0" w:space="0" w:color="auto"/>
        <w:left w:val="none" w:sz="0" w:space="0" w:color="auto"/>
        <w:bottom w:val="none" w:sz="0" w:space="0" w:color="auto"/>
        <w:right w:val="none" w:sz="0" w:space="0" w:color="auto"/>
      </w:divBdr>
    </w:div>
    <w:div w:id="1539928342">
      <w:bodyDiv w:val="1"/>
      <w:marLeft w:val="0"/>
      <w:marRight w:val="0"/>
      <w:marTop w:val="0"/>
      <w:marBottom w:val="0"/>
      <w:divBdr>
        <w:top w:val="none" w:sz="0" w:space="0" w:color="auto"/>
        <w:left w:val="none" w:sz="0" w:space="0" w:color="auto"/>
        <w:bottom w:val="none" w:sz="0" w:space="0" w:color="auto"/>
        <w:right w:val="none" w:sz="0" w:space="0" w:color="auto"/>
      </w:divBdr>
    </w:div>
    <w:div w:id="1544749540">
      <w:bodyDiv w:val="1"/>
      <w:marLeft w:val="0"/>
      <w:marRight w:val="0"/>
      <w:marTop w:val="0"/>
      <w:marBottom w:val="0"/>
      <w:divBdr>
        <w:top w:val="none" w:sz="0" w:space="0" w:color="auto"/>
        <w:left w:val="none" w:sz="0" w:space="0" w:color="auto"/>
        <w:bottom w:val="none" w:sz="0" w:space="0" w:color="auto"/>
        <w:right w:val="none" w:sz="0" w:space="0" w:color="auto"/>
      </w:divBdr>
    </w:div>
    <w:div w:id="1731684933">
      <w:bodyDiv w:val="1"/>
      <w:marLeft w:val="0"/>
      <w:marRight w:val="0"/>
      <w:marTop w:val="0"/>
      <w:marBottom w:val="0"/>
      <w:divBdr>
        <w:top w:val="none" w:sz="0" w:space="0" w:color="auto"/>
        <w:left w:val="none" w:sz="0" w:space="0" w:color="auto"/>
        <w:bottom w:val="none" w:sz="0" w:space="0" w:color="auto"/>
        <w:right w:val="none" w:sz="0" w:space="0" w:color="auto"/>
      </w:divBdr>
    </w:div>
    <w:div w:id="1761439004">
      <w:bodyDiv w:val="1"/>
      <w:marLeft w:val="0"/>
      <w:marRight w:val="0"/>
      <w:marTop w:val="0"/>
      <w:marBottom w:val="0"/>
      <w:divBdr>
        <w:top w:val="none" w:sz="0" w:space="0" w:color="auto"/>
        <w:left w:val="none" w:sz="0" w:space="0" w:color="auto"/>
        <w:bottom w:val="none" w:sz="0" w:space="0" w:color="auto"/>
        <w:right w:val="none" w:sz="0" w:space="0" w:color="auto"/>
      </w:divBdr>
    </w:div>
    <w:div w:id="1917545742">
      <w:bodyDiv w:val="1"/>
      <w:marLeft w:val="0"/>
      <w:marRight w:val="0"/>
      <w:marTop w:val="0"/>
      <w:marBottom w:val="0"/>
      <w:divBdr>
        <w:top w:val="none" w:sz="0" w:space="0" w:color="auto"/>
        <w:left w:val="none" w:sz="0" w:space="0" w:color="auto"/>
        <w:bottom w:val="none" w:sz="0" w:space="0" w:color="auto"/>
        <w:right w:val="none" w:sz="0" w:space="0" w:color="auto"/>
      </w:divBdr>
    </w:div>
    <w:div w:id="19977567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3.png"/><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49"/>
    <customShpInfo spid="_x0000_s2068"/>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D258DF-5B90-4104-BAAA-2A70812DA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138</Pages>
  <Words>14629</Words>
  <Characters>83389</Characters>
  <Application>Microsoft Office Word</Application>
  <DocSecurity>0</DocSecurity>
  <Lines>694</Lines>
  <Paragraphs>195</Paragraphs>
  <ScaleCrop>false</ScaleCrop>
  <Company>Microsoft</Company>
  <LinksUpToDate>false</LinksUpToDate>
  <CharactersWithSpaces>97823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系统用户</dc:creator>
  <cp:lastModifiedBy>张婕茹</cp:lastModifiedBy>
  <cp:revision>84</cp:revision>
  <cp:lastPrinted>2013-02-18T03:10:00Z</cp:lastPrinted>
  <dcterms:created xsi:type="dcterms:W3CDTF">2023-12-06T09:32:00Z</dcterms:created>
  <dcterms:modified xsi:type="dcterms:W3CDTF">2023-12-13T09:23:00Z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