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7D4F71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0C2E98" w:rsidRPr="000C2E98">
        <w:rPr>
          <w:rFonts w:ascii="方正仿宋_GBK" w:eastAsia="方正仿宋_GBK" w:hAnsi="方正仿宋_GBK" w:cs="方正仿宋_GBK" w:hint="eastAsia"/>
          <w:sz w:val="32"/>
          <w:szCs w:val="32"/>
        </w:rPr>
        <w:t>采购恒生O32上交所竞价交易网关及FAST流行情接口</w:t>
      </w:r>
      <w:r w:rsidR="007D4F71" w:rsidRPr="007D4F71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0C2E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采购恒生O32上交所竞价交易网关及FAST流行情接口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浙江省杭州市滨江区江南大道3588号2幢11层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  <w:bookmarkStart w:id="0" w:name="_GoBack"/>
            <w:bookmarkEnd w:id="0"/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5532E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532EE"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2E9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AA7EB6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18E65-544F-4B7E-A4A8-626EE182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54</cp:revision>
  <cp:lastPrinted>2018-05-28T08:07:00Z</cp:lastPrinted>
  <dcterms:created xsi:type="dcterms:W3CDTF">2018-06-08T02:20:00Z</dcterms:created>
  <dcterms:modified xsi:type="dcterms:W3CDTF">2023-11-17T02:56:00Z</dcterms:modified>
</cp:coreProperties>
</file>