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浙商证券股份有限公司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浙商证券股份有限公司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浙商证券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2023年10月20日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浙商证券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交银施罗德国企改革灵活配置混合型证券投资基金A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519756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交银施罗德国企改革灵活配置混合型证券投资基金C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017979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交银施罗德主题优选灵活配置混合型证券投资基金A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519700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交银施罗德主题优选灵活配置混合型证券投资基金C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013884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浙商证券股份有限公司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95345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www.stocke.com.cn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2023年10月20日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