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FC0" w:rsidRPr="00EB07BC" w:rsidRDefault="00843D30">
      <w:pPr>
        <w:rPr>
          <w:sz w:val="32"/>
        </w:rPr>
      </w:pPr>
    </w:p>
    <w:p w:rsidR="00C92FC0" w:rsidRPr="00EB07BC" w:rsidRDefault="00843D30">
      <w:pPr>
        <w:rPr>
          <w:sz w:val="32"/>
        </w:rPr>
      </w:pPr>
    </w:p>
    <w:p w:rsidR="00C92FC0" w:rsidRPr="00EB07BC" w:rsidRDefault="00843D30">
      <w:pPr>
        <w:rPr>
          <w:sz w:val="32"/>
        </w:rPr>
      </w:pPr>
    </w:p>
    <w:p w:rsidR="00C92FC0" w:rsidRPr="00EB07BC" w:rsidRDefault="00BC68F8">
      <w:pPr>
        <w:jc w:val="center"/>
        <w:rPr>
          <w:sz w:val="32"/>
        </w:rPr>
      </w:pPr>
      <w:r>
        <w:rPr>
          <w:noProof/>
        </w:rPr>
        <w:drawing>
          <wp:inline distT="0" distB="0" distL="0" distR="0">
            <wp:extent cx="4343400" cy="571500"/>
            <wp:effectExtent l="0" t="0" r="0" b="0"/>
            <wp:docPr id="5"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rsidR="00DB7585" w:rsidRDefault="00DB7585">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DB7585" w:rsidRDefault="00DB7585">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DB7585" w:rsidRDefault="00966A29">
      <w:pPr>
        <w:autoSpaceDE w:val="0"/>
        <w:autoSpaceDN w:val="0"/>
        <w:adjustRightInd w:val="0"/>
        <w:snapToGrid w:val="0"/>
        <w:spacing w:before="63" w:line="360" w:lineRule="auto"/>
        <w:ind w:rightChars="6" w:right="13"/>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交银施罗德臻选回报混合型证券投资基金</w:t>
      </w:r>
    </w:p>
    <w:p w:rsidR="00DB7585" w:rsidRDefault="00966A29">
      <w:pPr>
        <w:autoSpaceDE w:val="0"/>
        <w:autoSpaceDN w:val="0"/>
        <w:adjustRightInd w:val="0"/>
        <w:snapToGrid w:val="0"/>
        <w:spacing w:before="63" w:line="360" w:lineRule="auto"/>
        <w:ind w:rightChars="6" w:right="13"/>
        <w:jc w:val="center"/>
        <w:rPr>
          <w:rFonts w:ascii="宋体" w:hAnsi="宋体"/>
          <w:b/>
          <w:kern w:val="0"/>
          <w:sz w:val="44"/>
          <w:szCs w:val="44"/>
        </w:rPr>
      </w:pPr>
      <w:r>
        <w:rPr>
          <w:rFonts w:ascii="宋体" w:hAnsi="宋体"/>
          <w:b/>
          <w:spacing w:val="2"/>
          <w:w w:val="99"/>
          <w:kern w:val="0"/>
          <w:sz w:val="44"/>
          <w:szCs w:val="44"/>
        </w:rPr>
        <w:t>(更新)招募说明书</w:t>
      </w:r>
    </w:p>
    <w:p w:rsidR="00DB7585" w:rsidRDefault="00966A29">
      <w:pPr>
        <w:snapToGrid w:val="0"/>
        <w:spacing w:line="360" w:lineRule="auto"/>
        <w:jc w:val="center"/>
        <w:rPr>
          <w:rFonts w:ascii="宋体" w:hAnsi="宋体"/>
          <w:b/>
          <w:sz w:val="30"/>
          <w:szCs w:val="30"/>
        </w:rPr>
      </w:pPr>
      <w:r>
        <w:rPr>
          <w:rFonts w:ascii="Times New Roman" w:hAnsi="Times New Roman"/>
          <w:b/>
          <w:color w:val="000000"/>
          <w:sz w:val="32"/>
          <w:szCs w:val="32"/>
        </w:rPr>
        <w:t>(2023</w:t>
      </w:r>
      <w:r>
        <w:rPr>
          <w:rFonts w:ascii="Times New Roman" w:hAnsi="Times New Roman"/>
          <w:b/>
          <w:color w:val="000000"/>
          <w:sz w:val="32"/>
          <w:szCs w:val="32"/>
        </w:rPr>
        <w:t>年第</w:t>
      </w:r>
      <w:r>
        <w:rPr>
          <w:rFonts w:ascii="Times New Roman" w:hAnsi="Times New Roman"/>
          <w:b/>
          <w:color w:val="000000"/>
          <w:sz w:val="32"/>
          <w:szCs w:val="32"/>
        </w:rPr>
        <w:t>1</w:t>
      </w:r>
      <w:r>
        <w:rPr>
          <w:rFonts w:ascii="Times New Roman" w:hAnsi="Times New Roman"/>
          <w:b/>
          <w:color w:val="000000"/>
          <w:sz w:val="32"/>
          <w:szCs w:val="32"/>
        </w:rPr>
        <w:t>号</w:t>
      </w:r>
      <w:r>
        <w:rPr>
          <w:rFonts w:ascii="Times New Roman" w:hAnsi="Times New Roman"/>
          <w:b/>
          <w:color w:val="000000"/>
          <w:sz w:val="32"/>
          <w:szCs w:val="32"/>
        </w:rPr>
        <w:t>)</w:t>
      </w:r>
    </w:p>
    <w:p w:rsidR="00DB7585" w:rsidRDefault="00DB7585">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DB7585" w:rsidRDefault="00DB7585">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DB7585" w:rsidRDefault="00DB7585">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DB7585" w:rsidRDefault="00DB7585">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DB7585" w:rsidRDefault="00DB7585">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DB7585" w:rsidRDefault="00DB7585">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DB7585" w:rsidRDefault="00966A29">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基金管理人：交银施罗德基金管理有限公司</w:t>
      </w:r>
    </w:p>
    <w:p w:rsidR="00DB7585" w:rsidRDefault="00966A29">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基金托管人：中信银行股份有限公司</w:t>
      </w:r>
    </w:p>
    <w:p w:rsidR="00DB7585" w:rsidRDefault="00DB7585">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DB7585" w:rsidRDefault="00DB7585">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DB7585" w:rsidRDefault="00966A29">
      <w:pPr>
        <w:autoSpaceDE w:val="0"/>
        <w:autoSpaceDN w:val="0"/>
        <w:adjustRightInd w:val="0"/>
        <w:snapToGrid w:val="0"/>
        <w:spacing w:line="360" w:lineRule="auto"/>
        <w:ind w:rightChars="6" w:right="13"/>
        <w:jc w:val="center"/>
        <w:rPr>
          <w:rFonts w:ascii="宋体" w:hAnsi="宋体"/>
          <w:b/>
          <w:kern w:val="0"/>
          <w:sz w:val="28"/>
          <w:szCs w:val="32"/>
        </w:rPr>
      </w:pPr>
      <w:r>
        <w:rPr>
          <w:rFonts w:ascii="Times New Roman" w:hAnsi="Times New Roman"/>
          <w:b/>
          <w:spacing w:val="2"/>
          <w:w w:val="99"/>
          <w:kern w:val="0"/>
          <w:sz w:val="28"/>
          <w:szCs w:val="32"/>
        </w:rPr>
        <w:t>二〇二三年九月</w:t>
      </w:r>
    </w:p>
    <w:p w:rsidR="00DB7585" w:rsidRDefault="00DB7585">
      <w:pPr>
        <w:autoSpaceDE w:val="0"/>
        <w:autoSpaceDN w:val="0"/>
        <w:adjustRightInd w:val="0"/>
        <w:snapToGrid w:val="0"/>
        <w:spacing w:line="360" w:lineRule="auto"/>
        <w:ind w:left="1347" w:rightChars="6" w:right="13"/>
        <w:rPr>
          <w:rFonts w:ascii="宋体" w:hAnsi="宋体"/>
          <w:kern w:val="0"/>
          <w:sz w:val="32"/>
          <w:szCs w:val="32"/>
        </w:rPr>
        <w:sectPr w:rsidR="00DB7585">
          <w:headerReference w:type="default" r:id="rId9"/>
          <w:footerReference w:type="default" r:id="rId10"/>
          <w:headerReference w:type="first" r:id="rId11"/>
          <w:pgSz w:w="11920" w:h="16840"/>
          <w:pgMar w:top="1560" w:right="1680" w:bottom="280" w:left="1680" w:header="0" w:footer="1073" w:gutter="0"/>
          <w:pgNumType w:start="1"/>
          <w:cols w:space="720"/>
          <w:titlePg/>
          <w:docGrid w:linePitch="286"/>
        </w:sectPr>
      </w:pPr>
    </w:p>
    <w:p w:rsidR="00DB7585" w:rsidRDefault="00966A29">
      <w:pPr>
        <w:pStyle w:val="1"/>
        <w:snapToGrid w:val="0"/>
        <w:spacing w:beforeLines="0" w:before="240" w:after="240"/>
        <w:rPr>
          <w:rFonts w:ascii="宋体" w:hAnsi="宋体"/>
          <w:kern w:val="0"/>
        </w:rPr>
      </w:pPr>
      <w:bookmarkStart w:id="0" w:name="_Toc324920538"/>
      <w:bookmarkStart w:id="1" w:name="_Toc496884613"/>
      <w:bookmarkStart w:id="2" w:name="_Toc147846753"/>
      <w:r>
        <w:rPr>
          <w:rFonts w:ascii="Times New Roman" w:hAnsi="Times New Roman"/>
          <w:kern w:val="0"/>
        </w:rPr>
        <w:lastRenderedPageBreak/>
        <w:t>重要提示</w:t>
      </w:r>
      <w:bookmarkEnd w:id="0"/>
      <w:bookmarkEnd w:id="1"/>
      <w:bookmarkEnd w:id="2"/>
    </w:p>
    <w:p w:rsidR="00DB7585" w:rsidRDefault="00966A29">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交银施罗德臻选回报混合型证券投资基金（以下简称</w:t>
      </w:r>
      <w:r>
        <w:rPr>
          <w:rFonts w:ascii="Times New Roman" w:hAnsi="Times New Roman"/>
          <w:kern w:val="0"/>
          <w:sz w:val="24"/>
        </w:rPr>
        <w:t>“</w:t>
      </w:r>
      <w:r>
        <w:rPr>
          <w:rFonts w:ascii="Times New Roman" w:hAnsi="Times New Roman"/>
          <w:kern w:val="0"/>
          <w:sz w:val="24"/>
        </w:rPr>
        <w:t>本基金</w:t>
      </w:r>
      <w:r>
        <w:rPr>
          <w:rFonts w:ascii="Times New Roman" w:hAnsi="Times New Roman"/>
          <w:kern w:val="0"/>
          <w:sz w:val="24"/>
        </w:rPr>
        <w:t>”</w:t>
      </w:r>
      <w:r>
        <w:rPr>
          <w:rFonts w:ascii="Times New Roman" w:hAnsi="Times New Roman"/>
          <w:kern w:val="0"/>
          <w:sz w:val="24"/>
        </w:rPr>
        <w:t>）经</w:t>
      </w:r>
      <w:r>
        <w:rPr>
          <w:rFonts w:ascii="Times New Roman" w:hAnsi="Times New Roman"/>
          <w:kern w:val="0"/>
          <w:sz w:val="24"/>
        </w:rPr>
        <w:t>2020</w:t>
      </w:r>
      <w:r>
        <w:rPr>
          <w:rFonts w:ascii="Times New Roman" w:hAnsi="Times New Roman"/>
          <w:kern w:val="0"/>
          <w:sz w:val="24"/>
        </w:rPr>
        <w:t>年</w:t>
      </w:r>
      <w:r>
        <w:rPr>
          <w:rFonts w:ascii="Times New Roman" w:hAnsi="Times New Roman"/>
          <w:kern w:val="0"/>
          <w:sz w:val="24"/>
        </w:rPr>
        <w:t>11</w:t>
      </w:r>
      <w:r>
        <w:rPr>
          <w:rFonts w:ascii="Times New Roman" w:hAnsi="Times New Roman"/>
          <w:kern w:val="0"/>
          <w:sz w:val="24"/>
        </w:rPr>
        <w:t>月</w:t>
      </w:r>
      <w:r>
        <w:rPr>
          <w:rFonts w:ascii="Times New Roman" w:hAnsi="Times New Roman"/>
          <w:kern w:val="0"/>
          <w:sz w:val="24"/>
        </w:rPr>
        <w:t>17</w:t>
      </w:r>
      <w:r>
        <w:rPr>
          <w:rFonts w:ascii="Times New Roman" w:hAnsi="Times New Roman"/>
          <w:kern w:val="0"/>
          <w:sz w:val="24"/>
        </w:rPr>
        <w:t>日中国证券监督管理委员会（以下简称</w:t>
      </w:r>
      <w:r>
        <w:rPr>
          <w:rFonts w:ascii="Times New Roman" w:hAnsi="Times New Roman"/>
          <w:kern w:val="0"/>
          <w:sz w:val="24"/>
        </w:rPr>
        <w:t>“</w:t>
      </w:r>
      <w:r>
        <w:rPr>
          <w:rFonts w:ascii="Times New Roman" w:hAnsi="Times New Roman"/>
          <w:kern w:val="0"/>
          <w:sz w:val="24"/>
        </w:rPr>
        <w:t>中国证监会</w:t>
      </w:r>
      <w:r>
        <w:rPr>
          <w:rFonts w:ascii="Times New Roman" w:hAnsi="Times New Roman"/>
          <w:kern w:val="0"/>
          <w:sz w:val="24"/>
        </w:rPr>
        <w:t>”</w:t>
      </w:r>
      <w:r>
        <w:rPr>
          <w:rFonts w:ascii="Times New Roman" w:hAnsi="Times New Roman"/>
          <w:kern w:val="0"/>
          <w:sz w:val="24"/>
        </w:rPr>
        <w:t>）证监许可【</w:t>
      </w:r>
      <w:r>
        <w:rPr>
          <w:rFonts w:ascii="Times New Roman" w:hAnsi="Times New Roman"/>
          <w:kern w:val="0"/>
          <w:sz w:val="24"/>
        </w:rPr>
        <w:t>2020</w:t>
      </w:r>
      <w:r>
        <w:rPr>
          <w:rFonts w:ascii="Times New Roman" w:hAnsi="Times New Roman"/>
          <w:kern w:val="0"/>
          <w:sz w:val="24"/>
        </w:rPr>
        <w:t>】</w:t>
      </w:r>
      <w:r>
        <w:rPr>
          <w:rFonts w:ascii="Times New Roman" w:hAnsi="Times New Roman"/>
          <w:kern w:val="0"/>
          <w:sz w:val="24"/>
        </w:rPr>
        <w:t>3090</w:t>
      </w:r>
      <w:r>
        <w:rPr>
          <w:rFonts w:ascii="Times New Roman" w:hAnsi="Times New Roman"/>
          <w:kern w:val="0"/>
          <w:sz w:val="24"/>
        </w:rPr>
        <w:t>号文准予募集注册。本基金基金合同于</w:t>
      </w:r>
      <w:r>
        <w:rPr>
          <w:rFonts w:ascii="Times New Roman" w:hAnsi="Times New Roman"/>
          <w:kern w:val="0"/>
          <w:sz w:val="24"/>
        </w:rPr>
        <w:t>2020</w:t>
      </w:r>
      <w:r>
        <w:rPr>
          <w:rFonts w:ascii="Times New Roman" w:hAnsi="Times New Roman"/>
          <w:kern w:val="0"/>
          <w:sz w:val="24"/>
        </w:rPr>
        <w:t>年</w:t>
      </w:r>
      <w:r>
        <w:rPr>
          <w:rFonts w:ascii="Times New Roman" w:hAnsi="Times New Roman"/>
          <w:kern w:val="0"/>
          <w:sz w:val="24"/>
        </w:rPr>
        <w:t>12</w:t>
      </w:r>
      <w:r>
        <w:rPr>
          <w:rFonts w:ascii="Times New Roman" w:hAnsi="Times New Roman"/>
          <w:kern w:val="0"/>
          <w:sz w:val="24"/>
        </w:rPr>
        <w:t>月</w:t>
      </w:r>
      <w:r>
        <w:rPr>
          <w:rFonts w:ascii="Times New Roman" w:hAnsi="Times New Roman"/>
          <w:kern w:val="0"/>
          <w:sz w:val="24"/>
        </w:rPr>
        <w:t>23</w:t>
      </w:r>
      <w:r>
        <w:rPr>
          <w:rFonts w:ascii="Times New Roman" w:hAnsi="Times New Roman"/>
          <w:kern w:val="0"/>
          <w:sz w:val="24"/>
        </w:rPr>
        <w:t>日正式生效。</w:t>
      </w:r>
    </w:p>
    <w:p w:rsidR="00DB7585" w:rsidRDefault="00966A29">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保证招募说明书的内容真实、准确、完整。本招募说明书经中国证监会注册，但中国证监会对本基金募集的注册，并不表明其对本基金的投资价值和市场前景作出实质性判断或保证，也不表明投资于本基金没有风险。</w:t>
      </w:r>
    </w:p>
    <w:p w:rsidR="00DB7585" w:rsidRDefault="00966A29">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依照恪尽职守、诚实信用、谨慎勤勉的原则管理和运用基金财产，但不保证投资本基金一定盈利，也不保证基金份额持有人的最低收益；因基金价格可升可跌，亦不保证基金份额持有人能全数取回其原本投资。</w:t>
      </w:r>
    </w:p>
    <w:p w:rsidR="00DB7585" w:rsidRDefault="00966A29">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运作过程中产生的基金管理风险；流动性风险（包括实施侧袋机制时的特定风险）；信用风险；投资股指期货的特定风险；投资资产支持证券的特定风险；投资流通受限证券的特定风险；投资科创板股票的特定风险；连续</w:t>
      </w:r>
      <w:r>
        <w:rPr>
          <w:rFonts w:ascii="Times New Roman" w:hAnsi="Times New Roman"/>
          <w:kern w:val="0"/>
          <w:sz w:val="24"/>
        </w:rPr>
        <w:t>50</w:t>
      </w:r>
      <w:r>
        <w:rPr>
          <w:rFonts w:ascii="Times New Roman" w:hAnsi="Times New Roman"/>
          <w:kern w:val="0"/>
          <w:sz w:val="24"/>
        </w:rPr>
        <w:t>个工作日出现基金份额持有人数量不满</w:t>
      </w:r>
      <w:r>
        <w:rPr>
          <w:rFonts w:ascii="Times New Roman" w:hAnsi="Times New Roman"/>
          <w:kern w:val="0"/>
          <w:sz w:val="24"/>
        </w:rPr>
        <w:t>200</w:t>
      </w:r>
      <w:r>
        <w:rPr>
          <w:rFonts w:ascii="Times New Roman" w:hAnsi="Times New Roman"/>
          <w:kern w:val="0"/>
          <w:sz w:val="24"/>
        </w:rPr>
        <w:t>人或基金资产净值低于</w:t>
      </w:r>
      <w:r>
        <w:rPr>
          <w:rFonts w:ascii="Times New Roman" w:hAnsi="Times New Roman"/>
          <w:kern w:val="0"/>
          <w:sz w:val="24"/>
        </w:rPr>
        <w:t>5000</w:t>
      </w:r>
      <w:r>
        <w:rPr>
          <w:rFonts w:ascii="Times New Roman" w:hAnsi="Times New Roman"/>
          <w:kern w:val="0"/>
          <w:sz w:val="24"/>
        </w:rPr>
        <w:t>万元情形时基金管理人可依基金合同约定提前终止基金合同的风险；投资本基金的其他风险等等。</w:t>
      </w:r>
    </w:p>
    <w:p w:rsidR="00DB7585" w:rsidRDefault="00966A29">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rsidR="00DB7585" w:rsidRDefault="00966A29">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rsidR="00DB7585" w:rsidRDefault="00966A29">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lastRenderedPageBreak/>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rsidR="00DB7585" w:rsidRDefault="00966A29">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本基金是一只混合型基金，其预期风险和预期收益高于债券型基金和货币市场基金，低于股票型基金。</w:t>
      </w:r>
    </w:p>
    <w:p w:rsidR="00DB7585" w:rsidRDefault="00966A29">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本基金投资内地与香港股票市场交易互联互通机制允许买卖的规定范围内的香港联合交易所有限公司（以下简称</w:t>
      </w:r>
      <w:r>
        <w:rPr>
          <w:rFonts w:ascii="Times New Roman" w:hAnsi="Times New Roman"/>
          <w:kern w:val="0"/>
          <w:sz w:val="24"/>
        </w:rPr>
        <w:t>“</w:t>
      </w:r>
      <w:r>
        <w:rPr>
          <w:rFonts w:ascii="Times New Roman" w:hAnsi="Times New Roman"/>
          <w:kern w:val="0"/>
          <w:sz w:val="24"/>
        </w:rPr>
        <w:t>香港联合交易所</w:t>
      </w:r>
      <w:r>
        <w:rPr>
          <w:rFonts w:ascii="Times New Roman" w:hAnsi="Times New Roman"/>
          <w:kern w:val="0"/>
          <w:sz w:val="24"/>
        </w:rPr>
        <w:t>”</w:t>
      </w:r>
      <w:r>
        <w:rPr>
          <w:rFonts w:ascii="Times New Roman" w:hAnsi="Times New Roman"/>
          <w:kern w:val="0"/>
          <w:sz w:val="24"/>
        </w:rPr>
        <w:t>）上市的股票（以下简称</w:t>
      </w:r>
      <w:r>
        <w:rPr>
          <w:rFonts w:ascii="Times New Roman" w:hAnsi="Times New Roman"/>
          <w:kern w:val="0"/>
          <w:sz w:val="24"/>
        </w:rPr>
        <w:t>“</w:t>
      </w:r>
      <w:r>
        <w:rPr>
          <w:rFonts w:ascii="Times New Roman" w:hAnsi="Times New Roman"/>
          <w:kern w:val="0"/>
          <w:sz w:val="24"/>
        </w:rPr>
        <w:t>港股通标的股票</w:t>
      </w:r>
      <w:r>
        <w:rPr>
          <w:rFonts w:ascii="Times New Roman" w:hAnsi="Times New Roman"/>
          <w:kern w:val="0"/>
          <w:sz w:val="24"/>
        </w:rPr>
        <w:t>”</w:t>
      </w:r>
      <w:r>
        <w:rPr>
          <w:rFonts w:ascii="Times New Roman" w:hAnsi="Times New Roman"/>
          <w:kern w:val="0"/>
          <w:sz w:val="24"/>
        </w:rPr>
        <w:t>）的，会面临港股通机制下因投资环境、投资标的、市场制度以及交易规则等差异带来的特有风险，包括港股市场股价波动较大的风险（港股市场实行</w:t>
      </w:r>
      <w:r>
        <w:rPr>
          <w:rFonts w:ascii="Times New Roman" w:hAnsi="Times New Roman"/>
          <w:kern w:val="0"/>
          <w:sz w:val="24"/>
        </w:rPr>
        <w:t>T+0</w:t>
      </w:r>
      <w:r>
        <w:rPr>
          <w:rFonts w:ascii="Times New Roman" w:hAnsi="Times New Roman"/>
          <w:kern w:val="0"/>
          <w:sz w:val="24"/>
        </w:rPr>
        <w:t>回转交易，且对个股不设涨跌幅限制，港股股价可能表现出比</w:t>
      </w:r>
      <w:r>
        <w:rPr>
          <w:rFonts w:ascii="Times New Roman" w:hAnsi="Times New Roman"/>
          <w:kern w:val="0"/>
          <w:sz w:val="24"/>
        </w:rPr>
        <w:t>A</w:t>
      </w:r>
      <w:r>
        <w:rPr>
          <w:rFonts w:ascii="Times New Roman" w:hAnsi="Times New Roman"/>
          <w:kern w:val="0"/>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w:t>
      </w:r>
      <w:r>
        <w:rPr>
          <w:rFonts w:ascii="Times New Roman" w:hAnsi="Times New Roman"/>
          <w:kern w:val="0"/>
          <w:sz w:val="24"/>
        </w:rPr>
        <w:t>“</w:t>
      </w:r>
      <w:r>
        <w:rPr>
          <w:rFonts w:ascii="Times New Roman" w:hAnsi="Times New Roman"/>
          <w:kern w:val="0"/>
          <w:sz w:val="24"/>
        </w:rPr>
        <w:t>风险揭示</w:t>
      </w:r>
      <w:r>
        <w:rPr>
          <w:rFonts w:ascii="Times New Roman" w:hAnsi="Times New Roman"/>
          <w:kern w:val="0"/>
          <w:sz w:val="24"/>
        </w:rPr>
        <w:t>”</w:t>
      </w:r>
      <w:r>
        <w:rPr>
          <w:rFonts w:ascii="Times New Roman" w:hAnsi="Times New Roman"/>
          <w:kern w:val="0"/>
          <w:sz w:val="24"/>
        </w:rPr>
        <w:t>章节的具体内容。</w:t>
      </w:r>
    </w:p>
    <w:p w:rsidR="00DB7585" w:rsidRDefault="00966A29">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基金可根据投资策略需要或不同配置地市场环境的变化，选择将部分基金资产投资于港股或选择不将基金资产投资于港股，基金资产并非必然投资港股。</w:t>
      </w:r>
    </w:p>
    <w:p w:rsidR="00DB7585" w:rsidRDefault="00966A29">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w:t>
      </w:r>
      <w:r>
        <w:rPr>
          <w:rFonts w:ascii="Times New Roman" w:hAnsi="Times New Roman"/>
          <w:kern w:val="0"/>
          <w:sz w:val="24"/>
        </w:rPr>
        <w:t>“</w:t>
      </w:r>
      <w:r>
        <w:rPr>
          <w:rFonts w:ascii="Times New Roman" w:hAnsi="Times New Roman"/>
          <w:kern w:val="0"/>
          <w:sz w:val="24"/>
        </w:rPr>
        <w:t>风险揭示</w:t>
      </w:r>
      <w:r>
        <w:rPr>
          <w:rFonts w:ascii="Times New Roman" w:hAnsi="Times New Roman"/>
          <w:kern w:val="0"/>
          <w:sz w:val="24"/>
        </w:rPr>
        <w:t>”</w:t>
      </w:r>
      <w:r>
        <w:rPr>
          <w:rFonts w:ascii="Times New Roman" w:hAnsi="Times New Roman"/>
          <w:kern w:val="0"/>
          <w:sz w:val="24"/>
        </w:rPr>
        <w:t>章节内容。</w:t>
      </w:r>
    </w:p>
    <w:p w:rsidR="00DB7585" w:rsidRDefault="00966A29">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本基金可根据投资策略需要或市场环境的变化，选择将部分基金资产投资于存托凭证或选择不将基金资产投资于存托凭证，基金资产并非必然投资存托凭证。</w:t>
      </w:r>
    </w:p>
    <w:p w:rsidR="00DB7585" w:rsidRDefault="00966A29">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投资有风险，投资人在投资本基金前应认真阅读本基金的招募说明书、基金合同、基金产品资料概要等信息披露文件，自主判断基金的投资价值，自主作出投资决策，自行承担投资风险。基金的过往业绩并不代表未来表现。基金管理人管理的其他基金的业绩并不构成对本基金业绩表现的保证。基金管理人提醒投资者基金投资的</w:t>
      </w:r>
      <w:r>
        <w:rPr>
          <w:rFonts w:ascii="Times New Roman" w:hAnsi="Times New Roman"/>
          <w:kern w:val="0"/>
          <w:sz w:val="24"/>
        </w:rPr>
        <w:t>“</w:t>
      </w:r>
      <w:r>
        <w:rPr>
          <w:rFonts w:ascii="Times New Roman" w:hAnsi="Times New Roman"/>
          <w:kern w:val="0"/>
          <w:sz w:val="24"/>
        </w:rPr>
        <w:t>买者自负</w:t>
      </w:r>
      <w:r>
        <w:rPr>
          <w:rFonts w:ascii="Times New Roman" w:hAnsi="Times New Roman"/>
          <w:kern w:val="0"/>
          <w:sz w:val="24"/>
        </w:rPr>
        <w:t>”</w:t>
      </w:r>
      <w:r>
        <w:rPr>
          <w:rFonts w:ascii="Times New Roman" w:hAnsi="Times New Roman"/>
          <w:kern w:val="0"/>
          <w:sz w:val="24"/>
        </w:rPr>
        <w:t>原则，在投资者作出投资决策后，基金运营状况与基金净值变化引致的投资风险，由投资者自行负责。</w:t>
      </w:r>
    </w:p>
    <w:p w:rsidR="00DB7585" w:rsidRDefault="00966A29">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本基金单一投资者持有基金份额数不得超过基金份额总数的</w:t>
      </w:r>
      <w:r>
        <w:rPr>
          <w:rFonts w:ascii="Times New Roman" w:hAnsi="Times New Roman"/>
          <w:kern w:val="0"/>
          <w:sz w:val="24"/>
        </w:rPr>
        <w:t>50%</w:t>
      </w:r>
      <w:r>
        <w:rPr>
          <w:rFonts w:ascii="Times New Roman" w:hAnsi="Times New Roman"/>
          <w:kern w:val="0"/>
          <w:sz w:val="24"/>
        </w:rPr>
        <w:t>，但在基金</w:t>
      </w:r>
      <w:r>
        <w:rPr>
          <w:rFonts w:ascii="Times New Roman" w:hAnsi="Times New Roman"/>
          <w:kern w:val="0"/>
          <w:sz w:val="24"/>
        </w:rPr>
        <w:lastRenderedPageBreak/>
        <w:t>运作过程中因基金份额赎回等情形导致被动超过前述</w:t>
      </w:r>
      <w:r>
        <w:rPr>
          <w:rFonts w:ascii="Times New Roman" w:hAnsi="Times New Roman"/>
          <w:kern w:val="0"/>
          <w:sz w:val="24"/>
        </w:rPr>
        <w:t>50%</w:t>
      </w:r>
      <w:r>
        <w:rPr>
          <w:rFonts w:ascii="Times New Roman" w:hAnsi="Times New Roman"/>
          <w:kern w:val="0"/>
          <w:sz w:val="24"/>
        </w:rPr>
        <w:t>比例的除外。</w:t>
      </w:r>
    </w:p>
    <w:p w:rsidR="00DB7585" w:rsidRDefault="00966A29">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本招募说明书所载内容截止日为</w:t>
      </w:r>
      <w:r>
        <w:rPr>
          <w:rFonts w:ascii="Times New Roman" w:hAnsi="Times New Roman"/>
          <w:kern w:val="0"/>
          <w:sz w:val="24"/>
        </w:rPr>
        <w:t>2023</w:t>
      </w:r>
      <w:r>
        <w:rPr>
          <w:rFonts w:ascii="Times New Roman" w:hAnsi="Times New Roman"/>
          <w:kern w:val="0"/>
          <w:sz w:val="24"/>
        </w:rPr>
        <w:t>年</w:t>
      </w:r>
      <w:r>
        <w:rPr>
          <w:rFonts w:ascii="Times New Roman" w:hAnsi="Times New Roman"/>
          <w:kern w:val="0"/>
          <w:sz w:val="24"/>
        </w:rPr>
        <w:t>09</w:t>
      </w:r>
      <w:r>
        <w:rPr>
          <w:rFonts w:ascii="Times New Roman" w:hAnsi="Times New Roman"/>
          <w:kern w:val="0"/>
          <w:sz w:val="24"/>
        </w:rPr>
        <w:t>月</w:t>
      </w:r>
      <w:r>
        <w:rPr>
          <w:rFonts w:ascii="Times New Roman" w:hAnsi="Times New Roman"/>
          <w:kern w:val="0"/>
          <w:sz w:val="24"/>
        </w:rPr>
        <w:t>10</w:t>
      </w:r>
      <w:r>
        <w:rPr>
          <w:rFonts w:ascii="Times New Roman" w:hAnsi="Times New Roman"/>
          <w:kern w:val="0"/>
          <w:sz w:val="24"/>
        </w:rPr>
        <w:t>日，有关财务数据和净值表现截止日为</w:t>
      </w:r>
      <w:r>
        <w:rPr>
          <w:rFonts w:ascii="Times New Roman" w:hAnsi="Times New Roman"/>
          <w:kern w:val="0"/>
          <w:sz w:val="24"/>
        </w:rPr>
        <w:t>2023</w:t>
      </w:r>
      <w:r>
        <w:rPr>
          <w:rFonts w:ascii="Times New Roman" w:hAnsi="Times New Roman"/>
          <w:kern w:val="0"/>
          <w:sz w:val="24"/>
        </w:rPr>
        <w:t>年</w:t>
      </w:r>
      <w:r>
        <w:rPr>
          <w:rFonts w:ascii="Times New Roman" w:hAnsi="Times New Roman"/>
          <w:kern w:val="0"/>
          <w:sz w:val="24"/>
        </w:rPr>
        <w:t>06</w:t>
      </w:r>
      <w:r>
        <w:rPr>
          <w:rFonts w:ascii="Times New Roman" w:hAnsi="Times New Roman"/>
          <w:kern w:val="0"/>
          <w:sz w:val="24"/>
        </w:rPr>
        <w:t>月</w:t>
      </w:r>
      <w:r>
        <w:rPr>
          <w:rFonts w:ascii="Times New Roman" w:hAnsi="Times New Roman"/>
          <w:kern w:val="0"/>
          <w:sz w:val="24"/>
        </w:rPr>
        <w:t>30</w:t>
      </w:r>
      <w:r>
        <w:rPr>
          <w:rFonts w:ascii="Times New Roman" w:hAnsi="Times New Roman"/>
          <w:kern w:val="0"/>
          <w:sz w:val="24"/>
        </w:rPr>
        <w:t>日。本招募说明书所载的财务数据未经审计。</w:t>
      </w:r>
    </w:p>
    <w:p w:rsidR="00DB7585" w:rsidRDefault="00DB7585">
      <w:pPr>
        <w:autoSpaceDE w:val="0"/>
        <w:autoSpaceDN w:val="0"/>
        <w:adjustRightInd w:val="0"/>
        <w:snapToGrid w:val="0"/>
        <w:spacing w:before="51" w:line="360" w:lineRule="auto"/>
        <w:ind w:left="120" w:rightChars="6" w:right="13" w:firstLine="480"/>
        <w:rPr>
          <w:rFonts w:ascii="宋体" w:hAnsi="宋体"/>
          <w:kern w:val="0"/>
          <w:szCs w:val="24"/>
        </w:rPr>
        <w:sectPr w:rsidR="00DB7585">
          <w:headerReference w:type="default" r:id="rId12"/>
          <w:pgSz w:w="11920" w:h="16840"/>
          <w:pgMar w:top="1440" w:right="1680" w:bottom="280" w:left="1680" w:header="0" w:footer="1073" w:gutter="0"/>
          <w:pgNumType w:start="1"/>
          <w:cols w:space="720"/>
        </w:sectPr>
      </w:pPr>
    </w:p>
    <w:p w:rsidR="004B540B" w:rsidRPr="004B540B" w:rsidRDefault="00966A29" w:rsidP="004B540B">
      <w:pPr>
        <w:pStyle w:val="af3"/>
        <w:snapToGrid w:val="0"/>
        <w:spacing w:after="240" w:line="360" w:lineRule="auto"/>
        <w:jc w:val="center"/>
        <w:rPr>
          <w:rFonts w:ascii="宋体" w:hAnsi="宋体"/>
          <w:noProof/>
          <w:sz w:val="24"/>
        </w:rPr>
      </w:pPr>
      <w:r w:rsidRPr="004B540B">
        <w:rPr>
          <w:rFonts w:ascii="宋体" w:hAnsi="宋体"/>
          <w:color w:val="000000"/>
          <w:position w:val="-4"/>
          <w:sz w:val="24"/>
          <w:szCs w:val="30"/>
        </w:rPr>
        <w:lastRenderedPageBreak/>
        <w:t>目</w:t>
      </w:r>
      <w:r w:rsidRPr="004B540B">
        <w:rPr>
          <w:rFonts w:ascii="宋体" w:hAnsi="宋体"/>
          <w:color w:val="000000"/>
          <w:position w:val="-4"/>
          <w:sz w:val="24"/>
          <w:szCs w:val="30"/>
        </w:rPr>
        <w:tab/>
        <w:t>录</w:t>
      </w:r>
      <w:r w:rsidR="004B540B" w:rsidRPr="004B540B">
        <w:rPr>
          <w:rFonts w:ascii="宋体" w:hAnsi="宋体"/>
          <w:color w:val="000000"/>
          <w:position w:val="-4"/>
          <w:sz w:val="24"/>
          <w:szCs w:val="30"/>
        </w:rPr>
        <w:fldChar w:fldCharType="begin"/>
      </w:r>
      <w:r w:rsidR="004B540B" w:rsidRPr="004B540B">
        <w:rPr>
          <w:rFonts w:ascii="宋体" w:hAnsi="宋体"/>
          <w:color w:val="000000"/>
          <w:position w:val="-4"/>
          <w:sz w:val="24"/>
          <w:szCs w:val="30"/>
        </w:rPr>
        <w:instrText xml:space="preserve"> TOC \o "1-3" \f - \h \t "-1" </w:instrText>
      </w:r>
      <w:r w:rsidR="004B540B" w:rsidRPr="004B540B">
        <w:rPr>
          <w:rFonts w:ascii="宋体" w:hAnsi="宋体"/>
          <w:color w:val="000000"/>
          <w:position w:val="-4"/>
          <w:sz w:val="24"/>
          <w:szCs w:val="30"/>
        </w:rPr>
        <w:fldChar w:fldCharType="separate"/>
      </w:r>
    </w:p>
    <w:p w:rsidR="004B540B" w:rsidRPr="001216D0" w:rsidRDefault="00843D30" w:rsidP="004B540B">
      <w:pPr>
        <w:pStyle w:val="11"/>
        <w:tabs>
          <w:tab w:val="right" w:leader="dot" w:pos="8550"/>
        </w:tabs>
        <w:spacing w:line="360" w:lineRule="auto"/>
        <w:rPr>
          <w:rFonts w:ascii="宋体" w:hAnsi="宋体"/>
          <w:noProof/>
          <w:sz w:val="24"/>
        </w:rPr>
      </w:pPr>
      <w:hyperlink w:anchor="_Toc147846753" w:history="1">
        <w:r w:rsidR="004B540B" w:rsidRPr="004B540B">
          <w:rPr>
            <w:rStyle w:val="af0"/>
            <w:rFonts w:ascii="宋体" w:hAnsi="宋体" w:hint="eastAsia"/>
            <w:noProof/>
            <w:kern w:val="0"/>
            <w:sz w:val="24"/>
          </w:rPr>
          <w:t>重要提示</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_Toc147846753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1</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54" w:history="1">
        <w:r w:rsidR="004B540B" w:rsidRPr="004B540B">
          <w:rPr>
            <w:rStyle w:val="af0"/>
            <w:rFonts w:ascii="宋体" w:hAnsi="宋体" w:hint="eastAsia"/>
            <w:noProof/>
            <w:sz w:val="24"/>
          </w:rPr>
          <w:t>一、绪言</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_Toc147846754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5</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55" w:history="1">
        <w:r w:rsidR="004B540B" w:rsidRPr="004B540B">
          <w:rPr>
            <w:rStyle w:val="af0"/>
            <w:rFonts w:ascii="宋体" w:hAnsi="宋体" w:hint="eastAsia"/>
            <w:noProof/>
            <w:sz w:val="24"/>
          </w:rPr>
          <w:t>二、释义</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_Toc147846755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6</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56" w:history="1">
        <w:r w:rsidR="004B540B" w:rsidRPr="004B540B">
          <w:rPr>
            <w:rStyle w:val="af0"/>
            <w:rFonts w:ascii="宋体" w:hAnsi="宋体" w:hint="eastAsia"/>
            <w:noProof/>
            <w:sz w:val="24"/>
          </w:rPr>
          <w:t>三、基金管理人</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_Toc147846756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11</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57" w:history="1">
        <w:r w:rsidR="004B540B" w:rsidRPr="004B540B">
          <w:rPr>
            <w:rStyle w:val="af0"/>
            <w:rFonts w:ascii="宋体" w:hAnsi="宋体" w:hint="eastAsia"/>
            <w:noProof/>
            <w:sz w:val="24"/>
          </w:rPr>
          <w:t>四、基金托管人</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_Toc147846757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19</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58" w:history="1">
        <w:r w:rsidR="004B540B" w:rsidRPr="004B540B">
          <w:rPr>
            <w:rStyle w:val="af0"/>
            <w:rFonts w:ascii="宋体" w:hAnsi="宋体" w:hint="eastAsia"/>
            <w:noProof/>
            <w:sz w:val="24"/>
          </w:rPr>
          <w:t>五、相关服务机构</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_Toc147846758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23</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59" w:history="1">
        <w:r w:rsidR="004B540B" w:rsidRPr="004B540B">
          <w:rPr>
            <w:rStyle w:val="af0"/>
            <w:rFonts w:ascii="宋体" w:hAnsi="宋体" w:hint="eastAsia"/>
            <w:noProof/>
            <w:sz w:val="24"/>
          </w:rPr>
          <w:t>六、基金的募集</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_Toc147846759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30</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60" w:history="1">
        <w:r w:rsidR="004B540B" w:rsidRPr="004B540B">
          <w:rPr>
            <w:rStyle w:val="af0"/>
            <w:rFonts w:ascii="宋体" w:hAnsi="宋体" w:hint="eastAsia"/>
            <w:noProof/>
            <w:sz w:val="24"/>
          </w:rPr>
          <w:t>七、基金合同的生效</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_Toc147846760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31</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61" w:history="1">
        <w:r w:rsidR="004B540B" w:rsidRPr="004B540B">
          <w:rPr>
            <w:rStyle w:val="af0"/>
            <w:rFonts w:ascii="宋体" w:hAnsi="宋体" w:hint="eastAsia"/>
            <w:noProof/>
            <w:sz w:val="24"/>
          </w:rPr>
          <w:t>八、基金份额的申购与赎回</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_Toc147846761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32</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62" w:history="1">
        <w:r w:rsidR="004B540B" w:rsidRPr="004B540B">
          <w:rPr>
            <w:rStyle w:val="af0"/>
            <w:rFonts w:ascii="宋体" w:hAnsi="宋体" w:hint="eastAsia"/>
            <w:noProof/>
            <w:sz w:val="24"/>
          </w:rPr>
          <w:t>九、基金的转换</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_Toc147846762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46</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63" w:history="1">
        <w:r w:rsidR="004B540B" w:rsidRPr="004B540B">
          <w:rPr>
            <w:rStyle w:val="af0"/>
            <w:rFonts w:ascii="宋体" w:hAnsi="宋体" w:hint="eastAsia"/>
            <w:noProof/>
            <w:sz w:val="24"/>
          </w:rPr>
          <w:t>十、基金的投资</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_Toc147846763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53</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64" w:history="1">
        <w:r w:rsidR="004B540B" w:rsidRPr="004B540B">
          <w:rPr>
            <w:rStyle w:val="af0"/>
            <w:rFonts w:ascii="宋体" w:hAnsi="宋体" w:hint="eastAsia"/>
            <w:noProof/>
            <w:sz w:val="24"/>
          </w:rPr>
          <w:t>十一、基金的业绩</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_Toc147846764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67</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65" w:history="1">
        <w:r w:rsidR="004B540B" w:rsidRPr="004B540B">
          <w:rPr>
            <w:rStyle w:val="af0"/>
            <w:rFonts w:ascii="宋体" w:hAnsi="宋体" w:hint="eastAsia"/>
            <w:noProof/>
            <w:sz w:val="24"/>
          </w:rPr>
          <w:t>十二、基金的财产</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_Toc147846765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70</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66" w:history="1">
        <w:r w:rsidR="004B540B" w:rsidRPr="004B540B">
          <w:rPr>
            <w:rStyle w:val="af0"/>
            <w:rFonts w:ascii="宋体" w:hAnsi="宋体" w:hint="eastAsia"/>
            <w:noProof/>
            <w:sz w:val="24"/>
          </w:rPr>
          <w:t>十三、基金资产的估值</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_Toc147846766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71</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67" w:history="1">
        <w:r w:rsidR="004B540B" w:rsidRPr="004B540B">
          <w:rPr>
            <w:rStyle w:val="af0"/>
            <w:rFonts w:ascii="宋体" w:hAnsi="宋体" w:hint="eastAsia"/>
            <w:noProof/>
            <w:sz w:val="24"/>
          </w:rPr>
          <w:t>十四、基金收益与分配</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_Toc147846767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78</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68" w:history="1">
        <w:r w:rsidR="004B540B" w:rsidRPr="004B540B">
          <w:rPr>
            <w:rStyle w:val="af0"/>
            <w:rFonts w:ascii="宋体" w:hAnsi="宋体" w:hint="eastAsia"/>
            <w:noProof/>
            <w:sz w:val="24"/>
          </w:rPr>
          <w:t>十五、基金的费用与税收</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_Toc147846768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80</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69" w:history="1">
        <w:r w:rsidR="004B540B" w:rsidRPr="004B540B">
          <w:rPr>
            <w:rStyle w:val="af0"/>
            <w:rFonts w:ascii="宋体" w:hAnsi="宋体" w:hint="eastAsia"/>
            <w:noProof/>
            <w:sz w:val="24"/>
          </w:rPr>
          <w:t>十六、基金的会计与审计</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_Toc147846769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83</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70" w:history="1">
        <w:r w:rsidR="004B540B" w:rsidRPr="004B540B">
          <w:rPr>
            <w:rStyle w:val="af0"/>
            <w:rFonts w:ascii="宋体" w:hAnsi="宋体" w:hint="eastAsia"/>
            <w:noProof/>
            <w:sz w:val="24"/>
          </w:rPr>
          <w:t>十七、基金的信息披露</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_Toc147846770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84</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71" w:history="1">
        <w:r w:rsidR="004B540B" w:rsidRPr="004B540B">
          <w:rPr>
            <w:rStyle w:val="af0"/>
            <w:rFonts w:ascii="宋体" w:hAnsi="宋体" w:hint="eastAsia"/>
            <w:noProof/>
            <w:sz w:val="24"/>
          </w:rPr>
          <w:t>十八、侧袋机制</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_Toc147846771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91</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72" w:history="1">
        <w:r w:rsidR="004B540B" w:rsidRPr="004B540B">
          <w:rPr>
            <w:rStyle w:val="af0"/>
            <w:rFonts w:ascii="宋体" w:hAnsi="宋体" w:hint="eastAsia"/>
            <w:noProof/>
            <w:sz w:val="24"/>
          </w:rPr>
          <w:t>十九、风险揭示</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_Toc147846772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94</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73" w:history="1">
        <w:r w:rsidR="004B540B" w:rsidRPr="004B540B">
          <w:rPr>
            <w:rStyle w:val="af0"/>
            <w:rFonts w:ascii="宋体" w:hAnsi="宋体" w:hint="eastAsia"/>
            <w:noProof/>
            <w:sz w:val="24"/>
          </w:rPr>
          <w:t>二十、基金合同的变更、终止与基金财产的清算</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_Toc147846773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104</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74" w:history="1">
        <w:r w:rsidR="004B540B" w:rsidRPr="004B540B">
          <w:rPr>
            <w:rStyle w:val="af0"/>
            <w:rFonts w:ascii="宋体" w:hAnsi="宋体" w:hint="eastAsia"/>
            <w:noProof/>
            <w:sz w:val="24"/>
          </w:rPr>
          <w:t>二十一、基金合同内容摘要</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_Toc147846774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106</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75" w:history="1">
        <w:r w:rsidR="004B540B" w:rsidRPr="004B540B">
          <w:rPr>
            <w:rStyle w:val="af0"/>
            <w:rFonts w:ascii="宋体" w:hAnsi="宋体" w:hint="eastAsia"/>
            <w:noProof/>
            <w:sz w:val="24"/>
          </w:rPr>
          <w:t>二十二、托管协议的内容摘要</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_Toc147846775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123</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76" w:history="1">
        <w:r w:rsidR="004B540B" w:rsidRPr="004B540B">
          <w:rPr>
            <w:rStyle w:val="af0"/>
            <w:rFonts w:ascii="宋体" w:hAnsi="宋体" w:hint="eastAsia"/>
            <w:noProof/>
            <w:sz w:val="24"/>
          </w:rPr>
          <w:t>二十三、对基金份额持有人的服务</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_Toc147846776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143</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77" w:history="1">
        <w:r w:rsidR="004B540B" w:rsidRPr="004B540B">
          <w:rPr>
            <w:rStyle w:val="af0"/>
            <w:rFonts w:ascii="宋体" w:hAnsi="宋体" w:hint="eastAsia"/>
            <w:noProof/>
            <w:sz w:val="24"/>
          </w:rPr>
          <w:t>二十四、其他应披露事项</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_Toc147846777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145</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78" w:history="1">
        <w:r w:rsidR="004B540B" w:rsidRPr="004B540B">
          <w:rPr>
            <w:rStyle w:val="af0"/>
            <w:rFonts w:ascii="宋体" w:hAnsi="宋体" w:hint="eastAsia"/>
            <w:noProof/>
            <w:sz w:val="24"/>
          </w:rPr>
          <w:t>二十五、招募说明书的存放及查阅方式</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_Toc147846778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147</w:t>
        </w:r>
        <w:r w:rsidR="004B540B" w:rsidRPr="004B540B">
          <w:rPr>
            <w:rFonts w:ascii="宋体" w:hAnsi="宋体"/>
            <w:noProof/>
            <w:sz w:val="24"/>
          </w:rPr>
          <w:fldChar w:fldCharType="end"/>
        </w:r>
      </w:hyperlink>
    </w:p>
    <w:p w:rsidR="004B540B" w:rsidRPr="001216D0" w:rsidRDefault="00843D30" w:rsidP="004B540B">
      <w:pPr>
        <w:pStyle w:val="11"/>
        <w:tabs>
          <w:tab w:val="right" w:leader="dot" w:pos="8550"/>
        </w:tabs>
        <w:spacing w:line="360" w:lineRule="auto"/>
        <w:rPr>
          <w:rFonts w:ascii="宋体" w:hAnsi="宋体"/>
          <w:noProof/>
          <w:sz w:val="24"/>
        </w:rPr>
      </w:pPr>
      <w:hyperlink w:anchor="_Toc147846779" w:history="1">
        <w:r w:rsidR="004B540B" w:rsidRPr="004B540B">
          <w:rPr>
            <w:rStyle w:val="af0"/>
            <w:rFonts w:ascii="宋体" w:hAnsi="宋体" w:hint="eastAsia"/>
            <w:noProof/>
            <w:sz w:val="24"/>
          </w:rPr>
          <w:t>二十六、备查文件</w:t>
        </w:r>
        <w:r w:rsidR="004B540B" w:rsidRPr="004B540B">
          <w:rPr>
            <w:rFonts w:ascii="宋体" w:hAnsi="宋体"/>
            <w:noProof/>
            <w:sz w:val="24"/>
          </w:rPr>
          <w:tab/>
        </w:r>
        <w:r w:rsidR="004B540B" w:rsidRPr="004B540B">
          <w:rPr>
            <w:rFonts w:ascii="宋体" w:hAnsi="宋体"/>
            <w:noProof/>
            <w:sz w:val="24"/>
          </w:rPr>
          <w:fldChar w:fldCharType="begin"/>
        </w:r>
        <w:r w:rsidR="004B540B" w:rsidRPr="004B540B">
          <w:rPr>
            <w:rFonts w:ascii="宋体" w:hAnsi="宋体"/>
            <w:noProof/>
            <w:sz w:val="24"/>
          </w:rPr>
          <w:instrText xml:space="preserve"> PAGEREF _Toc147846779 \h </w:instrText>
        </w:r>
        <w:r w:rsidR="004B540B" w:rsidRPr="004B540B">
          <w:rPr>
            <w:rFonts w:ascii="宋体" w:hAnsi="宋体"/>
            <w:noProof/>
            <w:sz w:val="24"/>
          </w:rPr>
        </w:r>
        <w:r w:rsidR="004B540B" w:rsidRPr="004B540B">
          <w:rPr>
            <w:rFonts w:ascii="宋体" w:hAnsi="宋体"/>
            <w:noProof/>
            <w:sz w:val="24"/>
          </w:rPr>
          <w:fldChar w:fldCharType="separate"/>
        </w:r>
        <w:r w:rsidR="004B540B" w:rsidRPr="004B540B">
          <w:rPr>
            <w:rFonts w:ascii="宋体" w:hAnsi="宋体"/>
            <w:noProof/>
            <w:sz w:val="24"/>
          </w:rPr>
          <w:t>148</w:t>
        </w:r>
        <w:r w:rsidR="004B540B" w:rsidRPr="004B540B">
          <w:rPr>
            <w:rFonts w:ascii="宋体" w:hAnsi="宋体"/>
            <w:noProof/>
            <w:sz w:val="24"/>
          </w:rPr>
          <w:fldChar w:fldCharType="end"/>
        </w:r>
      </w:hyperlink>
    </w:p>
    <w:p w:rsidR="00DB7585" w:rsidRPr="004B540B" w:rsidRDefault="004B540B" w:rsidP="004B540B">
      <w:pPr>
        <w:pStyle w:val="af3"/>
        <w:snapToGrid w:val="0"/>
        <w:spacing w:after="240" w:line="360" w:lineRule="auto"/>
        <w:jc w:val="center"/>
        <w:rPr>
          <w:rFonts w:ascii="宋体" w:hAnsi="宋体"/>
          <w:color w:val="000000"/>
          <w:sz w:val="24"/>
        </w:rPr>
      </w:pPr>
      <w:r w:rsidRPr="004B540B">
        <w:rPr>
          <w:rFonts w:ascii="宋体" w:hAnsi="宋体"/>
          <w:color w:val="000000"/>
          <w:position w:val="-4"/>
          <w:sz w:val="24"/>
          <w:szCs w:val="30"/>
        </w:rPr>
        <w:lastRenderedPageBreak/>
        <w:fldChar w:fldCharType="end"/>
      </w:r>
    </w:p>
    <w:p w:rsidR="00DB7585" w:rsidRDefault="00DB7585">
      <w:pPr>
        <w:autoSpaceDE w:val="0"/>
        <w:autoSpaceDN w:val="0"/>
        <w:adjustRightInd w:val="0"/>
        <w:snapToGrid w:val="0"/>
        <w:spacing w:line="360" w:lineRule="auto"/>
        <w:ind w:left="120" w:rightChars="6" w:right="13"/>
        <w:rPr>
          <w:rFonts w:ascii="宋体" w:hAnsi="宋体"/>
          <w:kern w:val="0"/>
          <w:szCs w:val="24"/>
        </w:rPr>
        <w:sectPr w:rsidR="00DB7585">
          <w:pgSz w:w="11920" w:h="16840"/>
          <w:pgMar w:top="1480" w:right="1680" w:bottom="280" w:left="1680" w:header="0" w:footer="1073" w:gutter="0"/>
          <w:cols w:space="720"/>
        </w:sectPr>
      </w:pPr>
    </w:p>
    <w:p w:rsidR="00DB7585" w:rsidRDefault="00966A29">
      <w:pPr>
        <w:pStyle w:val="1"/>
        <w:snapToGrid w:val="0"/>
        <w:spacing w:beforeLines="0" w:before="240" w:after="240"/>
        <w:rPr>
          <w:rFonts w:ascii="宋体" w:hAnsi="宋体"/>
          <w:szCs w:val="30"/>
        </w:rPr>
      </w:pPr>
      <w:bookmarkStart w:id="3" w:name="_Toc147846754"/>
      <w:r>
        <w:rPr>
          <w:rFonts w:ascii="Times New Roman" w:hAnsi="Times New Roman"/>
          <w:sz w:val="30"/>
        </w:rPr>
        <w:lastRenderedPageBreak/>
        <w:t>一、绪言</w:t>
      </w:r>
      <w:bookmarkEnd w:id="3"/>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臻选回报混合型证券投资基金招募说明书》（以下简称“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风险管理规定》”）和其他相关法律法规的规定以及《交银施罗德臻选回报混合型证券投资基金基金合同》（以下简称“基金合同”）编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4" w:name="_Toc147846755"/>
      <w:r>
        <w:rPr>
          <w:rFonts w:ascii="Times New Roman" w:hAnsi="Times New Roman"/>
          <w:sz w:val="30"/>
        </w:rPr>
        <w:lastRenderedPageBreak/>
        <w:t>二、释义</w:t>
      </w:r>
      <w:bookmarkEnd w:id="4"/>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在本招募说明书中，除非文意另有所指，下列词语或简称具有如下含义：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1、基金或本基金：指交银施罗德臻选回报混合型证券投资基金</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2、基金管理人：指交银施罗德基金管理有限公司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3、基金托管人：指中信银行股份有限公司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4、基金合同：指《交银施罗德臻选回报混合型证券投资基金基金合同》及对基金合同的任何有效修订和补充</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5、托管协议：指基金管理人与基金托管人就本基金签订之《交银施罗德臻选回报混合型证券投资基金托管协议》及对该托管协议的任何有效修订和补充</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6、招募说明书或本招募说明书：指《交银施罗德臻选回报混合型证券投资基金招募说明书》及其更新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7、基金产品资料概要：指《交银施罗德臻选回报混合型证券投资基金基金产品资料概要》及其更新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8、基金份额发售公告：指《交银施罗德臻选回报混合型证券投资基金基金份额发售公告》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9、法律法规：指中国现行有效并公布实施的法律、行政法规、规范性文件、司法解释、行政规章以及其他对基金合同当事人有约束力的决定、决议、通知等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10、《基金法》：指《中华人民共和国证券投资基金法》及颁布机关对其不时做出的修订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11、《销售办法》：指《证券投资基金销售管理办法》及颁布机关对其不时做出的修订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12、《信息披露办法》：指《公开募集证券投资基金信息披露管理办法》及颁布机关对其不时做出的修订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13、《运作办法》：指《公开募集证券投资基金运作管理办法》及颁布机关对其不时做出的修订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14、《流动性风险管理规定》：指《公开募集开放式证券投资基金流动性风险管理规定》及颁布机关对其不时做出的修订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15、中国证监会：指中国证券监督管理委员会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16、银行业监督管理机构：指中国人民银行和/或中国银行保险监督管理委员</w:t>
      </w:r>
      <w:r>
        <w:rPr>
          <w:rFonts w:ascii="宋体" w:hAnsi="宋体"/>
          <w:sz w:val="24"/>
        </w:rPr>
        <w:lastRenderedPageBreak/>
        <w:t>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17、基金合同当事人：指受基金合同约束，根据基金合同享有权利并承担义务的法律主体，包括基金管理人、基金托管人和基金份额持有人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18、个人投资者：指依据有关法律法规规定可投资于证券投资基金的自然人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19、机构投资者：指依法可以投资证券投资基金的、在中华人民共和国境内合法登记并存续或经有关政府部门批准设立并存续的企业法人、事业法人、社会团体或其他组织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20、合格境外机构投资者：指符合《合格境外机构投资者境内证券投资管理办法》及相关法律法规规定可以投资于在中国境内依法募集的证券投资基金的中国境外的机构投资者</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21、人民币合格境外机构投资者：指按照《人民币合格境外机构投资者境内证券投资试点办法》及相关法律法规规定，运用来自境外的人民币资金进行境内证券投资的境外法人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22、投资人、投资者：指个人投资者、机构投资者、合格境外机构投资者和人民币合格境外机构投资者以及法律法规或中国证监会允许购买证券投资基金的其他投资人的合称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23、基金份额持有人：指依基金合同和招募说明书合法取得基金份额的投资人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24、基金销售业务：指基金管理人或销售机构宣传推介基金，发售基金份额，办理基金份额的申购、赎回、转换、转托管及定期定额投资等业务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25、销售机构：指交银施罗德基金管理有限公司以及符合《销售办法》和中国证监会规定的其他条件，取得基金销售业务资格并与基金管理人签订了基金销售服务协议，办理基金销售业务的机构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27、登记机构：指办理登记业务的机构。基金的登记机构为交银施罗德基金管理有限公司或接受交银施罗德基金管理有限公司委托代为办理登记业务的机构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28、基金账户：指登记机构为投资人开立的、记录其持有的、基金管理人所管理的基金份额余额及其变动情况的账户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29、基金交易账户：指销售机构为投资人开立的、记录投资人通过该销售机构</w:t>
      </w:r>
      <w:r>
        <w:rPr>
          <w:rFonts w:ascii="宋体" w:hAnsi="宋体"/>
          <w:sz w:val="24"/>
        </w:rPr>
        <w:lastRenderedPageBreak/>
        <w:t>办理认购、申购、赎回、转换及转托管等业务而引起的基金份额变动及结余情况的账户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30、基金合同生效日：指基金募集达到法律法规规定及基金合同规定的条件，基金管理人向中国证监会办理基金备案手续完毕，并获得中国证监会书面确认的日期</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31、基金合同终止日：指基金合同规定的基金合同终止事由出现后，基金财产清算完毕，清算结果报中国证监会备案并予以公告的日期</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32、基金募集期：指自基金份额发售之日起至发售结束之日止的期间，最长不得超过3个月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33、存续期：指基金合同生效至终止之间的不定期期限</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34、工作日：指上海证券交易所、深圳证券交易所的正常交易日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35、T日：指销售机构在规定时间受理投资人申购、赎回或其他业务申请的开放日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36、T+n日：指自T日起第n个工作日（不包含T日）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37、开放日：指为投资人办理基金份额申购、赎回或其他业务的工作日（若该工作日为非港股通交易日，则本基金可不开放）</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38、开放时间：指开放日基金接受申购、赎回或其他交易的时间段</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39、《业务规则》：指中国证券登记结算有限责任公司相关业务规则及其不时做出的修订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40、认购：指在基金募集期内，投资人根据基金合同和招募说明书的规定申请购买基金份额的行为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41、申购：指基金合同生效后，投资人根据基金合同和招募说明书的规定申请购买基金份额的行为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42、赎回：指基金合同生效后，基金份额持有人按基金合同和招募说明书规定的条件要求将基金份额兑换为现金的行为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43、基金转换：指基金份额持有人按照基金合同和基金管理人届时有效公告规定的条件，申请将其持有基金管理人管理的、某一基金的基金份额转换为基金管理人管理的其他基金基金份额的行为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44、转托管：指基金份额持有人在本基金的不同销售机构之间实施的变更所持基金份额销售机构的操作</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45、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巨额赎回：指本基金单个开放日，基金净赎回申请（赎回申请份额总数加上基金转换中转出申请份额总数后扣除申购申请份额总数及基金转换中转入申请份额总数后的余额）超过上一开放日基金总份额的10%的情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47、元：指人民币元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48、基金收益：指基金投资所得红利、股息、债券利息、买卖证券价差、银行存款利息、已实现的其他合法收入及因运用基金财产带来的成本和费用的节约</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49、基金资产总值：指基金拥有的各类有价证券、股指期货合约、银行存款本息、基金应收申购款及其他资产的价值总和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50、基金资产净值：指基金资产总值减去基金负债后的价值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51、基金份额净值：指计算日基金资产净值除以计算日基金份额总数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52、基金资产估值：指计算评估基金资产和负债的价值，以确定基金资产净值和基金份额净值的过程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53、销售服务费：指从基金财产中计提的，用于本基金市场推广、销售以及基金份额持有人服务的费用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54、A类基金份额：指在投资人申购时收取申购费用且不从本类别基金资产中计提销售服务费的基金份额</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55、C类基金份额：指在投资人申购时不收取申购费用，并从本类别基金资产中计提销售服务费的基金份额</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56、港股通：指内地投资者委托内地证券公司，经由内地证券交易所在香港设立的证券交易服务公司，向香港联合交易所进行申报，买卖规定范围内的香港联合交易所上市的股票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57、规定媒介：指符合中国证监会规定条件的用以进行信息披露的全国性报刊及《信息披露办法》规定的互联网网站（包括基金管理人网站、基金托管人网站、中国证监会基金电子披露网站）等媒介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w:t>
      </w:r>
      <w:r>
        <w:rPr>
          <w:rFonts w:ascii="宋体" w:hAnsi="宋体"/>
          <w:sz w:val="24"/>
        </w:rPr>
        <w:lastRenderedPageBreak/>
        <w:t>及非公开发行股票、资产支持证券、因发行人债务违约无法进行转让或交易的债券等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59、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60、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61、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62、不可抗力：指基金合同当事人不能预见、不能避免且不能克服的客观事件</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5" w:name="_Toc147846756"/>
      <w:r>
        <w:rPr>
          <w:rFonts w:ascii="Times New Roman" w:hAnsi="Times New Roman"/>
          <w:sz w:val="30"/>
        </w:rPr>
        <w:lastRenderedPageBreak/>
        <w:t>三、基金管理人</w:t>
      </w:r>
      <w:bookmarkEnd w:id="5"/>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（一）基金管理人概况</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联系人：郭佳敏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电话：（021）61055050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传真：（021）61055034</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交银施罗德基金管理有限公司（以下简称“公司”）经中国证监会证监基金字[2005]128号文批准设立。公司股权结构如下：</w:t>
      </w:r>
    </w:p>
    <w:tbl>
      <w:tblPr>
        <w:tblW w:w="5000" w:type="pct"/>
        <w:tblCellMar>
          <w:left w:w="0" w:type="dxa"/>
          <w:right w:w="0" w:type="dxa"/>
        </w:tblCellMar>
        <w:tblLook w:val="0000" w:firstRow="0" w:lastRow="0" w:firstColumn="0" w:lastColumn="0" w:noHBand="0" w:noVBand="0"/>
      </w:tblPr>
      <w:tblGrid>
        <w:gridCol w:w="2162"/>
        <w:gridCol w:w="6488"/>
      </w:tblGrid>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股东名称</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股权比例</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交通银行股份有限公司（以下使用全称或其简称</w:t>
            </w:r>
            <w:r>
              <w:rPr>
                <w:rFonts w:ascii="Times New Roman" w:hAnsi="Times New Roman"/>
                <w:color w:val="000000"/>
                <w:kern w:val="0"/>
                <w:sz w:val="25"/>
                <w:szCs w:val="24"/>
              </w:rPr>
              <w:t>“</w:t>
            </w:r>
            <w:r>
              <w:rPr>
                <w:rFonts w:ascii="Times New Roman" w:hAnsi="Times New Roman"/>
                <w:color w:val="000000"/>
                <w:kern w:val="0"/>
                <w:sz w:val="25"/>
                <w:szCs w:val="24"/>
              </w:rPr>
              <w:t>交通银行</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65%</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施罗德投资管理有限公司</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30%</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中国国际海运集装箱（集团）股份有限公司</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r>
    </w:tbl>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（二）主要成员情况</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1、基金管理人董事会成员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阮红女士，董事长，博士。历任交通银行办公室副处长、处长，交通银行海外机构管理部副总经理、总经理，交通银行上海分行副行长，交通银行资产托管部总经理，交通银行投资管理部总经理，交银施罗德基金管理有限公司总经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童洁萍女士，董事，硕士。现任交通银行总行个人金融业务部副总经理。历任交通银行南京分行个人金融业务部副高级经理、江苏省分行个人金融业务部副总经</w:t>
      </w:r>
      <w:r>
        <w:rPr>
          <w:rFonts w:ascii="宋体" w:hAnsi="宋体"/>
          <w:sz w:val="24"/>
        </w:rPr>
        <w:lastRenderedPageBreak/>
        <w:t>理、总经理、玄武支行行长。</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王贤家先生，董事，学士。现任交通银行总行风险管理部/内控案防办 副总经理。历任交通银行总行国际业务部外汇资金处交易员、澳门分行资金部主管、总行金融市场部债券投资部副高级经理、外汇交易部高级经理。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卫先生，董事，总经理，博士，高级经济师。现任交银施罗德基金管理有限公司总经理，兼任交银施罗德资产管理(香港)有限公司董事长、交银施罗德资产管理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杜伟麒（Chris Durack）先生，董事，硕士。现任施罗德投资亚太区行政总裁。历任施罗德投资澳大利亚董事兼产品及分销主管、香港行政总裁兼亚太区机构业务主管、澳大利亚行政总裁兼亚太区联席主管等职。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章骏翔先生，副董事长，硕士，美国特许金融分析师(CFA)持证人。现任施罗德投资管理(香港)有限公司亚洲投资风险主管。历任渣打银行（香港）交易风险监控，华宝兴业基金管理有限公司风险管理部总经理，法国安盛投资管理（香港）有限公司亚洲风险经理等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郝爱群女士，独立董事，学士。历任人民银行稽核司副处长、处长，合作司调研员，非银司副巡视员、副司长，银监会非银部副主任，银行监管一部副主任、巡视员，汇金公司派出董事。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2、基金管理人监事会成员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梅津芝女士，监事长，学士。高级经济师、审计师。现任交通银行工会办公室</w:t>
      </w:r>
      <w:r>
        <w:rPr>
          <w:rFonts w:ascii="宋体" w:hAnsi="宋体"/>
          <w:sz w:val="24"/>
        </w:rPr>
        <w:lastRenderedPageBreak/>
        <w:t>主任。历任交通银行山西省分行个人金融业务部高级经理，交通银行山西省分行副行长，交通银行个人金融业务部副总经理、私人银行部总经理。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林凯珊女士，监事，硕士。现任施罗德投资管理（香港）有限公司中国内地及中国香港法律部主管。历任香港证券及期货事务监察委员会发牌科经理、的近律师行律师。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刘峥先生，监事，硕士。现任交银施罗德基金管理有限公司综合管理部总经理。历任交通银行上海市分行管理培训生，交通银行总行战略投资部高级投资并购经理，交银施罗德基金管理有限公司总裁办公室高级综合管理经理、副总经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黄伟峰先生，监事，硕士。现任交银施罗德基金管理有限公司市场总监。历任平安人寿保险公司上海分公司行政督导、营销管理经理，交银施罗德基金管理有限公司行政部总经理助理、西部营销中心总经理、机构理财部（上海）总经理兼产品开发部总经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3、基金管理人高级管理人员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谢卫先生，总经理。简历同上。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印皓女士，副总经理，硕士。历任交通银行研究开发部副主管体改规划员，交通银行市场营销部副主管市场规划员、主管市场规划员，交通银行公司业务部副高级经理、高级经理，交通银行机构业务部高级经理、总经理助理、副总经理，交银施罗德资产管理有限公司董事长。</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马俊先生，副总经理，硕士。历任交通银行总行投资管理部高级投资分析、副高级经理，交银施罗德基金管理有限公司总裁办公室总经理、研究部副总经理、研究总监、综合管理部总经理。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4、本基金基金经理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王艺伟女士:基金经理。北京大学经济学硕士，吉林大学经济学学士、理学学士。1</w:t>
      </w:r>
      <w:r w:rsidR="00E71BA8">
        <w:rPr>
          <w:rFonts w:ascii="宋体" w:hAnsi="宋体"/>
          <w:sz w:val="24"/>
        </w:rPr>
        <w:t>1</w:t>
      </w:r>
      <w:r>
        <w:rPr>
          <w:rFonts w:ascii="宋体" w:hAnsi="宋体"/>
          <w:sz w:val="24"/>
        </w:rPr>
        <w:t>年证券投资行业从业经验。2012年至2014年任光大证券研究所宏观分析师。2014年加入交银施罗德基金管理有限公司，曾任研究员、研究部助理总经理、基金经理助理、固定收益部基金经理，</w:t>
      </w:r>
      <w:r w:rsidR="00E34BF7">
        <w:rPr>
          <w:rFonts w:ascii="宋体" w:hAnsi="宋体" w:hint="eastAsia"/>
          <w:sz w:val="24"/>
        </w:rPr>
        <w:t>现任</w:t>
      </w:r>
      <w:r>
        <w:rPr>
          <w:rFonts w:ascii="宋体" w:hAnsi="宋体"/>
          <w:sz w:val="24"/>
        </w:rPr>
        <w:t>混合资产投资助理总监、基金经理。曾任交</w:t>
      </w:r>
      <w:r>
        <w:rPr>
          <w:rFonts w:ascii="宋体" w:hAnsi="宋体"/>
          <w:sz w:val="24"/>
        </w:rPr>
        <w:lastRenderedPageBreak/>
        <w:t>银施罗德荣鑫灵活配置混合型证券投资基金(2019年11月28日至2023年02月16日)、交银施罗德安心收益债券型证券投资基金(2019年11月28日至2022年01月26日)的基金经理。现任交银施罗德瑞鑫六个月持有期混合型证券投资基金(2020年07月09日至今)、交银施罗德恒益灵活配置混合型证券投资基金(2020年07月09日至今)、交银施罗德优选回报灵活配置混合型证券投资基金(2020年07月09日至今)、交银施罗德优择回报灵活配置混合型证券投资基金(2020年07月09日至今)、交银施罗德多策略回报灵活配置混合型证券投资基金(2020年07月09日至今)、交银施罗德周期回报灵活配置混合型证券投资基金(2020年07月09日至今)、交银施罗德新回报灵活配置混合型证券投资基金(2020年07月09日至今)、交银施罗德臻选回报混合型证券投资基金(2020年12月23日至今)的基金经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5、投资决策委员会成员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委员：谢卫（总经理）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马俊（副总经理、研究总监）</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王少成（权益投资总监、基金经理）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于海颖（固定收益（公募）投资总监、基金经理）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王崇（权益投资副总监、权益部一级专家、基金经理）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上述人员之间不存在近亲属关系，上述各项人员信息更新截止日为2023年09月10日，期后变动（如有）敬请关注基金管理人发布的相关公告。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（三）基金管理人的职责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3、对所管理的不同基金财产分别管理、分别记账，进行证券投资；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4、按照基金合同的约定确定基金收益分配方案，及时向基金份额持有人分配收益；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5、进行基金会计核算并编制基金财务会计报告；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6、编制季度报告、中期报告和年度报告；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7、计算并公告基金净值信息，确定基金份额申购、赎回价格；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8、办理与基金财产管理业务活动有关的信息披露事项；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9、按照规定召集基金份额持有人大会；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10、保存基金财产管理业务活动的记录、账册、报表和其他相关资料；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11、以基金管理人名义，代表基金份额持有人利益行使诉讼权利或者实施其他法律行为；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12、有关法律法规和中国证监会规定的其他职责。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（四）基金管理人的承诺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1、基金管理人承诺不从事违反《中华人民共和国证券法》的行为，并承诺建立健全内部控制制度，采取有效措施，防止违反《中华人民共和国证券法》行为的发生；</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2、基金管理人承诺不从事违反《基金法》的行为，并承诺建立健全内部风险控制制度，采取有效措施，防止下列行为的发生：</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（1）将基金管理人固有财产或者他人财产混同于基金财产从事证券投资；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（2）不公平地对待管理的不同基金财产；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（3）利用基金财产为基金份额持有人以外的第三人牟取利益；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（4）向基金份额持有人违规承诺收益或者承担损失；</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（5）侵占、挪用基金财产；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（6）法律、行政法规和中国证监会禁止的其他行为。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3、基金管理人承诺严格遵守基金合同，并承诺建立健全内部控制制度，采取有效措施，防止违反基金合同行为的发生；</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4、基金管理人承诺加强人员管理，强化职业操守，督促和约束员工遵守国家有关法律法规及行业规范，诚实信用、勤勉尽责；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5、基金管理人承诺不从事其他法规规定禁止从事的行为。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（五）基金经理承诺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1、依照有关法律法规和基金合同的规定，本着谨慎的原则为基金份额持有人谋取最大利益；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2、不利用职务之便为自己、受雇人或任何第三者谋取利益；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3、不泄露在任职期间知悉的有关证券、基金的商业秘密，尚未依法公开的基金投资内容、基金投资计划等信息，或利用该信息从事或者明示、暗示他人从事相关的交易活动；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4、不以任何形式为其他组织或个人进行证券交易。</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（六）基金管理人的内部控制制度</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1、风险管理的原则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（1）全面性原则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公司风险管理必须覆盖公司的所有部门和岗位，渗透各项业务过程和业务环节。</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（2）独立性原则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公司设立独立的风险管理部，风险管理部保持高度的独立性和权威性，负责对公司各部门风险控制工作进行监督和检查。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（3）相互制约原则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公司及各部门在内部组织结构的设计上要形成一种相互制约的机制，建立不同岗位之间的制衡体系。</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（4）定性和定量相结合原则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建立完备的风险管理指标体系，使风险管理更具客观性和操作性。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2、风险管理和内部风险控制体系结构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（1）董事会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负责制定公司的风险管理政策，对风险管理负完全的和最终的责任。</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（2）监事会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是公司常设的监事机构，对股东会负责。监事会对公司财务、公司董事、总经理及其他高级管理人员进行监督。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（3）合规审核及风险管理委员会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（4）风险控制委员会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（5）督察长</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独立行使督察权利；直接对董事会负责；就内部控制制度和执行情况独立地履行检查、评价、报告、建议职能；定期和不定期地向董事会报告公司内部控制执行情况。</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（6）风险管理部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（7）审计部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（8）法律合规部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（9）业务部门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风险管理是每一个业务部门首要的责任。部门经理对本部门的风险负全部责任，负责履行公司的风险管理程序，负责本部门的风险管理系统的开发、执行和维护，用于识别、监控和降低风险。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3、风险管理和内部风险控制的措施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（1）建立内控体系，完善内控制度</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公司建立、健全了内控体系，通过高管人员关于内控的明确分工，确保各项业务活动有恰当的组织和授权，确保监察活动独立，并得到高管人员的支持，同时置备操作手册，并定期更新。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（2）建立相互分离、相互制衡的内控机制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建立、健全了各项制度，做到基金经理分开，投资决策分开，基金交易集中，形成不同部门、不同岗位之间的制衡机制，从制度上减少和防范风险。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（3）建立、健全岗位责任制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建立、健全了岗位责任制，使每个员工都明确自己的任务、职责，并及时将各</w:t>
      </w:r>
      <w:r>
        <w:rPr>
          <w:rFonts w:ascii="宋体" w:hAnsi="宋体"/>
          <w:sz w:val="24"/>
        </w:rPr>
        <w:lastRenderedPageBreak/>
        <w:t>自工作领域中的风险隐患上报，以防范和减少风险。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（4）建立风险分类、识别、评估、报告、提示程序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（5）建立有效的内部监控系统</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建立了足够、有效的内部监控系统，如电脑预警系统、投资监控系统，对可能出现的各种风险进行全面和实时的监控。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（6）使用数量化的风险管理手段</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采取数量化、技术化的风险控制手段，建立数量化的风险管理模型，用以提示指数趋势、行业及个股的风险，以便公司及时采取有效的措施，对风险进行分散、控制和规避，尽可能地减少损失。</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（7）提供足够的培训</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制定了完整的培训计划，为所有员工提供足够和适当的培训，使员工明确其职责所在，控制风险。</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6" w:name="_Toc147846757"/>
      <w:r>
        <w:rPr>
          <w:rFonts w:ascii="Times New Roman" w:hAnsi="Times New Roman"/>
          <w:sz w:val="30"/>
        </w:rPr>
        <w:lastRenderedPageBreak/>
        <w:t>四、基金托管人</w:t>
      </w:r>
      <w:bookmarkEnd w:id="6"/>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（一）基金托管人基本情况</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名称：中信银行股份有限公司（简称“中信银行”）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住所：北京市朝阳区光华路10号院1号楼6-30层、32-42层</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办公地址：北京市朝阳区光华路10号院1号楼6-30层、32-42层</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法定代表人：方合英</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成立时间：1987年4月20日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组织形式：股份有限公司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注册资本：489.35亿元人民币</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批准设立文号：中华人民共和国国务院办公厅国办函[1987]14号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基金托管业务批准文号：中国证监会证监基金字[2004]125号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联系人：中信银行资产托管部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联系电话：4006800000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传真：010-85230024</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客服电话：95558</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网址：bank.ecitic.com</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本行成立于 1987 年，是中国改革开放中最早成立的新兴商业银行之一，是中国最早参与国内外金融市场融资的商业银行，并以屡创中国现代金融史上多个第一而蜚声海内外，为中国经济建设做出了积极贡献。2007 年 4 月，本行实现在上海</w:t>
      </w:r>
      <w:r>
        <w:rPr>
          <w:rFonts w:ascii="宋体" w:hAnsi="宋体"/>
          <w:sz w:val="24"/>
        </w:rPr>
        <w:lastRenderedPageBreak/>
        <w:t>证券交易所和香港联合交易所 A+H 股同步上市。</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行以建设成为“有担当、有温度、有特色、有价值”的最佳综合金融服务提供者为发展愿景，充分发挥中信集团“金融+实业”综合平台优势，坚持“以客为尊、改革推动、科技兴行、轻型发展、合规经营、人才强行”，向企业客户和机构客户提供公司银行业务、国际业务、金融市场业务、机构业务、投资银行业务、交易银行业务、托管业务等综合金融解决方案，向个人客户提供零售银行、信用卡、消费金融、财富管理、私人银行、出国金融、电子银行等多元化金融产品及服务，全方位满足企业、机构及个人客户的综合金融服务需求。</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截至 2022 年末，本行在国内 153 个大中城市设有 1,428 家营业网点，在境内外下设中信国际金融控股有限公司、信银（香港）投资有限公司、中信金融租赁有限公司、信银理财有限责任公司、中信百信银行股份有限公司、阿尔金银行和浙江临安中信村镇银行股份有限公司 7 家附属机构。其中，中信国际金融控股有限公司子公司中信银行（国际）在香港、澳门、纽约、洛杉矶、新加坡和中国内地设有 31 家营业网点和 2 家商务中心。信银（香港）投资有限公司在香港和境内设有 3 家子公司。信银理财有限责任公司为本行全资理财子公司。中信百信银行股份有限公司为本行与百度公司联合发起设立的国内首家独立法人直销银行。阿尔金银行在哈萨克斯坦设有 7 家营业网点和 1 家私人银行中心。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本行坚持服务实体经济，稳健经营，与时俱进。经过 35 年的发展，本行已成为一家总资产规模超 8.5 万亿元、员工人数超 6 万名，具有强大综合实力和品牌竞争力的金融集团。2022 年，本行在英国《银行家》杂志“全球银行品牌 500 强排行榜”中排名第 21 位；本行一级资本在英国《银行家》杂志“世界 1000 家银行排名”中排名第 19 位。</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（二）主要人员情况</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刘成先生，中信银行党委副书记，行长。刘先生现同时担任亚洲金融合作协会理事。刘先生曾在中央财政金融学院（现中央财经大学）任教，并长期供职于国家发展和改革委员会、国务院办公厅，2018年4月至2021年11月任本行监事长。刘先生具有丰富的发展改革、财政金融相关工作经验，先后就读于中央财政金融学院金融系、中国人民大学金融学院，获经济学学士、硕士和博士学位，研究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谢志斌先生，中信银行副行长，分管托管业务。谢先生现兼任中国银联股份有限公司董事。谢先生曾任中国出口信用保险公司党委委员、总经理助理（期间挂职</w:t>
      </w:r>
      <w:r>
        <w:rPr>
          <w:rFonts w:ascii="宋体" w:hAnsi="宋体"/>
          <w:sz w:val="24"/>
        </w:rPr>
        <w:lastRenderedPageBreak/>
        <w:t>任内蒙古自治区呼和浩特市委常委、副市长），中国光大集团股份公司纪委书记、党委委员。此前，谢先生在中国出口信用保险公司历任人力资源部总经理助理、副总经理、总经理（党委组织部部长助理、副部长、部长），深圳分公司党委书记，河北省分公司负责人、党委书记、总经理。谢先生毕业于中国人民大学，获经济学博士学位，高级经济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杨璋琪先生，中信银行资产托管部总经理，硕士研究生学历。杨先生2018年1月至2019年3月，任中信银行金融同业部副总经理；2015年5月至2018年1月，任中信银行长春分行副行长；2013年4月至2015年5月，任中信银行机构业务部总经理助理；1996年7月至2013年4月，就职于中信银行北京分行（原总行营业部），历任支行行长、投资银行部总经理、贸易金融部总经理。</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（三）基金托管业务经营情况</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2004 年8 月18 日，中信银行经中国证券监督管理委员会和中国银行业监督管理委员会批准，取得基金托管人资格。中信银行本着“诚实信用、勤勉尽责”的原则，切实履行托管人职责。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截至2023年第二季度末，中信银行托管341只公开募集证券投资基金，以及基金公司、证券公司资产管理产品、信托产品、企业年金、股权基金、QDII等其他托管资产，托管总规模达到14.11万亿元人民币。</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（四）基金托管人的内部控制制度</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内部控制目标。强化内部管理，确保有关法律法规及规章在基金托管业务中得到全面严格的贯彻执行；建立完善的规章制度和操作规程，保证基金托管业务持续、稳健发展；加强稽核监察，建立高效的风险监控体系，及时有效地发现、分析、控制和避免风险，确保基金财产安全，维护基金份额持有人利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 内部控制组织结构。中信银行总行建立了风险管理委员会，负责全行的风险控制和风险防范工作；托管部内设内控合规岗，专门负责托管部内部风险控制，对基金托管业务的各个工作环节和业务流程进行独立、客观、公正的稽核监察。</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内部控制制度。中信银行严格按照《基金法》以及其他法律法规及规章的规定，以控制和防范基金托管业务风险为主线，制定了《中信银行基金托管业务管理办法》、《中信银行基金托管业务内部控制管理办法》和《中信银行托管业务内控检查实施细则》等一整套规章制度，涵盖证券投资基金托管业务的各个环节，保证证券投资基金托管业务合法、合规、持续、稳健发展。</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内部控制措施。建立了各项规章制度、操作流程、岗位职责、行为规范等，从制度上、人员上保证基金托管业务稳健发展；建立了安全保管基金财产的物质条件，对业务运行场所实行封闭管理，在要害部门和岗位设立了安全保密区，安装了录像、录音监控系统，保证基金信息的安全；建立严密的内部控制防线和业务授权管理等制度，确保所托管的基金财产独立运行；营造良好的内部控制环境，开展多种形式的持续培训，加强职业道德教育。</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（五）基金托管人对基金管理人运作基金进行监督的方法和程序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基金法》、《运作办法》、《信息披露办法》、基金合同、托管协议和有关法律法规及规章的规定，对基金的投资运作、基金资产净值计算、基金份额净值计算、应收资金到账、基金费用开支及收入确定、基金收益分配、相关信息披露、基金宣传推介材料中登载的基金业绩表现数据等进行监督和核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托管人发现基金管理人违反《基金法》、《运作办法》、《信息披露办法》、基金合同和有关法律法规及规章的行为，将及时以书面形式通知基金管理人限期纠正。在限期内，基金托管人有权随时对通知事项进行复查，督促基金管理人改正。基金托管人发现基金管理人有重大违规行为或违规事项未能在限期内纠正的，基金托管人将以书面形式报告中国证监会。</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7" w:name="_Toc147846758"/>
      <w:r>
        <w:rPr>
          <w:rFonts w:ascii="Times New Roman" w:hAnsi="Times New Roman"/>
          <w:sz w:val="30"/>
        </w:rPr>
        <w:lastRenderedPageBreak/>
        <w:t>五、相关服务机构</w:t>
      </w:r>
      <w:bookmarkEnd w:id="7"/>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（一）基金份额销售机构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1、直销机构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本基金直销机构为基金管理人直销柜台以及基金管理人的网上直销交易平台（网站及手机APP，下同）。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机构名称：交银施罗德基金管理有限公司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个人投资者可以通过基金管理人网上直销交易平台办理开户、本基金的申购、赎回、转换、定期定额投资等业务，具体交易细则请参阅基金管理人网站。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 fund001.com。</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2、除基金管理人之外的其他销售机构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（1）名称：交通银行股份有限公司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住所：上海市浦东新区银城中路188号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办公地址：上海市浦东新区银城中路188号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法定代表人：任德奇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电话：（021）58781234</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传真：（021）58408483</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联系人：范瑞波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客户服务电话：95559</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网址：www.bankcomm.com</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（2）名称：招商银行股份有限公司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住所：深圳市福田区深南大道7088号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办公地址：深圳市福田区深南大道7088号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法定代表人：缪建民</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电话：（0755）83198888</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传真：（0755）83195109</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联系人：季平伟</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客户服务电话：95555</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网址：www.cmbchina.com</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（3）名称：中信银行股份有限公司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住所：北京市东城区朝阳门北大街9号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办公地址：北京市东城区朝阳门北大街9号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法定代表人：朱鹤新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电话：（010）89936330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传真：（010）85230024</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联系人：丰靖</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客户服务电话：95558</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网址：bank.ecitic.com</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（4）名称：宁波银行股份有限公司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住所：宁波市江东区中山东路294号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法定代表人：陆华裕</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电话：（021）63586210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传真：（021）63586215</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联系人：胡技勋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客户服务电话：96528（上海地区962528）</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网址：www.nbcb.com.cn</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（5）名称：中国国际金融股份有限公司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住所：北京建国门外大街1号国贸大厦2座27层及28层</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办公地址：北京建国门外大街1号国贸大厦2座27层及28层</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法定代表人：毕明建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电话：（010）65051166</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传真：（010）85679203</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联系人：杨涵宇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网址：www.cicc.com.cn</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（6）名称：中国中金财富证券有限公司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住所：深圳市福田区益田路与福中路交界处荣超商务中心A栋第18层-21层及第04层01.02.03.05.11.12.13.15.16.18.19.20.21.22.23单元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办公地址：深圳市福田区益田路6003号荣超商务中心A栋第04、18层至21层</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法定代表人：高涛</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电话：（0755）88320851</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联系人：胡芷境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客户服务电话：95532/400-600-8008</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网址：www.ciccwm.com</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（7）名称：大同证券有限责任公司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注册地址：山西省大同市城区迎宾街15号桐城中央21层</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办公地址：太原市长治路 111 号山西世贸中心 A 座 F12、F13</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邮政编码：030600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法定代表人：董祥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 话：（0351）4130322</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 真：（0351）7219891</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客服电话：4007121212</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网址：www.dtsbc.com.cn</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（8）名称：广发证券股份有限公司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住所：广州市黄埔区中新广州知识城腾飞一街2号618室</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办公地址：广州市天河区马场路26号广发证券大厦</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法定代表人：孙树明</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电话：（020）66338888</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传真：（020）87553600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联系人：马梦洁</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客户服务电话：95575</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网址：www.gf.com.cn</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（9）名称：中信建投证券股份有限公司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住所：北京市朝阳区安立路66号4号楼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办公地址：北京市朝阳门内大街188号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法定代表人：王常青</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电话：（010）85130588</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传真：（010）65182261</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联系人：魏明</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客户服务电话：95587</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网址：www.csc108.com</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（10）名称：华西证券股份有限公司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住所：四川省成都市高新区天府二街198号华西证券大厦</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办公地址：四川省成都市高新区天府二街198号华西证券大厦</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法定代表人：杨炯洋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电话：（028）86135991</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传真：（028）86150400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联系人：周志茹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客户服务电话：95584</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网址：www.hx168.com.cn</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（11）名称：海通证券股份有限公司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住所：上海市淮海中路98号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办公地址：上海市广东路689号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法定代表人：王开国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电话：（021）23219000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传真：（021）23219100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联系人：李笑鸣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客户服务电话：95553或拨打各城市营业网点咨询电话</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网址：www.htsec.com"</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（12）名称：上海基煜基金销售有限公司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上海市崇明县长兴镇路潘园公路1800号2号楼6153室（上海泰和经济发展区）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办公地址：上海市昆明路518号北美广场A1002-A1003室</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法定代表人：王翔</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电话：（021）35385521</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传真：（021）55085991</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联系人：蓝杰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客户服务电话：400-820-5369</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网址：www.jiyufund.com.cn</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（13）名称：上海天天基金销售有限公司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住所：上海市徐汇区龙田路190号2号楼2层</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办公地址：上海市徐汇区龙田路195号3C座10楼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法定代表人：其实</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电话：（021）54509998</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传真：（021）64385308</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联系人：潘世友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客户服务电话：400-1818-188</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网址：www.1234567.com.cn</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（14）名称：中国人寿保险股份有限公司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住所：中国北京市西城区金融大街16号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办公地址：北京市西城区金融大街16号中国人寿广场A座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客户服务电话：95519</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www.e-chinalife.com</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（15）名称：上海联泰基金销售有限公司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住所：中国（上海）自由贸易试验区富特北路277号3层310室</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办公地址：上海市长宁区福泉北路518号8座3楼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法定代表人：燕斌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电话：021-52822063</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传真：021-52975270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联系人：凌秋艳</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客户服务电话：4000-466-788</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网址：www.66zichan.com</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（16）名称：上海利得基金销售有限公司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上海浦东新区峨山路91弄61号陆家嘴软件园10号楼12楼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办公地址：上海浦东新区峨山路91弄61号陆家嘴软件园10号楼12楼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法定代表人：沈继伟</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电话：021-50583533</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传真：021-50583633</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徐鹏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客服电话：400-005-6355</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网址：a.leadfund.com.cn</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（17）名称：上海长量基金销售投资顾问有限公司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住所：上海市浦东新区高翔路526号2幢220室</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办公地址：上海市浦东新区浦东大道555号裕景国际B座16层</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法定代表人：张跃伟</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电话：（021）20691832</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传真：（021）20691861</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联系人：单丙烨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客户服务电话：400-820-2899</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网址：www.erichfund.com</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基金管理人可根据有关法律法规的要求，选择其它符合要求的机构销售本基金，并在基金管理人网站公示。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（二）登记机构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名称：中国证券登记结算有限责任公司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住所：北京市西城区太平桥大街17号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办公地址：北京市西城区太平桥大街17号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法定代表人：于文强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电话：（010）50938782</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传真：（010）50938907</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联系人：赵亦清</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（三）出具法律意见书的律师事务所</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名称：上海市通力律师事务所</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住所：上海市银城中路68号时代金融中心19楼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办公地址：上海市银城中路68号时代金融中心19楼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负责人：韩炯</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电话：（021）31358666</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传真：（021）31358600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联系人：丁媛</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经办律师：黎明、丁媛</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（四）审计基金财产的会计师事务所</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名称：普华永道中天会计师事务所（特殊普通合伙）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注册地址：中国(上海)自由贸易试验区陆家嘴环路1318号星展银行大厦507单元01室</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办公地址：中国上海市浦东新区东育路588号前滩中心42楼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执行事务合伙人：李丹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电话：（021）23238888</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传真：（021）23238800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联系人：金诗涛</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经办注册会计师：沈兆杰、金诗涛</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8" w:name="_Toc147846759"/>
      <w:r>
        <w:rPr>
          <w:rFonts w:ascii="Times New Roman" w:hAnsi="Times New Roman"/>
          <w:sz w:val="30"/>
        </w:rPr>
        <w:lastRenderedPageBreak/>
        <w:t>六、基金的募集</w:t>
      </w:r>
      <w:bookmarkEnd w:id="8"/>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本基金由基金管理人依照《基金法》、《运作办法》、《销售办法》、基金合同及其他有关规定，并经中国证监会2020年11月17日证监许可【2020】3090号文准予募集注册。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本基金为契约型开放式混合型基金。基金存续期间为不定期。</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本基金募集期间基金份额净值为人民币1.00元，按初始面值发售。</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本基金自2020年12月14日至2020年12月18日进行发售，本基金设立募集期共募集689,024,745.43份基金份额，有效认购户数为1,581户。</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9" w:name="_Toc147846760"/>
      <w:r>
        <w:rPr>
          <w:rFonts w:ascii="Times New Roman" w:hAnsi="Times New Roman"/>
          <w:sz w:val="30"/>
        </w:rPr>
        <w:lastRenderedPageBreak/>
        <w:t>七、基金合同的生效</w:t>
      </w:r>
      <w:bookmarkEnd w:id="9"/>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根据有关规定，本基金满足基金合同生效条件，基金合同已于2020年12月23日正式生效。自基金合同生效之日起，本基金管理人正式开始管理本基金。</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连续20个工作日出现基金份额持有人数量不满200人或者基金资产净值低于5000万元情形的，基金管理人应当在定期报告中予以披露；连续50个工作日出现前述情形的，基金管理人提前终止《基金合同》，不需召开基金份额持有人大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法律法规或中国证监会另有规定时，从其规定。</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10" w:name="_Toc147846761"/>
      <w:r>
        <w:rPr>
          <w:rFonts w:ascii="Times New Roman" w:hAnsi="Times New Roman"/>
          <w:sz w:val="30"/>
        </w:rPr>
        <w:lastRenderedPageBreak/>
        <w:t>八、基金份额的申购与赎回</w:t>
      </w:r>
      <w:bookmarkEnd w:id="10"/>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（一）申购和赎回的场所</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投资人可通过下述场所按照规定的方式进行申购或赎回：</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1、本基金管理人的直销机构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本基金直销机构为基金管理人直销柜台以及基金管理人的网上直销交易平台。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个人投资者可以通过基金管理人网上直销交易平台办理开户、本基金A类基金份额和C类基金份额的申购、赎回、转换、定期定额投资等业务，具体交易细则请参阅基金管理人网站。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网上直销交易平台网址：www.fund001.com</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2、除基金管理人之外的其他销售机构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本基金除基金管理人之外的其他销售机构参见本招募说明书“五、相关服务机构”章节或拨打本公司客户服务电话进行咨询。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投资人应当通过上述销售机构办理基金申购、赎回业务的营业场所或按上述销售机构提供的其他方式进行申购或赎回。本基金管理人可根据情况变更或增减基金销售机构，并在基金管理人网站公示。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若基金管理人或其指定的销售机构开通电话、传真或网上等交易方式，投资人可以通过上述方式进行申购与赎回。</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（二）申购和赎回的开放日及时间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1、开放日及开放时间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投资人在开放日办理基金份额的申购和赎回，具体办理时间为上海证券交易所、深圳证券交易所的正常交易日的交易时间（若该工作日为非港股通交易日，则</w:t>
      </w:r>
      <w:r>
        <w:rPr>
          <w:rFonts w:ascii="宋体" w:hAnsi="宋体"/>
          <w:sz w:val="24"/>
        </w:rPr>
        <w:lastRenderedPageBreak/>
        <w:t>本基金可不开放），但基金管理人根据法律法规、中国证监会的要求或基金合同的规定公告暂停申购、赎回时除外。</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2、申购、赎回开始日及业务办理时间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本基金A类基金份额已于2021年2月1日起开放申购、赎回业务。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本基金C类基金份额已于2022年7月12日起开放申购、赎回业务。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基金份额申购、赎回或转换的价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（三）申购与赎回的原则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1、“未知价”原则，即申购、赎回价格以申请当日收市后计算的基金份额净值为基准进行计算；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2、“金额申购、份额赎回”原则，即申购以金额申请，赎回以份额申请；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3、当日的申购与赎回申请可以在基金管理人规定的时间以内撤销，但申请经登记机构受理的不得撤销；</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5、办理申购、赎回业务时，应当遵循基金份额持有人利益优先原则，确保投资者的合法权益不受损害并得到公平对待。</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基金管理人可在法律法规允许的情况下，对上述原则进行调整。基金管理人必须在新规则开始实施前依照《信息披露办法》的有关规定在规定媒介上公告。</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（四）申购和赎回的数额限定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1、申购金额的限制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直销机构首次申购的最低金额为单笔100万元，追加申购的最低金额为单笔10万元；已在直销机构有认购或申购过本基金管理人管理的任一基金（包括本基金）</w:t>
      </w:r>
      <w:r>
        <w:rPr>
          <w:rFonts w:ascii="宋体" w:hAnsi="宋体"/>
          <w:sz w:val="24"/>
        </w:rPr>
        <w:lastRenderedPageBreak/>
        <w:t>记录的投资人不受首次申购最低金额的限制。通过基金管理人网上直销交易平台办理基金申购业务的不受直销机构单笔申购最低金额的限制，申购最低金额为单笔1元。本基金直销机构单笔申购最低金额可由基金管理人酌情调整。其他销售机构接受申购申请的最低金额为单笔1元，如果销售机构业务规则规定的最低单笔申购金额高于1元，以该销售机构的规定为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2、赎回份额的限制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赎回的最低份额为1份基金份额，如果销售机构业务规则规定的最低单笔赎回份额高于1份，以该销售机构的规定为准。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3、最低基金份额余额的限制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个工作日投资人在单个交易账户保留的本基金份额余额少于1份时，若当日该账户同时有基金份额减少类业务（如赎回、转换转出等）被确认，则基金管理人有权将投资人在该账户保留的本基金份额一次性全部赎回。</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5、基金管理人可在法律法规允许的情况下，调整上述规定申购金额和赎回份额的数量限制。基金管理人必须在调整实施前依照《信息披露办法》的有关规定在规定媒介上公告。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（五）申购和赎回的程序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1、申购和赎回的申请方式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2、申购和赎回的款项支付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投资人申购基金份额时，必须全额交付申购款项，若申购资金在规定时间内未全额到账则申购不成立。投资人全额交付申购款项，申购成立；基金登记机构确认基金份额时，申购生效。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份额持有人递交赎回申请，赎回成立；基金登记机构确认赎回时，赎回生效。投资者赎回申请生效后，基金管理人将在T＋7日（包括该日）内支付赎回款项。在发生巨额赎回或基金合同载明的其他暂停赎回或延缓支付赎回款项的情形时，款项的支付办法参照基金合同有关条款处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3、申购和赎回申请的确认</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或基金管理人委托的登记机构应以交易时间结束前受理有效申购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本金退还给投资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基金管理人可在法律法规允许的范围内，依法对上述申购和赎回申请的确认时间进行调整，并必须在调整实施日前按照《信息披露办法》的有关规定在规定媒介上公告。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销售机构对申购、赎回申请的受理并不代表该申请一定成功，而仅代表销售机构确实接收到申购、赎回申请。申购、赎回申请的确认以登记机构的确认结果为准。对于申请的确认情况，投资者应及时查询。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4、申购和赎回的登记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（1）投资人T日申购基金成功后，正常情况下，登记机构在T＋1日为投资人增加权益并办理登记手续，投资人自T＋2日起（包括该日）有权赎回该部分基金份额。投资人应及时查询有关申请的确认情况。</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（2）投资人T日赎回基金成功后，正常情况下，登记机构在T＋1日为投资人扣除权益并办理相应的登记手续。</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（3）基金管理人可在法律法规允许的范围内，对上述登记办理时间进行调整，并于开始实施前按照《信息披露办法》的有关规定在规定媒介上公告。</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（六）基金的申购费和赎回费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本基金基金份额分为A类基金份额和C类基金份额。投资人申购A类基金份额在申购时支付申购费用；申购C类基金份额不支付申购费用，并从该类别基金资产中计提销售服务费。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本基金A类基金份额的申购费用由申购A类基金份额的申购人承担，不列入基金</w:t>
      </w:r>
      <w:r>
        <w:rPr>
          <w:rFonts w:ascii="宋体" w:hAnsi="宋体"/>
          <w:sz w:val="24"/>
        </w:rPr>
        <w:lastRenderedPageBreak/>
        <w:t>财产，主要用于本基金的市场推广、销售、登记等各项费用。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投资人可以多次申购本基金，申购费用按每笔申购申请单独计算。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本基金A类基金份额（非养老金客户）的申购费率如下：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DB7585">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类基金份额的申购费率</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类基金份额申购费率</w:t>
            </w:r>
          </w:p>
        </w:tc>
      </w:tr>
      <w:tr w:rsidR="00DB758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DB7585" w:rsidRDefault="00DB7585">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0.8%</w:t>
            </w:r>
          </w:p>
        </w:tc>
      </w:tr>
      <w:tr w:rsidR="00DB758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DB7585" w:rsidRDefault="00DB7585">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万元（含）至</w:t>
            </w:r>
            <w:r>
              <w:rPr>
                <w:rFonts w:ascii="Times New Roman" w:hAnsi="Times New Roman"/>
                <w:color w:val="000000"/>
                <w:kern w:val="0"/>
                <w:sz w:val="25"/>
                <w:szCs w:val="24"/>
              </w:rPr>
              <w:t>100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0.6%</w:t>
            </w:r>
          </w:p>
        </w:tc>
      </w:tr>
      <w:tr w:rsidR="00DB758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DB7585" w:rsidRDefault="00DB7585">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DB758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DB7585" w:rsidRDefault="00DB7585">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0.3%</w:t>
            </w:r>
          </w:p>
        </w:tc>
      </w:tr>
      <w:tr w:rsidR="00DB758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DB7585" w:rsidRDefault="00DB7585">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持有A类基金份额的投资人因红利自动再投资而产生的A类基金份额，不收取相应的申购费用。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本基金对通过基金管理人直销柜台申购本基金A类基金份额的养老金客户实施特定申购费率。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养老金客户指基本养老基金与依法成立的养老计划筹集的资金及其投资运营收益形成的补充养老基金等，具体包括：</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1）全国社会保障基金；</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2）可以投资基金的地方社会保障基金；</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3）企业年金单一计划以及集合计划；</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4）企业年金理事会委托的特定客户资产管理计划；</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5）企业年金养老金产品。</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如将来出现经养老基金监管部门认可的新的养老基金类型，基金管理人可在招募说明书更新或发布临时公告将其纳入养老金客户范围。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通过基金管理人直销柜台申购本基金A类基金份额的养老金客户特定申购费率如下表：</w:t>
      </w:r>
    </w:p>
    <w:tbl>
      <w:tblPr>
        <w:tblW w:w="5000" w:type="pct"/>
        <w:tblCellMar>
          <w:left w:w="0" w:type="dxa"/>
          <w:right w:w="0" w:type="dxa"/>
        </w:tblCellMar>
        <w:tblLook w:val="0000" w:firstRow="0" w:lastRow="0" w:firstColumn="0" w:lastColumn="0" w:noHBand="0" w:noVBand="0"/>
      </w:tblPr>
      <w:tblGrid>
        <w:gridCol w:w="1236"/>
        <w:gridCol w:w="3707"/>
        <w:gridCol w:w="3707"/>
      </w:tblGrid>
      <w:tr w:rsidR="00DB7585">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类基金份额的申购费率</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类基金份额特定申购费率</w:t>
            </w:r>
          </w:p>
        </w:tc>
      </w:tr>
      <w:tr w:rsidR="00DB758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DB7585" w:rsidRDefault="00DB7585">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0.32%</w:t>
            </w:r>
          </w:p>
        </w:tc>
      </w:tr>
      <w:tr w:rsidR="00DB758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DB7585" w:rsidRDefault="00DB7585">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万元（含）至</w:t>
            </w:r>
            <w:r>
              <w:rPr>
                <w:rFonts w:ascii="Times New Roman" w:hAnsi="Times New Roman"/>
                <w:color w:val="000000"/>
                <w:kern w:val="0"/>
                <w:sz w:val="25"/>
                <w:szCs w:val="24"/>
              </w:rPr>
              <w:t>100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0.18%</w:t>
            </w:r>
          </w:p>
        </w:tc>
      </w:tr>
      <w:tr w:rsidR="00DB758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DB7585" w:rsidRDefault="00DB7585">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0.10%</w:t>
            </w:r>
          </w:p>
        </w:tc>
      </w:tr>
      <w:tr w:rsidR="00DB758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DB7585" w:rsidRDefault="00DB7585">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0.06%</w:t>
            </w:r>
          </w:p>
        </w:tc>
      </w:tr>
      <w:tr w:rsidR="00DB758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DB7585" w:rsidRDefault="00DB7585">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（1）本基金A类基金份额的赎回费率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A类基金份额的赎回费用由赎回A类基金份额的基金份额持有人承担，在基金份额持有人赎回A类基金份额时收取，对持续持有期少于7日的投资人收取1.5%的赎回费，对持续持有期大于等于7日但少于30日的投资人收取0.75%的赎回费，并将上述赎回费全额计入基金财产；对持续持有期大于等于30日但少于3个月的投资人收取0.5%的赎回费，并将赎回费总额的75%计入基金财产；对持续持有期大于等于3个月但少于6个月的投资人收取0.5%的赎回费，并将赎回费总额的50%计入基金财产。上述“月”指的是30个自然日。未归入基金财产的部分用于支付登记费和其他必要的手续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本基金A类基金份额的赎回费率如下：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DB7585">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类基金份额的赎回费率</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类基金份额赎回费率</w:t>
            </w:r>
          </w:p>
        </w:tc>
      </w:tr>
      <w:tr w:rsidR="00DB758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DB7585" w:rsidRDefault="00DB7585">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DB758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DB7585" w:rsidRDefault="00DB7585">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w:t>
            </w:r>
            <w:r>
              <w:rPr>
                <w:rFonts w:ascii="Times New Roman" w:hAnsi="Times New Roman"/>
                <w:color w:val="000000"/>
                <w:kern w:val="0"/>
                <w:sz w:val="25"/>
                <w:szCs w:val="24"/>
              </w:rPr>
              <w:t>—30</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0.75%</w:t>
            </w:r>
          </w:p>
        </w:tc>
      </w:tr>
      <w:tr w:rsidR="00DB758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DB7585" w:rsidRDefault="00DB7585">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r>
              <w:rPr>
                <w:rFonts w:ascii="Times New Roman" w:hAnsi="Times New Roman"/>
                <w:color w:val="000000"/>
                <w:kern w:val="0"/>
                <w:sz w:val="25"/>
                <w:szCs w:val="24"/>
              </w:rPr>
              <w:t>日（含）</w:t>
            </w:r>
            <w:r>
              <w:rPr>
                <w:rFonts w:ascii="Times New Roman" w:hAnsi="Times New Roman"/>
                <w:color w:val="000000"/>
                <w:kern w:val="0"/>
                <w:sz w:val="25"/>
                <w:szCs w:val="24"/>
              </w:rPr>
              <w:t>—6</w:t>
            </w:r>
            <w:r>
              <w:rPr>
                <w:rFonts w:ascii="Times New Roman" w:hAnsi="Times New Roman"/>
                <w:color w:val="000000"/>
                <w:kern w:val="0"/>
                <w:sz w:val="25"/>
                <w:szCs w:val="24"/>
              </w:rPr>
              <w:t>个月</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DB758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DB7585" w:rsidRDefault="00DB7585">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r>
              <w:rPr>
                <w:rFonts w:ascii="Times New Roman" w:hAnsi="Times New Roman"/>
                <w:color w:val="000000"/>
                <w:kern w:val="0"/>
                <w:sz w:val="25"/>
                <w:szCs w:val="24"/>
              </w:rPr>
              <w:t>个月以上（含）</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上表中的“月”指的是30个自然日。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（2）本基金C类基金份额的赎回费率如下：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DB7585">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r>
              <w:rPr>
                <w:rFonts w:ascii="Times New Roman" w:hAnsi="Times New Roman"/>
                <w:color w:val="000000"/>
                <w:kern w:val="0"/>
                <w:sz w:val="25"/>
                <w:szCs w:val="24"/>
              </w:rPr>
              <w:t>类基金份额的赎回费率</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r>
              <w:rPr>
                <w:rFonts w:ascii="Times New Roman" w:hAnsi="Times New Roman"/>
                <w:color w:val="000000"/>
                <w:kern w:val="0"/>
                <w:sz w:val="25"/>
                <w:szCs w:val="24"/>
              </w:rPr>
              <w:t>类基金份额赎回费率</w:t>
            </w:r>
          </w:p>
        </w:tc>
      </w:tr>
      <w:tr w:rsidR="00DB758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DB7585" w:rsidRDefault="00DB7585">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DB758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DB7585" w:rsidRDefault="00DB7585">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w:t>
            </w:r>
            <w:r>
              <w:rPr>
                <w:rFonts w:ascii="Times New Roman" w:hAnsi="Times New Roman"/>
                <w:color w:val="000000"/>
                <w:kern w:val="0"/>
                <w:sz w:val="25"/>
                <w:szCs w:val="24"/>
              </w:rPr>
              <w:t>—30</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DB758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DB7585" w:rsidRDefault="00DB7585">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r>
              <w:rPr>
                <w:rFonts w:ascii="Times New Roman" w:hAnsi="Times New Roman"/>
                <w:color w:val="000000"/>
                <w:kern w:val="0"/>
                <w:sz w:val="25"/>
                <w:szCs w:val="24"/>
              </w:rPr>
              <w:t>日以上（含）</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本基金C类基金份额的赎回费用由赎回C类基金份额的基金份额持有人承担，在基金份额持有人赎回C类基金份额时收取，对C类基金份额持有人收取的赎回费全额计入基金财产。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3、基金管理人可以在基金合同约定的范围内调整费率或收费方式，并最迟应于新的费率或收费方式实施日前依照《信息披露办法》的有关规定在规定媒介上公告。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4、当本基金发生大额申购或赎回情形时，基金管理人可以采用摆动定价机制，以确保基金估值的公平性。具体处理原则与操作规范遵循相关法律法规以及监管部门、自律规则的规定。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w:t>
      </w:r>
      <w:r>
        <w:rPr>
          <w:rFonts w:ascii="宋体" w:hAnsi="宋体"/>
          <w:sz w:val="24"/>
        </w:rPr>
        <w:lastRenderedPageBreak/>
        <w:t>低基金销售费用。</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（七）申购和赎回的数额和价格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1、申购和赎回数额、余额的处理方式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A类基金份额或C类基金份额的有效份额为净申购金额除以当日该类基金份额的基金份额净值，有效份额单位为份，申购份额计算结果按四舍五入方法，保留到小数点后2位，由此产生的收益或损失由基金财产承担。</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金额为按实际确认的A类基金份额或C类基金份额有效赎回份额乘以当日该类基金份额的基金份额净值并扣除相应的费用（如有），赎回金额单位为元。赎回金额计算结果按四舍五入方法，保留到小数点后2位，由此产生的收益或损失由基金财产承担。</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2、申购份额的计算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（1）A类基金份额的申购</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申购总金额=申请总金额</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净申购金额=申购总金额/（1+申购费率）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（注：对于适用固定金额申购费用的申购，净申购金额＝申购总金额－固定申购费用金额）</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申购费用=申购总金额-净申购金额</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（注：对于适用固定金额申购费用的申购，申购费用＝固定申购费用金额）</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申购份额=（申购总金额-申购费用）/T日A类基金份额净值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例一：某投资者（非养老金客户）投资40,000元申购本基金A类基金份额，假设申购当日A类基金份额净值为1.0400元，申购费率为0.8%，则其可得到的申购份额为：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申购总金额＝40,000元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净申购金额=40,000/（1+0.8%）=39,682.54元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申购费用=40,000-39,682.54=317.46元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申购份额=（40,000-317.46）/1.0400=38,156.29份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即：该投资者（非养老金客户）投资40,000元申购本基金A类基金份额，假设申购当日A类基金份额净值为1.0400元，则其可得到38,156.29份A类基金份额。</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例二：某养老金客户投资100,000元通过基金管理人的直销柜台申购本基金A类基金份额，假设申购当日A类基金份额净值为1.0400元，申购费率为0.32%，则其可</w:t>
      </w:r>
      <w:r>
        <w:rPr>
          <w:rFonts w:ascii="宋体" w:hAnsi="宋体"/>
          <w:sz w:val="24"/>
        </w:rPr>
        <w:lastRenderedPageBreak/>
        <w:t>得到的申购份额为：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净申购金额=100,000/（1+0.32%）=99,681.02元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申购费用=100,000-99,681.02=318.98元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申购份额=（100,000-318.98）/1.0400=95,847.13份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即：该养老金客户投资100,000元通过基金管理人的直销柜台申购本基金A类基金份额，假设申购当日A类基金份额净值为1.0400元，则其可得到95,847.13份A类基金份额。</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（2）C类基金份额的申购</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如果投资者选择申购C类基金份额，则申购份额的计算方法如下：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申购总金额=申请总金额</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申购份额=申购总金额/T日C类基金份额净值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例三：某投资者投资100,000元申购本基金的C类基金份额，假设申购当日C类基金份额净值为1.0400元，则其可得到的申购份额为：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申购份额＝100,000/1.0400＝96,153.85份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即：投资者投资100,000元申购本基金的C类基金份额，假设申购当日C类基金份额净值为1.0400元，则其可得到96,153.85份C类基金份额。</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3、赎回金额的计算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（1）A类基金份额的赎回</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投资者赎回A类基金份额，赎回金额的计算方法如下：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赎回费用=赎回份额×T日A类基金份额净值×赎回费率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赎回金额=赎回份额×T日A类基金份额净值-赎回费用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例四：某投资者赎回持有的10,000份A类基金份额，持有期限为30日，对应的赎回费率为0.5%，假设赎回当日A类基金份额净值是1.0160元，则其可得到的赎回金额为：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赎回费用=10,000×1.0160×0.5%＝50.80元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赎回金额=10,000×1.0160-50.80＝10,109.20元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即：该投资者赎回本基金10,000份A类基金份额，持有期限为30日，对应的赎回费率为0.5%，假设赎回当日A类基金份额净值是1.0160元，则其可得到的赎回金额为10,109.20元。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（2）C类基金份额的赎回</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投资者赎回C类基金份额，赎回金额的计算方法如下：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赎回费用=赎回份额×T日C类基金份额净值×赎回费率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赎回金额=赎回份额×T日C类基金份额净值-赎回费用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例五：某投资者赎回10,000份C类基金份额，持有期限为20日，对应的赎回费率为0.5%，假设赎回当日C类基金份额净值是1.0160元，则其可得到的赎回金额为：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赎回费用=10,000×1.0160×0.5%＝50.80元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赎回金额=10,000×1.0160-50.80＝10,109.20元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即：投资者赎回10,000份C类基金份额，持有期限为20日，对应的赎回费率为0.5%，假设赎回当日C类基金份额净值是1.0160元，则其可得到的赎回金额为10,109.20元。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4、基金份额净值的计算公式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A类基金份额净值＝A类基金份额的基金资产净值总额/发行在外的A类基金份额总数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C类基金份额净值＝C类基金份额的基金资产净值总额/发行在外的C类基金份额总数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T日的基金份额净值在当天收市后计算，并在T＋1日（包括该日）内公告。遇特殊情况，经履行适当程序，可以适当延迟计算或公告。本基金A类基金份额和C类基金份额的基金份额净值的计算，均保留到小数点后4位，小数点后第5位四舍五入，由此产生的收益或损失由基金财产承担。</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（八）拒绝或暂停申购的情形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发生下列情况时，基金管理人可拒绝或暂停接受投资人的申购申请：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1、因不可抗力导致基金无法正常运作。</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2、发生基金合同规定的暂停基金资产估值情况时，基金管理人可暂停接受投资人的申购申请。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3、证券、期货交易所交易时间非正常停市或港股通临时停市，导致基金管理人无法计算当日基金资产净值。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4、接受某笔或某些申购申请可能会影响或损害现有基金份额持有人利益时。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5、基金资产规模过大，使基金管理人无法找到合适的投资品种，或其他可能</w:t>
      </w:r>
      <w:r>
        <w:rPr>
          <w:rFonts w:ascii="宋体" w:hAnsi="宋体"/>
          <w:sz w:val="24"/>
        </w:rPr>
        <w:lastRenderedPageBreak/>
        <w:t>对基金业绩产生负面影响，或发生其他损害现有基金份额持有人利益的情形。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6、当前一估值日基金资产净值50%以上的资产出现无可参考的活跃市场价格且采用估值技术仍导致公允价值存在重大不确定性时，经与基金托管人协商确认后，基金管理人应当暂停接受基金申购申请。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7、港股通交易每日额度不足。</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8、基金管理人接受某笔或者某些申购申请有可能导致单一投资者持有基金份额的比例超过50%，或者变相规避50%集中度的。出现上述情形时，基金管理人有权将上述申购申请全部或部分确认失败。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9、法律法规规定、中国证监会认定或基金合同约定的其他情形。</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发生上述第1、2、3、5、6、7、9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（九）暂停赎回或延缓支付赎回款项的情形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发生下列情形时，基金管理人可暂停接受投资人的赎回申请或延缓支付赎回款项：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1、因不可抗力导致基金管理人不能支付赎回款项。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2、发生基金合同规定的暂停基金资产估值情况时，基金管理人可暂停接受投资人的赎回申请或延缓支付赎回款项。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3、证券、期货交易所交易时间非正常停市或港股通临时停市，导致基金管理人无法计算当日基金资产净值。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4、连续两个或两个以上开放日发生巨额赎回。</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5、发生继续接受赎回申请将损害现有基金份额持有人利益的情形时，基金管理人可暂停接受基金份额持有人的赎回申请。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7、法律法规规定、中国证监会认定或基金合同约定的其他情形。</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发生上述情形之一且基金管理人决定暂停接受基金份额持有人的赎回申请或延缓支付赎回款项时，基金管理人应及时报中国证监会备案，已确认的赎回申</w:t>
      </w:r>
      <w:r w:rsidRPr="00BB248E">
        <w:rPr>
          <w:rFonts w:ascii="宋体" w:hAnsi="宋体" w:hint="eastAsia"/>
          <w:b/>
          <w:kern w:val="0"/>
          <w:sz w:val="24"/>
        </w:rPr>
        <w:lastRenderedPageBreak/>
        <w:t>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（十）巨额赎回的情形及处理方式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1、巨额赎回的认定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2、巨额赎回的处理方式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（3）本基金如发生巨额赎回且单个开放日内单个基金份额持有人申请赎回的基金份额超过前一开放日的基金总份额的20%时，本基金管理人有权采取如下措施：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对于基金份额持有人当日超过20%的赎回申请，可以对其赎回申请延期办理。</w:t>
      </w:r>
      <w:r>
        <w:rPr>
          <w:rFonts w:ascii="宋体" w:hAnsi="宋体"/>
          <w:sz w:val="24"/>
        </w:rPr>
        <w:lastRenderedPageBreak/>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未超过上述比例的部分，基金管理人可以根据前段“（1）全额赎回”或“（2）部分延期赎回”的约定方式与其他基金份额持有人的赎回申请一并办理。但是，如基金份额持有人在当日选择取消赎回，则其当日未获受理的部分赎回申请将被撤销。</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3、巨额赎回的公告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当发生上述巨额赎回并延期办理时，基金管理人应当通过邮寄、传真或者通知销售机构代为告知等方式在3个交易日内通知基金份额持有人，说明有关处理方法，并在两日内在规定媒介上刊登公告。</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（十一）暂停申购或赎回的公告和重新开放申购或赎回的公告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1、发生上述暂停申购或赎回情况的，基金管理人应在规定期限内在规定媒介上刊登暂停公告。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2、如发生暂停的时间为1日，基金管理人应于重新开放日，在规定媒介上刊登基金重新开放申购或赎回公告，并公布最近1个开放日各类基金份额的基金份额净值。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发生暂停的时间超过1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（十二）基金的非交易过户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（十三）基金的转托管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基金份额持有人可办理已持有基金份额在不同销售机构之间的转托管，基金销售机构可以按照规定的标准收取转托管费。</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（十四）定期定额投资计划</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2021年4月20日刊登公告自2021年4月21日起开通A类基金份额的定期定额投资计划业务，本基金2022年7月7日刊登公告自2022年7月12日起增设C类基金份额并开通C类基金份额的定期定额投资计划业务，具体开通销售机构名单和业务规则参见相关公告。</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（十五）基金份额的冻结和解冻</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基金登记机构只受理国家有权机关依法要求的基金份额的冻结与解冻，以及登记机构认可、符合法律法规的其他情况下的冻结与解冻。</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（十六）基金份额的转让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（十七）其他业务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w:t>
      </w:r>
      <w:r>
        <w:rPr>
          <w:rFonts w:ascii="宋体" w:hAnsi="宋体"/>
          <w:sz w:val="24"/>
        </w:rPr>
        <w:lastRenderedPageBreak/>
        <w:t>告。</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（十八）实施侧袋机制期间本基金的申购与赎回</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本基金实施侧袋机制的，本基金的申购和赎回安排详见本招募说明书“侧袋机制”部分的规定或相关公告。</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11" w:name="_Toc147846762"/>
      <w:r>
        <w:rPr>
          <w:rFonts w:ascii="Times New Roman" w:hAnsi="Times New Roman"/>
          <w:sz w:val="30"/>
        </w:rPr>
        <w:lastRenderedPageBreak/>
        <w:t>九、基金的转换</w:t>
      </w:r>
      <w:bookmarkEnd w:id="11"/>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（一）基金转换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（二）转换业务办理时间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本基金2022年7月27日刊登公告自2022年7月29日起开放日常转换业务。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办理基金间转换的时间为上海证券交易所、深圳证券交易所交易日。若出现新的证券交易市场或交易所交易时间更改或其它原因，基金管理人将视情况进行相应的调整并公告。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本基金转换业务具体开通销售机构名单参见相关公告。</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（三）基金转换的程序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1、申请方式：书面申请或销售机构公布的其他方式。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2、基金转换申请的确认</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正常情况下，T日规定时间受理的申请，注册登记机构在T＋1日内为投资人对该交易的有效性进行确认，在T＋2日后(包括该日)投资人可向销售机构查询转换的确认情况。</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3、基金转换的注册登记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登记机构以收到有效转换申请的当天作为转换申请日（T日）。投资人转换基金成功的，注册登记机构将在T＋1日对投资人T日的基金转换业务申请进行有效性确认，办理转出基金的权益扣除以及转入基金的权益登记，在T＋2日后（包括该日）投资人可向销售机构查询基金转换的成交情况，并有权转换或赎回该部分基金份额。</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（四）基金转换的数额限制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基金转换以份额为单位进行申请，申请转换份额精确到小数点后两位，小数点</w:t>
      </w:r>
      <w:r>
        <w:rPr>
          <w:rFonts w:ascii="宋体" w:hAnsi="宋体"/>
          <w:sz w:val="24"/>
        </w:rPr>
        <w:lastRenderedPageBreak/>
        <w:t>后两位以后的部分四舍五入，误差部分归基金财产。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本基金遵循“份额转换”的原则，单笔转换份额不得低于1份。基金持有人可将其全部或部分基金份额转换成其它基金，单笔转换申请不受转入基金最低申购限额限制。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（五）基金转换费用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1、每笔基金转换视为一笔赎回和一笔申购，基金转换费用相应由转出基金的赎回费用及转出、转入基金的申购补差费用构成。</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2、转出基金的赎回费用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3、前端收费模式下转出与转入基金的申购补差费用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的转入基金前端申购费率减去转出基金前端申购费率差额进行计算补差，若遇固定费用，则按实际产生补差费用收取。</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4、后端收费模式下转出与转入基金的申购补差费用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w:t>
      </w:r>
      <w:r>
        <w:rPr>
          <w:rFonts w:ascii="宋体" w:hAnsi="宋体"/>
          <w:sz w:val="24"/>
        </w:rPr>
        <w:lastRenderedPageBreak/>
        <w:t>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5、网上直销的申购补差费率优惠</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6、本基金管理人可以根据法律法规及基金合同的规定对上述转换费用收费方式和费率进行调整，并应于调整后的收费方式和费率实施前依照《信息披露办法》的有关规定在中国证监会规定媒介上公告。</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（六）基金转换份额的计算公式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1、前端收费模式下基金转换份额的计算公式及举例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转出与转入基金的申购补差费=转入确认金额×对应的转出与转入基金的申购补差费率/（1+对应的转出与转入基金的申购补差费率）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（注：若转出基金申购费率不低于转入基金申购费率，转出与转入基金的申购补差费为零）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对于涉及固定费用的，转出与转入基金的申购补差费＝MAX（0，转出基金和转入基金申购费用之差）</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例一：某投资者持有交银趋势前端收费模式的A类基金份额100,000份，持有期半年，转换申请当日交银趋势的A类基金份额净值为1.0100元，交银成长的基金份额净值为2.2700元。若该投资者将100,000份交银趋势前端A类基金份额转换为交银成长前端基金份额，则转入交银成长确认的基金份额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转出确认金额=100,000×1.0100=101,000元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转出基金的赎回费=101,000×0.5%=505元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转入确认金额=101,000-505=100,495元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转出与转入基金的申购补差费=100,495×0/（1+0）=0元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转入基金确认份额=（100,495-0）/2.2700=44,270.93份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投资者持有交银增利A类基金份额1,000,000份，持有期一年半，转换申请当日交银增利A类基金份额的基金份额净值为1.0200元，交银趋势的A类基金份额净值为1.0100元。若该投资者将1,000,000份交银增利A类基金份额转换为交银趋势前端A类基金份额，则转入交银趋势确认的A类基金份额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转出确认金额=1,000,000×1.0200=1,020,000元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转出基金的赎回费=1,020,000×0.05%=510元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转入确认金额=1,020,000-510=1,019,490元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转出与转入基金的申购补差费=1,019,490×0.5%/（1+0.5%）=5,072.09元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转入基金确认份额=（1,019,490-5,072.09）/1.0100=1,004,374.17份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持有交银增利C类基金份额100,000份，持有期一年半，转换申请当日交银增利C类基金份额净值为1.2500元，交银精选的基金份额净值为2.2700元。若该投资者将100,000份交银增利C类基金份额转换为交银精选前端基金份额，则转入交银精选确认的基金份额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转入确认金额=125,000-0=125,000元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转出与转入基金的申购补差费=125,000×1.5%/（1+1.5%）=1,847.29元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转入基金确认份额=（125,000-1,847.29）/2.2700=54,252.30份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持有交银货币A级基金份额100,000份，该100,000份基金份额未结转的待支付收益为61.52元，转换申请当日交银增利A类基金份额净值为1.2700元，交银货币的基金份额净值为1.00元。若该投资者将100,000份交银货币A级基金</w:t>
      </w:r>
      <w:r>
        <w:rPr>
          <w:rFonts w:ascii="宋体" w:hAnsi="宋体"/>
          <w:sz w:val="24"/>
        </w:rPr>
        <w:lastRenderedPageBreak/>
        <w:t>份额转换为交银增利A类基金份额，则转入确认的交银增利A类基金份额为：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转出确认金额=100,000×1.00=100,000元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转出与转入基金的申购补差费=100,000×0.8%/（1+0.8%）=793.65元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转入基金确认份额=（100,000-793.65+61.52）/1.2700=78,163.68份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2、后端收费模式下基金转换份额的计算公式及举例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投资者持有交银主题后端收费模式的A类基金份额100,000份，持有期一年半，转换申请当日交银主题的A类基金份额净值为1.2500元，交银稳健的基金份额净值为2.2700元。若该投资者将100,000份交银主题后端A类基金份额转换为交银稳健后端基金份额，则转入交银稳健确认的基金份额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转入基金确认份额=（124,750-0）/2.2700=54,955.95份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例六：某投资者持有交银先锋后端收费模式的A类基金份额100,000份，持有期一年半，转换申请当日交银先锋的A类基金份额净值为1.2500元，交银货币的基金</w:t>
      </w:r>
      <w:r>
        <w:rPr>
          <w:rFonts w:ascii="宋体" w:hAnsi="宋体"/>
          <w:sz w:val="24"/>
        </w:rPr>
        <w:lastRenderedPageBreak/>
        <w:t>份额净值为1.00元。若该投资者将100,000份交银先锋后端A类基金份额转换为交银货币，则转入交银货币的基金份额为：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转出与转入基金的申购补差费=124,750×1.2%=1497元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转入基金确认份额=（124,750-1497）/1.00=123,253.00份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转出确认金额=100,000×0.8500=85,000元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转出基金的赎回费=85,000×0=0元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转入确认金额=85,000-0=85,000元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转出与转入基金的申购补差费=85,000×0.2%=170元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转入基金确认份额=（85,000-170）/1.0500=80,790.48份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八：某投资者持有交银货币A级基金份额100,000份，该100,000份基金份额未结转的待支付收益为61.52元，转换申请当日交银增利B类基金份额净值为1.2700元，交银货币的基金份额净值为1.00元。若该投资者将100,000份交银货币A级基金份额转换为交银增利B类基金份额，则转入确认的交银增利B类基金份额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转出确认金额=100,000×1.00=100,000元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转入基金确认份额=（100,000-0+61.52）/1.2700=78,788.60份</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（七）业务规则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转换只能在同一销售机构进行。转换的两只基金必须都是该销售机构销售的同一基金管理人管理的、在同一注册登记机构处注册登记的基金。投资人办理基金转换业务时，转出方的基金必须处于可赎回状态，转入方的基金必须处于可申购状态。</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投资人只能在相同收费模式下进行基金转换。前端收费模式的开放式基金只能转换到前端收费模式的其他基金，后端收费模式的基金只能转换到后端收费模式的其他基金。交银货币、债券基金C类基金份额与其他基金之间的转换不受上述收费模式的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3、基金转换采取未知价法，即基金的转换价格以申请受理当日各转出、转入基金的基金份额净值为基础进行计算。（货币市场基金的基金份额净值为固定价1.00元）。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4、投资人申请转出其账户内货币市场基金的基金份额时，注册登记机构将自动结转该转出份额对应的待支付收益，该收益将一并计入转出金额并折算为转入基金的基金份额，但收益部分不收取转换费用。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5、转换后，转入基金份额的持有时间将重新计算，即转入基金份额的持有期将自转入基金份额被确认日起重新开始计算。</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（八）暂停基金转换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视同为转出基金的赎回和转入基金的申购，因此有关转出基金和转入基金关于暂停或拒绝申购、暂停赎回的有关规定也一般适用于暂停基金转换。具体暂停或恢复基金转换的相关业务请详见届时本基金管理人发布的相关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单个开放日，基金净赎回申请份额（该基金赎回申请总份额加上基金转换中转出申请总份额扣除申购申请总份额及基金转换中转入申请总份额后的余额）超过上一日基金总份额的10%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12" w:name="_Toc147846763"/>
      <w:r>
        <w:rPr>
          <w:rFonts w:ascii="Times New Roman" w:hAnsi="Times New Roman"/>
          <w:sz w:val="30"/>
        </w:rPr>
        <w:lastRenderedPageBreak/>
        <w:t>十、基金的投资</w:t>
      </w:r>
      <w:bookmarkEnd w:id="12"/>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（一）投资目标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本基金在严格控制风险的前提下，充分发挥专业研究与管理能力，追求超越业绩比较基准的投资收益，力争为投资者提供长期稳健的投资回报。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（二）投资范围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国内依法发行上市的股票（含中小板、创业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股票投资（含存托凭证）占基金资产的比例为0%-45%（其中投资于港股通标的股票的比例占股票资产的0%-50%），同业存单投资占基金资产的比例不超过20%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（三）投资策略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和债券研究分析基础上，自下而上精选个股和个券；在保持总体风险水平相对稳定的基础上，力争获取投资组合的较高回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1、大类资产配置</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充分发挥基金管理人的研究优势，以长期历史数据为基础，运用稳健的投资理念和严谨的分析方法对经济基本面进行深入的定量和定性分析，确定基金资产在沪深A股、港股、债券及货币市场工具等各类别资产的初步分配比例。同时，再辅以投资时钟模型以及周期轮动理论“自上而下”对各类资产配比进行灵活调整，及时应对市场变化，在有效规避或控制市场风险的基础上，为投资者获取稳定的投资收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2、股票投资策略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（1）品质筛选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筛选出在公司治理、财务及管理品质上符合基本品质要求的公司，构建备选股票池。主要筛选指标包括：</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■盈利能力指标：如市盈率（P/E）、市现率（P/Cash Flow）、股价与每股自由现金流比率（P/FCF）、市销率（P/S）、股价与每股息税前利润比率（P/EBIT）、企业价值倍数（EV/EBITDA）等；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■经营效率指标：如净资产收益率（ROE）、资产收益率（ROA）、投入资本回报率(ROIC)等；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■财务状况指标：如资产负债率（D/A）、流动比率等。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（2）价值评估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（3）港股通标的股票投资策略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本基金可通过内地与香港股票市场交易互联互通机制投资于香港股票市场。本基金优先将基本面健康、业绩向上弹性较大、具有估值优势的港股纳入本基金的股票投资组合。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基金可根据投资策略需要或不同配置地市场环境的变化，选择将部分基金资产</w:t>
      </w:r>
      <w:r>
        <w:rPr>
          <w:rFonts w:ascii="宋体" w:hAnsi="宋体"/>
          <w:sz w:val="24"/>
        </w:rPr>
        <w:lastRenderedPageBreak/>
        <w:t>投资于港股或选择不将基金资产投资于港股，基金资产并非必然投资港股。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（4）存托凭证的投资策略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本基金投资存托凭证的策略依照境内上市交易的股票投资策略执行。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3、债券投资策略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本基金的债券投资采取主动的投资管理方式，获得与风险相匹配的投资收益，以实现在一定程度上规避股票市场的系统性风险和保证基金资产的流动性。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类属配置策略、期限结构配置策略、回购策略等多种策略，以期获取债券市场的长期稳定收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（1）久期调整策略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本基金根据中长期宏观经济走势和经济周期波动趋势，判断债券市场未来的走势，并形成对未来市场利率变动方向的预期，动态调整组合久期。</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（2）债券的类属配置策略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（3）期限结构配置策略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（4）回购策略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当回购利率低于债券收益率时，本基金将实施正回购融入资金并投资于信用债券等可投资标的，从而获取收益率超出回购资金成本（即回购利率）的套利价值。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（5）信用债券投资策略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本基金通过交银施罗德的信用债券信用评级指标体系，对信用债券进行信用评级，并在信用评级的基础上，建立本基金的信用债券池。基金经理从信用债券池中</w:t>
      </w:r>
      <w:r>
        <w:rPr>
          <w:rFonts w:ascii="宋体" w:hAnsi="宋体"/>
          <w:sz w:val="24"/>
        </w:rPr>
        <w:lastRenderedPageBreak/>
        <w:t>精选债券构建信用债券投资组合。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主动投资的信用债为信用评级在AA级（含）以上的信用债，对信用评级的认定参照基金管理人选定的评级机构出具的信用评级，其中，信用债的信用评级依照评级机构出具的债项信用评级，若无债项信用评级的或债项信用评级为A-1的，依照其主体信用评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于评级AA的信用债比例不高于信用债资产的20%，投资于评级AA+的信用债比例不高于信用债资产的70%，投资于评级AAA的信用债比例不低于信用债资产的50%。因信用评级下降、证券市场波动、基金规模变动等基金管理人之外的因素致使基金投资比例不符合上述规定的，基金管理人应当在评级报告发布之日或不符合上述规定之日起3个月内进行调整。上述信用债不包括可转换债券、可交换公司债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（6）可转换债券投资策略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可转换债券、可交换公司债券的比例合计不超过基金资产的20%；本基金对于可转换债券股性的研究将完全依托于公司投研团队对标的股票的研究，在此基础上利用可转换债券定价模型，充分考虑转债发行后目标转债标的股票股价波动率可能出现的变化，对目标转债的股性进行合理定价。通过对标的转债股性与债性的合理定价，力求寻找出被市场低估的品种，构建本基金可转换债券的投资组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1）行业配置策略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综合考虑各种宏观因素，以宏观经济走势、经济周期特征和阶段性市场投资主题的研究为基础，综合考量可转债市场的供给和需求情况，追求最优行业配置。同时，结合经济和市场阶段性特征，动态调整不同行业的可转换债券进行投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2）个券精选策略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借鉴信用债的基本面研究，从行业基本面、公司的信用资质、行业地位、财务状况等方面进行定性分析，精选财务稳健、信用违约风险小的个券；对于可转换为正股的转股价值，将通过盈利能力指标（如市盈率、市现率、股价与每股息税前利润比率等）、经营效率指标（如净资产收益率、资产收益率、经营资产回报率等）、财务状况指标（如资产负债率、流动比率等）等进行定量分析，选择基本面优质且估值合理的正股。综上所述，本基金将结合可转债自身的信用评估和其</w:t>
      </w:r>
      <w:r>
        <w:rPr>
          <w:rFonts w:ascii="宋体" w:hAnsi="宋体"/>
          <w:sz w:val="24"/>
        </w:rPr>
        <w:lastRenderedPageBreak/>
        <w:t>正股的价值分析来进行个券的筛选。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4、资产支持证券投资策略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5、股指期货投资策略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（四）投资限制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1、组合限制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基金的投资组合应遵循以下限制：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（1）股票投资（含存托凭证）占基金资产的比例为0%-45%（其中投资于港股通标的股票的比例占股票资产的0%-50%），同业存单投资占基金资产的比例不超过20%；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每个交易日日终在扣除股指期货合约需缴纳的交易保证金后，本基金持有的现金或者到期日在一年以内的政府债券的投资比例合计不低于基金资产净值的5%，其中现金不包括结算备付金、存出保证金和应收申购款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（3）本基金持有一家公司发行的证券（同一家公司在内地和香港同时上市的A+H 股合计计算），其市值不超过基金资产净值的10％；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（4）本基金管理人管理的全部基金持有一家公司发行的证券（同一家公司在</w:t>
      </w:r>
      <w:r>
        <w:rPr>
          <w:rFonts w:ascii="宋体" w:hAnsi="宋体"/>
          <w:sz w:val="24"/>
        </w:rPr>
        <w:lastRenderedPageBreak/>
        <w:t>内地和香港同时上市的A+H 股合计计算），不超过该证券的10％，完全按照有关指数的构成比例进行证券投资的基金品种可以不受此条款规定的比例限制；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（5）本基金投资于同一原始权益人的各类资产支持证券的比例，不得超过基金资产净值的10％；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（6）本基金持有的全部资产支持证券，其市值不得超过基金资产净值的20％；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（7）本基金持有的同一（指同一信用级别）资产支持证券的比例，不得超过该资产支持证券规模的10％；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（8）本基金管理人管理的全部基金投资于同一原始权益人的各类资产支持证券，不得超过其各类资产支持证券合计规模的10％；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（9）本基金应投资于信用级别评级为BBB以上（含BBB）的资产支持证券。基金持有资产支持证券期间，如果其信用等级下降、不再符合投资标准，应在评级报告发布之日起3个月内予以全部卖出；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（10）基金财产参与股票发行申购，本基金所申报的金额不超过本基金的总资产，本基金所申报的股票数量不超过拟发行股票公司本次发行股票的总量；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（11）本基金进入全国银行间同业市场进行债券回购的资金余额不得超过基金资产净值的40%，进入全国银行间同业市场进行债券回购的最长期限为1年，债券回购到期后不得展期；</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（14）本基金与私募类证券资管产品及中国证监会认定的其他主体为交易对手开展逆回购交易的，可接受质押品的资质要求应当与基金合同约定的投资范围保持一致；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（15）本基金参与股指期货交易，则：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1）本基金在任何交易日日终，持有的买入股指期货合约价值，不得超过基金资产净值的10%；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3）本基金在任何交易日日终，持有的卖出股指期货合约价值不得超过基金持有的股票总市值的20%；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4）本基金所持有的股票市值和买入、卖出股指期货合约价值，合计（轧差计算）应当符合基金合同关于股票投资比例的有关约定；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5）本基金在任何交易日内交易（不包括平仓）的股指期货合约的成交金额不得超过上一交易日基金资产净值的20%；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（16）本基金投资可转换债券、可交换公司债券的比例合计不超过基金资产的20%；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（17）本基金资产总值不超过基金资产净值的140%；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（18）本基金投资存托凭证的比例限制依照境内上市交易的股票执行；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（18）法律法规及中国证监会规定的和《基金合同》约定的其他投资限制。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2）、（9）、（13）、（14）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法律法规对上述投资组合比例限制进行变更的，以变更后的规定为准。法律法规或监管部门取消上述限制，如适用于本基金，基金管理人在履行适当程序后，则本基金投资不再受相关限制。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2、禁止行为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为维护基金份额持有人的合法权益，基金财产不得用于下列投资或者活动：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（1）承销证券；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（2）违反规定向他人贷款或者提供担保；</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（6）从事内幕交易、操纵证券交易价格及其他不正当的证券交易活动；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（7）法律、行政法规和中国证监会规定禁止的其他活动。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如法律、行政法规或监管部门取消上述规定，如适用于本基金，基金管理人在履行适当程序后，本基金可不受上述规定的限制。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（五）业绩比较基准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沪深300指数收益率×20%+恒生指数收益率×5%+中证综合债券指数收益率×75%</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沪深300指数是沪深证券交易所第一次联合发布的反映A股市场整体走势的指数，由中证指数有限公司编制和维护，是在上海和深圳证券市场中选取300只A股作为样本编制而成。该指数样本对沪深市场的覆盖度高，具有良好的市场代表性，投资者可以方便地从报纸、互联网等财经媒体中获取。沪深300指数引进国际指数编制和管理的经验，编制方法清晰透明，具有独立性和良好的市场流动性；与市场整体表现具有较高的相关度，且指数历史表现强于市场平均收益水平，适合作为本基金A股资产投资的业绩比较基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恒生指数是由恒生指数服务有限公司编制，以香港股票市场中的50 家上市股票为成份股样本，以其发行量为权数的加权平均股价指数，是反映香港股市价幅趋势最有影响的一种股价指数。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中证综合债券指数是综合反映银行间债券市场和沪深交易所债券市场国债、金</w:t>
      </w:r>
      <w:r>
        <w:rPr>
          <w:rFonts w:ascii="宋体" w:hAnsi="宋体"/>
          <w:sz w:val="24"/>
        </w:rPr>
        <w:lastRenderedPageBreak/>
        <w:t>融债、企业债、央行票据及短期融资券整体走势的跨市场债券指数，该指数旨在更全面地反映我国债券市场的整体价格变动趋势，具有较强的市场代表性，适合作为本基金债券资产投资的业绩比较基准。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根据本基金的投资范围和投资比例，选用上述业绩比较基准能够客观、合理地反映本基金的风险收益特征。</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上述基准指数停止计算编制或更改名称，或者今后法律法规发生变化，又或者市场推出更具权威、且更能够表征本基金风险收益特征的指数，则本基金管理人可与本基金托管人协商一致并按照监管部门要求履行适当程序后，调整或变更本基金的业绩比较基准并及时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（六）风险收益特征</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本基金是一只混合型基金，其预期风险和预期收益高于债券型基金和货币市场基金，低于股票型基金。</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本基金可投资港股通标的股票，会面临港股通机制下因投资环境、投资标的、市场制度以及交易规则等差异带来的特有风险。</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（七）基金管理人代表基金行使股东或债权人权利的处理原则及方法</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1、基金管理人按照国家有关规定代表基金独立行使股东或债权人权利，保护基金份额持有人的利益；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2、不谋求对上市公司的控股；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3、有利于基金财产的安全与增值；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4、不通过关联交易为自身、雇员、授权代理人或任何存在利害关系的第三人牟取任何不当利益。</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（八）侧袋机制的实施和投资运作安排</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侧袋机制实施期间，本部分约定的投资组合比例、投资策略、组合限制、业绩比较基准、风险收益特征等约定仅适用于主袋账户。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侧袋账户的实施条件、实施程序、运作安排、投资安排、特定资产的处置变现和支付等对投资者权益有重大影响的事项详见本招募说明书“侧袋机制”部分的规定。</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lastRenderedPageBreak/>
        <w:t>（九）基金投资组合报告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本基金管理人的董事会及董事保证本报告所载资料不存在虚假记载、误导性陈述或重大遗漏，并对其内容的真实性、准确性和完整性承担个别及连带责任。</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本基金托管人中信银行股份有限公司根据本基金合同规定，于2023年07月19日复核了本报告中的财务指标、净值表现和投资组合报告等内容，保证复核内容不存在虚假记载、误导性陈述或者重大遗漏。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本报告期为2023年04月01日起至06月30日。本报告财务资料未经审计师审计。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1、报告期末基金资产组合情况</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项目</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占基金总资产的比例（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权益投资</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69,715,993.14</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22.86</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其中：股票</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69,715,993.14</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22.86</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基金投资</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固定收益投资</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202,820,605.99</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66.52</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其中：债券</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202,820,605.99</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66.52</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资产支持证券</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贵金属投资</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金融衍生品投资</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10,995,161.23</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3.61</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其中：买断式回购的买入返售金融资产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银行存款和结算备付金合计</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15,272,472.95</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5.01</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其他资产</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6,106,595.23</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2.00</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304,910,828.54</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w:t>
            </w:r>
          </w:p>
        </w:tc>
      </w:tr>
    </w:tbl>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注：本基金本报告期末通过港股通机制投资香港股票的公允价值为4,290,982.51元，占基金资产净值比例为1.43%。</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2、报告期末按行业分类的股票投资组合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 报告期末按行业分类的境内股票投资组合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行业类别</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农、林、牧、渔业</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1,902,895.00</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0.64</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B</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采矿业</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2,842,245.00</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0.95</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制造业</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31,156,550.24</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10.42</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D</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电力、热力、燃气及水生产和供应业</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6,576,657.60</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2.20</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E</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建筑业</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5,012,498.80</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1.68</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F</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批发和零售业</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745,920.00</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0.25</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G</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交通运输、仓储和邮政业</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3,254,197.80</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1.09</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H</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住宿和餐饮业</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I</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信息传输、软件和信息技术服务业</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889,681.54</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0.30</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J</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金融业</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5,811,712.00</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1.94</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K</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房地产业</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3,946,011.00</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1.32</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L</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租赁和商务服务业</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M</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科学研究和技术服务业</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1,032,717.60</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0.35</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N</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水利、环境和公共设施管理业</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1,895,705.00</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0.63</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O</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居民服务、修理和其他服务业</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P</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教育</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Q</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卫生和社会工作</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358,219.05</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0.12</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R</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文化、体育和娱乐业</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S</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综合</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65,425,010.63</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21.88</w:t>
            </w:r>
          </w:p>
        </w:tc>
      </w:tr>
    </w:tbl>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 报告期末按行业分类的港股通投资股票投资组合</w:t>
      </w:r>
    </w:p>
    <w:tbl>
      <w:tblPr>
        <w:tblW w:w="5000" w:type="pct"/>
        <w:tblCellMar>
          <w:left w:w="0" w:type="dxa"/>
          <w:right w:w="0" w:type="dxa"/>
        </w:tblCellMar>
        <w:tblLook w:val="0000" w:firstRow="0" w:lastRow="0" w:firstColumn="0" w:lastColumn="0" w:noHBand="0" w:noVBand="0"/>
      </w:tblPr>
      <w:tblGrid>
        <w:gridCol w:w="1544"/>
        <w:gridCol w:w="4634"/>
        <w:gridCol w:w="2472"/>
      </w:tblGrid>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行业类别</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公允价值（人民币）</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通信服务</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1,312,532.57</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0.44</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1,155,757.25</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0.39</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原材料</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1,149,155.87</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0.38</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主要消费</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616,030.16</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0.21</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可选消费</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57,506.66</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0.02</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4,290,982.51</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1.43</w:t>
            </w:r>
          </w:p>
        </w:tc>
      </w:tr>
    </w:tbl>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注：本报告采用中证CICS一级分类标准编制。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3、期末按公允价值占基金资产净值比例大小排序的股票投资明细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 报告期末按公允价值占基金资产净值比例大小排序的前十名股票投资明细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数量（股）</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601985</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中国核电</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362,400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2,554,920.00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0.85</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001979</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招商蛇口</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179,700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2,341,491.00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0.78</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600011</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华能国际</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235,910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2,184,526.60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0.73</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002930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宏川智慧</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93,100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2,119,887.00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0.71</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5</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300498</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温氏股份</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103,700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1,902,895.00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0.64</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300750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宁德时代</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8,278</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1,893,923.62</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0.63</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601390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中国中铁</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247,900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1,879,082.00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0.63</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601336</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新华保险</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50,700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1,864,239.00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0.62</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000708</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中信特钢</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106,100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1,680,624.00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0.56</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600323</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瀚蓝环境</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85,300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1,614,729.00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0.54</w:t>
            </w:r>
          </w:p>
        </w:tc>
      </w:tr>
    </w:tbl>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4、报告期末按债券品种分类的债券投资组合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债券品种</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国家债券</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9,452,750.63</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3.16</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央行票据</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金融债券</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10,131,164.38</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3.39</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其中：政策性金融债</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10,131,164.38</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3.39</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企业债券</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71,585,334.81</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23.94</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企业短期融资券</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30,351,804.39</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10.15</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中期票据</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81,299,551.78</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27.18</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可转债（可交换债）</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同业存单</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202,820,605.99</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67.81</w:t>
            </w:r>
          </w:p>
        </w:tc>
      </w:tr>
    </w:tbl>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5、报告期末按公允价值占基金资产净值比例大小排序的前五名债券投资明细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数量（张）</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143747</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18</w:t>
            </w:r>
            <w:r>
              <w:rPr>
                <w:rFonts w:ascii="Times New Roman" w:hAnsi="Times New Roman"/>
                <w:color w:val="000000"/>
                <w:kern w:val="0"/>
                <w:sz w:val="25"/>
                <w:szCs w:val="24"/>
              </w:rPr>
              <w:t>粤财</w:t>
            </w:r>
            <w:r>
              <w:rPr>
                <w:rFonts w:ascii="Times New Roman" w:hAnsi="Times New Roman"/>
                <w:color w:val="000000"/>
                <w:kern w:val="0"/>
                <w:sz w:val="25"/>
                <w:szCs w:val="24"/>
              </w:rPr>
              <w:t>02</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200,000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20,436,531.51</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6.83</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155618</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19</w:t>
            </w:r>
            <w:r>
              <w:rPr>
                <w:rFonts w:ascii="Times New Roman" w:hAnsi="Times New Roman"/>
                <w:color w:val="000000"/>
                <w:kern w:val="0"/>
                <w:sz w:val="25"/>
                <w:szCs w:val="24"/>
              </w:rPr>
              <w:t>东航</w:t>
            </w:r>
            <w:r>
              <w:rPr>
                <w:rFonts w:ascii="Times New Roman" w:hAnsi="Times New Roman"/>
                <w:color w:val="000000"/>
                <w:kern w:val="0"/>
                <w:sz w:val="25"/>
                <w:szCs w:val="24"/>
              </w:rPr>
              <w:t>01</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10,356,547.95</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3.46</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102102025</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21</w:t>
            </w:r>
            <w:r>
              <w:rPr>
                <w:rFonts w:ascii="Times New Roman" w:hAnsi="Times New Roman"/>
                <w:color w:val="000000"/>
                <w:kern w:val="0"/>
                <w:sz w:val="25"/>
                <w:szCs w:val="24"/>
              </w:rPr>
              <w:t>深圳地铁</w:t>
            </w:r>
            <w:r>
              <w:rPr>
                <w:rFonts w:ascii="Times New Roman" w:hAnsi="Times New Roman"/>
                <w:color w:val="000000"/>
                <w:kern w:val="0"/>
                <w:sz w:val="25"/>
                <w:szCs w:val="24"/>
              </w:rPr>
              <w:t>MTN005</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10,328,649.86</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3.45</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188426</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21</w:t>
            </w:r>
            <w:r>
              <w:rPr>
                <w:rFonts w:ascii="Times New Roman" w:hAnsi="Times New Roman"/>
                <w:color w:val="000000"/>
                <w:kern w:val="0"/>
                <w:sz w:val="25"/>
                <w:szCs w:val="24"/>
              </w:rPr>
              <w:t>铁工</w:t>
            </w:r>
            <w:r>
              <w:rPr>
                <w:rFonts w:ascii="Times New Roman" w:hAnsi="Times New Roman"/>
                <w:color w:val="000000"/>
                <w:kern w:val="0"/>
                <w:sz w:val="25"/>
                <w:szCs w:val="24"/>
              </w:rPr>
              <w:t>01</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10,299,059.18</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3.44</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102100276</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21</w:t>
            </w:r>
            <w:r>
              <w:rPr>
                <w:rFonts w:ascii="Times New Roman" w:hAnsi="Times New Roman"/>
                <w:color w:val="000000"/>
                <w:kern w:val="0"/>
                <w:sz w:val="25"/>
                <w:szCs w:val="24"/>
              </w:rPr>
              <w:t>陕延油</w:t>
            </w:r>
            <w:r>
              <w:rPr>
                <w:rFonts w:ascii="Times New Roman" w:hAnsi="Times New Roman"/>
                <w:color w:val="000000"/>
                <w:kern w:val="0"/>
                <w:sz w:val="25"/>
                <w:szCs w:val="24"/>
              </w:rPr>
              <w:t>MTN001</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10,224,703.01</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3.42</w:t>
            </w:r>
          </w:p>
        </w:tc>
      </w:tr>
    </w:tbl>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6、报告期末按公允价值占基金资产净值比例大小排序的前十名资产支持证券投资明细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7、报告期末按公允价值占基金资产净值比例大小排序的前五名贵金属投资明细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8、报告期末按公允价值占基金资产净值比例大小排序的前五名权证投资明细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9、报告期末本基金投资的股指期货交易情况说明</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9.1 报告期末本基金投资的股指期货持仓和损益明细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9.2 本基金投资股指期货的投资政策</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10、报告期末本基金投资的国债期货交易情况说明</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10.1 本期国债期货投资政策</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10.2 报告期末本基金投资的国债期货持仓和损益明细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10.3 本期国债期货投资评价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11、投资组合报告附注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11.1 本基金投资的前十名证券的发行主体本期是否出现被监管部门立案调查，或在报告编制日前一年内受到公开谴责、处罚的情形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报告期内本基金投资的前十名证券的发行主体未被监管部门立案调查，在本报告编制日前一年内本基金投资的前十名证券的发行主体未受到公开谴责和处罚。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11.2 基金投资的前十名股票是否超出基金合同规定的备选股票库</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基金投资的前十名股票中，没有超出基金合同规定的备选股票库之外的股票。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11.3 其他资产构成</w:t>
      </w:r>
    </w:p>
    <w:tbl>
      <w:tblPr>
        <w:tblW w:w="5000" w:type="pct"/>
        <w:tblCellMar>
          <w:left w:w="0" w:type="dxa"/>
          <w:right w:w="0" w:type="dxa"/>
        </w:tblCellMar>
        <w:tblLook w:val="0000" w:firstRow="0" w:lastRow="0" w:firstColumn="0" w:lastColumn="0" w:noHBand="0" w:noVBand="0"/>
      </w:tblPr>
      <w:tblGrid>
        <w:gridCol w:w="1544"/>
        <w:gridCol w:w="4634"/>
        <w:gridCol w:w="2472"/>
      </w:tblGrid>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名称</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存出保证金</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80,289.71</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应收证券清算款</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6,007,258.16</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应收股利</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18,997.76</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应收利息</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应收申购款</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49.60</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其他应收款</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right"/>
              <w:rPr>
                <w:rFonts w:ascii="宋体" w:hAnsi="宋体"/>
                <w:color w:val="000000"/>
                <w:kern w:val="0"/>
                <w:sz w:val="25"/>
                <w:szCs w:val="24"/>
              </w:rPr>
            </w:pPr>
            <w:r>
              <w:rPr>
                <w:rFonts w:ascii="Times New Roman" w:hAnsi="Times New Roman"/>
                <w:color w:val="000000"/>
                <w:kern w:val="0"/>
                <w:sz w:val="25"/>
                <w:szCs w:val="24"/>
              </w:rPr>
              <w:t>6,106,595.23</w:t>
            </w:r>
          </w:p>
        </w:tc>
      </w:tr>
    </w:tbl>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11.4 报告期末持有的处于转股期的可转换债券明细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无。</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11.5 报告期末前十名股票中存在流通受限情况的说明</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11.6 投资组合报告附注的其他文字描述部分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由于四舍五入的原因，分项之和与合计项之间可能存在尾差。</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13" w:name="_Toc147846764"/>
      <w:r>
        <w:rPr>
          <w:rFonts w:ascii="Times New Roman" w:hAnsi="Times New Roman"/>
          <w:sz w:val="30"/>
        </w:rPr>
        <w:lastRenderedPageBreak/>
        <w:t>十一、基金的业绩</w:t>
      </w:r>
      <w:bookmarkEnd w:id="13"/>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基金业绩截止日为2023年06月30日，所载财务数据未经审计师审计。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1、基金份额净值增长率及其与同期业绩比较基准收益率的比较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（1）交银臻选回报混合A</w:t>
      </w:r>
    </w:p>
    <w:tbl>
      <w:tblPr>
        <w:tblW w:w="5000" w:type="pct"/>
        <w:tblCellMar>
          <w:left w:w="0" w:type="dxa"/>
          <w:right w:w="0" w:type="dxa"/>
        </w:tblCellMar>
        <w:tblLook w:val="0000" w:firstRow="0" w:lastRow="0" w:firstColumn="0" w:lastColumn="0" w:noHBand="0" w:noVBand="0"/>
      </w:tblPr>
      <w:tblGrid>
        <w:gridCol w:w="1297"/>
        <w:gridCol w:w="1297"/>
        <w:gridCol w:w="1297"/>
        <w:gridCol w:w="1298"/>
        <w:gridCol w:w="1298"/>
        <w:gridCol w:w="1298"/>
        <w:gridCol w:w="865"/>
      </w:tblGrid>
      <w:tr w:rsidR="00DB758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rsidR="00DB758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0.16%</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0.21%</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r>
      <w:tr w:rsidR="00DB758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2023</w:t>
            </w:r>
            <w:r>
              <w:rPr>
                <w:rFonts w:ascii="Times New Roman" w:hAnsi="Times New Roman"/>
                <w:color w:val="000000"/>
                <w:kern w:val="0"/>
                <w:sz w:val="25"/>
                <w:szCs w:val="24"/>
              </w:rPr>
              <w:t>上半年</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2.14%</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0.18%</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1.77%</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0.22%</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0.37%</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r>
      <w:tr w:rsidR="00DB758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2022</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-2.79%</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0.23%</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-2.71%</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0.33%</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-0.08%</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-0.10%</w:t>
            </w:r>
          </w:p>
        </w:tc>
      </w:tr>
      <w:tr w:rsidR="00DB758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2021</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7.97%</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0.22%</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2.36%</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0.28%</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5.61%</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r>
      <w:tr w:rsidR="00DB758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2020</w:t>
            </w:r>
            <w:r>
              <w:rPr>
                <w:rFonts w:ascii="Times New Roman" w:hAnsi="Times New Roman"/>
                <w:color w:val="000000"/>
                <w:kern w:val="0"/>
                <w:sz w:val="25"/>
                <w:szCs w:val="24"/>
              </w:rPr>
              <w:t>年度（自基金合同生效起</w:t>
            </w:r>
            <w:r>
              <w:rPr>
                <w:rFonts w:ascii="Times New Roman" w:hAnsi="Times New Roman"/>
                <w:color w:val="000000"/>
                <w:kern w:val="0"/>
                <w:sz w:val="25"/>
                <w:szCs w:val="24"/>
              </w:rPr>
              <w:t>2020</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0.22%</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1.39%</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0.18%</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-1.17%</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-0.13%</w:t>
            </w:r>
          </w:p>
        </w:tc>
      </w:tr>
    </w:tbl>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（2）交银臻选回报混合C</w:t>
      </w:r>
    </w:p>
    <w:tbl>
      <w:tblPr>
        <w:tblW w:w="5000" w:type="pct"/>
        <w:tblCellMar>
          <w:left w:w="0" w:type="dxa"/>
          <w:right w:w="0" w:type="dxa"/>
        </w:tblCellMar>
        <w:tblLook w:val="0000" w:firstRow="0" w:lastRow="0" w:firstColumn="0" w:lastColumn="0" w:noHBand="0" w:noVBand="0"/>
      </w:tblPr>
      <w:tblGrid>
        <w:gridCol w:w="1297"/>
        <w:gridCol w:w="1297"/>
        <w:gridCol w:w="1297"/>
        <w:gridCol w:w="1298"/>
        <w:gridCol w:w="1298"/>
        <w:gridCol w:w="1298"/>
        <w:gridCol w:w="865"/>
      </w:tblGrid>
      <w:tr w:rsidR="00DB7585" w:rsidTr="007F313C">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5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rsidR="00DB7585" w:rsidTr="007F313C">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0.16%</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0.21%</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c>
          <w:tcPr>
            <w:tcW w:w="5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r>
      <w:tr w:rsidR="00DB7585" w:rsidTr="007F313C">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2023</w:t>
            </w:r>
            <w:r>
              <w:rPr>
                <w:rFonts w:ascii="Times New Roman" w:hAnsi="Times New Roman"/>
                <w:color w:val="000000"/>
                <w:kern w:val="0"/>
                <w:sz w:val="25"/>
                <w:szCs w:val="24"/>
              </w:rPr>
              <w:t>上半年</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2.08%</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0.18%</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1.77%</w:t>
            </w:r>
            <w:bookmarkStart w:id="14" w:name="_GoBack"/>
            <w:bookmarkEnd w:id="14"/>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0.22%</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0.31%</w:t>
            </w:r>
          </w:p>
        </w:tc>
        <w:tc>
          <w:tcPr>
            <w:tcW w:w="5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r>
      <w:tr w:rsidR="00BC68F8" w:rsidTr="00BC68F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BC68F8" w:rsidRDefault="00BC68F8" w:rsidP="00BC68F8">
            <w:pPr>
              <w:widowControl/>
              <w:snapToGrid w:val="0"/>
              <w:jc w:val="left"/>
              <w:rPr>
                <w:rFonts w:ascii="宋体" w:hAnsi="宋体"/>
                <w:color w:val="000000"/>
                <w:kern w:val="0"/>
                <w:sz w:val="25"/>
                <w:szCs w:val="24"/>
              </w:rPr>
            </w:pPr>
            <w:r>
              <w:rPr>
                <w:rFonts w:ascii="Times New Roman" w:hAnsi="Times New Roman"/>
                <w:color w:val="000000"/>
                <w:kern w:val="0"/>
                <w:sz w:val="25"/>
                <w:szCs w:val="24"/>
              </w:rPr>
              <w:t>2022</w:t>
            </w:r>
            <w:r>
              <w:rPr>
                <w:rFonts w:ascii="Times New Roman" w:hAnsi="Times New Roman"/>
                <w:color w:val="000000"/>
                <w:kern w:val="0"/>
                <w:sz w:val="25"/>
                <w:szCs w:val="24"/>
              </w:rPr>
              <w:t>年度（自基金合同生效日起至</w:t>
            </w:r>
            <w:r>
              <w:rPr>
                <w:rFonts w:ascii="Times New Roman" w:hAnsi="Times New Roman"/>
                <w:color w:val="000000"/>
                <w:kern w:val="0"/>
                <w:sz w:val="25"/>
                <w:szCs w:val="24"/>
              </w:rPr>
              <w:t>2022</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BC68F8" w:rsidRPr="00BC68F8" w:rsidRDefault="00BC68F8" w:rsidP="00BC68F8">
            <w:pPr>
              <w:widowControl/>
              <w:snapToGrid w:val="0"/>
              <w:jc w:val="left"/>
              <w:rPr>
                <w:rFonts w:ascii="Times New Roman" w:hAnsi="Times New Roman"/>
                <w:color w:val="000000"/>
                <w:kern w:val="0"/>
                <w:sz w:val="25"/>
                <w:szCs w:val="24"/>
              </w:rPr>
            </w:pPr>
            <w:r w:rsidRPr="00BC68F8">
              <w:rPr>
                <w:rFonts w:ascii="Times New Roman" w:hAnsi="Times New Roman"/>
                <w:color w:val="000000"/>
                <w:kern w:val="0"/>
                <w:sz w:val="25"/>
                <w:szCs w:val="24"/>
              </w:rPr>
              <w:t>-1.48%</w:t>
            </w:r>
          </w:p>
        </w:tc>
        <w:tc>
          <w:tcPr>
            <w:tcW w:w="750" w:type="pct"/>
            <w:tcBorders>
              <w:top w:val="single" w:sz="4" w:space="0" w:color="auto"/>
              <w:left w:val="single" w:sz="4" w:space="0" w:color="auto"/>
              <w:bottom w:val="single" w:sz="4" w:space="0" w:color="auto"/>
              <w:right w:val="single" w:sz="4" w:space="0" w:color="auto"/>
            </w:tcBorders>
            <w:vAlign w:val="center"/>
          </w:tcPr>
          <w:p w:rsidR="00BC68F8" w:rsidRPr="00BC68F8" w:rsidRDefault="00BC68F8" w:rsidP="00BC68F8">
            <w:pPr>
              <w:widowControl/>
              <w:snapToGrid w:val="0"/>
              <w:jc w:val="left"/>
              <w:rPr>
                <w:rFonts w:ascii="Times New Roman" w:hAnsi="Times New Roman"/>
                <w:color w:val="000000"/>
                <w:kern w:val="0"/>
                <w:sz w:val="25"/>
                <w:szCs w:val="24"/>
              </w:rPr>
            </w:pPr>
            <w:r w:rsidRPr="00BC68F8">
              <w:rPr>
                <w:rFonts w:ascii="Times New Roman" w:hAnsi="Times New Roman"/>
                <w:color w:val="000000"/>
                <w:kern w:val="0"/>
                <w:sz w:val="25"/>
                <w:szCs w:val="24"/>
              </w:rPr>
              <w:t>0.16%</w:t>
            </w:r>
          </w:p>
        </w:tc>
        <w:tc>
          <w:tcPr>
            <w:tcW w:w="750" w:type="pct"/>
            <w:tcBorders>
              <w:top w:val="single" w:sz="4" w:space="0" w:color="auto"/>
              <w:left w:val="single" w:sz="4" w:space="0" w:color="auto"/>
              <w:bottom w:val="single" w:sz="4" w:space="0" w:color="auto"/>
              <w:right w:val="single" w:sz="4" w:space="0" w:color="auto"/>
            </w:tcBorders>
            <w:vAlign w:val="center"/>
          </w:tcPr>
          <w:p w:rsidR="00BC68F8" w:rsidRPr="00BC68F8" w:rsidRDefault="00BC68F8" w:rsidP="00BC68F8">
            <w:pPr>
              <w:widowControl/>
              <w:snapToGrid w:val="0"/>
              <w:jc w:val="left"/>
              <w:rPr>
                <w:rFonts w:ascii="Times New Roman" w:hAnsi="Times New Roman"/>
                <w:color w:val="000000"/>
                <w:kern w:val="0"/>
                <w:sz w:val="25"/>
                <w:szCs w:val="24"/>
              </w:rPr>
            </w:pPr>
            <w:r w:rsidRPr="00BC68F8">
              <w:rPr>
                <w:rFonts w:ascii="Times New Roman" w:hAnsi="Times New Roman"/>
                <w:color w:val="000000"/>
                <w:kern w:val="0"/>
                <w:sz w:val="25"/>
                <w:szCs w:val="24"/>
              </w:rPr>
              <w:t>-1.21%</w:t>
            </w:r>
          </w:p>
        </w:tc>
        <w:tc>
          <w:tcPr>
            <w:tcW w:w="750" w:type="pct"/>
            <w:tcBorders>
              <w:top w:val="single" w:sz="4" w:space="0" w:color="auto"/>
              <w:left w:val="single" w:sz="4" w:space="0" w:color="auto"/>
              <w:bottom w:val="single" w:sz="4" w:space="0" w:color="auto"/>
              <w:right w:val="single" w:sz="4" w:space="0" w:color="auto"/>
            </w:tcBorders>
            <w:vAlign w:val="center"/>
          </w:tcPr>
          <w:p w:rsidR="00BC68F8" w:rsidRPr="00BC68F8" w:rsidRDefault="00BC68F8" w:rsidP="00BC68F8">
            <w:pPr>
              <w:widowControl/>
              <w:snapToGrid w:val="0"/>
              <w:jc w:val="left"/>
              <w:rPr>
                <w:rFonts w:ascii="Times New Roman" w:hAnsi="Times New Roman"/>
                <w:color w:val="000000"/>
                <w:kern w:val="0"/>
                <w:sz w:val="25"/>
                <w:szCs w:val="24"/>
              </w:rPr>
            </w:pPr>
            <w:r w:rsidRPr="00BC68F8">
              <w:rPr>
                <w:rFonts w:ascii="Times New Roman" w:hAnsi="Times New Roman"/>
                <w:color w:val="000000"/>
                <w:kern w:val="0"/>
                <w:sz w:val="25"/>
                <w:szCs w:val="24"/>
              </w:rPr>
              <w:t>0.30%</w:t>
            </w:r>
          </w:p>
        </w:tc>
        <w:tc>
          <w:tcPr>
            <w:tcW w:w="750" w:type="pct"/>
            <w:tcBorders>
              <w:top w:val="single" w:sz="4" w:space="0" w:color="auto"/>
              <w:left w:val="single" w:sz="4" w:space="0" w:color="auto"/>
              <w:bottom w:val="single" w:sz="4" w:space="0" w:color="auto"/>
              <w:right w:val="single" w:sz="4" w:space="0" w:color="auto"/>
            </w:tcBorders>
            <w:vAlign w:val="center"/>
          </w:tcPr>
          <w:p w:rsidR="00BC68F8" w:rsidRPr="00BC68F8" w:rsidRDefault="00BC68F8" w:rsidP="00BC68F8">
            <w:pPr>
              <w:widowControl/>
              <w:snapToGrid w:val="0"/>
              <w:jc w:val="left"/>
              <w:rPr>
                <w:rFonts w:ascii="Times New Roman" w:hAnsi="Times New Roman"/>
                <w:color w:val="000000"/>
                <w:kern w:val="0"/>
                <w:sz w:val="25"/>
                <w:szCs w:val="24"/>
              </w:rPr>
            </w:pPr>
            <w:r w:rsidRPr="00BC68F8">
              <w:rPr>
                <w:rFonts w:ascii="Times New Roman" w:hAnsi="Times New Roman"/>
                <w:color w:val="000000"/>
                <w:kern w:val="0"/>
                <w:sz w:val="25"/>
                <w:szCs w:val="24"/>
              </w:rPr>
              <w:t>-0.27%</w:t>
            </w:r>
          </w:p>
        </w:tc>
        <w:tc>
          <w:tcPr>
            <w:tcW w:w="500" w:type="pct"/>
            <w:tcBorders>
              <w:top w:val="single" w:sz="4" w:space="0" w:color="auto"/>
              <w:left w:val="single" w:sz="4" w:space="0" w:color="auto"/>
              <w:bottom w:val="single" w:sz="4" w:space="0" w:color="auto"/>
              <w:right w:val="single" w:sz="4" w:space="0" w:color="auto"/>
            </w:tcBorders>
            <w:vAlign w:val="center"/>
          </w:tcPr>
          <w:p w:rsidR="00BC68F8" w:rsidRPr="00BC68F8" w:rsidRDefault="00BC68F8" w:rsidP="00BC68F8">
            <w:pPr>
              <w:widowControl/>
              <w:snapToGrid w:val="0"/>
              <w:jc w:val="left"/>
              <w:rPr>
                <w:rFonts w:ascii="Times New Roman" w:hAnsi="Times New Roman"/>
                <w:color w:val="000000"/>
                <w:kern w:val="0"/>
                <w:sz w:val="25"/>
                <w:szCs w:val="24"/>
              </w:rPr>
            </w:pPr>
            <w:r w:rsidRPr="00BC68F8">
              <w:rPr>
                <w:rFonts w:ascii="Times New Roman" w:hAnsi="Times New Roman"/>
                <w:color w:val="000000"/>
                <w:kern w:val="0"/>
                <w:sz w:val="25"/>
                <w:szCs w:val="24"/>
              </w:rPr>
              <w:t>-0.14%</w:t>
            </w:r>
          </w:p>
        </w:tc>
      </w:tr>
    </w:tbl>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注：本基金的业绩比较基准为沪深300指数收益率×20%+恒生指数收益率×5%+ 中证综合债券指数收益率×75%，每日进行再平衡过程。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2、自基金合同生效以来基金份额累计净值增长率变动及其与同期业绩比较基</w:t>
      </w:r>
      <w:r>
        <w:rPr>
          <w:rFonts w:ascii="宋体" w:hAnsi="宋体"/>
          <w:sz w:val="24"/>
        </w:rPr>
        <w:lastRenderedPageBreak/>
        <w:t>准收益率变动的比较</w:t>
      </w:r>
    </w:p>
    <w:p w:rsidR="00DB7585" w:rsidRDefault="00966A29">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交银施罗德臻选回报混合型证券投资基金</w:t>
      </w:r>
    </w:p>
    <w:p w:rsidR="00DB7585" w:rsidRDefault="00966A29">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份额累计净值增长率与业绩比较基准收益率的历史走势对比图</w:t>
      </w:r>
    </w:p>
    <w:p w:rsidR="00DB7585" w:rsidRDefault="00966A29">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（2020年12月23日至2023年06月30日）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（1）交银臻选回报混合A</w:t>
      </w:r>
    </w:p>
    <w:p w:rsidR="00DB7585" w:rsidRDefault="00BC68F8">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drawing>
          <wp:inline distT="0" distB="0" distL="0" distR="0">
            <wp:extent cx="5581650" cy="3409950"/>
            <wp:effectExtent l="0" t="0" r="0" b="0"/>
            <wp:docPr id="4"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212566102420208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3409950"/>
                    </a:xfrm>
                    <a:prstGeom prst="rect">
                      <a:avLst/>
                    </a:prstGeom>
                    <a:noFill/>
                    <a:ln>
                      <a:noFill/>
                    </a:ln>
                  </pic:spPr>
                </pic:pic>
              </a:graphicData>
            </a:graphic>
          </wp:inline>
        </w:drawing>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注：本基金建仓期为自基金合同生效日起的6个月。截至建仓期结束，本基金各项资产配置比例符合基金合同及招募说明书有关投资比例的约定。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（2）交银臻选回报混合C</w:t>
      </w:r>
    </w:p>
    <w:p w:rsidR="00DB7585" w:rsidRDefault="00BC68F8">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lastRenderedPageBreak/>
        <w:drawing>
          <wp:inline distT="0" distB="0" distL="0" distR="0">
            <wp:extent cx="5581650" cy="3409950"/>
            <wp:effectExtent l="0" t="0" r="0" b="0"/>
            <wp:docPr id="3" name="图片 3"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212566102420208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0" cy="3409950"/>
                    </a:xfrm>
                    <a:prstGeom prst="rect">
                      <a:avLst/>
                    </a:prstGeom>
                    <a:noFill/>
                    <a:ln>
                      <a:noFill/>
                    </a:ln>
                  </pic:spPr>
                </pic:pic>
              </a:graphicData>
            </a:graphic>
          </wp:inline>
        </w:drawing>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注：1、本基金建仓期为自基金合同生效日起的6个月。截至建仓期结束，本基金各项资产配置比例符合基金合同及招募说明书有关投资比例的约定。 2、本基金自2023年7月12日起，开始销售C类份额，投资者提交的申购申请于2023年7月13日被确认并将有效份额登记在册</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15" w:name="_Toc147846765"/>
      <w:r>
        <w:rPr>
          <w:rFonts w:ascii="Times New Roman" w:hAnsi="Times New Roman"/>
          <w:sz w:val="30"/>
        </w:rPr>
        <w:lastRenderedPageBreak/>
        <w:t>十二、基金的财产</w:t>
      </w:r>
      <w:bookmarkEnd w:id="15"/>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（一）基金资产总值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基金资产总值是指基金拥有的各类有价证券、股指期货合约、银行存款本息、基金应收申购款及其他资产的价值总和。</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（二）基金资产净值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（三）基金财产的账户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（四）基金财产的保管和处分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16" w:name="_Toc147846766"/>
      <w:r>
        <w:rPr>
          <w:rFonts w:ascii="Times New Roman" w:hAnsi="Times New Roman"/>
          <w:sz w:val="30"/>
        </w:rPr>
        <w:t>十三、基金资产的估值</w:t>
      </w:r>
      <w:bookmarkEnd w:id="16"/>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（一）估值日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本基金的估值日为本基金相关的证券交易场所的交易日以及国家法律法规规定需要对外披露基金净值的非交易日。</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（二）估值对象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基金所拥有的股票、债券、衍生工具和其他投资等持续以公允价值计量的金融资产及负债。</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（三）估值原则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基金管理人在确定相关金融资产和金融负债的公允价值时，应符合《企业会计准则》、监管部门有关规定。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3、如经济环境发生重大变化或证券发行人发生影响证券价格的重大事件，使潜在估值调整对前一估值日的基金资产净值的影响在0.25%以上的，应对估值进行调整并确定公允价值。</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（四）估值方法</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1、证券交易所上市的有价证券的估值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（2）交易所上市交易或挂牌转让的固定收益品种（另有规定的除外），选取估值日第三方估值机构提供的相应品种当日的估值净价进行估值；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交易所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（4）交易所上市实行全价交易的债券（可转债除外），选取第三方估值机构提供的估值全价减去估值全价中所含的债券（税后）应收利息得到的净价进行估值；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（5）交易所上市不存在活跃市场的有价证券，采用估值技术确定公允价值。交易所市场挂牌转让的资产支持证券，采用估值技术确定公允价值；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2、处于未上市期间的有价证券应区分如下情况处理：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（1）送股、转增股、配股和公开增发的新股，按估值日在证券交易所挂牌的同一股票的估值方法估值；该日无交易的，以最近一日的市价（收盘价）估值；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（2）首次公开发行未上市的股票和债券，采用估值技术确定公允价值，在估值技术难以可靠计量公允价值的情况下，按成本估值；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（3）在发行时明确一定期限限售期的股票，包括但不限于非公开发行股票、</w:t>
      </w:r>
      <w:r>
        <w:rPr>
          <w:rFonts w:ascii="宋体" w:hAnsi="宋体"/>
          <w:sz w:val="24"/>
        </w:rPr>
        <w:lastRenderedPageBreak/>
        <w:t>首次公开发行股票时公司股东公开发售股份、通过大宗交易取得的带限售期的股票等，不包括停牌、新发行未上市、回购交易中的质押券等流通受限股票，按监管机构或行业协会有关规定确定公允价值。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4、本基金投资股指期货合约，一般以估值当日结算价进行估值，估值当日无结算价的，且最近交易日后经济环境未发生重大变化的，采用最近交易日结算价估值。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5、同一股票同时在两个或两个以上市场交易的，按股票所处的市场分别估值。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估值计算中涉及港币对人民币汇率的，将依据下列信息提供机构所提供的汇率为基准：当日中国人民银行或其授权机构公布的人民币汇率中间价。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6、如有确凿证据表明按上述方法进行估值不能客观反映其公允价值的，基金管理人可根据具体情况与基金托管人商定后，按最能反映公允价值的价格估值。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7、当发生大额申购或赎回情形时，基金管理人可以采用摆动定价机制，以确保基金估值的公平性。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8、本基金投资存托凭证的估值核算依照境内上市交易的股票执行。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9、相关法律法规以及监管部门有强制规定的，从其规定。如有新增事项，按国家最新规定估值。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w:t>
      </w:r>
      <w:r>
        <w:rPr>
          <w:rFonts w:ascii="宋体" w:hAnsi="宋体"/>
          <w:sz w:val="24"/>
        </w:rPr>
        <w:lastRenderedPageBreak/>
        <w:t>方，共同查明原因，双方协商解决。</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（五）估值程序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各类基金份额的基金份额净值是按照每个工作日闭市后，该类基金份额的基金资产净值除以当日该类基金份额的余额数量计算，精确到0.0001元，小数点后第5位四舍五入。基金管理人可以设立大额赎回情形下的净值精度应急调整机制，具体可参见相关公告。国家另有规定的，从其规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基金管理人于每个工作日计算各类基金份额的基金资产净值及基金份额净值，并按规定公告。如遇特殊情况，经履行适当程序，可以适当延迟计算或公告。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依据基金合同和相关法律法规的规定对外公布。</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（六）估值错误的处理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基金管理人和基金托管人将采取必要、适当、合理的措施确保基金资产估值的准确性、及时性。当基金份额净值小数点后4位以内（含第4位）发生估值错误时，视为基金份额净值错误。</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基金合同的当事人应按照以下约定处理：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1、估值错误类型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对于因技术原因引起的差错，若系同行业现有技术水平无法预见、无法避免、无法抗拒，则属不可抗力，按照下述规定执行。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2、估值错误处理原则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（2）估值错误的责任方对有关当事人的直接损失负责，不对间接损失负责，并且仅对估值错误的有关直接当事人负责，不对第三方负责。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（4）估值错误调整采用尽量恢复至假设未发生估值错误的正确情形的方式。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（5）按法律法规规定的其他原则处理估值错误。</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3、估值错误处理程序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估值错误被发现后，有关的当事人应当及时进行处理，处理的程序如下：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（1）查明估值错误发生的原因，列明所有的当事人，并根据估值错误发生的原因确定估值错误的责任方；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（2）根据估值错误处理原则或当事人协商的方法对因估值错误造成的损失进行评估；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（3）根据估值错误处理原则或当事人协商的方法由估值错误的责任方进行更正和赔偿损失；</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（4）根据估值错误处理的方法，需要修改基金登记机构交易数据的，由基金</w:t>
      </w:r>
      <w:r>
        <w:rPr>
          <w:rFonts w:ascii="宋体" w:hAnsi="宋体"/>
          <w:sz w:val="24"/>
        </w:rPr>
        <w:lastRenderedPageBreak/>
        <w:t>登记机构进行更正，并就估值错误的更正向有关当事人进行确认。</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4、基金份额净值估值错误处理的方法如下：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（1）基金份额净值计算出现错误时，基金管理人应当立即予以纠正，通报基金托管人，并采取合理的措施防止损失进一步扩大。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（2）错误偏差达到基金份额净值的0.25%时，基金管理人应当通报基金托管人并报中国证监会备案；错误偏差达到基金份额净值的0.5%时，基金管理人应当公告，并报中国证监会备案。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（3）前述内容如法律法规或监管机关另有规定的，从其规定处理。</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（七）暂停估值的情形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1、基金投资所涉及的证券、期货交易市场遇法定节假日或因其他原因暂停营业时；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2、因不可抗力致使基金管理人、基金托管人无法准确评估基金资产价值时；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3、当特定资产占前一估值日基金资产净值50%以上的，经与基金托管人协商确认后，基金管理人应当暂停估值；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4、法律法规、中国证监会和基金合同认定的其它情形。</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（八）基金净值的确认</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类基金份额的基金资产净值和基金份额净值由基金管理人负责计算，基金托管人负责进行复核。基金管理人应于每个开放日交易结束后计算当日各类基金份额的基金资产净值和基金份额净值并发送给基金托管人。基金托管人对净值计算结果复核确认后发送给基金管理人，由基金管理人依据基金合同和相关法律法规的规定对基金净值予以公布。</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（九）特殊情形的处理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1、基金管理人或基金托管人按估值方法的第6项进行估值时，所造成的误差不作为基金资产估值错误处理。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（十）实施侧袋机制期间的基金资产估值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本基金实施侧袋机制的，应根据本部分的约定对主袋账户资产进行估值并披露主袋账户的基金净值信息，暂停披露侧袋账户份额净值。</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17" w:name="_Toc147846767"/>
      <w:r>
        <w:rPr>
          <w:rFonts w:ascii="Times New Roman" w:hAnsi="Times New Roman"/>
          <w:sz w:val="30"/>
        </w:rPr>
        <w:t>十四、基金收益与分配</w:t>
      </w:r>
      <w:bookmarkEnd w:id="17"/>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（一）基金利润的构成</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（二）基金可供分配利润</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基金可供分配利润指截至收益分配基准日基金未分配利润与未分配利润中已实现收益的孰低数。</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（三）基金收益分配原则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1、在符合有关基金分红条件的前提下，本基金管理人可以根据实际情况进行收益分配，具体分配方案以公告为准，若《基金合同》生效不满3个月可不进行收益分配；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3、基金收益分配后任一类基金份额净值不能低于面值；即基金收益分配基准日的任一类基金份额净值减去每单位该类基金份额收益分配金额后不能低于面值；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4、由于本基金A类基金份额不收取销售服务费，C类基金份额收取销售服务费，各基金份额类别对应的可供分配利润将有所不同；本基金同一基金份额类别的每一基金份额享有同等分配权；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5、法律法规或监管机关另有规定的，从其规定。</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（四）收益分配方案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基金收益分配方案中应载明截止收益分配基准日的可供分配利润、基金收益分配对象、分配时间、分配数额及比例、分配方式等内容。</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（五）收益分配方案的确定、公告与实施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本基金收益分配方案由基金管理人拟定，并由基金托管人复核，依照《信息披露办法》的规定在规定媒介公告。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法律法规或监管机关另有规定的，从其规定。</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lastRenderedPageBreak/>
        <w:t>（六）基金收益分配中发生的费用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（七）收益分配方式的修改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投资人可至销售机构办理收益分配方式的修改，投资人对本基金不同的交易账户可设置不同的收益分配方式。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投资人同一日多次申报收益分配方式变更的，按照《业务规则》执行，最终确认的收益分配方式以登记机构记录为准。</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（八）实施侧袋机制期间的收益分配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本基金实施侧袋机制的，侧袋账户不进行收益分配。</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18" w:name="_Toc147846768"/>
      <w:r>
        <w:rPr>
          <w:rFonts w:ascii="Times New Roman" w:hAnsi="Times New Roman"/>
          <w:sz w:val="30"/>
        </w:rPr>
        <w:t>十五、基金的费用与税收</w:t>
      </w:r>
      <w:bookmarkEnd w:id="18"/>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（一）基金费用的种类</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3、《基金合同》生效后与基金相关的信息披露费用；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4、《基金合同》生效后与基金相关的会计师费、律师费、仲裁费和诉讼费；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5、基金份额持有人大会费用；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6、基金的证券、期货交易费用；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7、基金的银行汇划费用；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8、基金的开户费用、账户维护费用；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9、因投资港股通标的股票而产生的各项合理费用；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10、本基金从C类基金份额的基金财产中计提的销售服务费；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11、按照国家有关规定和《基金合同》约定，可以在基金财产中列支的其他费用。</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（二）基金费用计提方法、计提标准和支付方式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1、与基金运作有关的费用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本基金的管理费按前一日基金资产净值的0.6%年费率计提。管理费的计算方法如下：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H＝E×年管理费率÷当年天数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H为每日应计提的基金管理费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基金管理费每日计提，按月支付。由基金管理人向基金托管人发送基金管理费划付指令，经基金托管人复核无误后于次月首日起3个工作日内从基金财产中一次性支付给基金管理人。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若遇法定节假日、休息日或不可抗力致使无法按时支付的，顺延至最近可支付日支付。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本基金的托管费按前一日基金资产净值的0.15%年费率计提。托管费的计算方法如下：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H＝E×年托管费率÷当年天数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H为每日应计提的基金托管费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基金托管费每日计提，按月支付。由基金管理人向基金托管人发送基金托管费划付指令，经基金托管人复核无误后于次月首日起3个工作日内从基金财产中一次性支付给基金托管人。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若遇法定节假日、休息日或不可抗力致使无法按时支付的，顺延至最近可支付日支付。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（3）C类基金份额的销售服务费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本基金A类基金份额不收取销售服务费，C类基金份额的销售服务费按前一日C类基金资产净值的0.1%年费率计提。计算方法如下：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H＝E×0.1%÷当年天数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H为C类基金份额每日应计提的销售服务费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E为C类基金份额前一日基金资产净值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销售服务费每日计提，按月支付。由基金管理人向基金托管人发送销售服务费划付指令，经基金托管人复核无误后于次月首日起5个工作日内从基金财产中一次性支付给基金管理人，由基金管理人代付给销售机构。若遇法定节假日、休息日或不可抗力致使无法按时支付的，顺延至最近可支付日支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C类基金份额的销售服务费将专门用于本基金的推广、销售与基金份额持有人服务。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（4）上述“（一）基金费用的种类”中第3－9项、第11项费用，根据有关法规及相应协议规定，按费用实际支出金额列入当期费用，由基金托管人从基金财产中支付。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2、与基金销售有关的费用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本基金申购费的费率水平、计算公式和收取方式详见“基金份额的申购与赎回”一章。</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本基金赎回费的费率水平、计算公式和收取方式详见“基金份额的申购与赎回”一章。</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（三）不列入基金费用的项目</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下列费用不列入基金费用：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1、基金管理人和基金托管人因未履行或未完全履行义务导致的费用支出或基金财产的损失；</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2、基金管理人和基金托管人处理与基金运作无关的事项发生的费用；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3、《基金合同》生效前的相关费用；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4、其他根据相关法律法规及中国证监会的有关规定不得列入基金费用的项目。</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（四）实施侧袋机制期间的基金费用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本基金实施侧袋机制的，与侧袋账户有关的费用可以从侧袋账户中列支，但应待侧袋账户资产变现后方可列支，有关费用可酌情收取或减免，但不得收取管理费，详见本招募说明书“侧袋机制”部分的规定。</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（五）基金税收</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19" w:name="_Toc147846769"/>
      <w:r>
        <w:rPr>
          <w:rFonts w:ascii="Times New Roman" w:hAnsi="Times New Roman"/>
          <w:sz w:val="30"/>
        </w:rPr>
        <w:t>十六、基金的会计与审计</w:t>
      </w:r>
      <w:bookmarkEnd w:id="19"/>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（一）基金会计政策</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1、基金管理人为本基金的基金会计责任方；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2、基金的会计年度为公历年度的1月1日至12月31日；基金首次募集的会计年度按如下原则：如果《基金合同》生效少于2个月，可以并入下一个会计年度披露；</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3、基金核算以人民币为记账本位币，以人民币元为记账单位；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4、会计制度执行国家有关会计制度；</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5、本基金独立建账、独立核算；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6、基金管理人及基金托管人各自保留完整的会计账目、凭证并进行日常的会计核算，按照有关规定编制基金会计报表；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7、基金托管人每月与基金管理人就基金的会计核算、报表编制等进行核对并以书面方式确认。</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（二）基金的年度审计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1、基金管理人聘请与基金管理人、基金托管人相互独立的符合《中华人民共和国证券法》规定的会计师事务所及其注册会计师对本基金的年度财务报表进行审计。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2、会计师事务所更换经办注册会计师，应事先征得基金管理人同意。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3、基金管理人认为有充足理由更换会计师事务所，须通报基金托管人。更换会计师事务所需依照《信息披露办法》的规定在规定媒介公告。</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20" w:name="_Toc147846770"/>
      <w:r>
        <w:rPr>
          <w:rFonts w:ascii="Times New Roman" w:hAnsi="Times New Roman"/>
          <w:sz w:val="30"/>
        </w:rPr>
        <w:t>十七、基金的信息披露</w:t>
      </w:r>
      <w:bookmarkEnd w:id="20"/>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（一）本基金的信息披露应符合《基金法》、《运作办法》、《信息披露办法》、《流动性风险管理规定》、《基金合同》及其他有关规定。</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（二）信息披露义务人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本基金信息披露义务人包括基金管理人、基金托管人、召集基金份额持有人大会的基金份额持有人等法律、行政法规和中国证监会规定的自然人、法人和非法人组织。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（三）本基金信息披露义务人承诺公开披露的基金信息，不得有下列行为：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1、虚假记载、误导性陈述或者重大遗漏；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2、对证券投资业绩进行预测；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3、违规承诺收益或者承担损失；</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4、诋毁其他基金管理人、基金托管人或者基金销售机构；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5、登载任何自然人、法人和非法人组织的祝贺性、恭维性或推荐性的文字；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6、中国证监会禁止的其他行为。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（四）本基金公开披露的信息应采用中文文本。如同时采用外文文本的，基金信息披露义务人应保证不同文本的内容一致。不同文本之间发生歧义的，以中文文本为准。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本基金公开披露的信息采用阿拉伯数字；除特别说明外，货币单位为人民币元。</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（五）公开披露的基金信息</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公开披露的基金信息包括：</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1、基金招募说明书、《基金合同》、基金托管协议、基金产品资料概要</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（1）《基金合同》是界定《基金合同》当事人的各项权利、义务关系，明确基金份额持有人大会召开的规则及具体程序，说明基金产品的特性等涉及基金投资者重大利益的事项的法律文件。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（3）基金托管协议是界定基金托管人和基金管理人在基金财产保管及基金运作监督等活动中的权利、义务关系的法律文件。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2、基金份额发售公告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基金管理人应当就基金份额发售的具体事宜编制基金份额发售公告，并在披露招募说明书的当日登载于规定媒介上。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基金管理人应当在收到中国证监会确认文件的次日在规定媒介上登载《基金合同》生效公告。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4、基金净值信息</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《基金合同》生效后，在开始办理基金份额申购或者赎回前，基金管理人应当至少每周在规定网站分别披露一次A类基金份额和C类基金份额所对应的基金份额净值和基金份额累计净值。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开始办理基金份额申购或者赎回后，基金管理人应当在不晚于每个开放日的次日，通过规定网站、基金销售机构网站或者营业网点分别披露开放日A类基金份额和C类基金份额所对应的基金份额净值和基金份额累计净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基金管理人应当在不晚于半年度和年度最后一日的次日，在规定网站披露半年度和年度最后一日A类基金份额和C类基金份额所对应的基金份额净值和基金份额累计净值。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5、基金份额申购、赎回价格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6、基金定期报告，包括基金年度报告、基金中期报告和基金季度报告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基金管理人应当在上半年结束之日起两个月内，编制完成基金中期报告，将中期报告登载在规定网站上，并将中期报告提示性公告登载在规定报刊上。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基金管理人应当在季度结束之日起15个工作日内，编制完成基金季度报告，将季度报告登载在规定网站上，并将季度报告提示性公告登载在规定报刊上。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《基金合同》生效不足2个月的，基金管理人可以不编制当期季度报告、中期报告或者年度报告。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基金管理人应当在基金年度报告和中期报告中披露基金组合资产情况及其流动</w:t>
      </w:r>
      <w:r>
        <w:rPr>
          <w:rFonts w:ascii="宋体" w:hAnsi="宋体"/>
          <w:sz w:val="24"/>
        </w:rPr>
        <w:lastRenderedPageBreak/>
        <w:t>性风险分析等。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7、临时报告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本基金发生重大事件，有关信息披露义务人应当依照《信息披露办法》的规定编制临时报告书，并登载在规定报刊和规定网站上。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前款所称重大事件，是指可能对基金份额持有人权益或者基金份额的价格产生重大影响的下列事件：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（1）基金份额持有人大会的召开及决定的事项；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（2）《基金合同》终止、基金清算；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（3）转换基金运作方式、基金合并；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（4）更换基金管理人、基金托管人、基金份额登记机构，基金改聘会计师事务所；</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（5）基金管理人委托基金服务机构代为办理基金的份额登记、核算、估值等事项，基金托管人委托基金服务机构代为办理基金的核算、估值、复核等事项；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（6）基金管理人、基金托管人的法定名称、住所发生变更；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（7）基金管理人变更持有百分之五以上股权的股东、基金管理人的实际控制人变更；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（8）基金募集期延长或提前结束募集；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（9）基金管理人的高级管理人员、基金经理和基金托管人专门基金托管部门负责人发生变动；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（10）基金管理人的董事在最近12个月内变更超过百分之五十，基金管理人、基金托管人专门基金托管部门的主要业务人员在最近12个月内变动超过百分之三十；</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（11）涉及基金财产、基金管理业务、基金托管业务的诉讼或仲裁；</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（12）基金管理人或其高级管理人员、基金经理因基金管理业务相关行为受到重大行政处罚、刑事处罚，基金托管人或其专门基金托管部门负责人因基金托管业务相关行为受到重大行政处罚、刑事处罚；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（14）基金收益分配事项；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（15）管理费、托管费、销售服务费、申购费、赎回费等费用计提标准、计提方式和费率发生变更；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（16）任一类基金份额净值计价错误达该类基金份额净值百分之零点五；</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（17）本基金开始办理申购、赎回；</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（18）本基金发生巨额赎回并延期办理；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（19）本基金连续发生巨额赎回并暂停接受赎回申请或延缓支付赎回款项；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（20）本基金暂停接受申购、赎回申请或重新接受申购、赎回申请；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（21）发生涉及基金申购、赎回事项调整或潜在影响投资者赎回等重大事项时；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（22）基金管理人采用摆动定价机制进行估值；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（23）本基金增加或调整基金份额类别；</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（24）本基金推出新业务或服务；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（25）《基金合同》生效后，本基金连续30、40、45个工作日出现基金份额持有人数量不满200人或者基金资产净值低于5000万元情形，基金管理人应当发布提示性公告；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（26）基金信息披露义务人认为可能对基金份额持有人权益或者基金份额的价格产生重大影响的其他事项或中国证监会规定和基金合同约定的其他事项。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8、澄清公告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9、基金份额持有人大会决议</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基金份额持有人大会决定的事项，应当依法报中国证监会备案，并予以公告。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基金份额持有人依法自行召集基金份额持有人大会，基金管理人、基金托管人对基金份额持有人大会决定的事项不依法履行信息披露义务的，召集人应当履行相关信息披露义务。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10、清算报告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基金合同终止的，基金管理人应当依法组织清算小组对基金财产进行清算并作出清算报告。清算报告应当经过符合《中华人民共和国证券法》规定的会计师事务</w:t>
      </w:r>
      <w:r>
        <w:rPr>
          <w:rFonts w:ascii="宋体" w:hAnsi="宋体"/>
          <w:sz w:val="24"/>
        </w:rPr>
        <w:lastRenderedPageBreak/>
        <w:t>所审计，并由律师事务所出具法律意见书。清算小组应当将清算报告登载在规定网站上，并将清算报告提示性公告登载在规定报刊上。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11、基金投资资产支持证券情况</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12、基金投资股指期货情况</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股指期货，基金管理人需按照法规要求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13、投资港股通标的股票相关公告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基金应当在季度报告、中期报告、年度报告等定期报告和招募说明书（更新）等文件中披露港股通标的股票的投资情况。法律法规或中国证监会另有规定的，从其规定。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14、实施侧袋机制期间的信息披露</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本基金实施侧袋机制的，相关信息披露义务人应当根据法律法规、基金合同和招募说明书的规定进行信息披露，详见本招募说明书“侧袋机制”部分的规定。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15、中国证监会规定的其他信息。</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（六）信息披露事务管理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基金信息披露义务人公开披露基金信息，应当符合中国证监会相关基金信息披露内容与格式准则等法规的规定。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相关基金信息进行复核、审查，并向基金管理人进行书面或电子确认。</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基金管理人、基金托管人应当在规定报刊中选择一家披露信息的报刊。基金管理人、基金托管人应当向中国证监会基金电子披露网站报送拟披露的基金信息，并保证相关报送信息的真实、准确、完整、及时。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为基金信息披露义务人公开披露的基金信息出具审计报告、法律意见书的专业机构，应当制作工作底稿，并将相关档案至少保存到《基金合同》终止后10年。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（七）信息披露文件的存放与查阅</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依法必须披露的信息发布后，基金管理人、基金托管人应当按照相关法律法规规定将信息置备于各自办公场所，供社会公众查阅、复制。</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21" w:name="_Toc147846771"/>
      <w:r>
        <w:rPr>
          <w:rFonts w:ascii="Times New Roman" w:hAnsi="Times New Roman"/>
          <w:sz w:val="30"/>
        </w:rPr>
        <w:t>十八、侧袋机制</w:t>
      </w:r>
      <w:bookmarkEnd w:id="21"/>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（一）侧袋机制的实施条件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基金管理人应当在启用侧袋机制后及时发布临时公告，并在五个工作日内聘请侧袋机制启用日发表意见且符合《中华人民共和国证券法》规定的会计师事务所进行审计并披露专项审计意见。</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（二）实施侧袋机制期间基金份额的申购与赎回</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2、实施侧袋机制期间，基金管理人不办理侧袋账户份额的申购、赎回和转换；同时，基金管理人按照基金合同和招募说明书的约定办理主袋账户份额的赎回，并根据主袋账户运作情况确定是否暂停申购。</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10%认定。</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（三）实施侧袋机制期间的基金投资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基金管理人原则上应当在侧袋机制启用后20个交易日内完成对主袋账户投资组合的调整，因资产流动性受限等中国证监会规定的情形除外。</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基金管理人不得在侧袋账户中进行除特定资产处置变现以外的其他投资操作。</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（四）实施侧袋机制期间的基金估值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本基金实施侧袋机制的，基金管理人和基金托管人应对主袋账户资产进行估值并披露主袋账户的基金净值信息，暂停披露侧袋账户份额净值。侧袋账户的会计核算应符合《企业会计准则》的相关要求。</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（五）实施侧袋账户期间的基金费用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1、本基金实施侧袋机制的，管理费和托管费按主袋账户基金资产净值作为基数计提。</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2、与侧袋账户有关的费用可从侧袋账户中列支，但应待侧袋账户资产变现后方可列支，有关费用可酌情收取或减免，但不得收取管理费。</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（六）侧袋账户中特定资产的处置变现和支付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特定资产以可出售、可转让、恢复交易等方式恢复流动性后，基金管理人应当按照基金份额持有人利益最大化原则，采取将特定资产予以处置变现等方式，及时向侧袋账户份额持有人支付对应变现款项。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侧袋账户资产全部完成变现并终止侧袋机制后，基金管理人应及时聘请符合《中华人民共和国证券法》规定的会计师事务所进行审计并披露专项审计意见。</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（七）侧袋机制的信息披露</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1、临时公告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在启用侧袋机制、处置特定资产、终止侧袋机制以及发生其他可能对投资者利益产生重大影响的事项后基金管理人应及时发布临时公告。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2、基金净值信息</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基金管理人应按照招募说明书“基金的信息披露”部分规定的基金净值信息披露方式和频率披露主袋账户份额的基金净值信息。实施侧袋机制期间本基金暂停披露侧袋账户份额净值和累计净值。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3、定期报告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基金管理人应当在基金定期报告中披露报告期内侧袋账户相关信息，基金定期报告中的基金会计报表仅需针对主袋账户进行编制。会计师事务所对基金年度报告进行审计时，应对报告期内基金侧袋机制运行相关的会计核算</w:t>
      </w:r>
      <w:r>
        <w:rPr>
          <w:rFonts w:ascii="宋体" w:hAnsi="宋体"/>
          <w:sz w:val="24"/>
        </w:rPr>
        <w:lastRenderedPageBreak/>
        <w:t>和年度报告披露等发表审计意见。</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22" w:name="_Toc147846772"/>
      <w:r>
        <w:rPr>
          <w:rFonts w:ascii="Times New Roman" w:hAnsi="Times New Roman"/>
          <w:sz w:val="30"/>
        </w:rPr>
        <w:t>十九、风险揭示</w:t>
      </w:r>
      <w:bookmarkEnd w:id="22"/>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投资运作过程中可能面临各种风险，既包括市场风险，也包括基金自身的管理风险、技术风险和合规风险等。巨额赎回风险是开放式基金所特有的一种风险，即当单个开放日基金的净赎回申请（赎回申请份额总数加上基金转换中转出申请份额总数后扣除申购申请份额总数及基金转换中转入申请份额总数后的余额）超过上一开放日基金总份额的百分之十时，投资人将可能无法及时赎回持有的全部基金份额。基金分为股票型基金、混合型基金、债券型基金、货币市场基金等不同类型，投资人投资不同类型的基金将获得不同的收益预期，也将承担不同程度的风险。一般来说，基金的收益预期越高，投资人承担的风险也越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投资人应当认真阅读《基金合同》、《招募说明书》等基金法律文件，了解基金的风险收益特征，并根据自身的投资目的、投资期限、投资经验、资产状况等判断基金是否和投资人的风险承受能力相适应。</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拆分、分红等行为导致基金份额净值变化，不会改变基金的风险收益特征，不会降低基金投资风险或提高基金投资收益。以1元初始面值开展基金募集或因拆分、分红等行为导致基金份额净值调整至1元初始面值或1元附近，在市场波动等因素的影响下，基金投资仍有可能出现亏损或基金净值仍有可能低于初始面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w:t>
      </w:r>
      <w:r>
        <w:rPr>
          <w:rFonts w:ascii="宋体" w:hAnsi="宋体"/>
          <w:sz w:val="24"/>
        </w:rPr>
        <w:lastRenderedPageBreak/>
        <w:t>自行负担。</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基金份额持有人须了解并承受以下风险：</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（一）市场风险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证券市场价格因受到经济因素、政治因素、投资心理和交易制度等各种因素的影响而引起的波动，将对基金收益水平产生潜在风险，主要包括：</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1、政策风险。因国家宏观政策（如货币政策、财政政策、行业政策、地区发展政策等）和证券市场监管政策发生变化，导致市场价格波动而产生风险。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2、经济周期风险。证券市场受宏观经济运行的影响，而经济运行具有周期性的特点，宏观经济运行状况将对证券市场的收益水平产生影响，从而对基金收益造成影响。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5、购买力风险。基金投资的目的是基金资产的保值增值，如果发生通货膨胀，基金投资于证券所获得的收益可能会被通货膨胀抵消，从而使基金的实际收益下降，影响基金资产的保值增值。</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（二）管理风险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（三）流动性风险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w:t>
      </w:r>
      <w:r>
        <w:rPr>
          <w:rFonts w:ascii="宋体" w:hAnsi="宋体"/>
          <w:sz w:val="24"/>
        </w:rPr>
        <w:lastRenderedPageBreak/>
        <w:t>资产变现能力差，可能会产生基金仓位调整的困难，导致流动性风险，可能影响基金份额净值。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1、本基金的申购、赎回安排</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开放方式运作，基金管理人在开放日办理基金份额的申购和赎回，具体办理时间为上海证券交易所、深圳证券交易所的正常交易日的交易时间（若该工作日为非港股通交易日，则本基金可不开放），但基金管理人根据法律法规、中国证监会的要求或基金合同的规定公告暂停申购、赎回时除外。基金管理人自基金合同生效之日起不超过3个月开始办理申购和赎回业务，具体业务办理时间在申购赎回开始公告中规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2、投资市场、行业及资产的流动性风险评估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3、巨额赎回情形下的流动性风险管理措施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w:t>
      </w:r>
      <w:r>
        <w:rPr>
          <w:rFonts w:ascii="宋体" w:hAnsi="宋体"/>
          <w:sz w:val="24"/>
        </w:rPr>
        <w:lastRenderedPageBreak/>
        <w:t>以下一开放日的该类基金份额净值为基础计算赎回金额，以此类推，直到全部赎回为止。如投资人在提交赎回申请时未作明确选择，投资人未能赎回部分作自动延期赎回处理。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（3）本基金如发生巨额赎回且单个开放日内单个基金份额持有人申请赎回的基金份额超过前一开放日的基金总份额的20%时，本基金管理人有权采取如下措施：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未超过上述比例的部分，基金管理人可以根据前段“（1）全额赎回”或“（2）部分延期赎回”的约定方式与其他基金份额持有人的赎回申请一并办理。但是，如基金份额持有人在当日选择取消赎回，则其当日未获受理的部分赎回申请将被撤销。</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4、实施备用的流动性风险管理工具的情形、程序及对投资者的潜在影响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本基金在面临大规模赎回的情况下有可能因为无法变现造成流动性风险。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摆动定价、暂停基金估值、实施侧袋机制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侧袋机制是一种流动性风险管理工具，是将特定资产分离至专门的侧袋账户进行处置清算，并以处置变现后的款项向基金份额持有人进行支付，目的在于有效隔</w:t>
      </w:r>
      <w:r>
        <w:rPr>
          <w:rFonts w:ascii="宋体" w:hAnsi="宋体"/>
          <w:sz w:val="24"/>
        </w:rPr>
        <w:lastRenderedPageBreak/>
        <w:t>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基金管理人将根据主袋账户运作情况合理确定申购政策， 因此实施侧袋机制后主袋账户份额存在暂停申购的可能。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（四）信用风险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基金在交易过程中发生交收违约，或者基金所投资债券之发行人出现违约、拒绝支付到期本息，都可能导致基金资产损失和收益变化，从而产生风险。</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（五）本基金的特有风险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属于混合型基金，通过在股票、债券等各类资产之间进行配置来降低风险，提高收益。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宏观经济趋势、政策以及上市公司基本面研究是否准确、深入，以及对股票的优选和判断是否科学、准确将影响本基金的收益。基本面研究及上市公司分析的错误均可能导致所选择的证券不能完全符合本基金的预期目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3、本基金可投资港股通标的股票，会面临港股通机制下因投资环境、投资标的、市场制度以及交易规则等差异带来的特有风险，具体如下：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（1）港股交易失败风险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港股通业务目前存在每日额度。在香港联合交易所开市前阶段，当日额度使用</w:t>
      </w:r>
      <w:r>
        <w:rPr>
          <w:rFonts w:ascii="宋体" w:hAnsi="宋体"/>
          <w:sz w:val="24"/>
        </w:rPr>
        <w:lastRenderedPageBreak/>
        <w:t>完毕的，新增的买单申报将面临失败的风险；在香港联合交易所持续交易时段，当日额度使用完毕的，当日本基金将面临不能通过港股通进行买入交易的风险。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（2）汇率风险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（3）境外市场的风险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2）香港市场交易规则有别于内地A 股市场规则，此外，在“内地与香港股票市场交易互联互通机制”下参与香港股票投资还将面临包括但不限于如下特殊风险：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a）香港市场实行T+0 回转交易机制（即当日买入的股票，在交收前可以于当日卖出），且证券交易价格并无涨跌幅上下限的规定，因此每日涨跌幅空间相对较大，可能表现出比A股更为剧烈的股价波动；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b）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c）香港出现台风、黑色暴雨或者香港联合交易所规定的其他情形时，香港联合交易所将可能停市，投资者将面临在停市期间无法进行港股通交易的风险；出现</w:t>
      </w:r>
      <w:r>
        <w:rPr>
          <w:rFonts w:ascii="宋体" w:hAnsi="宋体"/>
          <w:sz w:val="24"/>
        </w:rPr>
        <w:lastRenderedPageBreak/>
        <w:t>上海证券交易所及深圳证券交易所证券交易服务公司认定的交易异常情况时，上海证券交易所及深圳证券交易所证券交易服务公司将可能暂停提供部分或者全部港股通服务，投资者将面临在暂停服务期间无法进行港股通交易的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d）投资者因港股通股票权益分派、转换、上市公司被收购等情形或者异常情况，所取得的港股通股票以外的香港联合交易所上市证券，只能通过港股通卖出，但不得买入，上海证券交易所及深圳证券交易所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（4）本基金可根据投资策略需要或不同配置地市场环境的变化，选择将部分基金资产投资于港股或选择不将基金资产投资于港股，基金资产并非必然投资港股。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以上所述因素可能会给本基金投资带来特殊交易风险。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4、基金合同提前终止风险。连续50个工作日出现基金份额持有人数量不满200人或者基金资产净值低于5000万元情形的，基金管理人提前终止基金合同，不需召开基金份额持有人大会。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5、本基金可投资创业板股票，创业板个股上市后的前五个交易日不设价格涨跌幅限制，第六个交易日开始涨跌幅限制比例为20%。</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（六）投资股指期货的特定风险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（1）市场风险是指由于股指期货价格变动而给投资者带来的风险。市场风险是股指期货投资中最主要的风险。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（2）流动性风险是指由于股指期货合约无法及时变现所带来的风险。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（3）基差风险是指股指期货合约价格和指数价格之间的价格差的波动所造成的风险，以及不同股指期货合约价格之间价格差的波动所造成的期现价差风险。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（4）保证金风险是指由于无法及时筹措资金满足建立或者维持股指期货合约头寸所要求的保证金而带来的风险。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（5）信用风险是指期货经纪公司违约而产生损失的风险。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（6）操作风险是指由于内部流程的不完善，业务人员出现差错或者疏漏，或者系统出现故障等原因造成损失的风险。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此外，由于衍生品通常具有杠杆效应，价格波动比标的工具更为剧烈，并且其定价相当复杂，不适当的估值也有可能使基金资产面临损失风险。</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（七）投资资产支持证券的特定风险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（八）投资流通受限证券的特定风险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（九）投资科创板股票的特定风险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集中度风险、系统性风险、政策风险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科创板个股集中来自新一代信息技术、高端装备、新材料、新能源、节能环保</w:t>
      </w:r>
      <w:r>
        <w:rPr>
          <w:rFonts w:ascii="宋体" w:hAnsi="宋体"/>
          <w:sz w:val="24"/>
        </w:rPr>
        <w:lastRenderedPageBreak/>
        <w:t>及生物医药等高新技术和战略新兴产业领域。大多数企业为初创型公司，企业未来盈利、现金流、估值均存在不确定性，与传统二级市场投资存在差异，整体投资难度加大，个股市场风险加大。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科创板个股上市前五日无涨跌停限制，第六日开始涨跌幅限制在正负20%以内，个股波动幅度较其他股票加大，市场风险随之上升。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整体投资门槛较高，个人投资者必须满足交易满两年并且资金在50万以上才可参与，二级市场上个人投资者参与度相对较低，机构持有个股大量流通盘导致个股流动性较差，基金组合存在无法及时变现及其他相关流动性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（3）退市风险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市风险更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（4）集中度风险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科创板为新设板块，初期可投标的较少，投资者容易集中投资于少量个股，市场可能存在高集中度状况，整体存在集中度风险。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（5）系统性风险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科创板企业均为市场认可度较高的科技创新企业，在企业经营及盈利模式上存在趋同，所以科创板个股相关性较高，市场表现不佳时，系统性风险将更为显著。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（6）政策风险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国家对高新技术产业扶持力度及重视程度的变化会对科创板企业带来较大影响，国际经济形势变化对战略新兴产业及科创板个股也会带来政策影响。</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（十）投资存托凭证的特定风险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具体风险包括：存托凭证持有人与境外基础证券发行人的股东在法律地位、享有权利等方面存在差异可能引发的风险；存托凭证持有人在分红派息、行使表决权</w:t>
      </w:r>
      <w:r>
        <w:rPr>
          <w:rFonts w:ascii="宋体" w:hAnsi="宋体"/>
          <w:sz w:val="24"/>
        </w:rPr>
        <w:lastRenderedPageBreak/>
        <w:t>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本基金可根据投资策略需要或市场环境的变化，选择将部分基金资产投资于存托凭证或选择不将基金资产投资于存托凭证，基金资产并非必然投资存托凭证。</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（十一）其他风险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1、因技术因素而产生的风险，如电脑系统不可靠产生的风险；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2、因基金业务快速发展，在制度建设、人员配备、内控制度建立等方面的不完善产生的风险；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3、因人为因素而产生的风险、如内幕交易、欺诈行为等产生的风险；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4、对主要业务人员如基金经理的依赖而可能产生的风险；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5、因业务竞争压力可能产生的风险；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6、战争、自然灾害等不可抗力可能导致基金财产的损失，影响基金收益水平，从而带来风险；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7、其他意外导致的风险。</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23" w:name="_Toc147846773"/>
      <w:r>
        <w:rPr>
          <w:rFonts w:ascii="Times New Roman" w:hAnsi="Times New Roman"/>
          <w:sz w:val="30"/>
        </w:rPr>
        <w:t>二十、基金合同的变更、终止与基金财产的清算</w:t>
      </w:r>
      <w:bookmarkEnd w:id="23"/>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（一）《基金合同》的变更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2、关于《基金合同》变更的基金份额持有人大会决议自生效后方可执行，自决议生效后依照《信息披露办法》的规定在规定媒介公告。</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（二）《基金合同》的终止事由</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有下列情形之一的，经履行相关程序后，《基金合同》应当终止：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3、连续50个工作日出现基金份额持有人数量不满200人或者基金资产净值低于5000万元情形的，基金管理人提前终止《基金合同》，不需召开基金份额持有人大会；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4、《基金合同》约定的其他情形；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5、相关法律法规和中国证监会规定的其他情况。</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（三）基金财产的清算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（1）《基金合同》终止情形出现时，由基金财产清算小组统一接管基金；</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5、基金财产清算的期限为6个月，但因本基金所持证券的流动性受到限制而不能及时变现的，清算期限相应顺延。</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（四）清算费用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（五）基金财产清算剩余资产的分配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（六）基金财产清算的公告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（七）基金财产清算账册及文件的保存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基金财产清算账册及有关文件由基金托管人保存不低于法律法规规定的最低期限。</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24" w:name="_Toc147846774"/>
      <w:r>
        <w:rPr>
          <w:rFonts w:ascii="Times New Roman" w:hAnsi="Times New Roman"/>
          <w:sz w:val="30"/>
        </w:rPr>
        <w:t>二十一、基金合同内容摘要</w:t>
      </w:r>
      <w:bookmarkEnd w:id="24"/>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（一）基金份额持有人、基金管理人和基金托管人的权利与义务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1、基金管理人的权利与义务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根据《基金法》、《运作办法》及其他有关规定，基金管理人的权利包括但不限于：</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（2）自《基金合同》生效之日起，根据法律法规和《基金合同》独立运用并管理基金财产；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（3）依照《基金合同》收取基金管理费以及法律法规规定或中国证监会批准的其他费用；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（4）销售基金份额；</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（5）按照规定召集基金份额持有人大会；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（6）依据《基金合同》及有关法律规定监督基金托管人，如认为基金托管人违反了《基金合同》及国家有关法律规定，应呈报中国证监会和其他监管部门，并采取必要措施保护基金投资者的利益；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（7）在基金托管人更换时，提名新的基金托管人；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（8）选择、更换基金销售机构，对基金销售机构的相关行为进行监督和处理；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（9）担任或委托其他符合条件的机构担任基金登记机构办理基金登记业务并获得《基金合同》规定的费用；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（10）依据《基金合同》及有关法律规定决定基金收益的分配方案；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（11）在《基金合同》约定的范围内，拒绝或暂停受理申购与赎回申请；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（12）依照法律法规为基金的利益对被投资公司行使股东权利，为基金的利益行使因基金财产投资于证券所产生的权利；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（13）在法律法规允许的前提下，为基金的利益依法为基金进行融资；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（14）以基金管理人的名义，代表基金份额持有人的利益行使诉讼权利或者实施其他法律行为；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（15）选择、更换律师事务所、会计师事务所、证券经纪商、期货经纪机构或</w:t>
      </w:r>
      <w:r>
        <w:rPr>
          <w:rFonts w:ascii="宋体" w:hAnsi="宋体"/>
          <w:sz w:val="24"/>
        </w:rPr>
        <w:lastRenderedPageBreak/>
        <w:t>其他为基金提供服务的外部机构；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（16）在符合有关法律、法规的前提下，制定和调整有关基金认购、申购、赎回、转换等的业务规则；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（17）法律法规及中国证监会规定的和《基金合同》约定的其他权利。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根据《基金法》、《运作办法》及其他有关规定，基金管理人的义务包括但不限于：</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（3）自《基金合同》生效之日起，以诚实信用、谨慎勤勉的原则管理和运用基金财产；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（4）配备足够的具有专业资格的人员进行基金投资分析、决策，以专业化的经营方式管理和运作基金财产；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（6）除依据《基金法》、《基金合同》及其他有关规定外，不得利用基金财产为自己及任何第三人谋取利益，不得委托第三人运作基金财产；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（7）依法接受基金托管人的监督；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（8）采取适当合理的措施使计算基金份额认购、申购、赎回和注销价格的方法符合《基金合同》等法律文件的规定，按有关规定计算并公告基金净值信息，确定基金份额申购、赎回的价格；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（9）进行基金会计核算并编制基金财务会计报告；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（10）编制季度报告、中期报告和年度报告；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（11）严格按照《基金法》、《基金合同》及其他有关规定，履行信息披露及报告义务；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（12）保守基金商业秘密，不泄露基金投资计划、投资意向等。除《基金法》、《基金合同》及其他有关规定另有规定外，在基金信息公开披露前应予保密，不向他人泄露；</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（13）按《基金合同》的约定确定基金收益分配方案，及时向基金份额持有人</w:t>
      </w:r>
      <w:r>
        <w:rPr>
          <w:rFonts w:ascii="宋体" w:hAnsi="宋体"/>
          <w:sz w:val="24"/>
        </w:rPr>
        <w:lastRenderedPageBreak/>
        <w:t>分配基金收益；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（14）按规定受理申购与赎回申请，及时、足额支付赎回款项；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（15）依据《基金法》、《基金合同》及其他有关规定召集基金份额持有人大会或配合基金托管人、基金份额持有人依法召集基金份额持有人大会；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（16）按规定保存基金财产管理业务活动的会计账册、报表、记录和其他相关资料15年以上；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（18）组织并参加基金财产清算小组，参与基金财产的保管、清理、估价、变现和分配；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（19）面临解散、依法被撤销或者被依法宣告破产时，及时报告中国证监会并通知基金托管人；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（20）因违反《基金合同》导致基金财产的损失或损害基金份额持有人合法权益时，应当承担赔偿责任，其赔偿责任不因其退任而免除；</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（21）监督基金托管人按法律法规和《基金合同》规定履行自己的义务，基金托管人违反《基金合同》造成基金财产损失时，基金管理人应为基金份额持有人利益向基金托管人追偿；</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（22）当基金管理人将其义务委托第三方处理时，应当对第三方处理有关基金事务的行为承担责任；</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（23）以基金管理人名义，代表基金份额持有人利益行使诉讼权利或实施其他法律行为；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（25）执行生效的基金份额持有人大会的决议；</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（26）建立并保存基金份额持有人名册；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（27）法律法规及中国证监会规定的和《基金合同》约定的其他义务。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2、基金托管人的权利与义务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根据《基金法》、《运作办法》及其他有关规定，基金托管人的权利包括但不限</w:t>
      </w:r>
      <w:r>
        <w:rPr>
          <w:rFonts w:ascii="宋体" w:hAnsi="宋体"/>
          <w:sz w:val="24"/>
        </w:rPr>
        <w:lastRenderedPageBreak/>
        <w:t>于：</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（1）自《基金合同》生效之日起，依法律法规和《基金合同》的规定安全保管基金财产；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（2）依《基金合同》约定获得基金托管费以及法律法规规定或监管部门批准的其他费用；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（4）根据相关市场规则，为基金开设资金账户、证券账户等投资所需账户、为基金办理证券、期货交易资金清算；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（5）提议召开或召集基金份额持有人大会；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（6）在基金管理人更换时，提名新的基金管理人；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（7）法律法规及中国证监会规定的和《基金合同》约定的其他权利。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根据《基金法》、《运作办法》及其他有关规定，基金托管人的义务包括但不限于：</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（1）以诚实信用、勤勉尽责的原则持有并安全保管基金财产；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（2）设立专门的基金托管部门，具有符合要求的营业场所，配备足够的、合格的熟悉基金托管业务的专职人员，负责基金财产托管事宜；</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（4）除依据《基金法》、《基金合同》及其他有关规定外，不得利用基金财产为自己及任何第三人谋取利益，不得委托第三人托管基金财产；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（5）保管由基金管理人代表基金签订的与基金有关的重大合同及有关凭证；</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（6）按规定开设基金财产的资金账户和证券账户等投资所需账户，按照《基金合同》的约定，根据基金管理人的投资指令，及时办理清算、交割事宜；</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（7）保守基金商业秘密，除《基金法》、《基金合同》及其他有关规定另有规定外，在基金信息公开披露前予以保密，不得向他人泄露；</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（8）复核、审查基金管理人计算的基金资产净值、各类基金份额净值、基金</w:t>
      </w:r>
      <w:r>
        <w:rPr>
          <w:rFonts w:ascii="宋体" w:hAnsi="宋体"/>
          <w:sz w:val="24"/>
        </w:rPr>
        <w:lastRenderedPageBreak/>
        <w:t>份额申购、赎回价格；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（9）办理与基金托管业务活动有关的信息披露事项；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（11）保存基金托管业务活动的记录、账册、报表和其他相关资料不低于法律法规规定的最低期限；</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（12）建立并保存基金份额持有人名册；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（13）按规定制作相关账册并与基金管理人核对；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（14）依据基金管理人的指令或有关规定向基金份额持有人支付基金收益和赎回款项；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（15）依据《基金法》、《基金合同》及其他有关规定，召集基金份额持有人大会或配合基金管理人、基金份额持有人依法召集基金份额持有人大会；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（16）按照法律法规和《基金合同》的规定监督基金管理人的投资运作；</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（17）参加基金财产清算小组，参与基金财产的保管、清理、估价、变现和分配；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（18）面临解散、依法被撤销或者被依法宣告破产时，及时报告中国证监会和银行业监督管理机构，并通知基金管理人；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（19）因违反《基金合同》导致基金财产损失时，应承担赔偿责任，其赔偿责任不因其退任而免除；</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（20）按规定监督基金管理人按法律法规和《基金合同》规定履行自己的义务，基金管理人因违反《基金合同》造成基金财产损失时，应为基金份额持有人利益向基金管理人追偿；</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（21）执行生效的基金份额持有人大会的决议；</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（22）法律法规及中国证监会规定的和《基金合同》约定的其他义务。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3、基金份额持有人的权利与义务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者持有本基金基金份额的行为即视为对《基金合同》的承认和接受，基金投资者自依据《基金合同》取得本基金基金份额，即成为本基金份额持有人和《基金合同》的当事人，直至其不再持有本基金的基金份额。基金份额持有人作为</w:t>
      </w:r>
      <w:r>
        <w:rPr>
          <w:rFonts w:ascii="宋体" w:hAnsi="宋体"/>
          <w:sz w:val="24"/>
        </w:rPr>
        <w:lastRenderedPageBreak/>
        <w:t>《基金合同》当事人并不以在《基金合同》上书面签章或签字为必要条件。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同一类别的每份基金份额具有同等的合法权益。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根据《基金法》、《运作办法》及其他有关规定，基金份额持有人的权利包括但不限于：</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（1）分享基金财产收益；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（2）参与分配清算后的剩余基金财产；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（3）依法并按照基金合同和招募说明书的规定转让或者申请赎回其持有的基金份额；</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（4）按照规定要求召开基金份额持有人大会或者召集基金份额持有人大会；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（5）出席或者委派代表出席基金份额持有人大会，对基金份额持有人大会审议事项行使表决权；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（6）查阅或者复制公开披露的基金信息资料；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（7）监督基金管理人的投资运作；</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（8）对基金管理人、基金托管人、基金服务机构损害其合法权益的行为依法提起诉讼或仲裁；</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（9）法律法规及中国证监会规定的和《基金合同》约定的其他权利。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根据《基金法》、《运作办法》及其他有关规定，基金份额持有人的义务包括但不限于：</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（1）认真阅读并遵守《基金合同》、招募说明书等信息披露文件；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（2）了解所投资基金产品，了解自身风险承受能力，自主判断基金的投资价值，自主做出投资决策，自行承担投资风险；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（3）关注基金信息披露，及时行使权利和履行义务；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（4）交纳基金认购、申购款项及法律法规和《基金合同》所规定的费用；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（5）在其持有的基金份额范围内，承担基金亏损或者《基金合同》终止的有限责任；</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（6）不从事任何有损基金及其他《基金合同》当事人合法权益的活动；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（7）执行生效的基金份额持有人大会的决议；</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（8）返还在基金交易过程中因任何原因获得的不当得利；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（9）遵守基金管理人、基金托管人、销售机构和登记机构的相关交易及业务规则；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（10）提供基金管理人和监管机构依法要求提供的信息，以及不时的更新和补充，并保证其真实性；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（11）法律法规及中国证监会规定的和《基金合同》约定的其他义务。</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（二）基金份额持有人大会召集、议事及表决的程序和规则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基金份额持有人大会由基金份额持有人组成，基金份额持有人的合法授权代表有权代表基金份额持有人出席会议并表决。基金份额持有人持有的每一基金份额拥有平等的投票权。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本基金份额持有人大会不设日常机构。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1、召开事由</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（1）当出现或需要决定下列事由之一的，应当召开基金份额持有人大会，法律法规、基金合同和中国证监会另有规定的除外：</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1）终止《基金合同》；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2）更换基金管理人；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3）更换基金托管人；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4）转换基金运作方式；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5）调整基金管理人、基金托管人的报酬标准或提高销售服务费率；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6）变更基金类别；</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7）本基金与其他基金的合并；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8）变更基金投资目标、范围或策略；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9）变更基金份额持有人大会程序；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10）基金管理人或基金托管人要求召开基金份额持有人大会；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12）对基金合同当事人权利和义务产生重大影响的其他事项；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13）法律法规、《基金合同》或中国证监会规定的其他应当召开基金份额持有人大会的事项。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（2）在法律法规规定和《基金合同》约定的范围内且对基金份额持有人利益无实质性不利影响的前提下，以下情况可由基金管理人和基金托管人协商后修改，不需召开基金份额持有人大会：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1）法律法规要求增加的基金费用的收取；</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2）在法律法规和《基金合同》规定的范围内调整本基金的申购费率、调低赎回费率及销售服务费率、在对现有基金份额持有人利益无实质性不利影响的前提下变更收费方式；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3）因相应的法律法规、登记机构的相关业务规则发生变动而应当对《基金合同》进行修改；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4）对《基金合同》的修改对基金份额持有人利益无实质性不利影响或修改不涉及《基金合同》当事人权利义务关系发生重大变化；</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5）在法律法规允许的情况下，且在对现有基金份额持有人利益无实质性不利影响的前提下，基金推出新业务或服务；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6）在符合法律法规及本基金合同规定、并且对基金份额持有人利益无实质不利影响的前提下，调整本基金份额类别的设置；</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7）在不违反法律法规及对基金份额持有人利益无实质性不利影响的前提下，基金管理人、登记机构、销售机构调整有关基金认购、申购、赎回、转换、收益分配、非交易过户、转托管等业务的规则；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8）按照法律法规和《基金合同》规定不需召开基金份额持有人大会的其他情形。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2、会议召集人及召集方式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（1）除法律法规规定或《基金合同》另有约定外，基金份额持有人大会由基金管理人召集；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（2）基金管理人未按规定召集或不能召集时，由基金托管人召集；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w:t>
      </w:r>
      <w:r>
        <w:rPr>
          <w:rFonts w:ascii="宋体" w:hAnsi="宋体"/>
          <w:sz w:val="24"/>
        </w:rPr>
        <w:lastRenderedPageBreak/>
        <w:t>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（6）基金份额持有人会议的召集人负责选择确定开会时间、地点、方式和权益登记日。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3、召开基金份额持有人大会的通知时间、通知内容、通知方式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（1）召开基金份额持有人大会，召集人应于会议召开前30日，在规定媒介公告。基金份额持有人大会通知应至少载明以下内容：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1）会议召开的时间、地点和会议形式；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2）会议拟审议的事项、议事程序和表决方式；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3）有权出席基金份额持有人大会的基金份额持有人的权益登记日；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4）授权委托证明的内容要求（包括但不限于代理人身份，代理权限和代理有效期限等）、送达时间和地点；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5）会务常设联系人姓名及联系电话；</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6）出席会议者必须准备的文件和必须履行的手续；</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7）召集人需要通知的其他事项。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w:t>
      </w:r>
      <w:r>
        <w:rPr>
          <w:rFonts w:ascii="宋体" w:hAnsi="宋体"/>
          <w:sz w:val="24"/>
        </w:rPr>
        <w:lastRenderedPageBreak/>
        <w:t>通知基金管理人和基金托管人到指定地点对表决意见的计票进行监督。基金管理人或基金托管人拒不派代表对表决意见的计票进行监督的，不影响表决意见的计票效力。</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4、基金份额持有人出席会议的方式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基金份额持有人大会可通过现场开会方式、通讯开会方式或法律法规、监管机构允许的其他方式召开，会议的召开方式由会议召集人确定。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（2）通讯开会。通讯开会系指基金份额持有人将其对表决事项的投票以会议通知载明的形式或基金合同约定的其他方式在表决截止日以前送达至召集人指定的地址或系统。</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在同时符合以下条件时，通讯开会的方式视为有效：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1）会议召集人按《基金合同》约定公布会议通知后，在2个工作日内连续公布相关提示性公告；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w:t>
      </w:r>
      <w:r>
        <w:rPr>
          <w:rFonts w:ascii="宋体" w:hAnsi="宋体"/>
          <w:sz w:val="24"/>
        </w:rPr>
        <w:lastRenderedPageBreak/>
        <w:t>加收取表决意见的，不影响表决效力；</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5、议事内容与程序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（1）议事内容及提案权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基金份额持有人大会的召集人发出召集会议的通知后，对原有提案的修改应当在基金份额持有人大会召开前及时公告。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基金份额持有人大会不得对未事先公告的议事内容进行表决。</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（2）议事程序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在现场开会的方式下，首先由大会主持人按照下列第7条规定程序确定和公布</w:t>
      </w:r>
      <w:r>
        <w:rPr>
          <w:rFonts w:ascii="宋体" w:hAnsi="宋体"/>
          <w:sz w:val="24"/>
        </w:rPr>
        <w:lastRenderedPageBreak/>
        <w:t>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作出的决议的效力。</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会议召集人应当制作出席会议人员的签名册。签名册载明参加会议人员姓名（或单位名称）、身份证明文件号码、持有或代表有表决权的基金份额、委托人姓名（或单位名称）和联系方式等事项。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在通讯开会的情况下，首先由召集人提前30日公布提案，在所通知的表决截止日期后2个工作日内在公证机关监督下由召集人统计全部有效表决，在公证机关监督下形成决议。</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6、表决</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基金份额持有人所持每份基金份额有一票表决权。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基金份额持有人大会决议分为一般决议和特别决议：</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基金份额持有人大会采取记名方式进行投票表决。</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基金份额持有人大会的各项提案或同一项提案内并列的各项议题应当分开审</w:t>
      </w:r>
      <w:r>
        <w:rPr>
          <w:rFonts w:ascii="宋体" w:hAnsi="宋体"/>
          <w:sz w:val="24"/>
        </w:rPr>
        <w:lastRenderedPageBreak/>
        <w:t>议、逐项表决。</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2）监票人应当在基金份额持有人表决后立即进行清点并由大会主持人当场公布计票结果。</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4）计票过程应由公证机关予以公证，基金管理人或基金托管人拒不出席大会的，不影响计票的效力。</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8、实施侧袋机制期间基金份额持有人大会的特殊约定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（1）基金份额持有人行使提议权、召集权、提名权所需单独或合计代表相关基金份额10%以上（含10%）；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（2）现场开会的到会者在权益登记日代表的基金份额不少于本基金在权益登</w:t>
      </w:r>
      <w:r>
        <w:rPr>
          <w:rFonts w:ascii="宋体" w:hAnsi="宋体"/>
          <w:sz w:val="24"/>
        </w:rPr>
        <w:lastRenderedPageBreak/>
        <w:t>记日相关基金份额的二分之一（含二分之一）；</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（3）通讯开会的直接出具表决意见或授权他人代表出具表决意见的基金份额持有人所持有的基金份额不小于在权益登记日相关基金份额的二分之一（含二分之一）；</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（5）现场开会由出席大会的基金份额持有人和代理人所持表决权的50%以上（含50%）选举产生一名基金份额持有人或代理人作为该次基金份额持有人大会的主持人；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（6）一般决议须经参加大会的基金份额持有人或其代理人所持表决权的二分之一以上（含二分之一）通过；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（7）特别决议应当经参加大会的基金份额持有人或其代理人所持表决权的三分之二以上（含三分之二）通过。</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同一主侧袋账户内的每份基金份额具有平等的表决权。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9、生效与公告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基金份额持有人大会的决议，召集人应当自通过之日起5日内报中国证监会备案。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基金份额持有人大会的决议自表决通过之日起生效。法律法规另有规定的，从其规定。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10、本部分对基金份额持有人大会召开事由、召开条件、议事程序、表决条件等规定，凡是直接引用法律法规的部分，如将来法律法规修改导致相关内容被取消</w:t>
      </w:r>
      <w:r>
        <w:rPr>
          <w:rFonts w:ascii="宋体" w:hAnsi="宋体"/>
          <w:sz w:val="24"/>
        </w:rPr>
        <w:lastRenderedPageBreak/>
        <w:t>或变更的，基金管理人经与基金托管人协商一致并提前公告后，可直接对本部分内容进行修改和调整，无需召开基金份额持有人大会审议。</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（三）基金合同解除和终止的事由、程序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1、《基金合同》的变更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（2）关于《基金合同》变更的基金份额持有人大会决议自生效后方可执行，自决议生效后依照《信息披露办法》的规定在规定媒介公告。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2、《基金合同》的终止事由</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有下列情形之一的，经履行相关程序后，《基金合同》应当终止：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（3）连续50个工作日出现基金份额持有人数量不满200人或者基金资产净值低于5000万元情形的，基金管理人提前终止《基金合同》，不需召开基金份额持有人大会；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（4）《基金合同》约定的其他情形；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（5）相关法律法规和中国证监会规定的其他情况。</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3、基金财产的清算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1）《基金合同》终止情形出现时，由基金财产清算小组统一接管基金；</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（5）基金财产清算的期限为6个月，但因本基金所持证券的流动性受到限制而不能及时变现的，清算期限相应顺延。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4、清算费用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5、基金财产清算剩余资产的分配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6、基金财产清算的公告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7、基金财产清算账册及文件的保存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基金财产清算账册及有关文件由基金托管人保存不低于法律法规规定的最低期限。</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（四）争议解决方式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w:t>
      </w:r>
      <w:r>
        <w:rPr>
          <w:rFonts w:ascii="宋体" w:hAnsi="宋体"/>
          <w:sz w:val="24"/>
        </w:rPr>
        <w:lastRenderedPageBreak/>
        <w:t>点为北京市。仲裁裁决是终局的，对各方当事人均有约束力，除非仲裁裁决另有规定，仲裁费由败诉方承担。</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争议处理期间，基金合同当事人应恪守各自的职责，继续忠实、勤勉、尽责地履行基金合同规定的义务，维护基金份额持有人的合法权益。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《基金合同》受中国法律（不含港澳台地区法律）管辖。</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（五）基金合同存放地和投资者取得基金合同的方式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《基金合同》正本一式三份，除上报有关监管机构一式一份外，基金管理人、基金托管人各持有一份，每份具有同等的法律效力。</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《基金合同》可印制成册，供投资者在基金管理人、基金托管人、销售机构的办公场所和营业场所查阅，但应以《基金合同》正本为准。</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25" w:name="_Toc147846775"/>
      <w:r>
        <w:rPr>
          <w:rFonts w:ascii="Times New Roman" w:hAnsi="Times New Roman"/>
          <w:sz w:val="30"/>
        </w:rPr>
        <w:t>二十二、托管协议的内容摘要</w:t>
      </w:r>
      <w:bookmarkEnd w:id="25"/>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（一）托管协议当事人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注册地址：中国（上海）自由贸易试验区银城中路188号交通银行大楼二层（裙）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成立日期：2005年8月4日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批准设立机关及批准设立文号：中国证监会证监基金字[2005]128号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组织形式：有限责任公司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经营范围：基金募集、基金销售、资产管理和中国证监会许可的其它业务。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名称：中信银行股份有限公司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住所：北京市朝阳区光华路10号院1号楼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法定代表人：朱鹤新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成立时间：1987年4月20日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批准设立文号：中华人民共和国国务院办公厅国办函[1987]14号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基金托管业务批准文号：中国证监会证监基金字[2004]125号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组织形式：股份有限公司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注册资本：489.35亿元人民币</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保险兼业代理业务；吸收公众存款；发放短期、中期和长期贷款；办理国内外结算；办理票据承兑与贴现；发行金融债券；代理发行、代理兑付、承销政府债券；买卖政府债券、金融债券；从事同业拆借；买卖、代理买卖外汇；从</w:t>
      </w:r>
      <w:r>
        <w:rPr>
          <w:rFonts w:ascii="宋体" w:hAnsi="宋体"/>
          <w:sz w:val="24"/>
        </w:rPr>
        <w:lastRenderedPageBreak/>
        <w:t>事银行卡业务；提供信用证服务及担保；代理收付款项；提供保管箱服务；结汇、售汇业务；代理开放式基金业务；办理黄金业务；黄金进出口；开展证券投资基金、企业年金基金、保险资金、合格境外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（二）基金托管人对基金管理人的业务监督和核查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1、基金托管人对基金管理人的投资行为行使监督权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（1）基金托管人根据有关法律法规的规定和基金合同的约定，对下述基金投资范围、投资对象进行监督。本基金将投资于以下金融工具：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国内依法发行上市的股票（含中小板、创业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股票投资（含存托凭证）占基金资产的比例为0%-45%（其中投资于港股通标的股票的比例占股票资产的0%-50%），同业存单投资占基金资产的比例不超过20%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（2）基金托管人根据有关法律法规的规定及基金合同的约定对下述基金投融资比例进行监督：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1）股票投资（含存托凭证）占基金资产的比例为0%-45%（其中投资于港股通</w:t>
      </w:r>
      <w:r>
        <w:rPr>
          <w:rFonts w:ascii="宋体" w:hAnsi="宋体"/>
          <w:sz w:val="24"/>
        </w:rPr>
        <w:lastRenderedPageBreak/>
        <w:t>标的股票的比例占股票资产的0%-50%），同业存单投资占基金资产的比例不超过20%；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每个交易日日终在扣除股指期货合约需缴纳的交易保证金后，本基金持有的现金或者到期日在一年以内的政府债券的投资比例合计不低于基金资产净值的5%，其中现金不包括结算备付金、存出保证金和应收申购款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3）本基金持有一家公司发行的证券（同一家公司在内地和香港同时上市的A+H 股合计计算），其市值不超过基金资产净值的10％；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4）本基金管理人管理的全部基金持有一家公司发行的证券（同一家公司在内地和香港同时上市的A+H 股合计计算），不超过该证券的10％，完全按照有关指数的构成比例进行证券投资的基金品种可以不受此条款规定的比例限制；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5）本基金投资于同一原始权益人的各类资产支持证券的比例，不得超过基金资产净值的10％；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6）本基金持有的全部资产支持证券，其市值不得超过基金资产净值的20％；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7）本基金持有的同一（指同一信用级别）资产支持证券的比例，不得超过该资产支持证券规模的10％；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8）本基金管理人管理的全部基金投资于同一原始权益人的各类资产支持证券，不得超过其各类资产支持证券合计规模的10％；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9）本基金应投资于信用级别评级为BBB以上（含BBB）的资产支持证券。基金持有资产支持证券期间，如果其信用等级下降、不再符合投资标准，应在评级报告发布之日起3个月内予以全部卖出；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10）基金财产参与股票发行申购，本基金所申报的金额不超过本基金的总资产，本基金所申报的股票数量不超过拟发行股票公司本次发行股票的总量；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11）本基金进入全国银行间同业市场进行债券回购的资金余额不得超过基金资产净值的40%，进入全国银行间同业市场进行债券回购的最长期限为1年，债券回购到期后不得展期；</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13）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14）本基金与私募类证券资管产品及中国证监会认定的其他主体为交易对手开展逆回购交易的，可接受质押品的资质要求应当与基金合同约定的投资范围保持一致；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15）本基金参与股指期货交易，则：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a．本基金在任何交易日日终，持有的买入股指期货合约价值，不得超过基金资产净值的10%；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b.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c.本基金在任何交易日日终，持有的卖出股指期货合约价值不得超过基金持有的股票总市值的20%；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d．本基金所持有的股票市值和买入、卖出股指期货合约价值，合计（轧差计算）应当符合基金合同关于股票投资比例的有关约定；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e.本基金在任何交易日内交易（不包括平仓）的股指期货合约的成交金额不得超过上一交易日基金资产净值的20%；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16）本基金投资可转换债券、可交换公司债券的比例合计不超过基金资产的20%；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17）本基金资产总值不超过基金资产净值的140%；</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18）本基金投资存托凭证的比例限制依照境内上市交易的股票执行；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19）法律法规及中国证监会规定的和《基金合同》约定的其他投资限制。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2）、9）、13）、14）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w:t>
      </w:r>
      <w:r>
        <w:rPr>
          <w:rFonts w:ascii="宋体" w:hAnsi="宋体"/>
          <w:sz w:val="24"/>
        </w:rPr>
        <w:lastRenderedPageBreak/>
        <w:t>金合同的有关约定。在上述期间内，本基金的投资范围、投资策略应当符合基金合同的约定。基金托管人对基金的投资的监督与检查自基金合同生效之日起开始。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法律法规对上述投资组合比例限制进行变更的，以变更后的规定为准。法律法规或监管部门取消上述限制，如适用于本基金，基金管理人在履行适当程序后，则本基金投资不再受相关限制。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（3）基金托管人根据有关法律法规的规定及基金合同的约定对下述基金投资禁止行为进行监督：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为维护基金份额持有人的合法权益，基金财产不得用于下列投资或者活动：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2）违反规定向他人贷款或者提供担保；</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6）从事内幕交易、操纵证券交易价格及其他不正当的证券交易活动；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7）法律、行政法规和中国证监会规定禁止的其他活动。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如法律、行政法规或监管部门取消上述规定，如适用于本基金，基金管理人在履行适当程序后，本基金可不受上述规定的限制。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（4）基金托管人依据有关法律法规的规定和基金合同的约定对于基金关联投资进行监督。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如法律、行政法规或监管部门取消上述规定，如适用于本基金，基金管理人在履行适当程序后，本基金可不受上述规定的限制。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根据法律法规有关基金从事的关联交易的规定，基金管理人和基金托管人应事先相互提供与本机构有控股关系的股东或与本机构有其他重大利害关系的公司名单</w:t>
      </w:r>
      <w:r>
        <w:rPr>
          <w:rFonts w:ascii="宋体" w:hAnsi="宋体"/>
          <w:sz w:val="24"/>
        </w:rPr>
        <w:lastRenderedPageBreak/>
        <w:t>及有关关联方发行的证券名单及其更新，加盖公章并书面提交，并确保所提供名单的真实性、完整性、全面性。基金管理人或基金托管人在名单变更后应及时发送对方，收到方于2个工作日内进行回函确认已知名单的变更。名单变更时间以收到方回函确认的时间为准。如果基金托管人在运作中严格遵循了监督流程，基金管理人仍违规进行交易，并造成基金资产损失的，由基金管理人承担责任，基金托管人不承担任何损失和责任。</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相关交易必须事先得到基金托管人的同意，若基金托管人发现基金管理人与关联方进行违反法律法规规定的关联交易时，基金托管人应及时提醒并协助基金管理人采取必要措施阻止该交易的发生，若基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（5）基金托管人依据有关法律法规的规定和基金合同的约定对基金管理人参与银行间债券市场进行监督。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1）基金托管人依据有关法律法规的规定和基金合同的约定对于基金管理人参与银行间债券市场交易时面临的交易对手资信风险进行监督。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在基金投资运作之前向基金托管人提供符合法律法规及行业标准的银行间债券市场交易对手的名单。基金托管人在收到名单后2个工作日内回函确认收到该名单。基金管理人应定期或不定期对银行间债券市场现券及回购交易对手的名单进行更新，名单中增加或减少银行间债券市场交易对手时须及时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双方原定协议进行结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如果基金托管人发现基金管理人与不在名单内的银行间债券市场交易对手进行交易，应及时提醒基金管理人撤销交易，经提醒后基金管理人仍执行交易并造成基金资产损失的，基金托管人不承担责任。</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有责任控制交易对手的资信风险，按银行间债券市场的交易规则进行交易。基金托管人则根据银行间债券市场成交单对合同履行情况进行监督。如基金托管人事后发现基金管理人没有按照事先约定的交易对手进行交易时，基金</w:t>
      </w:r>
      <w:r>
        <w:rPr>
          <w:rFonts w:ascii="宋体" w:hAnsi="宋体"/>
          <w:sz w:val="24"/>
        </w:rPr>
        <w:lastRenderedPageBreak/>
        <w:t>托管人应及时提醒基金管理人，基金托管人不承担由此造成的任何损失和责任。</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（6）基金托管人对基金投资流通受限证券的监督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流通受限证券，应遵守有关法律法规规定。流通受限证券包括由《上市公司证券发行管理办法》规范的在发行时明确一定期限锁定期的可交易证券，不包括由于发布重大消息或其他原因而临时停牌的证券、已发行未上市证券、回购交易中的质押券等流通受限证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应在基金首次投资流通受限证券前，向基金托管人提供经基金管理人董事会批准的有关基金投资流通受限证券的投资决策流程、风险控制制度。上述资料应包括但不限于基金投资流通受限证券的投资额度和投资比例控制情况。</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3）基金投资流通受限证券前，基金管理人应向基金托管人提供符合法律法规要求的有关必要书面信息。基金管理人应保证上述信息的真实、完整，并应至少于拟执行投资指令前将上述信息书面发至基金托管人。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应对基金管理人是否遵守法律法规、投资决策流程、风险控制制度情况进行监督，并审核基金管理人提供的有关书面信息。基金托管人认为上述资料可能导致基金出现风险的，有权要求基金管理人在投资流通受限证券前就该风险的消除或防范措施进行补充书面说明，否则，基金托管人有权拒绝执行有关指令并报告中国证监会。因拒绝执行该指令造成基金财产损失的，基金托管人不承担任何责任，但基金托管人未经提前告知基金管理人于合理时间内提供说明的除外。</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如基金管理人和基金托管人无法达成一致，应及时上报中国证监会请求解决。</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（7）基金托管人根据有关法律法规的规定及基金合同的约定，对基金管理人选择存款银行进行监督。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本基金投资银行存款应符合如下规定：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1）基金管理人、基金托管人应当与存款银行建立定期对账机制，确保基金银行存款业务账目及核算的真实、准确。</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2）基金托管人应加强对基金银行存款业务的监督与核查，严格审查、复核相关协议、账户资料、投资指令、存款证实书等有关文件，切实履行托管职责。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3）基金管理人与基金托管人在开展基金存款业务时，应严格遵守《基金法》、《运作办法》等有关法律法规，以及国家有关账户管理、利率管理、支付结算等的各项规定。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对基金管理人选择存款银行的监督应依据基金管理人向基金托管人提供的符合条件的存款银行的名单执行，如基金托管人发现基金管理人将基金资产投资于该名单之外的存款银行，有权拒绝执行。该名单如有变更，基金管理人应在启用新名单前提前及时将新名单发送给基金托管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在限期内，基金托管人有权随时对通知事项进行复查，督促基金管理人改正。基金管理人对基金托管人通知的违规事项未能在限期内纠正的，基金托管人应报告中国证监会。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基金托管人发现基金管理人的投资指令违反关法律法规规定或者违反基金合同约定的，应当拒绝执行，立即通知基金管理人。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基金托管人发现基金管理人有重大违规行为，应立即报告中国证监会，同时通</w:t>
      </w:r>
      <w:r>
        <w:rPr>
          <w:rFonts w:ascii="宋体" w:hAnsi="宋体"/>
          <w:sz w:val="24"/>
        </w:rPr>
        <w:lastRenderedPageBreak/>
        <w:t>知基金管理人限期纠正。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遵守中华人民共和国反洗钱法律法规，不参与涉嫌洗钱、恐怖融资、扩散融资等违法犯罪活动；主动配合基金托管人客户身份识别与尽职调查，提供真实、准确、完整客户资料，遵守反洗钱与反恐怖融资相关管理规定。对具备合理理由怀疑涉嫌洗钱、恐怖融资的客户，基金托管人将按照中国人民银行反洗钱监管规定采取必要管控措施。</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（三）基金管理人对基金托管人的业务核查</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对基金托管人履行托管职责情况进行核查，核查事项包括但不限于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义务要求基金托管人赔偿基金、基金管理人因此所遭受的损失。</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基金管理人发现基金托管人有重大违规行为，应立即报告中国证监会和银行业监督管理机构，同时通知基金托管人限期纠正。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基金托管人应积极配合基金管理人的核查行为，包括但不限于：提交相关资料以供基金管理人核查托管财产的完整性和真实性，在规定时间内答复基金管理人并改正。</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lastRenderedPageBreak/>
        <w:t>（四）基金财产保管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1、基金财产保管的原则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（1）基金财产应独立于基金管理人、基金托管人的固有财产。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（2）基金托管人应安全保管基金财产。除依据法律法规规定、基金合同和本托管协议约定及基金管理人的正当指令外，不得自行运用、处分、分配基金的任何财产。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（3）基金托管人按照规定开设基金财产的资金账户和证券账户等投资所需账户。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（4）基金托管人对所托管的不同基金财产分别设置账户，与基金托管人的其他业务和其他基金的托管业务实行严格的分账管理，确保基金财产的完整与独立。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（5）基金托管人根据基金管理人的指令，按照基金合同和本协议的约定保管基金财产，如有特殊情况双方可另行协商解决。</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（6）除依据法律法规和基金合同的规定外，基金托管人不得委托第三人托管基金资产。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2、募集资金的验资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基金募集期间募集认购款项应存于基金认购专用账户，该账户由基金管理人或基金管理人委托的登记机构开立并管理。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募集期满或基金提前结束募集时，募集的基金份额总额、基金募集金额、基金份额持有人人数符合《基金法》、《运作办法》等有关规定后，基金管理人应将募集的属于本基金财产的全部资金划入基金托管人为本基金开立的资产托管专户中，基金托管人在收到资金当日出具确认文件。同时，基金管理人应聘请符合《中华人民共和国证券法》规定的会计师事务所进行验资，出具验资报告，出具的验资报告应由参加验资的2名以上（含2名）中国注册会计师签字有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若基金募集期限届满，未能达到基金备案条件，由基金管理人按规定办理退款事宜，基金托管人应提供充分协助。</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3、基金的银行账户的开立和管理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（1）基金托管人以本基金的名义在其营业机构开立基金的银行账户，并根据基金管理人合法合规的指令办理资金收付。本基金的银行预留印鉴由基金托管人刻制、保管和使用。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（2）基金银行账户的开立和使用，限于满足开展本基金业务的需要。基金托</w:t>
      </w:r>
      <w:r>
        <w:rPr>
          <w:rFonts w:ascii="宋体" w:hAnsi="宋体"/>
          <w:sz w:val="24"/>
        </w:rPr>
        <w:lastRenderedPageBreak/>
        <w:t>管人和基金管理人不得假借本基金的名义开立任何其他银行账户；亦不得使用本基金的任何账户进行本基金业务以外的活动。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（3）基金银行账户的开立和管理应符合有关法律法规以及银行业监督管理机构的有关规定。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4、基金证券账户与证券交易资金账户的开设和管理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基金托管人以基金托管人和本基金联名的方式在中国证券登记结算有限责任公司上海分公司/深圳分公司开设证券账户。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基金托管人以基金托管人的名义在中国证券登记结算有限责任公司上海分公司/深圳分公司开立基金证券交易资金账户，用于证券清算。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5、债券托管账户的开立和管理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生效后，基金管理人负责以本基金的名义申请并取得进入全国银行间同业拆借市场的交易资格，并代表本基金进行交易；基金托管人负责以本基金的名义在中央国债登记结算有限责任公司开设银行间债券市场债券托管账户，并由基金托管人负责本基金的债券的后台匹配及资金的清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（2）基金管理人和基金托管人应一起负责为本基金对外签订全国银行间国债市场回购主协议，正本由基金托管人保管，基金管理人保存副本。</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6、其他账户的开设和管理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托管协议生效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7、基金财产投资的有关实物证券、银行定期存款存单等有价凭证的保管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投资的有关实物证券由基金托管人存放于基金托管人的保管库；其中实物证券也可存入中央国债登记结算有限责任公司或银行间市场清算所股份有限公司或中国证券登记结算有限责任公司上海分公司/深圳分公司或票据营业中心的代保管库。实物证券的购买和转让，由基金托管人根据基金管理人的指令办理。属于基金托管人控制下的实物证券在基金托管人保管期间的损坏、灭失，由此产生的责</w:t>
      </w:r>
      <w:r>
        <w:rPr>
          <w:rFonts w:ascii="宋体" w:hAnsi="宋体"/>
          <w:sz w:val="24"/>
        </w:rPr>
        <w:lastRenderedPageBreak/>
        <w:t>任应由基金托管人承担。基金托管人对基金托管人以外机构实际有效控制的证券不承担保管责任。</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8、与基金财产有关的重大合同的保管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与基金财产有关的重大合同的签署，由基金管理人负责。由基金管理人代表本基金签署的与本基金有关的重大合同的原件分别应由基金托管人、基金管理人保管。基金管理人在代表本基金签署与本基金有关的重大合同时应保证基金一方持有两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不低于法律法规规定的最低期限。对于无法取得二份以上的正本的，基金管理人应向基金托管人提供加盖授权业务章的合同传真件，未经双方协商或未在合同约定范围内，合同原件不得转移，由基金管理人保管。</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（五）基金资产净值计算和会计核算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1、基金资产净值的计算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（1）基金资产净值的计算、复核的时间和程序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各类基金份额的基金份额净值是指每个工作日闭市后，该类基金份额的基金资产净值除以当日该类基金份额的数值。各类基金份额的基金份额净值的计算均保留到小数点后4位，小数点后第5位四舍五入，由此产生的误差计入基金财产。基金管理人可以设立大额赎回情形下的净值精度应急调整机制，具体可参见相关公告。国家另有规定的，从其规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每个估值日对基金资产估值，但基金管理人根据法律法规或基金合同的规定暂停估值时除外。估值原则应符合基金合同及相关法律、法规的规定。各类基金份额的基金资产净值和基金份额净值由基金管理人负责计算，基金托管人复核。基金管理人应于每个估值日交易结束后计算当日各类基金份额的基金份额净值并以双方认可的方式发送给基金托管人。基金托管人对净值计算结果复核后以双方认可的方式发送给基金管理人，由基金管理人依据基金合同和相关法律法规的规定对基金净值予以公布。月末、年中和年末估值复核与基金会计账目的核对同时进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根据《基金法》，基金管理人计算并公告各类基金份额的基金资产净值，基金</w:t>
      </w:r>
      <w:r>
        <w:rPr>
          <w:rFonts w:ascii="宋体" w:hAnsi="宋体"/>
          <w:sz w:val="24"/>
        </w:rPr>
        <w:lastRenderedPageBreak/>
        <w:t>托管人复核、审查基金管理人计算的基金资产净值。因此，本基金的会计责任方是基金管理人，就与本基金有关的会计问题，如经相关各方在平等基础上充分讨论后，仍无法达成一致的意见，按照基金管理人对基金净值信息的计算结果对外予以公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2、基金资产估值方法</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（1）估值对象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基金所拥有的股票、债券、衍生工具和其他投资等持续以公允价值计量的金融资产及负债。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（2）估值原则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基金管理人在确定相关金融资产和金融负债的公允价值时，应符合《企业会计准则》、监管部门有关规定。</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3）如经济环境发生重大变化或证券发行人发生影响证券价格的重大事件，使潜在估值调整对前一估值日的基金资产净值的影响在0.25%以上的，应对估值进行调整并确定公允价值。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（3）估值方法</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1）证券交易所上市的有价证券的估值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①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②交易所上市交易或挂牌转让的固定收益品种（另有规定的除外），选取估值日第三方估值机构提供的相应品种当日的估值净价进行估值；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③交易所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④交易所上市实行全价交易的债券（可转债除外），选取第三方估值机构提供的估值全价减去估值全价中所含的债券（税后）应收利息得到的净价进行估值；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⑤交易所上市不存在活跃市场的有价证券，采用估值技术确定公允价值。交易所市场挂牌转让的资产支持证券，采用估值技术确定公允价值；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⑥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2）处于未上市期间的有价证券应区分如下情况处理：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①送股、转增股、配股和公开增发的新股，按估值日在证券交易所挂牌的同一股票的估值方法估值；该日无交易的，以最近一日的市价（收盘价）估值；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②首次公开发行未上市的股票和债券，采用估值技术确定公允价值，在估值技术难以可靠计量公允价值的情况下，按成本估值；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③在发行时明确一定期限限售期的股票，包括但不限于非公开发行股票、首次公开发行股票时公司股东公开发售股份、通过大宗交易取得的带限售期的股票等，</w:t>
      </w:r>
      <w:r>
        <w:rPr>
          <w:rFonts w:ascii="宋体" w:hAnsi="宋体"/>
          <w:sz w:val="24"/>
        </w:rPr>
        <w:lastRenderedPageBreak/>
        <w:t>不包括停牌、新发行未上市、回购交易中的质押券等流通受限股票，按监管机构或行业协会有关规定确定公允价值。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4）本基金投资股指期货合约，一般以估值当日结算价进行估值，估值当日无结算价的，且最近交易日后经济环境未发生重大变化的，采用最近交易日结算价估值。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5）同一股票同时在两个或两个以上市场交易的，按股票所处的市场分别估值。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估值计算中涉及港币对人民币汇率的，将依据下列信息提供机构所提供的汇率为基准：当日中国人民银行或其授权机构公布的人民币汇率中间价。</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6）如有确凿证据表明按上述方法进行估值不能客观反映其公允价值的，基金管理人可根据具体情况与基金托管人商定后，按最能反映公允价值的价格估值。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7）当发生大额申购或赎回情形时，基金管理人可以采用摆动定价机制，以确保基金估值的公平性。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8）本基金投资存托凭证的估值核算依照境内上市交易的股票执行。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9）相关法律法规以及监管部门有强制规定的，从其规定。如有新增事项，按国家最新规定估值。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3、估值错误处理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管理人计算的基金资产净值、基金份额净值已由基金托管人复核确认后公告的，由此造成的投资人或基金的损失，应根据法律法规的规定对投资人或基金支付赔偿金，就实际向投资人或基金支付的赔偿金额，基金管理人与基金托管人按照过错程度各自承担相应的责任。</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一方当事人提供的信息错误，另一方当事人在采取了必要合理的措施后仍不能发现该错误，进而导致基金资产净值、基金份额净值计算错误造成投资人或基金的损失，以及由此造成以后交易日基金资产净值、基金份额净值计算顺延错误而引起的投资人或基金的损失，由提供错误信息的当事人一方负责赔偿。</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管理人计算的基金资产净值与基金托管人的计算结果不一致时，相关各方应本着勤勉尽责的态度重新计算核对，如果最后仍无法达成一致，应以基金管理人的计算结果为准对外公布，由此造成的损失由基金管理人承担赔偿责任，基金托管人不负赔偿责任。</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基金管理人或基金托管人按估值方法的第（6）项进行估值的，所造成的误差不作为基金资产估值错误处理。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错误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基金托管人之外的第三方造成基金资产的损失，并拒绝进行赔偿时，由基金管理人负责向估值错误责任方追偿。</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4、基金账册的建立</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5、基金定期报告的编制和复核</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基金财务报表由基金管理人和基金托管人每月分别独立编制。月度报表的编制，应于每月终了后5个工作日内完成。</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上半年结束之日起两个月内完成中期报告编制并公告；在每年结束之日起三个月内完成年度报告编制并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及时完成报表编制，将有关报表提供基金托管人复核；基金托管人应当在收到报告之日起2个工作日内完成月度报表的复核；在收到报告之日起7个工作日内完成基金季度报告的复核；在收到报告之日起20日内完成基金中期报告的复核；在收到报告之日起30日内完成基金年度报告的复核。基金托管人在复核过程中，发现双方的报表存在不符时，基金管理人和基金托管人应共同查明原因，进行调整，调整以国家有关规定为准。</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核对无误后，基金托管人在基金管理人提供的报告上加盖业务印鉴或者出具加盖托管业务部门公章的复核意见书，相关各方各自留存一份。</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基金托管人在对月度报表、季度、中期报告或年度报告复核完毕后，需盖章确认或出具相应的复核确认书，以备有权机构对相关文件审核时提示。</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6、暂停估值的情形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（1）基金投资所涉及的证券、期货交易市场遇法定节假日或因其他原因暂停营业时；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（2）因不可抗力致使基金管理人、基金托管人无法准确评估基金资产价值时；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（3）当特定资产占前一估值日基金资产净值50%以上的，经与基金托管人协商确认后，基金管理人应当暂停估值；</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（4）法律法规、中国证监会和基金合同认定的其它情形。</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（六）基金份额持有人名册的保管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基金管理人和基金托管人须分别妥善保管的基金份额持有人名册，基金份额持有人名册的内容必须包括基金份额持有人的名称和持有的基金份额。</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名册由基金的登记机构根据基金管理人的指令编制和保管，基金管理人和基金托管人应按照目前相关规则分别保管基金份额持有人名册。保管方式可以采用电子或文档的形式。保管期限不低于法律法规规定的最低期限。</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及时向基金托管人定期或不定期提交下列日期的基金份额持有人名册。基金份额持有人名册的内容必须包括基金份额持有人的名称和持有的基金份额。基金托管人可以采用电子或文档的形式妥善保管基金份额持有人名册，保存期限不低于法律法规规定的最低期限。基金托管人不得将所保管的基金份额持有人名册用于基金托管业务以外的其他用途，并应遵守保密义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若基金管理人或基金托管人由于自身原因无法妥善保管基金份额持有人名册，应按有关法规规定各自承担相应的责任。</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（七）争议解决方式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双方当事人同意，因本协议而产生的或与本协议有关的一切争议，如经友好协商未能解决的，任何一方均有权将争议提交中国国际经济贸易仲裁委员会，按照中国国际经济贸易仲裁委员会届时有效的仲裁规则进行仲裁。仲裁地点为北京市。仲裁裁决是终局的，对双方当事人均有约束力，除非仲裁裁决另有规定，仲裁费由败诉方承担。</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争议处理期间，双方当事人应恪守基金管理人和基金托管人职责，继续忠实、勤勉、尽责地履行基金合同和托管协议规定的义务，维护基金份额持有人的合法权益。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本协议受中国法律（不含港澳台地区法律）管辖。</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（八）基金托管协议的变更、终止与基金财产的清算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1、托管协议的变更与终止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（1）托管协议的变更程序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本协议双方当事人经协商一致，可以对协议的内容进行变更。变更后的托管协议，其内容不得与基金合同的规定有任何冲突。本托管协议的变更报中国证监会备案。</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（2）基金托管协议终止的情形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发生以下情况，本托管协议终止：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2）基金托管人解散、依法被撤销、破产或由其他基金托管人接管基金资产；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3）基金管理人解散、依法被撤销、破产或由其他基金管理人接管基金管理权；</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4）发生法律法规或基金合同规定的终止事项。</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2、基金财产的清算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（1）基金财产的清算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①《基金合同》终止情形出现时，由基金财产清算小组统一接管基金；</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②对基金财产和债权债务进行清理和确认；</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③对基金财产进行估值和变现；</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④制作清算报告；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⑤聘请会计师事务所对清算报告进行外部审计，聘请律师事务所对清算报告出具法律意见书；</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⑥将清算报告报中国证监会备案并公告；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⑦对基金剩余财产进行分配。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5）基金财产清算的期限为6个月，但因本基金所持证券的流动性受到限制而不能及时变现的，清算期限相应顺延。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（3）清算费用</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（4）基金财产清算剩余资产的分配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（6）基金财产清算账册及文件的保存</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基金财产清算账册及有关文件由基金托管人保存不低于法律法规规定的最低期限。</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26" w:name="_Toc147846776"/>
      <w:r>
        <w:rPr>
          <w:rFonts w:ascii="Times New Roman" w:hAnsi="Times New Roman"/>
          <w:sz w:val="30"/>
        </w:rPr>
        <w:t>二十三、对基金份额持有人的服务</w:t>
      </w:r>
      <w:bookmarkEnd w:id="26"/>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基金管理人承诺为基金份额持有人提供一系列的服务。基金管理人根据基金份额持有人的需要和市场的变化，有权增加或变更服务项目。主要服务内容如下：</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（一）持有人交易资料的寄送服务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1、每次交易结束后，投资人可在T+2个工作日后通过销售机构的网点查询和打印确认单。</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2、本基金管理人将向持有人提供电子或纸质对账单，需要订阅或取消的客户可与本基金管理人客户服务中心（400-700-5000，021-61055000）联系。</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（二）网上直销服务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已开通基金网上直销业务，个人投资者可以直接通过本基金管理人网站的网上直销交易平台办理开户和本基金A类基金份额和C类基金份额的申购、赎回、转换、定期定额投资等业务。通过网上直销交易平台办理本基金A类基金份额的申购和定期定额投资业务的个人投资者将享受申购费率的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交易平台申购、定期定额投资及转换费率表或相关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本公司基金网上直销业务已开通的银行卡及各银行卡交易金额限额请参阅本公司网站。</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在条件成熟的时候，本基金管理人将根据基金网上直销业务的发展状况，适时调整可用于基金网上直销交易平台的银行卡种类，敬请投资人留意相关公告。</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（三）信息咨询、查询服务</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投资人如果想查询基金账户余额、基金产品与服务等信息，请拨打本基金管理人客户服务电话（400-700-5000，021-61055000）或登录本基金管理人网站（www.fund001.com）进行咨询、查询。</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为投资人预设基金查询密码，预设的基金查询密码为投资人开户证件号码的后6位数字，不足6位数字的，前面加“0”补足。基金查询密码用于投资人通过客户服务电话查询基金账户下的账户和交易信息。投资人请在其知晓基金</w:t>
      </w:r>
      <w:r>
        <w:rPr>
          <w:rFonts w:ascii="宋体" w:hAnsi="宋体"/>
          <w:sz w:val="24"/>
        </w:rPr>
        <w:lastRenderedPageBreak/>
        <w:t>账号后，及时拨打本基金管理人客户服务电话修改基金查询密码。</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投资人可以拨打本基金管理人客户服务电话投诉直销机构的人员和服务。</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（四）基金红利再投资</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时，基金份额持有人持有的基金份额可选择现金红利或选择红利再投将现金红利自动转为基金份额进行再投资，若投资人不选择，本基金默认的收益分配方式是现金分红。再投资红利按红利再投日（即除息日）除息后的基金份额净值自动转为基金份额，并免收申购费用。</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（五）定期定额投资计划</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本基金已开通定期定额投资计划，具体实施方法请参见相关公告。</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服务联系方式：</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本基金管理人的互联网地址及电子信箱</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电子信箱：services@jysld.com</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投资者也可登录本基金管理人网站，直接提出有关本基金的问题和建议。</w:t>
      </w:r>
    </w:p>
    <w:p w:rsidR="00DB7585" w:rsidRDefault="00966A29">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（六）如本招募说明书存在任何您/贵机构无法理解的内容，请通过上述方式联系基金管理人。请确保投资前，您/贵机构已经全面理解了本招募说明书。</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27" w:name="_Toc147846777"/>
      <w:r>
        <w:rPr>
          <w:rFonts w:ascii="Times New Roman" w:hAnsi="Times New Roman"/>
          <w:sz w:val="30"/>
        </w:rPr>
        <w:t>二十四、其他应披露事项</w:t>
      </w:r>
      <w:bookmarkEnd w:id="27"/>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基金合同如有未尽事宜，由基金合同当事人各方按有关法律法规协商解决。</w:t>
      </w:r>
    </w:p>
    <w:tbl>
      <w:tblPr>
        <w:tblW w:w="5000" w:type="pct"/>
        <w:tblCellMar>
          <w:left w:w="0" w:type="dxa"/>
          <w:right w:w="0" w:type="dxa"/>
        </w:tblCellMar>
        <w:tblLook w:val="0000" w:firstRow="0" w:lastRow="0" w:firstColumn="0" w:lastColumn="0" w:noHBand="0" w:noVBand="0"/>
      </w:tblPr>
      <w:tblGrid>
        <w:gridCol w:w="1008"/>
        <w:gridCol w:w="3025"/>
        <w:gridCol w:w="3024"/>
        <w:gridCol w:w="1613"/>
      </w:tblGrid>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公告事项</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法定披露方式</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法定披露日期</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交银施罗德基金管理有限公司关于增加宁波银行股份有限公司为旗下基金的销售机构的公告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2022-09-19</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w:t>
            </w:r>
            <w:r>
              <w:rPr>
                <w:rFonts w:ascii="Times New Roman" w:hAnsi="Times New Roman"/>
                <w:color w:val="000000"/>
                <w:kern w:val="0"/>
                <w:sz w:val="25"/>
                <w:szCs w:val="24"/>
              </w:rPr>
              <w:t>(</w:t>
            </w:r>
            <w:r>
              <w:rPr>
                <w:rFonts w:ascii="Times New Roman" w:hAnsi="Times New Roman"/>
                <w:color w:val="000000"/>
                <w:kern w:val="0"/>
                <w:sz w:val="25"/>
                <w:szCs w:val="24"/>
              </w:rPr>
              <w:t>更新</w:t>
            </w:r>
            <w:r>
              <w:rPr>
                <w:rFonts w:ascii="Times New Roman" w:hAnsi="Times New Roman"/>
                <w:color w:val="000000"/>
                <w:kern w:val="0"/>
                <w:sz w:val="25"/>
                <w:szCs w:val="24"/>
              </w:rPr>
              <w:t>)</w:t>
            </w:r>
            <w:r>
              <w:rPr>
                <w:rFonts w:ascii="Times New Roman" w:hAnsi="Times New Roman"/>
                <w:color w:val="000000"/>
                <w:kern w:val="0"/>
                <w:sz w:val="25"/>
                <w:szCs w:val="24"/>
              </w:rPr>
              <w:t>招募说明书</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2022-10-14</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w:t>
            </w:r>
            <w:r>
              <w:rPr>
                <w:rFonts w:ascii="Times New Roman" w:hAnsi="Times New Roman"/>
                <w:color w:val="000000"/>
                <w:kern w:val="0"/>
                <w:sz w:val="25"/>
                <w:szCs w:val="24"/>
              </w:rPr>
              <w:t>A</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2022-10-14</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w:t>
            </w:r>
            <w:r>
              <w:rPr>
                <w:rFonts w:ascii="Times New Roman" w:hAnsi="Times New Roman"/>
                <w:color w:val="000000"/>
                <w:kern w:val="0"/>
                <w:sz w:val="25"/>
                <w:szCs w:val="24"/>
              </w:rPr>
              <w:t>C</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2022-10-14</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交银施罗德基金管理有限公司关于固有资金拟购买旗下偏股型基金的公告</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2022-10-19</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3</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2022-10-25</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4</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2023-01-19</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交银施罗德基金管理有限公司关于增加济安财富（北京）基金销售有限公司为旗下基金销售机构的公告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2023-02-10</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年年度报告</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2023-03-30</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2023-04-21</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11</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交银施罗德基金管理有限公司关于增加华西证券股份有限公司为旗下基金的销售机构的公告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2023-06-02</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12</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交银施罗德基金管理有限公司关于增加海通证券股份有限公司为旗下基金的销售机构的公告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2023-06-02</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13</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交银施罗德基金管理有限公司关于直销平台基金投资顾问业务中交易本公司旗下基金免收相关费用的公告</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2023-07-07</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14</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交银施罗德基金管理有限公司关于直销平台基金投资顾问业务中交易本公司旗下基金免收相关费用的提示性公告</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2023-07-08</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15</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2023-07-20</w:t>
            </w:r>
          </w:p>
        </w:tc>
      </w:tr>
      <w:tr w:rsidR="00DB758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16</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年中期报告</w:t>
            </w:r>
          </w:p>
        </w:tc>
        <w:tc>
          <w:tcPr>
            <w:tcW w:w="75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DB7585" w:rsidRDefault="00966A29">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2023-08-30</w:t>
            </w:r>
          </w:p>
        </w:tc>
      </w:tr>
    </w:tbl>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28" w:name="_Toc147846778"/>
      <w:r>
        <w:rPr>
          <w:rFonts w:ascii="Times New Roman" w:hAnsi="Times New Roman"/>
          <w:sz w:val="30"/>
        </w:rPr>
        <w:t>二十五、招募说明书的存放及查阅方式</w:t>
      </w:r>
      <w:bookmarkEnd w:id="28"/>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募说明书存放在基金管理人、基金托管人和基金销售机构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投资人还可以直接登录基金管理人的网站（www.fund001.com）查阅和下载招募说明书。</w:t>
      </w:r>
    </w:p>
    <w:p w:rsidR="00B439CC" w:rsidRDefault="00966A29"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B7585" w:rsidRDefault="00966A29">
      <w:pPr>
        <w:pStyle w:val="1"/>
        <w:snapToGrid w:val="0"/>
        <w:spacing w:beforeLines="0" w:before="240" w:after="240"/>
        <w:rPr>
          <w:rFonts w:ascii="宋体" w:hAnsi="宋体"/>
          <w:szCs w:val="30"/>
        </w:rPr>
      </w:pPr>
      <w:bookmarkStart w:id="29" w:name="_Toc147846779"/>
      <w:r>
        <w:rPr>
          <w:rFonts w:ascii="Times New Roman" w:hAnsi="Times New Roman"/>
          <w:sz w:val="30"/>
        </w:rPr>
        <w:t>二十六、备查文件</w:t>
      </w:r>
      <w:bookmarkEnd w:id="29"/>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以下备查文件存放在基金管理人的办公场所，在办公时间可供免费查阅。</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（一）中国证监会准予交银施罗德臻选回报混合型证券投资基金募集注册的文件</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（二）《交银施罗德臻选回报混合型证券投资基金基金合同》</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（三）《交银施罗德臻选回报混合型证券投资基金托管协议》</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（四）基金管理人业务资格批件、营业执照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（五）基金托管人业务资格批件、营业执照</w:t>
      </w:r>
    </w:p>
    <w:p w:rsidR="00DB7585" w:rsidRDefault="00966A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（六）关于申请募集注册交银施罗德臻选回报混合型证券投资基金的法律意见书</w:t>
      </w:r>
    </w:p>
    <w:sectPr w:rsidR="00DB7585">
      <w:footerReference w:type="default" r:id="rId15"/>
      <w:pgSz w:w="11920" w:h="16840"/>
      <w:pgMar w:top="1360" w:right="1580" w:bottom="280" w:left="1680" w:header="0" w:footer="118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D30" w:rsidRDefault="00843D30">
      <w:r>
        <w:separator/>
      </w:r>
    </w:p>
  </w:endnote>
  <w:endnote w:type="continuationSeparator" w:id="0">
    <w:p w:rsidR="00843D30" w:rsidRDefault="0084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585" w:rsidRDefault="00BC68F8">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8752" behindDoc="1" locked="0" layoutInCell="0" allowOverlap="1">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585" w:rsidRDefault="00966A29">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C68F8">
                            <w:rPr>
                              <w:rFonts w:ascii="Times New Roman" w:hAnsi="Times New Roman"/>
                              <w:noProof/>
                              <w:kern w:val="0"/>
                              <w:sz w:val="18"/>
                              <w:szCs w:val="18"/>
                            </w:rPr>
                            <w:t>5</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4pt;margin-top:782.6pt;width:21.6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F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" o:allowincell="f" filled="f" stroked="f">
              <v:textbox inset="0,0,0,0">
                <w:txbxContent>
                  <w:p w:rsidR="00DB7585" w:rsidRDefault="00966A29">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C68F8">
                      <w:rPr>
                        <w:rFonts w:ascii="Times New Roman" w:hAnsi="Times New Roman"/>
                        <w:noProof/>
                        <w:kern w:val="0"/>
                        <w:sz w:val="18"/>
                        <w:szCs w:val="18"/>
                      </w:rPr>
                      <w:t>5</w:t>
                    </w:r>
                    <w:r>
                      <w:rPr>
                        <w:rFonts w:ascii="Times New Roman" w:hAnsi="Times New Roman"/>
                        <w:kern w:val="0"/>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585" w:rsidRDefault="00BC68F8">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9776" behindDoc="1" locked="0" layoutInCell="0" allowOverlap="1">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585" w:rsidRDefault="00966A29">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C68F8">
                            <w:rPr>
                              <w:rFonts w:ascii="Times New Roman" w:hAnsi="Times New Roman"/>
                              <w:noProof/>
                              <w:kern w:val="0"/>
                              <w:sz w:val="18"/>
                              <w:szCs w:val="18"/>
                            </w:rPr>
                            <w:t>69</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margin-left:291.25pt;margin-top:773.85pt;width:33.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cqsQ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" o:allowincell="f" filled="f" stroked="f">
              <v:textbox inset="0,0,0,0">
                <w:txbxContent>
                  <w:p w:rsidR="00DB7585" w:rsidRDefault="00966A29">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C68F8">
                      <w:rPr>
                        <w:rFonts w:ascii="Times New Roman" w:hAnsi="Times New Roman"/>
                        <w:noProof/>
                        <w:kern w:val="0"/>
                        <w:sz w:val="18"/>
                        <w:szCs w:val="18"/>
                      </w:rPr>
                      <w:t>69</w:t>
                    </w:r>
                    <w:r>
                      <w:rPr>
                        <w:rFonts w:ascii="Times New Roman" w:hAnsi="Times New Roman"/>
                        <w:kern w:val="0"/>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D30" w:rsidRDefault="00843D30">
      <w:r>
        <w:separator/>
      </w:r>
    </w:p>
  </w:footnote>
  <w:footnote w:type="continuationSeparator" w:id="0">
    <w:p w:rsidR="00843D30" w:rsidRDefault="00843D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5D0" w:rsidRDefault="00BC68F8">
    <w:pPr>
      <w:pStyle w:val="a3"/>
      <w:jc w:val="right"/>
    </w:pPr>
    <w:r>
      <w:rPr>
        <w:noProof/>
      </w:rPr>
      <w:drawing>
        <wp:anchor distT="0" distB="0" distL="114300" distR="114300" simplePos="0" relativeHeight="251655680"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DB7585" w:rsidRDefault="00966A29">
    <w:pPr>
      <w:pStyle w:val="a3"/>
      <w:jc w:val="right"/>
      <w:rPr>
        <w:rFonts w:ascii="宋体" w:hAnsi="宋体"/>
      </w:rPr>
    </w:pPr>
    <w:r>
      <w:rPr>
        <w:rFonts w:ascii="宋体" w:hAnsi="宋体" w:hint="eastAsia"/>
      </w:rPr>
      <w:t>交银施罗德臻选回报混合型证券投资基金(更新)招募说明书(2023年第1号)</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585" w:rsidRDefault="00DB7585">
    <w:pPr>
      <w:pStyle w:val="11"/>
      <w:jc w:val="right"/>
    </w:pPr>
  </w:p>
  <w:p w:rsidR="00DB7585" w:rsidRDefault="00DB7585">
    <w:pPr>
      <w:pStyle w:val="11"/>
      <w:jc w:val="right"/>
    </w:pPr>
  </w:p>
  <w:p w:rsidR="00DB7585" w:rsidRDefault="00DB7585">
    <w:pPr>
      <w:pStyle w:val="a3"/>
      <w:jc w:val="right"/>
    </w:pPr>
  </w:p>
  <w:p w:rsidR="009E65D0" w:rsidRDefault="00BC68F8">
    <w:pPr>
      <w:pStyle w:val="a3"/>
      <w:jc w:val="right"/>
    </w:pPr>
    <w:r>
      <w:rPr>
        <w:noProof/>
      </w:rPr>
      <w:drawing>
        <wp:anchor distT="0" distB="0" distL="114300" distR="114300" simplePos="0" relativeHeight="251656704"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DB7585" w:rsidRDefault="00966A29">
    <w:pPr>
      <w:pStyle w:val="a3"/>
      <w:jc w:val="right"/>
      <w:rPr>
        <w:rFonts w:ascii="宋体" w:hAnsi="宋体"/>
      </w:rPr>
    </w:pPr>
    <w:r>
      <w:rPr>
        <w:rFonts w:ascii="宋体" w:hAnsi="宋体" w:hint="eastAsia"/>
      </w:rPr>
      <w:t>交银施罗德臻选回报混合型证券投资基金(更新)招募说明书(2023年第1号)</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585" w:rsidRDefault="00DB7585">
    <w:pPr>
      <w:pStyle w:val="a3"/>
      <w:jc w:val="right"/>
    </w:pPr>
  </w:p>
  <w:p w:rsidR="00DB7585" w:rsidRDefault="00DB7585">
    <w:pPr>
      <w:pStyle w:val="a3"/>
      <w:jc w:val="right"/>
    </w:pPr>
  </w:p>
  <w:p w:rsidR="00DB7585" w:rsidRDefault="00DB7585">
    <w:pPr>
      <w:pStyle w:val="a3"/>
      <w:jc w:val="right"/>
    </w:pPr>
  </w:p>
  <w:p w:rsidR="009E65D0" w:rsidRDefault="00BC68F8">
    <w:pPr>
      <w:pStyle w:val="a3"/>
      <w:jc w:val="right"/>
    </w:pPr>
    <w:r>
      <w:rPr>
        <w:noProof/>
      </w:rPr>
      <w:drawing>
        <wp:anchor distT="0" distB="0" distL="114300" distR="114300" simplePos="0" relativeHeight="251657728"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1"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DB7585" w:rsidRDefault="00966A29">
    <w:pPr>
      <w:pStyle w:val="a3"/>
      <w:jc w:val="right"/>
      <w:rPr>
        <w:rFonts w:ascii="宋体" w:hAnsi="宋体"/>
      </w:rPr>
    </w:pPr>
    <w:r>
      <w:rPr>
        <w:rFonts w:ascii="宋体" w:hAnsi="宋体" w:hint="eastAsia"/>
      </w:rPr>
      <w:t>交银施罗德臻选回报混合型证券投资基金(更新)招募说明书(2023年第1号)</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738" w:hanging="454"/>
      </w:pPr>
      <w:rPr>
        <w:rFonts w:hint="eastAsia"/>
      </w:r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EEA"/>
    <w:rsid w:val="00003EC9"/>
    <w:rsid w:val="0000560A"/>
    <w:rsid w:val="0001266E"/>
    <w:rsid w:val="00026A29"/>
    <w:rsid w:val="00026D00"/>
    <w:rsid w:val="00027C73"/>
    <w:rsid w:val="00030964"/>
    <w:rsid w:val="00030F3E"/>
    <w:rsid w:val="000368A2"/>
    <w:rsid w:val="00044AFD"/>
    <w:rsid w:val="00044E2C"/>
    <w:rsid w:val="000457B7"/>
    <w:rsid w:val="0004614E"/>
    <w:rsid w:val="00046212"/>
    <w:rsid w:val="000500B8"/>
    <w:rsid w:val="000506ED"/>
    <w:rsid w:val="000543D5"/>
    <w:rsid w:val="00055792"/>
    <w:rsid w:val="00055F52"/>
    <w:rsid w:val="00061C0D"/>
    <w:rsid w:val="0006212F"/>
    <w:rsid w:val="0006220F"/>
    <w:rsid w:val="000647B8"/>
    <w:rsid w:val="0006506B"/>
    <w:rsid w:val="0006551A"/>
    <w:rsid w:val="000700AC"/>
    <w:rsid w:val="000705A6"/>
    <w:rsid w:val="0007638A"/>
    <w:rsid w:val="00076B6E"/>
    <w:rsid w:val="000816EA"/>
    <w:rsid w:val="00081744"/>
    <w:rsid w:val="000828CE"/>
    <w:rsid w:val="000833CB"/>
    <w:rsid w:val="00083491"/>
    <w:rsid w:val="00084078"/>
    <w:rsid w:val="000843B3"/>
    <w:rsid w:val="000869C2"/>
    <w:rsid w:val="00087F4C"/>
    <w:rsid w:val="00090648"/>
    <w:rsid w:val="00094253"/>
    <w:rsid w:val="00095030"/>
    <w:rsid w:val="000A01A0"/>
    <w:rsid w:val="000A352B"/>
    <w:rsid w:val="000B0F8B"/>
    <w:rsid w:val="000B359E"/>
    <w:rsid w:val="000B3894"/>
    <w:rsid w:val="000B4E04"/>
    <w:rsid w:val="000C1E1E"/>
    <w:rsid w:val="000C38F1"/>
    <w:rsid w:val="000C5E77"/>
    <w:rsid w:val="000C68E9"/>
    <w:rsid w:val="000D0ADE"/>
    <w:rsid w:val="000D179E"/>
    <w:rsid w:val="000D66DC"/>
    <w:rsid w:val="000E1F3B"/>
    <w:rsid w:val="000E3AB4"/>
    <w:rsid w:val="000E7544"/>
    <w:rsid w:val="000F0C17"/>
    <w:rsid w:val="000F2904"/>
    <w:rsid w:val="000F34A1"/>
    <w:rsid w:val="000F5226"/>
    <w:rsid w:val="000F5583"/>
    <w:rsid w:val="000F6050"/>
    <w:rsid w:val="000F66FF"/>
    <w:rsid w:val="000F698D"/>
    <w:rsid w:val="000F7D42"/>
    <w:rsid w:val="001008A5"/>
    <w:rsid w:val="00100C86"/>
    <w:rsid w:val="0011339C"/>
    <w:rsid w:val="001135B0"/>
    <w:rsid w:val="00113FAA"/>
    <w:rsid w:val="00115AE5"/>
    <w:rsid w:val="00116489"/>
    <w:rsid w:val="0011648B"/>
    <w:rsid w:val="001166C1"/>
    <w:rsid w:val="00116874"/>
    <w:rsid w:val="001177A3"/>
    <w:rsid w:val="001216D0"/>
    <w:rsid w:val="001240EB"/>
    <w:rsid w:val="0012443D"/>
    <w:rsid w:val="00127053"/>
    <w:rsid w:val="0013182D"/>
    <w:rsid w:val="00131CEE"/>
    <w:rsid w:val="0013315B"/>
    <w:rsid w:val="00134FCF"/>
    <w:rsid w:val="00135AD8"/>
    <w:rsid w:val="0013630D"/>
    <w:rsid w:val="001367F2"/>
    <w:rsid w:val="001412E8"/>
    <w:rsid w:val="0014250F"/>
    <w:rsid w:val="00144B52"/>
    <w:rsid w:val="00153D66"/>
    <w:rsid w:val="0015725E"/>
    <w:rsid w:val="00162F69"/>
    <w:rsid w:val="00164946"/>
    <w:rsid w:val="00165756"/>
    <w:rsid w:val="0017362C"/>
    <w:rsid w:val="0017392F"/>
    <w:rsid w:val="0018184C"/>
    <w:rsid w:val="0018198F"/>
    <w:rsid w:val="00181C62"/>
    <w:rsid w:val="00183642"/>
    <w:rsid w:val="001860C4"/>
    <w:rsid w:val="00186FAE"/>
    <w:rsid w:val="001917D4"/>
    <w:rsid w:val="001917FC"/>
    <w:rsid w:val="00191D7F"/>
    <w:rsid w:val="001925A2"/>
    <w:rsid w:val="00195218"/>
    <w:rsid w:val="00197A55"/>
    <w:rsid w:val="00197F7E"/>
    <w:rsid w:val="001A1623"/>
    <w:rsid w:val="001A2263"/>
    <w:rsid w:val="001B4531"/>
    <w:rsid w:val="001B5BDB"/>
    <w:rsid w:val="001B75F9"/>
    <w:rsid w:val="001C2B9E"/>
    <w:rsid w:val="001C38DA"/>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33EB"/>
    <w:rsid w:val="001F4DEA"/>
    <w:rsid w:val="001F4ECB"/>
    <w:rsid w:val="001F7353"/>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4421"/>
    <w:rsid w:val="00226503"/>
    <w:rsid w:val="00226A60"/>
    <w:rsid w:val="0023578C"/>
    <w:rsid w:val="00235AC5"/>
    <w:rsid w:val="002377E0"/>
    <w:rsid w:val="00240BB6"/>
    <w:rsid w:val="002432CA"/>
    <w:rsid w:val="00243D40"/>
    <w:rsid w:val="00245250"/>
    <w:rsid w:val="002477CB"/>
    <w:rsid w:val="00247BF6"/>
    <w:rsid w:val="00250A33"/>
    <w:rsid w:val="00251126"/>
    <w:rsid w:val="002524D2"/>
    <w:rsid w:val="00252802"/>
    <w:rsid w:val="00261A50"/>
    <w:rsid w:val="002634C3"/>
    <w:rsid w:val="00265B3A"/>
    <w:rsid w:val="0027052E"/>
    <w:rsid w:val="00271E9D"/>
    <w:rsid w:val="00271F7D"/>
    <w:rsid w:val="00274E85"/>
    <w:rsid w:val="002777F6"/>
    <w:rsid w:val="00277907"/>
    <w:rsid w:val="00280C42"/>
    <w:rsid w:val="00281B73"/>
    <w:rsid w:val="002833C9"/>
    <w:rsid w:val="00285E5C"/>
    <w:rsid w:val="00290B63"/>
    <w:rsid w:val="00290E73"/>
    <w:rsid w:val="00293415"/>
    <w:rsid w:val="00294689"/>
    <w:rsid w:val="0029539A"/>
    <w:rsid w:val="002A1A82"/>
    <w:rsid w:val="002A2FB0"/>
    <w:rsid w:val="002A4D32"/>
    <w:rsid w:val="002A5F87"/>
    <w:rsid w:val="002B017B"/>
    <w:rsid w:val="002B0DC0"/>
    <w:rsid w:val="002B2664"/>
    <w:rsid w:val="002B4E21"/>
    <w:rsid w:val="002B5000"/>
    <w:rsid w:val="002B78AA"/>
    <w:rsid w:val="002C383C"/>
    <w:rsid w:val="002D15BB"/>
    <w:rsid w:val="002D1C13"/>
    <w:rsid w:val="002D3109"/>
    <w:rsid w:val="002D378C"/>
    <w:rsid w:val="002D6413"/>
    <w:rsid w:val="002D6F14"/>
    <w:rsid w:val="002D74D5"/>
    <w:rsid w:val="002E4922"/>
    <w:rsid w:val="002E4B2C"/>
    <w:rsid w:val="002E5261"/>
    <w:rsid w:val="002F00BB"/>
    <w:rsid w:val="002F1DE7"/>
    <w:rsid w:val="002F2627"/>
    <w:rsid w:val="002F2748"/>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36C"/>
    <w:rsid w:val="0031339F"/>
    <w:rsid w:val="00313F3E"/>
    <w:rsid w:val="00323F65"/>
    <w:rsid w:val="00326147"/>
    <w:rsid w:val="0033051E"/>
    <w:rsid w:val="0033401D"/>
    <w:rsid w:val="00334456"/>
    <w:rsid w:val="00336150"/>
    <w:rsid w:val="00336E99"/>
    <w:rsid w:val="00342417"/>
    <w:rsid w:val="003454EC"/>
    <w:rsid w:val="00346537"/>
    <w:rsid w:val="00347B94"/>
    <w:rsid w:val="003527DD"/>
    <w:rsid w:val="003547A2"/>
    <w:rsid w:val="00355171"/>
    <w:rsid w:val="00362702"/>
    <w:rsid w:val="00362A37"/>
    <w:rsid w:val="00362CF0"/>
    <w:rsid w:val="00362D5D"/>
    <w:rsid w:val="00364AC5"/>
    <w:rsid w:val="00365D15"/>
    <w:rsid w:val="0036702F"/>
    <w:rsid w:val="00367F3A"/>
    <w:rsid w:val="00370BDF"/>
    <w:rsid w:val="00372FA2"/>
    <w:rsid w:val="003735E9"/>
    <w:rsid w:val="003739FE"/>
    <w:rsid w:val="003749D5"/>
    <w:rsid w:val="0038254F"/>
    <w:rsid w:val="003828EC"/>
    <w:rsid w:val="00383488"/>
    <w:rsid w:val="003843BB"/>
    <w:rsid w:val="003859DA"/>
    <w:rsid w:val="00386153"/>
    <w:rsid w:val="00386BA7"/>
    <w:rsid w:val="00390B48"/>
    <w:rsid w:val="0039213A"/>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E0800"/>
    <w:rsid w:val="003E1584"/>
    <w:rsid w:val="003E33DE"/>
    <w:rsid w:val="003E3593"/>
    <w:rsid w:val="003E585F"/>
    <w:rsid w:val="003E6049"/>
    <w:rsid w:val="003E67F9"/>
    <w:rsid w:val="003F0D27"/>
    <w:rsid w:val="003F1C98"/>
    <w:rsid w:val="003F317C"/>
    <w:rsid w:val="003F4813"/>
    <w:rsid w:val="00406654"/>
    <w:rsid w:val="0041100B"/>
    <w:rsid w:val="004114F3"/>
    <w:rsid w:val="00412894"/>
    <w:rsid w:val="004130C3"/>
    <w:rsid w:val="00413E71"/>
    <w:rsid w:val="00421363"/>
    <w:rsid w:val="00421921"/>
    <w:rsid w:val="00422100"/>
    <w:rsid w:val="004254D3"/>
    <w:rsid w:val="0042746B"/>
    <w:rsid w:val="00433B69"/>
    <w:rsid w:val="004369AD"/>
    <w:rsid w:val="00436DD6"/>
    <w:rsid w:val="00444FB7"/>
    <w:rsid w:val="00450674"/>
    <w:rsid w:val="004533FE"/>
    <w:rsid w:val="00454715"/>
    <w:rsid w:val="00454D80"/>
    <w:rsid w:val="00456785"/>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7005"/>
    <w:rsid w:val="004901A7"/>
    <w:rsid w:val="004A084F"/>
    <w:rsid w:val="004A1FA1"/>
    <w:rsid w:val="004A3225"/>
    <w:rsid w:val="004A3F90"/>
    <w:rsid w:val="004A5F59"/>
    <w:rsid w:val="004A6F1F"/>
    <w:rsid w:val="004B17D8"/>
    <w:rsid w:val="004B2323"/>
    <w:rsid w:val="004B540B"/>
    <w:rsid w:val="004B62C3"/>
    <w:rsid w:val="004C0BC8"/>
    <w:rsid w:val="004C461A"/>
    <w:rsid w:val="004C7D23"/>
    <w:rsid w:val="004D0783"/>
    <w:rsid w:val="004D11CB"/>
    <w:rsid w:val="004D49E3"/>
    <w:rsid w:val="004D7163"/>
    <w:rsid w:val="004E0366"/>
    <w:rsid w:val="004E1C30"/>
    <w:rsid w:val="004E3342"/>
    <w:rsid w:val="004E45AC"/>
    <w:rsid w:val="004E4672"/>
    <w:rsid w:val="004E5593"/>
    <w:rsid w:val="004E7A1E"/>
    <w:rsid w:val="004E7F1A"/>
    <w:rsid w:val="004F0352"/>
    <w:rsid w:val="004F0740"/>
    <w:rsid w:val="004F415D"/>
    <w:rsid w:val="004F4980"/>
    <w:rsid w:val="004F66F4"/>
    <w:rsid w:val="004F7710"/>
    <w:rsid w:val="00502A45"/>
    <w:rsid w:val="0050542C"/>
    <w:rsid w:val="00512DC1"/>
    <w:rsid w:val="00514C6B"/>
    <w:rsid w:val="005161EC"/>
    <w:rsid w:val="0051709F"/>
    <w:rsid w:val="005175EB"/>
    <w:rsid w:val="00521A18"/>
    <w:rsid w:val="00522079"/>
    <w:rsid w:val="00522622"/>
    <w:rsid w:val="0052450E"/>
    <w:rsid w:val="00525410"/>
    <w:rsid w:val="00530703"/>
    <w:rsid w:val="00530763"/>
    <w:rsid w:val="00534EFD"/>
    <w:rsid w:val="005362F2"/>
    <w:rsid w:val="00543B42"/>
    <w:rsid w:val="0054651A"/>
    <w:rsid w:val="00546EA9"/>
    <w:rsid w:val="005474CD"/>
    <w:rsid w:val="005501B7"/>
    <w:rsid w:val="0055152E"/>
    <w:rsid w:val="00552094"/>
    <w:rsid w:val="00553D73"/>
    <w:rsid w:val="00554BAF"/>
    <w:rsid w:val="00555A15"/>
    <w:rsid w:val="00556291"/>
    <w:rsid w:val="005569E4"/>
    <w:rsid w:val="00560E11"/>
    <w:rsid w:val="00561147"/>
    <w:rsid w:val="00561463"/>
    <w:rsid w:val="00561F8F"/>
    <w:rsid w:val="00563A0E"/>
    <w:rsid w:val="005647D0"/>
    <w:rsid w:val="00574C59"/>
    <w:rsid w:val="00576CE2"/>
    <w:rsid w:val="005770AC"/>
    <w:rsid w:val="00577C1A"/>
    <w:rsid w:val="00577FAA"/>
    <w:rsid w:val="0058041D"/>
    <w:rsid w:val="005826AA"/>
    <w:rsid w:val="00583CE7"/>
    <w:rsid w:val="005856E9"/>
    <w:rsid w:val="005867BB"/>
    <w:rsid w:val="00587452"/>
    <w:rsid w:val="00591C2A"/>
    <w:rsid w:val="00592461"/>
    <w:rsid w:val="00592539"/>
    <w:rsid w:val="0059405D"/>
    <w:rsid w:val="00596A05"/>
    <w:rsid w:val="00596D6D"/>
    <w:rsid w:val="00597284"/>
    <w:rsid w:val="00597F8F"/>
    <w:rsid w:val="005A1EA2"/>
    <w:rsid w:val="005A2467"/>
    <w:rsid w:val="005A5858"/>
    <w:rsid w:val="005A6E51"/>
    <w:rsid w:val="005A7C7F"/>
    <w:rsid w:val="005A7D88"/>
    <w:rsid w:val="005B130C"/>
    <w:rsid w:val="005B14FF"/>
    <w:rsid w:val="005B3B71"/>
    <w:rsid w:val="005B4B1B"/>
    <w:rsid w:val="005B4F0F"/>
    <w:rsid w:val="005B58F0"/>
    <w:rsid w:val="005C0E62"/>
    <w:rsid w:val="005C0F5B"/>
    <w:rsid w:val="005C2E15"/>
    <w:rsid w:val="005C403B"/>
    <w:rsid w:val="005C63CB"/>
    <w:rsid w:val="005D0AA6"/>
    <w:rsid w:val="005D165F"/>
    <w:rsid w:val="005D21F3"/>
    <w:rsid w:val="005D3CF8"/>
    <w:rsid w:val="005D5D89"/>
    <w:rsid w:val="005E0D2D"/>
    <w:rsid w:val="005E3FB6"/>
    <w:rsid w:val="005F4583"/>
    <w:rsid w:val="005F4AB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824"/>
    <w:rsid w:val="00624214"/>
    <w:rsid w:val="00625419"/>
    <w:rsid w:val="00626D1A"/>
    <w:rsid w:val="00627429"/>
    <w:rsid w:val="0063089C"/>
    <w:rsid w:val="00632A91"/>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273C"/>
    <w:rsid w:val="00656A74"/>
    <w:rsid w:val="00657221"/>
    <w:rsid w:val="00661FC1"/>
    <w:rsid w:val="00663FED"/>
    <w:rsid w:val="00664B64"/>
    <w:rsid w:val="006678E3"/>
    <w:rsid w:val="00667A9C"/>
    <w:rsid w:val="006712E8"/>
    <w:rsid w:val="00677DA7"/>
    <w:rsid w:val="00680212"/>
    <w:rsid w:val="00680C90"/>
    <w:rsid w:val="00681036"/>
    <w:rsid w:val="006823AD"/>
    <w:rsid w:val="00682C29"/>
    <w:rsid w:val="00685872"/>
    <w:rsid w:val="00685AD7"/>
    <w:rsid w:val="00691963"/>
    <w:rsid w:val="00692124"/>
    <w:rsid w:val="00692D96"/>
    <w:rsid w:val="00693C96"/>
    <w:rsid w:val="00696339"/>
    <w:rsid w:val="00696982"/>
    <w:rsid w:val="006A3F85"/>
    <w:rsid w:val="006A48FA"/>
    <w:rsid w:val="006A56F1"/>
    <w:rsid w:val="006A6E5C"/>
    <w:rsid w:val="006B0972"/>
    <w:rsid w:val="006B3153"/>
    <w:rsid w:val="006B5871"/>
    <w:rsid w:val="006B6BB1"/>
    <w:rsid w:val="006B7212"/>
    <w:rsid w:val="006C14C3"/>
    <w:rsid w:val="006C4B6F"/>
    <w:rsid w:val="006C589D"/>
    <w:rsid w:val="006C769C"/>
    <w:rsid w:val="006C7A95"/>
    <w:rsid w:val="006D11E8"/>
    <w:rsid w:val="006D4B0E"/>
    <w:rsid w:val="006D753C"/>
    <w:rsid w:val="006E0A00"/>
    <w:rsid w:val="006E306D"/>
    <w:rsid w:val="006E4BEC"/>
    <w:rsid w:val="006E6968"/>
    <w:rsid w:val="006F04C6"/>
    <w:rsid w:val="006F08A0"/>
    <w:rsid w:val="006F2A97"/>
    <w:rsid w:val="006F7AD7"/>
    <w:rsid w:val="00702627"/>
    <w:rsid w:val="0070359F"/>
    <w:rsid w:val="0070464C"/>
    <w:rsid w:val="00705474"/>
    <w:rsid w:val="00705B46"/>
    <w:rsid w:val="007076B2"/>
    <w:rsid w:val="00711BBB"/>
    <w:rsid w:val="0071340A"/>
    <w:rsid w:val="00713FC7"/>
    <w:rsid w:val="00716FD1"/>
    <w:rsid w:val="00720D0F"/>
    <w:rsid w:val="007218A9"/>
    <w:rsid w:val="0072241C"/>
    <w:rsid w:val="007245A5"/>
    <w:rsid w:val="00731628"/>
    <w:rsid w:val="00734108"/>
    <w:rsid w:val="007343AD"/>
    <w:rsid w:val="0073448D"/>
    <w:rsid w:val="00735087"/>
    <w:rsid w:val="00736FA0"/>
    <w:rsid w:val="0074053E"/>
    <w:rsid w:val="0075000E"/>
    <w:rsid w:val="00752156"/>
    <w:rsid w:val="00753A7A"/>
    <w:rsid w:val="00756E77"/>
    <w:rsid w:val="007577C2"/>
    <w:rsid w:val="0076038F"/>
    <w:rsid w:val="00760D77"/>
    <w:rsid w:val="007617E5"/>
    <w:rsid w:val="0077124E"/>
    <w:rsid w:val="00772FA7"/>
    <w:rsid w:val="0077578C"/>
    <w:rsid w:val="00781ACA"/>
    <w:rsid w:val="007823CF"/>
    <w:rsid w:val="00783E35"/>
    <w:rsid w:val="00784F67"/>
    <w:rsid w:val="00786754"/>
    <w:rsid w:val="00786D49"/>
    <w:rsid w:val="00787061"/>
    <w:rsid w:val="00790F0A"/>
    <w:rsid w:val="00790F5E"/>
    <w:rsid w:val="007927A6"/>
    <w:rsid w:val="00797F6E"/>
    <w:rsid w:val="007A1F4C"/>
    <w:rsid w:val="007A53F8"/>
    <w:rsid w:val="007B05BD"/>
    <w:rsid w:val="007B31A5"/>
    <w:rsid w:val="007B3327"/>
    <w:rsid w:val="007B3533"/>
    <w:rsid w:val="007B4996"/>
    <w:rsid w:val="007B6926"/>
    <w:rsid w:val="007B6FA3"/>
    <w:rsid w:val="007B705D"/>
    <w:rsid w:val="007C5764"/>
    <w:rsid w:val="007C61D0"/>
    <w:rsid w:val="007C6FAA"/>
    <w:rsid w:val="007C768F"/>
    <w:rsid w:val="007D251F"/>
    <w:rsid w:val="007D4FA2"/>
    <w:rsid w:val="007E0874"/>
    <w:rsid w:val="007E0FAD"/>
    <w:rsid w:val="007E60E9"/>
    <w:rsid w:val="007E63F3"/>
    <w:rsid w:val="007E6F5A"/>
    <w:rsid w:val="007F0916"/>
    <w:rsid w:val="007F1E7D"/>
    <w:rsid w:val="007F2A79"/>
    <w:rsid w:val="007F3026"/>
    <w:rsid w:val="007F313C"/>
    <w:rsid w:val="007F42DD"/>
    <w:rsid w:val="007F4E0F"/>
    <w:rsid w:val="007F77CA"/>
    <w:rsid w:val="008011ED"/>
    <w:rsid w:val="00801636"/>
    <w:rsid w:val="00803935"/>
    <w:rsid w:val="008045D0"/>
    <w:rsid w:val="008059B8"/>
    <w:rsid w:val="00810333"/>
    <w:rsid w:val="0081415C"/>
    <w:rsid w:val="0081590D"/>
    <w:rsid w:val="00815E57"/>
    <w:rsid w:val="008166F5"/>
    <w:rsid w:val="0081677E"/>
    <w:rsid w:val="00817467"/>
    <w:rsid w:val="0082043E"/>
    <w:rsid w:val="00822905"/>
    <w:rsid w:val="0082299E"/>
    <w:rsid w:val="00827CD1"/>
    <w:rsid w:val="00832164"/>
    <w:rsid w:val="00832F53"/>
    <w:rsid w:val="00834003"/>
    <w:rsid w:val="0083455F"/>
    <w:rsid w:val="00834EA0"/>
    <w:rsid w:val="00843042"/>
    <w:rsid w:val="00843C37"/>
    <w:rsid w:val="00843D30"/>
    <w:rsid w:val="00844886"/>
    <w:rsid w:val="00844C2D"/>
    <w:rsid w:val="00846D68"/>
    <w:rsid w:val="008518E5"/>
    <w:rsid w:val="00852B15"/>
    <w:rsid w:val="00856135"/>
    <w:rsid w:val="00857A96"/>
    <w:rsid w:val="00861FE5"/>
    <w:rsid w:val="0086376D"/>
    <w:rsid w:val="008703C2"/>
    <w:rsid w:val="0087209F"/>
    <w:rsid w:val="008806CC"/>
    <w:rsid w:val="008849E6"/>
    <w:rsid w:val="0088513E"/>
    <w:rsid w:val="00886300"/>
    <w:rsid w:val="0089099F"/>
    <w:rsid w:val="00890AAF"/>
    <w:rsid w:val="00892F7A"/>
    <w:rsid w:val="00894CEB"/>
    <w:rsid w:val="00896A62"/>
    <w:rsid w:val="00897B88"/>
    <w:rsid w:val="008A113D"/>
    <w:rsid w:val="008A678B"/>
    <w:rsid w:val="008B0034"/>
    <w:rsid w:val="008B0702"/>
    <w:rsid w:val="008B2397"/>
    <w:rsid w:val="008B33B5"/>
    <w:rsid w:val="008B3CD6"/>
    <w:rsid w:val="008B6003"/>
    <w:rsid w:val="008B691D"/>
    <w:rsid w:val="008C4D11"/>
    <w:rsid w:val="008D54FA"/>
    <w:rsid w:val="008D5C05"/>
    <w:rsid w:val="008D6490"/>
    <w:rsid w:val="008D6FFD"/>
    <w:rsid w:val="008E1191"/>
    <w:rsid w:val="008E342E"/>
    <w:rsid w:val="008E4D9C"/>
    <w:rsid w:val="008E566D"/>
    <w:rsid w:val="008E588C"/>
    <w:rsid w:val="008F52D9"/>
    <w:rsid w:val="008F6BC6"/>
    <w:rsid w:val="00902B4C"/>
    <w:rsid w:val="00903FC5"/>
    <w:rsid w:val="0090403F"/>
    <w:rsid w:val="009071FF"/>
    <w:rsid w:val="009108DB"/>
    <w:rsid w:val="009112EB"/>
    <w:rsid w:val="00913191"/>
    <w:rsid w:val="009131F2"/>
    <w:rsid w:val="00916431"/>
    <w:rsid w:val="00917DBE"/>
    <w:rsid w:val="0092605A"/>
    <w:rsid w:val="0092689A"/>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A0"/>
    <w:rsid w:val="00957C6C"/>
    <w:rsid w:val="00960AA2"/>
    <w:rsid w:val="009649DC"/>
    <w:rsid w:val="00966A29"/>
    <w:rsid w:val="00966EB2"/>
    <w:rsid w:val="00970C67"/>
    <w:rsid w:val="00972E1D"/>
    <w:rsid w:val="00974456"/>
    <w:rsid w:val="00991483"/>
    <w:rsid w:val="0099296D"/>
    <w:rsid w:val="009935AA"/>
    <w:rsid w:val="00993F94"/>
    <w:rsid w:val="009951B2"/>
    <w:rsid w:val="009A039C"/>
    <w:rsid w:val="009A2859"/>
    <w:rsid w:val="009A4E90"/>
    <w:rsid w:val="009A50B8"/>
    <w:rsid w:val="009A737B"/>
    <w:rsid w:val="009B1823"/>
    <w:rsid w:val="009B406F"/>
    <w:rsid w:val="009B443A"/>
    <w:rsid w:val="009B4D09"/>
    <w:rsid w:val="009B6DD1"/>
    <w:rsid w:val="009C1332"/>
    <w:rsid w:val="009C4A4F"/>
    <w:rsid w:val="009C6D34"/>
    <w:rsid w:val="009D2E97"/>
    <w:rsid w:val="009D328E"/>
    <w:rsid w:val="009D3438"/>
    <w:rsid w:val="009D3B88"/>
    <w:rsid w:val="009D40B6"/>
    <w:rsid w:val="009D4D3A"/>
    <w:rsid w:val="009D7AD4"/>
    <w:rsid w:val="009E1231"/>
    <w:rsid w:val="009E1A57"/>
    <w:rsid w:val="009E36CA"/>
    <w:rsid w:val="009E4B6B"/>
    <w:rsid w:val="009E6470"/>
    <w:rsid w:val="009E7175"/>
    <w:rsid w:val="009F08CB"/>
    <w:rsid w:val="009F1E5E"/>
    <w:rsid w:val="009F497B"/>
    <w:rsid w:val="009F5331"/>
    <w:rsid w:val="009F6453"/>
    <w:rsid w:val="009F6AD6"/>
    <w:rsid w:val="009F6F30"/>
    <w:rsid w:val="009F7BFB"/>
    <w:rsid w:val="00A0081F"/>
    <w:rsid w:val="00A01B61"/>
    <w:rsid w:val="00A03BCB"/>
    <w:rsid w:val="00A048F3"/>
    <w:rsid w:val="00A04CA6"/>
    <w:rsid w:val="00A052DD"/>
    <w:rsid w:val="00A06E6F"/>
    <w:rsid w:val="00A12A49"/>
    <w:rsid w:val="00A135C4"/>
    <w:rsid w:val="00A13CB5"/>
    <w:rsid w:val="00A13FEC"/>
    <w:rsid w:val="00A200C3"/>
    <w:rsid w:val="00A21103"/>
    <w:rsid w:val="00A21E3C"/>
    <w:rsid w:val="00A23419"/>
    <w:rsid w:val="00A24BBD"/>
    <w:rsid w:val="00A26D62"/>
    <w:rsid w:val="00A27D2E"/>
    <w:rsid w:val="00A30D78"/>
    <w:rsid w:val="00A31032"/>
    <w:rsid w:val="00A31CCF"/>
    <w:rsid w:val="00A32598"/>
    <w:rsid w:val="00A33EF8"/>
    <w:rsid w:val="00A3432E"/>
    <w:rsid w:val="00A40DFB"/>
    <w:rsid w:val="00A435BF"/>
    <w:rsid w:val="00A448B0"/>
    <w:rsid w:val="00A46981"/>
    <w:rsid w:val="00A5210B"/>
    <w:rsid w:val="00A524EC"/>
    <w:rsid w:val="00A52F4A"/>
    <w:rsid w:val="00A531D6"/>
    <w:rsid w:val="00A54346"/>
    <w:rsid w:val="00A55211"/>
    <w:rsid w:val="00A569C9"/>
    <w:rsid w:val="00A57E0C"/>
    <w:rsid w:val="00A6039D"/>
    <w:rsid w:val="00A631B5"/>
    <w:rsid w:val="00A63351"/>
    <w:rsid w:val="00A6487D"/>
    <w:rsid w:val="00A65DF5"/>
    <w:rsid w:val="00A66D3E"/>
    <w:rsid w:val="00A676CE"/>
    <w:rsid w:val="00A7001C"/>
    <w:rsid w:val="00A70A43"/>
    <w:rsid w:val="00A75807"/>
    <w:rsid w:val="00A77913"/>
    <w:rsid w:val="00A8209D"/>
    <w:rsid w:val="00A82740"/>
    <w:rsid w:val="00A860C9"/>
    <w:rsid w:val="00A9137F"/>
    <w:rsid w:val="00A9483B"/>
    <w:rsid w:val="00A94F2C"/>
    <w:rsid w:val="00A972E1"/>
    <w:rsid w:val="00AA3F8C"/>
    <w:rsid w:val="00AA6E6B"/>
    <w:rsid w:val="00AB3052"/>
    <w:rsid w:val="00AB4248"/>
    <w:rsid w:val="00AB4520"/>
    <w:rsid w:val="00AB572D"/>
    <w:rsid w:val="00AB5A86"/>
    <w:rsid w:val="00AB6170"/>
    <w:rsid w:val="00AB707C"/>
    <w:rsid w:val="00AC0B37"/>
    <w:rsid w:val="00AC2185"/>
    <w:rsid w:val="00AC3068"/>
    <w:rsid w:val="00AC3C48"/>
    <w:rsid w:val="00AC4067"/>
    <w:rsid w:val="00AC53DF"/>
    <w:rsid w:val="00AC54F8"/>
    <w:rsid w:val="00AC692A"/>
    <w:rsid w:val="00AD0F08"/>
    <w:rsid w:val="00AD1585"/>
    <w:rsid w:val="00AD1747"/>
    <w:rsid w:val="00AD235B"/>
    <w:rsid w:val="00AD560B"/>
    <w:rsid w:val="00AD5BBB"/>
    <w:rsid w:val="00AE02B5"/>
    <w:rsid w:val="00AE0494"/>
    <w:rsid w:val="00AE0B28"/>
    <w:rsid w:val="00AE0C8D"/>
    <w:rsid w:val="00AE0D50"/>
    <w:rsid w:val="00AE1947"/>
    <w:rsid w:val="00AE242E"/>
    <w:rsid w:val="00AE2D8E"/>
    <w:rsid w:val="00AE4C9F"/>
    <w:rsid w:val="00AE7A40"/>
    <w:rsid w:val="00AE7EF9"/>
    <w:rsid w:val="00AF4A88"/>
    <w:rsid w:val="00AF60FC"/>
    <w:rsid w:val="00AF619D"/>
    <w:rsid w:val="00B01A75"/>
    <w:rsid w:val="00B02D39"/>
    <w:rsid w:val="00B03711"/>
    <w:rsid w:val="00B03B6B"/>
    <w:rsid w:val="00B04CC3"/>
    <w:rsid w:val="00B17DE2"/>
    <w:rsid w:val="00B2096A"/>
    <w:rsid w:val="00B20E8D"/>
    <w:rsid w:val="00B32541"/>
    <w:rsid w:val="00B3267F"/>
    <w:rsid w:val="00B35F87"/>
    <w:rsid w:val="00B379DA"/>
    <w:rsid w:val="00B37A67"/>
    <w:rsid w:val="00B41203"/>
    <w:rsid w:val="00B41500"/>
    <w:rsid w:val="00B5297F"/>
    <w:rsid w:val="00B52E16"/>
    <w:rsid w:val="00B53812"/>
    <w:rsid w:val="00B53C36"/>
    <w:rsid w:val="00B623DA"/>
    <w:rsid w:val="00B62736"/>
    <w:rsid w:val="00B62A71"/>
    <w:rsid w:val="00B62EF9"/>
    <w:rsid w:val="00B630C6"/>
    <w:rsid w:val="00B638A8"/>
    <w:rsid w:val="00B65DC0"/>
    <w:rsid w:val="00B67C2D"/>
    <w:rsid w:val="00B70D91"/>
    <w:rsid w:val="00B72FA0"/>
    <w:rsid w:val="00B73209"/>
    <w:rsid w:val="00B7708B"/>
    <w:rsid w:val="00B7721B"/>
    <w:rsid w:val="00B80E25"/>
    <w:rsid w:val="00B8347E"/>
    <w:rsid w:val="00B84B4A"/>
    <w:rsid w:val="00B8589C"/>
    <w:rsid w:val="00B86BAC"/>
    <w:rsid w:val="00B97B35"/>
    <w:rsid w:val="00BA3196"/>
    <w:rsid w:val="00BA3509"/>
    <w:rsid w:val="00BA5877"/>
    <w:rsid w:val="00BB124C"/>
    <w:rsid w:val="00BB17E3"/>
    <w:rsid w:val="00BB1CDB"/>
    <w:rsid w:val="00BB2110"/>
    <w:rsid w:val="00BB3645"/>
    <w:rsid w:val="00BB547E"/>
    <w:rsid w:val="00BB69B7"/>
    <w:rsid w:val="00BC2581"/>
    <w:rsid w:val="00BC3F55"/>
    <w:rsid w:val="00BC481A"/>
    <w:rsid w:val="00BC4D26"/>
    <w:rsid w:val="00BC555D"/>
    <w:rsid w:val="00BC658E"/>
    <w:rsid w:val="00BC68F8"/>
    <w:rsid w:val="00BD0218"/>
    <w:rsid w:val="00BD1869"/>
    <w:rsid w:val="00BD200B"/>
    <w:rsid w:val="00BD63DF"/>
    <w:rsid w:val="00BD64D4"/>
    <w:rsid w:val="00BD7C4B"/>
    <w:rsid w:val="00BE33E8"/>
    <w:rsid w:val="00BF2BEB"/>
    <w:rsid w:val="00BF3197"/>
    <w:rsid w:val="00BF5E23"/>
    <w:rsid w:val="00BF6AD1"/>
    <w:rsid w:val="00C01DB8"/>
    <w:rsid w:val="00C0300F"/>
    <w:rsid w:val="00C04C13"/>
    <w:rsid w:val="00C0523E"/>
    <w:rsid w:val="00C06C3C"/>
    <w:rsid w:val="00C0751C"/>
    <w:rsid w:val="00C07D81"/>
    <w:rsid w:val="00C07F14"/>
    <w:rsid w:val="00C11B64"/>
    <w:rsid w:val="00C1218B"/>
    <w:rsid w:val="00C12B6B"/>
    <w:rsid w:val="00C135F1"/>
    <w:rsid w:val="00C140D0"/>
    <w:rsid w:val="00C14775"/>
    <w:rsid w:val="00C150A5"/>
    <w:rsid w:val="00C22B21"/>
    <w:rsid w:val="00C23593"/>
    <w:rsid w:val="00C23845"/>
    <w:rsid w:val="00C31846"/>
    <w:rsid w:val="00C32A33"/>
    <w:rsid w:val="00C367FB"/>
    <w:rsid w:val="00C41389"/>
    <w:rsid w:val="00C41BB7"/>
    <w:rsid w:val="00C42379"/>
    <w:rsid w:val="00C44004"/>
    <w:rsid w:val="00C445F4"/>
    <w:rsid w:val="00C54DF3"/>
    <w:rsid w:val="00C610B6"/>
    <w:rsid w:val="00C6257F"/>
    <w:rsid w:val="00C63117"/>
    <w:rsid w:val="00C640C7"/>
    <w:rsid w:val="00C65784"/>
    <w:rsid w:val="00C67BDD"/>
    <w:rsid w:val="00C70F24"/>
    <w:rsid w:val="00C717F6"/>
    <w:rsid w:val="00C72FD7"/>
    <w:rsid w:val="00C8155C"/>
    <w:rsid w:val="00C907F0"/>
    <w:rsid w:val="00C93A91"/>
    <w:rsid w:val="00C95601"/>
    <w:rsid w:val="00CA1947"/>
    <w:rsid w:val="00CA1C91"/>
    <w:rsid w:val="00CA323D"/>
    <w:rsid w:val="00CA54A0"/>
    <w:rsid w:val="00CB5515"/>
    <w:rsid w:val="00CB76EF"/>
    <w:rsid w:val="00CB7840"/>
    <w:rsid w:val="00CC0E24"/>
    <w:rsid w:val="00CC2390"/>
    <w:rsid w:val="00CC34E2"/>
    <w:rsid w:val="00CC4A5C"/>
    <w:rsid w:val="00CC5BB7"/>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C10"/>
    <w:rsid w:val="00CE217C"/>
    <w:rsid w:val="00CE4AE9"/>
    <w:rsid w:val="00CF41D0"/>
    <w:rsid w:val="00D00CF9"/>
    <w:rsid w:val="00D012FF"/>
    <w:rsid w:val="00D04CD8"/>
    <w:rsid w:val="00D04DEC"/>
    <w:rsid w:val="00D114ED"/>
    <w:rsid w:val="00D1261E"/>
    <w:rsid w:val="00D13F32"/>
    <w:rsid w:val="00D14B5E"/>
    <w:rsid w:val="00D1685E"/>
    <w:rsid w:val="00D171BA"/>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995"/>
    <w:rsid w:val="00D7163F"/>
    <w:rsid w:val="00D7298C"/>
    <w:rsid w:val="00D73998"/>
    <w:rsid w:val="00D76FD9"/>
    <w:rsid w:val="00D800BD"/>
    <w:rsid w:val="00D816C8"/>
    <w:rsid w:val="00D81BC5"/>
    <w:rsid w:val="00D827CE"/>
    <w:rsid w:val="00D84DEB"/>
    <w:rsid w:val="00D877A6"/>
    <w:rsid w:val="00D904D9"/>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B07B5"/>
    <w:rsid w:val="00DB07F9"/>
    <w:rsid w:val="00DB3CAF"/>
    <w:rsid w:val="00DB4966"/>
    <w:rsid w:val="00DB7585"/>
    <w:rsid w:val="00DC1386"/>
    <w:rsid w:val="00DC7A46"/>
    <w:rsid w:val="00DD0F54"/>
    <w:rsid w:val="00DD4F7A"/>
    <w:rsid w:val="00DD5050"/>
    <w:rsid w:val="00DD5306"/>
    <w:rsid w:val="00DD5903"/>
    <w:rsid w:val="00DD5E1E"/>
    <w:rsid w:val="00DE229B"/>
    <w:rsid w:val="00DE3A2B"/>
    <w:rsid w:val="00DE4A81"/>
    <w:rsid w:val="00DE7AB8"/>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20591"/>
    <w:rsid w:val="00E22766"/>
    <w:rsid w:val="00E2572E"/>
    <w:rsid w:val="00E2692D"/>
    <w:rsid w:val="00E271C2"/>
    <w:rsid w:val="00E27AC2"/>
    <w:rsid w:val="00E30031"/>
    <w:rsid w:val="00E329A6"/>
    <w:rsid w:val="00E34BF7"/>
    <w:rsid w:val="00E34CB5"/>
    <w:rsid w:val="00E36419"/>
    <w:rsid w:val="00E37789"/>
    <w:rsid w:val="00E42265"/>
    <w:rsid w:val="00E45DAA"/>
    <w:rsid w:val="00E46560"/>
    <w:rsid w:val="00E47307"/>
    <w:rsid w:val="00E47601"/>
    <w:rsid w:val="00E50DB1"/>
    <w:rsid w:val="00E51053"/>
    <w:rsid w:val="00E51A6B"/>
    <w:rsid w:val="00E51A9F"/>
    <w:rsid w:val="00E52CA8"/>
    <w:rsid w:val="00E550CE"/>
    <w:rsid w:val="00E60B86"/>
    <w:rsid w:val="00E62E45"/>
    <w:rsid w:val="00E62F7D"/>
    <w:rsid w:val="00E700B8"/>
    <w:rsid w:val="00E702B9"/>
    <w:rsid w:val="00E70588"/>
    <w:rsid w:val="00E71BA8"/>
    <w:rsid w:val="00E75FA1"/>
    <w:rsid w:val="00E76419"/>
    <w:rsid w:val="00E77787"/>
    <w:rsid w:val="00E77CD7"/>
    <w:rsid w:val="00E82017"/>
    <w:rsid w:val="00E82792"/>
    <w:rsid w:val="00E844D7"/>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5ACF"/>
    <w:rsid w:val="00ED22A8"/>
    <w:rsid w:val="00ED2479"/>
    <w:rsid w:val="00ED4EB4"/>
    <w:rsid w:val="00ED5D09"/>
    <w:rsid w:val="00ED7107"/>
    <w:rsid w:val="00EE2221"/>
    <w:rsid w:val="00EE276F"/>
    <w:rsid w:val="00EE2982"/>
    <w:rsid w:val="00EE634F"/>
    <w:rsid w:val="00EF369D"/>
    <w:rsid w:val="00EF38A7"/>
    <w:rsid w:val="00EF6A39"/>
    <w:rsid w:val="00F00B38"/>
    <w:rsid w:val="00F0376E"/>
    <w:rsid w:val="00F044B3"/>
    <w:rsid w:val="00F05E83"/>
    <w:rsid w:val="00F07DC4"/>
    <w:rsid w:val="00F07E05"/>
    <w:rsid w:val="00F10842"/>
    <w:rsid w:val="00F13C42"/>
    <w:rsid w:val="00F161F7"/>
    <w:rsid w:val="00F206E8"/>
    <w:rsid w:val="00F21755"/>
    <w:rsid w:val="00F21F2E"/>
    <w:rsid w:val="00F23947"/>
    <w:rsid w:val="00F23B61"/>
    <w:rsid w:val="00F276F1"/>
    <w:rsid w:val="00F32680"/>
    <w:rsid w:val="00F33A66"/>
    <w:rsid w:val="00F34368"/>
    <w:rsid w:val="00F34E5A"/>
    <w:rsid w:val="00F35452"/>
    <w:rsid w:val="00F45532"/>
    <w:rsid w:val="00F45ED2"/>
    <w:rsid w:val="00F53C4F"/>
    <w:rsid w:val="00F56A51"/>
    <w:rsid w:val="00F61899"/>
    <w:rsid w:val="00F66CD4"/>
    <w:rsid w:val="00F66E01"/>
    <w:rsid w:val="00F7129A"/>
    <w:rsid w:val="00F7180D"/>
    <w:rsid w:val="00F727A7"/>
    <w:rsid w:val="00F729D7"/>
    <w:rsid w:val="00F774CD"/>
    <w:rsid w:val="00F80F59"/>
    <w:rsid w:val="00F82E69"/>
    <w:rsid w:val="00F8414D"/>
    <w:rsid w:val="00F84181"/>
    <w:rsid w:val="00F84C5D"/>
    <w:rsid w:val="00F86271"/>
    <w:rsid w:val="00F87176"/>
    <w:rsid w:val="00F87303"/>
    <w:rsid w:val="00F91287"/>
    <w:rsid w:val="00F917FA"/>
    <w:rsid w:val="00F91B28"/>
    <w:rsid w:val="00F91DA0"/>
    <w:rsid w:val="00F9306F"/>
    <w:rsid w:val="00F94B4E"/>
    <w:rsid w:val="00F978B7"/>
    <w:rsid w:val="00FA2FCD"/>
    <w:rsid w:val="00FA3FA8"/>
    <w:rsid w:val="00FA4718"/>
    <w:rsid w:val="00FA6E64"/>
    <w:rsid w:val="00FB1DCD"/>
    <w:rsid w:val="00FB2F0E"/>
    <w:rsid w:val="00FB31CC"/>
    <w:rsid w:val="00FC05EE"/>
    <w:rsid w:val="00FC2EC6"/>
    <w:rsid w:val="00FC339A"/>
    <w:rsid w:val="00FC36E0"/>
    <w:rsid w:val="00FC546F"/>
    <w:rsid w:val="00FC6F5E"/>
    <w:rsid w:val="00FC711A"/>
    <w:rsid w:val="00FC7D31"/>
    <w:rsid w:val="00FD13AC"/>
    <w:rsid w:val="00FD2D28"/>
    <w:rsid w:val="00FD6BFE"/>
    <w:rsid w:val="00FE3FF3"/>
    <w:rsid w:val="00FE6D8B"/>
    <w:rsid w:val="00FF459F"/>
    <w:rsid w:val="00FF4D4F"/>
    <w:rsid w:val="1A113708"/>
    <w:rsid w:val="4D82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2E00B31-3DD0-4813-9B86-3870BB18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Lines="100" w:before="100" w:afterLines="100" w:after="100" w:line="360" w:lineRule="auto"/>
      <w:jc w:val="center"/>
      <w:outlineLvl w:val="0"/>
    </w:pPr>
    <w:rPr>
      <w:b/>
      <w:bCs/>
      <w:kern w:val="44"/>
      <w:sz w:val="28"/>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kern w:val="0"/>
      <w:sz w:val="18"/>
      <w:szCs w:val="18"/>
    </w:rPr>
  </w:style>
  <w:style w:type="paragraph" w:styleId="a5">
    <w:name w:val="annotation subject"/>
    <w:basedOn w:val="a6"/>
    <w:next w:val="a6"/>
    <w:link w:val="a7"/>
    <w:uiPriority w:val="99"/>
    <w:unhideWhenUsed/>
    <w:rPr>
      <w:b/>
      <w:bCs/>
    </w:rPr>
  </w:style>
  <w:style w:type="paragraph" w:styleId="a6">
    <w:name w:val="annotation text"/>
    <w:basedOn w:val="a"/>
    <w:link w:val="a8"/>
    <w:unhideWhenUsed/>
    <w:pPr>
      <w:jc w:val="left"/>
    </w:pPr>
  </w:style>
  <w:style w:type="paragraph" w:styleId="a9">
    <w:name w:val="Document Map"/>
    <w:basedOn w:val="a"/>
    <w:link w:val="aa"/>
    <w:uiPriority w:val="99"/>
    <w:unhideWhenUsed/>
    <w:rPr>
      <w:rFonts w:ascii="宋体"/>
      <w:sz w:val="18"/>
      <w:szCs w:val="18"/>
    </w:rPr>
  </w:style>
  <w:style w:type="paragraph" w:styleId="ab">
    <w:name w:val="Balloon Text"/>
    <w:basedOn w:val="a"/>
    <w:semiHidden/>
    <w:rPr>
      <w:sz w:val="18"/>
      <w:szCs w:val="18"/>
    </w:rPr>
  </w:style>
  <w:style w:type="paragraph" w:styleId="ac">
    <w:name w:val="footer"/>
    <w:basedOn w:val="a"/>
    <w:link w:val="ad"/>
    <w:uiPriority w:val="99"/>
    <w:unhideWhenUsed/>
    <w:pPr>
      <w:tabs>
        <w:tab w:val="center" w:pos="4153"/>
        <w:tab w:val="right" w:pos="8306"/>
      </w:tabs>
      <w:snapToGrid w:val="0"/>
      <w:jc w:val="left"/>
    </w:pPr>
    <w:rPr>
      <w:kern w:val="0"/>
      <w:sz w:val="18"/>
      <w:szCs w:val="18"/>
    </w:rPr>
  </w:style>
  <w:style w:type="paragraph" w:styleId="11">
    <w:name w:val="toc 1"/>
    <w:basedOn w:val="a"/>
    <w:next w:val="a"/>
    <w:uiPriority w:val="39"/>
    <w:unhideWhenUsed/>
  </w:style>
  <w:style w:type="paragraph" w:styleId="ae">
    <w:name w:val="Subtitle"/>
    <w:basedOn w:val="a"/>
    <w:next w:val="a"/>
    <w:link w:val="af"/>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uiPriority w:val="39"/>
    <w:unhideWhenUsed/>
    <w:pPr>
      <w:ind w:leftChars="200" w:left="480"/>
    </w:pPr>
  </w:style>
  <w:style w:type="character" w:styleId="af0">
    <w:name w:val="Hyperlink"/>
    <w:uiPriority w:val="99"/>
    <w:unhideWhenUsed/>
    <w:rPr>
      <w:color w:val="0000FF"/>
      <w:u w:val="single"/>
    </w:rPr>
  </w:style>
  <w:style w:type="character" w:styleId="af1">
    <w:name w:val="annotation reference"/>
    <w:unhideWhenUsed/>
    <w:rPr>
      <w:sz w:val="21"/>
      <w:szCs w:val="21"/>
    </w:rPr>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paragraph" w:customStyle="1" w:styleId="af3">
    <w:basedOn w:val="1"/>
    <w:next w:val="a"/>
    <w:uiPriority w:val="39"/>
    <w:qFormat/>
    <w:pPr>
      <w:widowControl/>
      <w:spacing w:beforeLines="0" w:before="480" w:line="276" w:lineRule="auto"/>
      <w:jc w:val="left"/>
      <w:outlineLvl w:val="9"/>
    </w:pPr>
    <w:rPr>
      <w:rFonts w:ascii="Cambria" w:hAnsi="Cambria"/>
      <w:color w:val="365F91"/>
      <w:kern w:val="0"/>
      <w:szCs w:val="28"/>
    </w:rPr>
  </w:style>
  <w:style w:type="paragraph" w:customStyle="1" w:styleId="XBRLTitle6">
    <w:name w:val="XBRLTitle6"/>
    <w:basedOn w:val="ae"/>
    <w:next w:val="4"/>
    <w:qFormat/>
    <w:pPr>
      <w:keepNext/>
      <w:keepLines/>
      <w:numPr>
        <w:ilvl w:val="5"/>
        <w:numId w:val="1"/>
      </w:numPr>
      <w:ind w:left="0" w:firstLine="0"/>
      <w:jc w:val="left"/>
    </w:pPr>
    <w:rPr>
      <w:bCs w:val="0"/>
      <w:sz w:val="24"/>
    </w:rPr>
  </w:style>
  <w:style w:type="paragraph" w:customStyle="1" w:styleId="af4">
    <w:uiPriority w:val="99"/>
    <w:semiHidden/>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BRLTitle1">
    <w:name w:val="XBRLTitle1"/>
    <w:basedOn w:val="1"/>
    <w:next w:val="2"/>
    <w:qFormat/>
    <w:pPr>
      <w:numPr>
        <w:numId w:val="1"/>
      </w:numPr>
      <w:spacing w:beforeLines="50" w:before="340" w:afterLines="50" w:after="330" w:line="240" w:lineRule="auto"/>
    </w:pPr>
    <w:rPr>
      <w:rFonts w:ascii="Cambria" w:hAnsi="Cambria"/>
    </w:rPr>
  </w:style>
  <w:style w:type="paragraph" w:customStyle="1" w:styleId="XBRLTitle2">
    <w:name w:val="XBRLTitle2"/>
    <w:basedOn w:val="ae"/>
    <w:next w:val="4"/>
    <w:qFormat/>
    <w:pPr>
      <w:keepNext/>
      <w:keepLines/>
      <w:numPr>
        <w:ilvl w:val="1"/>
        <w:numId w:val="1"/>
      </w:numPr>
      <w:jc w:val="left"/>
    </w:pPr>
    <w:rPr>
      <w:bCs w:val="0"/>
      <w:sz w:val="24"/>
    </w:rPr>
  </w:style>
  <w:style w:type="paragraph" w:customStyle="1" w:styleId="XBRLTitle3">
    <w:name w:val="XBRLTitle3"/>
    <w:basedOn w:val="ae"/>
    <w:next w:val="4"/>
    <w:qFormat/>
    <w:pPr>
      <w:keepNext/>
      <w:keepLines/>
      <w:numPr>
        <w:ilvl w:val="2"/>
        <w:numId w:val="1"/>
      </w:numPr>
      <w:ind w:left="0" w:firstLine="0"/>
      <w:jc w:val="left"/>
    </w:pPr>
    <w:rPr>
      <w:bCs w:val="0"/>
      <w:sz w:val="24"/>
    </w:rPr>
  </w:style>
  <w:style w:type="paragraph" w:customStyle="1" w:styleId="XBRLTitle5">
    <w:name w:val="XBRLTitle5"/>
    <w:basedOn w:val="ae"/>
    <w:next w:val="4"/>
    <w:qFormat/>
    <w:pPr>
      <w:keepNext/>
      <w:keepLines/>
      <w:numPr>
        <w:ilvl w:val="4"/>
        <w:numId w:val="1"/>
      </w:numPr>
      <w:ind w:left="0" w:firstLine="0"/>
      <w:jc w:val="left"/>
    </w:pPr>
    <w:rPr>
      <w:bCs w:val="0"/>
      <w:sz w:val="24"/>
    </w:rPr>
  </w:style>
  <w:style w:type="paragraph" w:customStyle="1" w:styleId="XBRLTitle4">
    <w:name w:val="XBRLTitle4"/>
    <w:basedOn w:val="ae"/>
    <w:next w:val="4"/>
    <w:qFormat/>
    <w:pPr>
      <w:keepNext/>
      <w:keepLines/>
      <w:numPr>
        <w:ilvl w:val="3"/>
        <w:numId w:val="1"/>
      </w:numPr>
      <w:ind w:left="0" w:firstLine="0"/>
      <w:jc w:val="left"/>
    </w:pPr>
    <w:rPr>
      <w:bCs w:val="0"/>
      <w:sz w:val="24"/>
    </w:rPr>
  </w:style>
  <w:style w:type="character" w:customStyle="1" w:styleId="Char1">
    <w:name w:val="副标题 Char1"/>
    <w:rPr>
      <w:rFonts w:ascii="Cambria" w:hAnsi="Cambria"/>
      <w:b/>
      <w:kern w:val="28"/>
      <w:sz w:val="24"/>
      <w:szCs w:val="32"/>
    </w:rPr>
  </w:style>
  <w:style w:type="character" w:customStyle="1" w:styleId="txtcontent11">
    <w:name w:val="txtcontent11"/>
    <w:rPr>
      <w:rFonts w:ascii="ˎ̥" w:hAnsi="ˎ̥" w:hint="default"/>
      <w:color w:val="000000"/>
      <w:sz w:val="21"/>
      <w:szCs w:val="21"/>
    </w:rPr>
  </w:style>
  <w:style w:type="character" w:customStyle="1" w:styleId="a8">
    <w:name w:val="批注文字 字符"/>
    <w:link w:val="a6"/>
    <w:rPr>
      <w:kern w:val="2"/>
      <w:sz w:val="21"/>
      <w:szCs w:val="22"/>
    </w:rPr>
  </w:style>
  <w:style w:type="character" w:customStyle="1" w:styleId="a7">
    <w:name w:val="批注主题 字符"/>
    <w:link w:val="a5"/>
    <w:uiPriority w:val="99"/>
    <w:semiHidden/>
    <w:rPr>
      <w:b/>
      <w:bCs/>
      <w:kern w:val="2"/>
      <w:sz w:val="21"/>
      <w:szCs w:val="22"/>
    </w:rPr>
  </w:style>
  <w:style w:type="character" w:customStyle="1" w:styleId="a4">
    <w:name w:val="页眉 字符"/>
    <w:link w:val="a3"/>
    <w:uiPriority w:val="99"/>
    <w:rPr>
      <w:sz w:val="18"/>
      <w:szCs w:val="18"/>
    </w:rPr>
  </w:style>
  <w:style w:type="character" w:customStyle="1" w:styleId="af">
    <w:name w:val="副标题 字符"/>
    <w:link w:val="ae"/>
    <w:rPr>
      <w:rFonts w:ascii="Cambria" w:hAnsi="Cambria" w:cs="Times New Roman"/>
      <w:b/>
      <w:bCs/>
      <w:kern w:val="28"/>
      <w:sz w:val="32"/>
      <w:szCs w:val="32"/>
    </w:rPr>
  </w:style>
  <w:style w:type="character" w:customStyle="1" w:styleId="aa">
    <w:name w:val="文档结构图 字符"/>
    <w:link w:val="a9"/>
    <w:uiPriority w:val="99"/>
    <w:semiHidden/>
    <w:rPr>
      <w:rFonts w:ascii="宋体"/>
      <w:kern w:val="2"/>
      <w:sz w:val="18"/>
      <w:szCs w:val="18"/>
    </w:rPr>
  </w:style>
  <w:style w:type="character" w:customStyle="1" w:styleId="ad">
    <w:name w:val="页脚 字符"/>
    <w:link w:val="ac"/>
    <w:uiPriority w:val="99"/>
    <w:rPr>
      <w:sz w:val="18"/>
      <w:szCs w:val="18"/>
    </w:rPr>
  </w:style>
  <w:style w:type="character" w:customStyle="1" w:styleId="20">
    <w:name w:val="标题 2 字符"/>
    <w:link w:val="2"/>
    <w:uiPriority w:val="9"/>
    <w:semiHidden/>
    <w:rPr>
      <w:rFonts w:ascii="Cambria" w:eastAsia="宋体" w:hAnsi="Cambria" w:cs="Times New Roman"/>
      <w:b/>
      <w:bCs/>
      <w:kern w:val="2"/>
      <w:sz w:val="32"/>
      <w:szCs w:val="32"/>
    </w:rPr>
  </w:style>
  <w:style w:type="character" w:customStyle="1" w:styleId="40">
    <w:name w:val="标题 4 字符"/>
    <w:link w:val="4"/>
    <w:uiPriority w:val="9"/>
    <w:semiHidden/>
    <w:rPr>
      <w:rFonts w:ascii="Cambria" w:eastAsia="宋体" w:hAnsi="Cambria" w:cs="Times New Roman"/>
      <w:b/>
      <w:bCs/>
      <w:kern w:val="2"/>
      <w:sz w:val="28"/>
      <w:szCs w:val="28"/>
    </w:rPr>
  </w:style>
  <w:style w:type="character" w:customStyle="1" w:styleId="10">
    <w:name w:val="标题 1 字符"/>
    <w:link w:val="1"/>
    <w:uiPriority w:val="9"/>
    <w:rPr>
      <w:b/>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16042</Words>
  <Characters>91444</Characters>
  <Application>Microsoft Office Word</Application>
  <DocSecurity>0</DocSecurity>
  <Lines>762</Lines>
  <Paragraphs>214</Paragraphs>
  <ScaleCrop>false</ScaleCrop>
  <Company>Microsoft</Company>
  <LinksUpToDate>false</LinksUpToDate>
  <CharactersWithSpaces>107272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系统用户</dc:creator>
  <cp:lastModifiedBy>祝妍</cp:lastModifiedBy>
  <cp:revision>3</cp:revision>
  <cp:lastPrinted>2013-02-18T03:10:00Z</cp:lastPrinted>
  <dcterms:created xsi:type="dcterms:W3CDTF">2023-10-17T08:16:00Z</dcterms:created>
  <dcterms:modified xsi:type="dcterms:W3CDTF">2023-10-17T08:16:00Z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