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B32F1D" w14:textId="77777777" w:rsidR="0004536B" w:rsidRDefault="0004536B">
      <w:pPr>
        <w:spacing w:line="360" w:lineRule="auto"/>
        <w:rPr>
          <w:sz w:val="32"/>
        </w:rPr>
      </w:pPr>
    </w:p>
    <w:p w14:paraId="5623484C" w14:textId="77777777" w:rsidR="0004536B" w:rsidRDefault="0004536B">
      <w:pPr>
        <w:spacing w:line="360" w:lineRule="auto"/>
        <w:rPr>
          <w:sz w:val="32"/>
        </w:rPr>
      </w:pPr>
    </w:p>
    <w:p w14:paraId="22996081" w14:textId="77777777" w:rsidR="0004536B" w:rsidRDefault="0004536B">
      <w:pPr>
        <w:spacing w:line="360" w:lineRule="auto"/>
        <w:rPr>
          <w:sz w:val="32"/>
        </w:rPr>
      </w:pPr>
    </w:p>
    <w:p w14:paraId="711806FB" w14:textId="77777777" w:rsidR="0004536B" w:rsidRDefault="003574EC">
      <w:pPr>
        <w:spacing w:line="360" w:lineRule="auto"/>
        <w:jc w:val="center"/>
        <w:rPr>
          <w:sz w:val="32"/>
        </w:rPr>
      </w:pPr>
      <w:r>
        <w:rPr>
          <w:noProof/>
        </w:rPr>
        <w:drawing>
          <wp:inline distT="0" distB="0" distL="0" distR="0" wp14:anchorId="7A8F48A9" wp14:editId="65E37899">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41D0CE62" w14:textId="77777777" w:rsidR="0004536B" w:rsidRDefault="0004536B">
      <w:pPr>
        <w:spacing w:line="360" w:lineRule="auto"/>
        <w:jc w:val="center"/>
        <w:rPr>
          <w:b/>
          <w:sz w:val="32"/>
        </w:rPr>
      </w:pPr>
    </w:p>
    <w:p w14:paraId="028A618B" w14:textId="77777777" w:rsidR="0004536B" w:rsidRDefault="0004536B">
      <w:pPr>
        <w:spacing w:line="360" w:lineRule="auto"/>
        <w:jc w:val="center"/>
        <w:rPr>
          <w:b/>
          <w:sz w:val="32"/>
        </w:rPr>
      </w:pPr>
    </w:p>
    <w:p w14:paraId="11CCC01B" w14:textId="77777777" w:rsidR="0004536B" w:rsidRDefault="0004536B">
      <w:pPr>
        <w:spacing w:line="360" w:lineRule="auto"/>
        <w:rPr>
          <w:b/>
          <w:sz w:val="44"/>
        </w:rPr>
      </w:pPr>
    </w:p>
    <w:p w14:paraId="76F27E89" w14:textId="477235D3" w:rsidR="0004536B" w:rsidRDefault="003574EC">
      <w:pPr>
        <w:adjustRightInd w:val="0"/>
        <w:snapToGrid w:val="0"/>
        <w:spacing w:line="360" w:lineRule="auto"/>
        <w:jc w:val="center"/>
        <w:rPr>
          <w:sz w:val="24"/>
        </w:rPr>
      </w:pPr>
      <w:r>
        <w:rPr>
          <w:rFonts w:hAnsi="宋体"/>
          <w:b/>
          <w:sz w:val="44"/>
        </w:rPr>
        <w:t>交银施罗德</w:t>
      </w:r>
      <w:r w:rsidR="00F86ECF">
        <w:rPr>
          <w:rFonts w:hAnsi="宋体" w:hint="eastAsia"/>
          <w:b/>
          <w:sz w:val="44"/>
        </w:rPr>
        <w:t>瑞元三年定期开放</w:t>
      </w:r>
      <w:r>
        <w:rPr>
          <w:rFonts w:hAnsi="宋体"/>
          <w:b/>
          <w:sz w:val="44"/>
        </w:rPr>
        <w:t>混合型证券投资基金招募说明书</w:t>
      </w:r>
    </w:p>
    <w:p w14:paraId="4FED3D7D" w14:textId="77777777" w:rsidR="0004536B" w:rsidRDefault="0004536B">
      <w:pPr>
        <w:spacing w:line="360" w:lineRule="auto"/>
        <w:rPr>
          <w:b/>
          <w:sz w:val="28"/>
        </w:rPr>
      </w:pPr>
    </w:p>
    <w:p w14:paraId="5B5CB7A7" w14:textId="77777777" w:rsidR="0004536B" w:rsidRDefault="0004536B">
      <w:pPr>
        <w:spacing w:line="360" w:lineRule="auto"/>
        <w:rPr>
          <w:b/>
          <w:sz w:val="28"/>
        </w:rPr>
      </w:pPr>
    </w:p>
    <w:p w14:paraId="0EFE7A4E" w14:textId="77777777" w:rsidR="0004536B" w:rsidRDefault="0004536B">
      <w:pPr>
        <w:spacing w:line="360" w:lineRule="auto"/>
        <w:rPr>
          <w:b/>
          <w:sz w:val="28"/>
        </w:rPr>
      </w:pPr>
    </w:p>
    <w:p w14:paraId="53A6C6BF" w14:textId="77777777" w:rsidR="0004536B" w:rsidRDefault="0004536B">
      <w:pPr>
        <w:spacing w:line="360" w:lineRule="auto"/>
        <w:rPr>
          <w:b/>
          <w:sz w:val="28"/>
        </w:rPr>
      </w:pPr>
    </w:p>
    <w:p w14:paraId="40236102" w14:textId="77777777" w:rsidR="0004536B" w:rsidRDefault="0004536B">
      <w:pPr>
        <w:spacing w:line="360" w:lineRule="auto"/>
        <w:rPr>
          <w:b/>
          <w:sz w:val="28"/>
        </w:rPr>
      </w:pPr>
    </w:p>
    <w:p w14:paraId="284D587A" w14:textId="77777777" w:rsidR="0004536B" w:rsidRDefault="003574EC">
      <w:pPr>
        <w:spacing w:line="360" w:lineRule="auto"/>
        <w:ind w:leftChars="942" w:left="1978"/>
        <w:rPr>
          <w:b/>
          <w:sz w:val="28"/>
        </w:rPr>
      </w:pPr>
      <w:r>
        <w:rPr>
          <w:rFonts w:hAnsi="宋体"/>
          <w:b/>
          <w:sz w:val="28"/>
        </w:rPr>
        <w:t>基金管理人：交银施罗德基金管理有限公司</w:t>
      </w:r>
    </w:p>
    <w:p w14:paraId="3A48167D" w14:textId="77777777" w:rsidR="0004536B" w:rsidRDefault="003574EC">
      <w:pPr>
        <w:spacing w:line="360" w:lineRule="auto"/>
        <w:ind w:leftChars="942" w:left="1978"/>
        <w:rPr>
          <w:b/>
          <w:sz w:val="28"/>
        </w:rPr>
      </w:pPr>
      <w:r>
        <w:rPr>
          <w:rFonts w:hAnsi="宋体"/>
          <w:b/>
          <w:sz w:val="28"/>
        </w:rPr>
        <w:t>基金托管人：</w:t>
      </w:r>
      <w:r>
        <w:rPr>
          <w:rFonts w:hAnsi="宋体" w:hint="eastAsia"/>
          <w:b/>
          <w:sz w:val="28"/>
        </w:rPr>
        <w:t>中信</w:t>
      </w:r>
      <w:r>
        <w:rPr>
          <w:rFonts w:hAnsi="宋体"/>
          <w:b/>
          <w:sz w:val="28"/>
        </w:rPr>
        <w:t>银行股份有限公司</w:t>
      </w:r>
    </w:p>
    <w:p w14:paraId="7A938EE6" w14:textId="77777777" w:rsidR="0004536B" w:rsidRDefault="0004536B">
      <w:pPr>
        <w:widowControl/>
        <w:spacing w:line="360" w:lineRule="auto"/>
        <w:ind w:firstLineChars="200" w:firstLine="420"/>
        <w:rPr>
          <w:rFonts w:ascii="宋体" w:hAnsi="宋体"/>
          <w:kern w:val="0"/>
        </w:rPr>
      </w:pPr>
    </w:p>
    <w:p w14:paraId="09DE176D" w14:textId="77777777" w:rsidR="0004536B" w:rsidRDefault="0004536B">
      <w:pPr>
        <w:widowControl/>
        <w:spacing w:line="360" w:lineRule="auto"/>
        <w:ind w:firstLineChars="200" w:firstLine="420"/>
        <w:rPr>
          <w:rFonts w:ascii="宋体" w:hAnsi="宋体"/>
          <w:kern w:val="0"/>
        </w:rPr>
      </w:pPr>
    </w:p>
    <w:p w14:paraId="28356C78" w14:textId="0387C0B0" w:rsidR="0004536B" w:rsidRDefault="003574EC">
      <w:pPr>
        <w:autoSpaceDE w:val="0"/>
        <w:autoSpaceDN w:val="0"/>
        <w:spacing w:line="360" w:lineRule="auto"/>
        <w:ind w:left="2996" w:hanging="2996"/>
        <w:jc w:val="center"/>
        <w:textAlignment w:val="bottom"/>
        <w:rPr>
          <w:rFonts w:hAnsi="宋体"/>
          <w:b/>
          <w:sz w:val="28"/>
        </w:rPr>
      </w:pPr>
      <w:r>
        <w:rPr>
          <w:rFonts w:hAnsi="宋体"/>
          <w:b/>
          <w:sz w:val="28"/>
        </w:rPr>
        <w:t>二〇二</w:t>
      </w:r>
      <w:r>
        <w:rPr>
          <w:rFonts w:hAnsi="宋体" w:hint="eastAsia"/>
          <w:b/>
          <w:sz w:val="28"/>
        </w:rPr>
        <w:t>三</w:t>
      </w:r>
      <w:r>
        <w:rPr>
          <w:rFonts w:hAnsi="宋体"/>
          <w:b/>
          <w:sz w:val="28"/>
        </w:rPr>
        <w:t>年</w:t>
      </w:r>
      <w:r w:rsidR="00F14358">
        <w:rPr>
          <w:rFonts w:hAnsi="宋体" w:hint="eastAsia"/>
          <w:b/>
          <w:sz w:val="28"/>
        </w:rPr>
        <w:t>九</w:t>
      </w:r>
      <w:r>
        <w:rPr>
          <w:rFonts w:hAnsi="宋体"/>
          <w:b/>
          <w:sz w:val="28"/>
        </w:rPr>
        <w:t>月</w:t>
      </w:r>
    </w:p>
    <w:p w14:paraId="248EF017" w14:textId="77777777" w:rsidR="0004536B" w:rsidRDefault="0004536B">
      <w:pPr>
        <w:autoSpaceDE w:val="0"/>
        <w:autoSpaceDN w:val="0"/>
        <w:spacing w:line="360" w:lineRule="auto"/>
        <w:ind w:left="2996" w:hanging="2996"/>
        <w:jc w:val="center"/>
        <w:textAlignment w:val="bottom"/>
        <w:rPr>
          <w:b/>
          <w:sz w:val="24"/>
        </w:rPr>
      </w:pPr>
    </w:p>
    <w:p w14:paraId="1A9D7A8C" w14:textId="77777777" w:rsidR="0004536B" w:rsidRDefault="0004536B">
      <w:pPr>
        <w:widowControl/>
        <w:spacing w:line="360" w:lineRule="auto"/>
        <w:jc w:val="left"/>
        <w:rPr>
          <w:rFonts w:hAnsi="宋体"/>
          <w:kern w:val="0"/>
        </w:rPr>
      </w:pPr>
    </w:p>
    <w:p w14:paraId="26731EAF" w14:textId="77777777" w:rsidR="0004536B" w:rsidRDefault="0004536B">
      <w:pPr>
        <w:widowControl/>
        <w:spacing w:line="360" w:lineRule="auto"/>
        <w:jc w:val="left"/>
        <w:rPr>
          <w:kern w:val="0"/>
        </w:rPr>
      </w:pPr>
    </w:p>
    <w:p w14:paraId="296CE08A" w14:textId="77777777" w:rsidR="0004536B" w:rsidRDefault="003574EC">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50EED41D" w14:textId="150C5B2D" w:rsidR="0004536B" w:rsidRDefault="003574EC">
      <w:pPr>
        <w:widowControl/>
        <w:adjustRightInd w:val="0"/>
        <w:snapToGrid w:val="0"/>
        <w:spacing w:line="360" w:lineRule="auto"/>
        <w:ind w:firstLineChars="200" w:firstLine="480"/>
        <w:rPr>
          <w:kern w:val="0"/>
          <w:sz w:val="24"/>
        </w:rPr>
      </w:pPr>
      <w:r>
        <w:rPr>
          <w:kern w:val="0"/>
          <w:sz w:val="24"/>
        </w:rPr>
        <w:t>交银施罗德</w:t>
      </w:r>
      <w:r w:rsidR="00F86ECF">
        <w:rPr>
          <w:rFonts w:hint="eastAsia"/>
          <w:kern w:val="0"/>
          <w:sz w:val="24"/>
        </w:rPr>
        <w:t>瑞元三年定期开放</w:t>
      </w:r>
      <w:r>
        <w:rPr>
          <w:kern w:val="0"/>
          <w:sz w:val="24"/>
        </w:rPr>
        <w:t>混合型证券投资基金（以下简称</w:t>
      </w:r>
      <w:r>
        <w:rPr>
          <w:rFonts w:ascii="宋体" w:hAnsi="宋体"/>
          <w:kern w:val="0"/>
          <w:sz w:val="24"/>
        </w:rPr>
        <w:t>“本基金”</w:t>
      </w:r>
      <w:r>
        <w:rPr>
          <w:rFonts w:hAnsi="宋体"/>
          <w:kern w:val="0"/>
          <w:sz w:val="24"/>
        </w:rPr>
        <w:t>）经</w:t>
      </w:r>
      <w:r w:rsidR="0039475E">
        <w:rPr>
          <w:kern w:val="0"/>
          <w:sz w:val="24"/>
        </w:rPr>
        <w:t>2023</w:t>
      </w:r>
      <w:r w:rsidR="0039475E">
        <w:rPr>
          <w:rFonts w:hAnsi="宋体"/>
          <w:kern w:val="0"/>
          <w:sz w:val="24"/>
        </w:rPr>
        <w:t>年</w:t>
      </w:r>
      <w:r w:rsidR="0039475E">
        <w:rPr>
          <w:rFonts w:hAnsi="宋体"/>
          <w:kern w:val="0"/>
          <w:sz w:val="24"/>
        </w:rPr>
        <w:t>8</w:t>
      </w:r>
      <w:r w:rsidR="0039475E">
        <w:rPr>
          <w:rFonts w:hAnsi="宋体"/>
          <w:kern w:val="0"/>
          <w:sz w:val="24"/>
        </w:rPr>
        <w:t>月</w:t>
      </w:r>
      <w:r w:rsidR="0039475E">
        <w:rPr>
          <w:rFonts w:hAnsi="宋体"/>
          <w:kern w:val="0"/>
          <w:sz w:val="24"/>
        </w:rPr>
        <w:t>25</w:t>
      </w:r>
      <w:r w:rsidR="0039475E">
        <w:rPr>
          <w:rFonts w:hAnsi="宋体"/>
          <w:kern w:val="0"/>
          <w:sz w:val="24"/>
        </w:rPr>
        <w:t>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kern w:val="0"/>
          <w:sz w:val="24"/>
        </w:rPr>
        <w:t>202</w:t>
      </w:r>
      <w:r w:rsidR="008148EC">
        <w:rPr>
          <w:kern w:val="0"/>
          <w:sz w:val="24"/>
        </w:rPr>
        <w:t>3</w:t>
      </w:r>
      <w:r w:rsidR="008148EC">
        <w:rPr>
          <w:rFonts w:hAnsi="宋体"/>
          <w:kern w:val="0"/>
          <w:sz w:val="24"/>
        </w:rPr>
        <w:t>】</w:t>
      </w:r>
      <w:r w:rsidR="008148EC">
        <w:rPr>
          <w:rFonts w:hAnsi="宋体"/>
          <w:kern w:val="0"/>
          <w:sz w:val="24"/>
        </w:rPr>
        <w:t>1954</w:t>
      </w:r>
      <w:r w:rsidR="008148EC">
        <w:rPr>
          <w:rFonts w:hAnsi="宋体"/>
          <w:kern w:val="0"/>
          <w:sz w:val="24"/>
        </w:rPr>
        <w:t>号</w:t>
      </w:r>
      <w:r>
        <w:rPr>
          <w:rFonts w:hAnsi="宋体"/>
          <w:kern w:val="0"/>
          <w:sz w:val="24"/>
        </w:rPr>
        <w:t>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14:paraId="754C4F66" w14:textId="77777777" w:rsidR="0004536B" w:rsidRDefault="003574EC">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14:paraId="0B8EE75B" w14:textId="77777777" w:rsidR="0004536B" w:rsidRDefault="003574EC">
      <w:pPr>
        <w:widowControl/>
        <w:adjustRightInd w:val="0"/>
        <w:snapToGrid w:val="0"/>
        <w:spacing w:line="360" w:lineRule="auto"/>
        <w:ind w:firstLineChars="200" w:firstLine="48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2381BB69" w14:textId="256BFFC7" w:rsidR="004258C3" w:rsidRDefault="003574EC">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sidR="00B62E11">
        <w:rPr>
          <w:rFonts w:hint="eastAsia"/>
          <w:kern w:val="0"/>
          <w:sz w:val="24"/>
        </w:rPr>
        <w:t>基金</w:t>
      </w:r>
      <w:r>
        <w:rPr>
          <w:kern w:val="0"/>
          <w:sz w:val="24"/>
        </w:rPr>
        <w:t>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市场风险；基金管理人在基金管理运作过程中产生的基金管理风险；流动性风险（包括实施</w:t>
      </w:r>
      <w:r>
        <w:rPr>
          <w:rFonts w:ascii="宋体" w:hAnsi="宋体"/>
          <w:kern w:val="0"/>
          <w:sz w:val="24"/>
        </w:rPr>
        <w:t>侧袋机制时的特定风险）</w:t>
      </w:r>
      <w:r>
        <w:rPr>
          <w:rFonts w:ascii="宋体" w:hAnsi="宋体" w:hint="eastAsia"/>
          <w:kern w:val="0"/>
          <w:sz w:val="24"/>
        </w:rPr>
        <w:t>；信用风险；</w:t>
      </w:r>
      <w:r w:rsidR="004258C3">
        <w:rPr>
          <w:rFonts w:ascii="宋体" w:hAnsi="宋体" w:hint="eastAsia"/>
          <w:kern w:val="0"/>
          <w:sz w:val="24"/>
        </w:rPr>
        <w:t>本基金的特有风险；</w:t>
      </w:r>
      <w:r>
        <w:rPr>
          <w:rFonts w:ascii="宋体" w:hAnsi="宋体" w:hint="eastAsia"/>
          <w:kern w:val="0"/>
          <w:sz w:val="24"/>
        </w:rPr>
        <w:t>投资股指期货的特定风险；投资资产支持证券的特定风险；投资流通受限证券的特定风险；投资港股通标的股票的特定风险；投资科创板股票的特定风险；投资存托凭证的特定风险；本基金法律文件风险收益特征表述与销售机构基金风险评价可能不一致的风险；投资本基金的其他风险等等</w:t>
      </w:r>
      <w:r>
        <w:rPr>
          <w:kern w:val="0"/>
          <w:sz w:val="24"/>
        </w:rPr>
        <w:t>。</w:t>
      </w:r>
    </w:p>
    <w:p w14:paraId="044E45BC" w14:textId="60EFE2E6" w:rsidR="0004536B" w:rsidRDefault="003574EC">
      <w:pPr>
        <w:widowControl/>
        <w:adjustRightInd w:val="0"/>
        <w:snapToGrid w:val="0"/>
        <w:spacing w:line="360" w:lineRule="auto"/>
        <w:ind w:firstLineChars="200" w:firstLine="480"/>
        <w:rPr>
          <w:kern w:val="0"/>
          <w:sz w:val="24"/>
        </w:rPr>
      </w:pPr>
      <w:r>
        <w:rPr>
          <w:rFonts w:hint="eastAsia"/>
          <w:kern w:val="0"/>
          <w:sz w:val="24"/>
        </w:rPr>
        <w:t>本基金是一只混合型基金，其预期风险和预期收益理论上高于债券型基金和货币市场基金，低于股票型基金。</w:t>
      </w:r>
    </w:p>
    <w:p w14:paraId="6DE08DB5" w14:textId="12E12FEA" w:rsidR="0003146A" w:rsidRDefault="0003146A">
      <w:pPr>
        <w:widowControl/>
        <w:adjustRightInd w:val="0"/>
        <w:snapToGrid w:val="0"/>
        <w:spacing w:line="360" w:lineRule="auto"/>
        <w:ind w:firstLineChars="200" w:firstLine="480"/>
        <w:rPr>
          <w:kern w:val="0"/>
          <w:sz w:val="24"/>
        </w:rPr>
      </w:pPr>
      <w:r w:rsidRPr="0003146A">
        <w:rPr>
          <w:rFonts w:hint="eastAsia"/>
          <w:kern w:val="0"/>
          <w:sz w:val="24"/>
        </w:rPr>
        <w:t>本基金面临特定运作方式的风险：本基金以封闭期和开放期滚动的方式运作，投资者需在开放期提出申购、赎回申请，每个开放期</w:t>
      </w:r>
      <w:r w:rsidR="00D03416" w:rsidRPr="009B134A">
        <w:rPr>
          <w:rFonts w:hint="eastAsia"/>
          <w:bCs/>
          <w:sz w:val="24"/>
        </w:rPr>
        <w:t>不少于</w:t>
      </w:r>
      <w:r w:rsidR="00D03416" w:rsidRPr="009B134A">
        <w:rPr>
          <w:rFonts w:hint="eastAsia"/>
          <w:bCs/>
          <w:sz w:val="24"/>
        </w:rPr>
        <w:t>5</w:t>
      </w:r>
      <w:r w:rsidR="00D03416" w:rsidRPr="009B134A">
        <w:rPr>
          <w:rFonts w:hint="eastAsia"/>
          <w:bCs/>
          <w:sz w:val="24"/>
        </w:rPr>
        <w:t>个工作日并且最长不超过</w:t>
      </w:r>
      <w:r w:rsidR="00D03416" w:rsidRPr="009B134A">
        <w:rPr>
          <w:rFonts w:hint="eastAsia"/>
          <w:bCs/>
          <w:sz w:val="24"/>
        </w:rPr>
        <w:t>20</w:t>
      </w:r>
      <w:r w:rsidR="00D03416" w:rsidRPr="009B134A">
        <w:rPr>
          <w:rFonts w:hint="eastAsia"/>
          <w:bCs/>
          <w:sz w:val="24"/>
        </w:rPr>
        <w:t>个工作日</w:t>
      </w:r>
      <w:r w:rsidRPr="0003146A">
        <w:rPr>
          <w:rFonts w:hint="eastAsia"/>
          <w:kern w:val="0"/>
          <w:sz w:val="24"/>
        </w:rPr>
        <w:t>。在非开放期间将无法按照基金份额净值进行申购和赎回。基金份额持有人面临封闭期内无法赎回的风险。</w:t>
      </w:r>
    </w:p>
    <w:p w14:paraId="49D5EF33" w14:textId="77777777" w:rsidR="0004536B" w:rsidRDefault="003574EC">
      <w:pPr>
        <w:widowControl/>
        <w:adjustRightInd w:val="0"/>
        <w:snapToGrid w:val="0"/>
        <w:spacing w:line="360" w:lineRule="auto"/>
        <w:ind w:firstLineChars="200" w:firstLine="480"/>
        <w:rPr>
          <w:rFonts w:hAnsi="宋体"/>
          <w:sz w:val="24"/>
        </w:rPr>
      </w:pPr>
      <w:r>
        <w:rPr>
          <w:rFonts w:hAnsi="宋体" w:hint="eastAsia"/>
          <w:sz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2F465052" w14:textId="77777777" w:rsidR="0004536B" w:rsidRDefault="003574EC">
      <w:pPr>
        <w:widowControl/>
        <w:adjustRightInd w:val="0"/>
        <w:snapToGrid w:val="0"/>
        <w:spacing w:line="360" w:lineRule="auto"/>
        <w:ind w:firstLineChars="200" w:firstLine="480"/>
        <w:rPr>
          <w:rFonts w:hAnsi="宋体"/>
          <w:sz w:val="24"/>
        </w:rPr>
      </w:pPr>
      <w:r>
        <w:rPr>
          <w:rFonts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78416A2" w14:textId="77777777" w:rsidR="0004536B" w:rsidRDefault="003574EC">
      <w:pPr>
        <w:widowControl/>
        <w:adjustRightInd w:val="0"/>
        <w:snapToGrid w:val="0"/>
        <w:spacing w:line="360" w:lineRule="auto"/>
        <w:ind w:firstLineChars="200" w:firstLine="480"/>
        <w:rPr>
          <w:rFonts w:hAnsi="宋体"/>
          <w:sz w:val="24"/>
        </w:rPr>
      </w:pPr>
      <w:r>
        <w:rPr>
          <w:rFonts w:hAnsi="宋体" w:hint="eastAsia"/>
          <w:sz w:val="24"/>
        </w:rPr>
        <w:t>本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61650B35" w14:textId="77777777" w:rsidR="0004536B" w:rsidRDefault="003574EC">
      <w:pPr>
        <w:widowControl/>
        <w:adjustRightInd w:val="0"/>
        <w:snapToGrid w:val="0"/>
        <w:spacing w:line="360" w:lineRule="auto"/>
        <w:ind w:firstLineChars="200" w:firstLine="480"/>
        <w:rPr>
          <w:rFonts w:hAnsi="宋体"/>
          <w:sz w:val="24"/>
        </w:rPr>
      </w:pPr>
      <w:r>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但不限于港股市场股价波动较大的风险（港股市场实行</w:t>
      </w:r>
      <w:r>
        <w:rPr>
          <w:rFonts w:hAnsi="宋体" w:hint="eastAsia"/>
          <w:sz w:val="24"/>
        </w:rPr>
        <w:t>T+0</w:t>
      </w:r>
      <w:r>
        <w:rPr>
          <w:rFonts w:hAnsi="宋体" w:hint="eastAsia"/>
          <w:sz w:val="24"/>
        </w:rPr>
        <w:t>回转交易，且对个股不设涨跌幅限制，港股股价可能表现出比</w:t>
      </w:r>
      <w:r>
        <w:rPr>
          <w:rFonts w:hAnsi="宋体" w:hint="eastAsia"/>
          <w:sz w:val="24"/>
        </w:rPr>
        <w:t>A</w:t>
      </w:r>
      <w:r>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7C6BDF98" w14:textId="77777777" w:rsidR="0004536B" w:rsidRDefault="003574EC">
      <w:pPr>
        <w:widowControl/>
        <w:adjustRightInd w:val="0"/>
        <w:snapToGrid w:val="0"/>
        <w:spacing w:line="360" w:lineRule="auto"/>
        <w:ind w:firstLineChars="200" w:firstLine="480"/>
        <w:rPr>
          <w:rFonts w:hAnsi="宋体"/>
          <w:sz w:val="24"/>
        </w:rPr>
      </w:pPr>
      <w:r>
        <w:rPr>
          <w:rFonts w:hAnsi="宋体" w:hint="eastAsia"/>
          <w:sz w:val="24"/>
        </w:rPr>
        <w:t>本基金可根据投资策略需要或不同配置地市场环境的变化，选择将部分基金资产投资于港股或选择不将基金资产投资于港股，基金资产并非必然投资港股。</w:t>
      </w:r>
    </w:p>
    <w:p w14:paraId="516DC746" w14:textId="77777777" w:rsidR="0004536B" w:rsidRDefault="003574EC">
      <w:pPr>
        <w:widowControl/>
        <w:adjustRightInd w:val="0"/>
        <w:snapToGrid w:val="0"/>
        <w:spacing w:line="360" w:lineRule="auto"/>
        <w:ind w:firstLineChars="200" w:firstLine="480"/>
        <w:rPr>
          <w:rFonts w:hAnsi="宋体"/>
          <w:sz w:val="24"/>
        </w:rPr>
      </w:pPr>
      <w:r>
        <w:rPr>
          <w:rFonts w:hAnsi="宋体" w:hint="eastAsia"/>
          <w:bCs/>
          <w:sz w:val="24"/>
        </w:rPr>
        <w:t>本基金可投资</w:t>
      </w:r>
      <w:r>
        <w:rPr>
          <w:rFonts w:hAnsi="宋体" w:hint="eastAsia"/>
          <w:kern w:val="0"/>
          <w:sz w:val="24"/>
          <w:szCs w:val="24"/>
        </w:rPr>
        <w:t>科创板股票，会面临科创板机制下因投资标的、市场制度以及交易规则等差异带来的特有风险，包括但不限于市场风险、流动性风险、退市风险、集中度风险、系统性风险、政策风险等。</w:t>
      </w:r>
      <w:r>
        <w:rPr>
          <w:rFonts w:hAnsi="宋体" w:hint="eastAsia"/>
          <w:sz w:val="24"/>
        </w:rPr>
        <w:t>具体</w:t>
      </w:r>
      <w:r>
        <w:rPr>
          <w:rFonts w:hAnsi="宋体"/>
          <w:sz w:val="24"/>
        </w:rPr>
        <w:t>风险请</w:t>
      </w:r>
      <w:r>
        <w:rPr>
          <w:rFonts w:hAnsi="宋体" w:hint="eastAsia"/>
          <w:sz w:val="24"/>
        </w:rPr>
        <w:t>查阅</w:t>
      </w:r>
      <w:r>
        <w:rPr>
          <w:rFonts w:hAnsi="宋体"/>
          <w:sz w:val="24"/>
        </w:rPr>
        <w:t>本基金招募说明书“风险揭示”章节的具体内容。</w:t>
      </w:r>
    </w:p>
    <w:p w14:paraId="7B82A869" w14:textId="77777777" w:rsidR="0004536B" w:rsidRDefault="003574EC">
      <w:pPr>
        <w:widowControl/>
        <w:adjustRightInd w:val="0"/>
        <w:snapToGrid w:val="0"/>
        <w:spacing w:line="360" w:lineRule="auto"/>
        <w:ind w:firstLineChars="200" w:firstLine="480"/>
        <w:rPr>
          <w:rFonts w:hAnsi="宋体"/>
          <w:bCs/>
          <w:sz w:val="24"/>
        </w:rPr>
      </w:pPr>
      <w:r>
        <w:rPr>
          <w:rFonts w:hAnsi="宋体" w:hint="eastAsia"/>
          <w:kern w:val="0"/>
          <w:sz w:val="24"/>
          <w:szCs w:val="24"/>
        </w:rPr>
        <w:lastRenderedPageBreak/>
        <w:t>基金可根据投资策略需要或市场环境的变化，选择将部分基金资产投资于科创板股票或选择不将基金资产投资于科创板股票，基金资产并非必然投资于科创板股票。</w:t>
      </w:r>
    </w:p>
    <w:p w14:paraId="7E3BD115" w14:textId="77777777" w:rsidR="0004536B" w:rsidRDefault="003574EC">
      <w:pPr>
        <w:widowControl/>
        <w:adjustRightInd w:val="0"/>
        <w:snapToGrid w:val="0"/>
        <w:spacing w:line="360" w:lineRule="auto"/>
        <w:ind w:firstLineChars="200" w:firstLine="48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57D0FF93" w14:textId="46159D31" w:rsidR="0004536B" w:rsidRDefault="003574EC">
      <w:pPr>
        <w:widowControl/>
        <w:adjustRightInd w:val="0"/>
        <w:snapToGrid w:val="0"/>
        <w:spacing w:line="360" w:lineRule="auto"/>
        <w:ind w:firstLineChars="200" w:firstLine="48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14:paraId="0FF24795" w14:textId="61EFCD5E" w:rsidR="001116F3" w:rsidRPr="001116F3" w:rsidRDefault="00DC7949" w:rsidP="00DC7949">
      <w:pPr>
        <w:widowControl/>
        <w:adjustRightInd w:val="0"/>
        <w:snapToGrid w:val="0"/>
        <w:spacing w:line="360" w:lineRule="auto"/>
        <w:ind w:firstLineChars="200" w:firstLine="480"/>
        <w:rPr>
          <w:kern w:val="0"/>
          <w:sz w:val="24"/>
        </w:rPr>
      </w:pPr>
      <w:r w:rsidRPr="0065385C">
        <w:rPr>
          <w:rFonts w:hint="eastAsia"/>
          <w:kern w:val="0"/>
          <w:sz w:val="24"/>
        </w:rPr>
        <w:t>本基金的基金管理费由基础管理费和业绩报酬两部分组成，而基础管理费、业绩报酬取决于基金封闭期内净值增长情况及年化收益率情况，因此投资者在认</w:t>
      </w:r>
      <w:r w:rsidRPr="0065385C">
        <w:rPr>
          <w:rFonts w:hint="eastAsia"/>
          <w:kern w:val="0"/>
          <w:sz w:val="24"/>
        </w:rPr>
        <w:t>/</w:t>
      </w:r>
      <w:r w:rsidRPr="0065385C">
        <w:rPr>
          <w:rFonts w:hint="eastAsia"/>
          <w:kern w:val="0"/>
          <w:sz w:val="24"/>
        </w:rPr>
        <w:t>申购本基金时无法预先确定本基金的整体管理费水平。本基金公布的基金份额净值中，为按</w:t>
      </w:r>
      <w:r w:rsidRPr="0065385C">
        <w:rPr>
          <w:rFonts w:hint="eastAsia"/>
          <w:kern w:val="0"/>
          <w:sz w:val="24"/>
        </w:rPr>
        <w:t>1.</w:t>
      </w:r>
      <w:r w:rsidR="00576572">
        <w:rPr>
          <w:kern w:val="0"/>
          <w:sz w:val="24"/>
        </w:rPr>
        <w:t>0</w:t>
      </w:r>
      <w:r w:rsidRPr="0065385C">
        <w:rPr>
          <w:rFonts w:hint="eastAsia"/>
          <w:kern w:val="0"/>
          <w:sz w:val="24"/>
        </w:rPr>
        <w:t>%/</w:t>
      </w:r>
      <w:r w:rsidRPr="0065385C">
        <w:rPr>
          <w:rFonts w:hint="eastAsia"/>
          <w:kern w:val="0"/>
          <w:sz w:val="24"/>
        </w:rPr>
        <w:t>年收取管理费的净值。本基金封闭期内（封闭期最后一天除外）披露的基金份额净值为已扣除或有管理费但未扣除基金管理人业绩报酬前的基金份额净值，可能因为封闭期最后一天或有管理费划归基金资产或计提业绩报酬导致基金份额净值发生波动。投资者投资者实际可得的份额净值可能与披露净值不同。投资者实际赎回金额，以登记机构确认数据为准。虽然本基金采用浮动管理费加提取业绩报酬的模式，但这并不代表基金的收益保证，即封闭期到期时，存在年化收益率低于</w:t>
      </w:r>
      <w:r w:rsidRPr="0065385C">
        <w:rPr>
          <w:rFonts w:hint="eastAsia"/>
          <w:kern w:val="0"/>
          <w:sz w:val="24"/>
        </w:rPr>
        <w:t>8%</w:t>
      </w:r>
      <w:r w:rsidRPr="0065385C">
        <w:rPr>
          <w:rFonts w:hint="eastAsia"/>
          <w:kern w:val="0"/>
          <w:sz w:val="24"/>
        </w:rPr>
        <w:t>甚至为负的可能性。有关浮动管理费机制的特定风险详见本招募说明书“风险揭示”章节。</w:t>
      </w:r>
    </w:p>
    <w:p w14:paraId="07E98871" w14:textId="77777777" w:rsidR="0004536B" w:rsidRDefault="003574EC">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252408F4"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7278516E" w14:textId="77777777" w:rsidR="0004536B" w:rsidRDefault="003574EC">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0EB65ADA" w14:textId="6B7050A4" w:rsidR="009E1E66" w:rsidRDefault="003574EC">
      <w:pPr>
        <w:pStyle w:val="10"/>
        <w:rPr>
          <w:rFonts w:asciiTheme="minorHAnsi" w:eastAsiaTheme="minorEastAsia" w:hAnsiTheme="minorHAnsi" w:cstheme="minorBidi"/>
          <w:noProof/>
          <w:sz w:val="21"/>
          <w:szCs w:val="22"/>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139631549" w:history="1">
        <w:r w:rsidR="009E1E66" w:rsidRPr="00230D8D">
          <w:rPr>
            <w:rStyle w:val="af7"/>
            <w:rFonts w:ascii="宋体"/>
            <w:b/>
            <w:noProof/>
            <w:kern w:val="0"/>
          </w:rPr>
          <w:t>一、绪言</w:t>
        </w:r>
        <w:r w:rsidR="009E1E66">
          <w:rPr>
            <w:noProof/>
            <w:webHidden/>
          </w:rPr>
          <w:tab/>
        </w:r>
        <w:r w:rsidR="009E1E66">
          <w:rPr>
            <w:noProof/>
            <w:webHidden/>
          </w:rPr>
          <w:fldChar w:fldCharType="begin"/>
        </w:r>
        <w:r w:rsidR="009E1E66">
          <w:rPr>
            <w:noProof/>
            <w:webHidden/>
          </w:rPr>
          <w:instrText xml:space="preserve"> PAGEREF _Toc139631549 \h </w:instrText>
        </w:r>
        <w:r w:rsidR="009E1E66">
          <w:rPr>
            <w:noProof/>
            <w:webHidden/>
          </w:rPr>
        </w:r>
        <w:r w:rsidR="009E1E66">
          <w:rPr>
            <w:noProof/>
            <w:webHidden/>
          </w:rPr>
          <w:fldChar w:fldCharType="separate"/>
        </w:r>
        <w:r w:rsidR="00725F97">
          <w:rPr>
            <w:noProof/>
            <w:webHidden/>
          </w:rPr>
          <w:t>7</w:t>
        </w:r>
        <w:r w:rsidR="009E1E66">
          <w:rPr>
            <w:noProof/>
            <w:webHidden/>
          </w:rPr>
          <w:fldChar w:fldCharType="end"/>
        </w:r>
      </w:hyperlink>
    </w:p>
    <w:p w14:paraId="04C806C9" w14:textId="78A3A392" w:rsidR="009E1E66" w:rsidRDefault="00D103F0">
      <w:pPr>
        <w:pStyle w:val="10"/>
        <w:rPr>
          <w:rFonts w:asciiTheme="minorHAnsi" w:eastAsiaTheme="minorEastAsia" w:hAnsiTheme="minorHAnsi" w:cstheme="minorBidi"/>
          <w:noProof/>
          <w:sz w:val="21"/>
          <w:szCs w:val="22"/>
        </w:rPr>
      </w:pPr>
      <w:hyperlink w:anchor="_Toc139631550" w:history="1">
        <w:r w:rsidR="009E1E66" w:rsidRPr="00230D8D">
          <w:rPr>
            <w:rStyle w:val="af7"/>
            <w:rFonts w:ascii="宋体"/>
            <w:b/>
            <w:noProof/>
            <w:kern w:val="0"/>
          </w:rPr>
          <w:t>二、释义</w:t>
        </w:r>
        <w:r w:rsidR="009E1E66">
          <w:rPr>
            <w:noProof/>
            <w:webHidden/>
          </w:rPr>
          <w:tab/>
        </w:r>
        <w:r w:rsidR="009E1E66">
          <w:rPr>
            <w:noProof/>
            <w:webHidden/>
          </w:rPr>
          <w:fldChar w:fldCharType="begin"/>
        </w:r>
        <w:r w:rsidR="009E1E66">
          <w:rPr>
            <w:noProof/>
            <w:webHidden/>
          </w:rPr>
          <w:instrText xml:space="preserve"> PAGEREF _Toc139631550 \h </w:instrText>
        </w:r>
        <w:r w:rsidR="009E1E66">
          <w:rPr>
            <w:noProof/>
            <w:webHidden/>
          </w:rPr>
        </w:r>
        <w:r w:rsidR="009E1E66">
          <w:rPr>
            <w:noProof/>
            <w:webHidden/>
          </w:rPr>
          <w:fldChar w:fldCharType="separate"/>
        </w:r>
        <w:r w:rsidR="00725F97">
          <w:rPr>
            <w:noProof/>
            <w:webHidden/>
          </w:rPr>
          <w:t>8</w:t>
        </w:r>
        <w:r w:rsidR="009E1E66">
          <w:rPr>
            <w:noProof/>
            <w:webHidden/>
          </w:rPr>
          <w:fldChar w:fldCharType="end"/>
        </w:r>
      </w:hyperlink>
    </w:p>
    <w:p w14:paraId="08B8F93B" w14:textId="78CD2439" w:rsidR="009E1E66" w:rsidRDefault="00D103F0">
      <w:pPr>
        <w:pStyle w:val="10"/>
        <w:rPr>
          <w:rFonts w:asciiTheme="minorHAnsi" w:eastAsiaTheme="minorEastAsia" w:hAnsiTheme="minorHAnsi" w:cstheme="minorBidi"/>
          <w:noProof/>
          <w:sz w:val="21"/>
          <w:szCs w:val="22"/>
        </w:rPr>
      </w:pPr>
      <w:hyperlink w:anchor="_Toc139631551" w:history="1">
        <w:r w:rsidR="009E1E66" w:rsidRPr="00230D8D">
          <w:rPr>
            <w:rStyle w:val="af7"/>
            <w:rFonts w:ascii="宋体"/>
            <w:b/>
            <w:noProof/>
            <w:kern w:val="0"/>
          </w:rPr>
          <w:t>三、基金管理人</w:t>
        </w:r>
        <w:r w:rsidR="009E1E66">
          <w:rPr>
            <w:noProof/>
            <w:webHidden/>
          </w:rPr>
          <w:tab/>
        </w:r>
        <w:r w:rsidR="009E1E66">
          <w:rPr>
            <w:noProof/>
            <w:webHidden/>
          </w:rPr>
          <w:fldChar w:fldCharType="begin"/>
        </w:r>
        <w:r w:rsidR="009E1E66">
          <w:rPr>
            <w:noProof/>
            <w:webHidden/>
          </w:rPr>
          <w:instrText xml:space="preserve"> PAGEREF _Toc139631551 \h </w:instrText>
        </w:r>
        <w:r w:rsidR="009E1E66">
          <w:rPr>
            <w:noProof/>
            <w:webHidden/>
          </w:rPr>
        </w:r>
        <w:r w:rsidR="009E1E66">
          <w:rPr>
            <w:noProof/>
            <w:webHidden/>
          </w:rPr>
          <w:fldChar w:fldCharType="separate"/>
        </w:r>
        <w:r w:rsidR="00725F97">
          <w:rPr>
            <w:noProof/>
            <w:webHidden/>
          </w:rPr>
          <w:t>13</w:t>
        </w:r>
        <w:r w:rsidR="009E1E66">
          <w:rPr>
            <w:noProof/>
            <w:webHidden/>
          </w:rPr>
          <w:fldChar w:fldCharType="end"/>
        </w:r>
      </w:hyperlink>
    </w:p>
    <w:p w14:paraId="3B3E065B" w14:textId="0A6C3DCA" w:rsidR="009E1E66" w:rsidRDefault="00D103F0">
      <w:pPr>
        <w:pStyle w:val="10"/>
        <w:rPr>
          <w:rFonts w:asciiTheme="minorHAnsi" w:eastAsiaTheme="minorEastAsia" w:hAnsiTheme="minorHAnsi" w:cstheme="minorBidi"/>
          <w:noProof/>
          <w:sz w:val="21"/>
          <w:szCs w:val="22"/>
        </w:rPr>
      </w:pPr>
      <w:hyperlink w:anchor="_Toc139631552" w:history="1">
        <w:r w:rsidR="009E1E66" w:rsidRPr="00230D8D">
          <w:rPr>
            <w:rStyle w:val="af7"/>
            <w:rFonts w:ascii="宋体"/>
            <w:b/>
            <w:noProof/>
            <w:kern w:val="0"/>
          </w:rPr>
          <w:t>四、基金托管人</w:t>
        </w:r>
        <w:r w:rsidR="009E1E66">
          <w:rPr>
            <w:noProof/>
            <w:webHidden/>
          </w:rPr>
          <w:tab/>
        </w:r>
        <w:r w:rsidR="009E1E66">
          <w:rPr>
            <w:noProof/>
            <w:webHidden/>
          </w:rPr>
          <w:fldChar w:fldCharType="begin"/>
        </w:r>
        <w:r w:rsidR="009E1E66">
          <w:rPr>
            <w:noProof/>
            <w:webHidden/>
          </w:rPr>
          <w:instrText xml:space="preserve"> PAGEREF _Toc139631552 \h </w:instrText>
        </w:r>
        <w:r w:rsidR="009E1E66">
          <w:rPr>
            <w:noProof/>
            <w:webHidden/>
          </w:rPr>
        </w:r>
        <w:r w:rsidR="009E1E66">
          <w:rPr>
            <w:noProof/>
            <w:webHidden/>
          </w:rPr>
          <w:fldChar w:fldCharType="separate"/>
        </w:r>
        <w:r w:rsidR="00725F97">
          <w:rPr>
            <w:noProof/>
            <w:webHidden/>
          </w:rPr>
          <w:t>21</w:t>
        </w:r>
        <w:r w:rsidR="009E1E66">
          <w:rPr>
            <w:noProof/>
            <w:webHidden/>
          </w:rPr>
          <w:fldChar w:fldCharType="end"/>
        </w:r>
      </w:hyperlink>
    </w:p>
    <w:p w14:paraId="55869431" w14:textId="5762DCA3" w:rsidR="009E1E66" w:rsidRDefault="00D103F0">
      <w:pPr>
        <w:pStyle w:val="10"/>
        <w:rPr>
          <w:rFonts w:asciiTheme="minorHAnsi" w:eastAsiaTheme="minorEastAsia" w:hAnsiTheme="minorHAnsi" w:cstheme="minorBidi"/>
          <w:noProof/>
          <w:sz w:val="21"/>
          <w:szCs w:val="22"/>
        </w:rPr>
      </w:pPr>
      <w:hyperlink w:anchor="_Toc139631553" w:history="1">
        <w:r w:rsidR="009E1E66" w:rsidRPr="00230D8D">
          <w:rPr>
            <w:rStyle w:val="af7"/>
            <w:rFonts w:ascii="宋体"/>
            <w:b/>
            <w:noProof/>
            <w:kern w:val="0"/>
          </w:rPr>
          <w:t>五、相关服务机构</w:t>
        </w:r>
        <w:r w:rsidR="009E1E66">
          <w:rPr>
            <w:noProof/>
            <w:webHidden/>
          </w:rPr>
          <w:tab/>
        </w:r>
        <w:r w:rsidR="009E1E66">
          <w:rPr>
            <w:noProof/>
            <w:webHidden/>
          </w:rPr>
          <w:fldChar w:fldCharType="begin"/>
        </w:r>
        <w:r w:rsidR="009E1E66">
          <w:rPr>
            <w:noProof/>
            <w:webHidden/>
          </w:rPr>
          <w:instrText xml:space="preserve"> PAGEREF _Toc139631553 \h </w:instrText>
        </w:r>
        <w:r w:rsidR="009E1E66">
          <w:rPr>
            <w:noProof/>
            <w:webHidden/>
          </w:rPr>
        </w:r>
        <w:r w:rsidR="009E1E66">
          <w:rPr>
            <w:noProof/>
            <w:webHidden/>
          </w:rPr>
          <w:fldChar w:fldCharType="separate"/>
        </w:r>
        <w:r w:rsidR="00725F97">
          <w:rPr>
            <w:noProof/>
            <w:webHidden/>
          </w:rPr>
          <w:t>25</w:t>
        </w:r>
        <w:r w:rsidR="009E1E66">
          <w:rPr>
            <w:noProof/>
            <w:webHidden/>
          </w:rPr>
          <w:fldChar w:fldCharType="end"/>
        </w:r>
      </w:hyperlink>
    </w:p>
    <w:p w14:paraId="26F0126A" w14:textId="23EA434F" w:rsidR="009E1E66" w:rsidRDefault="00D103F0">
      <w:pPr>
        <w:pStyle w:val="10"/>
        <w:rPr>
          <w:rFonts w:asciiTheme="minorHAnsi" w:eastAsiaTheme="minorEastAsia" w:hAnsiTheme="minorHAnsi" w:cstheme="minorBidi"/>
          <w:noProof/>
          <w:sz w:val="21"/>
          <w:szCs w:val="22"/>
        </w:rPr>
      </w:pPr>
      <w:hyperlink w:anchor="_Toc139631554" w:history="1">
        <w:r w:rsidR="009E1E66" w:rsidRPr="00230D8D">
          <w:rPr>
            <w:rStyle w:val="af7"/>
            <w:rFonts w:ascii="宋体"/>
            <w:b/>
            <w:noProof/>
            <w:kern w:val="0"/>
          </w:rPr>
          <w:t>六、基金的募集</w:t>
        </w:r>
        <w:r w:rsidR="009E1E66">
          <w:rPr>
            <w:noProof/>
            <w:webHidden/>
          </w:rPr>
          <w:tab/>
        </w:r>
        <w:r w:rsidR="009E1E66">
          <w:rPr>
            <w:noProof/>
            <w:webHidden/>
          </w:rPr>
          <w:fldChar w:fldCharType="begin"/>
        </w:r>
        <w:r w:rsidR="009E1E66">
          <w:rPr>
            <w:noProof/>
            <w:webHidden/>
          </w:rPr>
          <w:instrText xml:space="preserve"> PAGEREF _Toc139631554 \h </w:instrText>
        </w:r>
        <w:r w:rsidR="009E1E66">
          <w:rPr>
            <w:noProof/>
            <w:webHidden/>
          </w:rPr>
        </w:r>
        <w:r w:rsidR="009E1E66">
          <w:rPr>
            <w:noProof/>
            <w:webHidden/>
          </w:rPr>
          <w:fldChar w:fldCharType="separate"/>
        </w:r>
        <w:r w:rsidR="00725F97">
          <w:rPr>
            <w:noProof/>
            <w:webHidden/>
          </w:rPr>
          <w:t>28</w:t>
        </w:r>
        <w:r w:rsidR="009E1E66">
          <w:rPr>
            <w:noProof/>
            <w:webHidden/>
          </w:rPr>
          <w:fldChar w:fldCharType="end"/>
        </w:r>
      </w:hyperlink>
    </w:p>
    <w:p w14:paraId="62FF3496" w14:textId="7180E970" w:rsidR="009E1E66" w:rsidRDefault="00D103F0">
      <w:pPr>
        <w:pStyle w:val="10"/>
        <w:rPr>
          <w:rFonts w:asciiTheme="minorHAnsi" w:eastAsiaTheme="minorEastAsia" w:hAnsiTheme="minorHAnsi" w:cstheme="minorBidi"/>
          <w:noProof/>
          <w:sz w:val="21"/>
          <w:szCs w:val="22"/>
        </w:rPr>
      </w:pPr>
      <w:hyperlink w:anchor="_Toc139631555" w:history="1">
        <w:r w:rsidR="009E1E66" w:rsidRPr="00230D8D">
          <w:rPr>
            <w:rStyle w:val="af7"/>
            <w:rFonts w:ascii="宋体"/>
            <w:b/>
            <w:noProof/>
            <w:kern w:val="0"/>
          </w:rPr>
          <w:t>七、</w:t>
        </w:r>
        <w:r w:rsidR="00E00850">
          <w:rPr>
            <w:rStyle w:val="af7"/>
            <w:rFonts w:ascii="宋体" w:hint="eastAsia"/>
            <w:b/>
            <w:noProof/>
            <w:kern w:val="0"/>
          </w:rPr>
          <w:t>基金的</w:t>
        </w:r>
        <w:r w:rsidR="009E1E66" w:rsidRPr="00230D8D">
          <w:rPr>
            <w:rStyle w:val="af7"/>
            <w:rFonts w:ascii="宋体"/>
            <w:b/>
            <w:noProof/>
            <w:kern w:val="0"/>
          </w:rPr>
          <w:t>暂停运作</w:t>
        </w:r>
        <w:r w:rsidR="009E1E66">
          <w:rPr>
            <w:noProof/>
            <w:webHidden/>
          </w:rPr>
          <w:tab/>
        </w:r>
        <w:r w:rsidR="009E1E66">
          <w:rPr>
            <w:noProof/>
            <w:webHidden/>
          </w:rPr>
          <w:fldChar w:fldCharType="begin"/>
        </w:r>
        <w:r w:rsidR="009E1E66">
          <w:rPr>
            <w:noProof/>
            <w:webHidden/>
          </w:rPr>
          <w:instrText xml:space="preserve"> PAGEREF _Toc139631555 \h </w:instrText>
        </w:r>
        <w:r w:rsidR="009E1E66">
          <w:rPr>
            <w:noProof/>
            <w:webHidden/>
          </w:rPr>
        </w:r>
        <w:r w:rsidR="009E1E66">
          <w:rPr>
            <w:noProof/>
            <w:webHidden/>
          </w:rPr>
          <w:fldChar w:fldCharType="separate"/>
        </w:r>
        <w:r w:rsidR="00725F97">
          <w:rPr>
            <w:noProof/>
            <w:webHidden/>
          </w:rPr>
          <w:t>33</w:t>
        </w:r>
        <w:r w:rsidR="009E1E66">
          <w:rPr>
            <w:noProof/>
            <w:webHidden/>
          </w:rPr>
          <w:fldChar w:fldCharType="end"/>
        </w:r>
      </w:hyperlink>
    </w:p>
    <w:p w14:paraId="739154A7" w14:textId="7C850F2D" w:rsidR="009E1E66" w:rsidRDefault="00D103F0">
      <w:pPr>
        <w:pStyle w:val="10"/>
        <w:rPr>
          <w:rFonts w:asciiTheme="minorHAnsi" w:eastAsiaTheme="minorEastAsia" w:hAnsiTheme="minorHAnsi" w:cstheme="minorBidi"/>
          <w:noProof/>
          <w:sz w:val="21"/>
          <w:szCs w:val="22"/>
        </w:rPr>
      </w:pPr>
      <w:hyperlink w:anchor="_Toc139631556" w:history="1">
        <w:r w:rsidR="009E1E66" w:rsidRPr="00230D8D">
          <w:rPr>
            <w:rStyle w:val="af7"/>
            <w:rFonts w:ascii="宋体"/>
            <w:b/>
            <w:noProof/>
            <w:kern w:val="0"/>
          </w:rPr>
          <w:t>八、基金合同的生效</w:t>
        </w:r>
        <w:r w:rsidR="009E1E66">
          <w:rPr>
            <w:noProof/>
            <w:webHidden/>
          </w:rPr>
          <w:tab/>
        </w:r>
        <w:r w:rsidR="009E1E66">
          <w:rPr>
            <w:noProof/>
            <w:webHidden/>
          </w:rPr>
          <w:fldChar w:fldCharType="begin"/>
        </w:r>
        <w:r w:rsidR="009E1E66">
          <w:rPr>
            <w:noProof/>
            <w:webHidden/>
          </w:rPr>
          <w:instrText xml:space="preserve"> PAGEREF _Toc139631556 \h </w:instrText>
        </w:r>
        <w:r w:rsidR="009E1E66">
          <w:rPr>
            <w:noProof/>
            <w:webHidden/>
          </w:rPr>
        </w:r>
        <w:r w:rsidR="009E1E66">
          <w:rPr>
            <w:noProof/>
            <w:webHidden/>
          </w:rPr>
          <w:fldChar w:fldCharType="separate"/>
        </w:r>
        <w:r w:rsidR="00725F97">
          <w:rPr>
            <w:noProof/>
            <w:webHidden/>
          </w:rPr>
          <w:t>35</w:t>
        </w:r>
        <w:r w:rsidR="009E1E66">
          <w:rPr>
            <w:noProof/>
            <w:webHidden/>
          </w:rPr>
          <w:fldChar w:fldCharType="end"/>
        </w:r>
      </w:hyperlink>
    </w:p>
    <w:p w14:paraId="296975AB" w14:textId="2688CA93" w:rsidR="009E1E66" w:rsidRDefault="00D103F0">
      <w:pPr>
        <w:pStyle w:val="10"/>
        <w:rPr>
          <w:rFonts w:asciiTheme="minorHAnsi" w:eastAsiaTheme="minorEastAsia" w:hAnsiTheme="minorHAnsi" w:cstheme="minorBidi"/>
          <w:noProof/>
          <w:sz w:val="21"/>
          <w:szCs w:val="22"/>
        </w:rPr>
      </w:pPr>
      <w:hyperlink w:anchor="_Toc139631557" w:history="1">
        <w:r w:rsidR="009E1E66" w:rsidRPr="00230D8D">
          <w:rPr>
            <w:rStyle w:val="af7"/>
            <w:rFonts w:ascii="宋体"/>
            <w:b/>
            <w:noProof/>
            <w:kern w:val="0"/>
          </w:rPr>
          <w:t>九、基金份额的申购与赎回</w:t>
        </w:r>
        <w:r w:rsidR="009E1E66">
          <w:rPr>
            <w:noProof/>
            <w:webHidden/>
          </w:rPr>
          <w:tab/>
        </w:r>
        <w:r w:rsidR="009E1E66">
          <w:rPr>
            <w:noProof/>
            <w:webHidden/>
          </w:rPr>
          <w:fldChar w:fldCharType="begin"/>
        </w:r>
        <w:r w:rsidR="009E1E66">
          <w:rPr>
            <w:noProof/>
            <w:webHidden/>
          </w:rPr>
          <w:instrText xml:space="preserve"> PAGEREF _Toc139631557 \h </w:instrText>
        </w:r>
        <w:r w:rsidR="009E1E66">
          <w:rPr>
            <w:noProof/>
            <w:webHidden/>
          </w:rPr>
        </w:r>
        <w:r w:rsidR="009E1E66">
          <w:rPr>
            <w:noProof/>
            <w:webHidden/>
          </w:rPr>
          <w:fldChar w:fldCharType="separate"/>
        </w:r>
        <w:r w:rsidR="00725F97">
          <w:rPr>
            <w:noProof/>
            <w:webHidden/>
          </w:rPr>
          <w:t>37</w:t>
        </w:r>
        <w:r w:rsidR="009E1E66">
          <w:rPr>
            <w:noProof/>
            <w:webHidden/>
          </w:rPr>
          <w:fldChar w:fldCharType="end"/>
        </w:r>
      </w:hyperlink>
    </w:p>
    <w:p w14:paraId="4DD3E348" w14:textId="6648DB22" w:rsidR="009E1E66" w:rsidRDefault="00D103F0">
      <w:pPr>
        <w:pStyle w:val="10"/>
        <w:rPr>
          <w:rFonts w:asciiTheme="minorHAnsi" w:eastAsiaTheme="minorEastAsia" w:hAnsiTheme="minorHAnsi" w:cstheme="minorBidi"/>
          <w:noProof/>
          <w:sz w:val="21"/>
          <w:szCs w:val="22"/>
        </w:rPr>
      </w:pPr>
      <w:hyperlink w:anchor="_Toc139631558" w:history="1">
        <w:r w:rsidR="009E1E66" w:rsidRPr="00230D8D">
          <w:rPr>
            <w:rStyle w:val="af7"/>
            <w:rFonts w:ascii="宋体"/>
            <w:b/>
            <w:noProof/>
            <w:kern w:val="0"/>
          </w:rPr>
          <w:t>十、基金的投资</w:t>
        </w:r>
        <w:r w:rsidR="009E1E66">
          <w:rPr>
            <w:noProof/>
            <w:webHidden/>
          </w:rPr>
          <w:tab/>
        </w:r>
        <w:r w:rsidR="009E1E66">
          <w:rPr>
            <w:noProof/>
            <w:webHidden/>
          </w:rPr>
          <w:fldChar w:fldCharType="begin"/>
        </w:r>
        <w:r w:rsidR="009E1E66">
          <w:rPr>
            <w:noProof/>
            <w:webHidden/>
          </w:rPr>
          <w:instrText xml:space="preserve"> PAGEREF _Toc139631558 \h </w:instrText>
        </w:r>
        <w:r w:rsidR="009E1E66">
          <w:rPr>
            <w:noProof/>
            <w:webHidden/>
          </w:rPr>
        </w:r>
        <w:r w:rsidR="009E1E66">
          <w:rPr>
            <w:noProof/>
            <w:webHidden/>
          </w:rPr>
          <w:fldChar w:fldCharType="separate"/>
        </w:r>
        <w:r w:rsidR="00725F97">
          <w:rPr>
            <w:noProof/>
            <w:webHidden/>
          </w:rPr>
          <w:t>50</w:t>
        </w:r>
        <w:r w:rsidR="009E1E66">
          <w:rPr>
            <w:noProof/>
            <w:webHidden/>
          </w:rPr>
          <w:fldChar w:fldCharType="end"/>
        </w:r>
      </w:hyperlink>
    </w:p>
    <w:p w14:paraId="54C329E8" w14:textId="02A5DB4A" w:rsidR="009E1E66" w:rsidRDefault="00D103F0">
      <w:pPr>
        <w:pStyle w:val="10"/>
        <w:rPr>
          <w:rFonts w:asciiTheme="minorHAnsi" w:eastAsiaTheme="minorEastAsia" w:hAnsiTheme="minorHAnsi" w:cstheme="minorBidi"/>
          <w:noProof/>
          <w:sz w:val="21"/>
          <w:szCs w:val="22"/>
        </w:rPr>
      </w:pPr>
      <w:hyperlink w:anchor="_Toc139631559" w:history="1">
        <w:r w:rsidR="009E1E66" w:rsidRPr="00230D8D">
          <w:rPr>
            <w:rStyle w:val="af7"/>
            <w:rFonts w:ascii="宋体"/>
            <w:b/>
            <w:noProof/>
            <w:kern w:val="0"/>
          </w:rPr>
          <w:t>十一、基金的财产</w:t>
        </w:r>
        <w:r w:rsidR="009E1E66">
          <w:rPr>
            <w:noProof/>
            <w:webHidden/>
          </w:rPr>
          <w:tab/>
        </w:r>
        <w:r w:rsidR="009E1E66">
          <w:rPr>
            <w:noProof/>
            <w:webHidden/>
          </w:rPr>
          <w:fldChar w:fldCharType="begin"/>
        </w:r>
        <w:r w:rsidR="009E1E66">
          <w:rPr>
            <w:noProof/>
            <w:webHidden/>
          </w:rPr>
          <w:instrText xml:space="preserve"> PAGEREF _Toc139631559 \h </w:instrText>
        </w:r>
        <w:r w:rsidR="009E1E66">
          <w:rPr>
            <w:noProof/>
            <w:webHidden/>
          </w:rPr>
        </w:r>
        <w:r w:rsidR="009E1E66">
          <w:rPr>
            <w:noProof/>
            <w:webHidden/>
          </w:rPr>
          <w:fldChar w:fldCharType="separate"/>
        </w:r>
        <w:r w:rsidR="00725F97">
          <w:rPr>
            <w:noProof/>
            <w:webHidden/>
          </w:rPr>
          <w:t>59</w:t>
        </w:r>
        <w:r w:rsidR="009E1E66">
          <w:rPr>
            <w:noProof/>
            <w:webHidden/>
          </w:rPr>
          <w:fldChar w:fldCharType="end"/>
        </w:r>
      </w:hyperlink>
    </w:p>
    <w:p w14:paraId="5E2B8092" w14:textId="182BF5AB" w:rsidR="009E1E66" w:rsidRDefault="00D103F0">
      <w:pPr>
        <w:pStyle w:val="10"/>
        <w:rPr>
          <w:rFonts w:asciiTheme="minorHAnsi" w:eastAsiaTheme="minorEastAsia" w:hAnsiTheme="minorHAnsi" w:cstheme="minorBidi"/>
          <w:noProof/>
          <w:sz w:val="21"/>
          <w:szCs w:val="22"/>
        </w:rPr>
      </w:pPr>
      <w:hyperlink w:anchor="_Toc139631560" w:history="1">
        <w:r w:rsidR="009E1E66" w:rsidRPr="00230D8D">
          <w:rPr>
            <w:rStyle w:val="af7"/>
            <w:rFonts w:ascii="宋体"/>
            <w:b/>
            <w:noProof/>
            <w:kern w:val="0"/>
          </w:rPr>
          <w:t>十二、基金资产的估值</w:t>
        </w:r>
        <w:r w:rsidR="009E1E66">
          <w:rPr>
            <w:noProof/>
            <w:webHidden/>
          </w:rPr>
          <w:tab/>
        </w:r>
        <w:r w:rsidR="009E1E66">
          <w:rPr>
            <w:noProof/>
            <w:webHidden/>
          </w:rPr>
          <w:fldChar w:fldCharType="begin"/>
        </w:r>
        <w:r w:rsidR="009E1E66">
          <w:rPr>
            <w:noProof/>
            <w:webHidden/>
          </w:rPr>
          <w:instrText xml:space="preserve"> PAGEREF _Toc139631560 \h </w:instrText>
        </w:r>
        <w:r w:rsidR="009E1E66">
          <w:rPr>
            <w:noProof/>
            <w:webHidden/>
          </w:rPr>
        </w:r>
        <w:r w:rsidR="009E1E66">
          <w:rPr>
            <w:noProof/>
            <w:webHidden/>
          </w:rPr>
          <w:fldChar w:fldCharType="separate"/>
        </w:r>
        <w:r w:rsidR="00725F97">
          <w:rPr>
            <w:noProof/>
            <w:webHidden/>
          </w:rPr>
          <w:t>60</w:t>
        </w:r>
        <w:r w:rsidR="009E1E66">
          <w:rPr>
            <w:noProof/>
            <w:webHidden/>
          </w:rPr>
          <w:fldChar w:fldCharType="end"/>
        </w:r>
      </w:hyperlink>
    </w:p>
    <w:p w14:paraId="45F05255" w14:textId="66134B03" w:rsidR="009E1E66" w:rsidRDefault="00D103F0">
      <w:pPr>
        <w:pStyle w:val="10"/>
        <w:rPr>
          <w:rFonts w:asciiTheme="minorHAnsi" w:eastAsiaTheme="minorEastAsia" w:hAnsiTheme="minorHAnsi" w:cstheme="minorBidi"/>
          <w:noProof/>
          <w:sz w:val="21"/>
          <w:szCs w:val="22"/>
        </w:rPr>
      </w:pPr>
      <w:hyperlink w:anchor="_Toc139631561" w:history="1">
        <w:r w:rsidR="009E1E66" w:rsidRPr="00230D8D">
          <w:rPr>
            <w:rStyle w:val="af7"/>
            <w:rFonts w:ascii="宋体"/>
            <w:b/>
            <w:noProof/>
            <w:kern w:val="0"/>
          </w:rPr>
          <w:t>十三、基金收益与分配</w:t>
        </w:r>
        <w:r w:rsidR="009E1E66">
          <w:rPr>
            <w:noProof/>
            <w:webHidden/>
          </w:rPr>
          <w:tab/>
        </w:r>
        <w:r w:rsidR="009E1E66">
          <w:rPr>
            <w:noProof/>
            <w:webHidden/>
          </w:rPr>
          <w:fldChar w:fldCharType="begin"/>
        </w:r>
        <w:r w:rsidR="009E1E66">
          <w:rPr>
            <w:noProof/>
            <w:webHidden/>
          </w:rPr>
          <w:instrText xml:space="preserve"> PAGEREF _Toc139631561 \h </w:instrText>
        </w:r>
        <w:r w:rsidR="009E1E66">
          <w:rPr>
            <w:noProof/>
            <w:webHidden/>
          </w:rPr>
        </w:r>
        <w:r w:rsidR="009E1E66">
          <w:rPr>
            <w:noProof/>
            <w:webHidden/>
          </w:rPr>
          <w:fldChar w:fldCharType="separate"/>
        </w:r>
        <w:r w:rsidR="00725F97">
          <w:rPr>
            <w:noProof/>
            <w:webHidden/>
          </w:rPr>
          <w:t>67</w:t>
        </w:r>
        <w:r w:rsidR="009E1E66">
          <w:rPr>
            <w:noProof/>
            <w:webHidden/>
          </w:rPr>
          <w:fldChar w:fldCharType="end"/>
        </w:r>
      </w:hyperlink>
    </w:p>
    <w:p w14:paraId="2F9352EF" w14:textId="2C6844B6" w:rsidR="009E1E66" w:rsidRDefault="00D103F0">
      <w:pPr>
        <w:pStyle w:val="10"/>
        <w:rPr>
          <w:rFonts w:asciiTheme="minorHAnsi" w:eastAsiaTheme="minorEastAsia" w:hAnsiTheme="minorHAnsi" w:cstheme="minorBidi"/>
          <w:noProof/>
          <w:sz w:val="21"/>
          <w:szCs w:val="22"/>
        </w:rPr>
      </w:pPr>
      <w:hyperlink w:anchor="_Toc139631562" w:history="1">
        <w:r w:rsidR="009E1E66" w:rsidRPr="00230D8D">
          <w:rPr>
            <w:rStyle w:val="af7"/>
            <w:rFonts w:ascii="宋体"/>
            <w:b/>
            <w:noProof/>
            <w:kern w:val="0"/>
          </w:rPr>
          <w:t>十四、基金的费用与税收</w:t>
        </w:r>
        <w:r w:rsidR="009E1E66">
          <w:rPr>
            <w:noProof/>
            <w:webHidden/>
          </w:rPr>
          <w:tab/>
        </w:r>
        <w:r w:rsidR="009E1E66">
          <w:rPr>
            <w:noProof/>
            <w:webHidden/>
          </w:rPr>
          <w:fldChar w:fldCharType="begin"/>
        </w:r>
        <w:r w:rsidR="009E1E66">
          <w:rPr>
            <w:noProof/>
            <w:webHidden/>
          </w:rPr>
          <w:instrText xml:space="preserve"> PAGEREF _Toc139631562 \h </w:instrText>
        </w:r>
        <w:r w:rsidR="009E1E66">
          <w:rPr>
            <w:noProof/>
            <w:webHidden/>
          </w:rPr>
        </w:r>
        <w:r w:rsidR="009E1E66">
          <w:rPr>
            <w:noProof/>
            <w:webHidden/>
          </w:rPr>
          <w:fldChar w:fldCharType="separate"/>
        </w:r>
        <w:r w:rsidR="00725F97">
          <w:rPr>
            <w:noProof/>
            <w:webHidden/>
          </w:rPr>
          <w:t>69</w:t>
        </w:r>
        <w:r w:rsidR="009E1E66">
          <w:rPr>
            <w:noProof/>
            <w:webHidden/>
          </w:rPr>
          <w:fldChar w:fldCharType="end"/>
        </w:r>
      </w:hyperlink>
    </w:p>
    <w:p w14:paraId="41E15C50" w14:textId="10ED4FF5" w:rsidR="009E1E66" w:rsidRDefault="00D103F0">
      <w:pPr>
        <w:pStyle w:val="10"/>
        <w:rPr>
          <w:rFonts w:asciiTheme="minorHAnsi" w:eastAsiaTheme="minorEastAsia" w:hAnsiTheme="minorHAnsi" w:cstheme="minorBidi"/>
          <w:noProof/>
          <w:sz w:val="21"/>
          <w:szCs w:val="22"/>
        </w:rPr>
      </w:pPr>
      <w:hyperlink w:anchor="_Toc139631563" w:history="1">
        <w:r w:rsidR="009E1E66" w:rsidRPr="00230D8D">
          <w:rPr>
            <w:rStyle w:val="af7"/>
            <w:rFonts w:ascii="宋体"/>
            <w:b/>
            <w:noProof/>
            <w:kern w:val="0"/>
          </w:rPr>
          <w:t>十五、基金的会计与审计</w:t>
        </w:r>
        <w:r w:rsidR="009E1E66">
          <w:rPr>
            <w:noProof/>
            <w:webHidden/>
          </w:rPr>
          <w:tab/>
        </w:r>
        <w:r w:rsidR="009E1E66">
          <w:rPr>
            <w:noProof/>
            <w:webHidden/>
          </w:rPr>
          <w:fldChar w:fldCharType="begin"/>
        </w:r>
        <w:r w:rsidR="009E1E66">
          <w:rPr>
            <w:noProof/>
            <w:webHidden/>
          </w:rPr>
          <w:instrText xml:space="preserve"> PAGEREF _Toc139631563 \h </w:instrText>
        </w:r>
        <w:r w:rsidR="009E1E66">
          <w:rPr>
            <w:noProof/>
            <w:webHidden/>
          </w:rPr>
        </w:r>
        <w:r w:rsidR="009E1E66">
          <w:rPr>
            <w:noProof/>
            <w:webHidden/>
          </w:rPr>
          <w:fldChar w:fldCharType="separate"/>
        </w:r>
        <w:r w:rsidR="00725F97">
          <w:rPr>
            <w:noProof/>
            <w:webHidden/>
          </w:rPr>
          <w:t>74</w:t>
        </w:r>
        <w:r w:rsidR="009E1E66">
          <w:rPr>
            <w:noProof/>
            <w:webHidden/>
          </w:rPr>
          <w:fldChar w:fldCharType="end"/>
        </w:r>
      </w:hyperlink>
    </w:p>
    <w:p w14:paraId="7D9F3975" w14:textId="12EFAD37" w:rsidR="009E1E66" w:rsidRDefault="00D103F0">
      <w:pPr>
        <w:pStyle w:val="10"/>
        <w:rPr>
          <w:rFonts w:asciiTheme="minorHAnsi" w:eastAsiaTheme="minorEastAsia" w:hAnsiTheme="minorHAnsi" w:cstheme="minorBidi"/>
          <w:noProof/>
          <w:sz w:val="21"/>
          <w:szCs w:val="22"/>
        </w:rPr>
      </w:pPr>
      <w:hyperlink w:anchor="_Toc139631564" w:history="1">
        <w:r w:rsidR="009E1E66" w:rsidRPr="00230D8D">
          <w:rPr>
            <w:rStyle w:val="af7"/>
            <w:rFonts w:ascii="宋体"/>
            <w:b/>
            <w:noProof/>
            <w:kern w:val="0"/>
          </w:rPr>
          <w:t>十六、基金的信息披露</w:t>
        </w:r>
        <w:r w:rsidR="009E1E66">
          <w:rPr>
            <w:noProof/>
            <w:webHidden/>
          </w:rPr>
          <w:tab/>
        </w:r>
        <w:r w:rsidR="009E1E66">
          <w:rPr>
            <w:noProof/>
            <w:webHidden/>
          </w:rPr>
          <w:fldChar w:fldCharType="begin"/>
        </w:r>
        <w:r w:rsidR="009E1E66">
          <w:rPr>
            <w:noProof/>
            <w:webHidden/>
          </w:rPr>
          <w:instrText xml:space="preserve"> PAGEREF _Toc139631564 \h </w:instrText>
        </w:r>
        <w:r w:rsidR="009E1E66">
          <w:rPr>
            <w:noProof/>
            <w:webHidden/>
          </w:rPr>
        </w:r>
        <w:r w:rsidR="009E1E66">
          <w:rPr>
            <w:noProof/>
            <w:webHidden/>
          </w:rPr>
          <w:fldChar w:fldCharType="separate"/>
        </w:r>
        <w:r w:rsidR="00725F97">
          <w:rPr>
            <w:noProof/>
            <w:webHidden/>
          </w:rPr>
          <w:t>75</w:t>
        </w:r>
        <w:r w:rsidR="009E1E66">
          <w:rPr>
            <w:noProof/>
            <w:webHidden/>
          </w:rPr>
          <w:fldChar w:fldCharType="end"/>
        </w:r>
      </w:hyperlink>
    </w:p>
    <w:p w14:paraId="606C39E2" w14:textId="2BF03660" w:rsidR="009E1E66" w:rsidRDefault="00D103F0">
      <w:pPr>
        <w:pStyle w:val="10"/>
        <w:rPr>
          <w:rFonts w:asciiTheme="minorHAnsi" w:eastAsiaTheme="minorEastAsia" w:hAnsiTheme="minorHAnsi" w:cstheme="minorBidi"/>
          <w:noProof/>
          <w:sz w:val="21"/>
          <w:szCs w:val="22"/>
        </w:rPr>
      </w:pPr>
      <w:hyperlink w:anchor="_Toc139631565" w:history="1">
        <w:r w:rsidR="009E1E66" w:rsidRPr="00230D8D">
          <w:rPr>
            <w:rStyle w:val="af7"/>
            <w:rFonts w:ascii="宋体"/>
            <w:b/>
            <w:noProof/>
            <w:kern w:val="0"/>
          </w:rPr>
          <w:t>十七、侧袋机制</w:t>
        </w:r>
        <w:r w:rsidR="009E1E66">
          <w:rPr>
            <w:noProof/>
            <w:webHidden/>
          </w:rPr>
          <w:tab/>
        </w:r>
        <w:r w:rsidR="009E1E66">
          <w:rPr>
            <w:noProof/>
            <w:webHidden/>
          </w:rPr>
          <w:fldChar w:fldCharType="begin"/>
        </w:r>
        <w:r w:rsidR="009E1E66">
          <w:rPr>
            <w:noProof/>
            <w:webHidden/>
          </w:rPr>
          <w:instrText xml:space="preserve"> PAGEREF _Toc139631565 \h </w:instrText>
        </w:r>
        <w:r w:rsidR="009E1E66">
          <w:rPr>
            <w:noProof/>
            <w:webHidden/>
          </w:rPr>
        </w:r>
        <w:r w:rsidR="009E1E66">
          <w:rPr>
            <w:noProof/>
            <w:webHidden/>
          </w:rPr>
          <w:fldChar w:fldCharType="separate"/>
        </w:r>
        <w:r w:rsidR="00725F97">
          <w:rPr>
            <w:noProof/>
            <w:webHidden/>
          </w:rPr>
          <w:t>82</w:t>
        </w:r>
        <w:r w:rsidR="009E1E66">
          <w:rPr>
            <w:noProof/>
            <w:webHidden/>
          </w:rPr>
          <w:fldChar w:fldCharType="end"/>
        </w:r>
      </w:hyperlink>
    </w:p>
    <w:p w14:paraId="32F58106" w14:textId="1F8D7D7F" w:rsidR="009E1E66" w:rsidRDefault="00D103F0">
      <w:pPr>
        <w:pStyle w:val="10"/>
        <w:rPr>
          <w:rFonts w:asciiTheme="minorHAnsi" w:eastAsiaTheme="minorEastAsia" w:hAnsiTheme="minorHAnsi" w:cstheme="minorBidi"/>
          <w:noProof/>
          <w:sz w:val="21"/>
          <w:szCs w:val="22"/>
        </w:rPr>
      </w:pPr>
      <w:hyperlink w:anchor="_Toc139631566" w:history="1">
        <w:r w:rsidR="009E1E66" w:rsidRPr="00230D8D">
          <w:rPr>
            <w:rStyle w:val="af7"/>
            <w:rFonts w:ascii="宋体"/>
            <w:b/>
            <w:noProof/>
            <w:kern w:val="0"/>
          </w:rPr>
          <w:t>十八、风险揭示</w:t>
        </w:r>
        <w:r w:rsidR="009E1E66">
          <w:rPr>
            <w:noProof/>
            <w:webHidden/>
          </w:rPr>
          <w:tab/>
        </w:r>
        <w:r w:rsidR="009E1E66">
          <w:rPr>
            <w:noProof/>
            <w:webHidden/>
          </w:rPr>
          <w:fldChar w:fldCharType="begin"/>
        </w:r>
        <w:r w:rsidR="009E1E66">
          <w:rPr>
            <w:noProof/>
            <w:webHidden/>
          </w:rPr>
          <w:instrText xml:space="preserve"> PAGEREF _Toc139631566 \h </w:instrText>
        </w:r>
        <w:r w:rsidR="009E1E66">
          <w:rPr>
            <w:noProof/>
            <w:webHidden/>
          </w:rPr>
        </w:r>
        <w:r w:rsidR="009E1E66">
          <w:rPr>
            <w:noProof/>
            <w:webHidden/>
          </w:rPr>
          <w:fldChar w:fldCharType="separate"/>
        </w:r>
        <w:r w:rsidR="00725F97">
          <w:rPr>
            <w:noProof/>
            <w:webHidden/>
          </w:rPr>
          <w:t>85</w:t>
        </w:r>
        <w:r w:rsidR="009E1E66">
          <w:rPr>
            <w:noProof/>
            <w:webHidden/>
          </w:rPr>
          <w:fldChar w:fldCharType="end"/>
        </w:r>
      </w:hyperlink>
    </w:p>
    <w:p w14:paraId="0F638891" w14:textId="077F6BCB" w:rsidR="009E1E66" w:rsidRDefault="00D103F0">
      <w:pPr>
        <w:pStyle w:val="10"/>
        <w:rPr>
          <w:rFonts w:asciiTheme="minorHAnsi" w:eastAsiaTheme="minorEastAsia" w:hAnsiTheme="minorHAnsi" w:cstheme="minorBidi"/>
          <w:noProof/>
          <w:sz w:val="21"/>
          <w:szCs w:val="22"/>
        </w:rPr>
      </w:pPr>
      <w:hyperlink w:anchor="_Toc139631567" w:history="1">
        <w:r w:rsidR="009E1E66" w:rsidRPr="00230D8D">
          <w:rPr>
            <w:rStyle w:val="af7"/>
            <w:b/>
            <w:noProof/>
            <w:kern w:val="0"/>
          </w:rPr>
          <w:t>十九、基金合同的变更、终止与基金财产的清算</w:t>
        </w:r>
        <w:r w:rsidR="009E1E66">
          <w:rPr>
            <w:noProof/>
            <w:webHidden/>
          </w:rPr>
          <w:tab/>
        </w:r>
        <w:r w:rsidR="009E1E66">
          <w:rPr>
            <w:noProof/>
            <w:webHidden/>
          </w:rPr>
          <w:fldChar w:fldCharType="begin"/>
        </w:r>
        <w:r w:rsidR="009E1E66">
          <w:rPr>
            <w:noProof/>
            <w:webHidden/>
          </w:rPr>
          <w:instrText xml:space="preserve"> PAGEREF _Toc139631567 \h </w:instrText>
        </w:r>
        <w:r w:rsidR="009E1E66">
          <w:rPr>
            <w:noProof/>
            <w:webHidden/>
          </w:rPr>
        </w:r>
        <w:r w:rsidR="009E1E66">
          <w:rPr>
            <w:noProof/>
            <w:webHidden/>
          </w:rPr>
          <w:fldChar w:fldCharType="separate"/>
        </w:r>
        <w:r w:rsidR="00725F97">
          <w:rPr>
            <w:noProof/>
            <w:webHidden/>
          </w:rPr>
          <w:t>97</w:t>
        </w:r>
        <w:r w:rsidR="009E1E66">
          <w:rPr>
            <w:noProof/>
            <w:webHidden/>
          </w:rPr>
          <w:fldChar w:fldCharType="end"/>
        </w:r>
      </w:hyperlink>
    </w:p>
    <w:p w14:paraId="787ADDCB" w14:textId="334F68CB" w:rsidR="009E1E66" w:rsidRDefault="00D103F0">
      <w:pPr>
        <w:pStyle w:val="10"/>
        <w:rPr>
          <w:rFonts w:asciiTheme="minorHAnsi" w:eastAsiaTheme="minorEastAsia" w:hAnsiTheme="minorHAnsi" w:cstheme="minorBidi"/>
          <w:noProof/>
          <w:sz w:val="21"/>
          <w:szCs w:val="22"/>
        </w:rPr>
      </w:pPr>
      <w:hyperlink w:anchor="_Toc139631568" w:history="1">
        <w:r w:rsidR="009E1E66" w:rsidRPr="00230D8D">
          <w:rPr>
            <w:rStyle w:val="af7"/>
            <w:rFonts w:ascii="宋体"/>
            <w:b/>
            <w:noProof/>
            <w:kern w:val="0"/>
          </w:rPr>
          <w:t>二十、基金合同内容摘要</w:t>
        </w:r>
        <w:r w:rsidR="009E1E66">
          <w:rPr>
            <w:noProof/>
            <w:webHidden/>
          </w:rPr>
          <w:tab/>
        </w:r>
        <w:r w:rsidR="009E1E66">
          <w:rPr>
            <w:noProof/>
            <w:webHidden/>
          </w:rPr>
          <w:fldChar w:fldCharType="begin"/>
        </w:r>
        <w:r w:rsidR="009E1E66">
          <w:rPr>
            <w:noProof/>
            <w:webHidden/>
          </w:rPr>
          <w:instrText xml:space="preserve"> PAGEREF _Toc139631568 \h </w:instrText>
        </w:r>
        <w:r w:rsidR="009E1E66">
          <w:rPr>
            <w:noProof/>
            <w:webHidden/>
          </w:rPr>
        </w:r>
        <w:r w:rsidR="009E1E66">
          <w:rPr>
            <w:noProof/>
            <w:webHidden/>
          </w:rPr>
          <w:fldChar w:fldCharType="separate"/>
        </w:r>
        <w:r w:rsidR="00725F97">
          <w:rPr>
            <w:noProof/>
            <w:webHidden/>
          </w:rPr>
          <w:t>99</w:t>
        </w:r>
        <w:r w:rsidR="009E1E66">
          <w:rPr>
            <w:noProof/>
            <w:webHidden/>
          </w:rPr>
          <w:fldChar w:fldCharType="end"/>
        </w:r>
      </w:hyperlink>
    </w:p>
    <w:p w14:paraId="1C9B9AA7" w14:textId="616A2560" w:rsidR="009E1E66" w:rsidRDefault="00D103F0">
      <w:pPr>
        <w:pStyle w:val="10"/>
        <w:rPr>
          <w:rFonts w:asciiTheme="minorHAnsi" w:eastAsiaTheme="minorEastAsia" w:hAnsiTheme="minorHAnsi" w:cstheme="minorBidi"/>
          <w:noProof/>
          <w:sz w:val="21"/>
          <w:szCs w:val="22"/>
        </w:rPr>
      </w:pPr>
      <w:hyperlink w:anchor="_Toc139631569" w:history="1">
        <w:r w:rsidR="009E1E66" w:rsidRPr="00230D8D">
          <w:rPr>
            <w:rStyle w:val="af7"/>
            <w:rFonts w:ascii="宋体"/>
            <w:b/>
            <w:noProof/>
            <w:kern w:val="0"/>
          </w:rPr>
          <w:t>二十一、托管协议的内容摘要</w:t>
        </w:r>
        <w:r w:rsidR="009E1E66">
          <w:rPr>
            <w:noProof/>
            <w:webHidden/>
          </w:rPr>
          <w:tab/>
        </w:r>
        <w:r w:rsidR="009E1E66">
          <w:rPr>
            <w:noProof/>
            <w:webHidden/>
          </w:rPr>
          <w:fldChar w:fldCharType="begin"/>
        </w:r>
        <w:r w:rsidR="009E1E66">
          <w:rPr>
            <w:noProof/>
            <w:webHidden/>
          </w:rPr>
          <w:instrText xml:space="preserve"> PAGEREF _Toc139631569 \h </w:instrText>
        </w:r>
        <w:r w:rsidR="009E1E66">
          <w:rPr>
            <w:noProof/>
            <w:webHidden/>
          </w:rPr>
        </w:r>
        <w:r w:rsidR="009E1E66">
          <w:rPr>
            <w:noProof/>
            <w:webHidden/>
          </w:rPr>
          <w:fldChar w:fldCharType="separate"/>
        </w:r>
        <w:r w:rsidR="00725F97">
          <w:rPr>
            <w:noProof/>
            <w:webHidden/>
          </w:rPr>
          <w:t>117</w:t>
        </w:r>
        <w:r w:rsidR="009E1E66">
          <w:rPr>
            <w:noProof/>
            <w:webHidden/>
          </w:rPr>
          <w:fldChar w:fldCharType="end"/>
        </w:r>
      </w:hyperlink>
    </w:p>
    <w:p w14:paraId="1888AD58" w14:textId="112D6E34" w:rsidR="009E1E66" w:rsidRDefault="00D103F0">
      <w:pPr>
        <w:pStyle w:val="10"/>
        <w:rPr>
          <w:rFonts w:asciiTheme="minorHAnsi" w:eastAsiaTheme="minorEastAsia" w:hAnsiTheme="minorHAnsi" w:cstheme="minorBidi"/>
          <w:noProof/>
          <w:sz w:val="21"/>
          <w:szCs w:val="22"/>
        </w:rPr>
      </w:pPr>
      <w:hyperlink w:anchor="_Toc139631570" w:history="1">
        <w:r w:rsidR="009E1E66" w:rsidRPr="00230D8D">
          <w:rPr>
            <w:rStyle w:val="af7"/>
            <w:rFonts w:ascii="宋体"/>
            <w:b/>
            <w:noProof/>
            <w:kern w:val="0"/>
          </w:rPr>
          <w:t>二十二、对基金份额持有人的服务</w:t>
        </w:r>
        <w:r w:rsidR="009E1E66">
          <w:rPr>
            <w:noProof/>
            <w:webHidden/>
          </w:rPr>
          <w:tab/>
        </w:r>
        <w:r w:rsidR="009E1E66">
          <w:rPr>
            <w:noProof/>
            <w:webHidden/>
          </w:rPr>
          <w:fldChar w:fldCharType="begin"/>
        </w:r>
        <w:r w:rsidR="009E1E66">
          <w:rPr>
            <w:noProof/>
            <w:webHidden/>
          </w:rPr>
          <w:instrText xml:space="preserve"> PAGEREF _Toc139631570 \h </w:instrText>
        </w:r>
        <w:r w:rsidR="009E1E66">
          <w:rPr>
            <w:noProof/>
            <w:webHidden/>
          </w:rPr>
        </w:r>
        <w:r w:rsidR="009E1E66">
          <w:rPr>
            <w:noProof/>
            <w:webHidden/>
          </w:rPr>
          <w:fldChar w:fldCharType="separate"/>
        </w:r>
        <w:r w:rsidR="00725F97">
          <w:rPr>
            <w:noProof/>
            <w:webHidden/>
          </w:rPr>
          <w:t>138</w:t>
        </w:r>
        <w:r w:rsidR="009E1E66">
          <w:rPr>
            <w:noProof/>
            <w:webHidden/>
          </w:rPr>
          <w:fldChar w:fldCharType="end"/>
        </w:r>
      </w:hyperlink>
    </w:p>
    <w:p w14:paraId="4E6ED70B" w14:textId="039E65A6" w:rsidR="009E1E66" w:rsidRDefault="00D103F0">
      <w:pPr>
        <w:pStyle w:val="10"/>
        <w:rPr>
          <w:rFonts w:asciiTheme="minorHAnsi" w:eastAsiaTheme="minorEastAsia" w:hAnsiTheme="minorHAnsi" w:cstheme="minorBidi"/>
          <w:noProof/>
          <w:sz w:val="21"/>
          <w:szCs w:val="22"/>
        </w:rPr>
      </w:pPr>
      <w:hyperlink w:anchor="_Toc139631571" w:history="1">
        <w:r w:rsidR="009E1E66" w:rsidRPr="00230D8D">
          <w:rPr>
            <w:rStyle w:val="af7"/>
            <w:rFonts w:ascii="宋体"/>
            <w:b/>
            <w:noProof/>
            <w:kern w:val="0"/>
          </w:rPr>
          <w:t>二十三、其他应披露事项</w:t>
        </w:r>
        <w:r w:rsidR="009E1E66">
          <w:rPr>
            <w:noProof/>
            <w:webHidden/>
          </w:rPr>
          <w:tab/>
        </w:r>
        <w:r w:rsidR="009E1E66">
          <w:rPr>
            <w:noProof/>
            <w:webHidden/>
          </w:rPr>
          <w:fldChar w:fldCharType="begin"/>
        </w:r>
        <w:r w:rsidR="009E1E66">
          <w:rPr>
            <w:noProof/>
            <w:webHidden/>
          </w:rPr>
          <w:instrText xml:space="preserve"> PAGEREF _Toc139631571 \h </w:instrText>
        </w:r>
        <w:r w:rsidR="009E1E66">
          <w:rPr>
            <w:noProof/>
            <w:webHidden/>
          </w:rPr>
        </w:r>
        <w:r w:rsidR="009E1E66">
          <w:rPr>
            <w:noProof/>
            <w:webHidden/>
          </w:rPr>
          <w:fldChar w:fldCharType="separate"/>
        </w:r>
        <w:r w:rsidR="00725F97">
          <w:rPr>
            <w:noProof/>
            <w:webHidden/>
          </w:rPr>
          <w:t>140</w:t>
        </w:r>
        <w:r w:rsidR="009E1E66">
          <w:rPr>
            <w:noProof/>
            <w:webHidden/>
          </w:rPr>
          <w:fldChar w:fldCharType="end"/>
        </w:r>
      </w:hyperlink>
    </w:p>
    <w:p w14:paraId="0D3CA52E" w14:textId="4A1449C6" w:rsidR="009E1E66" w:rsidRDefault="00D103F0">
      <w:pPr>
        <w:pStyle w:val="10"/>
        <w:rPr>
          <w:rFonts w:asciiTheme="minorHAnsi" w:eastAsiaTheme="minorEastAsia" w:hAnsiTheme="minorHAnsi" w:cstheme="minorBidi"/>
          <w:noProof/>
          <w:sz w:val="21"/>
          <w:szCs w:val="22"/>
        </w:rPr>
      </w:pPr>
      <w:hyperlink w:anchor="_Toc139631572" w:history="1">
        <w:r w:rsidR="009E1E66" w:rsidRPr="00230D8D">
          <w:rPr>
            <w:rStyle w:val="af7"/>
            <w:rFonts w:ascii="宋体"/>
            <w:b/>
            <w:noProof/>
            <w:kern w:val="0"/>
          </w:rPr>
          <w:t>二十四、招募说明书的存放及查阅方式</w:t>
        </w:r>
        <w:r w:rsidR="009E1E66">
          <w:rPr>
            <w:noProof/>
            <w:webHidden/>
          </w:rPr>
          <w:tab/>
        </w:r>
        <w:r w:rsidR="009E1E66">
          <w:rPr>
            <w:noProof/>
            <w:webHidden/>
          </w:rPr>
          <w:fldChar w:fldCharType="begin"/>
        </w:r>
        <w:r w:rsidR="009E1E66">
          <w:rPr>
            <w:noProof/>
            <w:webHidden/>
          </w:rPr>
          <w:instrText xml:space="preserve"> PAGEREF _Toc139631572 \h </w:instrText>
        </w:r>
        <w:r w:rsidR="009E1E66">
          <w:rPr>
            <w:noProof/>
            <w:webHidden/>
          </w:rPr>
        </w:r>
        <w:r w:rsidR="009E1E66">
          <w:rPr>
            <w:noProof/>
            <w:webHidden/>
          </w:rPr>
          <w:fldChar w:fldCharType="separate"/>
        </w:r>
        <w:r w:rsidR="00725F97">
          <w:rPr>
            <w:noProof/>
            <w:webHidden/>
          </w:rPr>
          <w:t>141</w:t>
        </w:r>
        <w:r w:rsidR="009E1E66">
          <w:rPr>
            <w:noProof/>
            <w:webHidden/>
          </w:rPr>
          <w:fldChar w:fldCharType="end"/>
        </w:r>
      </w:hyperlink>
    </w:p>
    <w:p w14:paraId="6A998391" w14:textId="5D44F852" w:rsidR="009E1E66" w:rsidRDefault="00D103F0">
      <w:pPr>
        <w:pStyle w:val="10"/>
        <w:rPr>
          <w:rFonts w:asciiTheme="minorHAnsi" w:eastAsiaTheme="minorEastAsia" w:hAnsiTheme="minorHAnsi" w:cstheme="minorBidi"/>
          <w:noProof/>
          <w:sz w:val="21"/>
          <w:szCs w:val="22"/>
        </w:rPr>
      </w:pPr>
      <w:hyperlink w:anchor="_Toc139631573" w:history="1">
        <w:r w:rsidR="009E1E66" w:rsidRPr="00230D8D">
          <w:rPr>
            <w:rStyle w:val="af7"/>
            <w:rFonts w:ascii="宋体"/>
            <w:b/>
            <w:noProof/>
            <w:kern w:val="0"/>
          </w:rPr>
          <w:t>二十五、备查文件</w:t>
        </w:r>
        <w:r w:rsidR="009E1E66">
          <w:rPr>
            <w:noProof/>
            <w:webHidden/>
          </w:rPr>
          <w:tab/>
        </w:r>
        <w:r w:rsidR="009E1E66">
          <w:rPr>
            <w:noProof/>
            <w:webHidden/>
          </w:rPr>
          <w:fldChar w:fldCharType="begin"/>
        </w:r>
        <w:r w:rsidR="009E1E66">
          <w:rPr>
            <w:noProof/>
            <w:webHidden/>
          </w:rPr>
          <w:instrText xml:space="preserve"> PAGEREF _Toc139631573 \h </w:instrText>
        </w:r>
        <w:r w:rsidR="009E1E66">
          <w:rPr>
            <w:noProof/>
            <w:webHidden/>
          </w:rPr>
        </w:r>
        <w:r w:rsidR="009E1E66">
          <w:rPr>
            <w:noProof/>
            <w:webHidden/>
          </w:rPr>
          <w:fldChar w:fldCharType="separate"/>
        </w:r>
        <w:r w:rsidR="00725F97">
          <w:rPr>
            <w:noProof/>
            <w:webHidden/>
          </w:rPr>
          <w:t>142</w:t>
        </w:r>
        <w:r w:rsidR="009E1E66">
          <w:rPr>
            <w:noProof/>
            <w:webHidden/>
          </w:rPr>
          <w:fldChar w:fldCharType="end"/>
        </w:r>
      </w:hyperlink>
    </w:p>
    <w:p w14:paraId="680F30F2" w14:textId="2480C5D6" w:rsidR="0004536B" w:rsidRDefault="003574EC" w:rsidP="008A026F">
      <w:pPr>
        <w:adjustRightInd w:val="0"/>
        <w:snapToGrid w:val="0"/>
      </w:pPr>
      <w:r>
        <w:fldChar w:fldCharType="end"/>
      </w:r>
    </w:p>
    <w:p w14:paraId="29D5982B" w14:textId="77777777"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 w:name="_Toc139631549"/>
      <w:r>
        <w:rPr>
          <w:rFonts w:ascii="宋体" w:hAnsi="宋体" w:hint="eastAsia"/>
          <w:b/>
          <w:kern w:val="0"/>
          <w:sz w:val="30"/>
        </w:rPr>
        <w:lastRenderedPageBreak/>
        <w:t>一、绪言</w:t>
      </w:r>
      <w:bookmarkEnd w:id="0"/>
      <w:bookmarkEnd w:id="1"/>
    </w:p>
    <w:p w14:paraId="023B84D0" w14:textId="25EC9CD0" w:rsidR="0004536B" w:rsidRDefault="003574EC">
      <w:pPr>
        <w:widowControl/>
        <w:adjustRightInd w:val="0"/>
        <w:snapToGrid w:val="0"/>
        <w:spacing w:line="360" w:lineRule="auto"/>
        <w:ind w:firstLineChars="200" w:firstLine="480"/>
        <w:rPr>
          <w:kern w:val="0"/>
          <w:sz w:val="24"/>
        </w:rPr>
      </w:pPr>
      <w:r>
        <w:rPr>
          <w:rFonts w:ascii="宋体" w:hAnsi="宋体"/>
          <w:kern w:val="0"/>
          <w:sz w:val="24"/>
        </w:rPr>
        <w:t>《交银施罗德</w:t>
      </w:r>
      <w:r w:rsidR="00F86ECF">
        <w:rPr>
          <w:rFonts w:ascii="宋体" w:hAnsi="宋体" w:hint="eastAsia"/>
          <w:kern w:val="0"/>
          <w:sz w:val="24"/>
        </w:rPr>
        <w:t>瑞元三年定期开放</w:t>
      </w:r>
      <w:r>
        <w:rPr>
          <w:rFonts w:ascii="宋体" w:hAnsi="宋体"/>
          <w:kern w:val="0"/>
          <w:sz w:val="24"/>
        </w:rPr>
        <w:t>混合型证券投资基金招募说明书》（以下简称“本招募说明书”）依据《中华人民共和国证券投资基金法》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、《公开募集证券投资基金销售机构监督管理办法》</w:t>
      </w:r>
      <w:r>
        <w:rPr>
          <w:rFonts w:ascii="宋体" w:hAnsi="宋体" w:hint="eastAsia"/>
          <w:kern w:val="0"/>
          <w:sz w:val="24"/>
        </w:rPr>
        <w:t>（以下简称“《销售办法》”）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证券投资基金信息披露管理办法》</w:t>
      </w:r>
      <w:r>
        <w:rPr>
          <w:rFonts w:ascii="宋体" w:hAnsi="宋体" w:hint="eastAsia"/>
          <w:kern w:val="0"/>
          <w:sz w:val="24"/>
        </w:rPr>
        <w:t>（以下简称“《信息披露办法》”）、《公开募集开放式证券投资基金流动性风险管理规定》（以下简称“《流动性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ascii="宋体" w:hAnsi="宋体"/>
          <w:kern w:val="0"/>
          <w:sz w:val="24"/>
        </w:rPr>
        <w:t>和其他相关法律法规的规定以及《交银施罗德</w:t>
      </w:r>
      <w:r w:rsidR="00F86ECF">
        <w:rPr>
          <w:rFonts w:ascii="宋体" w:hAnsi="宋体" w:hint="eastAsia"/>
          <w:kern w:val="0"/>
          <w:sz w:val="24"/>
        </w:rPr>
        <w:t>瑞元三年定期开放</w:t>
      </w:r>
      <w:r>
        <w:rPr>
          <w:rFonts w:ascii="宋体" w:hAnsi="宋体"/>
          <w:kern w:val="0"/>
          <w:sz w:val="24"/>
        </w:rPr>
        <w:t>混合型证券投资基金基金合同》（以下简称“基金合同”）</w:t>
      </w:r>
      <w:r>
        <w:rPr>
          <w:rFonts w:hAnsi="宋体"/>
          <w:kern w:val="0"/>
          <w:sz w:val="24"/>
        </w:rPr>
        <w:t>编写。</w:t>
      </w:r>
    </w:p>
    <w:p w14:paraId="4062D536"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14:paraId="2A9A548F" w14:textId="77777777" w:rsidR="0004536B" w:rsidRDefault="003574EC">
      <w:pPr>
        <w:widowControl/>
        <w:adjustRightInd w:val="0"/>
        <w:snapToGrid w:val="0"/>
        <w:spacing w:line="360" w:lineRule="auto"/>
        <w:ind w:firstLineChars="200" w:firstLine="480"/>
        <w:rPr>
          <w:rFonts w:ascii="宋体" w:hAnsi="宋体"/>
          <w:b/>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7DAAB78E" w14:textId="77777777"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139631550"/>
      <w:r>
        <w:rPr>
          <w:rFonts w:ascii="宋体" w:hAnsi="宋体" w:hint="eastAsia"/>
          <w:b/>
          <w:kern w:val="0"/>
          <w:sz w:val="30"/>
        </w:rPr>
        <w:lastRenderedPageBreak/>
        <w:t>二、释义</w:t>
      </w:r>
      <w:bookmarkEnd w:id="2"/>
      <w:bookmarkEnd w:id="3"/>
    </w:p>
    <w:p w14:paraId="1950B8FA" w14:textId="77777777" w:rsidR="0004536B" w:rsidRDefault="003574EC">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14:paraId="48D501FF" w14:textId="0148966E" w:rsidR="0004536B" w:rsidRDefault="003574EC">
      <w:pPr>
        <w:adjustRightInd w:val="0"/>
        <w:snapToGrid w:val="0"/>
        <w:spacing w:line="360" w:lineRule="auto"/>
        <w:ind w:firstLineChars="200" w:firstLine="480"/>
        <w:rPr>
          <w:bCs/>
          <w:sz w:val="24"/>
        </w:rPr>
      </w:pPr>
      <w:bookmarkStart w:id="4" w:name="_Hlk49340113"/>
      <w:r>
        <w:rPr>
          <w:rFonts w:hint="eastAsia"/>
          <w:bCs/>
          <w:sz w:val="24"/>
        </w:rPr>
        <w:t>1</w:t>
      </w:r>
      <w:r>
        <w:rPr>
          <w:rFonts w:hint="eastAsia"/>
          <w:bCs/>
          <w:sz w:val="24"/>
        </w:rPr>
        <w:t>、基金或本基金：指交银施罗德</w:t>
      </w:r>
      <w:r w:rsidR="00F86ECF">
        <w:rPr>
          <w:rFonts w:hint="eastAsia"/>
          <w:bCs/>
          <w:sz w:val="24"/>
        </w:rPr>
        <w:t>瑞元三年定期开放</w:t>
      </w:r>
      <w:r>
        <w:rPr>
          <w:rFonts w:hint="eastAsia"/>
          <w:bCs/>
          <w:sz w:val="24"/>
        </w:rPr>
        <w:t>混合型证券投资基金</w:t>
      </w:r>
    </w:p>
    <w:p w14:paraId="2EBA6FCD" w14:textId="77777777" w:rsidR="0004536B" w:rsidRDefault="003574EC">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14:paraId="415FCEFC" w14:textId="77777777" w:rsidR="0004536B" w:rsidRDefault="003574EC">
      <w:pPr>
        <w:adjustRightInd w:val="0"/>
        <w:snapToGrid w:val="0"/>
        <w:spacing w:line="360" w:lineRule="auto"/>
        <w:ind w:firstLineChars="200" w:firstLine="480"/>
        <w:rPr>
          <w:bCs/>
          <w:sz w:val="24"/>
        </w:rPr>
      </w:pPr>
      <w:r>
        <w:rPr>
          <w:rFonts w:hint="eastAsia"/>
          <w:bCs/>
          <w:sz w:val="24"/>
        </w:rPr>
        <w:t>3</w:t>
      </w:r>
      <w:r>
        <w:rPr>
          <w:rFonts w:hint="eastAsia"/>
          <w:bCs/>
          <w:sz w:val="24"/>
        </w:rPr>
        <w:t>、基金托管人：指中信银行股份有限公司</w:t>
      </w:r>
    </w:p>
    <w:p w14:paraId="13946647" w14:textId="58BFBCA5" w:rsidR="0004536B" w:rsidRDefault="003574EC">
      <w:pPr>
        <w:adjustRightInd w:val="0"/>
        <w:snapToGrid w:val="0"/>
        <w:spacing w:line="360" w:lineRule="auto"/>
        <w:ind w:firstLineChars="200" w:firstLine="480"/>
        <w:rPr>
          <w:bCs/>
          <w:sz w:val="24"/>
        </w:rPr>
      </w:pPr>
      <w:r>
        <w:rPr>
          <w:rFonts w:hint="eastAsia"/>
          <w:bCs/>
          <w:sz w:val="24"/>
        </w:rPr>
        <w:t>4</w:t>
      </w:r>
      <w:r>
        <w:rPr>
          <w:rFonts w:hint="eastAsia"/>
          <w:bCs/>
          <w:sz w:val="24"/>
        </w:rPr>
        <w:t>、基金合同：指《交银施罗德</w:t>
      </w:r>
      <w:r w:rsidR="00F86ECF">
        <w:rPr>
          <w:rFonts w:hint="eastAsia"/>
          <w:bCs/>
          <w:sz w:val="24"/>
        </w:rPr>
        <w:t>瑞元三年定期开放</w:t>
      </w:r>
      <w:r>
        <w:rPr>
          <w:rFonts w:hint="eastAsia"/>
          <w:bCs/>
          <w:sz w:val="24"/>
        </w:rPr>
        <w:t>混合型证券投资基金基金合同》及对基金合同的任何有效修订和补充</w:t>
      </w:r>
    </w:p>
    <w:p w14:paraId="3F246545" w14:textId="4EB4F91B" w:rsidR="0004536B" w:rsidRDefault="003574EC">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w:t>
      </w:r>
      <w:r w:rsidR="00F86ECF">
        <w:rPr>
          <w:rFonts w:hint="eastAsia"/>
          <w:bCs/>
          <w:sz w:val="24"/>
        </w:rPr>
        <w:t>瑞元三年定期开放</w:t>
      </w:r>
      <w:r>
        <w:rPr>
          <w:rFonts w:hint="eastAsia"/>
          <w:bCs/>
          <w:sz w:val="24"/>
        </w:rPr>
        <w:t>混合型证券投资基金托管协议》及对该托管协议的任何有效修订和补充</w:t>
      </w:r>
    </w:p>
    <w:p w14:paraId="724DD9BC" w14:textId="0FC56D15" w:rsidR="0004536B" w:rsidRDefault="003574EC">
      <w:pPr>
        <w:adjustRightInd w:val="0"/>
        <w:snapToGrid w:val="0"/>
        <w:spacing w:line="360" w:lineRule="auto"/>
        <w:ind w:firstLineChars="200" w:firstLine="480"/>
        <w:rPr>
          <w:bCs/>
          <w:sz w:val="24"/>
        </w:rPr>
      </w:pPr>
      <w:r>
        <w:rPr>
          <w:rFonts w:hint="eastAsia"/>
          <w:bCs/>
          <w:sz w:val="24"/>
        </w:rPr>
        <w:t>6</w:t>
      </w:r>
      <w:r>
        <w:rPr>
          <w:rFonts w:hint="eastAsia"/>
          <w:bCs/>
          <w:sz w:val="24"/>
        </w:rPr>
        <w:t>、招募说明书或本招募说明书：指《交银施罗德</w:t>
      </w:r>
      <w:r w:rsidR="00F86ECF">
        <w:rPr>
          <w:rFonts w:hint="eastAsia"/>
          <w:bCs/>
          <w:sz w:val="24"/>
        </w:rPr>
        <w:t>瑞元三年定期开放</w:t>
      </w:r>
      <w:r>
        <w:rPr>
          <w:rFonts w:hint="eastAsia"/>
          <w:bCs/>
          <w:sz w:val="24"/>
        </w:rPr>
        <w:t>混合型证券投资基金招募说明书》及其更新</w:t>
      </w:r>
    </w:p>
    <w:p w14:paraId="2FA7010D" w14:textId="23F6842A" w:rsidR="0004536B" w:rsidRDefault="003574EC">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w:t>
      </w:r>
      <w:r w:rsidR="00F86ECF">
        <w:rPr>
          <w:rFonts w:hint="eastAsia"/>
          <w:bCs/>
          <w:sz w:val="24"/>
        </w:rPr>
        <w:t>瑞元三年定期开放</w:t>
      </w:r>
      <w:r>
        <w:rPr>
          <w:rFonts w:hint="eastAsia"/>
          <w:bCs/>
          <w:sz w:val="24"/>
        </w:rPr>
        <w:t>混合型证券投资基金基金产品资料概要》及其更新</w:t>
      </w:r>
    </w:p>
    <w:p w14:paraId="34E01E06" w14:textId="43390850" w:rsidR="0004536B" w:rsidRDefault="003574EC">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w:t>
      </w:r>
      <w:r w:rsidR="00F86ECF">
        <w:rPr>
          <w:rFonts w:hint="eastAsia"/>
          <w:bCs/>
          <w:sz w:val="24"/>
        </w:rPr>
        <w:t>瑞元三年定期开放</w:t>
      </w:r>
      <w:r>
        <w:rPr>
          <w:rFonts w:hint="eastAsia"/>
          <w:bCs/>
          <w:sz w:val="24"/>
        </w:rPr>
        <w:t>混合型证券投资基金基金份额发售公告》</w:t>
      </w:r>
    </w:p>
    <w:p w14:paraId="14EC9EE7" w14:textId="77777777" w:rsidR="0004536B" w:rsidRDefault="003574EC">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5498CBC6" w14:textId="77777777" w:rsidR="0004536B" w:rsidRDefault="003574EC">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14:paraId="04CE4C31" w14:textId="77777777" w:rsidR="0004536B" w:rsidRDefault="003574EC">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14:paraId="794D9E6F" w14:textId="77777777" w:rsidR="0004536B" w:rsidRDefault="003574EC">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14:paraId="31C3EFBA" w14:textId="77777777" w:rsidR="0004536B" w:rsidRDefault="003574EC">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14:paraId="44D07F86" w14:textId="77777777" w:rsidR="0004536B" w:rsidRDefault="003574EC">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14:paraId="0DB90010" w14:textId="77777777" w:rsidR="0004536B" w:rsidRDefault="003574EC">
      <w:pPr>
        <w:adjustRightInd w:val="0"/>
        <w:snapToGrid w:val="0"/>
        <w:spacing w:line="360" w:lineRule="auto"/>
        <w:ind w:firstLineChars="200" w:firstLine="480"/>
        <w:rPr>
          <w:bCs/>
          <w:sz w:val="24"/>
        </w:rPr>
      </w:pPr>
      <w:r>
        <w:rPr>
          <w:rFonts w:hint="eastAsia"/>
          <w:bCs/>
          <w:sz w:val="24"/>
        </w:rPr>
        <w:lastRenderedPageBreak/>
        <w:t>1</w:t>
      </w:r>
      <w:r>
        <w:rPr>
          <w:bCs/>
          <w:sz w:val="24"/>
        </w:rPr>
        <w:t>5</w:t>
      </w:r>
      <w:r>
        <w:rPr>
          <w:rFonts w:hint="eastAsia"/>
          <w:bCs/>
          <w:sz w:val="24"/>
        </w:rPr>
        <w:t>、中国证监会：指中国证券监督管理委员会</w:t>
      </w:r>
    </w:p>
    <w:p w14:paraId="0D442B20" w14:textId="7E00C2B8" w:rsidR="0004536B" w:rsidRDefault="003574EC">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、银行业监督管理机构：指中国人民银行和</w:t>
      </w:r>
      <w:r>
        <w:rPr>
          <w:rFonts w:hint="eastAsia"/>
          <w:bCs/>
          <w:sz w:val="24"/>
        </w:rPr>
        <w:t>/</w:t>
      </w:r>
      <w:r>
        <w:rPr>
          <w:rFonts w:hint="eastAsia"/>
          <w:bCs/>
          <w:sz w:val="24"/>
        </w:rPr>
        <w:t>或</w:t>
      </w:r>
      <w:r w:rsidR="00562781" w:rsidRPr="008B0EB1">
        <w:rPr>
          <w:rFonts w:hint="eastAsia"/>
          <w:bCs/>
          <w:sz w:val="24"/>
        </w:rPr>
        <w:t>国家金融监督管理总局</w:t>
      </w:r>
    </w:p>
    <w:p w14:paraId="0B371EC7" w14:textId="77777777" w:rsidR="0004536B" w:rsidRDefault="003574EC">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14:paraId="5CA47BF4" w14:textId="77777777" w:rsidR="0004536B" w:rsidRDefault="003574EC">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14:paraId="2D341A4E" w14:textId="77777777" w:rsidR="0004536B" w:rsidRDefault="003574EC">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2E1F3EF" w14:textId="77777777" w:rsidR="0004536B" w:rsidRDefault="003574EC">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157EA3E"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、投资人、投资者：指个人投资者、机构投资者、合格境外投资者以及法律法规或中国证监会允许购买证券投资基金的其他投资人的合称</w:t>
      </w:r>
    </w:p>
    <w:p w14:paraId="54C2453B"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14:paraId="3BE6DA40"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14:paraId="224F9FB8"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63AF20D8"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08BF7DA"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6</w:t>
      </w:r>
      <w:r>
        <w:rPr>
          <w:rFonts w:hint="eastAsia"/>
          <w:bCs/>
          <w:sz w:val="24"/>
        </w:rPr>
        <w:t>、登记机构：指办理登记业务的机构。基金的登记机构为交银施罗德基金管理有限公司或接受交银施罗德基金管理有限公司委托代为办理登记业务的机构</w:t>
      </w:r>
    </w:p>
    <w:p w14:paraId="24B049ED"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14:paraId="1A10D9DF"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8</w:t>
      </w:r>
      <w:r>
        <w:rPr>
          <w:rFonts w:hint="eastAsia"/>
          <w:bCs/>
          <w:sz w:val="24"/>
        </w:rPr>
        <w:t>、基金交易账户：指销售机构为投资人开立的、记录投资人通过该销售机构</w:t>
      </w:r>
      <w:r>
        <w:rPr>
          <w:rFonts w:hint="eastAsia"/>
          <w:bCs/>
          <w:sz w:val="24"/>
        </w:rPr>
        <w:lastRenderedPageBreak/>
        <w:t>办理认购、申购、赎回、转换及转托管等业务而引起的基金份额变动及结余情况的账户</w:t>
      </w:r>
    </w:p>
    <w:p w14:paraId="13831283" w14:textId="77777777" w:rsidR="0004536B" w:rsidRDefault="003574EC">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14:paraId="2669DE8B" w14:textId="77777777" w:rsidR="0004536B" w:rsidRDefault="003574EC">
      <w:pPr>
        <w:adjustRightInd w:val="0"/>
        <w:snapToGrid w:val="0"/>
        <w:spacing w:line="360" w:lineRule="auto"/>
        <w:ind w:firstLineChars="200" w:firstLine="480"/>
        <w:rPr>
          <w:bCs/>
          <w:sz w:val="24"/>
        </w:rPr>
      </w:pPr>
      <w:r>
        <w:rPr>
          <w:rFonts w:hint="eastAsia"/>
          <w:bCs/>
          <w:sz w:val="24"/>
        </w:rPr>
        <w:t>3</w:t>
      </w:r>
      <w:r>
        <w:rPr>
          <w:bCs/>
          <w:sz w:val="24"/>
        </w:rPr>
        <w:t>0</w:t>
      </w:r>
      <w:r>
        <w:rPr>
          <w:rFonts w:hint="eastAsia"/>
          <w:bCs/>
          <w:sz w:val="24"/>
        </w:rPr>
        <w:t>、基金合同终止日：指基金合同规定的基金合同终止事由出现后，基金财产清算完毕，清算结果报中国证监会备案并予以公告的日期</w:t>
      </w:r>
    </w:p>
    <w:p w14:paraId="468B41C1" w14:textId="77777777" w:rsidR="0004536B" w:rsidRDefault="003574EC">
      <w:pPr>
        <w:adjustRightInd w:val="0"/>
        <w:snapToGrid w:val="0"/>
        <w:spacing w:line="360" w:lineRule="auto"/>
        <w:ind w:firstLineChars="200" w:firstLine="48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14:paraId="676658FC" w14:textId="77777777" w:rsidR="0004536B" w:rsidRDefault="003574EC">
      <w:pPr>
        <w:adjustRightInd w:val="0"/>
        <w:snapToGrid w:val="0"/>
        <w:spacing w:line="360" w:lineRule="auto"/>
        <w:ind w:firstLineChars="200" w:firstLine="480"/>
        <w:rPr>
          <w:bCs/>
          <w:sz w:val="24"/>
        </w:rPr>
      </w:pPr>
      <w:r>
        <w:rPr>
          <w:rFonts w:hint="eastAsia"/>
          <w:bCs/>
          <w:sz w:val="24"/>
        </w:rPr>
        <w:t>3</w:t>
      </w:r>
      <w:r>
        <w:rPr>
          <w:bCs/>
          <w:sz w:val="24"/>
        </w:rPr>
        <w:t>2</w:t>
      </w:r>
      <w:r>
        <w:rPr>
          <w:rFonts w:hint="eastAsia"/>
          <w:bCs/>
          <w:sz w:val="24"/>
        </w:rPr>
        <w:t>、存续期：指基金合同生效至终止之间的不定期期限</w:t>
      </w:r>
    </w:p>
    <w:p w14:paraId="5C70AD83" w14:textId="77777777" w:rsidR="0004536B" w:rsidRDefault="003574EC">
      <w:pPr>
        <w:adjustRightInd w:val="0"/>
        <w:snapToGrid w:val="0"/>
        <w:spacing w:line="360" w:lineRule="auto"/>
        <w:ind w:firstLineChars="200" w:firstLine="480"/>
        <w:rPr>
          <w:bCs/>
          <w:sz w:val="24"/>
        </w:rPr>
      </w:pPr>
      <w:r>
        <w:rPr>
          <w:rFonts w:hint="eastAsia"/>
          <w:bCs/>
          <w:sz w:val="24"/>
        </w:rPr>
        <w:t>3</w:t>
      </w:r>
      <w:r>
        <w:rPr>
          <w:bCs/>
          <w:sz w:val="24"/>
        </w:rPr>
        <w:t>3</w:t>
      </w:r>
      <w:r>
        <w:rPr>
          <w:rFonts w:hint="eastAsia"/>
          <w:bCs/>
          <w:sz w:val="24"/>
        </w:rPr>
        <w:t>、工作日：指上海证券交易所、深圳证券交易所的正常交易日</w:t>
      </w:r>
    </w:p>
    <w:p w14:paraId="69BD5EFE" w14:textId="77777777" w:rsidR="0004536B" w:rsidRDefault="003574EC">
      <w:pPr>
        <w:adjustRightInd w:val="0"/>
        <w:snapToGrid w:val="0"/>
        <w:spacing w:line="360" w:lineRule="auto"/>
        <w:ind w:firstLineChars="200" w:firstLine="480"/>
        <w:rPr>
          <w:bCs/>
          <w:sz w:val="24"/>
        </w:rPr>
      </w:pPr>
      <w:r>
        <w:rPr>
          <w:rFonts w:hint="eastAsia"/>
          <w:bCs/>
          <w:sz w:val="24"/>
        </w:rPr>
        <w:t>3</w:t>
      </w:r>
      <w:r>
        <w:rPr>
          <w:bCs/>
          <w:sz w:val="24"/>
        </w:rPr>
        <w:t>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14:paraId="20F21F66" w14:textId="77777777" w:rsidR="0004536B" w:rsidRDefault="003574EC">
      <w:pPr>
        <w:adjustRightInd w:val="0"/>
        <w:snapToGrid w:val="0"/>
        <w:spacing w:line="360" w:lineRule="auto"/>
        <w:ind w:firstLineChars="200" w:firstLine="480"/>
        <w:rPr>
          <w:bCs/>
          <w:sz w:val="24"/>
        </w:rPr>
      </w:pPr>
      <w:r>
        <w:rPr>
          <w:rFonts w:hint="eastAsia"/>
          <w:bCs/>
          <w:sz w:val="24"/>
        </w:rPr>
        <w:t>3</w:t>
      </w:r>
      <w:r>
        <w:rPr>
          <w:bCs/>
          <w:sz w:val="24"/>
        </w:rPr>
        <w:t>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r>
        <w:rPr>
          <w:rFonts w:hint="eastAsia"/>
          <w:bCs/>
          <w:sz w:val="24"/>
        </w:rPr>
        <w:t>个工作日（不包含</w:t>
      </w:r>
      <w:r>
        <w:rPr>
          <w:rFonts w:hint="eastAsia"/>
          <w:bCs/>
          <w:sz w:val="24"/>
        </w:rPr>
        <w:t>T</w:t>
      </w:r>
      <w:r>
        <w:rPr>
          <w:rFonts w:hint="eastAsia"/>
          <w:bCs/>
          <w:sz w:val="24"/>
        </w:rPr>
        <w:t>日）</w:t>
      </w:r>
    </w:p>
    <w:p w14:paraId="03AB5FD4" w14:textId="77777777" w:rsidR="0004536B" w:rsidRDefault="003574EC">
      <w:pPr>
        <w:adjustRightInd w:val="0"/>
        <w:snapToGrid w:val="0"/>
        <w:spacing w:line="360" w:lineRule="auto"/>
        <w:ind w:firstLineChars="200" w:firstLine="480"/>
        <w:rPr>
          <w:bCs/>
          <w:sz w:val="24"/>
        </w:rPr>
      </w:pPr>
      <w:r>
        <w:rPr>
          <w:rFonts w:hint="eastAsia"/>
          <w:bCs/>
          <w:sz w:val="24"/>
        </w:rPr>
        <w:t>3</w:t>
      </w:r>
      <w:r>
        <w:rPr>
          <w:bCs/>
          <w:sz w:val="24"/>
        </w:rPr>
        <w:t>6</w:t>
      </w:r>
      <w:r>
        <w:rPr>
          <w:rFonts w:hint="eastAsia"/>
          <w:bCs/>
          <w:sz w:val="24"/>
        </w:rPr>
        <w:t>、开放日：指为投资人办理基金份额申购、赎回或其他业务的工作日（若该工作日为非港股通交易日，则本基金可不开放）</w:t>
      </w:r>
    </w:p>
    <w:p w14:paraId="0051C106" w14:textId="3BC58B49" w:rsidR="00D74E4E" w:rsidRPr="00D74E4E" w:rsidRDefault="00D74E4E" w:rsidP="00D74E4E">
      <w:pPr>
        <w:adjustRightInd w:val="0"/>
        <w:snapToGrid w:val="0"/>
        <w:spacing w:line="360" w:lineRule="auto"/>
        <w:ind w:firstLineChars="200" w:firstLine="480"/>
        <w:rPr>
          <w:bCs/>
          <w:sz w:val="24"/>
        </w:rPr>
      </w:pPr>
      <w:r w:rsidRPr="00D74E4E">
        <w:rPr>
          <w:rFonts w:hint="eastAsia"/>
          <w:bCs/>
          <w:sz w:val="24"/>
        </w:rPr>
        <w:t>37</w:t>
      </w:r>
      <w:r w:rsidRPr="00D74E4E">
        <w:rPr>
          <w:rFonts w:hint="eastAsia"/>
          <w:bCs/>
          <w:sz w:val="24"/>
        </w:rPr>
        <w:t>、封闭期：指本基金以三年为一个封闭期。本基金第一个封闭期的起始之日为基金合同生效日，结束之日为基金合同生效日三年后的年度对日（指自然年度，该日应存在对应日期且该日及该日的前一日应为工作日，若不满足该要求，需顺延至满足前述要求的日期）的前一日。第二个封闭期的起始之日为第一个开放期结束之日次日，结束之日为第二个封闭期起始之日三年后的年度对日（指自然年度，该日应存在对应日期且该日及该日的前一日应为工作日，若不满足该要求，需顺延至满足前述要求的日期）的前一日，依此类推。本基金在封闭期内不办理申购与赎回业务，也不上市交易</w:t>
      </w:r>
    </w:p>
    <w:p w14:paraId="5B66ACEA" w14:textId="455199D1" w:rsidR="00D74E4E" w:rsidRPr="00D74E4E" w:rsidRDefault="00D74E4E" w:rsidP="00D74E4E">
      <w:pPr>
        <w:adjustRightInd w:val="0"/>
        <w:snapToGrid w:val="0"/>
        <w:spacing w:line="360" w:lineRule="auto"/>
        <w:ind w:firstLineChars="200" w:firstLine="480"/>
        <w:rPr>
          <w:bCs/>
          <w:sz w:val="24"/>
        </w:rPr>
      </w:pPr>
      <w:r w:rsidRPr="00D74E4E">
        <w:rPr>
          <w:rFonts w:hint="eastAsia"/>
          <w:bCs/>
          <w:sz w:val="24"/>
        </w:rPr>
        <w:t>38</w:t>
      </w:r>
      <w:r w:rsidRPr="00D74E4E">
        <w:rPr>
          <w:rFonts w:hint="eastAsia"/>
          <w:bCs/>
          <w:sz w:val="24"/>
        </w:rPr>
        <w:t>、开放期：本基金自封闭期结束之日的下一个工作日起至下一个封闭期开始前进入开放期，开放期期间可以办理申购与赎回业务。每个开放期不少于</w:t>
      </w:r>
      <w:r w:rsidRPr="00D74E4E">
        <w:rPr>
          <w:rFonts w:hint="eastAsia"/>
          <w:bCs/>
          <w:sz w:val="24"/>
        </w:rPr>
        <w:t>5</w:t>
      </w:r>
      <w:r w:rsidRPr="00D74E4E">
        <w:rPr>
          <w:rFonts w:hint="eastAsia"/>
          <w:bCs/>
          <w:sz w:val="24"/>
        </w:rPr>
        <w:t>个工作日并且最长不超过</w:t>
      </w:r>
      <w:r w:rsidRPr="00D74E4E">
        <w:rPr>
          <w:rFonts w:hint="eastAsia"/>
          <w:bCs/>
          <w:sz w:val="24"/>
        </w:rPr>
        <w:t xml:space="preserve">20 </w:t>
      </w:r>
      <w:r w:rsidRPr="00D74E4E">
        <w:rPr>
          <w:rFonts w:hint="eastAsia"/>
          <w:bCs/>
          <w:sz w:val="24"/>
        </w:rPr>
        <w:t>个工作日，开放期的具体时间以基金管理人届时公告为准。如封闭期结束后或在开放期内发生不可抗力或其他情形致使基金无法按时开放申购</w:t>
      </w:r>
      <w:r w:rsidRPr="00D74E4E">
        <w:rPr>
          <w:rFonts w:hint="eastAsia"/>
          <w:bCs/>
          <w:sz w:val="24"/>
        </w:rPr>
        <w:lastRenderedPageBreak/>
        <w:t>与赎回业务的，开放期时间中止计算，在不可抗力或其他情形影响因素消除之日次一工作日起，继续计算该开放期时间，直至满足开放期的要求</w:t>
      </w:r>
    </w:p>
    <w:p w14:paraId="237D7CC5" w14:textId="58F91928" w:rsidR="0004536B" w:rsidRDefault="00730F5E" w:rsidP="00562781">
      <w:pPr>
        <w:adjustRightInd w:val="0"/>
        <w:snapToGrid w:val="0"/>
        <w:spacing w:line="360" w:lineRule="auto"/>
        <w:ind w:firstLineChars="200" w:firstLine="480"/>
        <w:rPr>
          <w:bCs/>
          <w:sz w:val="24"/>
        </w:rPr>
      </w:pPr>
      <w:r>
        <w:rPr>
          <w:bCs/>
          <w:sz w:val="24"/>
        </w:rPr>
        <w:t>39</w:t>
      </w:r>
      <w:r w:rsidR="00562781" w:rsidRPr="00562781">
        <w:rPr>
          <w:rFonts w:hint="eastAsia"/>
          <w:bCs/>
          <w:sz w:val="24"/>
        </w:rPr>
        <w:t>、</w:t>
      </w:r>
      <w:r w:rsidR="003574EC">
        <w:rPr>
          <w:rFonts w:hint="eastAsia"/>
          <w:bCs/>
          <w:sz w:val="24"/>
        </w:rPr>
        <w:t>开放时间：指开放日基金接受申购、赎回或其他交易的时间段</w:t>
      </w:r>
    </w:p>
    <w:p w14:paraId="20284ABD" w14:textId="6746F862" w:rsidR="0004536B" w:rsidRDefault="00562781">
      <w:pPr>
        <w:adjustRightInd w:val="0"/>
        <w:snapToGrid w:val="0"/>
        <w:spacing w:line="360" w:lineRule="auto"/>
        <w:ind w:firstLineChars="200" w:firstLine="480"/>
        <w:rPr>
          <w:bCs/>
          <w:sz w:val="24"/>
        </w:rPr>
      </w:pPr>
      <w:r>
        <w:rPr>
          <w:bCs/>
          <w:sz w:val="24"/>
        </w:rPr>
        <w:t>4</w:t>
      </w:r>
      <w:r w:rsidR="00730F5E">
        <w:rPr>
          <w:bCs/>
          <w:sz w:val="24"/>
        </w:rPr>
        <w:t>0</w:t>
      </w:r>
      <w:r w:rsidR="003574EC">
        <w:rPr>
          <w:rFonts w:hint="eastAsia"/>
          <w:bCs/>
          <w:sz w:val="24"/>
        </w:rPr>
        <w:t>、《业务规则》：指</w:t>
      </w:r>
      <w:r w:rsidRPr="00E40D4A">
        <w:rPr>
          <w:rFonts w:hint="eastAsia"/>
          <w:bCs/>
          <w:sz w:val="24"/>
        </w:rPr>
        <w:t>《交银施罗德基金管理有限公司开放式基金业务规则》，是规范基金管理人所管理的开放式证券投资基金登记方面的业务规则，由基金管理人和投资人共同遵守</w:t>
      </w:r>
    </w:p>
    <w:p w14:paraId="44C7FED7" w14:textId="28B3B42D" w:rsidR="0004536B" w:rsidRDefault="00562781">
      <w:pPr>
        <w:adjustRightInd w:val="0"/>
        <w:snapToGrid w:val="0"/>
        <w:spacing w:line="360" w:lineRule="auto"/>
        <w:ind w:firstLineChars="200" w:firstLine="480"/>
        <w:rPr>
          <w:bCs/>
          <w:sz w:val="24"/>
        </w:rPr>
      </w:pPr>
      <w:r>
        <w:rPr>
          <w:bCs/>
          <w:sz w:val="24"/>
        </w:rPr>
        <w:t>4</w:t>
      </w:r>
      <w:r w:rsidR="00730F5E">
        <w:rPr>
          <w:bCs/>
          <w:sz w:val="24"/>
        </w:rPr>
        <w:t>1</w:t>
      </w:r>
      <w:r w:rsidR="003574EC">
        <w:rPr>
          <w:rFonts w:hint="eastAsia"/>
          <w:bCs/>
          <w:sz w:val="24"/>
        </w:rPr>
        <w:t>、认购：指在基金募集期内，投资人根据基金合同和招募说明书的规定申请购买基金份额的行为</w:t>
      </w:r>
    </w:p>
    <w:p w14:paraId="47885133" w14:textId="1113DD65" w:rsidR="0004536B" w:rsidRDefault="003574EC">
      <w:pPr>
        <w:adjustRightInd w:val="0"/>
        <w:snapToGrid w:val="0"/>
        <w:spacing w:line="360" w:lineRule="auto"/>
        <w:ind w:firstLineChars="200" w:firstLine="480"/>
        <w:rPr>
          <w:bCs/>
          <w:sz w:val="24"/>
        </w:rPr>
      </w:pPr>
      <w:r>
        <w:rPr>
          <w:bCs/>
          <w:sz w:val="24"/>
        </w:rPr>
        <w:t>4</w:t>
      </w:r>
      <w:r w:rsidR="00730F5E">
        <w:rPr>
          <w:bCs/>
          <w:sz w:val="24"/>
        </w:rPr>
        <w:t>2</w:t>
      </w:r>
      <w:r>
        <w:rPr>
          <w:rFonts w:hint="eastAsia"/>
          <w:bCs/>
          <w:sz w:val="24"/>
        </w:rPr>
        <w:t>、申购：指基金合同生效后</w:t>
      </w:r>
      <w:r w:rsidR="00562781">
        <w:rPr>
          <w:rFonts w:hint="eastAsia"/>
          <w:bCs/>
          <w:sz w:val="24"/>
        </w:rPr>
        <w:t>的开放期内</w:t>
      </w:r>
      <w:r>
        <w:rPr>
          <w:rFonts w:hint="eastAsia"/>
          <w:bCs/>
          <w:sz w:val="24"/>
        </w:rPr>
        <w:t>，投资人根据基金合同和招募说明书的规定申请购买基金份额的行为</w:t>
      </w:r>
    </w:p>
    <w:p w14:paraId="539FFC39" w14:textId="42212443" w:rsidR="0004536B" w:rsidRDefault="003574EC">
      <w:pPr>
        <w:adjustRightInd w:val="0"/>
        <w:snapToGrid w:val="0"/>
        <w:spacing w:line="360" w:lineRule="auto"/>
        <w:ind w:firstLineChars="200" w:firstLine="480"/>
        <w:rPr>
          <w:bCs/>
          <w:sz w:val="24"/>
        </w:rPr>
      </w:pPr>
      <w:r>
        <w:rPr>
          <w:bCs/>
          <w:sz w:val="24"/>
        </w:rPr>
        <w:t>4</w:t>
      </w:r>
      <w:r w:rsidR="00730F5E">
        <w:rPr>
          <w:bCs/>
          <w:sz w:val="24"/>
        </w:rPr>
        <w:t>3</w:t>
      </w:r>
      <w:r>
        <w:rPr>
          <w:rFonts w:hint="eastAsia"/>
          <w:bCs/>
          <w:sz w:val="24"/>
        </w:rPr>
        <w:t>、赎回：指基金合同生效</w:t>
      </w:r>
      <w:r w:rsidR="006C09C4">
        <w:rPr>
          <w:rFonts w:hint="eastAsia"/>
          <w:bCs/>
          <w:sz w:val="24"/>
        </w:rPr>
        <w:t>后</w:t>
      </w:r>
      <w:r w:rsidR="00562781">
        <w:rPr>
          <w:rFonts w:hint="eastAsia"/>
          <w:bCs/>
          <w:sz w:val="24"/>
        </w:rPr>
        <w:t>的开放期内</w:t>
      </w:r>
      <w:r>
        <w:rPr>
          <w:rFonts w:hint="eastAsia"/>
          <w:bCs/>
          <w:sz w:val="24"/>
        </w:rPr>
        <w:t>，基金份额持有人按基金合同和招募说明书规定的条件要求将基金份额兑换为现金的行为</w:t>
      </w:r>
    </w:p>
    <w:p w14:paraId="3B9C09B9" w14:textId="0C78FD81" w:rsidR="0004536B" w:rsidRDefault="003574EC">
      <w:pPr>
        <w:adjustRightInd w:val="0"/>
        <w:snapToGrid w:val="0"/>
        <w:spacing w:line="360" w:lineRule="auto"/>
        <w:ind w:firstLineChars="200" w:firstLine="480"/>
        <w:rPr>
          <w:bCs/>
          <w:sz w:val="24"/>
        </w:rPr>
      </w:pPr>
      <w:r>
        <w:rPr>
          <w:bCs/>
          <w:sz w:val="24"/>
        </w:rPr>
        <w:t>4</w:t>
      </w:r>
      <w:r w:rsidR="00730F5E">
        <w:rPr>
          <w:bCs/>
          <w:sz w:val="24"/>
        </w:rPr>
        <w:t>4</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6C2DD113" w14:textId="18A1E534" w:rsidR="0004536B" w:rsidRDefault="003574EC">
      <w:pPr>
        <w:adjustRightInd w:val="0"/>
        <w:snapToGrid w:val="0"/>
        <w:spacing w:line="360" w:lineRule="auto"/>
        <w:ind w:firstLineChars="200" w:firstLine="480"/>
        <w:rPr>
          <w:bCs/>
          <w:sz w:val="24"/>
        </w:rPr>
      </w:pPr>
      <w:r>
        <w:rPr>
          <w:bCs/>
          <w:sz w:val="24"/>
        </w:rPr>
        <w:t>4</w:t>
      </w:r>
      <w:r w:rsidR="00730F5E">
        <w:rPr>
          <w:bCs/>
          <w:sz w:val="24"/>
        </w:rPr>
        <w:t>5</w:t>
      </w:r>
      <w:r>
        <w:rPr>
          <w:rFonts w:hint="eastAsia"/>
          <w:bCs/>
          <w:sz w:val="24"/>
        </w:rPr>
        <w:t>、转托管：指基金份额持有人在本基金的不同销售机构之间实施的变更所持基金份额销售机构的操作</w:t>
      </w:r>
    </w:p>
    <w:p w14:paraId="34BAC20F" w14:textId="15E2BD3B" w:rsidR="0004536B" w:rsidRDefault="003574EC">
      <w:pPr>
        <w:adjustRightInd w:val="0"/>
        <w:snapToGrid w:val="0"/>
        <w:spacing w:line="360" w:lineRule="auto"/>
        <w:ind w:firstLineChars="200" w:firstLine="480"/>
        <w:rPr>
          <w:bCs/>
          <w:sz w:val="24"/>
        </w:rPr>
      </w:pPr>
      <w:r>
        <w:rPr>
          <w:bCs/>
          <w:sz w:val="24"/>
        </w:rPr>
        <w:t>4</w:t>
      </w:r>
      <w:r w:rsidR="00730F5E">
        <w:rPr>
          <w:bCs/>
          <w:sz w:val="24"/>
        </w:rPr>
        <w:t>6</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BB39289" w14:textId="368242E5" w:rsidR="0004536B" w:rsidRDefault="003574EC">
      <w:pPr>
        <w:adjustRightInd w:val="0"/>
        <w:snapToGrid w:val="0"/>
        <w:spacing w:line="360" w:lineRule="auto"/>
        <w:ind w:firstLineChars="200" w:firstLine="480"/>
        <w:rPr>
          <w:bCs/>
          <w:sz w:val="24"/>
        </w:rPr>
      </w:pPr>
      <w:r>
        <w:rPr>
          <w:bCs/>
          <w:sz w:val="24"/>
        </w:rPr>
        <w:t>4</w:t>
      </w:r>
      <w:r w:rsidR="00730F5E">
        <w:rPr>
          <w:bCs/>
          <w:sz w:val="24"/>
        </w:rPr>
        <w:t>7</w:t>
      </w:r>
      <w:r>
        <w:rPr>
          <w:rFonts w:hint="eastAsia"/>
          <w:bCs/>
          <w:sz w:val="24"/>
        </w:rPr>
        <w:t>、巨额赎回：指本基金</w:t>
      </w:r>
      <w:r w:rsidR="00562781">
        <w:rPr>
          <w:rFonts w:hint="eastAsia"/>
          <w:bCs/>
          <w:sz w:val="24"/>
        </w:rPr>
        <w:t>开放期内</w:t>
      </w:r>
      <w:r>
        <w:rPr>
          <w:rFonts w:hint="eastAsia"/>
          <w:bCs/>
          <w:sz w:val="24"/>
        </w:rPr>
        <w:t>单个开放日，基金净赎回申请（赎回申请份额总数加上基金转换中转出申请份额总数后扣除申购申请份额总数及基金转换中转入申请份额总数后的余额）超过上一</w:t>
      </w:r>
      <w:r w:rsidR="00562781">
        <w:rPr>
          <w:rFonts w:hint="eastAsia"/>
          <w:bCs/>
          <w:sz w:val="24"/>
        </w:rPr>
        <w:t>工作</w:t>
      </w:r>
      <w:r>
        <w:rPr>
          <w:rFonts w:hint="eastAsia"/>
          <w:bCs/>
          <w:sz w:val="24"/>
        </w:rPr>
        <w:t>日基金总份额的</w:t>
      </w:r>
      <w:r w:rsidR="00562781">
        <w:rPr>
          <w:rFonts w:hint="eastAsia"/>
          <w:bCs/>
          <w:sz w:val="24"/>
        </w:rPr>
        <w:t>2</w:t>
      </w:r>
      <w:r>
        <w:rPr>
          <w:rFonts w:hint="eastAsia"/>
          <w:bCs/>
          <w:sz w:val="24"/>
        </w:rPr>
        <w:t>0%</w:t>
      </w:r>
      <w:r>
        <w:rPr>
          <w:rFonts w:hint="eastAsia"/>
          <w:bCs/>
          <w:sz w:val="24"/>
        </w:rPr>
        <w:t>的情形</w:t>
      </w:r>
    </w:p>
    <w:p w14:paraId="330990D9" w14:textId="3E4D2974" w:rsidR="0004536B" w:rsidRDefault="003574EC">
      <w:pPr>
        <w:adjustRightInd w:val="0"/>
        <w:snapToGrid w:val="0"/>
        <w:spacing w:line="360" w:lineRule="auto"/>
        <w:ind w:firstLineChars="200" w:firstLine="480"/>
        <w:rPr>
          <w:bCs/>
          <w:sz w:val="24"/>
        </w:rPr>
      </w:pPr>
      <w:r>
        <w:rPr>
          <w:bCs/>
          <w:sz w:val="24"/>
        </w:rPr>
        <w:t>4</w:t>
      </w:r>
      <w:r w:rsidR="00730F5E">
        <w:rPr>
          <w:bCs/>
          <w:sz w:val="24"/>
        </w:rPr>
        <w:t>8</w:t>
      </w:r>
      <w:r>
        <w:rPr>
          <w:rFonts w:hint="eastAsia"/>
          <w:bCs/>
          <w:sz w:val="24"/>
        </w:rPr>
        <w:t>、元：指人民币元</w:t>
      </w:r>
    </w:p>
    <w:p w14:paraId="1106B112" w14:textId="313C0DF3" w:rsidR="0004536B" w:rsidRDefault="00730F5E">
      <w:pPr>
        <w:adjustRightInd w:val="0"/>
        <w:snapToGrid w:val="0"/>
        <w:spacing w:line="360" w:lineRule="auto"/>
        <w:ind w:firstLineChars="200" w:firstLine="480"/>
        <w:rPr>
          <w:bCs/>
          <w:sz w:val="24"/>
        </w:rPr>
      </w:pPr>
      <w:r>
        <w:rPr>
          <w:bCs/>
          <w:sz w:val="24"/>
        </w:rPr>
        <w:t>49</w:t>
      </w:r>
      <w:r w:rsidR="003574EC">
        <w:rPr>
          <w:rFonts w:hint="eastAsia"/>
          <w:bCs/>
          <w:sz w:val="24"/>
        </w:rPr>
        <w:t>、基金收益：指基金投资所得红利、股息、债券利息、买卖证券价差、银行存款利息、已实现的其他合法收入及因运用基金财产带来的成本和费用的节约</w:t>
      </w:r>
    </w:p>
    <w:p w14:paraId="48C3CA04" w14:textId="67EFEFB4" w:rsidR="0004536B" w:rsidRDefault="00562781">
      <w:pPr>
        <w:adjustRightInd w:val="0"/>
        <w:snapToGrid w:val="0"/>
        <w:spacing w:line="360" w:lineRule="auto"/>
        <w:ind w:firstLineChars="200" w:firstLine="480"/>
        <w:rPr>
          <w:bCs/>
          <w:sz w:val="24"/>
        </w:rPr>
      </w:pPr>
      <w:r>
        <w:rPr>
          <w:bCs/>
          <w:sz w:val="24"/>
        </w:rPr>
        <w:t>5</w:t>
      </w:r>
      <w:r w:rsidR="00730F5E">
        <w:rPr>
          <w:bCs/>
          <w:sz w:val="24"/>
        </w:rPr>
        <w:t>0</w:t>
      </w:r>
      <w:r w:rsidR="003574EC">
        <w:rPr>
          <w:rFonts w:hint="eastAsia"/>
          <w:bCs/>
          <w:sz w:val="24"/>
        </w:rPr>
        <w:t>、基金资产总值：指基金拥有的各类有价证券、股指期货合约、银行存款本息、基金应收款项及其他资产的价值总和</w:t>
      </w:r>
    </w:p>
    <w:p w14:paraId="1A29EA6D" w14:textId="7ACBB0B7" w:rsidR="0004536B" w:rsidRDefault="00562781">
      <w:pPr>
        <w:adjustRightInd w:val="0"/>
        <w:snapToGrid w:val="0"/>
        <w:spacing w:line="360" w:lineRule="auto"/>
        <w:ind w:firstLineChars="200" w:firstLine="480"/>
        <w:rPr>
          <w:bCs/>
          <w:sz w:val="24"/>
        </w:rPr>
      </w:pPr>
      <w:r>
        <w:rPr>
          <w:bCs/>
          <w:sz w:val="24"/>
        </w:rPr>
        <w:lastRenderedPageBreak/>
        <w:t>5</w:t>
      </w:r>
      <w:r w:rsidR="00730F5E">
        <w:rPr>
          <w:bCs/>
          <w:sz w:val="24"/>
        </w:rPr>
        <w:t>1</w:t>
      </w:r>
      <w:r w:rsidR="003574EC">
        <w:rPr>
          <w:rFonts w:hint="eastAsia"/>
          <w:bCs/>
          <w:sz w:val="24"/>
        </w:rPr>
        <w:t>、基金资产净值：指基金资产总值减去基金负债后的价值</w:t>
      </w:r>
    </w:p>
    <w:p w14:paraId="55130B72" w14:textId="734764FF" w:rsidR="0004536B" w:rsidRDefault="003574EC">
      <w:pPr>
        <w:adjustRightInd w:val="0"/>
        <w:snapToGrid w:val="0"/>
        <w:spacing w:line="360" w:lineRule="auto"/>
        <w:ind w:firstLineChars="200" w:firstLine="480"/>
        <w:rPr>
          <w:bCs/>
          <w:sz w:val="24"/>
        </w:rPr>
      </w:pPr>
      <w:r>
        <w:rPr>
          <w:bCs/>
          <w:sz w:val="24"/>
        </w:rPr>
        <w:t>5</w:t>
      </w:r>
      <w:r w:rsidR="00730F5E">
        <w:rPr>
          <w:bCs/>
          <w:sz w:val="24"/>
        </w:rPr>
        <w:t>2</w:t>
      </w:r>
      <w:r>
        <w:rPr>
          <w:rFonts w:hint="eastAsia"/>
          <w:bCs/>
          <w:sz w:val="24"/>
        </w:rPr>
        <w:t>、基金份额净值：指计算日基金资产净值除以计算日基金份额总数</w:t>
      </w:r>
    </w:p>
    <w:p w14:paraId="56AB08ED" w14:textId="14FA890B" w:rsidR="0004536B" w:rsidRDefault="003574EC">
      <w:pPr>
        <w:adjustRightInd w:val="0"/>
        <w:snapToGrid w:val="0"/>
        <w:spacing w:line="360" w:lineRule="auto"/>
        <w:ind w:firstLineChars="200" w:firstLine="480"/>
        <w:rPr>
          <w:bCs/>
          <w:sz w:val="24"/>
        </w:rPr>
      </w:pPr>
      <w:r>
        <w:rPr>
          <w:bCs/>
          <w:sz w:val="24"/>
        </w:rPr>
        <w:t>5</w:t>
      </w:r>
      <w:r w:rsidR="00730F5E">
        <w:rPr>
          <w:bCs/>
          <w:sz w:val="24"/>
        </w:rPr>
        <w:t>3</w:t>
      </w:r>
      <w:r>
        <w:rPr>
          <w:rFonts w:hint="eastAsia"/>
          <w:bCs/>
          <w:sz w:val="24"/>
        </w:rPr>
        <w:t>、基金资产估值：指计算评估基金资产和负债的价值，以确定基金资产净值和基金份额净值的过程</w:t>
      </w:r>
    </w:p>
    <w:p w14:paraId="7A82573E" w14:textId="6A682EF4" w:rsidR="0004536B" w:rsidRDefault="003574EC">
      <w:pPr>
        <w:adjustRightInd w:val="0"/>
        <w:snapToGrid w:val="0"/>
        <w:spacing w:line="360" w:lineRule="auto"/>
        <w:ind w:firstLineChars="200" w:firstLine="480"/>
        <w:rPr>
          <w:bCs/>
          <w:sz w:val="24"/>
        </w:rPr>
      </w:pPr>
      <w:r>
        <w:rPr>
          <w:bCs/>
          <w:sz w:val="24"/>
        </w:rPr>
        <w:t>5</w:t>
      </w:r>
      <w:r w:rsidR="00730F5E">
        <w:rPr>
          <w:bCs/>
          <w:sz w:val="24"/>
        </w:rPr>
        <w:t>4</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2E3E97A3" w14:textId="565C5E09" w:rsidR="0004536B" w:rsidRDefault="00730F5E" w:rsidP="00970A2C">
      <w:pPr>
        <w:adjustRightInd w:val="0"/>
        <w:snapToGrid w:val="0"/>
        <w:spacing w:line="360" w:lineRule="auto"/>
        <w:ind w:firstLineChars="200" w:firstLine="480"/>
        <w:rPr>
          <w:bCs/>
          <w:sz w:val="24"/>
        </w:rPr>
      </w:pPr>
      <w:r>
        <w:rPr>
          <w:bCs/>
          <w:sz w:val="24"/>
        </w:rPr>
        <w:t>55</w:t>
      </w:r>
      <w:r w:rsidR="003574EC">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324C0DAD" w14:textId="30906087" w:rsidR="0004536B" w:rsidRDefault="00730F5E">
      <w:pPr>
        <w:adjustRightInd w:val="0"/>
        <w:snapToGrid w:val="0"/>
        <w:spacing w:line="360" w:lineRule="auto"/>
        <w:ind w:firstLineChars="200" w:firstLine="480"/>
        <w:rPr>
          <w:bCs/>
          <w:sz w:val="24"/>
        </w:rPr>
      </w:pPr>
      <w:r>
        <w:rPr>
          <w:bCs/>
          <w:sz w:val="24"/>
        </w:rPr>
        <w:t>56</w:t>
      </w:r>
      <w:r w:rsidR="003574EC">
        <w:rPr>
          <w:rFonts w:hint="eastAsia"/>
          <w:bCs/>
          <w:sz w:val="24"/>
        </w:rPr>
        <w:t>、流动性受限资产：指由于法律法规、监管、合同或操作障碍等原因无法以合理价格予以变现的资产，包括但不限于到期日在</w:t>
      </w:r>
      <w:r w:rsidR="003574EC">
        <w:rPr>
          <w:rFonts w:hint="eastAsia"/>
          <w:bCs/>
          <w:sz w:val="24"/>
        </w:rPr>
        <w:t>10</w:t>
      </w:r>
      <w:r w:rsidR="003574E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AB567F0" w14:textId="2DD3EC0B" w:rsidR="0004536B" w:rsidRDefault="00730F5E">
      <w:pPr>
        <w:adjustRightInd w:val="0"/>
        <w:snapToGrid w:val="0"/>
        <w:spacing w:line="360" w:lineRule="auto"/>
        <w:ind w:firstLineChars="200" w:firstLine="480"/>
        <w:rPr>
          <w:bCs/>
          <w:sz w:val="24"/>
        </w:rPr>
      </w:pPr>
      <w:r>
        <w:rPr>
          <w:bCs/>
          <w:sz w:val="24"/>
        </w:rPr>
        <w:t>57</w:t>
      </w:r>
      <w:r w:rsidR="003574E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C611D9C" w14:textId="36132309" w:rsidR="0004536B" w:rsidRDefault="00730F5E">
      <w:pPr>
        <w:adjustRightInd w:val="0"/>
        <w:snapToGrid w:val="0"/>
        <w:spacing w:line="360" w:lineRule="auto"/>
        <w:ind w:firstLineChars="200" w:firstLine="480"/>
        <w:rPr>
          <w:bCs/>
          <w:sz w:val="24"/>
        </w:rPr>
      </w:pPr>
      <w:r>
        <w:rPr>
          <w:bCs/>
          <w:sz w:val="24"/>
        </w:rPr>
        <w:t>58</w:t>
      </w:r>
      <w:r w:rsidR="003574EC">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4B99EBA" w14:textId="3BBA9C17" w:rsidR="0004536B" w:rsidRDefault="00730F5E">
      <w:pPr>
        <w:adjustRightInd w:val="0"/>
        <w:snapToGrid w:val="0"/>
        <w:spacing w:line="360" w:lineRule="auto"/>
        <w:ind w:firstLineChars="200" w:firstLine="480"/>
        <w:rPr>
          <w:bCs/>
          <w:sz w:val="24"/>
        </w:rPr>
      </w:pPr>
      <w:r>
        <w:rPr>
          <w:bCs/>
          <w:sz w:val="24"/>
        </w:rPr>
        <w:t>59</w:t>
      </w:r>
      <w:r w:rsidR="003574EC">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00AE9C2" w14:textId="66E4CB45" w:rsidR="0004536B" w:rsidRDefault="00730F5E">
      <w:pPr>
        <w:adjustRightInd w:val="0"/>
        <w:snapToGrid w:val="0"/>
        <w:spacing w:line="360" w:lineRule="auto"/>
        <w:ind w:firstLineChars="200" w:firstLine="480"/>
        <w:rPr>
          <w:rFonts w:ascii="宋体" w:hAnsi="宋体"/>
          <w:sz w:val="24"/>
        </w:rPr>
      </w:pPr>
      <w:r>
        <w:rPr>
          <w:bCs/>
          <w:sz w:val="24"/>
        </w:rPr>
        <w:t>60</w:t>
      </w:r>
      <w:r w:rsidR="003574EC">
        <w:rPr>
          <w:rFonts w:hint="eastAsia"/>
          <w:bCs/>
          <w:sz w:val="24"/>
        </w:rPr>
        <w:t>、不可抗力：指基金合同当事人不能预见、不能避免且不能克服的客观事件</w:t>
      </w:r>
      <w:bookmarkEnd w:id="4"/>
    </w:p>
    <w:p w14:paraId="1DB6AD6B" w14:textId="77777777" w:rsidR="0004536B" w:rsidRDefault="003574EC">
      <w:pPr>
        <w:spacing w:line="360" w:lineRule="auto"/>
        <w:jc w:val="center"/>
        <w:outlineLvl w:val="0"/>
        <w:rPr>
          <w:rFonts w:ascii="宋体" w:hAnsi="宋体"/>
          <w:b/>
          <w:kern w:val="0"/>
          <w:sz w:val="30"/>
        </w:rPr>
      </w:pPr>
      <w:bookmarkStart w:id="5" w:name="_Hlt81034163"/>
      <w:bookmarkStart w:id="6" w:name="_Hlt80961854"/>
      <w:bookmarkStart w:id="7" w:name="_Toc109537381"/>
      <w:bookmarkEnd w:id="5"/>
      <w:bookmarkEnd w:id="6"/>
      <w:r>
        <w:rPr>
          <w:rFonts w:ascii="宋体" w:hAnsi="宋体"/>
          <w:b/>
          <w:kern w:val="0"/>
          <w:sz w:val="30"/>
        </w:rPr>
        <w:br w:type="page"/>
      </w:r>
      <w:bookmarkStart w:id="8" w:name="_Toc139631551"/>
      <w:r>
        <w:rPr>
          <w:rFonts w:ascii="宋体" w:hAnsi="宋体" w:hint="eastAsia"/>
          <w:b/>
          <w:kern w:val="0"/>
          <w:sz w:val="30"/>
        </w:rPr>
        <w:lastRenderedPageBreak/>
        <w:t>三、基金管理人</w:t>
      </w:r>
      <w:bookmarkEnd w:id="7"/>
      <w:bookmarkEnd w:id="8"/>
    </w:p>
    <w:p w14:paraId="0427919B"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（一）基金管理人概况</w:t>
      </w:r>
    </w:p>
    <w:p w14:paraId="7D098F77"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2D1D638"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14:paraId="77140446"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r>
        <w:rPr>
          <w:rFonts w:ascii="宋体" w:hAnsi="宋体" w:cs="宋体"/>
          <w:kern w:val="0"/>
          <w:sz w:val="24"/>
        </w:rPr>
        <w:t>新区</w:t>
      </w:r>
      <w:r>
        <w:rPr>
          <w:rFonts w:ascii="宋体" w:hAnsi="宋体" w:cs="宋体" w:hint="eastAsia"/>
          <w:kern w:val="0"/>
          <w:sz w:val="24"/>
        </w:rPr>
        <w:t>世纪大道8号国金中心二期21-22楼</w:t>
      </w:r>
    </w:p>
    <w:p w14:paraId="55F4DADA" w14:textId="77777777" w:rsidR="0004536B" w:rsidRDefault="003574EC">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D7CCCEA"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bookmarkStart w:id="9" w:name="_GoBack"/>
      <w:bookmarkEnd w:id="9"/>
    </w:p>
    <w:p w14:paraId="27CE002E"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4E9B004"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41251FC"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存续期间：持续经营</w:t>
      </w:r>
    </w:p>
    <w:p w14:paraId="3DE003CB"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55FE5504"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1910653B"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50835B1"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04536B" w14:paraId="39716E52" w14:textId="77777777">
        <w:trPr>
          <w:trHeight w:val="402"/>
        </w:trPr>
        <w:tc>
          <w:tcPr>
            <w:tcW w:w="5400" w:type="dxa"/>
          </w:tcPr>
          <w:p w14:paraId="4700960D" w14:textId="77777777" w:rsidR="0004536B" w:rsidRDefault="003574EC">
            <w:pPr>
              <w:widowControl/>
              <w:jc w:val="center"/>
              <w:rPr>
                <w:kern w:val="0"/>
                <w:sz w:val="24"/>
              </w:rPr>
            </w:pPr>
            <w:r>
              <w:rPr>
                <w:rFonts w:hAnsi="宋体"/>
                <w:kern w:val="0"/>
                <w:sz w:val="24"/>
              </w:rPr>
              <w:t>股东名称</w:t>
            </w:r>
          </w:p>
        </w:tc>
        <w:tc>
          <w:tcPr>
            <w:tcW w:w="3060" w:type="dxa"/>
          </w:tcPr>
          <w:p w14:paraId="7C8946E3" w14:textId="77777777" w:rsidR="0004536B" w:rsidRDefault="003574EC">
            <w:pPr>
              <w:widowControl/>
              <w:jc w:val="center"/>
              <w:rPr>
                <w:kern w:val="0"/>
                <w:sz w:val="24"/>
              </w:rPr>
            </w:pPr>
            <w:r>
              <w:rPr>
                <w:rFonts w:hAnsi="宋体"/>
                <w:kern w:val="0"/>
                <w:sz w:val="24"/>
              </w:rPr>
              <w:t>股权比例</w:t>
            </w:r>
          </w:p>
        </w:tc>
      </w:tr>
      <w:tr w:rsidR="0004536B" w14:paraId="4CE74F12" w14:textId="77777777">
        <w:trPr>
          <w:trHeight w:val="950"/>
        </w:trPr>
        <w:tc>
          <w:tcPr>
            <w:tcW w:w="5400" w:type="dxa"/>
          </w:tcPr>
          <w:p w14:paraId="4FA2235E" w14:textId="77777777" w:rsidR="0004536B" w:rsidRDefault="003574E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A33B65A" w14:textId="77777777" w:rsidR="0004536B" w:rsidRDefault="003574EC">
            <w:pPr>
              <w:widowControl/>
              <w:jc w:val="center"/>
              <w:rPr>
                <w:kern w:val="0"/>
                <w:sz w:val="24"/>
              </w:rPr>
            </w:pPr>
            <w:r>
              <w:rPr>
                <w:kern w:val="0"/>
                <w:sz w:val="24"/>
              </w:rPr>
              <w:t>65%</w:t>
            </w:r>
          </w:p>
        </w:tc>
      </w:tr>
      <w:tr w:rsidR="0004536B" w14:paraId="319BE4E5" w14:textId="77777777">
        <w:tc>
          <w:tcPr>
            <w:tcW w:w="5400" w:type="dxa"/>
          </w:tcPr>
          <w:p w14:paraId="60D13E1A" w14:textId="77777777" w:rsidR="0004536B" w:rsidRDefault="003574EC">
            <w:pPr>
              <w:widowControl/>
              <w:rPr>
                <w:kern w:val="0"/>
                <w:sz w:val="24"/>
              </w:rPr>
            </w:pPr>
            <w:r>
              <w:rPr>
                <w:rFonts w:hAnsi="宋体"/>
                <w:kern w:val="0"/>
                <w:sz w:val="24"/>
              </w:rPr>
              <w:t>施罗德投资管理有限公司</w:t>
            </w:r>
          </w:p>
        </w:tc>
        <w:tc>
          <w:tcPr>
            <w:tcW w:w="3060" w:type="dxa"/>
            <w:vAlign w:val="center"/>
          </w:tcPr>
          <w:p w14:paraId="5648601C" w14:textId="77777777" w:rsidR="0004536B" w:rsidRDefault="003574EC">
            <w:pPr>
              <w:widowControl/>
              <w:jc w:val="center"/>
              <w:rPr>
                <w:kern w:val="0"/>
                <w:sz w:val="24"/>
              </w:rPr>
            </w:pPr>
            <w:r>
              <w:rPr>
                <w:kern w:val="0"/>
                <w:sz w:val="24"/>
              </w:rPr>
              <w:t>30%</w:t>
            </w:r>
          </w:p>
        </w:tc>
      </w:tr>
      <w:tr w:rsidR="0004536B" w14:paraId="0FC26C66" w14:textId="77777777">
        <w:trPr>
          <w:trHeight w:val="58"/>
        </w:trPr>
        <w:tc>
          <w:tcPr>
            <w:tcW w:w="5400" w:type="dxa"/>
          </w:tcPr>
          <w:p w14:paraId="44A8ED0C" w14:textId="77777777" w:rsidR="0004536B" w:rsidRDefault="003574EC">
            <w:pPr>
              <w:widowControl/>
              <w:rPr>
                <w:kern w:val="0"/>
                <w:sz w:val="24"/>
              </w:rPr>
            </w:pPr>
            <w:r>
              <w:rPr>
                <w:rFonts w:hAnsi="宋体"/>
                <w:kern w:val="0"/>
                <w:sz w:val="24"/>
              </w:rPr>
              <w:t>中国国际海运集装箱（集团）股份有限公司</w:t>
            </w:r>
          </w:p>
        </w:tc>
        <w:tc>
          <w:tcPr>
            <w:tcW w:w="3060" w:type="dxa"/>
            <w:vAlign w:val="center"/>
          </w:tcPr>
          <w:p w14:paraId="1F9AC69E" w14:textId="77777777" w:rsidR="0004536B" w:rsidRDefault="003574EC">
            <w:pPr>
              <w:widowControl/>
              <w:jc w:val="center"/>
              <w:rPr>
                <w:kern w:val="0"/>
                <w:sz w:val="24"/>
              </w:rPr>
            </w:pPr>
            <w:r>
              <w:rPr>
                <w:kern w:val="0"/>
                <w:sz w:val="24"/>
              </w:rPr>
              <w:t>5%</w:t>
            </w:r>
          </w:p>
        </w:tc>
      </w:tr>
    </w:tbl>
    <w:p w14:paraId="30C54618" w14:textId="77777777" w:rsidR="0004536B" w:rsidRDefault="0004536B">
      <w:pPr>
        <w:adjustRightInd w:val="0"/>
        <w:snapToGrid w:val="0"/>
        <w:spacing w:line="360" w:lineRule="auto"/>
        <w:ind w:firstLineChars="200" w:firstLine="480"/>
        <w:rPr>
          <w:rFonts w:hAnsi="宋体"/>
          <w:kern w:val="0"/>
          <w:sz w:val="24"/>
        </w:rPr>
      </w:pPr>
    </w:p>
    <w:p w14:paraId="1B1ED3AC"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（二）主要成员情况</w:t>
      </w:r>
    </w:p>
    <w:p w14:paraId="4E3444F8"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1</w:t>
      </w:r>
      <w:r w:rsidRPr="00377B45">
        <w:rPr>
          <w:rFonts w:hAnsi="宋体" w:hint="eastAsia"/>
          <w:kern w:val="0"/>
          <w:sz w:val="24"/>
        </w:rPr>
        <w:t>、基金管理人董事会成员</w:t>
      </w:r>
    </w:p>
    <w:p w14:paraId="4646CF89"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59494C3"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lastRenderedPageBreak/>
        <w:t>童洁萍女士，董事，硕士。现任交通银行总行个人金融业务部副总经理。历任交通银行南京分行个人金融业务部副高级经理、江苏省分行个人金融业务部副总经理、总经理、玄武支行行长。</w:t>
      </w:r>
    </w:p>
    <w:p w14:paraId="501BB616" w14:textId="38239C68"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王贤家先生，董事，学士。现任交通银行总行风险管理部</w:t>
      </w:r>
      <w:r w:rsidRPr="00377B45">
        <w:rPr>
          <w:rFonts w:hAnsi="宋体" w:hint="eastAsia"/>
          <w:kern w:val="0"/>
          <w:sz w:val="24"/>
        </w:rPr>
        <w:t>/</w:t>
      </w:r>
      <w:r w:rsidRPr="00377B45">
        <w:rPr>
          <w:rFonts w:hAnsi="宋体" w:hint="eastAsia"/>
          <w:kern w:val="0"/>
          <w:sz w:val="24"/>
        </w:rPr>
        <w:t>内控案防办副总经理。历任交通银行总行国际业务部外汇资金处交易员、澳门分行资金部主管、总行金融市场部债券投资部副高级经理、外汇交易部高级经理。</w:t>
      </w:r>
    </w:p>
    <w:p w14:paraId="52253B24"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谢卫先生，董事，总经理，博士，高级经济师，第十、十一、十二届民盟中央委员、第十一、十二、十三届全国政协委员。现任交银施罗德基金管理有限公司总经理，兼任交银施罗德资产管理</w:t>
      </w:r>
      <w:r w:rsidRPr="00377B45">
        <w:rPr>
          <w:rFonts w:hAnsi="宋体" w:hint="eastAsia"/>
          <w:kern w:val="0"/>
          <w:sz w:val="24"/>
        </w:rPr>
        <w:t>(</w:t>
      </w:r>
      <w:r w:rsidRPr="00377B45">
        <w:rPr>
          <w:rFonts w:hAnsi="宋体" w:hint="eastAsia"/>
          <w:kern w:val="0"/>
          <w:sz w:val="24"/>
        </w:rPr>
        <w:t>香港</w:t>
      </w:r>
      <w:r w:rsidRPr="00377B45">
        <w:rPr>
          <w:rFonts w:hAnsi="宋体" w:hint="eastAsia"/>
          <w:kern w:val="0"/>
          <w:sz w:val="24"/>
        </w:rPr>
        <w:t>)</w:t>
      </w:r>
      <w:r w:rsidRPr="00377B45">
        <w:rPr>
          <w:rFonts w:hAnsi="宋体" w:hint="eastAsia"/>
          <w:kern w:val="0"/>
          <w:sz w:val="24"/>
        </w:rPr>
        <w:t>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95AA30D"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杜伟麒（</w:t>
      </w:r>
      <w:r w:rsidRPr="00377B45">
        <w:rPr>
          <w:rFonts w:hAnsi="宋体" w:hint="eastAsia"/>
          <w:kern w:val="0"/>
          <w:sz w:val="24"/>
        </w:rPr>
        <w:t>Chris Durack</w:t>
      </w:r>
      <w:r w:rsidRPr="00377B45">
        <w:rPr>
          <w:rFonts w:hAnsi="宋体" w:hint="eastAsia"/>
          <w:kern w:val="0"/>
          <w:sz w:val="24"/>
        </w:rPr>
        <w:t>）先生，董事，硕士。现任施罗德投资亚太区行政总裁。历任施罗德投资澳大利亚董事兼产品及分销主管、香港行政总裁兼亚太区机构业务主管、澳大利亚行政总裁兼亚太区联席主管等职。</w:t>
      </w:r>
    </w:p>
    <w:p w14:paraId="252E14CC"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章骏翔先生，副董事长，硕士，美国特许金融分析师</w:t>
      </w:r>
      <w:r w:rsidRPr="00377B45">
        <w:rPr>
          <w:rFonts w:hAnsi="宋体" w:hint="eastAsia"/>
          <w:kern w:val="0"/>
          <w:sz w:val="24"/>
        </w:rPr>
        <w:t>(CFA)</w:t>
      </w:r>
      <w:r w:rsidRPr="00377B45">
        <w:rPr>
          <w:rFonts w:hAnsi="宋体" w:hint="eastAsia"/>
          <w:kern w:val="0"/>
          <w:sz w:val="24"/>
        </w:rPr>
        <w:t>持证人。现任施罗德投资管理</w:t>
      </w:r>
      <w:r w:rsidRPr="00377B45">
        <w:rPr>
          <w:rFonts w:hAnsi="宋体" w:hint="eastAsia"/>
          <w:kern w:val="0"/>
          <w:sz w:val="24"/>
        </w:rPr>
        <w:t>(</w:t>
      </w:r>
      <w:r w:rsidRPr="00377B45">
        <w:rPr>
          <w:rFonts w:hAnsi="宋体" w:hint="eastAsia"/>
          <w:kern w:val="0"/>
          <w:sz w:val="24"/>
        </w:rPr>
        <w:t>香港</w:t>
      </w:r>
      <w:r w:rsidRPr="00377B45">
        <w:rPr>
          <w:rFonts w:hAnsi="宋体" w:hint="eastAsia"/>
          <w:kern w:val="0"/>
          <w:sz w:val="24"/>
        </w:rPr>
        <w:t>)</w:t>
      </w:r>
      <w:r w:rsidRPr="00377B45">
        <w:rPr>
          <w:rFonts w:hAnsi="宋体" w:hint="eastAsia"/>
          <w:kern w:val="0"/>
          <w:sz w:val="24"/>
        </w:rPr>
        <w:t>有限公司亚洲投资风险主管。历任渣打银行（香港）交易风险监控，华宝兴业基金管理有限公司风险管理部总经理，法国安盛投资管理（香港）有限公司亚洲风险经理等职。</w:t>
      </w:r>
    </w:p>
    <w:p w14:paraId="73E09F50"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0B4CABAA"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76245F1"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黎建强先生，独立董事，博士，教育部长江学者讲座教授。现任香港大学工业</w:t>
      </w:r>
      <w:r w:rsidRPr="00377B45">
        <w:rPr>
          <w:rFonts w:hAnsi="宋体" w:hint="eastAsia"/>
          <w:kern w:val="0"/>
          <w:sz w:val="24"/>
        </w:rPr>
        <w:lastRenderedPageBreak/>
        <w:t>工程系荣誉教授，亚洲风险及危机管理协会主席，兼任深交所上市的中联重科集团独立非执行董事。历任香港城市大学管理科学讲座教授，湖南省政协委员并兼任湖南大学工商管理学院院长。</w:t>
      </w:r>
    </w:p>
    <w:p w14:paraId="3021F655"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2</w:t>
      </w:r>
      <w:r w:rsidRPr="00377B45">
        <w:rPr>
          <w:rFonts w:hAnsi="宋体" w:hint="eastAsia"/>
          <w:kern w:val="0"/>
          <w:sz w:val="24"/>
        </w:rPr>
        <w:t>、基金管理人监事会成员</w:t>
      </w:r>
    </w:p>
    <w:p w14:paraId="21F3F52B"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271147BE"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林凯珊女士，监事，硕士。现任施罗德投资管理（香港）有限公司中国内地及中国香港法律部主管。历任香港证券及期货事务监察委员会发牌科经理、的近律师行律师。</w:t>
      </w:r>
    </w:p>
    <w:p w14:paraId="5CFA04AF"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E92A468" w14:textId="06ED89D9"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黄伟峰先生，监事，硕士。现任交银施罗德基金管理有限公司</w:t>
      </w:r>
      <w:r w:rsidR="00BE08E4" w:rsidRPr="00BE08E4">
        <w:rPr>
          <w:rFonts w:hAnsi="宋体" w:hint="eastAsia"/>
          <w:kern w:val="0"/>
          <w:sz w:val="24"/>
        </w:rPr>
        <w:t>高级专家、</w:t>
      </w:r>
      <w:r w:rsidRPr="00377B45">
        <w:rPr>
          <w:rFonts w:hAnsi="宋体" w:hint="eastAsia"/>
          <w:kern w:val="0"/>
          <w:sz w:val="24"/>
        </w:rPr>
        <w:t>市场总监。历任平安人寿保险公司上海分公司行政督导、营销管理经理，交银施罗德基金管理有限公司行政部总经理助理、西部营销中心总经理、机构理财部（上海）总经理兼产品开发部总经理。</w:t>
      </w:r>
    </w:p>
    <w:p w14:paraId="5ABA2D21"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3</w:t>
      </w:r>
      <w:r w:rsidRPr="00377B45">
        <w:rPr>
          <w:rFonts w:hAnsi="宋体" w:hint="eastAsia"/>
          <w:kern w:val="0"/>
          <w:sz w:val="24"/>
        </w:rPr>
        <w:t>、基金管理人高级管理人员</w:t>
      </w:r>
    </w:p>
    <w:p w14:paraId="336234DD"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谢卫先生，总经理。简历同上。</w:t>
      </w:r>
    </w:p>
    <w:p w14:paraId="5992CF03"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701C7FED" w14:textId="77777777" w:rsidR="00377B45" w:rsidRPr="00377B45" w:rsidRDefault="00377B45" w:rsidP="00377B45">
      <w:pPr>
        <w:pStyle w:val="a0"/>
        <w:autoSpaceDE w:val="0"/>
        <w:autoSpaceDN w:val="0"/>
        <w:adjustRightInd w:val="0"/>
        <w:snapToGrid w:val="0"/>
        <w:spacing w:line="360" w:lineRule="auto"/>
        <w:ind w:firstLine="480"/>
        <w:rPr>
          <w:rFonts w:hAnsi="宋体"/>
          <w:kern w:val="0"/>
          <w:sz w:val="24"/>
        </w:rPr>
      </w:pPr>
      <w:r w:rsidRPr="00377B45">
        <w:rPr>
          <w:rFonts w:hAnsi="宋体"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4654266D" w14:textId="18D47D4A" w:rsidR="0004536B" w:rsidRPr="00562781" w:rsidRDefault="00377B45">
      <w:pPr>
        <w:widowControl/>
        <w:adjustRightInd w:val="0"/>
        <w:snapToGrid w:val="0"/>
        <w:spacing w:line="360" w:lineRule="auto"/>
        <w:ind w:firstLineChars="200" w:firstLine="480"/>
        <w:rPr>
          <w:rFonts w:hAnsi="宋体"/>
          <w:kern w:val="0"/>
          <w:sz w:val="24"/>
        </w:rPr>
      </w:pPr>
      <w:r w:rsidRPr="00377B45">
        <w:rPr>
          <w:rFonts w:hAnsi="宋体"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2552F74B" w14:textId="77777777" w:rsidR="0004536B" w:rsidRPr="00562781" w:rsidRDefault="003574EC" w:rsidP="00562781">
      <w:pPr>
        <w:widowControl/>
        <w:adjustRightInd w:val="0"/>
        <w:snapToGrid w:val="0"/>
        <w:spacing w:line="360" w:lineRule="auto"/>
        <w:ind w:firstLineChars="200" w:firstLine="480"/>
        <w:rPr>
          <w:rFonts w:hAnsi="宋体"/>
          <w:kern w:val="0"/>
          <w:sz w:val="24"/>
        </w:rPr>
      </w:pPr>
      <w:r w:rsidRPr="00562781">
        <w:rPr>
          <w:rFonts w:hAnsi="宋体"/>
          <w:kern w:val="0"/>
          <w:sz w:val="24"/>
        </w:rPr>
        <w:t>4</w:t>
      </w:r>
      <w:r>
        <w:rPr>
          <w:rFonts w:hAnsi="宋体"/>
          <w:kern w:val="0"/>
          <w:sz w:val="24"/>
        </w:rPr>
        <w:t>、本基金基金经理</w:t>
      </w:r>
    </w:p>
    <w:p w14:paraId="7AE5CDF6" w14:textId="44D8E768" w:rsidR="0004536B" w:rsidRPr="009124EB" w:rsidRDefault="009124EB" w:rsidP="009124EB">
      <w:pPr>
        <w:autoSpaceDE w:val="0"/>
        <w:autoSpaceDN w:val="0"/>
        <w:adjustRightInd w:val="0"/>
        <w:snapToGrid w:val="0"/>
        <w:spacing w:line="360" w:lineRule="auto"/>
        <w:ind w:firstLineChars="200" w:firstLine="480"/>
        <w:jc w:val="left"/>
        <w:rPr>
          <w:rFonts w:hAnsi="宋体"/>
          <w:kern w:val="0"/>
          <w:sz w:val="24"/>
        </w:rPr>
      </w:pPr>
      <w:r>
        <w:rPr>
          <w:rFonts w:ascii="宋体" w:hAnsi="宋体"/>
          <w:sz w:val="24"/>
        </w:rPr>
        <w:t>杨金金先生:基金经理。复旦大学金融学硕士、华东理工大学材料工程学士，</w:t>
      </w:r>
      <w:r w:rsidR="007B1548">
        <w:rPr>
          <w:rFonts w:ascii="宋体" w:hAnsi="宋体"/>
          <w:sz w:val="24"/>
        </w:rPr>
        <w:t>9</w:t>
      </w:r>
      <w:r>
        <w:rPr>
          <w:rFonts w:ascii="宋体" w:hAnsi="宋体"/>
          <w:sz w:val="24"/>
        </w:rPr>
        <w:t>年证券投资行业从业经验。2014年至2015年任长江证券研究部高级分析师，2015年至2017年华泰柏瑞基金管理有限公司研究员。2017年加入交银施罗德基金管理有限公司，曾任研究部行业分析师，现任权益部基金经理。现任交银施罗德趋势优先混合型证券投资基金(2020年05月06日至今)、交银施罗德启诚混合型证券投资基金(2021年12月08日至今)的基金经理。</w:t>
      </w:r>
    </w:p>
    <w:p w14:paraId="5D1B4EC7" w14:textId="77777777" w:rsidR="0004536B" w:rsidRDefault="003574EC" w:rsidP="00562781">
      <w:pPr>
        <w:widowControl/>
        <w:adjustRightInd w:val="0"/>
        <w:snapToGrid w:val="0"/>
        <w:spacing w:line="360" w:lineRule="auto"/>
        <w:ind w:firstLineChars="200" w:firstLine="480"/>
        <w:rPr>
          <w:rFonts w:hAnsi="宋体"/>
          <w:kern w:val="0"/>
          <w:sz w:val="24"/>
        </w:rPr>
      </w:pPr>
      <w:r>
        <w:rPr>
          <w:rFonts w:hAnsi="宋体"/>
          <w:kern w:val="0"/>
          <w:sz w:val="24"/>
        </w:rPr>
        <w:t>5</w:t>
      </w:r>
      <w:r>
        <w:rPr>
          <w:rFonts w:hAnsi="宋体"/>
          <w:kern w:val="0"/>
          <w:sz w:val="24"/>
        </w:rPr>
        <w:t>、投资决策委员会成员</w:t>
      </w:r>
    </w:p>
    <w:p w14:paraId="7BA9FE3B" w14:textId="77777777" w:rsidR="0004536B" w:rsidRDefault="003574EC">
      <w:pPr>
        <w:autoSpaceDE w:val="0"/>
        <w:autoSpaceDN w:val="0"/>
        <w:adjustRightInd w:val="0"/>
        <w:snapToGrid w:val="0"/>
        <w:spacing w:line="360" w:lineRule="auto"/>
        <w:ind w:firstLineChars="200" w:firstLine="480"/>
        <w:jc w:val="left"/>
        <w:rPr>
          <w:sz w:val="24"/>
        </w:rPr>
      </w:pPr>
      <w:r>
        <w:rPr>
          <w:sz w:val="24"/>
        </w:rPr>
        <w:t>委员：</w:t>
      </w:r>
      <w:r>
        <w:rPr>
          <w:rFonts w:hint="eastAsia"/>
          <w:sz w:val="24"/>
        </w:rPr>
        <w:t>谢卫（总经理）</w:t>
      </w:r>
    </w:p>
    <w:p w14:paraId="438B2AC0" w14:textId="77777777" w:rsidR="0004536B" w:rsidRDefault="003574EC">
      <w:pPr>
        <w:autoSpaceDE w:val="0"/>
        <w:autoSpaceDN w:val="0"/>
        <w:adjustRightInd w:val="0"/>
        <w:snapToGrid w:val="0"/>
        <w:spacing w:line="360" w:lineRule="auto"/>
        <w:ind w:firstLineChars="500" w:firstLine="1200"/>
        <w:jc w:val="left"/>
        <w:rPr>
          <w:sz w:val="24"/>
        </w:rPr>
      </w:pPr>
      <w:r>
        <w:rPr>
          <w:rFonts w:hint="eastAsia"/>
          <w:sz w:val="24"/>
        </w:rPr>
        <w:t>马俊（副总经理、研究总监）</w:t>
      </w:r>
    </w:p>
    <w:p w14:paraId="4CF3D167" w14:textId="77777777" w:rsidR="0004536B" w:rsidRDefault="003574EC">
      <w:pPr>
        <w:autoSpaceDE w:val="0"/>
        <w:autoSpaceDN w:val="0"/>
        <w:adjustRightInd w:val="0"/>
        <w:snapToGrid w:val="0"/>
        <w:spacing w:line="360" w:lineRule="auto"/>
        <w:ind w:firstLineChars="500" w:firstLine="1200"/>
        <w:jc w:val="left"/>
        <w:rPr>
          <w:sz w:val="24"/>
        </w:rPr>
      </w:pPr>
      <w:r>
        <w:rPr>
          <w:rFonts w:hint="eastAsia"/>
          <w:sz w:val="24"/>
        </w:rPr>
        <w:t>王少成（权益投资总监、基金经理）</w:t>
      </w:r>
    </w:p>
    <w:p w14:paraId="40B54B76" w14:textId="77777777" w:rsidR="0004536B" w:rsidRDefault="003574EC">
      <w:pPr>
        <w:autoSpaceDE w:val="0"/>
        <w:autoSpaceDN w:val="0"/>
        <w:adjustRightInd w:val="0"/>
        <w:snapToGrid w:val="0"/>
        <w:spacing w:line="360" w:lineRule="auto"/>
        <w:ind w:firstLineChars="500" w:firstLine="1200"/>
        <w:jc w:val="left"/>
        <w:rPr>
          <w:sz w:val="24"/>
        </w:rPr>
      </w:pPr>
      <w:r>
        <w:rPr>
          <w:rFonts w:hint="eastAsia"/>
          <w:sz w:val="24"/>
        </w:rPr>
        <w:t>于海颖（固定收益（公募）投资总监、基金经理）</w:t>
      </w:r>
    </w:p>
    <w:p w14:paraId="061CCF0E" w14:textId="77777777" w:rsidR="0004536B" w:rsidRDefault="003574EC">
      <w:pPr>
        <w:adjustRightInd w:val="0"/>
        <w:snapToGrid w:val="0"/>
        <w:spacing w:line="360" w:lineRule="auto"/>
        <w:ind w:firstLineChars="500" w:firstLine="1200"/>
        <w:rPr>
          <w:sz w:val="24"/>
        </w:rPr>
      </w:pPr>
      <w:r>
        <w:rPr>
          <w:rFonts w:hint="eastAsia"/>
          <w:sz w:val="24"/>
        </w:rPr>
        <w:t>王崇（权益投资副总监、权益部一级专家、基金经理）</w:t>
      </w:r>
    </w:p>
    <w:p w14:paraId="1A3FEFC1" w14:textId="5B58DBA8" w:rsidR="0004536B" w:rsidRDefault="003574EC" w:rsidP="00930EE9">
      <w:pPr>
        <w:adjustRightInd w:val="0"/>
        <w:snapToGrid w:val="0"/>
        <w:spacing w:line="360" w:lineRule="auto"/>
        <w:ind w:firstLineChars="500" w:firstLine="120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14:paraId="21DD844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（三）基金管理人的职责</w:t>
      </w:r>
    </w:p>
    <w:p w14:paraId="4A283E02" w14:textId="77777777" w:rsidR="0004536B" w:rsidRDefault="003574EC">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14:paraId="04DF9EA2" w14:textId="77777777" w:rsidR="0004536B" w:rsidRDefault="003574EC">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11D56068" w14:textId="77777777" w:rsidR="0004536B" w:rsidRDefault="003574EC">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41E0280F" w14:textId="77777777" w:rsidR="0004536B" w:rsidRDefault="003574EC">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14:paraId="4F6D9CB8" w14:textId="77777777" w:rsidR="0004536B" w:rsidRDefault="003574EC">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3B220D72" w14:textId="77777777" w:rsidR="0004536B" w:rsidRDefault="003574EC">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246A96A6" w14:textId="77777777" w:rsidR="0004536B" w:rsidRDefault="003574EC">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282215AE" w14:textId="77777777" w:rsidR="0004536B" w:rsidRDefault="003574EC">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3EA6709B" w14:textId="77777777" w:rsidR="0004536B" w:rsidRDefault="003574EC">
      <w:pPr>
        <w:adjustRightInd w:val="0"/>
        <w:snapToGrid w:val="0"/>
        <w:spacing w:line="360" w:lineRule="auto"/>
        <w:ind w:firstLineChars="200" w:firstLine="480"/>
        <w:rPr>
          <w:sz w:val="24"/>
          <w:szCs w:val="24"/>
        </w:rPr>
      </w:pPr>
      <w:r>
        <w:rPr>
          <w:sz w:val="24"/>
          <w:szCs w:val="24"/>
        </w:rPr>
        <w:lastRenderedPageBreak/>
        <w:t>9</w:t>
      </w:r>
      <w:r>
        <w:rPr>
          <w:sz w:val="24"/>
          <w:szCs w:val="24"/>
        </w:rPr>
        <w:t>、按照规定召集基金份额持有人大会；</w:t>
      </w:r>
    </w:p>
    <w:p w14:paraId="123AAD39" w14:textId="77777777" w:rsidR="0004536B" w:rsidRDefault="003574EC">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70141F0C" w14:textId="77777777" w:rsidR="0004536B" w:rsidRDefault="003574EC">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14:paraId="4EF80A2B" w14:textId="77777777" w:rsidR="0004536B" w:rsidRDefault="003574EC">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1CAAE260"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（四）基金管理人的承诺</w:t>
      </w:r>
    </w:p>
    <w:p w14:paraId="62BB2CAD" w14:textId="77777777" w:rsidR="0004536B" w:rsidRDefault="003574EC">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41ADE4B4" w14:textId="77777777" w:rsidR="0004536B" w:rsidRDefault="003574EC">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472BB0E5" w14:textId="77777777" w:rsidR="0004536B" w:rsidRDefault="003574EC">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722E236B" w14:textId="77777777" w:rsidR="0004536B" w:rsidRDefault="003574EC">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6F11C517" w14:textId="77777777" w:rsidR="0004536B" w:rsidRDefault="003574EC">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17C30210" w14:textId="77777777" w:rsidR="0004536B" w:rsidRDefault="003574EC">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2F32D949"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14:paraId="4CC68535" w14:textId="77777777" w:rsidR="0004536B" w:rsidRDefault="003574EC">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76F12B3A" w14:textId="77777777" w:rsidR="0004536B" w:rsidRDefault="003574EC">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14:paraId="1D143C45" w14:textId="77777777" w:rsidR="0004536B" w:rsidRDefault="003574EC">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2C58E1A2" w14:textId="77777777" w:rsidR="0004536B" w:rsidRDefault="003574EC">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68D4D10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（五）基金经理承诺</w:t>
      </w:r>
    </w:p>
    <w:p w14:paraId="4763D6D4" w14:textId="77777777" w:rsidR="0004536B" w:rsidRDefault="003574EC">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5C356253" w14:textId="77777777" w:rsidR="0004536B" w:rsidRDefault="003574EC">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0709E5CB" w14:textId="77777777" w:rsidR="0004536B" w:rsidRDefault="003574EC">
      <w:pPr>
        <w:widowControl/>
        <w:adjustRightInd w:val="0"/>
        <w:snapToGrid w:val="0"/>
        <w:spacing w:line="360" w:lineRule="auto"/>
        <w:ind w:firstLineChars="200" w:firstLine="480"/>
        <w:rPr>
          <w:sz w:val="24"/>
          <w:szCs w:val="24"/>
        </w:rPr>
      </w:pPr>
      <w:r>
        <w:rPr>
          <w:sz w:val="24"/>
          <w:szCs w:val="24"/>
        </w:rPr>
        <w:lastRenderedPageBreak/>
        <w:t>3</w:t>
      </w:r>
      <w:r>
        <w:rPr>
          <w:sz w:val="24"/>
          <w:szCs w:val="24"/>
        </w:rPr>
        <w:t>、不泄露在任职期间知悉的有关证券、基金的商业秘密，尚未依法公开的基金投资内容、基金投资计划等信息，或利用该信息从事或者明示、暗示他人从事相关的交易活动；</w:t>
      </w:r>
    </w:p>
    <w:p w14:paraId="21C155D8" w14:textId="77777777" w:rsidR="0004536B" w:rsidRDefault="003574EC">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110702A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（六）基金管理人的内部控制制度</w:t>
      </w:r>
    </w:p>
    <w:p w14:paraId="54FEA46D" w14:textId="77777777" w:rsidR="0004536B" w:rsidRPr="00562781" w:rsidRDefault="003574EC" w:rsidP="00562781">
      <w:pPr>
        <w:widowControl/>
        <w:adjustRightInd w:val="0"/>
        <w:snapToGrid w:val="0"/>
        <w:spacing w:line="360" w:lineRule="auto"/>
        <w:ind w:firstLineChars="200" w:firstLine="480"/>
        <w:rPr>
          <w:rFonts w:hAnsi="宋体"/>
          <w:kern w:val="0"/>
          <w:sz w:val="24"/>
        </w:rPr>
      </w:pPr>
      <w:r w:rsidRPr="00562781">
        <w:rPr>
          <w:rFonts w:hAnsi="宋体"/>
          <w:kern w:val="0"/>
          <w:sz w:val="24"/>
        </w:rPr>
        <w:t>1</w:t>
      </w:r>
      <w:r w:rsidRPr="00562781">
        <w:rPr>
          <w:rFonts w:hAnsi="宋体"/>
          <w:kern w:val="0"/>
          <w:sz w:val="24"/>
        </w:rPr>
        <w:t>、风险管理的原则</w:t>
      </w:r>
    </w:p>
    <w:p w14:paraId="47F6D3EC"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632CD4E8"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49F0AFC2"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31937966"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01A50252"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3256A31C"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40BC402A"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10F66C2E"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58A0E57E" w14:textId="77777777" w:rsidR="0004536B" w:rsidRPr="00562781" w:rsidRDefault="003574EC" w:rsidP="00562781">
      <w:pPr>
        <w:widowControl/>
        <w:adjustRightInd w:val="0"/>
        <w:snapToGrid w:val="0"/>
        <w:spacing w:line="360" w:lineRule="auto"/>
        <w:ind w:firstLineChars="200" w:firstLine="480"/>
        <w:rPr>
          <w:rFonts w:hAnsi="宋体"/>
          <w:kern w:val="0"/>
          <w:sz w:val="24"/>
        </w:rPr>
      </w:pPr>
      <w:r w:rsidRPr="00562781">
        <w:rPr>
          <w:rFonts w:hAnsi="宋体"/>
          <w:kern w:val="0"/>
          <w:sz w:val="24"/>
        </w:rPr>
        <w:t>2</w:t>
      </w:r>
      <w:r w:rsidRPr="00562781">
        <w:rPr>
          <w:rFonts w:hAnsi="宋体"/>
          <w:kern w:val="0"/>
          <w:sz w:val="24"/>
        </w:rPr>
        <w:t>、风险管理和内部风险控制体系结构</w:t>
      </w:r>
    </w:p>
    <w:p w14:paraId="2F91093D"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A1C234D"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14:paraId="54833F60"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4A23301F"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42FA04D5"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14:paraId="0C98249E"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）合规审核及风险管理委员会</w:t>
      </w:r>
    </w:p>
    <w:p w14:paraId="43C16E95"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EBC11E8"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4007F1EF"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BD93305" w14:textId="77777777" w:rsidR="0004536B" w:rsidRDefault="003574EC">
      <w:pPr>
        <w:widowControl/>
        <w:adjustRightInd w:val="0"/>
        <w:snapToGrid w:val="0"/>
        <w:spacing w:line="360" w:lineRule="auto"/>
        <w:ind w:firstLineChars="150" w:firstLine="360"/>
        <w:rPr>
          <w:kern w:val="0"/>
          <w:sz w:val="24"/>
          <w:szCs w:val="24"/>
        </w:rPr>
      </w:pPr>
      <w:r>
        <w:rPr>
          <w:kern w:val="0"/>
          <w:sz w:val="24"/>
          <w:szCs w:val="24"/>
        </w:rPr>
        <w:t>（</w:t>
      </w:r>
      <w:r>
        <w:rPr>
          <w:kern w:val="0"/>
          <w:sz w:val="24"/>
          <w:szCs w:val="24"/>
        </w:rPr>
        <w:t>5</w:t>
      </w:r>
      <w:r>
        <w:rPr>
          <w:kern w:val="0"/>
          <w:sz w:val="24"/>
          <w:szCs w:val="24"/>
        </w:rPr>
        <w:t>）督察长</w:t>
      </w:r>
    </w:p>
    <w:p w14:paraId="26870E73"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26421E22"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518AB559"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15BFD9C" w14:textId="77777777" w:rsidR="0004536B" w:rsidRDefault="003574EC">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511D2130" w14:textId="77777777" w:rsidR="0004536B" w:rsidRDefault="003574EC">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58F0E45" w14:textId="77777777" w:rsidR="0004536B" w:rsidRDefault="003574EC">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14:paraId="3C23531F" w14:textId="77777777" w:rsidR="0004536B" w:rsidRDefault="003574EC">
      <w:pPr>
        <w:widowControl/>
        <w:adjustRightInd w:val="0"/>
        <w:snapToGrid w:val="0"/>
        <w:spacing w:line="360" w:lineRule="auto"/>
        <w:ind w:firstLineChars="200" w:firstLine="48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2388EE0"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3ECDED35"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7D11EF2E" w14:textId="77777777" w:rsidR="0004536B" w:rsidRPr="00562781" w:rsidRDefault="003574EC" w:rsidP="00562781">
      <w:pPr>
        <w:widowControl/>
        <w:adjustRightInd w:val="0"/>
        <w:snapToGrid w:val="0"/>
        <w:spacing w:line="360" w:lineRule="auto"/>
        <w:ind w:firstLineChars="200" w:firstLine="480"/>
        <w:rPr>
          <w:rFonts w:hAnsi="宋体"/>
          <w:kern w:val="0"/>
          <w:sz w:val="24"/>
        </w:rPr>
      </w:pPr>
      <w:r w:rsidRPr="00562781">
        <w:rPr>
          <w:rFonts w:hAnsi="宋体"/>
          <w:kern w:val="0"/>
          <w:sz w:val="24"/>
        </w:rPr>
        <w:lastRenderedPageBreak/>
        <w:t>3</w:t>
      </w:r>
      <w:r w:rsidRPr="00562781">
        <w:rPr>
          <w:rFonts w:hAnsi="宋体"/>
          <w:kern w:val="0"/>
          <w:sz w:val="24"/>
        </w:rPr>
        <w:t>、风险管理和内部风险控制的措施</w:t>
      </w:r>
    </w:p>
    <w:p w14:paraId="3411AB40"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24E393B0"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9A58DD2"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6F3E84AF"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4C750DC8"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419E9430"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7BA7C9CE"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6EF5D1E7"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78284AD"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1528C122"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14:paraId="5785F87C"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499AA3A8"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4C85527A"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31B9E21F"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10" w:name="_Toc109537382"/>
    </w:p>
    <w:p w14:paraId="432483E5" w14:textId="77777777" w:rsidR="0004536B" w:rsidRDefault="003574EC">
      <w:pPr>
        <w:spacing w:line="360" w:lineRule="auto"/>
        <w:jc w:val="center"/>
        <w:outlineLvl w:val="0"/>
        <w:rPr>
          <w:rFonts w:ascii="宋体" w:hAnsi="宋体"/>
          <w:b/>
          <w:kern w:val="0"/>
          <w:sz w:val="30"/>
        </w:rPr>
      </w:pPr>
      <w:r>
        <w:rPr>
          <w:rFonts w:ascii="宋体" w:hAnsi="宋体"/>
          <w:sz w:val="30"/>
        </w:rPr>
        <w:br w:type="page"/>
      </w:r>
      <w:bookmarkStart w:id="11" w:name="_Toc139631552"/>
      <w:r>
        <w:rPr>
          <w:rFonts w:ascii="宋体" w:hAnsi="宋体" w:hint="eastAsia"/>
          <w:b/>
          <w:kern w:val="0"/>
          <w:sz w:val="30"/>
        </w:rPr>
        <w:lastRenderedPageBreak/>
        <w:t>四、基金托管人</w:t>
      </w:r>
      <w:bookmarkEnd w:id="10"/>
      <w:bookmarkEnd w:id="11"/>
    </w:p>
    <w:p w14:paraId="6AE4D0B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w:t>
      </w:r>
      <w:r w:rsidRPr="00E917F4">
        <w:rPr>
          <w:rFonts w:hAnsi="宋体"/>
          <w:b/>
          <w:sz w:val="24"/>
        </w:rPr>
        <w:t>一</w:t>
      </w:r>
      <w:r w:rsidRPr="00E917F4">
        <w:rPr>
          <w:rFonts w:hAnsi="宋体" w:hint="eastAsia"/>
          <w:b/>
          <w:sz w:val="24"/>
        </w:rPr>
        <w:t>）</w:t>
      </w:r>
      <w:r w:rsidRPr="00E917F4">
        <w:rPr>
          <w:rFonts w:hAnsi="宋体"/>
          <w:b/>
          <w:sz w:val="24"/>
        </w:rPr>
        <w:t>基金托管人情况</w:t>
      </w:r>
    </w:p>
    <w:p w14:paraId="6727E53A" w14:textId="77777777" w:rsidR="0004536B" w:rsidRDefault="003574EC" w:rsidP="00562781">
      <w:pPr>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、基本情况</w:t>
      </w:r>
    </w:p>
    <w:p w14:paraId="0091DFE1"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名称：中信银行股份有限公司（简称“中信银行”）</w:t>
      </w:r>
    </w:p>
    <w:p w14:paraId="77466D3D"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住所：北京市朝阳区光华路</w:t>
      </w:r>
      <w:r>
        <w:rPr>
          <w:rFonts w:hint="eastAsia"/>
          <w:kern w:val="0"/>
          <w:sz w:val="24"/>
          <w:szCs w:val="24"/>
        </w:rPr>
        <w:t>10</w:t>
      </w:r>
      <w:r>
        <w:rPr>
          <w:rFonts w:hint="eastAsia"/>
          <w:kern w:val="0"/>
          <w:sz w:val="24"/>
          <w:szCs w:val="24"/>
        </w:rPr>
        <w:t>号院</w:t>
      </w:r>
      <w:r>
        <w:rPr>
          <w:rFonts w:hint="eastAsia"/>
          <w:kern w:val="0"/>
          <w:sz w:val="24"/>
          <w:szCs w:val="24"/>
        </w:rPr>
        <w:t>1</w:t>
      </w:r>
      <w:r>
        <w:rPr>
          <w:rFonts w:hint="eastAsia"/>
          <w:kern w:val="0"/>
          <w:sz w:val="24"/>
          <w:szCs w:val="24"/>
        </w:rPr>
        <w:t>号楼</w:t>
      </w:r>
      <w:r>
        <w:rPr>
          <w:rFonts w:hint="eastAsia"/>
          <w:kern w:val="0"/>
          <w:sz w:val="24"/>
          <w:szCs w:val="24"/>
        </w:rPr>
        <w:t>6-30</w:t>
      </w:r>
      <w:r>
        <w:rPr>
          <w:rFonts w:hint="eastAsia"/>
          <w:kern w:val="0"/>
          <w:sz w:val="24"/>
          <w:szCs w:val="24"/>
        </w:rPr>
        <w:t>层、</w:t>
      </w:r>
      <w:r>
        <w:rPr>
          <w:rFonts w:hint="eastAsia"/>
          <w:kern w:val="0"/>
          <w:sz w:val="24"/>
          <w:szCs w:val="24"/>
        </w:rPr>
        <w:t>32-42</w:t>
      </w:r>
      <w:r>
        <w:rPr>
          <w:rFonts w:hint="eastAsia"/>
          <w:kern w:val="0"/>
          <w:sz w:val="24"/>
          <w:szCs w:val="24"/>
        </w:rPr>
        <w:t>层</w:t>
      </w:r>
    </w:p>
    <w:p w14:paraId="63D9A755"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办公地址：北京市朝阳区光华路</w:t>
      </w:r>
      <w:r>
        <w:rPr>
          <w:rFonts w:hint="eastAsia"/>
          <w:kern w:val="0"/>
          <w:sz w:val="24"/>
          <w:szCs w:val="24"/>
        </w:rPr>
        <w:t>10</w:t>
      </w:r>
      <w:r>
        <w:rPr>
          <w:rFonts w:hint="eastAsia"/>
          <w:kern w:val="0"/>
          <w:sz w:val="24"/>
          <w:szCs w:val="24"/>
        </w:rPr>
        <w:t>号院</w:t>
      </w:r>
      <w:r>
        <w:rPr>
          <w:rFonts w:hint="eastAsia"/>
          <w:kern w:val="0"/>
          <w:sz w:val="24"/>
          <w:szCs w:val="24"/>
        </w:rPr>
        <w:t>1</w:t>
      </w:r>
      <w:r>
        <w:rPr>
          <w:rFonts w:hint="eastAsia"/>
          <w:kern w:val="0"/>
          <w:sz w:val="24"/>
          <w:szCs w:val="24"/>
        </w:rPr>
        <w:t>号楼</w:t>
      </w:r>
      <w:r>
        <w:rPr>
          <w:rFonts w:hint="eastAsia"/>
          <w:kern w:val="0"/>
          <w:sz w:val="24"/>
          <w:szCs w:val="24"/>
        </w:rPr>
        <w:t>6-30</w:t>
      </w:r>
      <w:r>
        <w:rPr>
          <w:rFonts w:hint="eastAsia"/>
          <w:kern w:val="0"/>
          <w:sz w:val="24"/>
          <w:szCs w:val="24"/>
        </w:rPr>
        <w:t>层、</w:t>
      </w:r>
      <w:r>
        <w:rPr>
          <w:rFonts w:hint="eastAsia"/>
          <w:kern w:val="0"/>
          <w:sz w:val="24"/>
          <w:szCs w:val="24"/>
        </w:rPr>
        <w:t>32-42</w:t>
      </w:r>
      <w:r>
        <w:rPr>
          <w:rFonts w:hint="eastAsia"/>
          <w:kern w:val="0"/>
          <w:sz w:val="24"/>
          <w:szCs w:val="24"/>
        </w:rPr>
        <w:t>层</w:t>
      </w:r>
    </w:p>
    <w:p w14:paraId="2FF55C18" w14:textId="61C7AF16" w:rsidR="0004536B" w:rsidRDefault="003574EC">
      <w:pPr>
        <w:adjustRightInd w:val="0"/>
        <w:snapToGrid w:val="0"/>
        <w:spacing w:line="360" w:lineRule="auto"/>
        <w:ind w:firstLineChars="200" w:firstLine="480"/>
        <w:rPr>
          <w:kern w:val="0"/>
          <w:sz w:val="24"/>
          <w:szCs w:val="24"/>
        </w:rPr>
      </w:pPr>
      <w:r>
        <w:rPr>
          <w:rFonts w:hint="eastAsia"/>
          <w:kern w:val="0"/>
          <w:sz w:val="24"/>
          <w:szCs w:val="24"/>
        </w:rPr>
        <w:t>法定代表人：</w:t>
      </w:r>
      <w:bookmarkStart w:id="12" w:name="_Hlk129448072"/>
      <w:r w:rsidR="00AA417D" w:rsidRPr="00AA417D">
        <w:rPr>
          <w:rFonts w:hint="eastAsia"/>
          <w:kern w:val="0"/>
          <w:sz w:val="24"/>
          <w:szCs w:val="24"/>
        </w:rPr>
        <w:t>方合英</w:t>
      </w:r>
      <w:bookmarkEnd w:id="12"/>
    </w:p>
    <w:p w14:paraId="72DAD3FD"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1987</w:t>
      </w:r>
      <w:r>
        <w:rPr>
          <w:rFonts w:hint="eastAsia"/>
          <w:kern w:val="0"/>
          <w:sz w:val="24"/>
          <w:szCs w:val="24"/>
        </w:rPr>
        <w:t>年</w:t>
      </w:r>
      <w:r>
        <w:rPr>
          <w:rFonts w:hint="eastAsia"/>
          <w:kern w:val="0"/>
          <w:sz w:val="24"/>
          <w:szCs w:val="24"/>
        </w:rPr>
        <w:t>4</w:t>
      </w:r>
      <w:r>
        <w:rPr>
          <w:rFonts w:hint="eastAsia"/>
          <w:kern w:val="0"/>
          <w:sz w:val="24"/>
          <w:szCs w:val="24"/>
        </w:rPr>
        <w:t>月</w:t>
      </w:r>
      <w:r>
        <w:rPr>
          <w:rFonts w:hint="eastAsia"/>
          <w:kern w:val="0"/>
          <w:sz w:val="24"/>
          <w:szCs w:val="24"/>
        </w:rPr>
        <w:t>20</w:t>
      </w:r>
      <w:r>
        <w:rPr>
          <w:rFonts w:hint="eastAsia"/>
          <w:kern w:val="0"/>
          <w:sz w:val="24"/>
          <w:szCs w:val="24"/>
        </w:rPr>
        <w:t>日</w:t>
      </w:r>
    </w:p>
    <w:p w14:paraId="500397DB"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组织形式：股份有限公司</w:t>
      </w:r>
    </w:p>
    <w:p w14:paraId="34E58BA5"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注册资本：</w:t>
      </w:r>
      <w:r>
        <w:rPr>
          <w:rFonts w:hint="eastAsia"/>
          <w:kern w:val="0"/>
          <w:sz w:val="24"/>
          <w:szCs w:val="24"/>
        </w:rPr>
        <w:t>489.35</w:t>
      </w:r>
      <w:r>
        <w:rPr>
          <w:rFonts w:hint="eastAsia"/>
          <w:kern w:val="0"/>
          <w:sz w:val="24"/>
          <w:szCs w:val="24"/>
        </w:rPr>
        <w:t>亿元人民币</w:t>
      </w:r>
    </w:p>
    <w:p w14:paraId="652AFFAC"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存续期间：持续经营</w:t>
      </w:r>
    </w:p>
    <w:p w14:paraId="3D9F554F"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批准设立文号：中华人民共和国国务院办公厅国办函</w:t>
      </w:r>
      <w:r>
        <w:rPr>
          <w:rFonts w:hint="eastAsia"/>
          <w:kern w:val="0"/>
          <w:sz w:val="24"/>
          <w:szCs w:val="24"/>
        </w:rPr>
        <w:t>[1987]14</w:t>
      </w:r>
      <w:r>
        <w:rPr>
          <w:rFonts w:hint="eastAsia"/>
          <w:kern w:val="0"/>
          <w:sz w:val="24"/>
          <w:szCs w:val="24"/>
        </w:rPr>
        <w:t>号</w:t>
      </w:r>
    </w:p>
    <w:p w14:paraId="249879CA"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基金托管业务批准文号：中国证监会证监基字</w:t>
      </w:r>
      <w:r>
        <w:rPr>
          <w:rFonts w:hint="eastAsia"/>
          <w:kern w:val="0"/>
          <w:sz w:val="24"/>
          <w:szCs w:val="24"/>
        </w:rPr>
        <w:t>[2004]125</w:t>
      </w:r>
      <w:r>
        <w:rPr>
          <w:rFonts w:hint="eastAsia"/>
          <w:kern w:val="0"/>
          <w:sz w:val="24"/>
          <w:szCs w:val="24"/>
        </w:rPr>
        <w:t>号</w:t>
      </w:r>
    </w:p>
    <w:p w14:paraId="0884F5CE"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联系人：中信银行资产托管部</w:t>
      </w:r>
    </w:p>
    <w:p w14:paraId="6FD694E2"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联系电话：</w:t>
      </w:r>
      <w:r>
        <w:rPr>
          <w:rFonts w:hint="eastAsia"/>
          <w:kern w:val="0"/>
          <w:sz w:val="24"/>
          <w:szCs w:val="24"/>
        </w:rPr>
        <w:t>4006800000</w:t>
      </w:r>
    </w:p>
    <w:p w14:paraId="161A9305"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传真：</w:t>
      </w:r>
      <w:r>
        <w:rPr>
          <w:rFonts w:hint="eastAsia"/>
          <w:kern w:val="0"/>
          <w:sz w:val="24"/>
          <w:szCs w:val="24"/>
        </w:rPr>
        <w:t>010-85230024</w:t>
      </w:r>
    </w:p>
    <w:p w14:paraId="1486F678"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客服电话：</w:t>
      </w:r>
      <w:r>
        <w:rPr>
          <w:rFonts w:hint="eastAsia"/>
          <w:kern w:val="0"/>
          <w:sz w:val="24"/>
          <w:szCs w:val="24"/>
        </w:rPr>
        <w:t>95558</w:t>
      </w:r>
    </w:p>
    <w:p w14:paraId="18AA104B"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网址：</w:t>
      </w:r>
      <w:r>
        <w:rPr>
          <w:rFonts w:hint="eastAsia"/>
          <w:kern w:val="0"/>
          <w:sz w:val="24"/>
          <w:szCs w:val="24"/>
        </w:rPr>
        <w:t>bank.ecitic.com</w:t>
      </w:r>
    </w:p>
    <w:p w14:paraId="4F3FD7A6"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5F40E34E"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lastRenderedPageBreak/>
        <w:t>中信银行成立于</w:t>
      </w:r>
      <w:r>
        <w:rPr>
          <w:rFonts w:hint="eastAsia"/>
          <w:kern w:val="0"/>
          <w:sz w:val="24"/>
          <w:szCs w:val="24"/>
        </w:rPr>
        <w:t>1987</w:t>
      </w:r>
      <w:r>
        <w:rPr>
          <w:rFonts w:hint="eastAsia"/>
          <w:kern w:val="0"/>
          <w:sz w:val="24"/>
          <w:szCs w:val="24"/>
        </w:rPr>
        <w:t>年，是中国改革开放中最早成立的新兴商业银行之一，是中国最早参与国内外金融市场融资的商业银行，并以屡创中国现代金融史上多个第一而蜚声海内外，为中国经济建设做出了积极贡献。</w:t>
      </w:r>
      <w:r>
        <w:rPr>
          <w:rFonts w:hint="eastAsia"/>
          <w:kern w:val="0"/>
          <w:sz w:val="24"/>
          <w:szCs w:val="24"/>
        </w:rPr>
        <w:t>2007</w:t>
      </w:r>
      <w:r>
        <w:rPr>
          <w:rFonts w:hint="eastAsia"/>
          <w:kern w:val="0"/>
          <w:sz w:val="24"/>
          <w:szCs w:val="24"/>
        </w:rPr>
        <w:t>年</w:t>
      </w:r>
      <w:r>
        <w:rPr>
          <w:rFonts w:hint="eastAsia"/>
          <w:kern w:val="0"/>
          <w:sz w:val="24"/>
          <w:szCs w:val="24"/>
        </w:rPr>
        <w:t>4</w:t>
      </w:r>
      <w:r>
        <w:rPr>
          <w:rFonts w:hint="eastAsia"/>
          <w:kern w:val="0"/>
          <w:sz w:val="24"/>
          <w:szCs w:val="24"/>
        </w:rPr>
        <w:t>月，中信银行实现在上海证券交易所和香港联合交易所</w:t>
      </w:r>
      <w:r>
        <w:rPr>
          <w:rFonts w:hint="eastAsia"/>
          <w:kern w:val="0"/>
          <w:sz w:val="24"/>
          <w:szCs w:val="24"/>
        </w:rPr>
        <w:t>A+H</w:t>
      </w:r>
      <w:r>
        <w:rPr>
          <w:rFonts w:hint="eastAsia"/>
          <w:kern w:val="0"/>
          <w:sz w:val="24"/>
          <w:szCs w:val="24"/>
        </w:rPr>
        <w:t>股同步上市。</w:t>
      </w:r>
    </w:p>
    <w:p w14:paraId="575D05AB"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中信银行以建设成为“有担当、有温度、有特色、有价值”的最佳综合金融服务提供者为发展愿景，充分发挥中信集团“金融</w:t>
      </w:r>
      <w:r>
        <w:rPr>
          <w:rFonts w:hint="eastAsia"/>
          <w:kern w:val="0"/>
          <w:sz w:val="24"/>
          <w:szCs w:val="24"/>
        </w:rPr>
        <w:t>+</w:t>
      </w:r>
      <w:r>
        <w:rPr>
          <w:rFonts w:hint="eastAsia"/>
          <w:kern w:val="0"/>
          <w:sz w:val="24"/>
          <w:szCs w:val="24"/>
        </w:rPr>
        <w:t>实业”综合平台优势，坚持“以客为尊、改革推动、科技兴行、轻型发展、合规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14:paraId="51888AEB" w14:textId="77777777" w:rsidR="008B7DF0" w:rsidRPr="008B7DF0" w:rsidRDefault="008B7DF0" w:rsidP="008B7DF0">
      <w:pPr>
        <w:adjustRightInd w:val="0"/>
        <w:snapToGrid w:val="0"/>
        <w:spacing w:line="360" w:lineRule="auto"/>
        <w:ind w:firstLineChars="200" w:firstLine="480"/>
        <w:rPr>
          <w:kern w:val="0"/>
          <w:sz w:val="24"/>
          <w:szCs w:val="24"/>
        </w:rPr>
      </w:pPr>
      <w:r w:rsidRPr="008B7DF0">
        <w:rPr>
          <w:rFonts w:hint="eastAsia"/>
          <w:kern w:val="0"/>
          <w:sz w:val="24"/>
          <w:szCs w:val="24"/>
        </w:rPr>
        <w:t>截至</w:t>
      </w:r>
      <w:r w:rsidRPr="008B7DF0">
        <w:rPr>
          <w:rFonts w:hint="eastAsia"/>
          <w:kern w:val="0"/>
          <w:sz w:val="24"/>
          <w:szCs w:val="24"/>
        </w:rPr>
        <w:t>2022</w:t>
      </w:r>
      <w:r w:rsidRPr="008B7DF0">
        <w:rPr>
          <w:rFonts w:hint="eastAsia"/>
          <w:kern w:val="0"/>
          <w:sz w:val="24"/>
          <w:szCs w:val="24"/>
        </w:rPr>
        <w:t>年末，中信银行在国内</w:t>
      </w:r>
      <w:r w:rsidRPr="008B7DF0">
        <w:rPr>
          <w:rFonts w:hint="eastAsia"/>
          <w:kern w:val="0"/>
          <w:sz w:val="24"/>
          <w:szCs w:val="24"/>
        </w:rPr>
        <w:t>153</w:t>
      </w:r>
      <w:r w:rsidRPr="008B7DF0">
        <w:rPr>
          <w:rFonts w:hint="eastAsia"/>
          <w:kern w:val="0"/>
          <w:sz w:val="24"/>
          <w:szCs w:val="24"/>
        </w:rPr>
        <w:t>个大中城市设有</w:t>
      </w:r>
      <w:r w:rsidRPr="008B7DF0">
        <w:rPr>
          <w:rFonts w:hint="eastAsia"/>
          <w:kern w:val="0"/>
          <w:sz w:val="24"/>
          <w:szCs w:val="24"/>
        </w:rPr>
        <w:t>1,428</w:t>
      </w:r>
      <w:r w:rsidRPr="008B7DF0">
        <w:rPr>
          <w:rFonts w:hint="eastAsia"/>
          <w:kern w:val="0"/>
          <w:sz w:val="24"/>
          <w:szCs w:val="24"/>
        </w:rPr>
        <w:t>家营业网点，在境内外下设中信国际金融控股有限公司、信银（香港）投资有限公司、中信金融租赁有限公司、信银理财有限责任公司、中信百信银行股份有限公司、阿尔金银行和浙江临安中信村镇银行股份有限公司</w:t>
      </w:r>
      <w:r w:rsidRPr="008B7DF0">
        <w:rPr>
          <w:rFonts w:hint="eastAsia"/>
          <w:kern w:val="0"/>
          <w:sz w:val="24"/>
          <w:szCs w:val="24"/>
        </w:rPr>
        <w:t>7</w:t>
      </w:r>
      <w:r w:rsidRPr="008B7DF0">
        <w:rPr>
          <w:rFonts w:hint="eastAsia"/>
          <w:kern w:val="0"/>
          <w:sz w:val="24"/>
          <w:szCs w:val="24"/>
        </w:rPr>
        <w:t>家附属机构。其中，中信国际金融控股有限公司子公司中信银行（国际）在香港、澳门、纽约、洛杉矶、新加坡和中国内地设有</w:t>
      </w:r>
      <w:r w:rsidRPr="008B7DF0">
        <w:rPr>
          <w:rFonts w:hint="eastAsia"/>
          <w:kern w:val="0"/>
          <w:sz w:val="24"/>
          <w:szCs w:val="24"/>
        </w:rPr>
        <w:t>31</w:t>
      </w:r>
      <w:r w:rsidRPr="008B7DF0">
        <w:rPr>
          <w:rFonts w:hint="eastAsia"/>
          <w:kern w:val="0"/>
          <w:sz w:val="24"/>
          <w:szCs w:val="24"/>
        </w:rPr>
        <w:t>家营业网点和</w:t>
      </w:r>
      <w:r w:rsidRPr="008B7DF0">
        <w:rPr>
          <w:rFonts w:hint="eastAsia"/>
          <w:kern w:val="0"/>
          <w:sz w:val="24"/>
          <w:szCs w:val="24"/>
        </w:rPr>
        <w:t>2</w:t>
      </w:r>
      <w:r w:rsidRPr="008B7DF0">
        <w:rPr>
          <w:rFonts w:hint="eastAsia"/>
          <w:kern w:val="0"/>
          <w:sz w:val="24"/>
          <w:szCs w:val="24"/>
        </w:rPr>
        <w:t>家商务中心。信银（香港）投资有限公司在香港和境内设有</w:t>
      </w:r>
      <w:r w:rsidRPr="008B7DF0">
        <w:rPr>
          <w:rFonts w:hint="eastAsia"/>
          <w:kern w:val="0"/>
          <w:sz w:val="24"/>
          <w:szCs w:val="24"/>
        </w:rPr>
        <w:t>3</w:t>
      </w:r>
      <w:r w:rsidRPr="008B7DF0">
        <w:rPr>
          <w:rFonts w:hint="eastAsia"/>
          <w:kern w:val="0"/>
          <w:sz w:val="24"/>
          <w:szCs w:val="24"/>
        </w:rPr>
        <w:t>家子公司。信银理财有限责任公司为中信银行全资理财子公司。中信百信银行股份有限公司为中信银行与百度公司联合发起设立的国内首家独立法人直销银行。阿尔金银行在哈萨克斯坦设有</w:t>
      </w:r>
      <w:r w:rsidRPr="008B7DF0">
        <w:rPr>
          <w:rFonts w:hint="eastAsia"/>
          <w:kern w:val="0"/>
          <w:sz w:val="24"/>
          <w:szCs w:val="24"/>
        </w:rPr>
        <w:t>7</w:t>
      </w:r>
      <w:r w:rsidRPr="008B7DF0">
        <w:rPr>
          <w:rFonts w:hint="eastAsia"/>
          <w:kern w:val="0"/>
          <w:sz w:val="24"/>
          <w:szCs w:val="24"/>
        </w:rPr>
        <w:t>家营业网点和</w:t>
      </w:r>
      <w:r w:rsidRPr="008B7DF0">
        <w:rPr>
          <w:rFonts w:hint="eastAsia"/>
          <w:kern w:val="0"/>
          <w:sz w:val="24"/>
          <w:szCs w:val="24"/>
        </w:rPr>
        <w:t>1</w:t>
      </w:r>
      <w:r w:rsidRPr="008B7DF0">
        <w:rPr>
          <w:rFonts w:hint="eastAsia"/>
          <w:kern w:val="0"/>
          <w:sz w:val="24"/>
          <w:szCs w:val="24"/>
        </w:rPr>
        <w:t>家私人银行中心。</w:t>
      </w:r>
    </w:p>
    <w:p w14:paraId="7E46353B" w14:textId="77777777" w:rsidR="008B7DF0" w:rsidRDefault="008B7DF0" w:rsidP="008B7DF0">
      <w:pPr>
        <w:adjustRightInd w:val="0"/>
        <w:snapToGrid w:val="0"/>
        <w:spacing w:line="360" w:lineRule="auto"/>
        <w:ind w:firstLineChars="200" w:firstLine="480"/>
        <w:rPr>
          <w:kern w:val="0"/>
          <w:sz w:val="24"/>
          <w:szCs w:val="24"/>
        </w:rPr>
      </w:pPr>
      <w:r w:rsidRPr="008B7DF0">
        <w:rPr>
          <w:rFonts w:hint="eastAsia"/>
          <w:kern w:val="0"/>
          <w:sz w:val="24"/>
          <w:szCs w:val="24"/>
        </w:rPr>
        <w:t>中信银行坚持服务实体经济，稳健经营，与时俱进。经过</w:t>
      </w:r>
      <w:r w:rsidRPr="008B7DF0">
        <w:rPr>
          <w:rFonts w:hint="eastAsia"/>
          <w:kern w:val="0"/>
          <w:sz w:val="24"/>
          <w:szCs w:val="24"/>
        </w:rPr>
        <w:t>35</w:t>
      </w:r>
      <w:r w:rsidRPr="008B7DF0">
        <w:rPr>
          <w:rFonts w:hint="eastAsia"/>
          <w:kern w:val="0"/>
          <w:sz w:val="24"/>
          <w:szCs w:val="24"/>
        </w:rPr>
        <w:t>年的发展，中信银行已成为一家总资产规模超</w:t>
      </w:r>
      <w:r w:rsidRPr="008B7DF0">
        <w:rPr>
          <w:rFonts w:hint="eastAsia"/>
          <w:kern w:val="0"/>
          <w:sz w:val="24"/>
          <w:szCs w:val="24"/>
        </w:rPr>
        <w:t>8.5</w:t>
      </w:r>
      <w:r w:rsidRPr="008B7DF0">
        <w:rPr>
          <w:rFonts w:hint="eastAsia"/>
          <w:kern w:val="0"/>
          <w:sz w:val="24"/>
          <w:szCs w:val="24"/>
        </w:rPr>
        <w:t>万亿元、员工人数超</w:t>
      </w:r>
      <w:r w:rsidRPr="008B7DF0">
        <w:rPr>
          <w:rFonts w:hint="eastAsia"/>
          <w:kern w:val="0"/>
          <w:sz w:val="24"/>
          <w:szCs w:val="24"/>
        </w:rPr>
        <w:t>6</w:t>
      </w:r>
      <w:r w:rsidRPr="008B7DF0">
        <w:rPr>
          <w:rFonts w:hint="eastAsia"/>
          <w:kern w:val="0"/>
          <w:sz w:val="24"/>
          <w:szCs w:val="24"/>
        </w:rPr>
        <w:t>万名，具有强大综合实力和品牌竞争力的金融集团。</w:t>
      </w:r>
      <w:r w:rsidRPr="008B7DF0">
        <w:rPr>
          <w:rFonts w:hint="eastAsia"/>
          <w:kern w:val="0"/>
          <w:sz w:val="24"/>
          <w:szCs w:val="24"/>
        </w:rPr>
        <w:t>2022</w:t>
      </w:r>
      <w:r w:rsidRPr="008B7DF0">
        <w:rPr>
          <w:rFonts w:hint="eastAsia"/>
          <w:kern w:val="0"/>
          <w:sz w:val="24"/>
          <w:szCs w:val="24"/>
        </w:rPr>
        <w:t>年，中信银行在英国《银行家》杂志“全球银行品牌</w:t>
      </w:r>
      <w:r w:rsidRPr="008B7DF0">
        <w:rPr>
          <w:rFonts w:hint="eastAsia"/>
          <w:kern w:val="0"/>
          <w:sz w:val="24"/>
          <w:szCs w:val="24"/>
        </w:rPr>
        <w:t>500</w:t>
      </w:r>
      <w:r w:rsidRPr="008B7DF0">
        <w:rPr>
          <w:rFonts w:hint="eastAsia"/>
          <w:kern w:val="0"/>
          <w:sz w:val="24"/>
          <w:szCs w:val="24"/>
        </w:rPr>
        <w:t>强排行榜”中排名第</w:t>
      </w:r>
      <w:r w:rsidRPr="008B7DF0">
        <w:rPr>
          <w:rFonts w:hint="eastAsia"/>
          <w:kern w:val="0"/>
          <w:sz w:val="24"/>
          <w:szCs w:val="24"/>
        </w:rPr>
        <w:t>21</w:t>
      </w:r>
      <w:r w:rsidRPr="008B7DF0">
        <w:rPr>
          <w:rFonts w:hint="eastAsia"/>
          <w:kern w:val="0"/>
          <w:sz w:val="24"/>
          <w:szCs w:val="24"/>
        </w:rPr>
        <w:t>位；中信银行一级资本在英国《银行家》杂志“世界</w:t>
      </w:r>
      <w:r w:rsidRPr="008B7DF0">
        <w:rPr>
          <w:rFonts w:hint="eastAsia"/>
          <w:kern w:val="0"/>
          <w:sz w:val="24"/>
          <w:szCs w:val="24"/>
        </w:rPr>
        <w:t>1000</w:t>
      </w:r>
      <w:r w:rsidRPr="008B7DF0">
        <w:rPr>
          <w:rFonts w:hint="eastAsia"/>
          <w:kern w:val="0"/>
          <w:sz w:val="24"/>
          <w:szCs w:val="24"/>
        </w:rPr>
        <w:t>家银行排名”中排名第</w:t>
      </w:r>
      <w:r w:rsidRPr="008B7DF0">
        <w:rPr>
          <w:rFonts w:hint="eastAsia"/>
          <w:kern w:val="0"/>
          <w:sz w:val="24"/>
          <w:szCs w:val="24"/>
        </w:rPr>
        <w:t>19</w:t>
      </w:r>
      <w:r w:rsidRPr="008B7DF0">
        <w:rPr>
          <w:rFonts w:hint="eastAsia"/>
          <w:kern w:val="0"/>
          <w:sz w:val="24"/>
          <w:szCs w:val="24"/>
        </w:rPr>
        <w:t>位。</w:t>
      </w:r>
    </w:p>
    <w:p w14:paraId="66750CCC" w14:textId="77777777" w:rsidR="008B7DF0" w:rsidRDefault="008B7DF0" w:rsidP="008B7DF0">
      <w:pPr>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、主要人员情况</w:t>
      </w:r>
    </w:p>
    <w:p w14:paraId="3378CB65" w14:textId="44F68F8F" w:rsidR="008B7DF0" w:rsidRPr="008B7DF0" w:rsidRDefault="008B7DF0" w:rsidP="008B7DF0">
      <w:pPr>
        <w:adjustRightInd w:val="0"/>
        <w:snapToGrid w:val="0"/>
        <w:spacing w:line="360" w:lineRule="auto"/>
        <w:ind w:firstLineChars="200" w:firstLine="480"/>
        <w:rPr>
          <w:kern w:val="0"/>
          <w:sz w:val="24"/>
          <w:szCs w:val="24"/>
        </w:rPr>
      </w:pPr>
      <w:r w:rsidRPr="008B7DF0">
        <w:rPr>
          <w:rFonts w:hint="eastAsia"/>
          <w:kern w:val="0"/>
          <w:sz w:val="24"/>
          <w:szCs w:val="24"/>
        </w:rPr>
        <w:t>刘成先生，本行党委副书记，行长。刘先生现同时担任亚洲金融合作协会理事。刘先生曾在中央财政金融学院（现中央财经大学）任教，并长期供职于国家发展和</w:t>
      </w:r>
      <w:r w:rsidRPr="008B7DF0">
        <w:rPr>
          <w:rFonts w:hint="eastAsia"/>
          <w:kern w:val="0"/>
          <w:sz w:val="24"/>
          <w:szCs w:val="24"/>
        </w:rPr>
        <w:lastRenderedPageBreak/>
        <w:t>改革委员会、国务院办公厅，</w:t>
      </w:r>
      <w:r w:rsidRPr="008B7DF0">
        <w:rPr>
          <w:rFonts w:hint="eastAsia"/>
          <w:kern w:val="0"/>
          <w:sz w:val="24"/>
          <w:szCs w:val="24"/>
        </w:rPr>
        <w:t xml:space="preserve">2018 </w:t>
      </w:r>
      <w:r w:rsidRPr="008B7DF0">
        <w:rPr>
          <w:rFonts w:hint="eastAsia"/>
          <w:kern w:val="0"/>
          <w:sz w:val="24"/>
          <w:szCs w:val="24"/>
        </w:rPr>
        <w:t>年</w:t>
      </w:r>
      <w:r w:rsidRPr="008B7DF0">
        <w:rPr>
          <w:rFonts w:hint="eastAsia"/>
          <w:kern w:val="0"/>
          <w:sz w:val="24"/>
          <w:szCs w:val="24"/>
        </w:rPr>
        <w:t xml:space="preserve"> 4 </w:t>
      </w:r>
      <w:r w:rsidRPr="008B7DF0">
        <w:rPr>
          <w:rFonts w:hint="eastAsia"/>
          <w:kern w:val="0"/>
          <w:sz w:val="24"/>
          <w:szCs w:val="24"/>
        </w:rPr>
        <w:t>月至</w:t>
      </w:r>
      <w:r w:rsidRPr="008B7DF0">
        <w:rPr>
          <w:rFonts w:hint="eastAsia"/>
          <w:kern w:val="0"/>
          <w:sz w:val="24"/>
          <w:szCs w:val="24"/>
        </w:rPr>
        <w:t xml:space="preserve"> 2021 </w:t>
      </w:r>
      <w:r w:rsidRPr="008B7DF0">
        <w:rPr>
          <w:rFonts w:hint="eastAsia"/>
          <w:kern w:val="0"/>
          <w:sz w:val="24"/>
          <w:szCs w:val="24"/>
        </w:rPr>
        <w:t>年</w:t>
      </w:r>
      <w:r w:rsidRPr="008B7DF0">
        <w:rPr>
          <w:rFonts w:hint="eastAsia"/>
          <w:kern w:val="0"/>
          <w:sz w:val="24"/>
          <w:szCs w:val="24"/>
        </w:rPr>
        <w:t xml:space="preserve"> 11 </w:t>
      </w:r>
      <w:r w:rsidRPr="008B7DF0">
        <w:rPr>
          <w:rFonts w:hint="eastAsia"/>
          <w:kern w:val="0"/>
          <w:sz w:val="24"/>
          <w:szCs w:val="24"/>
        </w:rPr>
        <w:t>月任本行监事长。刘先生具有丰富的发展改革、财政金融相关工作经验，先后就读于中央财政金融学院金融系、中国人民大学金融学院，获经济学学士、硕士和博士学位，研究员。</w:t>
      </w:r>
    </w:p>
    <w:p w14:paraId="4E44D224" w14:textId="02C1000D" w:rsidR="008B1034" w:rsidRPr="008B7DF0" w:rsidRDefault="008B1034" w:rsidP="008B7DF0">
      <w:pPr>
        <w:adjustRightInd w:val="0"/>
        <w:snapToGrid w:val="0"/>
        <w:spacing w:line="360" w:lineRule="auto"/>
        <w:ind w:firstLineChars="200" w:firstLine="480"/>
        <w:rPr>
          <w:kern w:val="0"/>
          <w:sz w:val="24"/>
          <w:szCs w:val="24"/>
        </w:rPr>
      </w:pPr>
      <w:r w:rsidRPr="008B1034">
        <w:rPr>
          <w:rFonts w:hint="eastAsia"/>
          <w:kern w:val="0"/>
          <w:sz w:val="24"/>
          <w:szCs w:val="24"/>
        </w:rPr>
        <w:t>谢志斌先生，中信银行副行长，分管托管业务。谢先生现兼任中国银联股份有限公司董事。谢先生曾任中国出口信用保险公司党委委员、总经理助理（期间挂职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14:paraId="293BF8A4" w14:textId="77777777" w:rsidR="008B7DF0" w:rsidRDefault="008B7DF0" w:rsidP="008B7DF0">
      <w:pPr>
        <w:adjustRightInd w:val="0"/>
        <w:snapToGrid w:val="0"/>
        <w:spacing w:line="360" w:lineRule="auto"/>
        <w:ind w:firstLineChars="200" w:firstLine="480"/>
        <w:rPr>
          <w:kern w:val="0"/>
          <w:sz w:val="24"/>
          <w:szCs w:val="24"/>
        </w:rPr>
      </w:pPr>
      <w:r w:rsidRPr="008B7DF0">
        <w:rPr>
          <w:rFonts w:hint="eastAsia"/>
          <w:kern w:val="0"/>
          <w:sz w:val="24"/>
          <w:szCs w:val="24"/>
        </w:rPr>
        <w:t>杨璋琪先生，中信银行资产托管部总经理，硕士研究生学历。杨先生</w:t>
      </w:r>
      <w:r w:rsidRPr="008B7DF0">
        <w:rPr>
          <w:rFonts w:hint="eastAsia"/>
          <w:kern w:val="0"/>
          <w:sz w:val="24"/>
          <w:szCs w:val="24"/>
        </w:rPr>
        <w:t>2018</w:t>
      </w:r>
      <w:r w:rsidRPr="008B7DF0">
        <w:rPr>
          <w:rFonts w:hint="eastAsia"/>
          <w:kern w:val="0"/>
          <w:sz w:val="24"/>
          <w:szCs w:val="24"/>
        </w:rPr>
        <w:t>年</w:t>
      </w:r>
      <w:r w:rsidRPr="008B7DF0">
        <w:rPr>
          <w:rFonts w:hint="eastAsia"/>
          <w:kern w:val="0"/>
          <w:sz w:val="24"/>
          <w:szCs w:val="24"/>
        </w:rPr>
        <w:t>1</w:t>
      </w:r>
      <w:r w:rsidRPr="008B7DF0">
        <w:rPr>
          <w:rFonts w:hint="eastAsia"/>
          <w:kern w:val="0"/>
          <w:sz w:val="24"/>
          <w:szCs w:val="24"/>
        </w:rPr>
        <w:t>月至</w:t>
      </w:r>
      <w:r w:rsidRPr="008B7DF0">
        <w:rPr>
          <w:rFonts w:hint="eastAsia"/>
          <w:kern w:val="0"/>
          <w:sz w:val="24"/>
          <w:szCs w:val="24"/>
        </w:rPr>
        <w:t>2019</w:t>
      </w:r>
      <w:r w:rsidRPr="008B7DF0">
        <w:rPr>
          <w:rFonts w:hint="eastAsia"/>
          <w:kern w:val="0"/>
          <w:sz w:val="24"/>
          <w:szCs w:val="24"/>
        </w:rPr>
        <w:t>年</w:t>
      </w:r>
      <w:r w:rsidRPr="008B7DF0">
        <w:rPr>
          <w:rFonts w:hint="eastAsia"/>
          <w:kern w:val="0"/>
          <w:sz w:val="24"/>
          <w:szCs w:val="24"/>
        </w:rPr>
        <w:t>3</w:t>
      </w:r>
      <w:r w:rsidRPr="008B7DF0">
        <w:rPr>
          <w:rFonts w:hint="eastAsia"/>
          <w:kern w:val="0"/>
          <w:sz w:val="24"/>
          <w:szCs w:val="24"/>
        </w:rPr>
        <w:t>月，任中信银行金融同业部副总经理；</w:t>
      </w:r>
      <w:r w:rsidRPr="008B7DF0">
        <w:rPr>
          <w:rFonts w:hint="eastAsia"/>
          <w:kern w:val="0"/>
          <w:sz w:val="24"/>
          <w:szCs w:val="24"/>
        </w:rPr>
        <w:t>2015</w:t>
      </w:r>
      <w:r w:rsidRPr="008B7DF0">
        <w:rPr>
          <w:rFonts w:hint="eastAsia"/>
          <w:kern w:val="0"/>
          <w:sz w:val="24"/>
          <w:szCs w:val="24"/>
        </w:rPr>
        <w:t>年</w:t>
      </w:r>
      <w:r w:rsidRPr="008B7DF0">
        <w:rPr>
          <w:rFonts w:hint="eastAsia"/>
          <w:kern w:val="0"/>
          <w:sz w:val="24"/>
          <w:szCs w:val="24"/>
        </w:rPr>
        <w:t>5</w:t>
      </w:r>
      <w:r w:rsidRPr="008B7DF0">
        <w:rPr>
          <w:rFonts w:hint="eastAsia"/>
          <w:kern w:val="0"/>
          <w:sz w:val="24"/>
          <w:szCs w:val="24"/>
        </w:rPr>
        <w:t>月至</w:t>
      </w:r>
      <w:r w:rsidRPr="008B7DF0">
        <w:rPr>
          <w:rFonts w:hint="eastAsia"/>
          <w:kern w:val="0"/>
          <w:sz w:val="24"/>
          <w:szCs w:val="24"/>
        </w:rPr>
        <w:t>2018</w:t>
      </w:r>
      <w:r w:rsidRPr="008B7DF0">
        <w:rPr>
          <w:rFonts w:hint="eastAsia"/>
          <w:kern w:val="0"/>
          <w:sz w:val="24"/>
          <w:szCs w:val="24"/>
        </w:rPr>
        <w:t>年</w:t>
      </w:r>
      <w:r w:rsidRPr="008B7DF0">
        <w:rPr>
          <w:rFonts w:hint="eastAsia"/>
          <w:kern w:val="0"/>
          <w:sz w:val="24"/>
          <w:szCs w:val="24"/>
        </w:rPr>
        <w:t>1</w:t>
      </w:r>
      <w:r w:rsidRPr="008B7DF0">
        <w:rPr>
          <w:rFonts w:hint="eastAsia"/>
          <w:kern w:val="0"/>
          <w:sz w:val="24"/>
          <w:szCs w:val="24"/>
        </w:rPr>
        <w:t>月，任中信银行长春分行副行长；</w:t>
      </w:r>
      <w:r w:rsidRPr="008B7DF0">
        <w:rPr>
          <w:rFonts w:hint="eastAsia"/>
          <w:kern w:val="0"/>
          <w:sz w:val="24"/>
          <w:szCs w:val="24"/>
        </w:rPr>
        <w:t>2013</w:t>
      </w:r>
      <w:r w:rsidRPr="008B7DF0">
        <w:rPr>
          <w:rFonts w:hint="eastAsia"/>
          <w:kern w:val="0"/>
          <w:sz w:val="24"/>
          <w:szCs w:val="24"/>
        </w:rPr>
        <w:t>年</w:t>
      </w:r>
      <w:r w:rsidRPr="008B7DF0">
        <w:rPr>
          <w:rFonts w:hint="eastAsia"/>
          <w:kern w:val="0"/>
          <w:sz w:val="24"/>
          <w:szCs w:val="24"/>
        </w:rPr>
        <w:t>4</w:t>
      </w:r>
      <w:r w:rsidRPr="008B7DF0">
        <w:rPr>
          <w:rFonts w:hint="eastAsia"/>
          <w:kern w:val="0"/>
          <w:sz w:val="24"/>
          <w:szCs w:val="24"/>
        </w:rPr>
        <w:t>月至</w:t>
      </w:r>
      <w:r w:rsidRPr="008B7DF0">
        <w:rPr>
          <w:rFonts w:hint="eastAsia"/>
          <w:kern w:val="0"/>
          <w:sz w:val="24"/>
          <w:szCs w:val="24"/>
        </w:rPr>
        <w:t>2015</w:t>
      </w:r>
      <w:r w:rsidRPr="008B7DF0">
        <w:rPr>
          <w:rFonts w:hint="eastAsia"/>
          <w:kern w:val="0"/>
          <w:sz w:val="24"/>
          <w:szCs w:val="24"/>
        </w:rPr>
        <w:t>年</w:t>
      </w:r>
      <w:r w:rsidRPr="008B7DF0">
        <w:rPr>
          <w:rFonts w:hint="eastAsia"/>
          <w:kern w:val="0"/>
          <w:sz w:val="24"/>
          <w:szCs w:val="24"/>
        </w:rPr>
        <w:t>5</w:t>
      </w:r>
      <w:r w:rsidRPr="008B7DF0">
        <w:rPr>
          <w:rFonts w:hint="eastAsia"/>
          <w:kern w:val="0"/>
          <w:sz w:val="24"/>
          <w:szCs w:val="24"/>
        </w:rPr>
        <w:t>月，任中信银行机构业务部总经理助理；</w:t>
      </w:r>
      <w:r w:rsidRPr="008B7DF0">
        <w:rPr>
          <w:rFonts w:hint="eastAsia"/>
          <w:kern w:val="0"/>
          <w:sz w:val="24"/>
          <w:szCs w:val="24"/>
        </w:rPr>
        <w:t>1996</w:t>
      </w:r>
      <w:r w:rsidRPr="008B7DF0">
        <w:rPr>
          <w:rFonts w:hint="eastAsia"/>
          <w:kern w:val="0"/>
          <w:sz w:val="24"/>
          <w:szCs w:val="24"/>
        </w:rPr>
        <w:t>年</w:t>
      </w:r>
      <w:r w:rsidRPr="008B7DF0">
        <w:rPr>
          <w:rFonts w:hint="eastAsia"/>
          <w:kern w:val="0"/>
          <w:sz w:val="24"/>
          <w:szCs w:val="24"/>
        </w:rPr>
        <w:t>7</w:t>
      </w:r>
      <w:r w:rsidRPr="008B7DF0">
        <w:rPr>
          <w:rFonts w:hint="eastAsia"/>
          <w:kern w:val="0"/>
          <w:sz w:val="24"/>
          <w:szCs w:val="24"/>
        </w:rPr>
        <w:t>月至</w:t>
      </w:r>
      <w:r w:rsidRPr="008B7DF0">
        <w:rPr>
          <w:rFonts w:hint="eastAsia"/>
          <w:kern w:val="0"/>
          <w:sz w:val="24"/>
          <w:szCs w:val="24"/>
        </w:rPr>
        <w:t>2013</w:t>
      </w:r>
      <w:r w:rsidRPr="008B7DF0">
        <w:rPr>
          <w:rFonts w:hint="eastAsia"/>
          <w:kern w:val="0"/>
          <w:sz w:val="24"/>
          <w:szCs w:val="24"/>
        </w:rPr>
        <w:t>年</w:t>
      </w:r>
      <w:r w:rsidRPr="008B7DF0">
        <w:rPr>
          <w:rFonts w:hint="eastAsia"/>
          <w:kern w:val="0"/>
          <w:sz w:val="24"/>
          <w:szCs w:val="24"/>
        </w:rPr>
        <w:t>4</w:t>
      </w:r>
      <w:r w:rsidRPr="008B7DF0">
        <w:rPr>
          <w:rFonts w:hint="eastAsia"/>
          <w:kern w:val="0"/>
          <w:sz w:val="24"/>
          <w:szCs w:val="24"/>
        </w:rPr>
        <w:t>月，就职于中信银行北京分行（原总行营业部），历任支行行长、投资银行部总经理、贸易金融部总经理。</w:t>
      </w:r>
    </w:p>
    <w:p w14:paraId="7CBE64AC" w14:textId="77777777" w:rsidR="008B7DF0" w:rsidRDefault="008B7DF0" w:rsidP="008B7DF0">
      <w:pPr>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、基金托管业务经营情况</w:t>
      </w:r>
    </w:p>
    <w:p w14:paraId="2F29040F" w14:textId="77777777" w:rsidR="008B7DF0" w:rsidRPr="008B7DF0" w:rsidRDefault="008B7DF0" w:rsidP="008B7DF0">
      <w:pPr>
        <w:adjustRightInd w:val="0"/>
        <w:snapToGrid w:val="0"/>
        <w:spacing w:line="360" w:lineRule="auto"/>
        <w:ind w:firstLineChars="200" w:firstLine="480"/>
        <w:rPr>
          <w:kern w:val="0"/>
          <w:sz w:val="24"/>
          <w:szCs w:val="24"/>
        </w:rPr>
      </w:pPr>
      <w:r w:rsidRPr="008B7DF0">
        <w:rPr>
          <w:rFonts w:hint="eastAsia"/>
          <w:kern w:val="0"/>
          <w:sz w:val="24"/>
          <w:szCs w:val="24"/>
        </w:rPr>
        <w:t xml:space="preserve">2004 </w:t>
      </w:r>
      <w:r w:rsidRPr="008B7DF0">
        <w:rPr>
          <w:rFonts w:hint="eastAsia"/>
          <w:kern w:val="0"/>
          <w:sz w:val="24"/>
          <w:szCs w:val="24"/>
        </w:rPr>
        <w:t>年</w:t>
      </w:r>
      <w:r w:rsidRPr="008B7DF0">
        <w:rPr>
          <w:rFonts w:hint="eastAsia"/>
          <w:kern w:val="0"/>
          <w:sz w:val="24"/>
          <w:szCs w:val="24"/>
        </w:rPr>
        <w:t xml:space="preserve">8 </w:t>
      </w:r>
      <w:r w:rsidRPr="008B7DF0">
        <w:rPr>
          <w:rFonts w:hint="eastAsia"/>
          <w:kern w:val="0"/>
          <w:sz w:val="24"/>
          <w:szCs w:val="24"/>
        </w:rPr>
        <w:t>月</w:t>
      </w:r>
      <w:r w:rsidRPr="008B7DF0">
        <w:rPr>
          <w:rFonts w:hint="eastAsia"/>
          <w:kern w:val="0"/>
          <w:sz w:val="24"/>
          <w:szCs w:val="24"/>
        </w:rPr>
        <w:t xml:space="preserve">18 </w:t>
      </w:r>
      <w:r w:rsidRPr="008B7DF0">
        <w:rPr>
          <w:rFonts w:hint="eastAsia"/>
          <w:kern w:val="0"/>
          <w:sz w:val="24"/>
          <w:szCs w:val="24"/>
        </w:rPr>
        <w:t>日，中信银行经中国证券监督管理委员会和中国银行业监督管理委员会批准，取得基金托管人资格。中信银行本着“诚实信用、勤勉尽责”的原则，切实履行托管人职责。</w:t>
      </w:r>
    </w:p>
    <w:p w14:paraId="6A6D8C2C" w14:textId="6E8107C8" w:rsidR="0004536B" w:rsidRDefault="008B7DF0">
      <w:pPr>
        <w:adjustRightInd w:val="0"/>
        <w:snapToGrid w:val="0"/>
        <w:spacing w:line="360" w:lineRule="auto"/>
        <w:ind w:firstLineChars="200" w:firstLine="480"/>
        <w:rPr>
          <w:kern w:val="0"/>
          <w:sz w:val="24"/>
          <w:szCs w:val="24"/>
        </w:rPr>
      </w:pPr>
      <w:r w:rsidRPr="008B7DF0">
        <w:rPr>
          <w:rFonts w:hint="eastAsia"/>
          <w:kern w:val="0"/>
          <w:sz w:val="24"/>
          <w:szCs w:val="24"/>
        </w:rPr>
        <w:t>截至</w:t>
      </w:r>
      <w:r w:rsidRPr="008B7DF0">
        <w:rPr>
          <w:rFonts w:hint="eastAsia"/>
          <w:kern w:val="0"/>
          <w:sz w:val="24"/>
          <w:szCs w:val="24"/>
        </w:rPr>
        <w:t>2023</w:t>
      </w:r>
      <w:r w:rsidRPr="008B7DF0">
        <w:rPr>
          <w:rFonts w:hint="eastAsia"/>
          <w:kern w:val="0"/>
          <w:sz w:val="24"/>
          <w:szCs w:val="24"/>
        </w:rPr>
        <w:t>年二季度末，中信银行托管</w:t>
      </w:r>
      <w:r w:rsidRPr="008B7DF0">
        <w:rPr>
          <w:rFonts w:hint="eastAsia"/>
          <w:kern w:val="0"/>
          <w:sz w:val="24"/>
          <w:szCs w:val="24"/>
        </w:rPr>
        <w:t>341</w:t>
      </w:r>
      <w:r w:rsidRPr="008B7DF0">
        <w:rPr>
          <w:rFonts w:hint="eastAsia"/>
          <w:kern w:val="0"/>
          <w:sz w:val="24"/>
          <w:szCs w:val="24"/>
        </w:rPr>
        <w:t>只公开募集证券投资基金，以及基金公司、证券公司资产管理产品、信托产品、企业年金、股权基金、</w:t>
      </w:r>
      <w:r w:rsidRPr="008B7DF0">
        <w:rPr>
          <w:rFonts w:hint="eastAsia"/>
          <w:kern w:val="0"/>
          <w:sz w:val="24"/>
          <w:szCs w:val="24"/>
        </w:rPr>
        <w:t>QDII</w:t>
      </w:r>
      <w:r w:rsidRPr="008B7DF0">
        <w:rPr>
          <w:rFonts w:hint="eastAsia"/>
          <w:kern w:val="0"/>
          <w:sz w:val="24"/>
          <w:szCs w:val="24"/>
        </w:rPr>
        <w:t>等其他托管资产，托管总规模达到</w:t>
      </w:r>
      <w:r w:rsidRPr="008B7DF0">
        <w:rPr>
          <w:rFonts w:hint="eastAsia"/>
          <w:kern w:val="0"/>
          <w:sz w:val="24"/>
          <w:szCs w:val="24"/>
        </w:rPr>
        <w:t>14.11</w:t>
      </w:r>
      <w:r w:rsidRPr="008B7DF0">
        <w:rPr>
          <w:rFonts w:hint="eastAsia"/>
          <w:kern w:val="0"/>
          <w:sz w:val="24"/>
          <w:szCs w:val="24"/>
        </w:rPr>
        <w:t>万亿元人民币。</w:t>
      </w:r>
    </w:p>
    <w:p w14:paraId="07A759A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（二）基金托管人的内部风险控制制度说明</w:t>
      </w:r>
    </w:p>
    <w:p w14:paraId="3A2794E4"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1B87C945"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w:t>
      </w:r>
      <w:r>
        <w:rPr>
          <w:rFonts w:hint="eastAsia"/>
          <w:kern w:val="0"/>
          <w:sz w:val="24"/>
          <w:szCs w:val="24"/>
        </w:rPr>
        <w:t xml:space="preserve"> </w:t>
      </w:r>
      <w:r>
        <w:rPr>
          <w:rFonts w:hint="eastAsia"/>
          <w:kern w:val="0"/>
          <w:sz w:val="24"/>
          <w:szCs w:val="24"/>
        </w:rPr>
        <w:t>内部控制组织结构。中信银行总行建立了风险管理委员会，负责全行的风</w:t>
      </w:r>
      <w:r>
        <w:rPr>
          <w:rFonts w:hint="eastAsia"/>
          <w:kern w:val="0"/>
          <w:sz w:val="24"/>
          <w:szCs w:val="24"/>
        </w:rPr>
        <w:lastRenderedPageBreak/>
        <w:t>险控制和风险防范工作；托管部内设内控合规岗，专门负责托管部内部风险控制，对基金托管业务的各个工作环节和业务流程进行独立、客观、公正的稽核监察。</w:t>
      </w:r>
    </w:p>
    <w:p w14:paraId="434118C2"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335FA943" w14:textId="77777777" w:rsidR="0004536B" w:rsidRDefault="003574EC">
      <w:pPr>
        <w:adjustRightInd w:val="0"/>
        <w:snapToGrid w:val="0"/>
        <w:spacing w:line="360" w:lineRule="auto"/>
        <w:ind w:firstLineChars="200" w:firstLine="480"/>
        <w:rPr>
          <w:kern w:val="0"/>
          <w:sz w:val="24"/>
          <w:szCs w:val="24"/>
        </w:rPr>
      </w:pPr>
      <w:r>
        <w:rPr>
          <w:rFonts w:hint="eastAsia"/>
          <w:kern w:val="0"/>
          <w:sz w:val="24"/>
          <w:szCs w:val="24"/>
        </w:rPr>
        <w:t>4</w:t>
      </w:r>
      <w:r>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77ED408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（三）基金托管人对基金管理人运作基金进行监督的方法和程序</w:t>
      </w:r>
    </w:p>
    <w:p w14:paraId="63D2AA41" w14:textId="236C93B9" w:rsidR="0004536B" w:rsidRDefault="003574EC">
      <w:pPr>
        <w:adjustRightInd w:val="0"/>
        <w:snapToGrid w:val="0"/>
        <w:spacing w:line="360" w:lineRule="auto"/>
        <w:ind w:firstLineChars="200" w:firstLine="480"/>
        <w:rPr>
          <w:kern w:val="0"/>
          <w:sz w:val="24"/>
          <w:szCs w:val="24"/>
        </w:rPr>
      </w:pPr>
      <w:r>
        <w:rPr>
          <w:rFonts w:hint="eastAsia"/>
          <w:kern w:val="0"/>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23DA66A4" w14:textId="77777777" w:rsidR="0004536B" w:rsidRDefault="003574EC">
      <w:pPr>
        <w:adjustRightInd w:val="0"/>
        <w:snapToGrid w:val="0"/>
        <w:spacing w:line="360" w:lineRule="auto"/>
        <w:ind w:firstLineChars="200" w:firstLine="480"/>
        <w:rPr>
          <w:color w:val="000000"/>
          <w:sz w:val="24"/>
          <w:szCs w:val="24"/>
        </w:rPr>
      </w:pPr>
      <w:r>
        <w:rPr>
          <w:rFonts w:hint="eastAsia"/>
          <w:kern w:val="0"/>
          <w:sz w:val="24"/>
          <w:szCs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0CA0720E" w14:textId="77777777" w:rsidR="0004536B" w:rsidRDefault="003574E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r>
        <w:rPr>
          <w:rFonts w:ascii="宋体" w:hAnsi="宋体"/>
          <w:b/>
          <w:kern w:val="0"/>
          <w:sz w:val="30"/>
        </w:rPr>
        <w:br w:type="page"/>
      </w:r>
      <w:bookmarkStart w:id="14" w:name="_Toc139631553"/>
      <w:r>
        <w:rPr>
          <w:rFonts w:ascii="宋体" w:hAnsi="宋体" w:hint="eastAsia"/>
          <w:b/>
          <w:kern w:val="0"/>
          <w:sz w:val="30"/>
        </w:rPr>
        <w:lastRenderedPageBreak/>
        <w:t>五、相关服务机构</w:t>
      </w:r>
      <w:bookmarkEnd w:id="13"/>
      <w:bookmarkEnd w:id="14"/>
    </w:p>
    <w:p w14:paraId="024439B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（一）基金份额销售机构</w:t>
      </w:r>
    </w:p>
    <w:p w14:paraId="0E66BE8E" w14:textId="77777777" w:rsidR="0004536B" w:rsidRPr="00562781" w:rsidRDefault="003574EC" w:rsidP="00562781">
      <w:pPr>
        <w:adjustRightInd w:val="0"/>
        <w:snapToGrid w:val="0"/>
        <w:spacing w:line="360" w:lineRule="auto"/>
        <w:ind w:firstLineChars="200" w:firstLine="480"/>
        <w:rPr>
          <w:kern w:val="0"/>
          <w:sz w:val="24"/>
          <w:szCs w:val="24"/>
        </w:rPr>
      </w:pPr>
      <w:r w:rsidRPr="00562781">
        <w:rPr>
          <w:kern w:val="0"/>
          <w:sz w:val="24"/>
          <w:szCs w:val="24"/>
        </w:rPr>
        <w:t>1</w:t>
      </w:r>
      <w:r w:rsidRPr="00562781">
        <w:rPr>
          <w:kern w:val="0"/>
          <w:sz w:val="24"/>
          <w:szCs w:val="24"/>
        </w:rPr>
        <w:t>、直销机构</w:t>
      </w:r>
    </w:p>
    <w:p w14:paraId="16A91359" w14:textId="77777777" w:rsidR="0004536B" w:rsidRDefault="003574EC">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14:paraId="6F580BEE" w14:textId="77777777" w:rsidR="0004536B" w:rsidRDefault="003574EC">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14:paraId="1FCE980F" w14:textId="77777777" w:rsidR="0004536B" w:rsidRDefault="003574EC">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14:paraId="53AC2ED2" w14:textId="77777777" w:rsidR="0004536B" w:rsidRDefault="003574EC">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0F8D110C" w14:textId="77777777" w:rsidR="0004536B" w:rsidRDefault="003574EC">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14:paraId="31D3BC46" w14:textId="77777777" w:rsidR="0004536B" w:rsidRDefault="003574EC">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14:paraId="22EA84C6" w14:textId="77777777" w:rsidR="0004536B" w:rsidRDefault="003574EC">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14:paraId="19F47460" w14:textId="77777777" w:rsidR="0004536B" w:rsidRDefault="003574EC">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14:paraId="5221558D" w14:textId="77777777" w:rsidR="0004536B" w:rsidRDefault="003574EC">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63DBD16C" w14:textId="77777777" w:rsidR="0004536B" w:rsidRDefault="003574EC">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14:paraId="02FDF5DA" w14:textId="77777777" w:rsidR="0004536B" w:rsidRDefault="003574EC">
      <w:pPr>
        <w:adjustRightInd w:val="0"/>
        <w:snapToGrid w:val="0"/>
        <w:spacing w:line="360" w:lineRule="auto"/>
        <w:ind w:firstLineChars="200" w:firstLine="480"/>
        <w:rPr>
          <w:rStyle w:val="af7"/>
          <w:color w:val="auto"/>
          <w:sz w:val="24"/>
          <w:u w:val="none"/>
        </w:rPr>
      </w:pPr>
      <w:r>
        <w:rPr>
          <w:rFonts w:hAnsi="宋体"/>
          <w:sz w:val="24"/>
        </w:rPr>
        <w:t>网址：</w:t>
      </w:r>
      <w:r>
        <w:rPr>
          <w:rFonts w:hAnsi="宋体" w:hint="eastAsia"/>
          <w:sz w:val="24"/>
        </w:rPr>
        <w:t>www.fund001.com</w:t>
      </w:r>
    </w:p>
    <w:p w14:paraId="63CD68F6" w14:textId="77777777" w:rsidR="0004536B" w:rsidRDefault="003574EC">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网上直销交易平台办理开户、本基金的认购、申购、赎回等业务，具体交易细则请参阅</w:t>
      </w:r>
      <w:r>
        <w:rPr>
          <w:rFonts w:hAnsi="宋体" w:hint="eastAsia"/>
          <w:kern w:val="0"/>
          <w:sz w:val="24"/>
          <w:szCs w:val="24"/>
        </w:rPr>
        <w:t>基金管理人</w:t>
      </w:r>
      <w:r>
        <w:rPr>
          <w:kern w:val="0"/>
          <w:sz w:val="24"/>
        </w:rPr>
        <w:t>网站。</w:t>
      </w:r>
    </w:p>
    <w:p w14:paraId="5A408B1F" w14:textId="77777777" w:rsidR="0004536B" w:rsidRDefault="003574EC">
      <w:pPr>
        <w:widowControl/>
        <w:adjustRightInd w:val="0"/>
        <w:snapToGrid w:val="0"/>
        <w:spacing w:line="360" w:lineRule="auto"/>
        <w:ind w:firstLineChars="200" w:firstLine="480"/>
        <w:rPr>
          <w:rStyle w:val="af7"/>
          <w:color w:val="auto"/>
          <w:kern w:val="0"/>
          <w:sz w:val="24"/>
          <w:u w:val="none"/>
        </w:rPr>
      </w:pPr>
      <w:r>
        <w:rPr>
          <w:kern w:val="0"/>
          <w:sz w:val="24"/>
        </w:rPr>
        <w:t>网上直销交易平台网址：</w:t>
      </w:r>
      <w:hyperlink r:id="rId10" w:history="1">
        <w:r>
          <w:rPr>
            <w:rStyle w:val="af7"/>
            <w:color w:val="auto"/>
            <w:sz w:val="24"/>
            <w:u w:val="none"/>
          </w:rPr>
          <w:t>www.fund001.com</w:t>
        </w:r>
      </w:hyperlink>
      <w:r>
        <w:rPr>
          <w:rStyle w:val="af7"/>
          <w:color w:val="auto"/>
          <w:sz w:val="24"/>
          <w:u w:val="none"/>
        </w:rPr>
        <w:t>。</w:t>
      </w:r>
    </w:p>
    <w:p w14:paraId="7926085D" w14:textId="77777777" w:rsidR="0004536B" w:rsidRPr="00562781" w:rsidRDefault="003574EC" w:rsidP="00562781">
      <w:pPr>
        <w:adjustRightInd w:val="0"/>
        <w:snapToGrid w:val="0"/>
        <w:spacing w:line="360" w:lineRule="auto"/>
        <w:ind w:firstLineChars="200" w:firstLine="480"/>
        <w:rPr>
          <w:kern w:val="0"/>
          <w:sz w:val="24"/>
          <w:szCs w:val="24"/>
        </w:rPr>
      </w:pPr>
      <w:r w:rsidRPr="00562781">
        <w:rPr>
          <w:rFonts w:hint="eastAsia"/>
          <w:kern w:val="0"/>
          <w:sz w:val="24"/>
          <w:szCs w:val="24"/>
        </w:rPr>
        <w:t>2</w:t>
      </w:r>
      <w:r w:rsidRPr="00562781">
        <w:rPr>
          <w:rFonts w:hint="eastAsia"/>
          <w:kern w:val="0"/>
          <w:sz w:val="24"/>
          <w:szCs w:val="24"/>
        </w:rPr>
        <w:t>、除基金管理人之外的其他销售机构</w:t>
      </w:r>
    </w:p>
    <w:p w14:paraId="431BCB66" w14:textId="053C8CCB" w:rsidR="0004536B" w:rsidRDefault="00C97D3A">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003574EC">
        <w:rPr>
          <w:rFonts w:hAnsi="宋体" w:hint="eastAsia"/>
          <w:sz w:val="24"/>
        </w:rPr>
        <w:t>中信银行股份有限公司</w:t>
      </w:r>
    </w:p>
    <w:p w14:paraId="1C56EC63" w14:textId="77777777" w:rsidR="0004536B" w:rsidRDefault="003574EC">
      <w:pPr>
        <w:adjustRightInd w:val="0"/>
        <w:snapToGrid w:val="0"/>
        <w:spacing w:line="360" w:lineRule="auto"/>
        <w:ind w:firstLineChars="200" w:firstLine="480"/>
        <w:rPr>
          <w:rFonts w:hAnsi="宋体"/>
          <w:sz w:val="24"/>
        </w:rPr>
      </w:pPr>
      <w:r>
        <w:rPr>
          <w:rFonts w:hAnsi="宋体" w:hint="eastAsia"/>
          <w:sz w:val="24"/>
        </w:rPr>
        <w:t>住所：北京市朝阳区光华路</w:t>
      </w:r>
      <w:r>
        <w:rPr>
          <w:rFonts w:hAnsi="宋体" w:hint="eastAsia"/>
          <w:sz w:val="24"/>
        </w:rPr>
        <w:t>10</w:t>
      </w:r>
      <w:r>
        <w:rPr>
          <w:rFonts w:hAnsi="宋体" w:hint="eastAsia"/>
          <w:sz w:val="24"/>
        </w:rPr>
        <w:t>号院</w:t>
      </w:r>
      <w:r>
        <w:rPr>
          <w:rFonts w:hAnsi="宋体" w:hint="eastAsia"/>
          <w:sz w:val="24"/>
        </w:rPr>
        <w:t>1</w:t>
      </w:r>
      <w:r>
        <w:rPr>
          <w:rFonts w:hAnsi="宋体" w:hint="eastAsia"/>
          <w:sz w:val="24"/>
        </w:rPr>
        <w:t>号楼</w:t>
      </w:r>
    </w:p>
    <w:p w14:paraId="4DB74DC2"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办公地址：北京市朝阳区光华路</w:t>
      </w:r>
      <w:r>
        <w:rPr>
          <w:rFonts w:hAnsi="宋体" w:hint="eastAsia"/>
          <w:sz w:val="24"/>
        </w:rPr>
        <w:t>10</w:t>
      </w:r>
      <w:r>
        <w:rPr>
          <w:rFonts w:hAnsi="宋体" w:hint="eastAsia"/>
          <w:sz w:val="24"/>
        </w:rPr>
        <w:t>号院</w:t>
      </w:r>
      <w:r>
        <w:rPr>
          <w:rFonts w:hAnsi="宋体" w:hint="eastAsia"/>
          <w:sz w:val="24"/>
        </w:rPr>
        <w:t>1</w:t>
      </w:r>
      <w:r>
        <w:rPr>
          <w:rFonts w:hAnsi="宋体" w:hint="eastAsia"/>
          <w:sz w:val="24"/>
        </w:rPr>
        <w:t>号楼</w:t>
      </w:r>
    </w:p>
    <w:p w14:paraId="0C2EE35F" w14:textId="6714825C" w:rsidR="0004536B" w:rsidRDefault="003574EC">
      <w:pPr>
        <w:adjustRightInd w:val="0"/>
        <w:snapToGrid w:val="0"/>
        <w:spacing w:line="360" w:lineRule="auto"/>
        <w:ind w:firstLineChars="200" w:firstLine="480"/>
        <w:rPr>
          <w:rFonts w:hAnsi="宋体"/>
          <w:sz w:val="24"/>
        </w:rPr>
      </w:pPr>
      <w:r>
        <w:rPr>
          <w:rFonts w:hAnsi="宋体" w:hint="eastAsia"/>
          <w:sz w:val="24"/>
        </w:rPr>
        <w:t>法定代表人：</w:t>
      </w:r>
      <w:r w:rsidR="00AA417D" w:rsidRPr="00AA417D">
        <w:rPr>
          <w:rFonts w:hAnsi="宋体" w:hint="eastAsia"/>
          <w:sz w:val="24"/>
        </w:rPr>
        <w:t>方合英</w:t>
      </w:r>
    </w:p>
    <w:p w14:paraId="7DD56975" w14:textId="77777777" w:rsidR="0004536B" w:rsidRDefault="003574EC">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89936330</w:t>
      </w:r>
    </w:p>
    <w:p w14:paraId="7F3BA550" w14:textId="77777777" w:rsidR="0004536B" w:rsidRDefault="003574EC">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85230024</w:t>
      </w:r>
    </w:p>
    <w:p w14:paraId="2E41D8FD" w14:textId="77777777" w:rsidR="0004536B" w:rsidRDefault="003574EC">
      <w:pPr>
        <w:adjustRightInd w:val="0"/>
        <w:snapToGrid w:val="0"/>
        <w:spacing w:line="360" w:lineRule="auto"/>
        <w:ind w:firstLineChars="200" w:firstLine="480"/>
        <w:rPr>
          <w:rFonts w:hAnsi="宋体"/>
          <w:sz w:val="24"/>
        </w:rPr>
      </w:pPr>
      <w:r>
        <w:rPr>
          <w:rFonts w:hAnsi="宋体" w:hint="eastAsia"/>
          <w:sz w:val="24"/>
        </w:rPr>
        <w:t>联系人：丰靖</w:t>
      </w:r>
    </w:p>
    <w:p w14:paraId="2F2E1D2E"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95558</w:t>
      </w:r>
    </w:p>
    <w:p w14:paraId="17223B31" w14:textId="1C69DA8F" w:rsidR="0004536B" w:rsidRDefault="003574EC">
      <w:pPr>
        <w:adjustRightInd w:val="0"/>
        <w:snapToGrid w:val="0"/>
        <w:spacing w:line="360" w:lineRule="auto"/>
        <w:ind w:firstLineChars="200" w:firstLine="480"/>
        <w:rPr>
          <w:rFonts w:hAnsi="宋体"/>
          <w:sz w:val="24"/>
        </w:rPr>
      </w:pPr>
      <w:r>
        <w:rPr>
          <w:rFonts w:hAnsi="宋体" w:hint="eastAsia"/>
          <w:sz w:val="24"/>
        </w:rPr>
        <w:lastRenderedPageBreak/>
        <w:t>网址：</w:t>
      </w:r>
      <w:r>
        <w:rPr>
          <w:rFonts w:hAnsi="宋体" w:hint="eastAsia"/>
          <w:sz w:val="24"/>
        </w:rPr>
        <w:t>bank.ecitic.com</w:t>
      </w:r>
    </w:p>
    <w:p w14:paraId="2607C6AA" w14:textId="77777777" w:rsidR="00C97D3A" w:rsidRP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w:t>
      </w:r>
      <w:r w:rsidRPr="00C97D3A">
        <w:rPr>
          <w:rFonts w:hAnsi="宋体" w:hint="eastAsia"/>
          <w:sz w:val="24"/>
        </w:rPr>
        <w:t>2</w:t>
      </w:r>
      <w:r w:rsidRPr="00C97D3A">
        <w:rPr>
          <w:rFonts w:hAnsi="宋体" w:hint="eastAsia"/>
          <w:sz w:val="24"/>
        </w:rPr>
        <w:t>）交通银行股份有限公司</w:t>
      </w:r>
    </w:p>
    <w:p w14:paraId="135D29B3" w14:textId="77777777" w:rsidR="00C97D3A" w:rsidRP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住所：上海市浦东新区银城中路</w:t>
      </w:r>
      <w:r w:rsidRPr="00C97D3A">
        <w:rPr>
          <w:rFonts w:hAnsi="宋体" w:hint="eastAsia"/>
          <w:sz w:val="24"/>
        </w:rPr>
        <w:t>188</w:t>
      </w:r>
      <w:r w:rsidRPr="00C97D3A">
        <w:rPr>
          <w:rFonts w:hAnsi="宋体" w:hint="eastAsia"/>
          <w:sz w:val="24"/>
        </w:rPr>
        <w:t>号</w:t>
      </w:r>
    </w:p>
    <w:p w14:paraId="78156581" w14:textId="77777777" w:rsidR="00C97D3A" w:rsidRP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办公地址：上海市浦东新区银城中路</w:t>
      </w:r>
      <w:r w:rsidRPr="00C97D3A">
        <w:rPr>
          <w:rFonts w:hAnsi="宋体" w:hint="eastAsia"/>
          <w:sz w:val="24"/>
        </w:rPr>
        <w:t>188</w:t>
      </w:r>
      <w:r w:rsidRPr="00C97D3A">
        <w:rPr>
          <w:rFonts w:hAnsi="宋体" w:hint="eastAsia"/>
          <w:sz w:val="24"/>
        </w:rPr>
        <w:t>号</w:t>
      </w:r>
    </w:p>
    <w:p w14:paraId="67E40FE1" w14:textId="77777777" w:rsidR="00C97D3A" w:rsidRP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法定代表人：任德奇</w:t>
      </w:r>
    </w:p>
    <w:p w14:paraId="33421B0F" w14:textId="77777777" w:rsidR="00C97D3A" w:rsidRP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电话：（</w:t>
      </w:r>
      <w:r w:rsidRPr="00C97D3A">
        <w:rPr>
          <w:rFonts w:hAnsi="宋体" w:hint="eastAsia"/>
          <w:sz w:val="24"/>
        </w:rPr>
        <w:t>021</w:t>
      </w:r>
      <w:r w:rsidRPr="00C97D3A">
        <w:rPr>
          <w:rFonts w:hAnsi="宋体" w:hint="eastAsia"/>
          <w:sz w:val="24"/>
        </w:rPr>
        <w:t>）</w:t>
      </w:r>
      <w:r w:rsidRPr="00C97D3A">
        <w:rPr>
          <w:rFonts w:hAnsi="宋体" w:hint="eastAsia"/>
          <w:sz w:val="24"/>
        </w:rPr>
        <w:t>58781234</w:t>
      </w:r>
    </w:p>
    <w:p w14:paraId="0A14CCA5" w14:textId="77777777" w:rsidR="00C97D3A" w:rsidRP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传真：（</w:t>
      </w:r>
      <w:r w:rsidRPr="00C97D3A">
        <w:rPr>
          <w:rFonts w:hAnsi="宋体" w:hint="eastAsia"/>
          <w:sz w:val="24"/>
        </w:rPr>
        <w:t>021</w:t>
      </w:r>
      <w:r w:rsidRPr="00C97D3A">
        <w:rPr>
          <w:rFonts w:hAnsi="宋体" w:hint="eastAsia"/>
          <w:sz w:val="24"/>
        </w:rPr>
        <w:t>）</w:t>
      </w:r>
      <w:r w:rsidRPr="00C97D3A">
        <w:rPr>
          <w:rFonts w:hAnsi="宋体" w:hint="eastAsia"/>
          <w:sz w:val="24"/>
        </w:rPr>
        <w:t>58408483</w:t>
      </w:r>
    </w:p>
    <w:p w14:paraId="5AFB8046" w14:textId="77777777" w:rsidR="00C97D3A" w:rsidRP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联系人：范瑞波</w:t>
      </w:r>
    </w:p>
    <w:p w14:paraId="7D74EF51" w14:textId="77777777" w:rsidR="00C97D3A" w:rsidRP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客户服务电话：</w:t>
      </w:r>
      <w:r w:rsidRPr="00C97D3A">
        <w:rPr>
          <w:rFonts w:hAnsi="宋体" w:hint="eastAsia"/>
          <w:sz w:val="24"/>
        </w:rPr>
        <w:t>95559</w:t>
      </w:r>
    </w:p>
    <w:p w14:paraId="23F2608A" w14:textId="0A0DFA3A" w:rsidR="00C97D3A" w:rsidRDefault="00C97D3A" w:rsidP="00C97D3A">
      <w:pPr>
        <w:adjustRightInd w:val="0"/>
        <w:snapToGrid w:val="0"/>
        <w:spacing w:line="360" w:lineRule="auto"/>
        <w:ind w:firstLineChars="200" w:firstLine="480"/>
        <w:rPr>
          <w:rFonts w:hAnsi="宋体"/>
          <w:sz w:val="24"/>
        </w:rPr>
      </w:pPr>
      <w:r w:rsidRPr="00C97D3A">
        <w:rPr>
          <w:rFonts w:hAnsi="宋体" w:hint="eastAsia"/>
          <w:sz w:val="24"/>
        </w:rPr>
        <w:t>网址：</w:t>
      </w:r>
      <w:r w:rsidRPr="00C97D3A">
        <w:rPr>
          <w:rFonts w:hAnsi="宋体" w:hint="eastAsia"/>
          <w:sz w:val="24"/>
        </w:rPr>
        <w:t>www.bankcomm.com</w:t>
      </w:r>
    </w:p>
    <w:p w14:paraId="1745733C"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基金管理人可根据有关法律法规的要求，选择其它符合要求的机构销售本基金，并在基金管理人网站公示。</w:t>
      </w:r>
    </w:p>
    <w:p w14:paraId="5E62939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（二）登记机构</w:t>
      </w:r>
    </w:p>
    <w:p w14:paraId="06C617E7" w14:textId="77777777" w:rsidR="00495B81" w:rsidRPr="00495B81" w:rsidRDefault="00495B81" w:rsidP="00495B81">
      <w:pPr>
        <w:widowControl/>
        <w:adjustRightInd w:val="0"/>
        <w:snapToGrid w:val="0"/>
        <w:spacing w:line="360" w:lineRule="auto"/>
        <w:ind w:firstLineChars="200" w:firstLine="480"/>
        <w:rPr>
          <w:rFonts w:hAnsi="宋体"/>
          <w:kern w:val="0"/>
          <w:sz w:val="24"/>
        </w:rPr>
      </w:pPr>
      <w:r w:rsidRPr="00495B81">
        <w:rPr>
          <w:rFonts w:hAnsi="宋体" w:hint="eastAsia"/>
          <w:kern w:val="0"/>
          <w:sz w:val="24"/>
        </w:rPr>
        <w:t>名称：交银施罗德基金管理有限公司</w:t>
      </w:r>
      <w:r w:rsidRPr="00495B81">
        <w:rPr>
          <w:rFonts w:hAnsi="宋体" w:hint="eastAsia"/>
          <w:kern w:val="0"/>
          <w:sz w:val="24"/>
        </w:rPr>
        <w:t xml:space="preserve"> </w:t>
      </w:r>
    </w:p>
    <w:p w14:paraId="788FA3EC" w14:textId="77777777" w:rsidR="00495B81" w:rsidRPr="00495B81" w:rsidRDefault="00495B81" w:rsidP="00495B81">
      <w:pPr>
        <w:widowControl/>
        <w:adjustRightInd w:val="0"/>
        <w:snapToGrid w:val="0"/>
        <w:spacing w:line="360" w:lineRule="auto"/>
        <w:ind w:firstLineChars="200" w:firstLine="480"/>
        <w:rPr>
          <w:rFonts w:hAnsi="宋体"/>
          <w:kern w:val="0"/>
          <w:sz w:val="24"/>
        </w:rPr>
      </w:pPr>
      <w:r w:rsidRPr="00495B81">
        <w:rPr>
          <w:rFonts w:hAnsi="宋体" w:hint="eastAsia"/>
          <w:kern w:val="0"/>
          <w:sz w:val="24"/>
        </w:rPr>
        <w:t>住所：中国（上海）自由贸易试验区银城中路</w:t>
      </w:r>
      <w:r w:rsidRPr="00495B81">
        <w:rPr>
          <w:rFonts w:hAnsi="宋体" w:hint="eastAsia"/>
          <w:kern w:val="0"/>
          <w:sz w:val="24"/>
        </w:rPr>
        <w:t>188</w:t>
      </w:r>
      <w:r w:rsidRPr="00495B81">
        <w:rPr>
          <w:rFonts w:hAnsi="宋体" w:hint="eastAsia"/>
          <w:kern w:val="0"/>
          <w:sz w:val="24"/>
        </w:rPr>
        <w:t>号交通银行大楼二层（裙）</w:t>
      </w:r>
    </w:p>
    <w:p w14:paraId="39909EFA" w14:textId="77777777" w:rsidR="00495B81" w:rsidRPr="00495B81" w:rsidRDefault="00495B81" w:rsidP="00495B81">
      <w:pPr>
        <w:widowControl/>
        <w:adjustRightInd w:val="0"/>
        <w:snapToGrid w:val="0"/>
        <w:spacing w:line="360" w:lineRule="auto"/>
        <w:ind w:firstLineChars="200" w:firstLine="480"/>
        <w:rPr>
          <w:rFonts w:hAnsi="宋体"/>
          <w:kern w:val="0"/>
          <w:sz w:val="24"/>
        </w:rPr>
      </w:pPr>
      <w:r w:rsidRPr="00495B81">
        <w:rPr>
          <w:rFonts w:hAnsi="宋体" w:hint="eastAsia"/>
          <w:kern w:val="0"/>
          <w:sz w:val="24"/>
        </w:rPr>
        <w:t>办公地址：上海市浦东新区世纪大道</w:t>
      </w:r>
      <w:r w:rsidRPr="00495B81">
        <w:rPr>
          <w:rFonts w:hAnsi="宋体" w:hint="eastAsia"/>
          <w:kern w:val="0"/>
          <w:sz w:val="24"/>
        </w:rPr>
        <w:t>8</w:t>
      </w:r>
      <w:r w:rsidRPr="00495B81">
        <w:rPr>
          <w:rFonts w:hAnsi="宋体" w:hint="eastAsia"/>
          <w:kern w:val="0"/>
          <w:sz w:val="24"/>
        </w:rPr>
        <w:t>号国金中心二期</w:t>
      </w:r>
      <w:r w:rsidRPr="00495B81">
        <w:rPr>
          <w:rFonts w:hAnsi="宋体" w:hint="eastAsia"/>
          <w:kern w:val="0"/>
          <w:sz w:val="24"/>
        </w:rPr>
        <w:t>21-22</w:t>
      </w:r>
      <w:r w:rsidRPr="00495B81">
        <w:rPr>
          <w:rFonts w:hAnsi="宋体" w:hint="eastAsia"/>
          <w:kern w:val="0"/>
          <w:sz w:val="24"/>
        </w:rPr>
        <w:t>楼</w:t>
      </w:r>
    </w:p>
    <w:p w14:paraId="7C2FBB9A" w14:textId="77777777" w:rsidR="00495B81" w:rsidRPr="00495B81" w:rsidRDefault="00495B81" w:rsidP="00495B81">
      <w:pPr>
        <w:widowControl/>
        <w:adjustRightInd w:val="0"/>
        <w:snapToGrid w:val="0"/>
        <w:spacing w:line="360" w:lineRule="auto"/>
        <w:ind w:firstLineChars="200" w:firstLine="480"/>
        <w:rPr>
          <w:rFonts w:hAnsi="宋体"/>
          <w:kern w:val="0"/>
          <w:sz w:val="24"/>
        </w:rPr>
      </w:pPr>
      <w:r w:rsidRPr="00495B81">
        <w:rPr>
          <w:rFonts w:hAnsi="宋体" w:hint="eastAsia"/>
          <w:kern w:val="0"/>
          <w:sz w:val="24"/>
        </w:rPr>
        <w:t>法定代表人：阮红</w:t>
      </w:r>
    </w:p>
    <w:p w14:paraId="4E3CFA88" w14:textId="77777777" w:rsidR="00495B81" w:rsidRPr="00495B81" w:rsidRDefault="00495B81" w:rsidP="00495B81">
      <w:pPr>
        <w:widowControl/>
        <w:adjustRightInd w:val="0"/>
        <w:snapToGrid w:val="0"/>
        <w:spacing w:line="360" w:lineRule="auto"/>
        <w:ind w:firstLineChars="200" w:firstLine="480"/>
        <w:rPr>
          <w:rFonts w:hAnsi="宋体"/>
          <w:kern w:val="0"/>
          <w:sz w:val="24"/>
        </w:rPr>
      </w:pPr>
      <w:r w:rsidRPr="00495B81">
        <w:rPr>
          <w:rFonts w:hAnsi="宋体" w:hint="eastAsia"/>
          <w:kern w:val="0"/>
          <w:sz w:val="24"/>
        </w:rPr>
        <w:t>电话：（</w:t>
      </w:r>
      <w:r w:rsidRPr="00495B81">
        <w:rPr>
          <w:rFonts w:hAnsi="宋体" w:hint="eastAsia"/>
          <w:kern w:val="0"/>
          <w:sz w:val="24"/>
        </w:rPr>
        <w:t>021</w:t>
      </w:r>
      <w:r w:rsidRPr="00495B81">
        <w:rPr>
          <w:rFonts w:hAnsi="宋体" w:hint="eastAsia"/>
          <w:kern w:val="0"/>
          <w:sz w:val="24"/>
        </w:rPr>
        <w:t>）</w:t>
      </w:r>
      <w:r w:rsidRPr="00495B81">
        <w:rPr>
          <w:rFonts w:hAnsi="宋体" w:hint="eastAsia"/>
          <w:kern w:val="0"/>
          <w:sz w:val="24"/>
        </w:rPr>
        <w:t>61055097</w:t>
      </w:r>
    </w:p>
    <w:p w14:paraId="1464095A" w14:textId="77777777" w:rsidR="00495B81" w:rsidRPr="00495B81" w:rsidRDefault="00495B81" w:rsidP="00495B81">
      <w:pPr>
        <w:widowControl/>
        <w:adjustRightInd w:val="0"/>
        <w:snapToGrid w:val="0"/>
        <w:spacing w:line="360" w:lineRule="auto"/>
        <w:ind w:firstLineChars="200" w:firstLine="480"/>
        <w:rPr>
          <w:rFonts w:hAnsi="宋体"/>
          <w:kern w:val="0"/>
          <w:sz w:val="24"/>
        </w:rPr>
      </w:pPr>
      <w:r w:rsidRPr="00495B81">
        <w:rPr>
          <w:rFonts w:hAnsi="宋体" w:hint="eastAsia"/>
          <w:kern w:val="0"/>
          <w:sz w:val="24"/>
        </w:rPr>
        <w:t>传真：（</w:t>
      </w:r>
      <w:r w:rsidRPr="00495B81">
        <w:rPr>
          <w:rFonts w:hAnsi="宋体" w:hint="eastAsia"/>
          <w:kern w:val="0"/>
          <w:sz w:val="24"/>
        </w:rPr>
        <w:t>021</w:t>
      </w:r>
      <w:r w:rsidRPr="00495B81">
        <w:rPr>
          <w:rFonts w:hAnsi="宋体" w:hint="eastAsia"/>
          <w:kern w:val="0"/>
          <w:sz w:val="24"/>
        </w:rPr>
        <w:t>）</w:t>
      </w:r>
      <w:r w:rsidRPr="00495B81">
        <w:rPr>
          <w:rFonts w:hAnsi="宋体" w:hint="eastAsia"/>
          <w:kern w:val="0"/>
          <w:sz w:val="24"/>
        </w:rPr>
        <w:t>61055064</w:t>
      </w:r>
    </w:p>
    <w:p w14:paraId="5D8C9493" w14:textId="1F811477" w:rsidR="0004536B" w:rsidRPr="00495B81" w:rsidRDefault="00495B81" w:rsidP="00495B81">
      <w:pPr>
        <w:widowControl/>
        <w:adjustRightInd w:val="0"/>
        <w:snapToGrid w:val="0"/>
        <w:spacing w:line="360" w:lineRule="auto"/>
        <w:ind w:firstLineChars="200" w:firstLine="480"/>
        <w:rPr>
          <w:rFonts w:hAnsi="宋体"/>
          <w:kern w:val="0"/>
          <w:sz w:val="24"/>
        </w:rPr>
      </w:pPr>
      <w:r w:rsidRPr="00495B81">
        <w:rPr>
          <w:rFonts w:hAnsi="宋体" w:hint="eastAsia"/>
          <w:kern w:val="0"/>
          <w:sz w:val="24"/>
        </w:rPr>
        <w:t>联系人：单江</w:t>
      </w:r>
    </w:p>
    <w:p w14:paraId="752CAA8D"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（三）出具法律意见书的律师事务所</w:t>
      </w:r>
    </w:p>
    <w:p w14:paraId="4D97C800"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名称：上海市通力律师事务所</w:t>
      </w:r>
    </w:p>
    <w:p w14:paraId="52E08DAD"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0BA81259" w14:textId="35FADF4A" w:rsidR="0004536B" w:rsidRDefault="003574EC">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sidR="00A27D0E">
        <w:rPr>
          <w:kern w:val="0"/>
          <w:sz w:val="24"/>
        </w:rPr>
        <w:t>18-20</w:t>
      </w:r>
      <w:r>
        <w:rPr>
          <w:rFonts w:hAnsi="宋体"/>
          <w:kern w:val="0"/>
          <w:sz w:val="24"/>
        </w:rPr>
        <w:t>楼</w:t>
      </w:r>
    </w:p>
    <w:p w14:paraId="49D49468"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14:paraId="7B4E3CD5"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14:paraId="0380BC88"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14:paraId="7CCD5856"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14:paraId="6CC2DE84" w14:textId="77777777" w:rsidR="0004536B" w:rsidRDefault="003574EC">
      <w:pPr>
        <w:widowControl/>
        <w:adjustRightInd w:val="0"/>
        <w:snapToGrid w:val="0"/>
        <w:spacing w:line="360" w:lineRule="auto"/>
        <w:ind w:firstLineChars="200" w:firstLine="480"/>
        <w:rPr>
          <w:rFonts w:hAnsi="宋体"/>
          <w:kern w:val="0"/>
          <w:sz w:val="24"/>
        </w:rPr>
      </w:pPr>
      <w:r>
        <w:rPr>
          <w:rFonts w:hAnsi="宋体"/>
          <w:kern w:val="0"/>
          <w:sz w:val="24"/>
        </w:rPr>
        <w:lastRenderedPageBreak/>
        <w:t>经办律师：黎明</w:t>
      </w:r>
      <w:r>
        <w:rPr>
          <w:rFonts w:hAnsi="宋体" w:hint="eastAsia"/>
          <w:kern w:val="0"/>
          <w:sz w:val="24"/>
        </w:rPr>
        <w:t>、丁媛</w:t>
      </w:r>
    </w:p>
    <w:p w14:paraId="0ADF50C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（四）审计基金财产的会计师事务所</w:t>
      </w:r>
    </w:p>
    <w:p w14:paraId="342AF8FA"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名称：普华永道中天会计师事务所（特殊普通合伙）</w:t>
      </w:r>
    </w:p>
    <w:p w14:paraId="6F9E4D02"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住所：中国</w:t>
      </w:r>
      <w:r>
        <w:rPr>
          <w:rFonts w:hAnsi="宋体" w:hint="eastAsia"/>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自由贸易试验区陆家嘴环路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507</w:t>
      </w:r>
      <w:r>
        <w:rPr>
          <w:rFonts w:hAnsi="宋体" w:hint="eastAsia"/>
          <w:kern w:val="0"/>
          <w:sz w:val="24"/>
        </w:rPr>
        <w:t>单元</w:t>
      </w:r>
      <w:r>
        <w:rPr>
          <w:rFonts w:hAnsi="宋体" w:hint="eastAsia"/>
          <w:kern w:val="0"/>
          <w:sz w:val="24"/>
        </w:rPr>
        <w:t>01</w:t>
      </w:r>
      <w:r>
        <w:rPr>
          <w:rFonts w:hAnsi="宋体" w:hint="eastAsia"/>
          <w:kern w:val="0"/>
          <w:sz w:val="24"/>
        </w:rPr>
        <w:t>室</w:t>
      </w:r>
    </w:p>
    <w:p w14:paraId="26FD3CCA"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办公地址：中国上海市浦东新区东育路</w:t>
      </w:r>
      <w:r>
        <w:rPr>
          <w:rFonts w:hAnsi="宋体" w:hint="eastAsia"/>
          <w:kern w:val="0"/>
          <w:sz w:val="24"/>
        </w:rPr>
        <w:t>588</w:t>
      </w:r>
      <w:r>
        <w:rPr>
          <w:rFonts w:hAnsi="宋体" w:hint="eastAsia"/>
          <w:kern w:val="0"/>
          <w:sz w:val="24"/>
        </w:rPr>
        <w:t>号前滩中心</w:t>
      </w:r>
      <w:r>
        <w:rPr>
          <w:rFonts w:hAnsi="宋体" w:hint="eastAsia"/>
          <w:kern w:val="0"/>
          <w:sz w:val="24"/>
        </w:rPr>
        <w:t>42</w:t>
      </w:r>
      <w:r>
        <w:rPr>
          <w:rFonts w:hAnsi="宋体" w:hint="eastAsia"/>
          <w:kern w:val="0"/>
          <w:sz w:val="24"/>
        </w:rPr>
        <w:t>楼</w:t>
      </w:r>
    </w:p>
    <w:p w14:paraId="5C11DCFC"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执行事务合伙人：李丹</w:t>
      </w:r>
    </w:p>
    <w:p w14:paraId="345793F4"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23238888</w:t>
      </w:r>
    </w:p>
    <w:p w14:paraId="1ED3BA67"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23238800</w:t>
      </w:r>
    </w:p>
    <w:p w14:paraId="3BA2D530"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联系人：金诗涛</w:t>
      </w:r>
    </w:p>
    <w:p w14:paraId="70D96F1F"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经办注册会计师：沈兆杰、金诗涛</w:t>
      </w:r>
    </w:p>
    <w:p w14:paraId="3310801F" w14:textId="77777777" w:rsidR="00827A2B" w:rsidRDefault="00827A2B" w:rsidP="003645EA">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6088EC8C" w14:textId="04CC595B" w:rsidR="0004536B" w:rsidRDefault="0032388F">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5" w:name="_Toc139631554"/>
      <w:r>
        <w:rPr>
          <w:rFonts w:ascii="宋体" w:hAnsi="宋体" w:hint="eastAsia"/>
          <w:b/>
          <w:kern w:val="0"/>
          <w:sz w:val="30"/>
        </w:rPr>
        <w:lastRenderedPageBreak/>
        <w:t>六</w:t>
      </w:r>
      <w:r w:rsidR="003574EC">
        <w:rPr>
          <w:rFonts w:ascii="宋体" w:hAnsi="宋体" w:hint="eastAsia"/>
          <w:b/>
          <w:kern w:val="0"/>
          <w:sz w:val="30"/>
        </w:rPr>
        <w:t>、基金的募集</w:t>
      </w:r>
      <w:bookmarkEnd w:id="15"/>
    </w:p>
    <w:p w14:paraId="7FE7B37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（一）基金募集的依据</w:t>
      </w:r>
    </w:p>
    <w:p w14:paraId="76DCB8B0" w14:textId="3AC7AC86" w:rsidR="0004536B" w:rsidRDefault="003574EC">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sidR="0039475E">
        <w:rPr>
          <w:kern w:val="0"/>
          <w:sz w:val="24"/>
        </w:rPr>
        <w:t>2023</w:t>
      </w:r>
      <w:r w:rsidR="0039475E">
        <w:rPr>
          <w:rFonts w:hint="eastAsia"/>
          <w:kern w:val="0"/>
          <w:sz w:val="24"/>
        </w:rPr>
        <w:t>年</w:t>
      </w:r>
      <w:r w:rsidR="0039475E">
        <w:rPr>
          <w:rFonts w:hint="eastAsia"/>
          <w:kern w:val="0"/>
          <w:sz w:val="24"/>
        </w:rPr>
        <w:t>8</w:t>
      </w:r>
      <w:r w:rsidR="0039475E">
        <w:rPr>
          <w:kern w:val="0"/>
          <w:sz w:val="24"/>
        </w:rPr>
        <w:t>月</w:t>
      </w:r>
      <w:r w:rsidR="0039475E">
        <w:rPr>
          <w:rFonts w:hint="eastAsia"/>
          <w:kern w:val="0"/>
          <w:sz w:val="24"/>
        </w:rPr>
        <w:t>2</w:t>
      </w:r>
      <w:r w:rsidR="0039475E">
        <w:rPr>
          <w:kern w:val="0"/>
          <w:sz w:val="24"/>
        </w:rPr>
        <w:t>5</w:t>
      </w:r>
      <w:r w:rsidR="0039475E">
        <w:rPr>
          <w:kern w:val="0"/>
          <w:sz w:val="24"/>
        </w:rPr>
        <w:t>日</w:t>
      </w:r>
      <w:r>
        <w:rPr>
          <w:kern w:val="0"/>
          <w:sz w:val="24"/>
        </w:rPr>
        <w:t>证监许可</w:t>
      </w:r>
      <w:r>
        <w:rPr>
          <w:rFonts w:hint="eastAsia"/>
          <w:kern w:val="0"/>
          <w:sz w:val="24"/>
        </w:rPr>
        <w:t>【</w:t>
      </w:r>
      <w:r>
        <w:rPr>
          <w:rFonts w:hint="eastAsia"/>
          <w:kern w:val="0"/>
          <w:sz w:val="24"/>
        </w:rPr>
        <w:t>2</w:t>
      </w:r>
      <w:r>
        <w:rPr>
          <w:kern w:val="0"/>
          <w:sz w:val="24"/>
        </w:rPr>
        <w:t>02</w:t>
      </w:r>
      <w:r w:rsidR="0039475E">
        <w:rPr>
          <w:kern w:val="0"/>
          <w:sz w:val="24"/>
        </w:rPr>
        <w:t>3</w:t>
      </w:r>
      <w:r w:rsidR="0039475E">
        <w:rPr>
          <w:kern w:val="0"/>
          <w:sz w:val="24"/>
        </w:rPr>
        <w:t>】</w:t>
      </w:r>
      <w:r w:rsidR="0039475E">
        <w:rPr>
          <w:kern w:val="0"/>
          <w:sz w:val="24"/>
        </w:rPr>
        <w:t>1954</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14:paraId="0CA63DD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（二）基金类</w:t>
      </w:r>
      <w:r w:rsidRPr="00E917F4">
        <w:rPr>
          <w:rFonts w:hAnsi="宋体" w:hint="eastAsia"/>
          <w:b/>
          <w:sz w:val="24"/>
        </w:rPr>
        <w:t>别</w:t>
      </w:r>
    </w:p>
    <w:p w14:paraId="609F04FF" w14:textId="77777777" w:rsidR="0004536B" w:rsidRDefault="003574EC">
      <w:pPr>
        <w:widowControl/>
        <w:adjustRightInd w:val="0"/>
        <w:snapToGrid w:val="0"/>
        <w:spacing w:line="360" w:lineRule="auto"/>
        <w:ind w:firstLineChars="200" w:firstLine="480"/>
        <w:rPr>
          <w:kern w:val="0"/>
          <w:sz w:val="24"/>
        </w:rPr>
      </w:pPr>
      <w:r>
        <w:rPr>
          <w:kern w:val="0"/>
          <w:sz w:val="24"/>
        </w:rPr>
        <w:t>混合型</w:t>
      </w:r>
      <w:r>
        <w:rPr>
          <w:rFonts w:hint="eastAsia"/>
          <w:kern w:val="0"/>
          <w:sz w:val="24"/>
        </w:rPr>
        <w:t>证券投资</w:t>
      </w:r>
      <w:r>
        <w:rPr>
          <w:kern w:val="0"/>
          <w:sz w:val="24"/>
        </w:rPr>
        <w:t>基金</w:t>
      </w:r>
    </w:p>
    <w:p w14:paraId="4F8F84B3"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（三）基金运作方式</w:t>
      </w:r>
    </w:p>
    <w:p w14:paraId="4FE2AD9B" w14:textId="77777777" w:rsidR="0004536B" w:rsidRDefault="003574EC">
      <w:pPr>
        <w:adjustRightInd w:val="0"/>
        <w:snapToGrid w:val="0"/>
        <w:spacing w:line="360" w:lineRule="auto"/>
        <w:ind w:firstLineChars="200" w:firstLine="480"/>
        <w:rPr>
          <w:sz w:val="24"/>
        </w:rPr>
      </w:pPr>
      <w:r>
        <w:rPr>
          <w:sz w:val="24"/>
        </w:rPr>
        <w:t>契约型开放式</w:t>
      </w:r>
    </w:p>
    <w:p w14:paraId="462AE05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16" w:name="_Hlk49341725"/>
      <w:r w:rsidRPr="00E917F4">
        <w:rPr>
          <w:rFonts w:hAnsi="宋体"/>
          <w:b/>
          <w:sz w:val="24"/>
        </w:rPr>
        <w:t>（四）基金存续期限</w:t>
      </w:r>
    </w:p>
    <w:p w14:paraId="75ED1297" w14:textId="77777777" w:rsidR="0004536B" w:rsidRDefault="003574EC">
      <w:pPr>
        <w:adjustRightInd w:val="0"/>
        <w:snapToGrid w:val="0"/>
        <w:spacing w:line="360" w:lineRule="auto"/>
        <w:ind w:firstLineChars="200" w:firstLine="480"/>
        <w:rPr>
          <w:sz w:val="24"/>
        </w:rPr>
      </w:pPr>
      <w:r>
        <w:rPr>
          <w:sz w:val="24"/>
        </w:rPr>
        <w:t>不定期</w:t>
      </w:r>
    </w:p>
    <w:p w14:paraId="332D56F3" w14:textId="74153828" w:rsidR="0004536B" w:rsidRPr="00E917F4" w:rsidRDefault="003574EC" w:rsidP="008A12AE">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（五）</w:t>
      </w:r>
      <w:r w:rsidRPr="00E917F4">
        <w:rPr>
          <w:rFonts w:hAnsi="宋体"/>
          <w:b/>
          <w:sz w:val="24"/>
        </w:rPr>
        <w:t>基金份额的认购</w:t>
      </w:r>
    </w:p>
    <w:p w14:paraId="6D6D8868" w14:textId="77777777" w:rsidR="0004536B" w:rsidRDefault="003574EC">
      <w:pPr>
        <w:adjustRightInd w:val="0"/>
        <w:snapToGrid w:val="0"/>
        <w:spacing w:line="360" w:lineRule="auto"/>
        <w:ind w:firstLineChars="200" w:firstLine="480"/>
        <w:rPr>
          <w:sz w:val="24"/>
        </w:rPr>
      </w:pPr>
      <w:r>
        <w:rPr>
          <w:sz w:val="24"/>
        </w:rPr>
        <w:t>基金募集期内，基金份额通过各销售机构向投资人公开发售</w:t>
      </w:r>
      <w:r>
        <w:rPr>
          <w:rFonts w:hint="eastAsia"/>
          <w:sz w:val="24"/>
        </w:rPr>
        <w:t>，各销售机构的具体名单见基金份额发售公告以及基金管理人网站</w:t>
      </w:r>
      <w:r>
        <w:rPr>
          <w:sz w:val="24"/>
        </w:rPr>
        <w:t>。募集期间个人投资者可以通过</w:t>
      </w:r>
      <w:r>
        <w:rPr>
          <w:rFonts w:hint="eastAsia"/>
          <w:sz w:val="24"/>
        </w:rPr>
        <w:t>基金管理人</w:t>
      </w:r>
      <w:r>
        <w:rPr>
          <w:sz w:val="24"/>
        </w:rPr>
        <w:t>网上直销交易平台办理开户和本基金的认购业务</w:t>
      </w:r>
      <w:r>
        <w:rPr>
          <w:rFonts w:hint="eastAsia"/>
          <w:sz w:val="24"/>
        </w:rPr>
        <w:t>，具体请见基金份额发售公告以及基金管理人网站。</w:t>
      </w:r>
      <w:r>
        <w:rPr>
          <w:sz w:val="24"/>
        </w:rPr>
        <w:t>除法律法规或中国证监会另有规定外，任何与基金份额发售有关的当事人不得预留和提前发售基金份额。</w:t>
      </w:r>
    </w:p>
    <w:p w14:paraId="1E16FFB6"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1</w:t>
      </w:r>
      <w:r w:rsidRPr="00210D77">
        <w:rPr>
          <w:kern w:val="0"/>
          <w:sz w:val="24"/>
          <w:szCs w:val="24"/>
        </w:rPr>
        <w:t>、基金份额的发售时间、方式和对象</w:t>
      </w:r>
    </w:p>
    <w:p w14:paraId="735C9B64" w14:textId="624E85EB"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1</w:t>
      </w:r>
      <w:r w:rsidRPr="00210D77">
        <w:rPr>
          <w:kern w:val="0"/>
          <w:sz w:val="24"/>
          <w:szCs w:val="24"/>
        </w:rPr>
        <w:t>）募集期限：自基金份额发售之日起不超过</w:t>
      </w:r>
      <w:r w:rsidRPr="00210D77">
        <w:rPr>
          <w:kern w:val="0"/>
          <w:sz w:val="24"/>
          <w:szCs w:val="24"/>
        </w:rPr>
        <w:t>3</w:t>
      </w:r>
      <w:r w:rsidRPr="00210D77">
        <w:rPr>
          <w:kern w:val="0"/>
          <w:sz w:val="24"/>
          <w:szCs w:val="24"/>
        </w:rPr>
        <w:t>个月。本基金自</w:t>
      </w:r>
      <w:r w:rsidR="0039475E" w:rsidRPr="00210D77">
        <w:rPr>
          <w:kern w:val="0"/>
          <w:sz w:val="24"/>
          <w:szCs w:val="24"/>
        </w:rPr>
        <w:t>202</w:t>
      </w:r>
      <w:r w:rsidR="0039475E">
        <w:rPr>
          <w:kern w:val="0"/>
          <w:sz w:val="24"/>
          <w:szCs w:val="24"/>
        </w:rPr>
        <w:t>3</w:t>
      </w:r>
      <w:r w:rsidR="0039475E" w:rsidRPr="00210D77">
        <w:rPr>
          <w:rFonts w:hint="eastAsia"/>
          <w:kern w:val="0"/>
          <w:sz w:val="24"/>
          <w:szCs w:val="24"/>
        </w:rPr>
        <w:t>年</w:t>
      </w:r>
      <w:r w:rsidR="0039475E">
        <w:rPr>
          <w:kern w:val="0"/>
          <w:sz w:val="24"/>
          <w:szCs w:val="24"/>
        </w:rPr>
        <w:t>10</w:t>
      </w:r>
      <w:r w:rsidR="0039475E" w:rsidRPr="00210D77">
        <w:rPr>
          <w:kern w:val="0"/>
          <w:sz w:val="24"/>
          <w:szCs w:val="24"/>
        </w:rPr>
        <w:t>月</w:t>
      </w:r>
      <w:r w:rsidR="0039475E">
        <w:rPr>
          <w:rFonts w:hint="eastAsia"/>
          <w:kern w:val="0"/>
          <w:sz w:val="24"/>
          <w:szCs w:val="24"/>
        </w:rPr>
        <w:t>1</w:t>
      </w:r>
      <w:r w:rsidR="0039475E">
        <w:rPr>
          <w:kern w:val="0"/>
          <w:sz w:val="24"/>
          <w:szCs w:val="24"/>
        </w:rPr>
        <w:t>2</w:t>
      </w:r>
      <w:r w:rsidR="0039475E" w:rsidRPr="00210D77">
        <w:rPr>
          <w:kern w:val="0"/>
          <w:sz w:val="24"/>
          <w:szCs w:val="24"/>
        </w:rPr>
        <w:t>日</w:t>
      </w:r>
      <w:r w:rsidRPr="00210D77">
        <w:rPr>
          <w:rFonts w:hint="eastAsia"/>
          <w:kern w:val="0"/>
          <w:sz w:val="24"/>
          <w:szCs w:val="24"/>
        </w:rPr>
        <w:t>起至</w:t>
      </w:r>
      <w:r w:rsidR="0039475E" w:rsidRPr="00210D77">
        <w:rPr>
          <w:kern w:val="0"/>
          <w:sz w:val="24"/>
          <w:szCs w:val="24"/>
        </w:rPr>
        <w:t>202</w:t>
      </w:r>
      <w:r w:rsidR="0039475E">
        <w:rPr>
          <w:kern w:val="0"/>
          <w:sz w:val="24"/>
          <w:szCs w:val="24"/>
        </w:rPr>
        <w:t>3</w:t>
      </w:r>
      <w:r w:rsidR="0039475E" w:rsidRPr="00210D77">
        <w:rPr>
          <w:rFonts w:hint="eastAsia"/>
          <w:kern w:val="0"/>
          <w:sz w:val="24"/>
          <w:szCs w:val="24"/>
        </w:rPr>
        <w:t>年</w:t>
      </w:r>
      <w:r w:rsidR="0039475E">
        <w:rPr>
          <w:rFonts w:hint="eastAsia"/>
          <w:kern w:val="0"/>
          <w:sz w:val="24"/>
          <w:szCs w:val="24"/>
        </w:rPr>
        <w:t>1</w:t>
      </w:r>
      <w:r w:rsidR="0039475E">
        <w:rPr>
          <w:kern w:val="0"/>
          <w:sz w:val="24"/>
          <w:szCs w:val="24"/>
        </w:rPr>
        <w:t>0</w:t>
      </w:r>
      <w:r w:rsidR="0039475E" w:rsidRPr="00210D77">
        <w:rPr>
          <w:kern w:val="0"/>
          <w:sz w:val="24"/>
          <w:szCs w:val="24"/>
        </w:rPr>
        <w:t>月</w:t>
      </w:r>
      <w:r w:rsidR="0039475E">
        <w:rPr>
          <w:rFonts w:hint="eastAsia"/>
          <w:kern w:val="0"/>
          <w:sz w:val="24"/>
          <w:szCs w:val="24"/>
        </w:rPr>
        <w:t>2</w:t>
      </w:r>
      <w:r w:rsidR="0039475E">
        <w:rPr>
          <w:kern w:val="0"/>
          <w:sz w:val="24"/>
          <w:szCs w:val="24"/>
        </w:rPr>
        <w:t>5</w:t>
      </w:r>
      <w:r w:rsidR="0039475E" w:rsidRPr="00210D77">
        <w:rPr>
          <w:kern w:val="0"/>
          <w:sz w:val="24"/>
          <w:szCs w:val="24"/>
        </w:rPr>
        <w:t>日</w:t>
      </w:r>
      <w:r w:rsidRPr="00210D77">
        <w:rPr>
          <w:kern w:val="0"/>
          <w:sz w:val="24"/>
          <w:szCs w:val="24"/>
        </w:rPr>
        <w:t>止通过销售机构公开发售（详见基金份额发售公告及</w:t>
      </w:r>
      <w:r w:rsidRPr="00210D77">
        <w:rPr>
          <w:rFonts w:hint="eastAsia"/>
          <w:kern w:val="0"/>
          <w:sz w:val="24"/>
          <w:szCs w:val="24"/>
        </w:rPr>
        <w:t>销售</w:t>
      </w:r>
      <w:r w:rsidRPr="00210D77">
        <w:rPr>
          <w:kern w:val="0"/>
          <w:sz w:val="24"/>
          <w:szCs w:val="24"/>
        </w:rPr>
        <w:t>机构相关公告）。</w:t>
      </w:r>
      <w:r w:rsidRPr="00210D77">
        <w:rPr>
          <w:rFonts w:hint="eastAsia"/>
          <w:kern w:val="0"/>
          <w:sz w:val="24"/>
          <w:szCs w:val="24"/>
        </w:rPr>
        <w:t>如果在此期间未达到本招募说明书中“</w:t>
      </w:r>
      <w:r w:rsidR="00D84092">
        <w:rPr>
          <w:rFonts w:hint="eastAsia"/>
          <w:kern w:val="0"/>
          <w:sz w:val="24"/>
          <w:szCs w:val="24"/>
        </w:rPr>
        <w:t>八</w:t>
      </w:r>
      <w:r w:rsidRPr="00210D77">
        <w:rPr>
          <w:rFonts w:hint="eastAsia"/>
          <w:kern w:val="0"/>
          <w:sz w:val="24"/>
          <w:szCs w:val="24"/>
        </w:rPr>
        <w:t>、基金合同的生效”中的“（一）基金备案的条件”的规定，基金可在募集期限内继续销售，直到达到基金备案条件。基金管理人也可根据基金销售情况在募集期限内适当延长或缩短基金发售时间，并及时公告。</w:t>
      </w:r>
    </w:p>
    <w:p w14:paraId="42C246F6" w14:textId="77777777" w:rsidR="0004536B" w:rsidRPr="00210D77" w:rsidRDefault="003574EC">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2</w:t>
      </w:r>
      <w:r w:rsidRPr="00210D77">
        <w:rPr>
          <w:kern w:val="0"/>
          <w:sz w:val="24"/>
          <w:szCs w:val="24"/>
        </w:rPr>
        <w:t>）销售渠道：</w:t>
      </w:r>
      <w:r w:rsidRPr="00210D77">
        <w:rPr>
          <w:rFonts w:hint="eastAsia"/>
          <w:kern w:val="0"/>
          <w:sz w:val="24"/>
          <w:szCs w:val="24"/>
        </w:rPr>
        <w:t>销售机构</w:t>
      </w:r>
      <w:r w:rsidRPr="00210D77">
        <w:rPr>
          <w:kern w:val="0"/>
          <w:sz w:val="24"/>
          <w:szCs w:val="24"/>
        </w:rPr>
        <w:t>具体名单见基金份额发售公告</w:t>
      </w:r>
      <w:r w:rsidRPr="00210D77">
        <w:rPr>
          <w:rFonts w:hint="eastAsia"/>
          <w:kern w:val="0"/>
          <w:sz w:val="24"/>
          <w:szCs w:val="24"/>
        </w:rPr>
        <w:t>以及基金管理人网站</w:t>
      </w:r>
      <w:r w:rsidRPr="00210D77">
        <w:rPr>
          <w:kern w:val="0"/>
          <w:sz w:val="24"/>
          <w:szCs w:val="24"/>
        </w:rPr>
        <w:t>。</w:t>
      </w:r>
    </w:p>
    <w:p w14:paraId="32291A1E" w14:textId="77777777" w:rsidR="0004536B" w:rsidRPr="00210D77" w:rsidRDefault="003574EC">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3</w:t>
      </w:r>
      <w:r w:rsidRPr="00210D77">
        <w:rPr>
          <w:kern w:val="0"/>
          <w:sz w:val="24"/>
          <w:szCs w:val="24"/>
        </w:rPr>
        <w:t>）销售对象：符合法律法规规定的可投资于证券投资基金的个人投资者、机构投资者</w:t>
      </w:r>
      <w:r w:rsidRPr="00210D77">
        <w:rPr>
          <w:rFonts w:hint="eastAsia"/>
          <w:kern w:val="0"/>
          <w:sz w:val="24"/>
          <w:szCs w:val="24"/>
        </w:rPr>
        <w:t>、</w:t>
      </w:r>
      <w:r w:rsidRPr="00210D77">
        <w:rPr>
          <w:kern w:val="0"/>
          <w:sz w:val="24"/>
          <w:szCs w:val="24"/>
        </w:rPr>
        <w:t>合格境外投资者以及法律法规或中国证监会允许购买证券投资基金的其</w:t>
      </w:r>
      <w:r w:rsidRPr="00210D77">
        <w:rPr>
          <w:kern w:val="0"/>
          <w:sz w:val="24"/>
          <w:szCs w:val="24"/>
        </w:rPr>
        <w:lastRenderedPageBreak/>
        <w:t>他投资人。</w:t>
      </w:r>
    </w:p>
    <w:p w14:paraId="6DDBC710"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2</w:t>
      </w:r>
      <w:r w:rsidRPr="00210D77">
        <w:rPr>
          <w:kern w:val="0"/>
          <w:sz w:val="24"/>
          <w:szCs w:val="24"/>
        </w:rPr>
        <w:t>、基金份额的认购和持有限制</w:t>
      </w:r>
    </w:p>
    <w:p w14:paraId="2370ACAC" w14:textId="77777777" w:rsidR="0004536B" w:rsidRPr="00210D77" w:rsidRDefault="003574EC">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1</w:t>
      </w:r>
      <w:r w:rsidRPr="00210D77">
        <w:rPr>
          <w:kern w:val="0"/>
          <w:sz w:val="24"/>
          <w:szCs w:val="24"/>
        </w:rPr>
        <w:t>）基金份额的认购采用金额认购方式。</w:t>
      </w:r>
    </w:p>
    <w:p w14:paraId="349CFFB4" w14:textId="77777777" w:rsidR="0004536B" w:rsidRPr="00210D77" w:rsidRDefault="003574EC">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2</w:t>
      </w:r>
      <w:r w:rsidRPr="00210D77">
        <w:rPr>
          <w:kern w:val="0"/>
          <w:sz w:val="24"/>
          <w:szCs w:val="24"/>
        </w:rPr>
        <w:t>）投资人认购基金份额采用全额缴款的认购方式。投资人认购</w:t>
      </w:r>
      <w:r w:rsidRPr="00210D77">
        <w:rPr>
          <w:rFonts w:hint="eastAsia"/>
          <w:kern w:val="0"/>
          <w:sz w:val="24"/>
          <w:szCs w:val="24"/>
        </w:rPr>
        <w:t>时</w:t>
      </w:r>
      <w:r w:rsidRPr="00210D77">
        <w:rPr>
          <w:kern w:val="0"/>
          <w:sz w:val="24"/>
          <w:szCs w:val="24"/>
        </w:rPr>
        <w:t>，需按销售机构规定的方式备足认购的金额。</w:t>
      </w:r>
    </w:p>
    <w:p w14:paraId="060A5F3B" w14:textId="77777777" w:rsidR="0004536B" w:rsidRPr="00210D77" w:rsidRDefault="003574EC">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3</w:t>
      </w:r>
      <w:r w:rsidRPr="00210D77">
        <w:rPr>
          <w:kern w:val="0"/>
          <w:sz w:val="24"/>
          <w:szCs w:val="24"/>
        </w:rPr>
        <w:t>）投资人在募集期内可以多次认购基金份额，认购</w:t>
      </w:r>
      <w:r w:rsidRPr="00210D77">
        <w:rPr>
          <w:rFonts w:hint="eastAsia"/>
          <w:kern w:val="0"/>
          <w:sz w:val="24"/>
          <w:szCs w:val="24"/>
        </w:rPr>
        <w:t>申请</w:t>
      </w:r>
      <w:r w:rsidRPr="00210D77">
        <w:rPr>
          <w:kern w:val="0"/>
          <w:sz w:val="24"/>
          <w:szCs w:val="24"/>
        </w:rPr>
        <w:t>一经登记机构受理不得撤销。</w:t>
      </w:r>
    </w:p>
    <w:p w14:paraId="56F40ECF" w14:textId="77777777" w:rsidR="0004536B" w:rsidRDefault="003574EC">
      <w:pPr>
        <w:adjustRightInd w:val="0"/>
        <w:snapToGrid w:val="0"/>
        <w:spacing w:line="360" w:lineRule="auto"/>
        <w:ind w:firstLineChars="200" w:firstLine="480"/>
        <w:rPr>
          <w:sz w:val="24"/>
        </w:rPr>
      </w:pPr>
      <w:r>
        <w:rPr>
          <w:sz w:val="24"/>
        </w:rPr>
        <w:t>（</w:t>
      </w:r>
      <w:r>
        <w:rPr>
          <w:sz w:val="24"/>
        </w:rPr>
        <w:t>4</w:t>
      </w:r>
      <w:r>
        <w:rPr>
          <w:sz w:val="24"/>
        </w:rPr>
        <w:t>）直销机构接受首次认购申请的最低金额为单笔</w:t>
      </w:r>
      <w:r>
        <w:rPr>
          <w:sz w:val="24"/>
        </w:rPr>
        <w:t>100</w:t>
      </w:r>
      <w:r>
        <w:rPr>
          <w:rFonts w:hint="eastAsia"/>
          <w:sz w:val="24"/>
        </w:rPr>
        <w:t>万</w:t>
      </w:r>
      <w:r>
        <w:rPr>
          <w:sz w:val="24"/>
        </w:rPr>
        <w:t>元，追加认购的最低金额为单笔</w:t>
      </w:r>
      <w:r>
        <w:rPr>
          <w:sz w:val="24"/>
        </w:rPr>
        <w:t>10</w:t>
      </w:r>
      <w:r>
        <w:rPr>
          <w:rFonts w:hint="eastAsia"/>
          <w:sz w:val="24"/>
        </w:rPr>
        <w:t>万</w:t>
      </w:r>
      <w:r>
        <w:rPr>
          <w:sz w:val="24"/>
        </w:rPr>
        <w:t>元；已在直销机构有认购或申购过本基金管理人管理的其他基金记录的投资人不受首次认购最低金额的限制。通过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w:t>
      </w:r>
      <w:r>
        <w:rPr>
          <w:sz w:val="24"/>
        </w:rPr>
        <w:t>1</w:t>
      </w:r>
      <w:r>
        <w:rPr>
          <w:sz w:val="24"/>
        </w:rPr>
        <w:t>元。本基金直销机构单笔认购最低金额可由基金管理人酌情调整。</w:t>
      </w:r>
      <w:r>
        <w:rPr>
          <w:rFonts w:hint="eastAsia"/>
          <w:sz w:val="24"/>
        </w:rPr>
        <w:t>其他销售</w:t>
      </w:r>
      <w:r>
        <w:rPr>
          <w:sz w:val="24"/>
        </w:rPr>
        <w:t>机构接受认购申请的最低金额为单笔</w:t>
      </w:r>
      <w:r>
        <w:rPr>
          <w:sz w:val="24"/>
        </w:rPr>
        <w:t>1</w:t>
      </w:r>
      <w:r>
        <w:rPr>
          <w:sz w:val="24"/>
        </w:rPr>
        <w:t>元，如果</w:t>
      </w:r>
      <w:r>
        <w:rPr>
          <w:rFonts w:hint="eastAsia"/>
          <w:sz w:val="24"/>
        </w:rPr>
        <w:t>销售</w:t>
      </w:r>
      <w:r>
        <w:rPr>
          <w:sz w:val="24"/>
        </w:rPr>
        <w:t>机构业务规则规定的最低单笔认购金额高于</w:t>
      </w:r>
      <w:r>
        <w:rPr>
          <w:sz w:val="24"/>
        </w:rPr>
        <w:t>1</w:t>
      </w:r>
      <w:r>
        <w:rPr>
          <w:sz w:val="24"/>
        </w:rPr>
        <w:t>元，以</w:t>
      </w:r>
      <w:r>
        <w:rPr>
          <w:rFonts w:hint="eastAsia"/>
          <w:sz w:val="24"/>
        </w:rPr>
        <w:t>该销售</w:t>
      </w:r>
      <w:r>
        <w:rPr>
          <w:sz w:val="24"/>
        </w:rPr>
        <w:t>机构的规定为准。</w:t>
      </w:r>
    </w:p>
    <w:p w14:paraId="6BE8F3C3" w14:textId="77777777" w:rsidR="0004536B" w:rsidRDefault="003574EC">
      <w:pPr>
        <w:adjustRightInd w:val="0"/>
        <w:snapToGrid w:val="0"/>
        <w:spacing w:line="360" w:lineRule="auto"/>
        <w:ind w:firstLineChars="200" w:firstLine="480"/>
        <w:rPr>
          <w:sz w:val="24"/>
        </w:rPr>
      </w:pPr>
      <w:r>
        <w:rPr>
          <w:sz w:val="24"/>
        </w:rPr>
        <w:t>（</w:t>
      </w:r>
      <w:r>
        <w:rPr>
          <w:sz w:val="24"/>
        </w:rPr>
        <w:t>5</w:t>
      </w:r>
      <w:r>
        <w:rPr>
          <w:sz w:val="24"/>
        </w:rPr>
        <w:t>）</w:t>
      </w:r>
      <w:r>
        <w:rPr>
          <w:rFonts w:hint="eastAsia"/>
          <w:sz w:val="24"/>
        </w:rPr>
        <w:t>基金管理人可以对募集期间的单个投资人的累计认购金额进行限制，具体限制和处理方法请参看相关公告。</w:t>
      </w:r>
    </w:p>
    <w:p w14:paraId="62DC7480" w14:textId="77777777" w:rsidR="0004536B" w:rsidRDefault="003574EC">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）如本基金单个投资人累计认购的基金份额数超过基金总份额的</w:t>
      </w:r>
      <w:r>
        <w:rPr>
          <w:rFonts w:hint="eastAsia"/>
          <w:sz w:val="24"/>
        </w:rPr>
        <w:t>50%</w:t>
      </w:r>
      <w:r>
        <w:rPr>
          <w:rFonts w:hint="eastAsia"/>
          <w:sz w:val="24"/>
        </w:rPr>
        <w:t>，基金管理人可以采取比例确认等方式对该投资人的认购申请进行限制。基金管理人接受某笔或者某些认购申请有可能导致投资者变相规避前述</w:t>
      </w:r>
      <w:r>
        <w:rPr>
          <w:rFonts w:hint="eastAsia"/>
          <w:sz w:val="24"/>
        </w:rPr>
        <w:t>50%</w:t>
      </w:r>
      <w:r>
        <w:rPr>
          <w:rFonts w:hint="eastAsia"/>
          <w:sz w:val="24"/>
        </w:rPr>
        <w:t>比例要求的，基金管理人有权拒绝该等全部或者部分认购申请。投资人认购的基金份额数以基金合同生效后登记机构的确认为准。</w:t>
      </w:r>
    </w:p>
    <w:p w14:paraId="3E6E4BA9" w14:textId="77777777" w:rsidR="0004536B" w:rsidRDefault="003574EC">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）基金管理人可以对募集期间的本基金募集规模设置上限。募集期内超过募集规模上限时，基金管理人可以采用比例确认或其他方式进行确认，具体办法参见基金份额发售公告。</w:t>
      </w:r>
    </w:p>
    <w:p w14:paraId="28596139" w14:textId="196AAC4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3</w:t>
      </w:r>
      <w:r w:rsidRPr="00210D77">
        <w:rPr>
          <w:kern w:val="0"/>
          <w:sz w:val="24"/>
          <w:szCs w:val="24"/>
        </w:rPr>
        <w:t>、基金份额的</w:t>
      </w:r>
      <w:r w:rsidR="0045734D">
        <w:rPr>
          <w:rFonts w:hint="eastAsia"/>
          <w:kern w:val="0"/>
          <w:sz w:val="24"/>
          <w:szCs w:val="24"/>
        </w:rPr>
        <w:t>面值、</w:t>
      </w:r>
      <w:r w:rsidRPr="00210D77">
        <w:rPr>
          <w:kern w:val="0"/>
          <w:sz w:val="24"/>
          <w:szCs w:val="24"/>
        </w:rPr>
        <w:t>认购费用、认购价格及认购份额的计算公式</w:t>
      </w:r>
    </w:p>
    <w:p w14:paraId="07F37E7C" w14:textId="342EC26E" w:rsidR="0004536B" w:rsidRPr="00210D77" w:rsidRDefault="003574EC">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1</w:t>
      </w:r>
      <w:r w:rsidRPr="00210D77">
        <w:rPr>
          <w:kern w:val="0"/>
          <w:sz w:val="24"/>
          <w:szCs w:val="24"/>
        </w:rPr>
        <w:t>）</w:t>
      </w:r>
      <w:r w:rsidR="0045734D">
        <w:rPr>
          <w:rFonts w:hint="eastAsia"/>
          <w:kern w:val="0"/>
          <w:sz w:val="24"/>
          <w:szCs w:val="24"/>
        </w:rPr>
        <w:t>面值、</w:t>
      </w:r>
      <w:r w:rsidRPr="00210D77">
        <w:rPr>
          <w:kern w:val="0"/>
          <w:sz w:val="24"/>
          <w:szCs w:val="24"/>
        </w:rPr>
        <w:t>认购价格：本基金</w:t>
      </w:r>
      <w:r w:rsidRPr="00210D77">
        <w:rPr>
          <w:rFonts w:hint="eastAsia"/>
          <w:kern w:val="0"/>
          <w:sz w:val="24"/>
          <w:szCs w:val="24"/>
        </w:rPr>
        <w:t>基金</w:t>
      </w:r>
      <w:r w:rsidRPr="00210D77">
        <w:rPr>
          <w:kern w:val="0"/>
          <w:sz w:val="24"/>
          <w:szCs w:val="24"/>
        </w:rPr>
        <w:t>份额的</w:t>
      </w:r>
      <w:r w:rsidR="0045734D">
        <w:rPr>
          <w:rFonts w:hint="eastAsia"/>
          <w:kern w:val="0"/>
          <w:sz w:val="24"/>
          <w:szCs w:val="24"/>
        </w:rPr>
        <w:t>初始面值、</w:t>
      </w:r>
      <w:r w:rsidRPr="00210D77">
        <w:rPr>
          <w:kern w:val="0"/>
          <w:sz w:val="24"/>
          <w:szCs w:val="24"/>
        </w:rPr>
        <w:t>认购价格为</w:t>
      </w:r>
      <w:r w:rsidRPr="00210D77">
        <w:rPr>
          <w:kern w:val="0"/>
          <w:sz w:val="24"/>
          <w:szCs w:val="24"/>
        </w:rPr>
        <w:t>1.00</w:t>
      </w:r>
      <w:r w:rsidRPr="00210D77">
        <w:rPr>
          <w:kern w:val="0"/>
          <w:sz w:val="24"/>
          <w:szCs w:val="24"/>
        </w:rPr>
        <w:t>元</w:t>
      </w:r>
      <w:r w:rsidRPr="00210D77">
        <w:rPr>
          <w:kern w:val="0"/>
          <w:sz w:val="24"/>
          <w:szCs w:val="24"/>
        </w:rPr>
        <w:t>/</w:t>
      </w:r>
      <w:r w:rsidRPr="00210D77">
        <w:rPr>
          <w:kern w:val="0"/>
          <w:sz w:val="24"/>
          <w:szCs w:val="24"/>
        </w:rPr>
        <w:t>份。</w:t>
      </w:r>
    </w:p>
    <w:p w14:paraId="2348060F" w14:textId="77777777" w:rsidR="0004536B" w:rsidRPr="00210D77" w:rsidRDefault="003574EC">
      <w:pPr>
        <w:adjustRightInd w:val="0"/>
        <w:snapToGrid w:val="0"/>
        <w:spacing w:line="360" w:lineRule="auto"/>
        <w:ind w:firstLineChars="200" w:firstLine="480"/>
        <w:rPr>
          <w:kern w:val="0"/>
          <w:sz w:val="24"/>
          <w:szCs w:val="24"/>
        </w:rPr>
      </w:pPr>
      <w:r w:rsidRPr="00210D77">
        <w:rPr>
          <w:kern w:val="0"/>
          <w:sz w:val="24"/>
          <w:szCs w:val="24"/>
        </w:rPr>
        <w:t>（</w:t>
      </w:r>
      <w:r w:rsidRPr="00210D77">
        <w:rPr>
          <w:kern w:val="0"/>
          <w:sz w:val="24"/>
          <w:szCs w:val="24"/>
        </w:rPr>
        <w:t>2</w:t>
      </w:r>
      <w:r w:rsidRPr="00210D77">
        <w:rPr>
          <w:kern w:val="0"/>
          <w:sz w:val="24"/>
          <w:szCs w:val="24"/>
        </w:rPr>
        <w:t>）认购费率</w:t>
      </w:r>
    </w:p>
    <w:p w14:paraId="1D1D2AF8" w14:textId="77D781D0" w:rsidR="0004536B" w:rsidRPr="00210D77" w:rsidRDefault="003574EC">
      <w:pPr>
        <w:adjustRightInd w:val="0"/>
        <w:snapToGrid w:val="0"/>
        <w:spacing w:line="360" w:lineRule="auto"/>
        <w:ind w:firstLineChars="200" w:firstLine="480"/>
        <w:rPr>
          <w:kern w:val="0"/>
          <w:sz w:val="24"/>
          <w:szCs w:val="24"/>
        </w:rPr>
      </w:pPr>
      <w:r w:rsidRPr="00210D77">
        <w:rPr>
          <w:rFonts w:hint="eastAsia"/>
          <w:kern w:val="0"/>
          <w:sz w:val="24"/>
          <w:szCs w:val="24"/>
        </w:rPr>
        <w:t>募集期内投资人可以多次认购本基金，认购费用按每笔认购申请单独计算。基</w:t>
      </w:r>
      <w:r w:rsidRPr="00210D77">
        <w:rPr>
          <w:rFonts w:hint="eastAsia"/>
          <w:kern w:val="0"/>
          <w:sz w:val="24"/>
          <w:szCs w:val="24"/>
        </w:rPr>
        <w:lastRenderedPageBreak/>
        <w:t>金投资者认购收取认购费用，即在认购时支付认购费用。</w:t>
      </w:r>
    </w:p>
    <w:p w14:paraId="03062472" w14:textId="7B7BE830" w:rsidR="0004536B" w:rsidRDefault="003574EC">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04536B" w14:paraId="61AC5DA2" w14:textId="77777777">
        <w:trPr>
          <w:cantSplit/>
          <w:trHeight w:val="132"/>
          <w:jc w:val="center"/>
        </w:trPr>
        <w:tc>
          <w:tcPr>
            <w:tcW w:w="3528" w:type="dxa"/>
            <w:shd w:val="clear" w:color="auto" w:fill="FFFFFF"/>
            <w:vAlign w:val="center"/>
          </w:tcPr>
          <w:p w14:paraId="1DB0CD4F" w14:textId="77777777" w:rsidR="0004536B" w:rsidRDefault="003574EC">
            <w:pPr>
              <w:adjustRightInd w:val="0"/>
              <w:snapToGrid w:val="0"/>
              <w:jc w:val="center"/>
              <w:rPr>
                <w:b/>
                <w:sz w:val="24"/>
              </w:rPr>
            </w:pPr>
            <w:r>
              <w:rPr>
                <w:b/>
                <w:sz w:val="24"/>
              </w:rPr>
              <w:t>认购金额（含认购费）</w:t>
            </w:r>
          </w:p>
        </w:tc>
        <w:tc>
          <w:tcPr>
            <w:tcW w:w="3598" w:type="dxa"/>
            <w:shd w:val="clear" w:color="auto" w:fill="FFFFFF"/>
            <w:vAlign w:val="center"/>
          </w:tcPr>
          <w:p w14:paraId="22C10367" w14:textId="7812F1BB" w:rsidR="0004536B" w:rsidRDefault="003574EC">
            <w:pPr>
              <w:adjustRightInd w:val="0"/>
              <w:snapToGrid w:val="0"/>
              <w:jc w:val="center"/>
              <w:rPr>
                <w:b/>
                <w:sz w:val="24"/>
              </w:rPr>
            </w:pPr>
            <w:r>
              <w:rPr>
                <w:b/>
                <w:sz w:val="24"/>
              </w:rPr>
              <w:t>认购费率</w:t>
            </w:r>
          </w:p>
        </w:tc>
      </w:tr>
      <w:tr w:rsidR="0004536B" w14:paraId="64B5B5CA" w14:textId="77777777">
        <w:trPr>
          <w:cantSplit/>
          <w:trHeight w:val="131"/>
          <w:jc w:val="center"/>
        </w:trPr>
        <w:tc>
          <w:tcPr>
            <w:tcW w:w="3528" w:type="dxa"/>
          </w:tcPr>
          <w:p w14:paraId="2C90FA2D" w14:textId="77777777" w:rsidR="0004536B" w:rsidRDefault="003574EC">
            <w:pPr>
              <w:adjustRightInd w:val="0"/>
              <w:snapToGrid w:val="0"/>
              <w:rPr>
                <w:sz w:val="24"/>
              </w:rPr>
            </w:pPr>
            <w:r>
              <w:rPr>
                <w:rFonts w:hint="eastAsia"/>
                <w:sz w:val="24"/>
              </w:rPr>
              <w:t>5</w:t>
            </w:r>
            <w:r>
              <w:rPr>
                <w:sz w:val="24"/>
              </w:rPr>
              <w:t>00</w:t>
            </w:r>
            <w:r>
              <w:rPr>
                <w:sz w:val="24"/>
              </w:rPr>
              <w:t>万元以下</w:t>
            </w:r>
          </w:p>
        </w:tc>
        <w:tc>
          <w:tcPr>
            <w:tcW w:w="3598" w:type="dxa"/>
          </w:tcPr>
          <w:p w14:paraId="50DA6085" w14:textId="77777777" w:rsidR="0004536B" w:rsidRDefault="003574EC">
            <w:pPr>
              <w:adjustRightInd w:val="0"/>
              <w:snapToGrid w:val="0"/>
              <w:jc w:val="center"/>
              <w:rPr>
                <w:sz w:val="24"/>
              </w:rPr>
            </w:pPr>
            <w:r>
              <w:rPr>
                <w:sz w:val="24"/>
              </w:rPr>
              <w:t>1.2%</w:t>
            </w:r>
          </w:p>
        </w:tc>
      </w:tr>
      <w:tr w:rsidR="0004536B" w14:paraId="0A51C94A" w14:textId="77777777">
        <w:trPr>
          <w:cantSplit/>
          <w:trHeight w:val="131"/>
          <w:jc w:val="center"/>
        </w:trPr>
        <w:tc>
          <w:tcPr>
            <w:tcW w:w="3528" w:type="dxa"/>
          </w:tcPr>
          <w:p w14:paraId="2A0C00AB" w14:textId="77777777" w:rsidR="0004536B" w:rsidRDefault="003574EC">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3598" w:type="dxa"/>
          </w:tcPr>
          <w:p w14:paraId="29826462" w14:textId="77777777" w:rsidR="0004536B" w:rsidRDefault="003574EC">
            <w:pPr>
              <w:adjustRightInd w:val="0"/>
              <w:snapToGrid w:val="0"/>
              <w:jc w:val="center"/>
              <w:rPr>
                <w:sz w:val="24"/>
              </w:rPr>
            </w:pPr>
            <w:r>
              <w:rPr>
                <w:sz w:val="24"/>
              </w:rPr>
              <w:t>每笔交易</w:t>
            </w:r>
            <w:r>
              <w:rPr>
                <w:sz w:val="24"/>
              </w:rPr>
              <w:t>1000</w:t>
            </w:r>
            <w:r>
              <w:rPr>
                <w:sz w:val="24"/>
              </w:rPr>
              <w:t>元</w:t>
            </w:r>
          </w:p>
        </w:tc>
      </w:tr>
    </w:tbl>
    <w:p w14:paraId="7EA3CC82" w14:textId="228C8D52" w:rsidR="0004536B" w:rsidRDefault="003574EC">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6CE99301" w14:textId="77777777" w:rsidR="0004536B" w:rsidRDefault="003574EC">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57B99043" w14:textId="77777777" w:rsidR="0004536B" w:rsidRDefault="003574EC">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04E040C5" w14:textId="77777777" w:rsidR="0004536B" w:rsidRDefault="003574EC">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2A2184A8" w14:textId="77777777" w:rsidR="0004536B" w:rsidRDefault="003574EC">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62EAF89F" w14:textId="77777777" w:rsidR="0004536B" w:rsidRDefault="003574EC">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6B50D290" w14:textId="77777777" w:rsidR="0004536B" w:rsidRDefault="003574EC">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16AAC03F" w14:textId="45260715" w:rsidR="0004536B" w:rsidRDefault="003574EC">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04536B" w14:paraId="15FE8C27" w14:textId="77777777">
        <w:trPr>
          <w:cantSplit/>
          <w:trHeight w:val="132"/>
          <w:jc w:val="center"/>
        </w:trPr>
        <w:tc>
          <w:tcPr>
            <w:tcW w:w="3260" w:type="dxa"/>
            <w:shd w:val="clear" w:color="auto" w:fill="FFFFFF"/>
            <w:vAlign w:val="center"/>
          </w:tcPr>
          <w:p w14:paraId="2F9DF3F3" w14:textId="77777777" w:rsidR="0004536B" w:rsidRDefault="003574EC">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59A47A8E" w14:textId="691C34C0" w:rsidR="0004536B" w:rsidRDefault="003574EC">
            <w:pPr>
              <w:adjustRightInd w:val="0"/>
              <w:snapToGrid w:val="0"/>
              <w:jc w:val="center"/>
              <w:rPr>
                <w:b/>
                <w:sz w:val="24"/>
              </w:rPr>
            </w:pPr>
            <w:r>
              <w:rPr>
                <w:rFonts w:hint="eastAsia"/>
                <w:b/>
                <w:sz w:val="24"/>
              </w:rPr>
              <w:t>特定认</w:t>
            </w:r>
            <w:r>
              <w:rPr>
                <w:b/>
                <w:sz w:val="24"/>
              </w:rPr>
              <w:t>购费率</w:t>
            </w:r>
          </w:p>
        </w:tc>
      </w:tr>
      <w:tr w:rsidR="0004536B" w14:paraId="0D8907A5" w14:textId="77777777">
        <w:trPr>
          <w:cantSplit/>
          <w:trHeight w:val="131"/>
          <w:jc w:val="center"/>
        </w:trPr>
        <w:tc>
          <w:tcPr>
            <w:tcW w:w="3260" w:type="dxa"/>
          </w:tcPr>
          <w:p w14:paraId="61538397" w14:textId="77777777" w:rsidR="0004536B" w:rsidRDefault="003574EC">
            <w:pPr>
              <w:adjustRightInd w:val="0"/>
              <w:snapToGrid w:val="0"/>
              <w:rPr>
                <w:sz w:val="24"/>
              </w:rPr>
            </w:pPr>
            <w:r>
              <w:rPr>
                <w:rFonts w:hint="eastAsia"/>
                <w:sz w:val="24"/>
              </w:rPr>
              <w:t>5</w:t>
            </w:r>
            <w:r>
              <w:rPr>
                <w:sz w:val="24"/>
              </w:rPr>
              <w:t>00</w:t>
            </w:r>
            <w:r>
              <w:rPr>
                <w:sz w:val="24"/>
              </w:rPr>
              <w:t>万元以下</w:t>
            </w:r>
          </w:p>
        </w:tc>
        <w:tc>
          <w:tcPr>
            <w:tcW w:w="3767" w:type="dxa"/>
          </w:tcPr>
          <w:p w14:paraId="5BEC2660" w14:textId="77777777" w:rsidR="0004536B" w:rsidRDefault="003574EC">
            <w:pPr>
              <w:adjustRightInd w:val="0"/>
              <w:snapToGrid w:val="0"/>
              <w:jc w:val="center"/>
              <w:rPr>
                <w:sz w:val="24"/>
              </w:rPr>
            </w:pPr>
            <w:r>
              <w:rPr>
                <w:rFonts w:hAnsi="宋体" w:hint="eastAsia"/>
                <w:sz w:val="24"/>
              </w:rPr>
              <w:t>0.</w:t>
            </w:r>
            <w:r>
              <w:rPr>
                <w:rFonts w:hAnsi="宋体"/>
                <w:sz w:val="24"/>
              </w:rPr>
              <w:t>48</w:t>
            </w:r>
            <w:r>
              <w:rPr>
                <w:rFonts w:hAnsi="宋体" w:hint="eastAsia"/>
                <w:sz w:val="24"/>
              </w:rPr>
              <w:t>%</w:t>
            </w:r>
          </w:p>
        </w:tc>
      </w:tr>
      <w:tr w:rsidR="0004536B" w14:paraId="0BD590DD" w14:textId="77777777">
        <w:trPr>
          <w:cantSplit/>
          <w:trHeight w:val="131"/>
          <w:jc w:val="center"/>
        </w:trPr>
        <w:tc>
          <w:tcPr>
            <w:tcW w:w="3260" w:type="dxa"/>
          </w:tcPr>
          <w:p w14:paraId="5CF70574" w14:textId="77777777" w:rsidR="0004536B" w:rsidRDefault="003574EC">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3767" w:type="dxa"/>
          </w:tcPr>
          <w:p w14:paraId="0B991C0B" w14:textId="77777777" w:rsidR="0004536B" w:rsidRDefault="003574EC">
            <w:pPr>
              <w:adjustRightInd w:val="0"/>
              <w:snapToGrid w:val="0"/>
              <w:jc w:val="center"/>
              <w:rPr>
                <w:rFonts w:hAnsi="宋体"/>
                <w:sz w:val="24"/>
              </w:rPr>
            </w:pPr>
            <w:r>
              <w:rPr>
                <w:rFonts w:hAnsi="宋体"/>
                <w:sz w:val="24"/>
              </w:rPr>
              <w:t>每笔交易</w:t>
            </w:r>
            <w:r>
              <w:rPr>
                <w:rFonts w:hAnsi="宋体"/>
                <w:sz w:val="24"/>
              </w:rPr>
              <w:t>1000</w:t>
            </w:r>
            <w:r>
              <w:rPr>
                <w:rFonts w:hAnsi="宋体"/>
                <w:sz w:val="24"/>
              </w:rPr>
              <w:t>元</w:t>
            </w:r>
          </w:p>
        </w:tc>
      </w:tr>
    </w:tbl>
    <w:p w14:paraId="1B2330F9" w14:textId="09A4B9CB" w:rsidR="0004536B" w:rsidRDefault="003574EC">
      <w:pPr>
        <w:adjustRightInd w:val="0"/>
        <w:snapToGrid w:val="0"/>
        <w:spacing w:line="360" w:lineRule="auto"/>
        <w:ind w:firstLineChars="200" w:firstLine="480"/>
        <w:rPr>
          <w:sz w:val="24"/>
        </w:rPr>
      </w:pPr>
      <w:r>
        <w:rPr>
          <w:rFonts w:hint="eastAsia"/>
          <w:sz w:val="24"/>
        </w:rPr>
        <w:t>本</w:t>
      </w:r>
      <w:r>
        <w:rPr>
          <w:sz w:val="24"/>
        </w:rPr>
        <w:t>基金认购费用</w:t>
      </w:r>
      <w:r>
        <w:rPr>
          <w:rFonts w:hint="eastAsia"/>
          <w:sz w:val="24"/>
        </w:rPr>
        <w:t>由认购基金份额的投资人承担，</w:t>
      </w:r>
      <w:r>
        <w:rPr>
          <w:sz w:val="24"/>
        </w:rPr>
        <w:t>认购费用不列入基金财产，主要用于基金的市场推广、销售、登记等募集期间发生的各项费用。</w:t>
      </w:r>
    </w:p>
    <w:p w14:paraId="301A8D43" w14:textId="77777777" w:rsidR="0004536B" w:rsidRDefault="003574EC">
      <w:pPr>
        <w:adjustRightInd w:val="0"/>
        <w:snapToGrid w:val="0"/>
        <w:spacing w:line="360" w:lineRule="auto"/>
        <w:ind w:firstLineChars="200" w:firstLine="480"/>
        <w:rPr>
          <w:sz w:val="24"/>
        </w:rPr>
      </w:pPr>
      <w:r>
        <w:rPr>
          <w:sz w:val="24"/>
        </w:rPr>
        <w:t>（</w:t>
      </w:r>
      <w:r>
        <w:rPr>
          <w:sz w:val="24"/>
        </w:rPr>
        <w:t>3</w:t>
      </w:r>
      <w:r>
        <w:rPr>
          <w:sz w:val="24"/>
        </w:rPr>
        <w:t>）认购份额的计算</w:t>
      </w:r>
    </w:p>
    <w:p w14:paraId="6579D591" w14:textId="36ED49A9" w:rsidR="0004536B" w:rsidRDefault="00571715">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w:t>
      </w:r>
      <w:r w:rsidR="003574EC">
        <w:rPr>
          <w:rFonts w:hint="eastAsia"/>
          <w:sz w:val="24"/>
        </w:rPr>
        <w:t>基金的认购</w:t>
      </w:r>
      <w:r w:rsidR="003574EC">
        <w:rPr>
          <w:sz w:val="24"/>
        </w:rPr>
        <w:t>金额</w:t>
      </w:r>
      <w:r w:rsidR="003574EC">
        <w:rPr>
          <w:rFonts w:hint="eastAsia"/>
          <w:sz w:val="24"/>
        </w:rPr>
        <w:t>包括认购费用和净认购金额。计算公式为：</w:t>
      </w:r>
    </w:p>
    <w:p w14:paraId="0E031BCE" w14:textId="77777777" w:rsidR="0004536B" w:rsidRDefault="003574EC">
      <w:pPr>
        <w:adjustRightInd w:val="0"/>
        <w:snapToGrid w:val="0"/>
        <w:spacing w:line="360" w:lineRule="auto"/>
        <w:ind w:firstLineChars="200" w:firstLine="480"/>
        <w:rPr>
          <w:sz w:val="24"/>
        </w:rPr>
      </w:pPr>
      <w:r>
        <w:rPr>
          <w:sz w:val="24"/>
        </w:rPr>
        <w:t>认购总金额</w:t>
      </w:r>
      <w:r>
        <w:rPr>
          <w:sz w:val="24"/>
        </w:rPr>
        <w:t>=</w:t>
      </w:r>
      <w:r>
        <w:rPr>
          <w:sz w:val="24"/>
        </w:rPr>
        <w:t>申请总金额</w:t>
      </w:r>
    </w:p>
    <w:p w14:paraId="284E788B" w14:textId="77777777" w:rsidR="0004536B" w:rsidRDefault="003574EC">
      <w:pPr>
        <w:adjustRightInd w:val="0"/>
        <w:snapToGrid w:val="0"/>
        <w:spacing w:line="360" w:lineRule="auto"/>
        <w:ind w:firstLineChars="200" w:firstLine="480"/>
        <w:rPr>
          <w:sz w:val="24"/>
        </w:rPr>
      </w:pPr>
      <w:r>
        <w:rPr>
          <w:sz w:val="24"/>
        </w:rPr>
        <w:t>净认购金额</w:t>
      </w:r>
      <w:r>
        <w:rPr>
          <w:sz w:val="24"/>
        </w:rPr>
        <w:t>=</w:t>
      </w:r>
      <w:r>
        <w:rPr>
          <w:sz w:val="24"/>
        </w:rPr>
        <w:t>认购总金额</w:t>
      </w:r>
      <w:r>
        <w:rPr>
          <w:sz w:val="24"/>
        </w:rPr>
        <w:t>/</w:t>
      </w:r>
      <w:r>
        <w:rPr>
          <w:sz w:val="24"/>
        </w:rPr>
        <w:t>（</w:t>
      </w:r>
      <w:r>
        <w:rPr>
          <w:sz w:val="24"/>
        </w:rPr>
        <w:t>1+</w:t>
      </w:r>
      <w:r>
        <w:rPr>
          <w:sz w:val="24"/>
        </w:rPr>
        <w:t>认购费率）</w:t>
      </w:r>
    </w:p>
    <w:p w14:paraId="657323A4" w14:textId="77777777" w:rsidR="0004536B" w:rsidRDefault="003574EC">
      <w:pPr>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0D2B3ECC" w14:textId="77777777" w:rsidR="0004536B" w:rsidRDefault="003574EC">
      <w:pPr>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4F14C105" w14:textId="77777777" w:rsidR="0004536B" w:rsidRDefault="003574EC">
      <w:pPr>
        <w:adjustRightInd w:val="0"/>
        <w:snapToGrid w:val="0"/>
        <w:spacing w:line="360" w:lineRule="auto"/>
        <w:ind w:firstLineChars="200" w:firstLine="480"/>
        <w:rPr>
          <w:sz w:val="24"/>
        </w:rPr>
      </w:pPr>
      <w:r>
        <w:rPr>
          <w:sz w:val="24"/>
        </w:rPr>
        <w:lastRenderedPageBreak/>
        <w:t>（注：对于适用固定金额认购费用的认购，认购费用＝固定认购费用金额）</w:t>
      </w:r>
    </w:p>
    <w:p w14:paraId="6A3DBD66" w14:textId="77777777" w:rsidR="0004536B" w:rsidRDefault="003574EC">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5D97D110" w14:textId="77777777" w:rsidR="0004536B" w:rsidRDefault="003574EC">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243C38F1" w14:textId="64FE65B2" w:rsidR="0004536B" w:rsidRDefault="003574EC">
      <w:pPr>
        <w:adjustRightInd w:val="0"/>
        <w:snapToGrid w:val="0"/>
        <w:spacing w:line="360" w:lineRule="auto"/>
        <w:ind w:firstLineChars="200" w:firstLine="480"/>
        <w:rPr>
          <w:sz w:val="24"/>
        </w:rPr>
      </w:pPr>
      <w:r>
        <w:rPr>
          <w:sz w:val="24"/>
        </w:rPr>
        <w:t>例一：</w:t>
      </w:r>
      <w:r>
        <w:rPr>
          <w:rFonts w:hint="eastAsia"/>
          <w:sz w:val="24"/>
        </w:rPr>
        <w:t>某投资者（非养老金客户）投资本基金</w:t>
      </w:r>
      <w:r>
        <w:rPr>
          <w:rFonts w:hint="eastAsia"/>
          <w:sz w:val="24"/>
        </w:rPr>
        <w:t>100,000</w:t>
      </w:r>
      <w:r w:rsidR="00D22300">
        <w:rPr>
          <w:rFonts w:hint="eastAsia"/>
          <w:sz w:val="24"/>
        </w:rPr>
        <w:t>.</w:t>
      </w:r>
      <w:r w:rsidR="00D22300">
        <w:rPr>
          <w:sz w:val="24"/>
        </w:rPr>
        <w:t>00</w:t>
      </w:r>
      <w:r>
        <w:rPr>
          <w:rFonts w:hint="eastAsia"/>
          <w:sz w:val="24"/>
        </w:rPr>
        <w:t>元，且该认购申请被全额确认，假定</w:t>
      </w:r>
      <w:r w:rsidR="00D22300" w:rsidRPr="00D22300">
        <w:rPr>
          <w:rFonts w:hint="eastAsia"/>
          <w:sz w:val="24"/>
        </w:rPr>
        <w:t>该笔认购金额</w:t>
      </w:r>
      <w:r>
        <w:rPr>
          <w:rFonts w:hint="eastAsia"/>
          <w:sz w:val="24"/>
        </w:rPr>
        <w:t>产生的利息为</w:t>
      </w:r>
      <w:r>
        <w:rPr>
          <w:rFonts w:hint="eastAsia"/>
          <w:sz w:val="24"/>
        </w:rPr>
        <w:t>10.00</w:t>
      </w:r>
      <w:r>
        <w:rPr>
          <w:rFonts w:hint="eastAsia"/>
          <w:sz w:val="24"/>
        </w:rPr>
        <w:t>元，认购费率为</w:t>
      </w:r>
      <w:r>
        <w:rPr>
          <w:sz w:val="24"/>
        </w:rPr>
        <w:t>1.2</w:t>
      </w:r>
      <w:r>
        <w:rPr>
          <w:rFonts w:hint="eastAsia"/>
          <w:sz w:val="24"/>
        </w:rPr>
        <w:t>%</w:t>
      </w:r>
      <w:r>
        <w:rPr>
          <w:rFonts w:hint="eastAsia"/>
          <w:sz w:val="24"/>
        </w:rPr>
        <w:t>，则可认购基金份额为：</w:t>
      </w:r>
    </w:p>
    <w:p w14:paraId="35613F22" w14:textId="25F6AC48" w:rsidR="0004536B" w:rsidRDefault="003574EC">
      <w:pPr>
        <w:adjustRightInd w:val="0"/>
        <w:snapToGrid w:val="0"/>
        <w:spacing w:line="360" w:lineRule="auto"/>
        <w:ind w:firstLineChars="200" w:firstLine="480"/>
        <w:rPr>
          <w:sz w:val="24"/>
        </w:rPr>
      </w:pPr>
      <w:r>
        <w:rPr>
          <w:rFonts w:hint="eastAsia"/>
          <w:sz w:val="24"/>
        </w:rPr>
        <w:t>认购总金额</w:t>
      </w:r>
      <w:r>
        <w:rPr>
          <w:rFonts w:hint="eastAsia"/>
          <w:sz w:val="24"/>
        </w:rPr>
        <w:t>=100,000</w:t>
      </w:r>
      <w:r w:rsidR="00D22300">
        <w:rPr>
          <w:sz w:val="24"/>
        </w:rPr>
        <w:t>.00</w:t>
      </w:r>
      <w:r>
        <w:rPr>
          <w:rFonts w:hint="eastAsia"/>
          <w:sz w:val="24"/>
        </w:rPr>
        <w:t>元</w:t>
      </w:r>
    </w:p>
    <w:p w14:paraId="6EBFBD10" w14:textId="07365B6F" w:rsidR="0004536B" w:rsidRDefault="003574EC">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sidR="00D22300">
        <w:rPr>
          <w:sz w:val="24"/>
        </w:rPr>
        <w:t>.00</w:t>
      </w:r>
      <w:r>
        <w:rPr>
          <w:sz w:val="24"/>
        </w:rPr>
        <w:t>/</w:t>
      </w:r>
      <w:r>
        <w:rPr>
          <w:sz w:val="24"/>
        </w:rPr>
        <w:t>（</w:t>
      </w:r>
      <w:r>
        <w:rPr>
          <w:sz w:val="24"/>
        </w:rPr>
        <w:t>1</w:t>
      </w:r>
      <w:r>
        <w:rPr>
          <w:sz w:val="24"/>
        </w:rPr>
        <w:t>＋</w:t>
      </w:r>
      <w:r>
        <w:rPr>
          <w:sz w:val="24"/>
        </w:rPr>
        <w:t>1.2%</w:t>
      </w:r>
      <w:r>
        <w:rPr>
          <w:sz w:val="24"/>
        </w:rPr>
        <w:t>）＝</w:t>
      </w:r>
      <w:r>
        <w:rPr>
          <w:sz w:val="24"/>
        </w:rPr>
        <w:t>98,814.23</w:t>
      </w:r>
      <w:r>
        <w:rPr>
          <w:sz w:val="24"/>
        </w:rPr>
        <w:t>元</w:t>
      </w:r>
    </w:p>
    <w:p w14:paraId="4CC4F41D" w14:textId="31BFF003" w:rsidR="0004536B" w:rsidRDefault="003574EC">
      <w:pPr>
        <w:adjustRightInd w:val="0"/>
        <w:snapToGrid w:val="0"/>
        <w:spacing w:line="360" w:lineRule="auto"/>
        <w:ind w:firstLineChars="200" w:firstLine="480"/>
        <w:rPr>
          <w:sz w:val="24"/>
        </w:rPr>
      </w:pPr>
      <w:r>
        <w:rPr>
          <w:sz w:val="24"/>
        </w:rPr>
        <w:t>认购费用＝</w:t>
      </w:r>
      <w:r>
        <w:rPr>
          <w:sz w:val="24"/>
        </w:rPr>
        <w:t>100,000</w:t>
      </w:r>
      <w:r w:rsidR="00D22300">
        <w:rPr>
          <w:sz w:val="24"/>
        </w:rPr>
        <w:t>.00</w:t>
      </w:r>
      <w:r>
        <w:rPr>
          <w:sz w:val="24"/>
        </w:rPr>
        <w:t>-98,814.23</w:t>
      </w:r>
      <w:r>
        <w:rPr>
          <w:sz w:val="24"/>
        </w:rPr>
        <w:t>＝</w:t>
      </w:r>
      <w:r>
        <w:rPr>
          <w:sz w:val="24"/>
        </w:rPr>
        <w:t>1,185.77</w:t>
      </w:r>
      <w:r>
        <w:rPr>
          <w:sz w:val="24"/>
        </w:rPr>
        <w:t>元</w:t>
      </w:r>
    </w:p>
    <w:p w14:paraId="3AD5EC8E" w14:textId="77777777" w:rsidR="0004536B" w:rsidRDefault="003574EC">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3BE0CC44" w14:textId="6092A48C" w:rsidR="0004536B" w:rsidRDefault="003574EC">
      <w:pPr>
        <w:adjustRightInd w:val="0"/>
        <w:snapToGrid w:val="0"/>
        <w:spacing w:line="360" w:lineRule="auto"/>
        <w:ind w:firstLineChars="200" w:firstLine="480"/>
        <w:rPr>
          <w:sz w:val="24"/>
        </w:rPr>
      </w:pPr>
      <w:r>
        <w:rPr>
          <w:rFonts w:hint="eastAsia"/>
          <w:sz w:val="24"/>
        </w:rPr>
        <w:t>即：若该投资者（非养老金客户）投资本基金</w:t>
      </w:r>
      <w:r>
        <w:rPr>
          <w:rFonts w:hint="eastAsia"/>
          <w:sz w:val="24"/>
        </w:rPr>
        <w:t>100,000</w:t>
      </w:r>
      <w:r w:rsidR="00683A5C">
        <w:rPr>
          <w:sz w:val="24"/>
        </w:rPr>
        <w:t>.00</w:t>
      </w:r>
      <w:r>
        <w:rPr>
          <w:rFonts w:hint="eastAsia"/>
          <w:sz w:val="24"/>
        </w:rPr>
        <w:t>元，假定</w:t>
      </w:r>
      <w:r w:rsidR="00683A5C">
        <w:rPr>
          <w:rFonts w:hint="eastAsia"/>
          <w:sz w:val="24"/>
        </w:rPr>
        <w:t>该笔认购金额</w:t>
      </w:r>
      <w:r>
        <w:rPr>
          <w:rFonts w:hint="eastAsia"/>
          <w:sz w:val="24"/>
        </w:rPr>
        <w:t>产生的利息为</w:t>
      </w:r>
      <w:r>
        <w:rPr>
          <w:rFonts w:hint="eastAsia"/>
          <w:sz w:val="24"/>
        </w:rPr>
        <w:t>10.00</w:t>
      </w:r>
      <w:r>
        <w:rPr>
          <w:rFonts w:hint="eastAsia"/>
          <w:sz w:val="24"/>
        </w:rPr>
        <w:t>元，则投资</w:t>
      </w:r>
      <w:r>
        <w:rPr>
          <w:rFonts w:hint="eastAsia"/>
          <w:sz w:val="24"/>
        </w:rPr>
        <w:t>100,000</w:t>
      </w:r>
      <w:r w:rsidR="00683A5C">
        <w:rPr>
          <w:sz w:val="24"/>
        </w:rPr>
        <w:t>.00</w:t>
      </w:r>
      <w:r>
        <w:rPr>
          <w:rFonts w:hint="eastAsia"/>
          <w:sz w:val="24"/>
        </w:rPr>
        <w:t>元本金可得到</w:t>
      </w:r>
      <w:r>
        <w:rPr>
          <w:sz w:val="24"/>
        </w:rPr>
        <w:t>98,824.23</w:t>
      </w:r>
      <w:r>
        <w:rPr>
          <w:rFonts w:hint="eastAsia"/>
          <w:sz w:val="24"/>
        </w:rPr>
        <w:t>份基金份额。</w:t>
      </w:r>
    </w:p>
    <w:p w14:paraId="3A092DE3" w14:textId="70E94CA0" w:rsidR="0004536B" w:rsidRDefault="003574EC">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sz w:val="24"/>
        </w:rPr>
        <w:t>1</w:t>
      </w:r>
      <w:r>
        <w:rPr>
          <w:sz w:val="24"/>
        </w:rPr>
        <w:t>,0</w:t>
      </w:r>
      <w:r>
        <w:rPr>
          <w:rFonts w:hint="eastAsia"/>
          <w:sz w:val="24"/>
        </w:rPr>
        <w:t>00,000</w:t>
      </w:r>
      <w:r w:rsidR="00683A5C">
        <w:rPr>
          <w:sz w:val="24"/>
        </w:rPr>
        <w:t>.00</w:t>
      </w:r>
      <w:r>
        <w:rPr>
          <w:rFonts w:hint="eastAsia"/>
          <w:sz w:val="24"/>
        </w:rPr>
        <w:t>元，且该认购申请被全额确认，假定</w:t>
      </w:r>
      <w:r w:rsidR="00683A5C">
        <w:rPr>
          <w:rFonts w:hint="eastAsia"/>
          <w:sz w:val="24"/>
        </w:rPr>
        <w:t>该笔认购金额</w:t>
      </w:r>
      <w:r>
        <w:rPr>
          <w:rFonts w:hint="eastAsia"/>
          <w:sz w:val="24"/>
        </w:rPr>
        <w:t>产生的利息为</w:t>
      </w:r>
      <w:r>
        <w:rPr>
          <w:rFonts w:hint="eastAsia"/>
          <w:sz w:val="24"/>
        </w:rPr>
        <w:t>50.00</w:t>
      </w:r>
      <w:r>
        <w:rPr>
          <w:rFonts w:hint="eastAsia"/>
          <w:sz w:val="24"/>
        </w:rPr>
        <w:t>元，</w:t>
      </w:r>
      <w:r>
        <w:rPr>
          <w:sz w:val="24"/>
        </w:rPr>
        <w:t>认购费率为</w:t>
      </w:r>
      <w:r>
        <w:rPr>
          <w:rFonts w:hint="eastAsia"/>
          <w:sz w:val="24"/>
        </w:rPr>
        <w:t>0.48</w:t>
      </w:r>
      <w:r>
        <w:rPr>
          <w:sz w:val="24"/>
        </w:rPr>
        <w:t>%</w:t>
      </w:r>
      <w:r>
        <w:rPr>
          <w:sz w:val="24"/>
        </w:rPr>
        <w:t>，则可认购基金份额为：</w:t>
      </w:r>
    </w:p>
    <w:p w14:paraId="0D32277F" w14:textId="6B00737F" w:rsidR="0004536B" w:rsidRDefault="003574EC">
      <w:pPr>
        <w:adjustRightInd w:val="0"/>
        <w:snapToGrid w:val="0"/>
        <w:spacing w:line="360" w:lineRule="auto"/>
        <w:ind w:firstLineChars="200" w:firstLine="480"/>
        <w:rPr>
          <w:sz w:val="24"/>
        </w:rPr>
      </w:pPr>
      <w:r>
        <w:rPr>
          <w:sz w:val="24"/>
        </w:rPr>
        <w:t>认购总金额</w:t>
      </w:r>
      <w:r>
        <w:rPr>
          <w:sz w:val="24"/>
        </w:rPr>
        <w:t>=1,000,000</w:t>
      </w:r>
      <w:r w:rsidR="00683A5C">
        <w:rPr>
          <w:sz w:val="24"/>
        </w:rPr>
        <w:t>.00</w:t>
      </w:r>
      <w:r>
        <w:rPr>
          <w:sz w:val="24"/>
        </w:rPr>
        <w:t>元</w:t>
      </w:r>
    </w:p>
    <w:p w14:paraId="5821F84B" w14:textId="4CD99F53" w:rsidR="0004536B" w:rsidRDefault="003574EC">
      <w:pPr>
        <w:adjustRightInd w:val="0"/>
        <w:snapToGrid w:val="0"/>
        <w:spacing w:line="360" w:lineRule="auto"/>
        <w:ind w:firstLineChars="200" w:firstLine="480"/>
        <w:rPr>
          <w:sz w:val="24"/>
        </w:rPr>
      </w:pPr>
      <w:r>
        <w:rPr>
          <w:rFonts w:hint="eastAsia"/>
          <w:sz w:val="24"/>
        </w:rPr>
        <w:t>净</w:t>
      </w:r>
      <w:r>
        <w:rPr>
          <w:sz w:val="24"/>
        </w:rPr>
        <w:t>认购金额＝</w:t>
      </w:r>
      <w:r>
        <w:rPr>
          <w:sz w:val="24"/>
        </w:rPr>
        <w:t>1,000,000</w:t>
      </w:r>
      <w:r w:rsidR="00683A5C">
        <w:rPr>
          <w:sz w:val="24"/>
        </w:rPr>
        <w:t>.00</w:t>
      </w:r>
      <w:r>
        <w:rPr>
          <w:sz w:val="24"/>
        </w:rPr>
        <w:t>/</w:t>
      </w:r>
      <w:r>
        <w:rPr>
          <w:sz w:val="24"/>
        </w:rPr>
        <w:t>（</w:t>
      </w:r>
      <w:r>
        <w:rPr>
          <w:sz w:val="24"/>
        </w:rPr>
        <w:t>1</w:t>
      </w:r>
      <w:r>
        <w:rPr>
          <w:sz w:val="24"/>
        </w:rPr>
        <w:t>＋</w:t>
      </w:r>
      <w:r>
        <w:rPr>
          <w:rFonts w:hint="eastAsia"/>
          <w:sz w:val="24"/>
        </w:rPr>
        <w:t>0.48</w:t>
      </w:r>
      <w:r>
        <w:rPr>
          <w:sz w:val="24"/>
        </w:rPr>
        <w:t>%</w:t>
      </w:r>
      <w:r>
        <w:rPr>
          <w:sz w:val="24"/>
        </w:rPr>
        <w:t>）＝</w:t>
      </w:r>
      <w:r>
        <w:rPr>
          <w:rFonts w:hint="eastAsia"/>
          <w:sz w:val="24"/>
        </w:rPr>
        <w:t>995,222.93</w:t>
      </w:r>
      <w:r>
        <w:rPr>
          <w:sz w:val="24"/>
        </w:rPr>
        <w:t>元</w:t>
      </w:r>
    </w:p>
    <w:p w14:paraId="2A3F4830" w14:textId="0FB39EB1" w:rsidR="0004536B" w:rsidRDefault="003574EC">
      <w:pPr>
        <w:adjustRightInd w:val="0"/>
        <w:snapToGrid w:val="0"/>
        <w:spacing w:line="360" w:lineRule="auto"/>
        <w:ind w:firstLineChars="200" w:firstLine="480"/>
        <w:rPr>
          <w:sz w:val="24"/>
        </w:rPr>
      </w:pPr>
      <w:r>
        <w:rPr>
          <w:sz w:val="24"/>
        </w:rPr>
        <w:t>认购费用＝</w:t>
      </w:r>
      <w:r>
        <w:rPr>
          <w:sz w:val="24"/>
        </w:rPr>
        <w:t>1,000,000</w:t>
      </w:r>
      <w:r w:rsidR="00683A5C">
        <w:rPr>
          <w:sz w:val="24"/>
        </w:rPr>
        <w:t>.00</w:t>
      </w:r>
      <w:r>
        <w:rPr>
          <w:sz w:val="24"/>
        </w:rPr>
        <w:t>-</w:t>
      </w:r>
      <w:r>
        <w:rPr>
          <w:rFonts w:hint="eastAsia"/>
          <w:sz w:val="24"/>
        </w:rPr>
        <w:t>995,222.93</w:t>
      </w:r>
      <w:r>
        <w:rPr>
          <w:sz w:val="24"/>
        </w:rPr>
        <w:t>＝</w:t>
      </w:r>
      <w:r>
        <w:rPr>
          <w:rFonts w:hint="eastAsia"/>
          <w:sz w:val="24"/>
        </w:rPr>
        <w:t>4,777.07</w:t>
      </w:r>
      <w:r>
        <w:rPr>
          <w:sz w:val="24"/>
        </w:rPr>
        <w:t>元</w:t>
      </w:r>
    </w:p>
    <w:p w14:paraId="58C12557" w14:textId="77777777" w:rsidR="0004536B" w:rsidRDefault="003574EC">
      <w:pPr>
        <w:adjustRightInd w:val="0"/>
        <w:snapToGrid w:val="0"/>
        <w:spacing w:line="360" w:lineRule="auto"/>
        <w:ind w:firstLineChars="200" w:firstLine="480"/>
        <w:rPr>
          <w:sz w:val="24"/>
        </w:rPr>
      </w:pPr>
      <w:r>
        <w:rPr>
          <w:sz w:val="24"/>
        </w:rPr>
        <w:t>认购份额＝</w:t>
      </w:r>
      <w:r>
        <w:rPr>
          <w:rFonts w:hint="eastAsia"/>
          <w:sz w:val="24"/>
        </w:rPr>
        <w:t>995,222.93</w:t>
      </w:r>
      <w:r>
        <w:rPr>
          <w:sz w:val="24"/>
        </w:rPr>
        <w:t>/1.00</w:t>
      </w:r>
      <w:r>
        <w:rPr>
          <w:sz w:val="24"/>
        </w:rPr>
        <w:t>＋</w:t>
      </w:r>
      <w:r>
        <w:rPr>
          <w:rFonts w:hint="eastAsia"/>
          <w:sz w:val="24"/>
        </w:rPr>
        <w:t>5</w:t>
      </w:r>
      <w:r>
        <w:rPr>
          <w:sz w:val="24"/>
        </w:rPr>
        <w:t>0.00/1.00</w:t>
      </w:r>
      <w:r>
        <w:rPr>
          <w:sz w:val="24"/>
        </w:rPr>
        <w:t>＝</w:t>
      </w:r>
      <w:r>
        <w:rPr>
          <w:rFonts w:hint="eastAsia"/>
          <w:sz w:val="24"/>
        </w:rPr>
        <w:t>995,272.93</w:t>
      </w:r>
      <w:r>
        <w:rPr>
          <w:sz w:val="24"/>
        </w:rPr>
        <w:t>份</w:t>
      </w:r>
    </w:p>
    <w:p w14:paraId="04C25486" w14:textId="380D31D0" w:rsidR="0004536B" w:rsidRDefault="003574EC">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sz w:val="24"/>
        </w:rPr>
        <w:t>1</w:t>
      </w:r>
      <w:r>
        <w:rPr>
          <w:sz w:val="24"/>
        </w:rPr>
        <w:t>,0</w:t>
      </w:r>
      <w:r>
        <w:rPr>
          <w:rFonts w:hint="eastAsia"/>
          <w:sz w:val="24"/>
        </w:rPr>
        <w:t>00,000</w:t>
      </w:r>
      <w:r w:rsidR="00683A5C">
        <w:rPr>
          <w:sz w:val="24"/>
        </w:rPr>
        <w:t>.00</w:t>
      </w:r>
      <w:r>
        <w:rPr>
          <w:rFonts w:hint="eastAsia"/>
          <w:sz w:val="24"/>
        </w:rPr>
        <w:t>元，假定募集期产生的利息为</w:t>
      </w:r>
      <w:r>
        <w:rPr>
          <w:rFonts w:hint="eastAsia"/>
          <w:sz w:val="24"/>
        </w:rPr>
        <w:t>50.00</w:t>
      </w:r>
      <w:r>
        <w:rPr>
          <w:rFonts w:hint="eastAsia"/>
          <w:sz w:val="24"/>
        </w:rPr>
        <w:t>元，可得到</w:t>
      </w:r>
      <w:r>
        <w:rPr>
          <w:rFonts w:hint="eastAsia"/>
          <w:sz w:val="24"/>
        </w:rPr>
        <w:t>995,272.93</w:t>
      </w:r>
      <w:r>
        <w:rPr>
          <w:rFonts w:hint="eastAsia"/>
          <w:sz w:val="24"/>
        </w:rPr>
        <w:t>份基金份额。</w:t>
      </w:r>
    </w:p>
    <w:p w14:paraId="0F637C9B"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4</w:t>
      </w:r>
      <w:r w:rsidRPr="00210D77">
        <w:rPr>
          <w:kern w:val="0"/>
          <w:sz w:val="24"/>
          <w:szCs w:val="24"/>
        </w:rPr>
        <w:t>、认购的程序</w:t>
      </w:r>
    </w:p>
    <w:p w14:paraId="76AFEF24" w14:textId="77777777" w:rsidR="0004536B" w:rsidRDefault="003574EC">
      <w:pPr>
        <w:adjustRightInd w:val="0"/>
        <w:snapToGrid w:val="0"/>
        <w:spacing w:line="360" w:lineRule="auto"/>
        <w:ind w:firstLineChars="200" w:firstLine="480"/>
        <w:rPr>
          <w:sz w:val="24"/>
        </w:rPr>
      </w:pPr>
      <w:r>
        <w:rPr>
          <w:sz w:val="24"/>
        </w:rPr>
        <w:t>（</w:t>
      </w:r>
      <w:r>
        <w:rPr>
          <w:sz w:val="24"/>
        </w:rPr>
        <w:t>1</w:t>
      </w:r>
      <w:r>
        <w:rPr>
          <w:sz w:val="24"/>
        </w:rPr>
        <w:t>）申请方式：书面申请或基金管理人公告的其他方式。</w:t>
      </w:r>
    </w:p>
    <w:p w14:paraId="5676380E" w14:textId="77777777" w:rsidR="0004536B" w:rsidRDefault="003574EC">
      <w:pPr>
        <w:adjustRightInd w:val="0"/>
        <w:snapToGrid w:val="0"/>
        <w:spacing w:line="360" w:lineRule="auto"/>
        <w:ind w:firstLineChars="200" w:firstLine="480"/>
        <w:rPr>
          <w:sz w:val="24"/>
        </w:rPr>
      </w:pPr>
      <w:r>
        <w:rPr>
          <w:sz w:val="24"/>
        </w:rPr>
        <w:t>（</w:t>
      </w:r>
      <w:r>
        <w:rPr>
          <w:sz w:val="24"/>
        </w:rPr>
        <w:t>2</w:t>
      </w:r>
      <w:r>
        <w:rPr>
          <w:sz w:val="24"/>
        </w:rPr>
        <w:t>）认购款项支付：投资人认购时，采用全额缴款方式。</w:t>
      </w:r>
    </w:p>
    <w:p w14:paraId="10515438"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5</w:t>
      </w:r>
      <w:r w:rsidRPr="00210D77">
        <w:rPr>
          <w:kern w:val="0"/>
          <w:sz w:val="24"/>
          <w:szCs w:val="24"/>
        </w:rPr>
        <w:t>、认购的确认</w:t>
      </w:r>
    </w:p>
    <w:p w14:paraId="1B18A7BC" w14:textId="341BF89E"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当日（</w:t>
      </w:r>
      <w:r w:rsidRPr="00210D77">
        <w:rPr>
          <w:kern w:val="0"/>
          <w:sz w:val="24"/>
          <w:szCs w:val="24"/>
        </w:rPr>
        <w:t>T</w:t>
      </w:r>
      <w:r w:rsidRPr="00210D77">
        <w:rPr>
          <w:kern w:val="0"/>
          <w:sz w:val="24"/>
          <w:szCs w:val="24"/>
        </w:rPr>
        <w:t>日）在规定时间内提交的申请，投资人通常可在</w:t>
      </w:r>
      <w:r w:rsidRPr="00210D77">
        <w:rPr>
          <w:kern w:val="0"/>
          <w:sz w:val="24"/>
          <w:szCs w:val="24"/>
        </w:rPr>
        <w:t>T+2</w:t>
      </w:r>
      <w:r w:rsidRPr="00210D77">
        <w:rPr>
          <w:kern w:val="0"/>
          <w:sz w:val="24"/>
          <w:szCs w:val="24"/>
        </w:rPr>
        <w:t>日后（包括该日）到</w:t>
      </w:r>
      <w:r w:rsidRPr="00210D77">
        <w:rPr>
          <w:rFonts w:hint="eastAsia"/>
          <w:kern w:val="0"/>
          <w:sz w:val="24"/>
          <w:szCs w:val="24"/>
        </w:rPr>
        <w:t>销售</w:t>
      </w:r>
      <w:r w:rsidRPr="00210D77">
        <w:rPr>
          <w:kern w:val="0"/>
          <w:sz w:val="24"/>
          <w:szCs w:val="24"/>
        </w:rPr>
        <w:t>网点查询交易情况。基金销售机构对申请的受理并不表示对该申请的成功确</w:t>
      </w:r>
      <w:r w:rsidRPr="00210D77">
        <w:rPr>
          <w:kern w:val="0"/>
          <w:sz w:val="24"/>
          <w:szCs w:val="24"/>
        </w:rPr>
        <w:lastRenderedPageBreak/>
        <w:t>认，而仅代表销售机构确实接收到认购申请。申请的成功确认应以基金合同生效后、登记机构的确认登记为准。对于认购申请及认购份额的确认情况，投资人应及时查询。投资人可以在基金合同生效后到原认购网点打印认购成交确认凭证。</w:t>
      </w:r>
    </w:p>
    <w:p w14:paraId="1BE7A467"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投资人开户和认购所需提交的文件和办理的具体程序，请参阅基金份额发售公告。</w:t>
      </w:r>
    </w:p>
    <w:p w14:paraId="209AB360"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6</w:t>
      </w:r>
      <w:r w:rsidRPr="00210D77">
        <w:rPr>
          <w:kern w:val="0"/>
          <w:sz w:val="24"/>
          <w:szCs w:val="24"/>
        </w:rPr>
        <w:t>、募集期利息的处理方式</w:t>
      </w:r>
    </w:p>
    <w:p w14:paraId="69E026F0"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本基金基金合同生效前，投资人的有效认购款项只能存入专门账户，任何人不得动用。有效认购款项在募集期间产生的利息将折算为基金份额归基金份额持有人所有。</w:t>
      </w:r>
    </w:p>
    <w:p w14:paraId="5742C6D0" w14:textId="77777777" w:rsidR="0004536B" w:rsidRDefault="003574EC">
      <w:pPr>
        <w:adjustRightInd w:val="0"/>
        <w:snapToGrid w:val="0"/>
        <w:spacing w:line="360" w:lineRule="auto"/>
        <w:ind w:firstLineChars="200" w:firstLine="48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7" w:name="_Hlt91148053"/>
      <w:bookmarkStart w:id="18" w:name="_Hlt91264042"/>
      <w:bookmarkStart w:id="19" w:name="_Hlt91264078"/>
      <w:bookmarkStart w:id="20" w:name="_Hlt90455312"/>
      <w:bookmarkStart w:id="21" w:name="_Hlt90801570"/>
      <w:bookmarkStart w:id="22" w:name="_Toc109537384"/>
      <w:bookmarkEnd w:id="17"/>
      <w:bookmarkEnd w:id="18"/>
      <w:bookmarkEnd w:id="19"/>
      <w:bookmarkEnd w:id="20"/>
      <w:bookmarkEnd w:id="21"/>
      <w:r>
        <w:rPr>
          <w:sz w:val="24"/>
          <w:szCs w:val="21"/>
        </w:rPr>
        <w:t>。</w:t>
      </w:r>
      <w:bookmarkEnd w:id="16"/>
    </w:p>
    <w:p w14:paraId="24146C99" w14:textId="01DCA481" w:rsidR="0032388F" w:rsidRDefault="00827A2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6A055A1D" w14:textId="6B6CFC06" w:rsidR="00610E0A" w:rsidRDefault="00610E0A" w:rsidP="00610E0A">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3" w:name="_Toc139631555"/>
      <w:r>
        <w:rPr>
          <w:rFonts w:ascii="宋体" w:hAnsi="宋体" w:hint="eastAsia"/>
          <w:b/>
          <w:kern w:val="0"/>
          <w:sz w:val="30"/>
        </w:rPr>
        <w:lastRenderedPageBreak/>
        <w:t>七、</w:t>
      </w:r>
      <w:r w:rsidR="004F4CF1">
        <w:rPr>
          <w:rFonts w:ascii="宋体" w:hAnsi="宋体" w:hint="eastAsia"/>
          <w:b/>
          <w:kern w:val="0"/>
          <w:sz w:val="30"/>
        </w:rPr>
        <w:t>基金的</w:t>
      </w:r>
      <w:r>
        <w:rPr>
          <w:rFonts w:ascii="宋体" w:hAnsi="宋体" w:hint="eastAsia"/>
          <w:b/>
          <w:kern w:val="0"/>
          <w:sz w:val="30"/>
        </w:rPr>
        <w:t>暂停运作</w:t>
      </w:r>
      <w:bookmarkEnd w:id="23"/>
    </w:p>
    <w:p w14:paraId="52862FD9" w14:textId="77BE8551" w:rsidR="004F4CF1" w:rsidRPr="004F4CF1" w:rsidRDefault="004F4CF1" w:rsidP="004F4CF1">
      <w:pPr>
        <w:adjustRightInd w:val="0"/>
        <w:snapToGrid w:val="0"/>
        <w:spacing w:line="360" w:lineRule="auto"/>
        <w:ind w:firstLineChars="200" w:firstLine="480"/>
        <w:rPr>
          <w:rFonts w:hAnsi="宋体"/>
          <w:sz w:val="24"/>
        </w:rPr>
      </w:pPr>
      <w:r>
        <w:rPr>
          <w:rFonts w:hAnsi="宋体" w:hint="eastAsia"/>
          <w:sz w:val="24"/>
        </w:rPr>
        <w:t>（</w:t>
      </w:r>
      <w:r w:rsidRPr="004F4CF1">
        <w:rPr>
          <w:rFonts w:hAnsi="宋体" w:hint="eastAsia"/>
          <w:sz w:val="24"/>
        </w:rPr>
        <w:t>一</w:t>
      </w:r>
      <w:r>
        <w:rPr>
          <w:rFonts w:hAnsi="宋体" w:hint="eastAsia"/>
          <w:sz w:val="24"/>
        </w:rPr>
        <w:t>）</w:t>
      </w:r>
      <w:r w:rsidRPr="004F4CF1">
        <w:rPr>
          <w:rFonts w:hAnsi="宋体" w:hint="eastAsia"/>
          <w:sz w:val="24"/>
        </w:rPr>
        <w:t>基金合同生效后的存续期内，出现以下情况的，本基金可以暂停基金的运作，且无须召开基金份额持有人大会：</w:t>
      </w:r>
    </w:p>
    <w:p w14:paraId="00E668D5" w14:textId="77777777" w:rsidR="004F4CF1" w:rsidRPr="004F4CF1" w:rsidRDefault="004F4CF1" w:rsidP="004F4CF1">
      <w:pPr>
        <w:adjustRightInd w:val="0"/>
        <w:snapToGrid w:val="0"/>
        <w:spacing w:line="360" w:lineRule="auto"/>
        <w:ind w:firstLineChars="200" w:firstLine="480"/>
        <w:rPr>
          <w:rFonts w:hAnsi="宋体"/>
          <w:sz w:val="24"/>
        </w:rPr>
      </w:pPr>
      <w:r w:rsidRPr="004F4CF1">
        <w:rPr>
          <w:rFonts w:hAnsi="宋体" w:hint="eastAsia"/>
          <w:sz w:val="24"/>
        </w:rPr>
        <w:t>1</w:t>
      </w:r>
      <w:r w:rsidRPr="004F4CF1">
        <w:rPr>
          <w:rFonts w:hAnsi="宋体" w:hint="eastAsia"/>
          <w:sz w:val="24"/>
        </w:rPr>
        <w:t>、每个封闭期到期前，基金管理人有权根据市场情况、基金的投资策略等决定是否进入开放期，具体安排以基金管理人公告为准。基金管理人决定暂停进入下一开放期的，基金将在封闭期结束之日的下一个工作日将全部基金份额自动赎回。若存在未变现的资产，登记机构将于该部分资产变现完成后，将对应款项按该封闭期最后一日基金份额持有人持有的基金份额比例分配给全体基金份额持有人，单位基金份额所分配的资产金额按照资产变现完成后的净额进行计算，单位基金份额对应的总到账款项可能与封闭期到期日基金份额净值不一致。封闭期结束后，基金暂不开放申购、转换转入等相关业务。</w:t>
      </w:r>
    </w:p>
    <w:p w14:paraId="2250746B" w14:textId="77777777" w:rsidR="004F4CF1" w:rsidRPr="004F4CF1" w:rsidRDefault="004F4CF1" w:rsidP="004F4CF1">
      <w:pPr>
        <w:adjustRightInd w:val="0"/>
        <w:snapToGrid w:val="0"/>
        <w:spacing w:line="360" w:lineRule="auto"/>
        <w:ind w:firstLineChars="200" w:firstLine="480"/>
        <w:rPr>
          <w:rFonts w:hAnsi="宋体"/>
          <w:sz w:val="24"/>
        </w:rPr>
      </w:pPr>
      <w:r w:rsidRPr="004F4CF1">
        <w:rPr>
          <w:rFonts w:hAnsi="宋体" w:hint="eastAsia"/>
          <w:sz w:val="24"/>
        </w:rPr>
        <w:t>同时，为避免基金份额持有人利益因基金份额净值的小数点保留精度受到不利影响，基金管理人可提高该封闭期结束之日的下一个工作日的基金份额净值的精度。</w:t>
      </w:r>
    </w:p>
    <w:p w14:paraId="038EF9D4" w14:textId="77777777" w:rsidR="004F4CF1" w:rsidRPr="004F4CF1" w:rsidRDefault="004F4CF1" w:rsidP="004F4CF1">
      <w:pPr>
        <w:adjustRightInd w:val="0"/>
        <w:snapToGrid w:val="0"/>
        <w:spacing w:line="360" w:lineRule="auto"/>
        <w:ind w:firstLineChars="200" w:firstLine="480"/>
        <w:rPr>
          <w:rFonts w:hAnsi="宋体"/>
          <w:sz w:val="24"/>
        </w:rPr>
      </w:pPr>
      <w:r w:rsidRPr="004F4CF1">
        <w:rPr>
          <w:rFonts w:hAnsi="宋体" w:hint="eastAsia"/>
          <w:sz w:val="24"/>
        </w:rPr>
        <w:t>2</w:t>
      </w:r>
      <w:r w:rsidRPr="004F4CF1">
        <w:rPr>
          <w:rFonts w:hAnsi="宋体" w:hint="eastAsia"/>
          <w:sz w:val="24"/>
        </w:rPr>
        <w:t>、开放期最后一日日终，如果基金的基金资产净值加上基金开放期最后一日交易申请确认的申购确认金额及转换转入确认金额，扣除赎回确认金额及转换转出确认金额后的余额低于</w:t>
      </w:r>
      <w:r w:rsidRPr="004F4CF1">
        <w:rPr>
          <w:rFonts w:hAnsi="宋体" w:hint="eastAsia"/>
          <w:sz w:val="24"/>
        </w:rPr>
        <w:t>5000</w:t>
      </w:r>
      <w:r w:rsidRPr="004F4CF1">
        <w:rPr>
          <w:rFonts w:hAnsi="宋体" w:hint="eastAsia"/>
          <w:sz w:val="24"/>
        </w:rPr>
        <w:t>万元或基金份额持有人数量不满</w:t>
      </w:r>
      <w:r w:rsidRPr="004F4CF1">
        <w:rPr>
          <w:rFonts w:hAnsi="宋体" w:hint="eastAsia"/>
          <w:sz w:val="24"/>
        </w:rPr>
        <w:t>200</w:t>
      </w:r>
      <w:r w:rsidRPr="004F4CF1">
        <w:rPr>
          <w:rFonts w:hAnsi="宋体" w:hint="eastAsia"/>
          <w:sz w:val="24"/>
        </w:rPr>
        <w:t>人的，基金管理人有权决定是否进入下一封闭期，具体安排以基金管理人公告为准。基金管理人决定暂停进入下一封闭期的，投资人未确认的申购申请对应的已缴纳申购款项将全部退回；对于当日日终留存的基金份额，将全部自动赎回。</w:t>
      </w:r>
    </w:p>
    <w:p w14:paraId="1F12E789" w14:textId="77777777" w:rsidR="004F4CF1" w:rsidRPr="004F4CF1" w:rsidRDefault="004F4CF1" w:rsidP="004F4CF1">
      <w:pPr>
        <w:adjustRightInd w:val="0"/>
        <w:snapToGrid w:val="0"/>
        <w:spacing w:line="360" w:lineRule="auto"/>
        <w:ind w:firstLineChars="200" w:firstLine="480"/>
        <w:rPr>
          <w:rFonts w:hAnsi="宋体"/>
          <w:sz w:val="24"/>
        </w:rPr>
      </w:pPr>
      <w:r w:rsidRPr="004F4CF1">
        <w:rPr>
          <w:rFonts w:hAnsi="宋体" w:hint="eastAsia"/>
          <w:sz w:val="24"/>
        </w:rPr>
        <w:t>同时，为避免基金份额持有人利益因基金份额净值的小数点保留精度受到不利影响，基金管理人可提高该开放期最后一日的基金份额净值的精度。</w:t>
      </w:r>
    </w:p>
    <w:p w14:paraId="334946BA" w14:textId="3F71325B" w:rsidR="004F4CF1" w:rsidRPr="004F4CF1" w:rsidRDefault="004F4CF1" w:rsidP="004F4CF1">
      <w:pPr>
        <w:adjustRightInd w:val="0"/>
        <w:snapToGrid w:val="0"/>
        <w:spacing w:line="360" w:lineRule="auto"/>
        <w:ind w:firstLineChars="200" w:firstLine="480"/>
        <w:rPr>
          <w:rFonts w:hAnsi="宋体"/>
          <w:sz w:val="24"/>
        </w:rPr>
      </w:pPr>
      <w:r>
        <w:rPr>
          <w:rFonts w:hAnsi="宋体" w:hint="eastAsia"/>
          <w:sz w:val="24"/>
        </w:rPr>
        <w:t>（</w:t>
      </w:r>
      <w:r w:rsidRPr="004F4CF1">
        <w:rPr>
          <w:rFonts w:hAnsi="宋体" w:hint="eastAsia"/>
          <w:sz w:val="24"/>
        </w:rPr>
        <w:t>二</w:t>
      </w:r>
      <w:r>
        <w:rPr>
          <w:rFonts w:hAnsi="宋体" w:hint="eastAsia"/>
          <w:sz w:val="24"/>
        </w:rPr>
        <w:t>）</w:t>
      </w:r>
      <w:r w:rsidRPr="004F4CF1">
        <w:rPr>
          <w:rFonts w:hAnsi="宋体" w:hint="eastAsia"/>
          <w:sz w:val="24"/>
        </w:rPr>
        <w:t>暂停运作期间，基金可暂停披露基金份额净值信息。报告期内未开展任何投资运作的，基金可暂停披露定期报告。基金管理人决定暂停运作或重启基金运作的，应当依法进行信息披露。</w:t>
      </w:r>
    </w:p>
    <w:p w14:paraId="1D2B2880" w14:textId="7A9B47F6" w:rsidR="004F4CF1" w:rsidRPr="004F4CF1" w:rsidRDefault="004F4CF1" w:rsidP="004F4CF1">
      <w:pPr>
        <w:adjustRightInd w:val="0"/>
        <w:snapToGrid w:val="0"/>
        <w:spacing w:line="360" w:lineRule="auto"/>
        <w:ind w:firstLineChars="200" w:firstLine="480"/>
        <w:rPr>
          <w:rFonts w:hAnsi="宋体"/>
          <w:sz w:val="24"/>
        </w:rPr>
      </w:pPr>
      <w:r>
        <w:rPr>
          <w:rFonts w:hAnsi="宋体" w:hint="eastAsia"/>
          <w:sz w:val="24"/>
        </w:rPr>
        <w:t>（</w:t>
      </w:r>
      <w:r w:rsidRPr="004F4CF1">
        <w:rPr>
          <w:rFonts w:hAnsi="宋体" w:hint="eastAsia"/>
          <w:sz w:val="24"/>
        </w:rPr>
        <w:t>三</w:t>
      </w:r>
      <w:r>
        <w:rPr>
          <w:rFonts w:hAnsi="宋体" w:hint="eastAsia"/>
          <w:sz w:val="24"/>
        </w:rPr>
        <w:t>）</w:t>
      </w:r>
      <w:r w:rsidRPr="004F4CF1">
        <w:rPr>
          <w:rFonts w:hAnsi="宋体" w:hint="eastAsia"/>
          <w:sz w:val="24"/>
        </w:rPr>
        <w:t>暂停运作期间，基金管理人与基金托管人协商一致，可以决定终止基金合同，报中国证监会备案并公告，无须召开基金份额持有人大会。</w:t>
      </w:r>
    </w:p>
    <w:p w14:paraId="1BBD66F2" w14:textId="3B3C00BD" w:rsidR="004F4CF1" w:rsidRPr="004F4CF1" w:rsidRDefault="004F4CF1" w:rsidP="004F4CF1">
      <w:pPr>
        <w:adjustRightInd w:val="0"/>
        <w:snapToGrid w:val="0"/>
        <w:spacing w:line="360" w:lineRule="auto"/>
        <w:ind w:firstLineChars="200" w:firstLine="480"/>
        <w:rPr>
          <w:rFonts w:hAnsi="宋体"/>
          <w:sz w:val="24"/>
        </w:rPr>
      </w:pPr>
      <w:r>
        <w:rPr>
          <w:rFonts w:hAnsi="宋体" w:hint="eastAsia"/>
          <w:sz w:val="24"/>
        </w:rPr>
        <w:t>（</w:t>
      </w:r>
      <w:r w:rsidRPr="004F4CF1">
        <w:rPr>
          <w:rFonts w:hAnsi="宋体" w:hint="eastAsia"/>
          <w:sz w:val="24"/>
        </w:rPr>
        <w:t>四</w:t>
      </w:r>
      <w:r>
        <w:rPr>
          <w:rFonts w:hAnsi="宋体" w:hint="eastAsia"/>
          <w:sz w:val="24"/>
        </w:rPr>
        <w:t>）</w:t>
      </w:r>
      <w:r w:rsidRPr="004F4CF1">
        <w:rPr>
          <w:rFonts w:hAnsi="宋体" w:hint="eastAsia"/>
          <w:sz w:val="24"/>
        </w:rPr>
        <w:t>暂停运作期间的所有费用，由基金管理人承担。暂停运作期间，基金不</w:t>
      </w:r>
      <w:r w:rsidRPr="004F4CF1">
        <w:rPr>
          <w:rFonts w:hAnsi="宋体" w:hint="eastAsia"/>
          <w:sz w:val="24"/>
        </w:rPr>
        <w:lastRenderedPageBreak/>
        <w:t>收取管理费</w:t>
      </w:r>
      <w:r w:rsidRPr="004F4CF1">
        <w:rPr>
          <w:rFonts w:hAnsi="宋体" w:hint="eastAsia"/>
          <w:sz w:val="24"/>
        </w:rPr>
        <w:t xml:space="preserve"> </w:t>
      </w:r>
      <w:r w:rsidRPr="004F4CF1">
        <w:rPr>
          <w:rFonts w:hAnsi="宋体" w:hint="eastAsia"/>
          <w:sz w:val="24"/>
        </w:rPr>
        <w:t>和托管费。</w:t>
      </w:r>
      <w:r w:rsidRPr="004F4CF1">
        <w:rPr>
          <w:rFonts w:hAnsi="宋体" w:hint="eastAsia"/>
          <w:sz w:val="24"/>
        </w:rPr>
        <w:t xml:space="preserve"> </w:t>
      </w:r>
    </w:p>
    <w:p w14:paraId="37DF8E1C" w14:textId="1FB67358" w:rsidR="00610E0A" w:rsidRPr="004F4CF1" w:rsidRDefault="004F4CF1" w:rsidP="00610E0A">
      <w:pPr>
        <w:adjustRightInd w:val="0"/>
        <w:snapToGrid w:val="0"/>
        <w:spacing w:line="360" w:lineRule="auto"/>
        <w:ind w:firstLineChars="200" w:firstLine="480"/>
        <w:rPr>
          <w:rFonts w:hAnsi="宋体"/>
          <w:sz w:val="24"/>
        </w:rPr>
      </w:pPr>
      <w:r>
        <w:rPr>
          <w:rFonts w:hAnsi="宋体" w:hint="eastAsia"/>
          <w:sz w:val="24"/>
        </w:rPr>
        <w:t>（</w:t>
      </w:r>
      <w:r w:rsidRPr="004F4CF1">
        <w:rPr>
          <w:rFonts w:hAnsi="宋体" w:hint="eastAsia"/>
          <w:sz w:val="24"/>
        </w:rPr>
        <w:t>五</w:t>
      </w:r>
      <w:r>
        <w:rPr>
          <w:rFonts w:hAnsi="宋体" w:hint="eastAsia"/>
          <w:sz w:val="24"/>
        </w:rPr>
        <w:t>）</w:t>
      </w:r>
      <w:r w:rsidRPr="004F4CF1">
        <w:rPr>
          <w:rFonts w:hAnsi="宋体" w:hint="eastAsia"/>
          <w:sz w:val="24"/>
        </w:rPr>
        <w:t>法律法规另有规定的，从其规定。</w:t>
      </w:r>
    </w:p>
    <w:p w14:paraId="65F4F80B" w14:textId="6271C24C" w:rsidR="00827A2B" w:rsidRDefault="0032388F" w:rsidP="00610E0A">
      <w:pPr>
        <w:widowControl/>
        <w:jc w:val="left"/>
        <w:rPr>
          <w:rFonts w:ascii="宋体" w:hAnsi="宋体"/>
          <w:b/>
          <w:kern w:val="0"/>
          <w:sz w:val="30"/>
        </w:rPr>
      </w:pPr>
      <w:r>
        <w:rPr>
          <w:rFonts w:ascii="宋体" w:hAnsi="宋体"/>
          <w:b/>
          <w:kern w:val="0"/>
          <w:sz w:val="30"/>
        </w:rPr>
        <w:br w:type="page"/>
      </w:r>
    </w:p>
    <w:p w14:paraId="37D1FC8B" w14:textId="141599C3" w:rsidR="0004536B" w:rsidRDefault="00827A2B">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139631556"/>
      <w:r>
        <w:rPr>
          <w:rFonts w:ascii="宋体" w:hAnsi="宋体" w:hint="eastAsia"/>
          <w:b/>
          <w:kern w:val="0"/>
          <w:sz w:val="30"/>
        </w:rPr>
        <w:lastRenderedPageBreak/>
        <w:t>八</w:t>
      </w:r>
      <w:r w:rsidR="003574EC">
        <w:rPr>
          <w:rFonts w:ascii="宋体" w:hAnsi="宋体" w:hint="eastAsia"/>
          <w:b/>
          <w:kern w:val="0"/>
          <w:sz w:val="30"/>
        </w:rPr>
        <w:t>、基金合同的生效</w:t>
      </w:r>
      <w:bookmarkEnd w:id="24"/>
    </w:p>
    <w:p w14:paraId="0DD23851"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25" w:name="_Hlt88901074"/>
      <w:bookmarkStart w:id="26" w:name="_Toc57530272"/>
      <w:bookmarkStart w:id="27" w:name="_Toc79392603"/>
      <w:bookmarkStart w:id="28" w:name="_Toc15118260"/>
      <w:bookmarkStart w:id="29" w:name="_Toc109537386"/>
      <w:bookmarkEnd w:id="22"/>
      <w:bookmarkEnd w:id="25"/>
      <w:r w:rsidRPr="00E917F4">
        <w:rPr>
          <w:rFonts w:hAnsi="宋体"/>
          <w:b/>
          <w:sz w:val="24"/>
        </w:rPr>
        <w:t>（一）基金备案的条件</w:t>
      </w:r>
    </w:p>
    <w:p w14:paraId="54C72A68" w14:textId="77777777" w:rsidR="0004536B" w:rsidRDefault="003574EC">
      <w:pPr>
        <w:pStyle w:val="a0"/>
        <w:autoSpaceDE w:val="0"/>
        <w:autoSpaceDN w:val="0"/>
        <w:adjustRightInd w:val="0"/>
        <w:snapToGrid w:val="0"/>
        <w:spacing w:line="360" w:lineRule="auto"/>
        <w:ind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个月内，在基金募集份额总额不少于</w:t>
      </w:r>
      <w:r>
        <w:rPr>
          <w:rFonts w:hAnsi="宋体" w:hint="eastAsia"/>
          <w:sz w:val="24"/>
        </w:rPr>
        <w:t>2</w:t>
      </w:r>
      <w:r>
        <w:rPr>
          <w:rFonts w:hAnsi="宋体" w:hint="eastAsia"/>
          <w:sz w:val="24"/>
        </w:rPr>
        <w:t>亿份，基金募集金额不少于</w:t>
      </w:r>
      <w:r>
        <w:rPr>
          <w:rFonts w:hAnsi="宋体" w:hint="eastAsia"/>
          <w:sz w:val="24"/>
        </w:rPr>
        <w:t>2</w:t>
      </w:r>
      <w:r>
        <w:rPr>
          <w:rFonts w:hAnsi="宋体" w:hint="eastAsia"/>
          <w:sz w:val="24"/>
        </w:rPr>
        <w:t>亿元人民币且基金认购人数不少于</w:t>
      </w:r>
      <w:r>
        <w:rPr>
          <w:rFonts w:hAnsi="宋体" w:hint="eastAsia"/>
          <w:sz w:val="24"/>
        </w:rPr>
        <w:t>200</w:t>
      </w:r>
      <w:r>
        <w:rPr>
          <w:rFonts w:hAnsi="宋体" w:hint="eastAsia"/>
          <w:sz w:val="24"/>
        </w:rPr>
        <w:t>人的条件下，基金募集期届满或基金管理人依据法律法规及招募说明书可以决定停止基金发售，并在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14:paraId="77B2AD59"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B119C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Pr>
          <w:rFonts w:hAnsi="宋体"/>
          <w:b/>
          <w:sz w:val="24"/>
        </w:rPr>
        <w:t>（二）</w:t>
      </w:r>
      <w:r w:rsidRPr="00E917F4">
        <w:rPr>
          <w:rFonts w:hAnsi="宋体"/>
          <w:b/>
          <w:sz w:val="24"/>
        </w:rPr>
        <w:t>基金合同不能生效时募集资金的处理方式</w:t>
      </w:r>
    </w:p>
    <w:p w14:paraId="5137D205"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14:paraId="6580F004" w14:textId="77777777" w:rsidR="0004536B" w:rsidRDefault="003574EC">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14:paraId="1E84C05E" w14:textId="77777777" w:rsidR="0004536B" w:rsidRDefault="003574EC">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14:paraId="65D493BD" w14:textId="77777777" w:rsidR="0004536B" w:rsidRDefault="003574EC">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14:paraId="27349F5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Pr>
          <w:rFonts w:hAnsi="宋体"/>
          <w:b/>
          <w:sz w:val="24"/>
        </w:rPr>
        <w:t>（三）基金存续期内的基金份额持有人数量和资产规模</w:t>
      </w:r>
    </w:p>
    <w:bookmarkEnd w:id="26"/>
    <w:bookmarkEnd w:id="27"/>
    <w:bookmarkEnd w:id="28"/>
    <w:p w14:paraId="1AE6CD09" w14:textId="77777777" w:rsidR="006A1099" w:rsidRPr="006A1099" w:rsidRDefault="006A1099" w:rsidP="006A1099">
      <w:pPr>
        <w:pStyle w:val="a0"/>
        <w:autoSpaceDE w:val="0"/>
        <w:autoSpaceDN w:val="0"/>
        <w:adjustRightInd w:val="0"/>
        <w:snapToGrid w:val="0"/>
        <w:spacing w:line="360" w:lineRule="auto"/>
        <w:ind w:firstLine="480"/>
        <w:rPr>
          <w:rFonts w:ascii="宋体" w:hAnsi="宋体"/>
          <w:kern w:val="0"/>
          <w:sz w:val="24"/>
          <w:szCs w:val="24"/>
        </w:rPr>
      </w:pPr>
      <w:r w:rsidRPr="006A1099">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基金暂停运作时，上述连续期间中断，本基金恢复运作后重新开始起算。</w:t>
      </w:r>
    </w:p>
    <w:p w14:paraId="235485BF" w14:textId="77777777" w:rsidR="006A1099" w:rsidRPr="006A1099" w:rsidRDefault="006A1099" w:rsidP="006A1099">
      <w:pPr>
        <w:pStyle w:val="a0"/>
        <w:autoSpaceDE w:val="0"/>
        <w:autoSpaceDN w:val="0"/>
        <w:adjustRightInd w:val="0"/>
        <w:snapToGrid w:val="0"/>
        <w:spacing w:line="360" w:lineRule="auto"/>
        <w:ind w:firstLine="480"/>
        <w:rPr>
          <w:rFonts w:ascii="宋体" w:hAnsi="宋体"/>
          <w:kern w:val="0"/>
          <w:sz w:val="24"/>
          <w:szCs w:val="24"/>
        </w:rPr>
      </w:pPr>
      <w:r w:rsidRPr="006A1099">
        <w:rPr>
          <w:rFonts w:ascii="宋体" w:hAnsi="宋体" w:hint="eastAsia"/>
          <w:kern w:val="0"/>
          <w:sz w:val="24"/>
          <w:szCs w:val="24"/>
        </w:rPr>
        <w:t>基金暂停运作期间，基金管理人与基金托管人协商一致，可以决定终止基金合</w:t>
      </w:r>
      <w:r w:rsidRPr="006A1099">
        <w:rPr>
          <w:rFonts w:ascii="宋体" w:hAnsi="宋体" w:hint="eastAsia"/>
          <w:kern w:val="0"/>
          <w:sz w:val="24"/>
          <w:szCs w:val="24"/>
        </w:rPr>
        <w:lastRenderedPageBreak/>
        <w:t>同，报中国证监会备案并公告，无须召开基金份额持有人大会。</w:t>
      </w:r>
    </w:p>
    <w:p w14:paraId="49099D23" w14:textId="0DD6C672" w:rsidR="0004536B" w:rsidRDefault="006A1099">
      <w:pPr>
        <w:widowControl/>
        <w:adjustRightInd w:val="0"/>
        <w:snapToGrid w:val="0"/>
        <w:spacing w:line="360" w:lineRule="auto"/>
        <w:ind w:firstLine="482"/>
      </w:pPr>
      <w:r w:rsidRPr="006A1099">
        <w:rPr>
          <w:rFonts w:ascii="宋体" w:hAnsi="宋体" w:hint="eastAsia"/>
          <w:kern w:val="0"/>
          <w:sz w:val="24"/>
          <w:szCs w:val="24"/>
        </w:rPr>
        <w:t>法律法规或中国证监会另有规定时，从其规定。</w:t>
      </w:r>
    </w:p>
    <w:p w14:paraId="10DE2681" w14:textId="1BB88A9C"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30" w:name="_Toc139631557"/>
      <w:r w:rsidR="00827A2B">
        <w:rPr>
          <w:rFonts w:ascii="宋体" w:hAnsi="宋体" w:hint="eastAsia"/>
          <w:b/>
          <w:kern w:val="0"/>
          <w:sz w:val="30"/>
        </w:rPr>
        <w:lastRenderedPageBreak/>
        <w:t>九</w:t>
      </w:r>
      <w:r>
        <w:rPr>
          <w:rFonts w:ascii="宋体" w:hAnsi="宋体" w:hint="eastAsia"/>
          <w:b/>
          <w:kern w:val="0"/>
          <w:sz w:val="30"/>
        </w:rPr>
        <w:t>、基金份额的申购与赎回</w:t>
      </w:r>
      <w:bookmarkEnd w:id="29"/>
      <w:bookmarkEnd w:id="30"/>
    </w:p>
    <w:p w14:paraId="3577CDB9"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31" w:name="_Hlk49342362"/>
      <w:r w:rsidRPr="00E917F4">
        <w:rPr>
          <w:rFonts w:hAnsi="宋体"/>
          <w:b/>
          <w:sz w:val="24"/>
        </w:rPr>
        <w:t>（一）申购和赎回的场所</w:t>
      </w:r>
    </w:p>
    <w:p w14:paraId="501C0826" w14:textId="77777777" w:rsidR="0004536B" w:rsidRDefault="003574EC">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5E7180C1"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1</w:t>
      </w:r>
      <w:r w:rsidRPr="00210D77">
        <w:rPr>
          <w:kern w:val="0"/>
          <w:sz w:val="24"/>
          <w:szCs w:val="24"/>
        </w:rPr>
        <w:t>、本基金管理人的直销机构</w:t>
      </w:r>
    </w:p>
    <w:p w14:paraId="43655BFB"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14:paraId="22868D4B" w14:textId="77777777" w:rsidR="0004536B" w:rsidRDefault="003574EC">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名称：交银施罗德基金管理有限公司</w:t>
      </w:r>
    </w:p>
    <w:p w14:paraId="1EE7394F" w14:textId="77777777" w:rsidR="0004536B" w:rsidRDefault="003574EC">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住所：中国（上海）自由贸易试验区银城中路</w:t>
      </w:r>
      <w:r>
        <w:rPr>
          <w:rStyle w:val="af7"/>
          <w:rFonts w:hint="eastAsia"/>
          <w:color w:val="auto"/>
          <w:sz w:val="24"/>
          <w:szCs w:val="24"/>
          <w:u w:val="none"/>
        </w:rPr>
        <w:t>188</w:t>
      </w:r>
      <w:r>
        <w:rPr>
          <w:rStyle w:val="af7"/>
          <w:rFonts w:hint="eastAsia"/>
          <w:color w:val="auto"/>
          <w:sz w:val="24"/>
          <w:szCs w:val="24"/>
          <w:u w:val="none"/>
        </w:rPr>
        <w:t>号交通银行大楼二层（裙）</w:t>
      </w:r>
    </w:p>
    <w:p w14:paraId="278E54FB" w14:textId="77777777" w:rsidR="0004536B" w:rsidRDefault="003574EC">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办公地址：上海市浦东新区世纪大道</w:t>
      </w:r>
      <w:r>
        <w:rPr>
          <w:rStyle w:val="af7"/>
          <w:rFonts w:hint="eastAsia"/>
          <w:color w:val="auto"/>
          <w:sz w:val="24"/>
          <w:szCs w:val="24"/>
          <w:u w:val="none"/>
        </w:rPr>
        <w:t>8</w:t>
      </w:r>
      <w:r>
        <w:rPr>
          <w:rStyle w:val="af7"/>
          <w:rFonts w:hint="eastAsia"/>
          <w:color w:val="auto"/>
          <w:sz w:val="24"/>
          <w:szCs w:val="24"/>
          <w:u w:val="none"/>
        </w:rPr>
        <w:t>号国金中心二期</w:t>
      </w:r>
      <w:r>
        <w:rPr>
          <w:rStyle w:val="af7"/>
          <w:rFonts w:hint="eastAsia"/>
          <w:color w:val="auto"/>
          <w:sz w:val="24"/>
          <w:szCs w:val="24"/>
          <w:u w:val="none"/>
        </w:rPr>
        <w:t>21-22</w:t>
      </w:r>
      <w:r>
        <w:rPr>
          <w:rStyle w:val="af7"/>
          <w:rFonts w:hint="eastAsia"/>
          <w:color w:val="auto"/>
          <w:sz w:val="24"/>
          <w:szCs w:val="24"/>
          <w:u w:val="none"/>
        </w:rPr>
        <w:t>楼</w:t>
      </w:r>
    </w:p>
    <w:p w14:paraId="1A5EED63" w14:textId="77777777" w:rsidR="0004536B" w:rsidRDefault="003574EC">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电话：（</w:t>
      </w:r>
      <w:r>
        <w:rPr>
          <w:rStyle w:val="af7"/>
          <w:rFonts w:hint="eastAsia"/>
          <w:color w:val="auto"/>
          <w:sz w:val="24"/>
          <w:szCs w:val="24"/>
          <w:u w:val="none"/>
        </w:rPr>
        <w:t>021</w:t>
      </w:r>
      <w:r>
        <w:rPr>
          <w:rStyle w:val="af7"/>
          <w:rFonts w:hint="eastAsia"/>
          <w:color w:val="auto"/>
          <w:sz w:val="24"/>
          <w:szCs w:val="24"/>
          <w:u w:val="none"/>
        </w:rPr>
        <w:t>）</w:t>
      </w:r>
      <w:r>
        <w:rPr>
          <w:rStyle w:val="af7"/>
          <w:rFonts w:hint="eastAsia"/>
          <w:color w:val="auto"/>
          <w:sz w:val="24"/>
          <w:szCs w:val="24"/>
          <w:u w:val="none"/>
        </w:rPr>
        <w:t>6105</w:t>
      </w:r>
      <w:r>
        <w:rPr>
          <w:rStyle w:val="af7"/>
          <w:color w:val="auto"/>
          <w:sz w:val="24"/>
          <w:szCs w:val="24"/>
          <w:u w:val="none"/>
        </w:rPr>
        <w:t>5724</w:t>
      </w:r>
    </w:p>
    <w:p w14:paraId="46C5BE64" w14:textId="77777777" w:rsidR="0004536B" w:rsidRDefault="003574EC">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传真：（</w:t>
      </w:r>
      <w:r>
        <w:rPr>
          <w:rStyle w:val="af7"/>
          <w:rFonts w:hint="eastAsia"/>
          <w:color w:val="auto"/>
          <w:sz w:val="24"/>
          <w:szCs w:val="24"/>
          <w:u w:val="none"/>
        </w:rPr>
        <w:t>021</w:t>
      </w:r>
      <w:r>
        <w:rPr>
          <w:rStyle w:val="af7"/>
          <w:rFonts w:hint="eastAsia"/>
          <w:color w:val="auto"/>
          <w:sz w:val="24"/>
          <w:szCs w:val="24"/>
          <w:u w:val="none"/>
        </w:rPr>
        <w:t>）</w:t>
      </w:r>
      <w:r>
        <w:rPr>
          <w:rStyle w:val="af7"/>
          <w:rFonts w:hint="eastAsia"/>
          <w:color w:val="auto"/>
          <w:sz w:val="24"/>
          <w:szCs w:val="24"/>
          <w:u w:val="none"/>
        </w:rPr>
        <w:t>61055054</w:t>
      </w:r>
    </w:p>
    <w:p w14:paraId="2B25CA7C" w14:textId="77777777" w:rsidR="0004536B" w:rsidRDefault="003574EC">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联系人：傅</w:t>
      </w:r>
      <w:r>
        <w:rPr>
          <w:rStyle w:val="af7"/>
          <w:color w:val="auto"/>
          <w:sz w:val="24"/>
          <w:szCs w:val="24"/>
          <w:u w:val="none"/>
        </w:rPr>
        <w:t>鲸</w:t>
      </w:r>
    </w:p>
    <w:p w14:paraId="63D5CDD0" w14:textId="77777777" w:rsidR="0004536B" w:rsidRDefault="003574EC">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客户服务电话：</w:t>
      </w:r>
      <w:r>
        <w:rPr>
          <w:rStyle w:val="af7"/>
          <w:rFonts w:hint="eastAsia"/>
          <w:color w:val="auto"/>
          <w:sz w:val="24"/>
          <w:szCs w:val="24"/>
          <w:u w:val="none"/>
        </w:rPr>
        <w:t>400-700-5000</w:t>
      </w:r>
      <w:r>
        <w:rPr>
          <w:rStyle w:val="af7"/>
          <w:rFonts w:hint="eastAsia"/>
          <w:color w:val="auto"/>
          <w:sz w:val="24"/>
          <w:szCs w:val="24"/>
          <w:u w:val="none"/>
        </w:rPr>
        <w:t>（免长途话费），（</w:t>
      </w:r>
      <w:r>
        <w:rPr>
          <w:rStyle w:val="af7"/>
          <w:rFonts w:hint="eastAsia"/>
          <w:color w:val="auto"/>
          <w:sz w:val="24"/>
          <w:szCs w:val="24"/>
          <w:u w:val="none"/>
        </w:rPr>
        <w:t>021</w:t>
      </w:r>
      <w:r>
        <w:rPr>
          <w:rStyle w:val="af7"/>
          <w:rFonts w:hint="eastAsia"/>
          <w:color w:val="auto"/>
          <w:sz w:val="24"/>
          <w:szCs w:val="24"/>
          <w:u w:val="none"/>
        </w:rPr>
        <w:t>）</w:t>
      </w:r>
      <w:r>
        <w:rPr>
          <w:rStyle w:val="af7"/>
          <w:rFonts w:hint="eastAsia"/>
          <w:color w:val="auto"/>
          <w:sz w:val="24"/>
          <w:szCs w:val="24"/>
          <w:u w:val="none"/>
        </w:rPr>
        <w:t>61055000</w:t>
      </w:r>
    </w:p>
    <w:p w14:paraId="1C458B71" w14:textId="77777777" w:rsidR="0004536B" w:rsidRDefault="003574EC">
      <w:pPr>
        <w:pStyle w:val="a0"/>
        <w:autoSpaceDE w:val="0"/>
        <w:autoSpaceDN w:val="0"/>
        <w:adjustRightInd w:val="0"/>
        <w:snapToGrid w:val="0"/>
        <w:spacing w:line="360" w:lineRule="auto"/>
        <w:ind w:firstLine="480"/>
        <w:rPr>
          <w:sz w:val="24"/>
          <w:szCs w:val="24"/>
        </w:rPr>
      </w:pPr>
      <w:r>
        <w:rPr>
          <w:rStyle w:val="af7"/>
          <w:rFonts w:hint="eastAsia"/>
          <w:color w:val="auto"/>
          <w:sz w:val="24"/>
          <w:szCs w:val="24"/>
          <w:u w:val="none"/>
        </w:rPr>
        <w:t>网址：</w:t>
      </w:r>
      <w:r>
        <w:rPr>
          <w:rStyle w:val="af7"/>
          <w:rFonts w:hint="eastAsia"/>
          <w:color w:val="auto"/>
          <w:sz w:val="24"/>
          <w:szCs w:val="24"/>
          <w:u w:val="none"/>
        </w:rPr>
        <w:t>www.fund001.com</w:t>
      </w:r>
    </w:p>
    <w:p w14:paraId="33033097"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14:paraId="1C6BCFB9" w14:textId="77777777" w:rsidR="0004536B" w:rsidRDefault="003574EC">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7"/>
          <w:color w:val="auto"/>
          <w:sz w:val="24"/>
          <w:szCs w:val="24"/>
          <w:u w:val="none"/>
        </w:rPr>
        <w:t>www.fund001.com</w:t>
      </w:r>
    </w:p>
    <w:p w14:paraId="6F0CAEE4" w14:textId="77777777" w:rsidR="0004536B" w:rsidRDefault="003574EC" w:rsidP="00210D77">
      <w:pPr>
        <w:adjustRightInd w:val="0"/>
        <w:snapToGrid w:val="0"/>
        <w:spacing w:line="360" w:lineRule="auto"/>
        <w:ind w:firstLineChars="200" w:firstLine="480"/>
        <w:rPr>
          <w:kern w:val="0"/>
          <w:sz w:val="24"/>
          <w:szCs w:val="24"/>
        </w:rPr>
      </w:pPr>
      <w:r w:rsidRPr="00210D77">
        <w:rPr>
          <w:kern w:val="0"/>
          <w:sz w:val="24"/>
          <w:szCs w:val="24"/>
        </w:rPr>
        <w:t>2</w:t>
      </w:r>
      <w:r w:rsidRPr="00210D77">
        <w:rPr>
          <w:kern w:val="0"/>
          <w:sz w:val="24"/>
          <w:szCs w:val="24"/>
        </w:rPr>
        <w:t>、</w:t>
      </w:r>
      <w:r w:rsidRPr="00210D77">
        <w:rPr>
          <w:rFonts w:hint="eastAsia"/>
          <w:kern w:val="0"/>
          <w:sz w:val="24"/>
          <w:szCs w:val="24"/>
        </w:rPr>
        <w:t>除基金管理人之外的其他销售</w:t>
      </w:r>
      <w:r>
        <w:rPr>
          <w:kern w:val="0"/>
          <w:sz w:val="24"/>
          <w:szCs w:val="24"/>
        </w:rPr>
        <w:t>机构</w:t>
      </w:r>
    </w:p>
    <w:p w14:paraId="549E53FE" w14:textId="77777777" w:rsidR="0004536B" w:rsidRDefault="003574EC">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基金管理人</w:t>
      </w:r>
      <w:r>
        <w:rPr>
          <w:kern w:val="0"/>
          <w:sz w:val="24"/>
          <w:szCs w:val="24"/>
        </w:rPr>
        <w:t>客户服务电话进行咨询。</w:t>
      </w:r>
    </w:p>
    <w:p w14:paraId="59091828" w14:textId="77777777" w:rsidR="0004536B" w:rsidRDefault="003574EC">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14:paraId="4CF08B0D" w14:textId="77777777" w:rsidR="0004536B" w:rsidRDefault="003574EC">
      <w:pPr>
        <w:adjustRightInd w:val="0"/>
        <w:snapToGrid w:val="0"/>
        <w:spacing w:line="360" w:lineRule="auto"/>
        <w:ind w:firstLineChars="200" w:firstLine="48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14:paraId="4313475E"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（二）申购和赎回的开放日及时间</w:t>
      </w:r>
    </w:p>
    <w:p w14:paraId="55A5AC3A"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1</w:t>
      </w:r>
      <w:r w:rsidRPr="00210D77">
        <w:rPr>
          <w:kern w:val="0"/>
          <w:sz w:val="24"/>
          <w:szCs w:val="24"/>
        </w:rPr>
        <w:t>、开放日及开放时间</w:t>
      </w:r>
    </w:p>
    <w:p w14:paraId="4FCD070F" w14:textId="0DB99165" w:rsidR="0004536B" w:rsidRDefault="00B0026F">
      <w:pPr>
        <w:adjustRightInd w:val="0"/>
        <w:snapToGrid w:val="0"/>
        <w:spacing w:line="360" w:lineRule="auto"/>
        <w:ind w:firstLineChars="200" w:firstLine="480"/>
        <w:rPr>
          <w:sz w:val="24"/>
          <w:szCs w:val="24"/>
        </w:rPr>
      </w:pPr>
      <w:r>
        <w:rPr>
          <w:rFonts w:hint="eastAsia"/>
          <w:bCs/>
          <w:sz w:val="24"/>
        </w:rPr>
        <w:t>本基金办理基金份额的申购及</w:t>
      </w:r>
      <w:r>
        <w:rPr>
          <w:rFonts w:hint="eastAsia"/>
          <w:bCs/>
          <w:sz w:val="24"/>
        </w:rPr>
        <w:t>/</w:t>
      </w:r>
      <w:r>
        <w:rPr>
          <w:rFonts w:hint="eastAsia"/>
          <w:bCs/>
          <w:sz w:val="24"/>
        </w:rPr>
        <w:t>或赎回的开放日为开放期内的每个工作日。</w:t>
      </w:r>
      <w:r w:rsidR="003574EC">
        <w:rPr>
          <w:rFonts w:hint="eastAsia"/>
          <w:sz w:val="24"/>
          <w:szCs w:val="24"/>
        </w:rPr>
        <w:t>投资</w:t>
      </w:r>
      <w:r w:rsidR="003574EC">
        <w:rPr>
          <w:rFonts w:hint="eastAsia"/>
          <w:sz w:val="24"/>
          <w:szCs w:val="24"/>
        </w:rPr>
        <w:lastRenderedPageBreak/>
        <w:t>人在开放日办理基金份额的申购</w:t>
      </w:r>
      <w:r>
        <w:rPr>
          <w:rFonts w:hint="eastAsia"/>
          <w:bCs/>
          <w:sz w:val="24"/>
        </w:rPr>
        <w:t>及</w:t>
      </w:r>
      <w:r>
        <w:rPr>
          <w:rFonts w:hint="eastAsia"/>
          <w:bCs/>
          <w:sz w:val="24"/>
        </w:rPr>
        <w:t>/</w:t>
      </w:r>
      <w:r>
        <w:rPr>
          <w:rFonts w:hint="eastAsia"/>
          <w:bCs/>
          <w:sz w:val="24"/>
        </w:rPr>
        <w:t>或</w:t>
      </w:r>
      <w:r w:rsidR="003574EC">
        <w:rPr>
          <w:rFonts w:hint="eastAsia"/>
          <w:sz w:val="24"/>
          <w:szCs w:val="24"/>
        </w:rPr>
        <w:t>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r>
        <w:rPr>
          <w:rFonts w:hint="eastAsia"/>
          <w:bCs/>
          <w:sz w:val="24"/>
        </w:rPr>
        <w:t>封闭期内，本基金不办理申购和赎回业务，</w:t>
      </w:r>
      <w:r>
        <w:rPr>
          <w:bCs/>
          <w:sz w:val="24"/>
        </w:rPr>
        <w:t>也不上市交易</w:t>
      </w:r>
      <w:r>
        <w:rPr>
          <w:rFonts w:hint="eastAsia"/>
          <w:bCs/>
          <w:sz w:val="24"/>
        </w:rPr>
        <w:t>。</w:t>
      </w:r>
    </w:p>
    <w:p w14:paraId="0794AA10" w14:textId="77777777" w:rsidR="0004536B" w:rsidRDefault="003574EC">
      <w:pPr>
        <w:adjustRightInd w:val="0"/>
        <w:snapToGrid w:val="0"/>
        <w:spacing w:line="360" w:lineRule="auto"/>
        <w:ind w:firstLineChars="200" w:firstLine="480"/>
        <w:rPr>
          <w:bCs/>
          <w:sz w:val="24"/>
          <w:szCs w:val="24"/>
        </w:rPr>
      </w:pPr>
      <w:r>
        <w:rPr>
          <w:rFonts w:hint="eastAsia"/>
          <w:sz w:val="24"/>
          <w:szCs w:val="24"/>
        </w:rPr>
        <w:t>基金合同生效后，若出现新的证券</w:t>
      </w:r>
      <w:r>
        <w:rPr>
          <w:rFonts w:hint="eastAsia"/>
          <w:sz w:val="24"/>
          <w:szCs w:val="24"/>
        </w:rPr>
        <w:t>/</w:t>
      </w:r>
      <w:r>
        <w:rPr>
          <w:rFonts w:hint="eastAsia"/>
          <w:sz w:val="24"/>
          <w:szCs w:val="24"/>
        </w:rPr>
        <w:t>期货交易市场、证券</w:t>
      </w:r>
      <w:r>
        <w:rPr>
          <w:rFonts w:hint="eastAsia"/>
          <w:sz w:val="24"/>
          <w:szCs w:val="24"/>
        </w:rPr>
        <w:t>/</w:t>
      </w:r>
      <w:r>
        <w:rPr>
          <w:rFonts w:hint="eastAsia"/>
          <w:sz w:val="24"/>
          <w:szCs w:val="24"/>
        </w:rPr>
        <w:t>期货交易所交易时间变更或其他特殊情况，基金管理人将视情况对前述开放日及开放时间进行相应的调整，但应在实施日前依照《信息披露办法》的有关规定在规定媒介上公告。</w:t>
      </w:r>
    </w:p>
    <w:p w14:paraId="6D4CD298" w14:textId="77777777" w:rsidR="0004536B" w:rsidRPr="00210D77" w:rsidRDefault="003574EC" w:rsidP="00210D77">
      <w:pPr>
        <w:adjustRightInd w:val="0"/>
        <w:snapToGrid w:val="0"/>
        <w:spacing w:line="360" w:lineRule="auto"/>
        <w:ind w:firstLineChars="200" w:firstLine="480"/>
        <w:rPr>
          <w:kern w:val="0"/>
          <w:sz w:val="24"/>
          <w:szCs w:val="24"/>
        </w:rPr>
      </w:pPr>
      <w:r w:rsidRPr="00210D77">
        <w:rPr>
          <w:kern w:val="0"/>
          <w:sz w:val="24"/>
          <w:szCs w:val="24"/>
        </w:rPr>
        <w:t>2</w:t>
      </w:r>
      <w:r w:rsidRPr="00210D77">
        <w:rPr>
          <w:kern w:val="0"/>
          <w:sz w:val="24"/>
          <w:szCs w:val="24"/>
        </w:rPr>
        <w:t>、申购、赎回开始日及业务办理时间</w:t>
      </w:r>
    </w:p>
    <w:p w14:paraId="3B6EBC44" w14:textId="6138D100" w:rsidR="0004536B" w:rsidRDefault="006A1099" w:rsidP="00B0026F">
      <w:pPr>
        <w:adjustRightInd w:val="0"/>
        <w:snapToGrid w:val="0"/>
        <w:spacing w:line="360" w:lineRule="auto"/>
        <w:ind w:firstLineChars="200" w:firstLine="480"/>
        <w:rPr>
          <w:sz w:val="24"/>
          <w:szCs w:val="24"/>
        </w:rPr>
      </w:pPr>
      <w:r w:rsidRPr="006A1099">
        <w:rPr>
          <w:rFonts w:hint="eastAsia"/>
          <w:sz w:val="24"/>
          <w:szCs w:val="24"/>
        </w:rPr>
        <w:t>本基金自封闭期结束之日的下一个工作日起至下一个封闭期开始前进入开放期，开放期期间可以办理申购与赎回业务。每个开放期不少于</w:t>
      </w:r>
      <w:r w:rsidRPr="006A1099">
        <w:rPr>
          <w:rFonts w:hint="eastAsia"/>
          <w:sz w:val="24"/>
          <w:szCs w:val="24"/>
        </w:rPr>
        <w:t>5</w:t>
      </w:r>
      <w:r w:rsidRPr="006A1099">
        <w:rPr>
          <w:rFonts w:hint="eastAsia"/>
          <w:sz w:val="24"/>
          <w:szCs w:val="24"/>
        </w:rPr>
        <w:t>个工作日并且最长不超过</w:t>
      </w:r>
      <w:r w:rsidRPr="006A1099">
        <w:rPr>
          <w:rFonts w:hint="eastAsia"/>
          <w:sz w:val="24"/>
          <w:szCs w:val="24"/>
        </w:rPr>
        <w:t xml:space="preserve">20 </w:t>
      </w:r>
      <w:r w:rsidRPr="006A1099">
        <w:rPr>
          <w:rFonts w:hint="eastAsia"/>
          <w:sz w:val="24"/>
          <w:szCs w:val="24"/>
        </w:rPr>
        <w:t>个工作日，开放期的具体时间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w:t>
      </w:r>
    </w:p>
    <w:p w14:paraId="2239593E" w14:textId="77777777" w:rsidR="0004536B" w:rsidRDefault="003574EC">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14:paraId="0D215F84" w14:textId="77777777" w:rsidR="0004536B" w:rsidRDefault="003574EC">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w:t>
      </w:r>
      <w:r w:rsidR="00B0026F">
        <w:rPr>
          <w:rFonts w:hint="eastAsia"/>
          <w:bCs/>
          <w:sz w:val="24"/>
        </w:rPr>
        <w:t>在开放期内，</w:t>
      </w:r>
      <w:r>
        <w:rPr>
          <w:rFonts w:hint="eastAsia"/>
          <w:sz w:val="24"/>
          <w:szCs w:val="24"/>
        </w:rPr>
        <w:t>投资人在基金合同约定之外的日期和时间提出申购、赎回或转换申请且登记机构确认接受的，其基金份额申购、赎回价格为</w:t>
      </w:r>
      <w:r w:rsidR="00B0026F">
        <w:rPr>
          <w:rFonts w:hint="eastAsia"/>
          <w:bCs/>
          <w:sz w:val="24"/>
        </w:rPr>
        <w:t>该</w:t>
      </w:r>
      <w:r w:rsidR="00B0026F">
        <w:rPr>
          <w:bCs/>
          <w:sz w:val="24"/>
        </w:rPr>
        <w:t>开放期内</w:t>
      </w:r>
      <w:r>
        <w:rPr>
          <w:rFonts w:hint="eastAsia"/>
          <w:sz w:val="24"/>
          <w:szCs w:val="24"/>
        </w:rPr>
        <w:t>下一开放日基金份额申购、赎回的价格</w:t>
      </w:r>
      <w:r w:rsidR="00B0026F">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Pr>
          <w:rFonts w:hint="eastAsia"/>
          <w:sz w:val="24"/>
          <w:szCs w:val="24"/>
        </w:rPr>
        <w:t>。</w:t>
      </w:r>
    </w:p>
    <w:p w14:paraId="545A0313"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（三）申购</w:t>
      </w:r>
      <w:r w:rsidRPr="00E917F4">
        <w:rPr>
          <w:rFonts w:hAnsi="宋体" w:hint="eastAsia"/>
          <w:b/>
          <w:sz w:val="24"/>
        </w:rPr>
        <w:t>与</w:t>
      </w:r>
      <w:r w:rsidRPr="00E917F4">
        <w:rPr>
          <w:rFonts w:hAnsi="宋体"/>
          <w:b/>
          <w:sz w:val="24"/>
        </w:rPr>
        <w:t>赎回的原则</w:t>
      </w:r>
    </w:p>
    <w:p w14:paraId="1C34CB9E" w14:textId="77777777" w:rsidR="0004536B" w:rsidRDefault="003574E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、“未知价”原则，即申购、赎回价格以申请当日收市后计算的基金份额净值为基准进行计算；</w:t>
      </w:r>
    </w:p>
    <w:p w14:paraId="30742C77" w14:textId="77777777" w:rsidR="0004536B" w:rsidRDefault="003574EC">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14:paraId="73DA9051" w14:textId="77777777" w:rsidR="0004536B" w:rsidRDefault="003574EC">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w:t>
      </w:r>
      <w:r>
        <w:rPr>
          <w:rFonts w:hint="eastAsia"/>
          <w:sz w:val="24"/>
          <w:szCs w:val="24"/>
        </w:rPr>
        <w:lastRenderedPageBreak/>
        <w:t>记机构受理的不得撤销；</w:t>
      </w:r>
    </w:p>
    <w:p w14:paraId="22DF7162" w14:textId="77777777" w:rsidR="0004536B" w:rsidRDefault="003574EC">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10D7D1D" w14:textId="77777777" w:rsidR="0004536B" w:rsidRDefault="003574EC">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、办理申购、赎回业务时，应当遵循基金份额持有人利益优先原则，确保投资者的合法权益不受损害并得到公平对待。</w:t>
      </w:r>
    </w:p>
    <w:p w14:paraId="2D85AA70" w14:textId="77777777" w:rsidR="0004536B" w:rsidRDefault="003574EC">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7BE8498D"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（四）申购和赎回的数额限定</w:t>
      </w:r>
    </w:p>
    <w:p w14:paraId="195A8F46"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42373D62" w14:textId="77777777" w:rsidR="0004536B" w:rsidRDefault="003574EC">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kern w:val="0"/>
          <w:sz w:val="24"/>
          <w:szCs w:val="24"/>
        </w:rPr>
        <w:t>100</w:t>
      </w:r>
      <w:r>
        <w:rPr>
          <w:rFonts w:hint="eastAsia"/>
          <w:kern w:val="0"/>
          <w:sz w:val="24"/>
          <w:szCs w:val="24"/>
        </w:rPr>
        <w:t>万</w:t>
      </w:r>
      <w:r>
        <w:rPr>
          <w:kern w:val="0"/>
          <w:sz w:val="24"/>
          <w:szCs w:val="24"/>
        </w:rPr>
        <w:t>元，追加申购的最低金额为单笔</w:t>
      </w:r>
      <w:r>
        <w:rPr>
          <w:kern w:val="0"/>
          <w:sz w:val="24"/>
          <w:szCs w:val="24"/>
        </w:rPr>
        <w:t>10</w:t>
      </w:r>
      <w:r>
        <w:rPr>
          <w:rFonts w:hint="eastAsia"/>
          <w:kern w:val="0"/>
          <w:sz w:val="24"/>
          <w:szCs w:val="24"/>
        </w:rPr>
        <w:t>万</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14:paraId="5C3AA0FB"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14:paraId="503EA8DB"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14:paraId="0EE0B413" w14:textId="77777777" w:rsidR="0004536B" w:rsidRDefault="003574EC">
      <w:pPr>
        <w:widowControl/>
        <w:adjustRightInd w:val="0"/>
        <w:snapToGrid w:val="0"/>
        <w:spacing w:line="360" w:lineRule="auto"/>
        <w:ind w:firstLineChars="200" w:firstLine="480"/>
        <w:rPr>
          <w:kern w:val="0"/>
          <w:sz w:val="24"/>
          <w:szCs w:val="24"/>
        </w:rPr>
      </w:pPr>
      <w:bookmarkStart w:id="32"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p w14:paraId="5D690090" w14:textId="3F534BEC" w:rsidR="0004536B" w:rsidRDefault="003574EC">
      <w:pPr>
        <w:widowControl/>
        <w:adjustRightInd w:val="0"/>
        <w:snapToGrid w:val="0"/>
        <w:spacing w:line="360" w:lineRule="auto"/>
        <w:ind w:firstLineChars="200" w:firstLine="480"/>
        <w:rPr>
          <w:rFonts w:hAnsi="宋体"/>
          <w:sz w:val="24"/>
          <w:szCs w:val="24"/>
        </w:rPr>
      </w:pPr>
      <w:r>
        <w:rPr>
          <w:rFonts w:hAnsi="宋体" w:hint="eastAsia"/>
          <w:sz w:val="24"/>
          <w:szCs w:val="24"/>
        </w:rPr>
        <w:t>每个工作日投资人在单个</w:t>
      </w:r>
      <w:r w:rsidR="00254168">
        <w:rPr>
          <w:rFonts w:hAnsi="宋体" w:hint="eastAsia"/>
          <w:sz w:val="24"/>
          <w:szCs w:val="24"/>
        </w:rPr>
        <w:t>基金</w:t>
      </w:r>
      <w:r>
        <w:rPr>
          <w:rFonts w:hAnsi="宋体" w:hint="eastAsia"/>
          <w:sz w:val="24"/>
          <w:szCs w:val="24"/>
        </w:rPr>
        <w:t>交易账户保留的本基金份额余额少于</w:t>
      </w:r>
      <w:r>
        <w:rPr>
          <w:rFonts w:hAnsi="宋体" w:hint="eastAsia"/>
          <w:sz w:val="24"/>
          <w:szCs w:val="24"/>
        </w:rPr>
        <w:t>1</w:t>
      </w:r>
      <w:r>
        <w:rPr>
          <w:rFonts w:hAnsi="宋体" w:hint="eastAsia"/>
          <w:sz w:val="24"/>
          <w:szCs w:val="24"/>
        </w:rPr>
        <w:t>份时，若当日该账户同时有基金份额减少类业务（如赎回、转换出等）被确认，则基金管理人有权将投资人在该账户保留的本基金份额一次性全部赎回。</w:t>
      </w:r>
      <w:bookmarkEnd w:id="32"/>
    </w:p>
    <w:p w14:paraId="79946304" w14:textId="7822CED3" w:rsidR="00384C09" w:rsidRDefault="00384C09">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Pr="00384C09">
        <w:rPr>
          <w:rFonts w:hAnsi="宋体" w:hint="eastAsia"/>
          <w:sz w:val="24"/>
          <w:szCs w:val="24"/>
        </w:rPr>
        <w:t>基金管理人可以规定基金总规模上限、单个投资人累计持有的基金份额上限，具体规定请参见相关公告。</w:t>
      </w:r>
    </w:p>
    <w:p w14:paraId="20476EFA" w14:textId="3F9D88C1" w:rsidR="0004536B" w:rsidRDefault="00384C09">
      <w:pPr>
        <w:widowControl/>
        <w:adjustRightInd w:val="0"/>
        <w:snapToGrid w:val="0"/>
        <w:spacing w:line="360" w:lineRule="auto"/>
        <w:ind w:firstLineChars="200" w:firstLine="480"/>
        <w:rPr>
          <w:rFonts w:hAnsi="宋体"/>
          <w:sz w:val="24"/>
          <w:szCs w:val="24"/>
        </w:rPr>
      </w:pPr>
      <w:r>
        <w:rPr>
          <w:rFonts w:hAnsi="宋体"/>
          <w:sz w:val="24"/>
          <w:szCs w:val="24"/>
        </w:rPr>
        <w:lastRenderedPageBreak/>
        <w:t>5</w:t>
      </w:r>
      <w:r w:rsidR="003574EC">
        <w:rPr>
          <w:rFonts w:hAnsi="宋体"/>
          <w:sz w:val="24"/>
          <w:szCs w:val="24"/>
        </w:rPr>
        <w:t>、</w:t>
      </w:r>
      <w:r w:rsidR="003574E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F793E6A" w14:textId="19941CCC" w:rsidR="0004536B" w:rsidRDefault="00384C09">
      <w:pPr>
        <w:widowControl/>
        <w:adjustRightInd w:val="0"/>
        <w:snapToGrid w:val="0"/>
        <w:spacing w:line="360" w:lineRule="auto"/>
        <w:ind w:firstLineChars="200" w:firstLine="480"/>
        <w:rPr>
          <w:kern w:val="0"/>
          <w:sz w:val="24"/>
          <w:szCs w:val="24"/>
        </w:rPr>
      </w:pPr>
      <w:r>
        <w:rPr>
          <w:kern w:val="0"/>
          <w:sz w:val="24"/>
          <w:szCs w:val="24"/>
        </w:rPr>
        <w:t>6</w:t>
      </w:r>
      <w:r w:rsidR="003574EC">
        <w:rPr>
          <w:rFonts w:hAnsi="宋体"/>
          <w:kern w:val="0"/>
          <w:sz w:val="24"/>
          <w:szCs w:val="24"/>
        </w:rPr>
        <w:t>、</w:t>
      </w:r>
      <w:r w:rsidR="003574EC">
        <w:rPr>
          <w:rFonts w:hAnsi="宋体" w:hint="eastAsia"/>
          <w:kern w:val="0"/>
          <w:sz w:val="24"/>
          <w:szCs w:val="24"/>
        </w:rPr>
        <w:t>基金管理人可在法律法规允许的情况下，调整上述规定申购金额和赎回份额的数量限制。</w:t>
      </w:r>
      <w:r w:rsidR="003574EC">
        <w:rPr>
          <w:rFonts w:hAnsi="宋体"/>
          <w:kern w:val="0"/>
          <w:sz w:val="24"/>
          <w:szCs w:val="24"/>
        </w:rPr>
        <w:t>基金管理人必须在调整</w:t>
      </w:r>
      <w:r w:rsidR="003574EC">
        <w:rPr>
          <w:rFonts w:hAnsi="宋体" w:hint="eastAsia"/>
          <w:kern w:val="0"/>
          <w:sz w:val="24"/>
          <w:szCs w:val="24"/>
        </w:rPr>
        <w:t>实施</w:t>
      </w:r>
      <w:r w:rsidR="003574EC">
        <w:rPr>
          <w:rFonts w:hAnsi="宋体"/>
          <w:kern w:val="0"/>
          <w:sz w:val="24"/>
          <w:szCs w:val="24"/>
        </w:rPr>
        <w:t>前依照《信息披露办法》的有关规定在规定媒介上公告。</w:t>
      </w:r>
    </w:p>
    <w:p w14:paraId="195C614B"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（五）申购和赎回的程序</w:t>
      </w:r>
    </w:p>
    <w:p w14:paraId="080D4C99"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sidRPr="00210D77">
        <w:rPr>
          <w:rFonts w:hAnsi="宋体"/>
          <w:kern w:val="0"/>
          <w:sz w:val="24"/>
          <w:szCs w:val="24"/>
        </w:rPr>
        <w:t>1</w:t>
      </w:r>
      <w:r w:rsidRPr="00210D77">
        <w:rPr>
          <w:rFonts w:hAnsi="宋体"/>
          <w:kern w:val="0"/>
          <w:sz w:val="24"/>
          <w:szCs w:val="24"/>
        </w:rPr>
        <w:t>、申购和赎回的申请方式</w:t>
      </w:r>
    </w:p>
    <w:p w14:paraId="01402E9A"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6487315" w14:textId="77777777" w:rsidR="0004536B" w:rsidRDefault="003574EC" w:rsidP="00210D77">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14:paraId="7473BBC0"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16F6B94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基金份额持有人递交赎回申请，赎回成立；基金登记机构确认赎回时，赎回生效。投资者赎回申请生效后，基金管理人将在</w:t>
      </w:r>
      <w:r>
        <w:rPr>
          <w:rFonts w:hAnsi="宋体" w:hint="eastAsia"/>
          <w:kern w:val="0"/>
          <w:sz w:val="24"/>
          <w:szCs w:val="24"/>
        </w:rPr>
        <w:t>T</w:t>
      </w:r>
      <w:r>
        <w:rPr>
          <w:rFonts w:hAnsi="宋体"/>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122E0EFE" w14:textId="77777777" w:rsidR="0004536B" w:rsidRDefault="003574EC" w:rsidP="00210D77">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14:paraId="0C01DCF9"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基金管理人或基金管理人委托的登记机构应以</w:t>
      </w:r>
      <w:r w:rsidR="00B0026F">
        <w:rPr>
          <w:rFonts w:hint="eastAsia"/>
          <w:bCs/>
          <w:sz w:val="24"/>
        </w:rPr>
        <w:t>开放日规定的</w:t>
      </w:r>
      <w:r>
        <w:rPr>
          <w:rFonts w:hAnsi="宋体" w:hint="eastAsia"/>
          <w:kern w:val="0"/>
          <w:sz w:val="24"/>
          <w:szCs w:val="24"/>
        </w:rPr>
        <w:t>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T+1</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T+2</w:t>
      </w:r>
      <w:r>
        <w:rPr>
          <w:rFonts w:hAnsi="宋体" w:hint="eastAsia"/>
          <w:kern w:val="0"/>
          <w:sz w:val="24"/>
          <w:szCs w:val="24"/>
        </w:rPr>
        <w:t>日后（包括该日）及时到销售网点柜台或以销售机构规定的其他方式查询申请的确认情况。若申购不成功，则申购款项本金退还给投资人。</w:t>
      </w:r>
    </w:p>
    <w:p w14:paraId="3E8706DC"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基金管理人可在法律法规允许的范围内，依法对上述申购和赎回申请的确认时间进行调整，并必须在调整实施日前按照《信息披露办法》的有关规定在规定媒介上公告。</w:t>
      </w:r>
    </w:p>
    <w:p w14:paraId="5D1F0DEC" w14:textId="77777777" w:rsidR="0004536B" w:rsidRDefault="003574EC" w:rsidP="00210D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B65F513"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sidRPr="00210D77">
        <w:rPr>
          <w:rFonts w:hAnsi="宋体"/>
          <w:kern w:val="0"/>
          <w:sz w:val="24"/>
          <w:szCs w:val="24"/>
        </w:rPr>
        <w:t>4</w:t>
      </w:r>
      <w:r w:rsidRPr="00210D77">
        <w:rPr>
          <w:rFonts w:hAnsi="宋体"/>
          <w:kern w:val="0"/>
          <w:sz w:val="24"/>
          <w:szCs w:val="24"/>
        </w:rPr>
        <w:t>、申购和赎回的登记</w:t>
      </w:r>
    </w:p>
    <w:p w14:paraId="61778150" w14:textId="49A7D678" w:rsidR="0004536B" w:rsidRDefault="003574EC">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日为投资人增加权益并办理登记手续。投资人应及时查询有关申请的确认情况。</w:t>
      </w:r>
    </w:p>
    <w:p w14:paraId="40A8C8BB" w14:textId="77777777" w:rsidR="0004536B" w:rsidRDefault="003574EC">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14:paraId="262992A4" w14:textId="77777777" w:rsidR="0004536B" w:rsidRDefault="003574EC">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14:paraId="23EB55D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（六）基金的申购费和赎回费</w:t>
      </w:r>
    </w:p>
    <w:p w14:paraId="16494F7C" w14:textId="77777777" w:rsidR="0004536B" w:rsidRDefault="003574EC">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14:paraId="2AB6CDDA" w14:textId="4E55CFE0" w:rsidR="0004536B" w:rsidRDefault="003574EC">
      <w:pPr>
        <w:widowControl/>
        <w:adjustRightInd w:val="0"/>
        <w:snapToGrid w:val="0"/>
        <w:spacing w:line="360" w:lineRule="auto"/>
        <w:ind w:firstLineChars="200" w:firstLine="480"/>
        <w:rPr>
          <w:rFonts w:hAnsi="宋体"/>
          <w:sz w:val="24"/>
          <w:szCs w:val="24"/>
        </w:rPr>
      </w:pPr>
      <w:r>
        <w:rPr>
          <w:rFonts w:hAnsi="宋体"/>
          <w:sz w:val="24"/>
          <w:szCs w:val="24"/>
        </w:rPr>
        <w:t>本基金的申购费用由基金申购人承担，不列入基金财产，主要用于本基金的市场推广、销售、登记等各项费用。</w:t>
      </w:r>
    </w:p>
    <w:p w14:paraId="4203F4BE" w14:textId="77777777" w:rsidR="0004536B" w:rsidRDefault="003574EC">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14:paraId="2CD100FB" w14:textId="2CBB61FF" w:rsidR="0004536B" w:rsidRDefault="003574EC">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int="eastAsia"/>
          <w:kern w:val="0"/>
          <w:sz w:val="24"/>
        </w:rPr>
        <w:t>（非养老金客户）</w:t>
      </w:r>
      <w:r>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4079"/>
      </w:tblGrid>
      <w:tr w:rsidR="0004536B" w14:paraId="0884014B" w14:textId="77777777">
        <w:trPr>
          <w:cantSplit/>
          <w:trHeight w:val="132"/>
        </w:trPr>
        <w:tc>
          <w:tcPr>
            <w:tcW w:w="3260" w:type="dxa"/>
            <w:shd w:val="clear" w:color="auto" w:fill="FFFFFF"/>
            <w:vAlign w:val="center"/>
          </w:tcPr>
          <w:p w14:paraId="691F5C7F" w14:textId="77777777" w:rsidR="0004536B" w:rsidRDefault="003574EC">
            <w:pPr>
              <w:adjustRightInd w:val="0"/>
              <w:snapToGrid w:val="0"/>
              <w:jc w:val="center"/>
              <w:rPr>
                <w:b/>
                <w:sz w:val="24"/>
              </w:rPr>
            </w:pPr>
            <w:r>
              <w:rPr>
                <w:b/>
                <w:sz w:val="24"/>
              </w:rPr>
              <w:t>申购金额（含申购费）</w:t>
            </w:r>
          </w:p>
        </w:tc>
        <w:tc>
          <w:tcPr>
            <w:tcW w:w="4079" w:type="dxa"/>
            <w:shd w:val="clear" w:color="auto" w:fill="FFFFFF"/>
            <w:vAlign w:val="center"/>
          </w:tcPr>
          <w:p w14:paraId="732C60A1" w14:textId="63D3E97E" w:rsidR="0004536B" w:rsidRDefault="003574EC">
            <w:pPr>
              <w:adjustRightInd w:val="0"/>
              <w:snapToGrid w:val="0"/>
              <w:jc w:val="center"/>
              <w:rPr>
                <w:b/>
                <w:sz w:val="24"/>
              </w:rPr>
            </w:pPr>
            <w:r>
              <w:rPr>
                <w:b/>
                <w:sz w:val="24"/>
              </w:rPr>
              <w:t>申购费率</w:t>
            </w:r>
          </w:p>
        </w:tc>
      </w:tr>
      <w:tr w:rsidR="0004536B" w14:paraId="07D77293" w14:textId="77777777">
        <w:trPr>
          <w:cantSplit/>
          <w:trHeight w:val="131"/>
        </w:trPr>
        <w:tc>
          <w:tcPr>
            <w:tcW w:w="3260" w:type="dxa"/>
          </w:tcPr>
          <w:p w14:paraId="4B325703" w14:textId="77777777" w:rsidR="0004536B" w:rsidRDefault="003574EC">
            <w:pPr>
              <w:adjustRightInd w:val="0"/>
              <w:snapToGrid w:val="0"/>
              <w:rPr>
                <w:sz w:val="24"/>
              </w:rPr>
            </w:pPr>
            <w:r>
              <w:rPr>
                <w:rFonts w:hint="eastAsia"/>
                <w:sz w:val="24"/>
              </w:rPr>
              <w:t>5</w:t>
            </w:r>
            <w:r>
              <w:rPr>
                <w:sz w:val="24"/>
              </w:rPr>
              <w:t>00</w:t>
            </w:r>
            <w:r>
              <w:rPr>
                <w:sz w:val="24"/>
              </w:rPr>
              <w:t>万元以下</w:t>
            </w:r>
          </w:p>
        </w:tc>
        <w:tc>
          <w:tcPr>
            <w:tcW w:w="4079" w:type="dxa"/>
            <w:vAlign w:val="center"/>
          </w:tcPr>
          <w:p w14:paraId="6540F3D7" w14:textId="77777777" w:rsidR="0004536B" w:rsidRDefault="003574EC">
            <w:pPr>
              <w:adjustRightInd w:val="0"/>
              <w:snapToGrid w:val="0"/>
              <w:jc w:val="center"/>
              <w:rPr>
                <w:sz w:val="24"/>
              </w:rPr>
            </w:pPr>
            <w:r>
              <w:rPr>
                <w:sz w:val="24"/>
              </w:rPr>
              <w:t>1.5%</w:t>
            </w:r>
          </w:p>
        </w:tc>
      </w:tr>
      <w:tr w:rsidR="0004536B" w14:paraId="4A482DBF" w14:textId="77777777">
        <w:trPr>
          <w:cantSplit/>
          <w:trHeight w:val="131"/>
        </w:trPr>
        <w:tc>
          <w:tcPr>
            <w:tcW w:w="3260" w:type="dxa"/>
          </w:tcPr>
          <w:p w14:paraId="6F53215B" w14:textId="77777777" w:rsidR="0004536B" w:rsidRDefault="003574EC">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4079" w:type="dxa"/>
          </w:tcPr>
          <w:p w14:paraId="6333837D" w14:textId="77777777" w:rsidR="0004536B" w:rsidRDefault="003574EC">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526AD0F0" w14:textId="4E873496"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sidR="00BB0899">
        <w:rPr>
          <w:rFonts w:hAnsi="宋体" w:hint="eastAsia"/>
          <w:kern w:val="0"/>
          <w:sz w:val="24"/>
          <w:szCs w:val="24"/>
        </w:rPr>
        <w:t>本基金</w:t>
      </w:r>
      <w:r>
        <w:rPr>
          <w:rFonts w:hAnsi="宋体" w:hint="eastAsia"/>
          <w:kern w:val="0"/>
          <w:sz w:val="24"/>
          <w:szCs w:val="24"/>
        </w:rPr>
        <w:t>的养老金客户实施特定申购费率。</w:t>
      </w:r>
    </w:p>
    <w:p w14:paraId="66DE5CE7"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14:paraId="7B9F0253" w14:textId="77777777" w:rsidR="0004536B" w:rsidRDefault="003574EC">
      <w:pPr>
        <w:widowControl/>
        <w:adjustRightInd w:val="0"/>
        <w:snapToGrid w:val="0"/>
        <w:spacing w:line="360" w:lineRule="auto"/>
        <w:ind w:firstLineChars="200" w:firstLine="480"/>
        <w:rPr>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全国社会保障基金；</w:t>
      </w:r>
    </w:p>
    <w:p w14:paraId="1E292663"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14:paraId="2BB25DBC"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14:paraId="74C2D0DB"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70D36069" w14:textId="77777777" w:rsidR="0004536B" w:rsidRDefault="003574EC">
      <w:pPr>
        <w:widowControl/>
        <w:adjustRightInd w:val="0"/>
        <w:snapToGrid w:val="0"/>
        <w:spacing w:line="360" w:lineRule="auto"/>
        <w:ind w:firstLineChars="200" w:firstLine="480"/>
        <w:rPr>
          <w:kern w:val="0"/>
          <w:sz w:val="24"/>
          <w:szCs w:val="24"/>
        </w:rPr>
      </w:pPr>
      <w:r>
        <w:rPr>
          <w:rFonts w:hAnsi="宋体" w:hint="eastAsia"/>
          <w:kern w:val="0"/>
          <w:sz w:val="24"/>
          <w:szCs w:val="24"/>
        </w:rPr>
        <w:lastRenderedPageBreak/>
        <w:t>5</w:t>
      </w:r>
      <w:r>
        <w:rPr>
          <w:rFonts w:hAnsi="宋体" w:hint="eastAsia"/>
          <w:kern w:val="0"/>
          <w:sz w:val="24"/>
          <w:szCs w:val="24"/>
        </w:rPr>
        <w:t>）企业年金养老金产品。</w:t>
      </w:r>
    </w:p>
    <w:p w14:paraId="782689E9"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14:paraId="7985B3E4" w14:textId="7E627EF9"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通过基金管理人直销柜台申购本基金的养老金客户特定申购费率如下表：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938"/>
      </w:tblGrid>
      <w:tr w:rsidR="0004536B" w14:paraId="6368678C" w14:textId="77777777">
        <w:trPr>
          <w:cantSplit/>
          <w:trHeight w:val="132"/>
        </w:trPr>
        <w:tc>
          <w:tcPr>
            <w:tcW w:w="3260" w:type="dxa"/>
            <w:shd w:val="clear" w:color="auto" w:fill="FFFFFF"/>
            <w:vAlign w:val="center"/>
          </w:tcPr>
          <w:p w14:paraId="19532299" w14:textId="77777777" w:rsidR="0004536B" w:rsidRDefault="003574EC">
            <w:pPr>
              <w:adjustRightInd w:val="0"/>
              <w:snapToGrid w:val="0"/>
              <w:jc w:val="center"/>
              <w:rPr>
                <w:b/>
                <w:sz w:val="24"/>
              </w:rPr>
            </w:pPr>
            <w:r>
              <w:rPr>
                <w:b/>
                <w:sz w:val="24"/>
              </w:rPr>
              <w:t>申购金额（含申购费）</w:t>
            </w:r>
          </w:p>
        </w:tc>
        <w:tc>
          <w:tcPr>
            <w:tcW w:w="3938" w:type="dxa"/>
            <w:shd w:val="clear" w:color="auto" w:fill="FFFFFF"/>
            <w:vAlign w:val="center"/>
          </w:tcPr>
          <w:p w14:paraId="2563094C" w14:textId="69549B61" w:rsidR="0004536B" w:rsidRDefault="003574EC">
            <w:pPr>
              <w:adjustRightInd w:val="0"/>
              <w:snapToGrid w:val="0"/>
              <w:jc w:val="center"/>
              <w:rPr>
                <w:b/>
                <w:sz w:val="24"/>
              </w:rPr>
            </w:pPr>
            <w:r>
              <w:rPr>
                <w:rFonts w:hint="eastAsia"/>
                <w:b/>
                <w:sz w:val="24"/>
              </w:rPr>
              <w:t>特定</w:t>
            </w:r>
            <w:r>
              <w:rPr>
                <w:b/>
                <w:sz w:val="24"/>
              </w:rPr>
              <w:t>申购费率</w:t>
            </w:r>
          </w:p>
        </w:tc>
      </w:tr>
      <w:tr w:rsidR="0004536B" w14:paraId="35E6270E" w14:textId="77777777">
        <w:trPr>
          <w:cantSplit/>
          <w:trHeight w:val="131"/>
        </w:trPr>
        <w:tc>
          <w:tcPr>
            <w:tcW w:w="3260" w:type="dxa"/>
          </w:tcPr>
          <w:p w14:paraId="375955E1" w14:textId="77777777" w:rsidR="0004536B" w:rsidRDefault="003574EC">
            <w:pPr>
              <w:adjustRightInd w:val="0"/>
              <w:snapToGrid w:val="0"/>
              <w:rPr>
                <w:sz w:val="24"/>
              </w:rPr>
            </w:pPr>
            <w:r>
              <w:rPr>
                <w:rFonts w:hint="eastAsia"/>
                <w:sz w:val="24"/>
              </w:rPr>
              <w:t>5</w:t>
            </w:r>
            <w:r>
              <w:rPr>
                <w:sz w:val="24"/>
              </w:rPr>
              <w:t>00</w:t>
            </w:r>
            <w:r>
              <w:rPr>
                <w:sz w:val="24"/>
              </w:rPr>
              <w:t>万元以下</w:t>
            </w:r>
          </w:p>
        </w:tc>
        <w:tc>
          <w:tcPr>
            <w:tcW w:w="3938" w:type="dxa"/>
            <w:vAlign w:val="center"/>
          </w:tcPr>
          <w:p w14:paraId="7940616A" w14:textId="77777777" w:rsidR="0004536B" w:rsidRDefault="003574EC">
            <w:pPr>
              <w:adjustRightInd w:val="0"/>
              <w:snapToGrid w:val="0"/>
              <w:jc w:val="center"/>
              <w:rPr>
                <w:sz w:val="24"/>
              </w:rPr>
            </w:pPr>
            <w:r>
              <w:rPr>
                <w:kern w:val="0"/>
                <w:sz w:val="24"/>
                <w:szCs w:val="24"/>
              </w:rPr>
              <w:t>0.6%</w:t>
            </w:r>
          </w:p>
        </w:tc>
      </w:tr>
      <w:tr w:rsidR="0004536B" w14:paraId="08F127EC" w14:textId="77777777">
        <w:trPr>
          <w:cantSplit/>
          <w:trHeight w:val="131"/>
        </w:trPr>
        <w:tc>
          <w:tcPr>
            <w:tcW w:w="3260" w:type="dxa"/>
          </w:tcPr>
          <w:p w14:paraId="59750E30" w14:textId="77777777" w:rsidR="0004536B" w:rsidRDefault="003574EC">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3938" w:type="dxa"/>
          </w:tcPr>
          <w:p w14:paraId="7AAE39ED" w14:textId="77777777" w:rsidR="0004536B" w:rsidRDefault="003574EC">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26952EBA" w14:textId="77777777" w:rsidR="0004536B" w:rsidRDefault="003574EC">
      <w:pPr>
        <w:widowControl/>
        <w:adjustRightInd w:val="0"/>
        <w:snapToGrid w:val="0"/>
        <w:spacing w:beforeLines="50" w:before="143" w:line="360" w:lineRule="auto"/>
        <w:ind w:firstLineChars="200" w:firstLine="480"/>
        <w:rPr>
          <w:kern w:val="0"/>
          <w:sz w:val="24"/>
          <w:szCs w:val="24"/>
        </w:rPr>
      </w:pPr>
      <w:r>
        <w:rPr>
          <w:rFonts w:hAnsi="宋体"/>
          <w:sz w:val="24"/>
          <w:szCs w:val="24"/>
        </w:rPr>
        <w:t>2</w:t>
      </w:r>
      <w:r>
        <w:rPr>
          <w:rFonts w:hAnsi="宋体"/>
          <w:sz w:val="24"/>
          <w:szCs w:val="24"/>
        </w:rPr>
        <w:t>、赎回费用</w:t>
      </w:r>
    </w:p>
    <w:p w14:paraId="442E4C91" w14:textId="58DDD27F" w:rsidR="0004536B" w:rsidRDefault="003574EC">
      <w:pPr>
        <w:widowControl/>
        <w:adjustRightInd w:val="0"/>
        <w:snapToGrid w:val="0"/>
        <w:spacing w:line="360" w:lineRule="auto"/>
        <w:ind w:firstLineChars="200" w:firstLine="480"/>
        <w:rPr>
          <w:sz w:val="24"/>
          <w:szCs w:val="24"/>
        </w:rPr>
      </w:pPr>
      <w:r>
        <w:rPr>
          <w:rFonts w:hAnsi="宋体" w:hint="eastAsia"/>
          <w:sz w:val="24"/>
          <w:szCs w:val="24"/>
        </w:rPr>
        <w:t>本基金的赎回费用由基金份额持有人承担，</w:t>
      </w:r>
      <w:r>
        <w:rPr>
          <w:rFonts w:hint="eastAsia"/>
          <w:sz w:val="24"/>
          <w:szCs w:val="24"/>
        </w:rPr>
        <w:t>在基金份额持有人赎回基金份额时收取，</w:t>
      </w:r>
      <w:r>
        <w:rPr>
          <w:rFonts w:hAnsi="宋体" w:hint="eastAsia"/>
          <w:sz w:val="24"/>
          <w:szCs w:val="24"/>
        </w:rPr>
        <w:t>对持续持有期少于</w:t>
      </w:r>
      <w:r>
        <w:rPr>
          <w:rFonts w:hAnsi="宋体" w:hint="eastAsia"/>
          <w:sz w:val="24"/>
          <w:szCs w:val="24"/>
        </w:rPr>
        <w:t>7</w:t>
      </w:r>
      <w:r>
        <w:rPr>
          <w:rFonts w:hAnsi="宋体" w:hint="eastAsia"/>
          <w:sz w:val="24"/>
          <w:szCs w:val="24"/>
        </w:rPr>
        <w:t>日的投资人收取</w:t>
      </w:r>
      <w:r>
        <w:rPr>
          <w:rFonts w:hAnsi="宋体" w:hint="eastAsia"/>
          <w:sz w:val="24"/>
          <w:szCs w:val="24"/>
        </w:rPr>
        <w:t>1.5%</w:t>
      </w:r>
      <w:r>
        <w:rPr>
          <w:rFonts w:hAnsi="宋体" w:hint="eastAsia"/>
          <w:sz w:val="24"/>
          <w:szCs w:val="24"/>
        </w:rPr>
        <w:t>的赎回费，对持续持有期大于等于</w:t>
      </w:r>
      <w:r>
        <w:rPr>
          <w:rFonts w:hAnsi="宋体" w:hint="eastAsia"/>
          <w:sz w:val="24"/>
          <w:szCs w:val="24"/>
        </w:rPr>
        <w:t>7</w:t>
      </w:r>
      <w:r>
        <w:rPr>
          <w:rFonts w:hAnsi="宋体" w:hint="eastAsia"/>
          <w:sz w:val="24"/>
          <w:szCs w:val="24"/>
        </w:rPr>
        <w:t>日但少于</w:t>
      </w:r>
      <w:r>
        <w:rPr>
          <w:rFonts w:hAnsi="宋体" w:hint="eastAsia"/>
          <w:sz w:val="24"/>
          <w:szCs w:val="24"/>
        </w:rPr>
        <w:t>30</w:t>
      </w:r>
      <w:r>
        <w:rPr>
          <w:rFonts w:hAnsi="宋体" w:hint="eastAsia"/>
          <w:sz w:val="24"/>
          <w:szCs w:val="24"/>
        </w:rPr>
        <w:t>日的投资人收取</w:t>
      </w:r>
      <w:r>
        <w:rPr>
          <w:rFonts w:hAnsi="宋体" w:hint="eastAsia"/>
          <w:sz w:val="24"/>
          <w:szCs w:val="24"/>
        </w:rPr>
        <w:t>0.75%</w:t>
      </w:r>
      <w:r>
        <w:rPr>
          <w:rFonts w:hAnsi="宋体" w:hint="eastAsia"/>
          <w:sz w:val="24"/>
          <w:szCs w:val="24"/>
        </w:rPr>
        <w:t>的赎回费，并将上述赎回费全额计入基金财产；对持续持有期大于等于</w:t>
      </w:r>
      <w:r>
        <w:rPr>
          <w:rFonts w:hAnsi="宋体" w:hint="eastAsia"/>
          <w:sz w:val="24"/>
          <w:szCs w:val="24"/>
        </w:rPr>
        <w:t>30</w:t>
      </w:r>
      <w:r>
        <w:rPr>
          <w:rFonts w:hAnsi="宋体" w:hint="eastAsia"/>
          <w:sz w:val="24"/>
          <w:szCs w:val="24"/>
        </w:rPr>
        <w:t>日但少于</w:t>
      </w:r>
      <w:r>
        <w:rPr>
          <w:rFonts w:hAnsi="宋体" w:hint="eastAsia"/>
          <w:sz w:val="24"/>
          <w:szCs w:val="24"/>
        </w:rPr>
        <w:t>3</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75%</w:t>
      </w:r>
      <w:r>
        <w:rPr>
          <w:rFonts w:hAnsi="宋体" w:hint="eastAsia"/>
          <w:sz w:val="24"/>
          <w:szCs w:val="24"/>
        </w:rPr>
        <w:t>计入基金财产；对持续持有期大于等于</w:t>
      </w:r>
      <w:r>
        <w:rPr>
          <w:rFonts w:hAnsi="宋体" w:hint="eastAsia"/>
          <w:sz w:val="24"/>
          <w:szCs w:val="24"/>
        </w:rPr>
        <w:t>3</w:t>
      </w:r>
      <w:r>
        <w:rPr>
          <w:rFonts w:hAnsi="宋体" w:hint="eastAsia"/>
          <w:sz w:val="24"/>
          <w:szCs w:val="24"/>
        </w:rPr>
        <w:t>个月但少于</w:t>
      </w:r>
      <w:r>
        <w:rPr>
          <w:rFonts w:hAnsi="宋体" w:hint="eastAsia"/>
          <w:sz w:val="24"/>
          <w:szCs w:val="24"/>
        </w:rPr>
        <w:t>6</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50%</w:t>
      </w:r>
      <w:r>
        <w:rPr>
          <w:rFonts w:hAnsi="宋体" w:hint="eastAsia"/>
          <w:sz w:val="24"/>
          <w:szCs w:val="24"/>
        </w:rPr>
        <w:t>计入基金财产。上述</w:t>
      </w:r>
      <w:r>
        <w:rPr>
          <w:rFonts w:hAnsi="宋体"/>
          <w:sz w:val="24"/>
          <w:szCs w:val="24"/>
        </w:rPr>
        <w:t>“</w:t>
      </w:r>
      <w:r>
        <w:rPr>
          <w:rFonts w:hAnsi="宋体" w:hint="eastAsia"/>
          <w:sz w:val="24"/>
          <w:szCs w:val="24"/>
        </w:rPr>
        <w:t>月</w:t>
      </w:r>
      <w:r>
        <w:rPr>
          <w:rFonts w:hAnsi="宋体"/>
          <w:sz w:val="24"/>
          <w:szCs w:val="24"/>
        </w:rPr>
        <w:t>”</w:t>
      </w:r>
      <w:r>
        <w:rPr>
          <w:rFonts w:hAnsi="宋体" w:hint="eastAsia"/>
          <w:sz w:val="24"/>
          <w:szCs w:val="24"/>
        </w:rPr>
        <w:t>指的是</w:t>
      </w:r>
      <w:r>
        <w:rPr>
          <w:rFonts w:hAnsi="宋体" w:hint="eastAsia"/>
          <w:sz w:val="24"/>
          <w:szCs w:val="24"/>
        </w:rPr>
        <w:t>30</w:t>
      </w:r>
      <w:r>
        <w:rPr>
          <w:rFonts w:hAnsi="宋体" w:hint="eastAsia"/>
          <w:sz w:val="24"/>
          <w:szCs w:val="24"/>
        </w:rPr>
        <w:t>个自然日。未归入基金财产的部分用于支付登记费和其他必要的手续费。</w:t>
      </w:r>
    </w:p>
    <w:p w14:paraId="3F3C3CF4" w14:textId="6DE193A1"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04536B" w14:paraId="76C8ADB7" w14:textId="77777777">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l2br w:val="nil"/>
              <w:tr2bl w:val="nil"/>
            </w:tcBorders>
            <w:shd w:val="clear" w:color="auto" w:fill="auto"/>
            <w:vAlign w:val="center"/>
          </w:tcPr>
          <w:p w14:paraId="04FB3429" w14:textId="768608F0" w:rsidR="0004536B" w:rsidRDefault="003574EC">
            <w:pPr>
              <w:adjustRightInd w:val="0"/>
              <w:snapToGrid w:val="0"/>
              <w:jc w:val="center"/>
              <w:rPr>
                <w:sz w:val="24"/>
                <w:szCs w:val="24"/>
              </w:rPr>
            </w:pPr>
            <w:r>
              <w:rPr>
                <w:rFonts w:hAnsi="宋体" w:hint="eastAsia"/>
                <w:sz w:val="24"/>
                <w:szCs w:val="24"/>
              </w:rPr>
              <w:t>赎回费率</w:t>
            </w:r>
          </w:p>
        </w:tc>
        <w:tc>
          <w:tcPr>
            <w:tcW w:w="3240"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14:paraId="340CC25E" w14:textId="77777777" w:rsidR="0004536B" w:rsidRDefault="003574EC">
            <w:pPr>
              <w:adjustRightInd w:val="0"/>
              <w:snapToGrid w:val="0"/>
              <w:jc w:val="center"/>
              <w:rPr>
                <w:b/>
                <w:sz w:val="24"/>
                <w:szCs w:val="24"/>
              </w:rPr>
            </w:pPr>
            <w:r>
              <w:rPr>
                <w:rFonts w:hAnsi="宋体" w:hint="eastAsia"/>
                <w:b/>
                <w:sz w:val="24"/>
                <w:szCs w:val="24"/>
              </w:rPr>
              <w:t>持有期限</w:t>
            </w:r>
          </w:p>
        </w:tc>
        <w:tc>
          <w:tcPr>
            <w:tcW w:w="1926"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14:paraId="68894FD6" w14:textId="77777777" w:rsidR="0004536B" w:rsidRDefault="003574EC">
            <w:pPr>
              <w:adjustRightInd w:val="0"/>
              <w:snapToGrid w:val="0"/>
              <w:jc w:val="center"/>
              <w:rPr>
                <w:b/>
                <w:sz w:val="24"/>
                <w:szCs w:val="24"/>
              </w:rPr>
            </w:pPr>
            <w:r>
              <w:rPr>
                <w:rFonts w:hAnsi="宋体" w:hint="eastAsia"/>
                <w:b/>
                <w:sz w:val="24"/>
                <w:szCs w:val="24"/>
              </w:rPr>
              <w:t>赎回费率</w:t>
            </w:r>
          </w:p>
        </w:tc>
      </w:tr>
      <w:tr w:rsidR="0004536B" w14:paraId="21F5AA08"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0BBD31AE" w14:textId="77777777" w:rsidR="0004536B" w:rsidRDefault="0004536B">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74279EC6" w14:textId="77777777" w:rsidR="0004536B" w:rsidRDefault="003574EC">
            <w:pPr>
              <w:adjustRightInd w:val="0"/>
              <w:snapToGrid w:val="0"/>
              <w:rPr>
                <w:sz w:val="24"/>
                <w:szCs w:val="24"/>
              </w:rPr>
            </w:pPr>
            <w:r>
              <w:rPr>
                <w:rFonts w:hint="eastAsia"/>
                <w:sz w:val="24"/>
                <w:szCs w:val="24"/>
              </w:rPr>
              <w:t>7</w:t>
            </w:r>
            <w:r>
              <w:rPr>
                <w:rFonts w:hint="eastAsia"/>
                <w:sz w:val="24"/>
                <w:szCs w:val="24"/>
              </w:rPr>
              <w:t>日</w:t>
            </w:r>
            <w:r>
              <w:rPr>
                <w:rFonts w:hAnsi="宋体" w:hint="eastAsia"/>
                <w:sz w:val="24"/>
                <w:szCs w:val="24"/>
              </w:rPr>
              <w:t>以内</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2F030578" w14:textId="77777777" w:rsidR="0004536B" w:rsidRDefault="003574EC">
            <w:pPr>
              <w:adjustRightInd w:val="0"/>
              <w:snapToGrid w:val="0"/>
              <w:jc w:val="center"/>
              <w:rPr>
                <w:sz w:val="24"/>
                <w:szCs w:val="24"/>
              </w:rPr>
            </w:pPr>
            <w:r>
              <w:rPr>
                <w:rFonts w:hint="eastAsia"/>
                <w:sz w:val="24"/>
                <w:szCs w:val="24"/>
              </w:rPr>
              <w:t>1</w:t>
            </w:r>
            <w:r>
              <w:rPr>
                <w:sz w:val="24"/>
                <w:szCs w:val="24"/>
              </w:rPr>
              <w:t>.5%</w:t>
            </w:r>
          </w:p>
        </w:tc>
      </w:tr>
      <w:tr w:rsidR="0004536B" w14:paraId="5B603A08"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6888BBC9" w14:textId="77777777" w:rsidR="0004536B" w:rsidRDefault="0004536B">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609907C7" w14:textId="77777777" w:rsidR="0004536B" w:rsidRDefault="003574EC">
            <w:pPr>
              <w:adjustRightInd w:val="0"/>
              <w:snapToGrid w:val="0"/>
              <w:rPr>
                <w:sz w:val="24"/>
                <w:szCs w:val="24"/>
              </w:rPr>
            </w:pPr>
            <w:r>
              <w:rPr>
                <w:rFonts w:hint="eastAsia"/>
                <w:sz w:val="24"/>
                <w:szCs w:val="24"/>
              </w:rPr>
              <w:t>7</w:t>
            </w:r>
            <w:r>
              <w:rPr>
                <w:rFonts w:hint="eastAsia"/>
                <w:sz w:val="24"/>
                <w:szCs w:val="24"/>
              </w:rPr>
              <w:t>日（含）—</w:t>
            </w:r>
            <w:r>
              <w:rPr>
                <w:rFonts w:hint="eastAsia"/>
                <w:sz w:val="24"/>
                <w:szCs w:val="24"/>
              </w:rPr>
              <w:t>30</w:t>
            </w:r>
            <w:r>
              <w:rPr>
                <w:rFonts w:hint="eastAsia"/>
                <w:sz w:val="24"/>
                <w:szCs w:val="24"/>
              </w:rPr>
              <w:t>日</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69CC3D80" w14:textId="77777777" w:rsidR="0004536B" w:rsidRDefault="003574EC">
            <w:pPr>
              <w:adjustRightInd w:val="0"/>
              <w:snapToGrid w:val="0"/>
              <w:jc w:val="center"/>
              <w:rPr>
                <w:sz w:val="24"/>
                <w:szCs w:val="24"/>
              </w:rPr>
            </w:pPr>
            <w:r>
              <w:rPr>
                <w:rFonts w:hint="eastAsia"/>
                <w:sz w:val="24"/>
                <w:szCs w:val="24"/>
              </w:rPr>
              <w:t>0.75%</w:t>
            </w:r>
          </w:p>
        </w:tc>
      </w:tr>
      <w:tr w:rsidR="0004536B" w14:paraId="6CF82E87"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159F1947" w14:textId="77777777" w:rsidR="0004536B" w:rsidRDefault="0004536B">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13998081" w14:textId="787576A5" w:rsidR="0004536B" w:rsidRDefault="003574EC" w:rsidP="008F0E3F">
            <w:pPr>
              <w:adjustRightInd w:val="0"/>
              <w:snapToGrid w:val="0"/>
              <w:rPr>
                <w:sz w:val="24"/>
                <w:szCs w:val="24"/>
              </w:rPr>
            </w:pPr>
            <w:r>
              <w:rPr>
                <w:rFonts w:hint="eastAsia"/>
                <w:sz w:val="24"/>
                <w:szCs w:val="24"/>
              </w:rPr>
              <w:t>30</w:t>
            </w:r>
            <w:r>
              <w:rPr>
                <w:rFonts w:hint="eastAsia"/>
                <w:sz w:val="24"/>
                <w:szCs w:val="24"/>
              </w:rPr>
              <w:t>日（含）—</w:t>
            </w:r>
            <w:r w:rsidR="008F0E3F">
              <w:rPr>
                <w:rFonts w:hint="eastAsia"/>
                <w:sz w:val="24"/>
                <w:szCs w:val="24"/>
              </w:rPr>
              <w:t>1</w:t>
            </w:r>
            <w:r w:rsidR="008F0E3F">
              <w:rPr>
                <w:sz w:val="24"/>
                <w:szCs w:val="24"/>
              </w:rPr>
              <w:t>80</w:t>
            </w:r>
            <w:r w:rsidR="008F0E3F">
              <w:rPr>
                <w:rFonts w:hint="eastAsia"/>
                <w:sz w:val="24"/>
                <w:szCs w:val="24"/>
              </w:rPr>
              <w:t>日</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02E381D3" w14:textId="77777777" w:rsidR="0004536B" w:rsidRDefault="003574EC">
            <w:pPr>
              <w:adjustRightInd w:val="0"/>
              <w:snapToGrid w:val="0"/>
              <w:jc w:val="center"/>
              <w:rPr>
                <w:sz w:val="24"/>
                <w:szCs w:val="24"/>
              </w:rPr>
            </w:pPr>
            <w:r>
              <w:rPr>
                <w:rFonts w:hint="eastAsia"/>
                <w:sz w:val="24"/>
                <w:szCs w:val="24"/>
              </w:rPr>
              <w:t>0.5%</w:t>
            </w:r>
          </w:p>
        </w:tc>
      </w:tr>
      <w:tr w:rsidR="0004536B" w14:paraId="7639BB02" w14:textId="77777777">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14:paraId="081DD7B3" w14:textId="77777777" w:rsidR="0004536B" w:rsidRDefault="0004536B">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14:paraId="7BE8B2BC" w14:textId="6644E600" w:rsidR="0004536B" w:rsidRDefault="008F0E3F" w:rsidP="008F0E3F">
            <w:pPr>
              <w:adjustRightInd w:val="0"/>
              <w:snapToGrid w:val="0"/>
              <w:rPr>
                <w:sz w:val="24"/>
                <w:szCs w:val="24"/>
              </w:rPr>
            </w:pPr>
            <w:r>
              <w:rPr>
                <w:sz w:val="24"/>
                <w:szCs w:val="24"/>
              </w:rPr>
              <w:t>180</w:t>
            </w:r>
            <w:r>
              <w:rPr>
                <w:rFonts w:hint="eastAsia"/>
                <w:sz w:val="24"/>
                <w:szCs w:val="24"/>
              </w:rPr>
              <w:t>日</w:t>
            </w:r>
            <w:r w:rsidR="003574EC">
              <w:rPr>
                <w:rFonts w:hAnsi="宋体" w:hint="eastAsia"/>
                <w:sz w:val="24"/>
                <w:szCs w:val="24"/>
              </w:rPr>
              <w:t>以上（含）</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14:paraId="291DC5CB" w14:textId="77777777" w:rsidR="0004536B" w:rsidRDefault="003574EC">
            <w:pPr>
              <w:adjustRightInd w:val="0"/>
              <w:snapToGrid w:val="0"/>
              <w:jc w:val="center"/>
              <w:rPr>
                <w:sz w:val="24"/>
                <w:szCs w:val="24"/>
              </w:rPr>
            </w:pPr>
            <w:r>
              <w:rPr>
                <w:sz w:val="24"/>
                <w:szCs w:val="24"/>
              </w:rPr>
              <w:t>0</w:t>
            </w:r>
          </w:p>
        </w:tc>
      </w:tr>
    </w:tbl>
    <w:p w14:paraId="59F5C489"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w:t>
      </w:r>
      <w:r>
        <w:rPr>
          <w:rFonts w:hint="eastAsia"/>
          <w:bCs/>
          <w:sz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14:paraId="448197C8"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3AA8AF98"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w:t>
      </w:r>
      <w:r>
        <w:rPr>
          <w:rFonts w:hAnsi="宋体" w:hint="eastAsia"/>
          <w:kern w:val="0"/>
          <w:sz w:val="24"/>
          <w:szCs w:val="24"/>
        </w:rPr>
        <w:lastRenderedPageBreak/>
        <w:t>销活动期间，基金管理人可以按中国证监会要求履行必要手续后，对投资人适当调低基金销售费用。</w:t>
      </w:r>
    </w:p>
    <w:p w14:paraId="74652F2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33" w:name="_Hlt81024033"/>
      <w:bookmarkStart w:id="34" w:name="_Hlt90458725"/>
      <w:bookmarkStart w:id="35" w:name="_Hlt91144389"/>
      <w:bookmarkEnd w:id="33"/>
      <w:bookmarkEnd w:id="34"/>
      <w:bookmarkEnd w:id="35"/>
      <w:r w:rsidRPr="00E917F4">
        <w:rPr>
          <w:rFonts w:hAnsi="宋体"/>
          <w:b/>
          <w:sz w:val="24"/>
        </w:rPr>
        <w:t>（七）申购和赎回的数额和价格</w:t>
      </w:r>
    </w:p>
    <w:p w14:paraId="68D01D86" w14:textId="77777777" w:rsidR="0004536B" w:rsidRDefault="003574EC" w:rsidP="00210D77">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kern w:val="0"/>
          <w:sz w:val="24"/>
          <w:szCs w:val="24"/>
        </w:rPr>
        <w:t>、申购和赎回数额、余额的处理方式</w:t>
      </w:r>
    </w:p>
    <w:p w14:paraId="13099CD6" w14:textId="3C1289AD"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）申购的有效份额为净申购金额除以当日的基金份额净值，有效份额单位为份，</w:t>
      </w:r>
      <w:r>
        <w:rPr>
          <w:rFonts w:hAnsi="宋体" w:hint="eastAsia"/>
          <w:kern w:val="0"/>
          <w:sz w:val="24"/>
          <w:szCs w:val="24"/>
        </w:rPr>
        <w:t>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72D27A95" w14:textId="16AC88D8"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）赎回金额为按实际确认的有效赎回份额乘以当日基金份额净值并扣除相应的费用（如有），赎回金额单位为元。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0FB592DA" w14:textId="77777777" w:rsidR="0004536B" w:rsidRDefault="003574EC" w:rsidP="00210D77">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kern w:val="0"/>
          <w:sz w:val="24"/>
          <w:szCs w:val="24"/>
        </w:rPr>
        <w:t>、申购份额的计算</w:t>
      </w:r>
    </w:p>
    <w:p w14:paraId="0A2B3AEA"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申请总金额</w:t>
      </w:r>
    </w:p>
    <w:p w14:paraId="377FD86F"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14:paraId="3E9EE15B"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（注：对于适用固定金额申购费用的申购，净申购金额＝申购总金额－固定申购费用金额）</w:t>
      </w:r>
    </w:p>
    <w:p w14:paraId="7038416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14:paraId="3931714B"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14:paraId="38D42DAD" w14:textId="6BE85679"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sidR="008B54FE">
        <w:rPr>
          <w:rFonts w:hAnsi="宋体" w:hint="eastAsia"/>
          <w:kern w:val="0"/>
          <w:sz w:val="24"/>
          <w:szCs w:val="24"/>
        </w:rPr>
        <w:t>净申购金额</w:t>
      </w:r>
      <w:r>
        <w:rPr>
          <w:rFonts w:hAnsi="宋体" w:hint="eastAsia"/>
          <w:kern w:val="0"/>
          <w:sz w:val="24"/>
          <w:szCs w:val="24"/>
        </w:rPr>
        <w:t>/T</w:t>
      </w:r>
      <w:r>
        <w:rPr>
          <w:rFonts w:hAnsi="宋体" w:hint="eastAsia"/>
          <w:kern w:val="0"/>
          <w:sz w:val="24"/>
          <w:szCs w:val="24"/>
        </w:rPr>
        <w:t>日基金份额净值</w:t>
      </w:r>
    </w:p>
    <w:p w14:paraId="3EE9211C" w14:textId="191E4575"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BB0899">
        <w:rPr>
          <w:rFonts w:hAnsi="宋体" w:hint="eastAsia"/>
          <w:kern w:val="0"/>
          <w:sz w:val="24"/>
          <w:szCs w:val="24"/>
        </w:rPr>
        <w:t>三</w:t>
      </w:r>
      <w:r>
        <w:rPr>
          <w:rFonts w:hAnsi="宋体" w:hint="eastAsia"/>
          <w:kern w:val="0"/>
          <w:sz w:val="24"/>
          <w:szCs w:val="24"/>
        </w:rPr>
        <w:t>：某投资者（非养老金客户）投资</w:t>
      </w:r>
      <w:r>
        <w:rPr>
          <w:rFonts w:hAnsi="宋体" w:hint="eastAsia"/>
          <w:kern w:val="0"/>
          <w:sz w:val="24"/>
          <w:szCs w:val="24"/>
        </w:rPr>
        <w:t>100,000</w:t>
      </w:r>
      <w:r w:rsidR="008B54FE">
        <w:rPr>
          <w:rFonts w:hAnsi="宋体"/>
          <w:kern w:val="0"/>
          <w:sz w:val="24"/>
          <w:szCs w:val="24"/>
        </w:rPr>
        <w:t>.00</w:t>
      </w:r>
      <w:r>
        <w:rPr>
          <w:rFonts w:hAnsi="宋体" w:hint="eastAsia"/>
          <w:kern w:val="0"/>
          <w:sz w:val="24"/>
          <w:szCs w:val="24"/>
        </w:rPr>
        <w:t>元申购本基金，假设申购当日基金份额净值为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1.5%</w:t>
      </w:r>
      <w:r>
        <w:rPr>
          <w:rFonts w:hAnsi="宋体" w:hint="eastAsia"/>
          <w:kern w:val="0"/>
          <w:sz w:val="24"/>
          <w:szCs w:val="24"/>
        </w:rPr>
        <w:t>，则其可得到的申购份额为：</w:t>
      </w:r>
    </w:p>
    <w:p w14:paraId="10A81228" w14:textId="376B429B"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sidR="003F4C50">
        <w:rPr>
          <w:rFonts w:hAnsi="宋体"/>
          <w:kern w:val="0"/>
          <w:sz w:val="24"/>
          <w:szCs w:val="24"/>
        </w:rPr>
        <w:t>.00</w:t>
      </w:r>
      <w:r>
        <w:rPr>
          <w:rFonts w:hAnsi="宋体" w:hint="eastAsia"/>
          <w:kern w:val="0"/>
          <w:sz w:val="24"/>
          <w:szCs w:val="24"/>
        </w:rPr>
        <w:t>元</w:t>
      </w:r>
    </w:p>
    <w:p w14:paraId="1ACD39FD" w14:textId="3DDAAEA0"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w:t>
      </w:r>
      <w:r w:rsidR="003F4C50">
        <w:rPr>
          <w:rFonts w:hAnsi="宋体"/>
          <w:kern w:val="0"/>
          <w:sz w:val="24"/>
          <w:szCs w:val="24"/>
        </w:rPr>
        <w:t>.00</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kern w:val="0"/>
          <w:sz w:val="24"/>
          <w:szCs w:val="24"/>
        </w:rPr>
        <w:t>1.5</w:t>
      </w:r>
      <w:r>
        <w:rPr>
          <w:rFonts w:hAnsi="宋体" w:hint="eastAsia"/>
          <w:kern w:val="0"/>
          <w:sz w:val="24"/>
          <w:szCs w:val="24"/>
        </w:rPr>
        <w:t>%</w:t>
      </w:r>
      <w:r>
        <w:rPr>
          <w:rFonts w:hAnsi="宋体" w:hint="eastAsia"/>
          <w:kern w:val="0"/>
          <w:sz w:val="24"/>
          <w:szCs w:val="24"/>
        </w:rPr>
        <w:t>）</w:t>
      </w:r>
      <w:r>
        <w:rPr>
          <w:rFonts w:hAnsi="宋体" w:hint="eastAsia"/>
          <w:kern w:val="0"/>
          <w:sz w:val="24"/>
          <w:szCs w:val="24"/>
        </w:rPr>
        <w:t>=9</w:t>
      </w:r>
      <w:r>
        <w:rPr>
          <w:rFonts w:hAnsi="宋体"/>
          <w:kern w:val="0"/>
          <w:sz w:val="24"/>
          <w:szCs w:val="24"/>
        </w:rPr>
        <w:t>8</w:t>
      </w:r>
      <w:r>
        <w:rPr>
          <w:rFonts w:hAnsi="宋体" w:hint="eastAsia"/>
          <w:kern w:val="0"/>
          <w:sz w:val="24"/>
          <w:szCs w:val="24"/>
        </w:rPr>
        <w:t>,</w:t>
      </w:r>
      <w:r>
        <w:rPr>
          <w:rFonts w:hAnsi="宋体"/>
          <w:kern w:val="0"/>
          <w:sz w:val="24"/>
          <w:szCs w:val="24"/>
        </w:rPr>
        <w:t>522</w:t>
      </w:r>
      <w:r>
        <w:rPr>
          <w:rFonts w:hAnsi="宋体" w:hint="eastAsia"/>
          <w:kern w:val="0"/>
          <w:sz w:val="24"/>
          <w:szCs w:val="24"/>
        </w:rPr>
        <w:t>.</w:t>
      </w:r>
      <w:r>
        <w:rPr>
          <w:rFonts w:hAnsi="宋体"/>
          <w:kern w:val="0"/>
          <w:sz w:val="24"/>
          <w:szCs w:val="24"/>
        </w:rPr>
        <w:t>17</w:t>
      </w:r>
      <w:r>
        <w:rPr>
          <w:rFonts w:hAnsi="宋体" w:hint="eastAsia"/>
          <w:kern w:val="0"/>
          <w:sz w:val="24"/>
          <w:szCs w:val="24"/>
        </w:rPr>
        <w:t>元</w:t>
      </w:r>
    </w:p>
    <w:p w14:paraId="4E364DE4"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=100,000-9</w:t>
      </w:r>
      <w:r>
        <w:rPr>
          <w:rFonts w:hAnsi="宋体"/>
          <w:kern w:val="0"/>
          <w:sz w:val="24"/>
          <w:szCs w:val="24"/>
        </w:rPr>
        <w:t>8</w:t>
      </w:r>
      <w:r>
        <w:rPr>
          <w:rFonts w:hAnsi="宋体" w:hint="eastAsia"/>
          <w:kern w:val="0"/>
          <w:sz w:val="24"/>
          <w:szCs w:val="24"/>
        </w:rPr>
        <w:t>,</w:t>
      </w:r>
      <w:r>
        <w:rPr>
          <w:rFonts w:hAnsi="宋体"/>
          <w:kern w:val="0"/>
          <w:sz w:val="24"/>
          <w:szCs w:val="24"/>
        </w:rPr>
        <w:t>522</w:t>
      </w:r>
      <w:r>
        <w:rPr>
          <w:rFonts w:hAnsi="宋体" w:hint="eastAsia"/>
          <w:kern w:val="0"/>
          <w:sz w:val="24"/>
          <w:szCs w:val="24"/>
        </w:rPr>
        <w:t>.</w:t>
      </w:r>
      <w:r>
        <w:rPr>
          <w:rFonts w:hAnsi="宋体"/>
          <w:kern w:val="0"/>
          <w:sz w:val="24"/>
          <w:szCs w:val="24"/>
        </w:rPr>
        <w:t>17</w:t>
      </w:r>
      <w:r>
        <w:rPr>
          <w:rFonts w:hAnsi="宋体" w:hint="eastAsia"/>
          <w:kern w:val="0"/>
          <w:sz w:val="24"/>
          <w:szCs w:val="24"/>
        </w:rPr>
        <w:t>=</w:t>
      </w:r>
      <w:r>
        <w:rPr>
          <w:rFonts w:hAnsi="宋体"/>
          <w:kern w:val="0"/>
          <w:sz w:val="24"/>
          <w:szCs w:val="24"/>
        </w:rPr>
        <w:t>1</w:t>
      </w:r>
      <w:r>
        <w:rPr>
          <w:rFonts w:hAnsi="宋体" w:hint="eastAsia"/>
          <w:kern w:val="0"/>
          <w:sz w:val="24"/>
          <w:szCs w:val="24"/>
        </w:rPr>
        <w:t>,</w:t>
      </w:r>
      <w:r>
        <w:rPr>
          <w:rFonts w:hAnsi="宋体"/>
          <w:kern w:val="0"/>
          <w:sz w:val="24"/>
          <w:szCs w:val="24"/>
        </w:rPr>
        <w:t>477.83</w:t>
      </w:r>
      <w:r>
        <w:rPr>
          <w:rFonts w:hAnsi="宋体" w:hint="eastAsia"/>
          <w:kern w:val="0"/>
          <w:sz w:val="24"/>
          <w:szCs w:val="24"/>
        </w:rPr>
        <w:t>元</w:t>
      </w:r>
    </w:p>
    <w:p w14:paraId="1456F966" w14:textId="224FE3A0"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sidR="003F4C50" w:rsidRPr="003F4C50">
        <w:rPr>
          <w:rFonts w:hAnsi="宋体"/>
          <w:kern w:val="0"/>
          <w:sz w:val="24"/>
          <w:szCs w:val="24"/>
        </w:rPr>
        <w:t>98,522.17</w:t>
      </w:r>
      <w:r>
        <w:rPr>
          <w:rFonts w:hAnsi="宋体" w:hint="eastAsia"/>
          <w:kern w:val="0"/>
          <w:sz w:val="24"/>
          <w:szCs w:val="24"/>
        </w:rPr>
        <w:t>/1.0400=9</w:t>
      </w:r>
      <w:r>
        <w:rPr>
          <w:rFonts w:hAnsi="宋体"/>
          <w:kern w:val="0"/>
          <w:sz w:val="24"/>
          <w:szCs w:val="24"/>
        </w:rPr>
        <w:t>4</w:t>
      </w:r>
      <w:r>
        <w:rPr>
          <w:rFonts w:hAnsi="宋体" w:hint="eastAsia"/>
          <w:kern w:val="0"/>
          <w:sz w:val="24"/>
          <w:szCs w:val="24"/>
        </w:rPr>
        <w:t>,</w:t>
      </w:r>
      <w:r>
        <w:rPr>
          <w:rFonts w:hAnsi="宋体"/>
          <w:kern w:val="0"/>
          <w:sz w:val="24"/>
          <w:szCs w:val="24"/>
        </w:rPr>
        <w:t>732</w:t>
      </w:r>
      <w:r>
        <w:rPr>
          <w:rFonts w:hAnsi="宋体" w:hint="eastAsia"/>
          <w:kern w:val="0"/>
          <w:sz w:val="24"/>
          <w:szCs w:val="24"/>
        </w:rPr>
        <w:t>.</w:t>
      </w:r>
      <w:r>
        <w:rPr>
          <w:rFonts w:hAnsi="宋体"/>
          <w:kern w:val="0"/>
          <w:sz w:val="24"/>
          <w:szCs w:val="24"/>
        </w:rPr>
        <w:t>86</w:t>
      </w:r>
      <w:r>
        <w:rPr>
          <w:rFonts w:hAnsi="宋体" w:hint="eastAsia"/>
          <w:kern w:val="0"/>
          <w:sz w:val="24"/>
          <w:szCs w:val="24"/>
        </w:rPr>
        <w:t>份</w:t>
      </w:r>
    </w:p>
    <w:p w14:paraId="67AA822A" w14:textId="6D7D7073"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w:t>
      </w:r>
      <w:r w:rsidR="003F4C50">
        <w:rPr>
          <w:rFonts w:hAnsi="宋体" w:hint="eastAsia"/>
          <w:kern w:val="0"/>
          <w:sz w:val="24"/>
          <w:szCs w:val="24"/>
        </w:rPr>
        <w:t>该</w:t>
      </w:r>
      <w:r>
        <w:rPr>
          <w:rFonts w:hAnsi="宋体" w:hint="eastAsia"/>
          <w:kern w:val="0"/>
          <w:sz w:val="24"/>
          <w:szCs w:val="24"/>
        </w:rPr>
        <w:t>投资者（非养老金客户）投资</w:t>
      </w:r>
      <w:r>
        <w:rPr>
          <w:rFonts w:hAnsi="宋体" w:hint="eastAsia"/>
          <w:kern w:val="0"/>
          <w:sz w:val="24"/>
          <w:szCs w:val="24"/>
        </w:rPr>
        <w:t>100,000</w:t>
      </w:r>
      <w:r w:rsidR="003F4C50">
        <w:rPr>
          <w:rFonts w:hAnsi="宋体"/>
          <w:kern w:val="0"/>
          <w:sz w:val="24"/>
          <w:szCs w:val="24"/>
        </w:rPr>
        <w:t>.00</w:t>
      </w:r>
      <w:r>
        <w:rPr>
          <w:rFonts w:hAnsi="宋体" w:hint="eastAsia"/>
          <w:kern w:val="0"/>
          <w:sz w:val="24"/>
          <w:szCs w:val="24"/>
        </w:rPr>
        <w:t>元申购本基金，假设申购当日基金份额净值为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w:t>
      </w:r>
      <w:r>
        <w:rPr>
          <w:rFonts w:hAnsi="宋体"/>
          <w:kern w:val="0"/>
          <w:sz w:val="24"/>
          <w:szCs w:val="24"/>
        </w:rPr>
        <w:t>4</w:t>
      </w:r>
      <w:r>
        <w:rPr>
          <w:rFonts w:hAnsi="宋体" w:hint="eastAsia"/>
          <w:kern w:val="0"/>
          <w:sz w:val="24"/>
          <w:szCs w:val="24"/>
        </w:rPr>
        <w:t>,</w:t>
      </w:r>
      <w:r>
        <w:rPr>
          <w:rFonts w:hAnsi="宋体"/>
          <w:kern w:val="0"/>
          <w:sz w:val="24"/>
          <w:szCs w:val="24"/>
        </w:rPr>
        <w:t>732</w:t>
      </w:r>
      <w:r>
        <w:rPr>
          <w:rFonts w:hAnsi="宋体" w:hint="eastAsia"/>
          <w:kern w:val="0"/>
          <w:sz w:val="24"/>
          <w:szCs w:val="24"/>
        </w:rPr>
        <w:t>.</w:t>
      </w:r>
      <w:r>
        <w:rPr>
          <w:rFonts w:hAnsi="宋体"/>
          <w:kern w:val="0"/>
          <w:sz w:val="24"/>
          <w:szCs w:val="24"/>
        </w:rPr>
        <w:t>86</w:t>
      </w:r>
      <w:r>
        <w:rPr>
          <w:rFonts w:hAnsi="宋体" w:hint="eastAsia"/>
          <w:kern w:val="0"/>
          <w:sz w:val="24"/>
          <w:szCs w:val="24"/>
        </w:rPr>
        <w:t>份基金份额。</w:t>
      </w:r>
    </w:p>
    <w:p w14:paraId="1350635F" w14:textId="444F5A9C"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例</w:t>
      </w:r>
      <w:r w:rsidR="00BB0899">
        <w:rPr>
          <w:rFonts w:hAnsi="宋体" w:hint="eastAsia"/>
          <w:kern w:val="0"/>
          <w:sz w:val="24"/>
          <w:szCs w:val="24"/>
        </w:rPr>
        <w:t>四</w:t>
      </w:r>
      <w:r>
        <w:rPr>
          <w:rFonts w:hAnsi="宋体"/>
          <w:kern w:val="0"/>
          <w:sz w:val="24"/>
          <w:szCs w:val="24"/>
        </w:rPr>
        <w:t>：</w:t>
      </w:r>
      <w:r>
        <w:rPr>
          <w:rFonts w:hAnsi="宋体" w:hint="eastAsia"/>
          <w:kern w:val="0"/>
          <w:sz w:val="24"/>
          <w:szCs w:val="24"/>
        </w:rPr>
        <w:t>某养老金客户投资</w:t>
      </w:r>
      <w:r>
        <w:rPr>
          <w:rFonts w:hAnsi="宋体" w:hint="eastAsia"/>
          <w:kern w:val="0"/>
          <w:sz w:val="24"/>
          <w:szCs w:val="24"/>
        </w:rPr>
        <w:t>1</w:t>
      </w:r>
      <w:r>
        <w:rPr>
          <w:rFonts w:hAnsi="宋体"/>
          <w:kern w:val="0"/>
          <w:sz w:val="24"/>
          <w:szCs w:val="24"/>
        </w:rPr>
        <w:t>,0</w:t>
      </w:r>
      <w:r>
        <w:rPr>
          <w:rFonts w:hAnsi="宋体" w:hint="eastAsia"/>
          <w:kern w:val="0"/>
          <w:sz w:val="24"/>
          <w:szCs w:val="24"/>
        </w:rPr>
        <w:t>00,000</w:t>
      </w:r>
      <w:r w:rsidR="003F4C50">
        <w:rPr>
          <w:rFonts w:hAnsi="宋体"/>
          <w:kern w:val="0"/>
          <w:sz w:val="24"/>
          <w:szCs w:val="24"/>
        </w:rPr>
        <w:t>.00</w:t>
      </w:r>
      <w:r>
        <w:rPr>
          <w:rFonts w:hAnsi="宋体" w:hint="eastAsia"/>
          <w:kern w:val="0"/>
          <w:sz w:val="24"/>
          <w:szCs w:val="24"/>
        </w:rPr>
        <w:t>元通过基金管理人的直销柜台申购本基金，</w:t>
      </w:r>
      <w:r>
        <w:rPr>
          <w:rFonts w:hAnsi="宋体"/>
          <w:kern w:val="0"/>
          <w:sz w:val="24"/>
          <w:szCs w:val="24"/>
        </w:rPr>
        <w:t>假设申购当日基金份额净值为</w:t>
      </w:r>
      <w:r>
        <w:rPr>
          <w:rFonts w:hAnsi="宋体"/>
          <w:kern w:val="0"/>
          <w:sz w:val="24"/>
          <w:szCs w:val="24"/>
        </w:rPr>
        <w:t>1.0400</w:t>
      </w:r>
      <w:r>
        <w:rPr>
          <w:rFonts w:hAnsi="宋体"/>
          <w:kern w:val="0"/>
          <w:sz w:val="24"/>
          <w:szCs w:val="24"/>
        </w:rPr>
        <w:t>元，申购费率为</w:t>
      </w:r>
      <w:r>
        <w:rPr>
          <w:rFonts w:hAnsi="宋体" w:hint="eastAsia"/>
          <w:kern w:val="0"/>
          <w:sz w:val="24"/>
          <w:szCs w:val="24"/>
        </w:rPr>
        <w:t>0.6</w:t>
      </w:r>
      <w:r>
        <w:rPr>
          <w:rFonts w:hAnsi="宋体"/>
          <w:kern w:val="0"/>
          <w:sz w:val="24"/>
          <w:szCs w:val="24"/>
        </w:rPr>
        <w:t>%</w:t>
      </w:r>
      <w:r>
        <w:rPr>
          <w:rFonts w:hAnsi="宋体"/>
          <w:kern w:val="0"/>
          <w:sz w:val="24"/>
          <w:szCs w:val="24"/>
        </w:rPr>
        <w:t>，则其可得到的申购份额为：</w:t>
      </w:r>
    </w:p>
    <w:p w14:paraId="0E00EC63" w14:textId="354D1BFA"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申购总金额＝</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sidR="003F4C50">
        <w:rPr>
          <w:rFonts w:hAnsi="宋体"/>
          <w:kern w:val="0"/>
          <w:sz w:val="24"/>
          <w:szCs w:val="24"/>
        </w:rPr>
        <w:t>.00</w:t>
      </w:r>
      <w:r>
        <w:rPr>
          <w:rFonts w:hAnsi="宋体"/>
          <w:kern w:val="0"/>
          <w:sz w:val="24"/>
          <w:szCs w:val="24"/>
        </w:rPr>
        <w:t>元</w:t>
      </w:r>
    </w:p>
    <w:p w14:paraId="54794045" w14:textId="2707FDF2"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净申购金额</w:t>
      </w:r>
      <w:r>
        <w:rPr>
          <w:rFonts w:hAnsi="宋体"/>
          <w:kern w:val="0"/>
          <w:sz w:val="24"/>
          <w:szCs w:val="24"/>
        </w:rPr>
        <w:t>=</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sidR="003F4C50">
        <w:rPr>
          <w:rFonts w:hAnsi="宋体"/>
          <w:kern w:val="0"/>
          <w:sz w:val="24"/>
          <w:szCs w:val="24"/>
        </w:rPr>
        <w:t>.00</w:t>
      </w:r>
      <w:r>
        <w:rPr>
          <w:rFonts w:hAnsi="宋体"/>
          <w:kern w:val="0"/>
          <w:sz w:val="24"/>
          <w:szCs w:val="24"/>
        </w:rPr>
        <w:t>/</w:t>
      </w:r>
      <w:r>
        <w:rPr>
          <w:rFonts w:hAnsi="宋体"/>
          <w:kern w:val="0"/>
          <w:sz w:val="24"/>
          <w:szCs w:val="24"/>
        </w:rPr>
        <w:t>（</w:t>
      </w:r>
      <w:r>
        <w:rPr>
          <w:rFonts w:hAnsi="宋体"/>
          <w:kern w:val="0"/>
          <w:sz w:val="24"/>
          <w:szCs w:val="24"/>
        </w:rPr>
        <w:t>1+</w:t>
      </w:r>
      <w:r>
        <w:rPr>
          <w:rFonts w:hAnsi="宋体" w:hint="eastAsia"/>
          <w:kern w:val="0"/>
          <w:sz w:val="24"/>
          <w:szCs w:val="24"/>
        </w:rPr>
        <w:t>0.6</w:t>
      </w:r>
      <w:r>
        <w:rPr>
          <w:rFonts w:hAnsi="宋体"/>
          <w:kern w:val="0"/>
          <w:sz w:val="24"/>
          <w:szCs w:val="24"/>
        </w:rPr>
        <w:t>%</w:t>
      </w:r>
      <w:r>
        <w:rPr>
          <w:rFonts w:hAnsi="宋体"/>
          <w:kern w:val="0"/>
          <w:sz w:val="24"/>
          <w:szCs w:val="24"/>
        </w:rPr>
        <w:t>）</w:t>
      </w:r>
      <w:r>
        <w:rPr>
          <w:rFonts w:hAnsi="宋体"/>
          <w:kern w:val="0"/>
          <w:sz w:val="24"/>
          <w:szCs w:val="24"/>
        </w:rPr>
        <w:t>=99</w:t>
      </w:r>
      <w:r>
        <w:rPr>
          <w:rFonts w:hAnsi="宋体" w:hint="eastAsia"/>
          <w:kern w:val="0"/>
          <w:sz w:val="24"/>
          <w:szCs w:val="24"/>
        </w:rPr>
        <w:t>4,035.79</w:t>
      </w:r>
      <w:r>
        <w:rPr>
          <w:rFonts w:hAnsi="宋体"/>
          <w:kern w:val="0"/>
          <w:sz w:val="24"/>
          <w:szCs w:val="24"/>
        </w:rPr>
        <w:t>元</w:t>
      </w:r>
    </w:p>
    <w:p w14:paraId="4AA37AA5"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申购费用</w:t>
      </w:r>
      <w:r>
        <w:rPr>
          <w:rFonts w:hAnsi="宋体"/>
          <w:kern w:val="0"/>
          <w:sz w:val="24"/>
          <w:szCs w:val="24"/>
        </w:rPr>
        <w:t>=</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hint="eastAsia"/>
          <w:kern w:val="0"/>
          <w:sz w:val="24"/>
          <w:szCs w:val="24"/>
        </w:rPr>
        <w:t>994,035.79</w:t>
      </w:r>
      <w:r>
        <w:rPr>
          <w:rFonts w:hAnsi="宋体"/>
          <w:kern w:val="0"/>
          <w:sz w:val="24"/>
          <w:szCs w:val="24"/>
        </w:rPr>
        <w:t>=</w:t>
      </w:r>
      <w:r>
        <w:rPr>
          <w:rFonts w:hAnsi="宋体" w:hint="eastAsia"/>
          <w:kern w:val="0"/>
          <w:sz w:val="24"/>
          <w:szCs w:val="24"/>
        </w:rPr>
        <w:t>5,964.21</w:t>
      </w:r>
      <w:r>
        <w:rPr>
          <w:rFonts w:hAnsi="宋体"/>
          <w:kern w:val="0"/>
          <w:sz w:val="24"/>
          <w:szCs w:val="24"/>
        </w:rPr>
        <w:t>元</w:t>
      </w:r>
    </w:p>
    <w:p w14:paraId="7CA4F523" w14:textId="14BEF4F0"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申购份额</w:t>
      </w:r>
      <w:r>
        <w:rPr>
          <w:rFonts w:hAnsi="宋体"/>
          <w:kern w:val="0"/>
          <w:sz w:val="24"/>
          <w:szCs w:val="24"/>
        </w:rPr>
        <w:t>=</w:t>
      </w:r>
      <w:r w:rsidR="003F4C50" w:rsidRPr="003F4C50">
        <w:rPr>
          <w:rFonts w:hAnsi="宋体"/>
          <w:kern w:val="0"/>
          <w:sz w:val="24"/>
          <w:szCs w:val="24"/>
        </w:rPr>
        <w:t>994,035.79</w:t>
      </w:r>
      <w:r>
        <w:rPr>
          <w:rFonts w:hAnsi="宋体"/>
          <w:kern w:val="0"/>
          <w:sz w:val="24"/>
          <w:szCs w:val="24"/>
        </w:rPr>
        <w:t>/1.040</w:t>
      </w:r>
      <w:r>
        <w:rPr>
          <w:rFonts w:hAnsi="宋体" w:hint="eastAsia"/>
          <w:kern w:val="0"/>
          <w:sz w:val="24"/>
          <w:szCs w:val="24"/>
        </w:rPr>
        <w:t>0</w:t>
      </w:r>
      <w:r>
        <w:rPr>
          <w:rFonts w:hAnsi="宋体"/>
          <w:kern w:val="0"/>
          <w:sz w:val="24"/>
          <w:szCs w:val="24"/>
        </w:rPr>
        <w:t>=95</w:t>
      </w:r>
      <w:r>
        <w:rPr>
          <w:rFonts w:hAnsi="宋体" w:hint="eastAsia"/>
          <w:kern w:val="0"/>
          <w:sz w:val="24"/>
          <w:szCs w:val="24"/>
        </w:rPr>
        <w:t>5</w:t>
      </w:r>
      <w:r>
        <w:rPr>
          <w:rFonts w:hAnsi="宋体"/>
          <w:kern w:val="0"/>
          <w:sz w:val="24"/>
          <w:szCs w:val="24"/>
        </w:rPr>
        <w:t>,</w:t>
      </w:r>
      <w:r>
        <w:rPr>
          <w:rFonts w:hAnsi="宋体" w:hint="eastAsia"/>
          <w:kern w:val="0"/>
          <w:sz w:val="24"/>
          <w:szCs w:val="24"/>
        </w:rPr>
        <w:t>803.64</w:t>
      </w:r>
      <w:r>
        <w:rPr>
          <w:rFonts w:hAnsi="宋体"/>
          <w:kern w:val="0"/>
          <w:sz w:val="24"/>
          <w:szCs w:val="24"/>
        </w:rPr>
        <w:t>份</w:t>
      </w:r>
    </w:p>
    <w:p w14:paraId="5F5D40D1" w14:textId="29A8EC3C"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w:t>
      </w:r>
      <w:r>
        <w:rPr>
          <w:rFonts w:hAnsi="宋体"/>
          <w:kern w:val="0"/>
          <w:sz w:val="24"/>
          <w:szCs w:val="24"/>
        </w:rPr>
        <w:t>,0</w:t>
      </w:r>
      <w:r>
        <w:rPr>
          <w:rFonts w:hAnsi="宋体" w:hint="eastAsia"/>
          <w:kern w:val="0"/>
          <w:sz w:val="24"/>
          <w:szCs w:val="24"/>
        </w:rPr>
        <w:t>00,000</w:t>
      </w:r>
      <w:r w:rsidR="003F4C50">
        <w:rPr>
          <w:rFonts w:hAnsi="宋体"/>
          <w:kern w:val="0"/>
          <w:sz w:val="24"/>
          <w:szCs w:val="24"/>
        </w:rPr>
        <w:t>.00</w:t>
      </w:r>
      <w:r>
        <w:rPr>
          <w:rFonts w:hAnsi="宋体" w:hint="eastAsia"/>
          <w:kern w:val="0"/>
          <w:sz w:val="24"/>
          <w:szCs w:val="24"/>
        </w:rPr>
        <w:t>元通过基金管理人的直销柜台申购本基金，假设申购当日基金份额净值为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955,803.64</w:t>
      </w:r>
      <w:r>
        <w:rPr>
          <w:rFonts w:hAnsi="宋体" w:hint="eastAsia"/>
          <w:kern w:val="0"/>
          <w:sz w:val="24"/>
          <w:szCs w:val="24"/>
        </w:rPr>
        <w:t>份基金份额。</w:t>
      </w:r>
    </w:p>
    <w:p w14:paraId="5BBE4574" w14:textId="77777777" w:rsidR="0004536B" w:rsidRDefault="003574EC" w:rsidP="00210D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14:paraId="725E3BA6" w14:textId="40584AB2" w:rsidR="0004536B" w:rsidRPr="00210D77" w:rsidRDefault="003574EC">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t>如果投资者赎回基金份额，则赎回金额的计算方法如下：</w:t>
      </w:r>
    </w:p>
    <w:p w14:paraId="2423470B" w14:textId="3F347B78" w:rsidR="0004536B" w:rsidRPr="00210D77" w:rsidRDefault="003574EC">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t>赎回费用</w:t>
      </w:r>
      <w:r w:rsidRPr="00210D77">
        <w:rPr>
          <w:rFonts w:hAnsi="宋体" w:hint="eastAsia"/>
          <w:kern w:val="0"/>
          <w:sz w:val="24"/>
          <w:szCs w:val="24"/>
        </w:rPr>
        <w:t>=</w:t>
      </w:r>
      <w:r w:rsidRPr="00210D77">
        <w:rPr>
          <w:rFonts w:hAnsi="宋体" w:hint="eastAsia"/>
          <w:kern w:val="0"/>
          <w:sz w:val="24"/>
          <w:szCs w:val="24"/>
        </w:rPr>
        <w:t>赎回份额×</w:t>
      </w:r>
      <w:r w:rsidRPr="00210D77">
        <w:rPr>
          <w:rFonts w:hAnsi="宋体" w:hint="eastAsia"/>
          <w:kern w:val="0"/>
          <w:sz w:val="24"/>
          <w:szCs w:val="24"/>
        </w:rPr>
        <w:t>T</w:t>
      </w:r>
      <w:r w:rsidRPr="00210D77">
        <w:rPr>
          <w:rFonts w:hAnsi="宋体" w:hint="eastAsia"/>
          <w:kern w:val="0"/>
          <w:sz w:val="24"/>
          <w:szCs w:val="24"/>
        </w:rPr>
        <w:t>日基金份额净值×赎回费率</w:t>
      </w:r>
    </w:p>
    <w:p w14:paraId="78692EA9" w14:textId="2B65B9D8"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日基金份额净值</w:t>
      </w:r>
      <w:r w:rsidRPr="00210D77">
        <w:rPr>
          <w:rFonts w:hAnsi="宋体" w:hint="eastAsia"/>
          <w:kern w:val="0"/>
          <w:sz w:val="24"/>
          <w:szCs w:val="24"/>
        </w:rPr>
        <w:t>—</w:t>
      </w:r>
      <w:r>
        <w:rPr>
          <w:rFonts w:hAnsi="宋体" w:hint="eastAsia"/>
          <w:kern w:val="0"/>
          <w:sz w:val="24"/>
          <w:szCs w:val="24"/>
        </w:rPr>
        <w:t>赎回</w:t>
      </w:r>
      <w:r>
        <w:rPr>
          <w:rFonts w:hAnsi="宋体"/>
          <w:kern w:val="0"/>
          <w:sz w:val="24"/>
          <w:szCs w:val="24"/>
        </w:rPr>
        <w:t>费用</w:t>
      </w:r>
    </w:p>
    <w:p w14:paraId="762FF60A" w14:textId="70C3B487" w:rsidR="0004536B" w:rsidRPr="00210D77" w:rsidRDefault="003574EC">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t>例</w:t>
      </w:r>
      <w:r w:rsidR="0042047E">
        <w:rPr>
          <w:rFonts w:hAnsi="宋体" w:hint="eastAsia"/>
          <w:kern w:val="0"/>
          <w:sz w:val="24"/>
          <w:szCs w:val="24"/>
        </w:rPr>
        <w:t>五</w:t>
      </w:r>
      <w:r w:rsidRPr="00210D77">
        <w:rPr>
          <w:rFonts w:hAnsi="宋体" w:hint="eastAsia"/>
          <w:kern w:val="0"/>
          <w:sz w:val="24"/>
          <w:szCs w:val="24"/>
        </w:rPr>
        <w:t>：某投资者赎回持有的</w:t>
      </w:r>
      <w:r w:rsidRPr="00210D77">
        <w:rPr>
          <w:rFonts w:hAnsi="宋体" w:hint="eastAsia"/>
          <w:kern w:val="0"/>
          <w:sz w:val="24"/>
          <w:szCs w:val="24"/>
        </w:rPr>
        <w:t>10,000</w:t>
      </w:r>
      <w:r w:rsidR="00870C54">
        <w:rPr>
          <w:rFonts w:hAnsi="宋体"/>
          <w:kern w:val="0"/>
          <w:sz w:val="24"/>
          <w:szCs w:val="24"/>
        </w:rPr>
        <w:t>.00</w:t>
      </w:r>
      <w:r w:rsidRPr="00210D77">
        <w:rPr>
          <w:rFonts w:hAnsi="宋体" w:hint="eastAsia"/>
          <w:kern w:val="0"/>
          <w:sz w:val="24"/>
          <w:szCs w:val="24"/>
        </w:rPr>
        <w:t>份基金份额，持有期限为</w:t>
      </w:r>
      <w:r w:rsidR="002757CA">
        <w:rPr>
          <w:rFonts w:hAnsi="宋体"/>
          <w:kern w:val="0"/>
          <w:sz w:val="24"/>
          <w:szCs w:val="24"/>
        </w:rPr>
        <w:t>7</w:t>
      </w:r>
      <w:r w:rsidRPr="00210D77">
        <w:rPr>
          <w:rFonts w:hAnsi="宋体" w:hint="eastAsia"/>
          <w:kern w:val="0"/>
          <w:sz w:val="24"/>
          <w:szCs w:val="24"/>
        </w:rPr>
        <w:t>日，对应的赎回费率为</w:t>
      </w:r>
      <w:r w:rsidRPr="00210D77">
        <w:rPr>
          <w:rFonts w:hAnsi="宋体" w:hint="eastAsia"/>
          <w:kern w:val="0"/>
          <w:sz w:val="24"/>
          <w:szCs w:val="24"/>
        </w:rPr>
        <w:t>0.</w:t>
      </w:r>
      <w:r w:rsidR="002757CA">
        <w:rPr>
          <w:rFonts w:hAnsi="宋体"/>
          <w:kern w:val="0"/>
          <w:sz w:val="24"/>
          <w:szCs w:val="24"/>
        </w:rPr>
        <w:t>7</w:t>
      </w:r>
      <w:r w:rsidRPr="00210D77">
        <w:rPr>
          <w:rFonts w:hAnsi="宋体" w:hint="eastAsia"/>
          <w:kern w:val="0"/>
          <w:sz w:val="24"/>
          <w:szCs w:val="24"/>
        </w:rPr>
        <w:t>5%</w:t>
      </w:r>
      <w:r w:rsidRPr="00210D77">
        <w:rPr>
          <w:rFonts w:hAnsi="宋体" w:hint="eastAsia"/>
          <w:kern w:val="0"/>
          <w:sz w:val="24"/>
          <w:szCs w:val="24"/>
        </w:rPr>
        <w:t>，假设赎回当日基金份额净值是</w:t>
      </w:r>
      <w:r w:rsidRPr="00210D77">
        <w:rPr>
          <w:rFonts w:hAnsi="宋体" w:hint="eastAsia"/>
          <w:kern w:val="0"/>
          <w:sz w:val="24"/>
          <w:szCs w:val="24"/>
        </w:rPr>
        <w:t>1.0160</w:t>
      </w:r>
      <w:r w:rsidRPr="00210D77">
        <w:rPr>
          <w:rFonts w:hAnsi="宋体" w:hint="eastAsia"/>
          <w:kern w:val="0"/>
          <w:sz w:val="24"/>
          <w:szCs w:val="24"/>
        </w:rPr>
        <w:t>元，则其可得到的赎回金额为：</w:t>
      </w:r>
    </w:p>
    <w:p w14:paraId="28FEC629" w14:textId="1EF184DF" w:rsidR="0004536B" w:rsidRPr="00210D77" w:rsidRDefault="003574EC">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t>赎回费用</w:t>
      </w:r>
      <w:r w:rsidRPr="00210D77">
        <w:rPr>
          <w:rFonts w:hAnsi="宋体" w:hint="eastAsia"/>
          <w:kern w:val="0"/>
          <w:sz w:val="24"/>
          <w:szCs w:val="24"/>
        </w:rPr>
        <w:t>=10,000</w:t>
      </w:r>
      <w:r w:rsidR="0026246A">
        <w:rPr>
          <w:rFonts w:hAnsi="宋体"/>
          <w:kern w:val="0"/>
          <w:sz w:val="24"/>
          <w:szCs w:val="24"/>
        </w:rPr>
        <w:t>.00</w:t>
      </w:r>
      <w:r w:rsidRPr="00210D77">
        <w:rPr>
          <w:rFonts w:hAnsi="宋体" w:hint="eastAsia"/>
          <w:kern w:val="0"/>
          <w:sz w:val="24"/>
          <w:szCs w:val="24"/>
        </w:rPr>
        <w:t>×</w:t>
      </w:r>
      <w:r w:rsidRPr="00210D77">
        <w:rPr>
          <w:rFonts w:hAnsi="宋体" w:hint="eastAsia"/>
          <w:kern w:val="0"/>
          <w:sz w:val="24"/>
          <w:szCs w:val="24"/>
        </w:rPr>
        <w:t>1.0160</w:t>
      </w:r>
      <w:r w:rsidRPr="00210D77">
        <w:rPr>
          <w:rFonts w:hAnsi="宋体" w:hint="eastAsia"/>
          <w:kern w:val="0"/>
          <w:sz w:val="24"/>
          <w:szCs w:val="24"/>
        </w:rPr>
        <w:t>×</w:t>
      </w:r>
      <w:r w:rsidRPr="00210D77">
        <w:rPr>
          <w:rFonts w:hAnsi="宋体" w:hint="eastAsia"/>
          <w:kern w:val="0"/>
          <w:sz w:val="24"/>
          <w:szCs w:val="24"/>
        </w:rPr>
        <w:t>0.</w:t>
      </w:r>
      <w:r w:rsidR="002757CA">
        <w:rPr>
          <w:rFonts w:hAnsi="宋体"/>
          <w:kern w:val="0"/>
          <w:sz w:val="24"/>
          <w:szCs w:val="24"/>
        </w:rPr>
        <w:t>7</w:t>
      </w:r>
      <w:r w:rsidRPr="00210D77">
        <w:rPr>
          <w:rFonts w:hAnsi="宋体" w:hint="eastAsia"/>
          <w:kern w:val="0"/>
          <w:sz w:val="24"/>
          <w:szCs w:val="24"/>
        </w:rPr>
        <w:t>5%</w:t>
      </w:r>
      <w:r w:rsidRPr="00210D77">
        <w:rPr>
          <w:rFonts w:hAnsi="宋体" w:hint="eastAsia"/>
          <w:kern w:val="0"/>
          <w:sz w:val="24"/>
          <w:szCs w:val="24"/>
        </w:rPr>
        <w:t>＝</w:t>
      </w:r>
      <w:r w:rsidR="002757CA">
        <w:rPr>
          <w:rFonts w:hAnsi="宋体" w:hint="eastAsia"/>
          <w:kern w:val="0"/>
          <w:sz w:val="24"/>
          <w:szCs w:val="24"/>
        </w:rPr>
        <w:t>7</w:t>
      </w:r>
      <w:r w:rsidR="002757CA">
        <w:rPr>
          <w:rFonts w:hAnsi="宋体"/>
          <w:kern w:val="0"/>
          <w:sz w:val="24"/>
          <w:szCs w:val="24"/>
        </w:rPr>
        <w:t>6.20</w:t>
      </w:r>
      <w:r w:rsidRPr="00210D77">
        <w:rPr>
          <w:rFonts w:hAnsi="宋体" w:hint="eastAsia"/>
          <w:kern w:val="0"/>
          <w:sz w:val="24"/>
          <w:szCs w:val="24"/>
        </w:rPr>
        <w:t>元</w:t>
      </w:r>
    </w:p>
    <w:p w14:paraId="5104D55B" w14:textId="6E4E5EB2" w:rsidR="0004536B" w:rsidRPr="00210D77" w:rsidRDefault="003574EC">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t>赎回金额</w:t>
      </w:r>
      <w:r w:rsidRPr="00210D77">
        <w:rPr>
          <w:rFonts w:hAnsi="宋体" w:hint="eastAsia"/>
          <w:kern w:val="0"/>
          <w:sz w:val="24"/>
          <w:szCs w:val="24"/>
        </w:rPr>
        <w:t>=10,000</w:t>
      </w:r>
      <w:r w:rsidR="0026246A">
        <w:rPr>
          <w:rFonts w:hAnsi="宋体"/>
          <w:kern w:val="0"/>
          <w:sz w:val="24"/>
          <w:szCs w:val="24"/>
        </w:rPr>
        <w:t>.00</w:t>
      </w:r>
      <w:r w:rsidRPr="00210D77">
        <w:rPr>
          <w:rFonts w:hAnsi="宋体" w:hint="eastAsia"/>
          <w:kern w:val="0"/>
          <w:sz w:val="24"/>
          <w:szCs w:val="24"/>
        </w:rPr>
        <w:t>×</w:t>
      </w:r>
      <w:r w:rsidRPr="00210D77">
        <w:rPr>
          <w:rFonts w:hAnsi="宋体" w:hint="eastAsia"/>
          <w:kern w:val="0"/>
          <w:sz w:val="24"/>
          <w:szCs w:val="24"/>
        </w:rPr>
        <w:t>1.0160-</w:t>
      </w:r>
      <w:r w:rsidR="002757CA">
        <w:rPr>
          <w:rFonts w:hAnsi="宋体"/>
          <w:kern w:val="0"/>
          <w:sz w:val="24"/>
          <w:szCs w:val="24"/>
        </w:rPr>
        <w:t>76.20</w:t>
      </w:r>
      <w:r w:rsidRPr="00210D77">
        <w:rPr>
          <w:rFonts w:hAnsi="宋体" w:hint="eastAsia"/>
          <w:kern w:val="0"/>
          <w:sz w:val="24"/>
          <w:szCs w:val="24"/>
        </w:rPr>
        <w:t>＝</w:t>
      </w:r>
      <w:r w:rsidR="002757CA" w:rsidRPr="00210D77">
        <w:rPr>
          <w:rFonts w:hAnsi="宋体" w:hint="eastAsia"/>
          <w:kern w:val="0"/>
          <w:sz w:val="24"/>
          <w:szCs w:val="24"/>
        </w:rPr>
        <w:t>10,</w:t>
      </w:r>
      <w:r w:rsidR="002757CA">
        <w:rPr>
          <w:rFonts w:hAnsi="宋体"/>
          <w:kern w:val="0"/>
          <w:sz w:val="24"/>
          <w:szCs w:val="24"/>
        </w:rPr>
        <w:t>083.8</w:t>
      </w:r>
      <w:r w:rsidR="002757CA" w:rsidRPr="00210D77">
        <w:rPr>
          <w:rFonts w:hAnsi="宋体" w:hint="eastAsia"/>
          <w:kern w:val="0"/>
          <w:sz w:val="24"/>
          <w:szCs w:val="24"/>
        </w:rPr>
        <w:t>0</w:t>
      </w:r>
      <w:r w:rsidRPr="00210D77">
        <w:rPr>
          <w:rFonts w:hAnsi="宋体" w:hint="eastAsia"/>
          <w:kern w:val="0"/>
          <w:sz w:val="24"/>
          <w:szCs w:val="24"/>
        </w:rPr>
        <w:t>元</w:t>
      </w:r>
    </w:p>
    <w:p w14:paraId="4179E252" w14:textId="12389EA8" w:rsidR="0004536B" w:rsidRPr="00210D77" w:rsidRDefault="003574EC">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t>即：该投资者赎回本基金</w:t>
      </w:r>
      <w:r w:rsidRPr="00210D77">
        <w:rPr>
          <w:rFonts w:hAnsi="宋体" w:hint="eastAsia"/>
          <w:kern w:val="0"/>
          <w:sz w:val="24"/>
          <w:szCs w:val="24"/>
        </w:rPr>
        <w:t>10,000</w:t>
      </w:r>
      <w:r w:rsidR="0026246A">
        <w:rPr>
          <w:rFonts w:hAnsi="宋体"/>
          <w:kern w:val="0"/>
          <w:sz w:val="24"/>
          <w:szCs w:val="24"/>
        </w:rPr>
        <w:t>.00</w:t>
      </w:r>
      <w:r w:rsidRPr="00210D77">
        <w:rPr>
          <w:rFonts w:hAnsi="宋体" w:hint="eastAsia"/>
          <w:kern w:val="0"/>
          <w:sz w:val="24"/>
          <w:szCs w:val="24"/>
        </w:rPr>
        <w:t>份基金份额，持有期限为</w:t>
      </w:r>
      <w:r w:rsidR="002757CA">
        <w:rPr>
          <w:rFonts w:hAnsi="宋体"/>
          <w:kern w:val="0"/>
          <w:sz w:val="24"/>
          <w:szCs w:val="24"/>
        </w:rPr>
        <w:t>7</w:t>
      </w:r>
      <w:r w:rsidRPr="00210D77">
        <w:rPr>
          <w:rFonts w:hAnsi="宋体" w:hint="eastAsia"/>
          <w:kern w:val="0"/>
          <w:sz w:val="24"/>
          <w:szCs w:val="24"/>
        </w:rPr>
        <w:t>日，对应的赎回费率为</w:t>
      </w:r>
      <w:r w:rsidRPr="00210D77">
        <w:rPr>
          <w:rFonts w:hAnsi="宋体" w:hint="eastAsia"/>
          <w:kern w:val="0"/>
          <w:sz w:val="24"/>
          <w:szCs w:val="24"/>
        </w:rPr>
        <w:t>0.</w:t>
      </w:r>
      <w:r w:rsidR="002757CA">
        <w:rPr>
          <w:rFonts w:hAnsi="宋体"/>
          <w:kern w:val="0"/>
          <w:sz w:val="24"/>
          <w:szCs w:val="24"/>
        </w:rPr>
        <w:t>7</w:t>
      </w:r>
      <w:r w:rsidRPr="00210D77">
        <w:rPr>
          <w:rFonts w:hAnsi="宋体" w:hint="eastAsia"/>
          <w:kern w:val="0"/>
          <w:sz w:val="24"/>
          <w:szCs w:val="24"/>
        </w:rPr>
        <w:t>5%</w:t>
      </w:r>
      <w:r w:rsidRPr="00210D77">
        <w:rPr>
          <w:rFonts w:hAnsi="宋体" w:hint="eastAsia"/>
          <w:kern w:val="0"/>
          <w:sz w:val="24"/>
          <w:szCs w:val="24"/>
        </w:rPr>
        <w:t>，假设赎回当日基金份额净值是</w:t>
      </w:r>
      <w:r w:rsidRPr="00210D77">
        <w:rPr>
          <w:rFonts w:hAnsi="宋体" w:hint="eastAsia"/>
          <w:kern w:val="0"/>
          <w:sz w:val="24"/>
          <w:szCs w:val="24"/>
        </w:rPr>
        <w:t>1.0160</w:t>
      </w:r>
      <w:r w:rsidRPr="00210D77">
        <w:rPr>
          <w:rFonts w:hAnsi="宋体" w:hint="eastAsia"/>
          <w:kern w:val="0"/>
          <w:sz w:val="24"/>
          <w:szCs w:val="24"/>
        </w:rPr>
        <w:t>元，则其可得到的赎回金额为</w:t>
      </w:r>
      <w:r w:rsidR="002757CA" w:rsidRPr="00210D77">
        <w:rPr>
          <w:rFonts w:hAnsi="宋体" w:hint="eastAsia"/>
          <w:kern w:val="0"/>
          <w:sz w:val="24"/>
          <w:szCs w:val="24"/>
        </w:rPr>
        <w:t>10,</w:t>
      </w:r>
      <w:r w:rsidR="002757CA">
        <w:rPr>
          <w:rFonts w:hAnsi="宋体"/>
          <w:kern w:val="0"/>
          <w:sz w:val="24"/>
          <w:szCs w:val="24"/>
        </w:rPr>
        <w:t>083.8</w:t>
      </w:r>
      <w:r w:rsidR="002757CA" w:rsidRPr="00210D77">
        <w:rPr>
          <w:rFonts w:hAnsi="宋体" w:hint="eastAsia"/>
          <w:kern w:val="0"/>
          <w:sz w:val="24"/>
          <w:szCs w:val="24"/>
        </w:rPr>
        <w:t>0</w:t>
      </w:r>
      <w:r w:rsidRPr="00210D77">
        <w:rPr>
          <w:rFonts w:hAnsi="宋体" w:hint="eastAsia"/>
          <w:kern w:val="0"/>
          <w:sz w:val="24"/>
          <w:szCs w:val="24"/>
        </w:rPr>
        <w:t>元。</w:t>
      </w:r>
    </w:p>
    <w:p w14:paraId="716A7508"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sidRPr="00210D77">
        <w:rPr>
          <w:rFonts w:hAnsi="宋体"/>
          <w:kern w:val="0"/>
          <w:sz w:val="24"/>
          <w:szCs w:val="24"/>
        </w:rPr>
        <w:t>4</w:t>
      </w:r>
      <w:r>
        <w:rPr>
          <w:rFonts w:hAnsi="宋体"/>
          <w:kern w:val="0"/>
          <w:sz w:val="24"/>
          <w:szCs w:val="24"/>
        </w:rPr>
        <w:t>、基金份额净值的计算公式</w:t>
      </w:r>
    </w:p>
    <w:p w14:paraId="1C189BD6" w14:textId="5B82C304"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基金份额净值＝基金份额的基金资产净值总额</w:t>
      </w:r>
      <w:r>
        <w:rPr>
          <w:rFonts w:hAnsi="宋体" w:hint="eastAsia"/>
          <w:kern w:val="0"/>
          <w:sz w:val="24"/>
          <w:szCs w:val="24"/>
        </w:rPr>
        <w:t>/</w:t>
      </w:r>
      <w:r>
        <w:rPr>
          <w:rFonts w:hAnsi="宋体" w:hint="eastAsia"/>
          <w:kern w:val="0"/>
          <w:sz w:val="24"/>
          <w:szCs w:val="24"/>
        </w:rPr>
        <w:t>发行在外的基金份额总数</w:t>
      </w:r>
    </w:p>
    <w:p w14:paraId="7DFB7E27" w14:textId="0B876005"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w:t>
      </w:r>
      <w:r w:rsidR="00D2263A">
        <w:rPr>
          <w:rFonts w:hAnsi="宋体" w:hint="eastAsia"/>
          <w:kern w:val="0"/>
          <w:sz w:val="24"/>
          <w:szCs w:val="24"/>
        </w:rPr>
        <w:t>按基金合同的约定</w:t>
      </w:r>
      <w:r>
        <w:rPr>
          <w:rFonts w:hAnsi="宋体"/>
          <w:kern w:val="0"/>
          <w:sz w:val="24"/>
          <w:szCs w:val="24"/>
        </w:rPr>
        <w:t>公告。遇特殊情况，经</w:t>
      </w:r>
      <w:r>
        <w:rPr>
          <w:rFonts w:hAnsi="宋体" w:hint="eastAsia"/>
          <w:kern w:val="0"/>
          <w:sz w:val="24"/>
          <w:szCs w:val="24"/>
        </w:rPr>
        <w:t>履行适当程序</w:t>
      </w:r>
      <w:r>
        <w:rPr>
          <w:rFonts w:hAnsi="宋体"/>
          <w:kern w:val="0"/>
          <w:sz w:val="24"/>
          <w:szCs w:val="24"/>
        </w:rPr>
        <w:t>，可以适当延迟计算或公告。</w:t>
      </w:r>
      <w:r>
        <w:rPr>
          <w:rFonts w:hAnsi="宋体"/>
          <w:sz w:val="24"/>
          <w:szCs w:val="24"/>
        </w:rPr>
        <w:t>本基金</w:t>
      </w:r>
      <w:r>
        <w:rPr>
          <w:rFonts w:hAnsi="宋体" w:hint="eastAsia"/>
          <w:sz w:val="24"/>
          <w:szCs w:val="24"/>
        </w:rPr>
        <w:t>的</w:t>
      </w:r>
      <w:r w:rsidR="00763422">
        <w:rPr>
          <w:rFonts w:hAnsi="宋体" w:hint="eastAsia"/>
          <w:sz w:val="24"/>
          <w:szCs w:val="24"/>
        </w:rPr>
        <w:t>基金</w:t>
      </w:r>
      <w:r>
        <w:rPr>
          <w:rFonts w:hAnsi="宋体"/>
          <w:sz w:val="24"/>
          <w:szCs w:val="24"/>
        </w:rPr>
        <w:t>份额净值的计算，</w:t>
      </w:r>
      <w:r>
        <w:rPr>
          <w:rFonts w:hAnsi="宋体" w:hint="eastAsia"/>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14:paraId="3423887E"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36" w:name="_Toc79392615"/>
      <w:r w:rsidRPr="00E917F4">
        <w:rPr>
          <w:rFonts w:hAnsi="宋体"/>
          <w:b/>
          <w:sz w:val="24"/>
        </w:rPr>
        <w:t>（八）拒绝或暂停申购的情形</w:t>
      </w:r>
      <w:bookmarkEnd w:id="36"/>
    </w:p>
    <w:p w14:paraId="52381A05" w14:textId="77777777" w:rsidR="0004536B" w:rsidRDefault="00E917F4">
      <w:pPr>
        <w:widowControl/>
        <w:adjustRightInd w:val="0"/>
        <w:snapToGrid w:val="0"/>
        <w:spacing w:line="360" w:lineRule="auto"/>
        <w:ind w:firstLineChars="200" w:firstLine="480"/>
        <w:rPr>
          <w:rFonts w:hAnsi="宋体"/>
          <w:kern w:val="0"/>
          <w:sz w:val="24"/>
          <w:szCs w:val="24"/>
        </w:rPr>
      </w:pPr>
      <w:bookmarkStart w:id="37" w:name="_Hlt70481650"/>
      <w:bookmarkEnd w:id="37"/>
      <w:r>
        <w:rPr>
          <w:rFonts w:hint="eastAsia"/>
          <w:bCs/>
          <w:sz w:val="24"/>
        </w:rPr>
        <w:lastRenderedPageBreak/>
        <w:t>在开放期内</w:t>
      </w:r>
      <w:r w:rsidR="003574EC">
        <w:rPr>
          <w:rFonts w:hAnsi="宋体" w:hint="eastAsia"/>
          <w:kern w:val="0"/>
          <w:sz w:val="24"/>
          <w:szCs w:val="24"/>
        </w:rPr>
        <w:t>发生下列情况时，基金管理人可拒绝或暂停接受投资人的申购申请：</w:t>
      </w:r>
    </w:p>
    <w:p w14:paraId="4D4B204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、因不可抗力导致基金无法正常运作。</w:t>
      </w:r>
    </w:p>
    <w:p w14:paraId="56217A2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、发生基金合同规定的暂停基金资产估值情况时，基金管理人可暂停接受投资人的申购申请。</w:t>
      </w:r>
    </w:p>
    <w:p w14:paraId="5D577BB6"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、证券、期货交易所交易时间非正常停市或港股通临时停市，导致基金管理人无法计算当日基金资产净值。</w:t>
      </w:r>
    </w:p>
    <w:p w14:paraId="0031DDA5"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、接受某笔或某些申购申请可能会影响或损害现有基金份额持有人利益时。</w:t>
      </w:r>
    </w:p>
    <w:p w14:paraId="1410C555"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626EFECF"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5732247E"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、港股通交易每日额度不足。</w:t>
      </w:r>
    </w:p>
    <w:p w14:paraId="39AEEB4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Pr>
          <w:rFonts w:hAnsi="宋体" w:hint="eastAsia"/>
          <w:kern w:val="0"/>
          <w:sz w:val="24"/>
          <w:szCs w:val="24"/>
        </w:rPr>
        <w:t>、基金管理人接受某笔或者某些申购申请有可能导致单一投资者持有基金份额的比例超过</w:t>
      </w:r>
      <w:r>
        <w:rPr>
          <w:rFonts w:hAnsi="宋体" w:hint="eastAsia"/>
          <w:kern w:val="0"/>
          <w:sz w:val="24"/>
          <w:szCs w:val="24"/>
        </w:rPr>
        <w:t>50%</w:t>
      </w:r>
      <w:r>
        <w:rPr>
          <w:rFonts w:hAnsi="宋体" w:hint="eastAsia"/>
          <w:kern w:val="0"/>
          <w:sz w:val="24"/>
          <w:szCs w:val="24"/>
        </w:rPr>
        <w:t>，或者变相规避</w:t>
      </w:r>
      <w:r>
        <w:rPr>
          <w:rFonts w:hAnsi="宋体" w:hint="eastAsia"/>
          <w:kern w:val="0"/>
          <w:sz w:val="24"/>
          <w:szCs w:val="24"/>
        </w:rPr>
        <w:t>50%</w:t>
      </w:r>
      <w:r>
        <w:rPr>
          <w:rFonts w:hAnsi="宋体" w:hint="eastAsia"/>
          <w:kern w:val="0"/>
          <w:sz w:val="24"/>
          <w:szCs w:val="24"/>
        </w:rPr>
        <w:t>集中度的。出现上述情形时，基金管理人有权将上述申购申请全部或部分确认失败。</w:t>
      </w:r>
    </w:p>
    <w:p w14:paraId="06843BFD"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、法律法规规定、中国证监会认定或基金合同约定的其他情形。</w:t>
      </w:r>
    </w:p>
    <w:p w14:paraId="19FE19CD" w14:textId="77777777" w:rsidR="0004536B" w:rsidRDefault="003574EC">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w:t>
      </w:r>
      <w:r>
        <w:rPr>
          <w:bCs/>
          <w:sz w:val="24"/>
        </w:rPr>
        <w:t>9</w:t>
      </w:r>
      <w:r>
        <w:rPr>
          <w:rFonts w:hAnsi="宋体" w:hint="eastAsia"/>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r w:rsidR="00E917F4">
        <w:rPr>
          <w:rFonts w:hint="eastAsia"/>
          <w:bCs/>
          <w:sz w:val="24"/>
        </w:rPr>
        <w:t>，且开放期按暂停申购的期间相应顺延</w:t>
      </w:r>
      <w:r>
        <w:rPr>
          <w:rFonts w:hAnsi="宋体" w:hint="eastAsia"/>
          <w:kern w:val="0"/>
          <w:sz w:val="24"/>
          <w:szCs w:val="24"/>
        </w:rPr>
        <w:t>。</w:t>
      </w:r>
    </w:p>
    <w:p w14:paraId="44308C7D"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（九）暂停赎回或延缓支付赎回款项的情形</w:t>
      </w:r>
    </w:p>
    <w:p w14:paraId="158A6809" w14:textId="77777777" w:rsidR="0004536B" w:rsidRDefault="00E917F4">
      <w:pPr>
        <w:widowControl/>
        <w:adjustRightInd w:val="0"/>
        <w:snapToGrid w:val="0"/>
        <w:spacing w:line="360" w:lineRule="auto"/>
        <w:ind w:firstLineChars="200" w:firstLine="480"/>
        <w:rPr>
          <w:rFonts w:hAnsi="宋体"/>
          <w:kern w:val="0"/>
          <w:sz w:val="24"/>
          <w:szCs w:val="24"/>
        </w:rPr>
      </w:pPr>
      <w:bookmarkStart w:id="38" w:name="_Toc79392616"/>
      <w:r>
        <w:rPr>
          <w:rFonts w:hint="eastAsia"/>
          <w:bCs/>
          <w:sz w:val="24"/>
        </w:rPr>
        <w:t>在开放期内</w:t>
      </w:r>
      <w:r w:rsidR="003574EC">
        <w:rPr>
          <w:rFonts w:hAnsi="宋体" w:hint="eastAsia"/>
          <w:kern w:val="0"/>
          <w:sz w:val="24"/>
          <w:szCs w:val="24"/>
        </w:rPr>
        <w:t>发生下列情形时，基金管理人可暂停接受投资人的赎回申请或延缓支付赎回款项：</w:t>
      </w:r>
    </w:p>
    <w:p w14:paraId="79C5E5D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14:paraId="380ED79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14:paraId="2C70E910"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3</w:t>
      </w:r>
      <w:r>
        <w:rPr>
          <w:rFonts w:hAnsi="宋体" w:hint="eastAsia"/>
          <w:kern w:val="0"/>
          <w:sz w:val="24"/>
          <w:szCs w:val="24"/>
        </w:rPr>
        <w:t>、证券、期货交易所交易时间非正常停市或港股通临时停市，导致基金管理人无法计算当日基金资产净值。</w:t>
      </w:r>
    </w:p>
    <w:p w14:paraId="469C7B8B" w14:textId="5163738F" w:rsidR="0004536B" w:rsidRDefault="003574EC" w:rsidP="00E917F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、发生继续接受赎回申请将损害现有基金份额持有人利益的情形时，基金管理人可暂停接受基金份额持有人的赎回申请。</w:t>
      </w:r>
    </w:p>
    <w:p w14:paraId="7C3C64E7" w14:textId="6F552424" w:rsidR="0004536B" w:rsidRDefault="00E917F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3574EC">
        <w:rPr>
          <w:rFonts w:hAnsi="宋体" w:hint="eastAsia"/>
          <w:kern w:val="0"/>
          <w:sz w:val="24"/>
          <w:szCs w:val="24"/>
        </w:rPr>
        <w:t>、当前一估值日基金资产净值</w:t>
      </w:r>
      <w:r w:rsidR="003574EC">
        <w:rPr>
          <w:rFonts w:hAnsi="宋体" w:hint="eastAsia"/>
          <w:kern w:val="0"/>
          <w:sz w:val="24"/>
          <w:szCs w:val="24"/>
        </w:rPr>
        <w:t>50%</w:t>
      </w:r>
      <w:r w:rsidR="003574EC">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33F7E7DB" w14:textId="30586833" w:rsidR="0004536B" w:rsidRDefault="00E917F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3574EC">
        <w:rPr>
          <w:rFonts w:hAnsi="宋体" w:hint="eastAsia"/>
          <w:kern w:val="0"/>
          <w:sz w:val="24"/>
          <w:szCs w:val="24"/>
        </w:rPr>
        <w:t>、法律法规规定、中国证监会认定或基金合同约定的其他情形。</w:t>
      </w:r>
    </w:p>
    <w:p w14:paraId="488692CD" w14:textId="5A67CA8D" w:rsidR="0004536B" w:rsidRDefault="003574EC">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发生上述情形之一且基金管理人决定暂停接受基金份额持有人的赎回申请或延缓支付赎回款项时，基金管理人应</w:t>
      </w:r>
      <w:r>
        <w:rPr>
          <w:rFonts w:hint="eastAsia"/>
          <w:bCs/>
          <w:sz w:val="24"/>
        </w:rPr>
        <w:t>及时</w:t>
      </w:r>
      <w:r>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w:t>
      </w:r>
      <w:r w:rsidR="00E917F4">
        <w:rPr>
          <w:rFonts w:hAnsi="宋体" w:hint="eastAsia"/>
          <w:kern w:val="0"/>
          <w:sz w:val="24"/>
          <w:szCs w:val="24"/>
        </w:rPr>
        <w:t>延缓</w:t>
      </w:r>
      <w:r>
        <w:rPr>
          <w:rFonts w:hAnsi="宋体" w:hint="eastAsia"/>
          <w:kern w:val="0"/>
          <w:sz w:val="24"/>
          <w:szCs w:val="24"/>
        </w:rPr>
        <w:t>支付。基金份额持有人在申请赎回时可事先选择将当日可能未获受理部分予以撤销。在暂停赎回的情况消除时，基金管理人应及时恢复赎回业务的办理并公告</w:t>
      </w:r>
      <w:r w:rsidR="00E917F4">
        <w:rPr>
          <w:rFonts w:hint="eastAsia"/>
          <w:bCs/>
          <w:sz w:val="24"/>
        </w:rPr>
        <w:t>，且开放期按暂停赎回的期间相应顺延</w:t>
      </w:r>
      <w:r>
        <w:rPr>
          <w:rFonts w:hAnsi="宋体" w:hint="eastAsia"/>
          <w:kern w:val="0"/>
          <w:sz w:val="24"/>
          <w:szCs w:val="24"/>
        </w:rPr>
        <w:t>。</w:t>
      </w:r>
    </w:p>
    <w:p w14:paraId="6DBA9EE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（十）巨额赎回的情形及处理方式</w:t>
      </w:r>
      <w:bookmarkEnd w:id="38"/>
    </w:p>
    <w:p w14:paraId="2B701636" w14:textId="77777777" w:rsidR="0004536B" w:rsidRDefault="003574EC" w:rsidP="00210D77">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巨额赎回的认定</w:t>
      </w:r>
    </w:p>
    <w:p w14:paraId="0610D1F0" w14:textId="53547FF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w:t>
      </w:r>
      <w:r w:rsidR="00E917F4">
        <w:rPr>
          <w:rFonts w:hint="eastAsia"/>
          <w:bCs/>
          <w:sz w:val="24"/>
        </w:rPr>
        <w:t>开放期内</w:t>
      </w:r>
      <w:r>
        <w:rPr>
          <w:rFonts w:hAnsi="宋体" w:hint="eastAsia"/>
          <w:kern w:val="0"/>
          <w:sz w:val="24"/>
          <w:szCs w:val="24"/>
        </w:rPr>
        <w:t>单个开放日内的基金份额净赎回申请（赎回申请份额总数加上基金转换中转出申请份额总数后扣除申购申请份额总数及基金转换中转入申请份额总数后的余额）超过前一</w:t>
      </w:r>
      <w:r w:rsidR="00E917F4">
        <w:rPr>
          <w:rFonts w:hAnsi="宋体" w:hint="eastAsia"/>
          <w:kern w:val="0"/>
          <w:sz w:val="24"/>
          <w:szCs w:val="24"/>
        </w:rPr>
        <w:t>工作</w:t>
      </w:r>
      <w:r>
        <w:rPr>
          <w:rFonts w:hAnsi="宋体" w:hint="eastAsia"/>
          <w:kern w:val="0"/>
          <w:sz w:val="24"/>
          <w:szCs w:val="24"/>
        </w:rPr>
        <w:t>日的基金总份额的</w:t>
      </w:r>
      <w:r w:rsidR="00E917F4">
        <w:rPr>
          <w:rFonts w:hAnsi="宋体" w:hint="eastAsia"/>
          <w:kern w:val="0"/>
          <w:sz w:val="24"/>
          <w:szCs w:val="24"/>
        </w:rPr>
        <w:t>2</w:t>
      </w:r>
      <w:r>
        <w:rPr>
          <w:rFonts w:hAnsi="宋体" w:hint="eastAsia"/>
          <w:kern w:val="0"/>
          <w:sz w:val="24"/>
          <w:szCs w:val="24"/>
        </w:rPr>
        <w:t>0%</w:t>
      </w:r>
      <w:r>
        <w:rPr>
          <w:rFonts w:hAnsi="宋体" w:hint="eastAsia"/>
          <w:kern w:val="0"/>
          <w:sz w:val="24"/>
          <w:szCs w:val="24"/>
        </w:rPr>
        <w:t>，即认为是发生了巨额赎回。</w:t>
      </w:r>
    </w:p>
    <w:p w14:paraId="4E52A021" w14:textId="77777777" w:rsidR="0004536B" w:rsidRDefault="003574EC" w:rsidP="00210D77">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巨额赎回的处理方式</w:t>
      </w:r>
    </w:p>
    <w:p w14:paraId="52D5F7D1" w14:textId="6BBE15FF"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w:t>
      </w:r>
      <w:r w:rsidR="00E917F4">
        <w:rPr>
          <w:rFonts w:hint="eastAsia"/>
          <w:bCs/>
          <w:sz w:val="24"/>
        </w:rPr>
        <w:t>延缓支付赎回款项</w:t>
      </w:r>
      <w:r>
        <w:rPr>
          <w:rFonts w:hAnsi="宋体" w:hint="eastAsia"/>
          <w:kern w:val="0"/>
          <w:sz w:val="24"/>
          <w:szCs w:val="24"/>
        </w:rPr>
        <w:t>。</w:t>
      </w:r>
    </w:p>
    <w:p w14:paraId="7590E0FE"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521468D5" w14:textId="637B4966" w:rsidR="00E917F4" w:rsidRPr="00E917F4" w:rsidRDefault="00E917F4" w:rsidP="00E917F4">
      <w:pPr>
        <w:widowControl/>
        <w:adjustRightInd w:val="0"/>
        <w:snapToGrid w:val="0"/>
        <w:spacing w:line="360" w:lineRule="auto"/>
        <w:ind w:firstLineChars="200" w:firstLine="480"/>
        <w:rPr>
          <w:rFonts w:hAnsi="宋体"/>
          <w:kern w:val="0"/>
          <w:sz w:val="24"/>
          <w:szCs w:val="24"/>
        </w:rPr>
      </w:pPr>
      <w:r w:rsidRPr="00E917F4">
        <w:rPr>
          <w:rFonts w:hAnsi="宋体" w:hint="eastAsia"/>
          <w:kern w:val="0"/>
          <w:sz w:val="24"/>
          <w:szCs w:val="24"/>
        </w:rPr>
        <w:t>（</w:t>
      </w:r>
      <w:r w:rsidRPr="00E917F4">
        <w:rPr>
          <w:rFonts w:hAnsi="宋体" w:hint="eastAsia"/>
          <w:kern w:val="0"/>
          <w:sz w:val="24"/>
          <w:szCs w:val="24"/>
        </w:rPr>
        <w:t>2</w:t>
      </w:r>
      <w:r w:rsidRPr="00E917F4">
        <w:rPr>
          <w:rFonts w:hAnsi="宋体" w:hint="eastAsia"/>
          <w:kern w:val="0"/>
          <w:sz w:val="24"/>
          <w:szCs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w:t>
      </w:r>
      <w:r w:rsidRPr="00E917F4">
        <w:rPr>
          <w:rFonts w:hAnsi="宋体" w:hint="eastAsia"/>
          <w:kern w:val="0"/>
          <w:sz w:val="24"/>
          <w:szCs w:val="24"/>
        </w:rPr>
        <w:lastRenderedPageBreak/>
        <w:t>按比例办理的赎回份额不得低于前一工作日基金总份额的</w:t>
      </w:r>
      <w:r w:rsidRPr="00E917F4">
        <w:rPr>
          <w:rFonts w:hAnsi="宋体" w:hint="eastAsia"/>
          <w:kern w:val="0"/>
          <w:sz w:val="24"/>
          <w:szCs w:val="24"/>
        </w:rPr>
        <w:t>20%</w:t>
      </w:r>
      <w:r w:rsidRPr="00E917F4">
        <w:rPr>
          <w:rFonts w:hAnsi="宋体" w:hint="eastAsia"/>
          <w:kern w:val="0"/>
          <w:sz w:val="24"/>
          <w:szCs w:val="24"/>
        </w:rPr>
        <w:t>，其余赎回申请可以延缓支付赎回款项，但延缓支付的期限不得超过</w:t>
      </w:r>
      <w:r w:rsidRPr="00E917F4">
        <w:rPr>
          <w:rFonts w:hAnsi="宋体" w:hint="eastAsia"/>
          <w:kern w:val="0"/>
          <w:sz w:val="24"/>
          <w:szCs w:val="24"/>
        </w:rPr>
        <w:t>20</w:t>
      </w:r>
      <w:r w:rsidRPr="00E917F4">
        <w:rPr>
          <w:rFonts w:hAnsi="宋体" w:hint="eastAsia"/>
          <w:kern w:val="0"/>
          <w:sz w:val="24"/>
          <w:szCs w:val="24"/>
        </w:rPr>
        <w:t>个工作日，并在规定媒介上予以公告。延缓支付的赎回申请以赎回申请确认当日的基金份额净值为基础计算赎回金额。</w:t>
      </w:r>
    </w:p>
    <w:p w14:paraId="74069741" w14:textId="77777777" w:rsidR="00E917F4" w:rsidRDefault="00E917F4">
      <w:pPr>
        <w:widowControl/>
        <w:adjustRightInd w:val="0"/>
        <w:snapToGrid w:val="0"/>
        <w:spacing w:line="360" w:lineRule="auto"/>
        <w:ind w:firstLineChars="200" w:firstLine="480"/>
        <w:rPr>
          <w:rFonts w:hAnsi="宋体"/>
          <w:kern w:val="0"/>
          <w:sz w:val="24"/>
          <w:szCs w:val="24"/>
        </w:rPr>
      </w:pPr>
      <w:r w:rsidRPr="00E917F4">
        <w:rPr>
          <w:rFonts w:hAnsi="宋体" w:hint="eastAsia"/>
          <w:kern w:val="0"/>
          <w:sz w:val="24"/>
          <w:szCs w:val="24"/>
        </w:rPr>
        <w:t>（</w:t>
      </w:r>
      <w:r w:rsidRPr="00E917F4">
        <w:rPr>
          <w:rFonts w:hAnsi="宋体" w:hint="eastAsia"/>
          <w:kern w:val="0"/>
          <w:sz w:val="24"/>
          <w:szCs w:val="24"/>
        </w:rPr>
        <w:t>3</w:t>
      </w:r>
      <w:r w:rsidRPr="00E917F4">
        <w:rPr>
          <w:rFonts w:hAnsi="宋体" w:hint="eastAsia"/>
          <w:kern w:val="0"/>
          <w:sz w:val="24"/>
          <w:szCs w:val="24"/>
        </w:rPr>
        <w:t>）延期办理赎回申请：本基金如发生巨额赎回且单个开放日内单个基金份额持有人申请赎回的基金份额超过前一工作日的基金总份额的</w:t>
      </w:r>
      <w:r w:rsidRPr="00E917F4">
        <w:rPr>
          <w:rFonts w:hAnsi="宋体" w:hint="eastAsia"/>
          <w:kern w:val="0"/>
          <w:sz w:val="24"/>
          <w:szCs w:val="24"/>
        </w:rPr>
        <w:t>20%</w:t>
      </w:r>
      <w:r w:rsidRPr="00E917F4">
        <w:rPr>
          <w:rFonts w:hAnsi="宋体" w:hint="eastAsia"/>
          <w:kern w:val="0"/>
          <w:sz w:val="24"/>
          <w:szCs w:val="24"/>
        </w:rPr>
        <w:t>时，本基金管理人有权采取如下措施：</w:t>
      </w:r>
    </w:p>
    <w:p w14:paraId="77BBB8DD" w14:textId="0BBBC6FE"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7AFDD02" w14:textId="77777777" w:rsidR="00E917F4" w:rsidRPr="00E917F4" w:rsidRDefault="00E917F4" w:rsidP="00E917F4">
      <w:pPr>
        <w:widowControl/>
        <w:adjustRightInd w:val="0"/>
        <w:snapToGrid w:val="0"/>
        <w:spacing w:line="360" w:lineRule="auto"/>
        <w:ind w:firstLineChars="200" w:firstLine="480"/>
        <w:rPr>
          <w:rFonts w:hAnsi="宋体"/>
          <w:kern w:val="0"/>
          <w:sz w:val="24"/>
          <w:szCs w:val="24"/>
        </w:rPr>
      </w:pPr>
      <w:r w:rsidRPr="00E917F4">
        <w:rPr>
          <w:rFonts w:hAnsi="宋体" w:hint="eastAsia"/>
          <w:kern w:val="0"/>
          <w:sz w:val="24"/>
          <w:szCs w:val="24"/>
        </w:rPr>
        <w:t>对于基金份额持有人未超过上述比例的部分，基金管理人可以根据前述“（</w:t>
      </w:r>
      <w:r w:rsidRPr="00E917F4">
        <w:rPr>
          <w:rFonts w:hAnsi="宋体" w:hint="eastAsia"/>
          <w:kern w:val="0"/>
          <w:sz w:val="24"/>
          <w:szCs w:val="24"/>
        </w:rPr>
        <w:t>1</w:t>
      </w:r>
      <w:r w:rsidRPr="00E917F4">
        <w:rPr>
          <w:rFonts w:hAnsi="宋体" w:hint="eastAsia"/>
          <w:kern w:val="0"/>
          <w:sz w:val="24"/>
          <w:szCs w:val="24"/>
        </w:rPr>
        <w:t>）全额赎回”或“（</w:t>
      </w:r>
      <w:r w:rsidRPr="00E917F4">
        <w:rPr>
          <w:rFonts w:hAnsi="宋体" w:hint="eastAsia"/>
          <w:kern w:val="0"/>
          <w:sz w:val="24"/>
          <w:szCs w:val="24"/>
        </w:rPr>
        <w:t>2</w:t>
      </w:r>
      <w:r w:rsidRPr="00E917F4">
        <w:rPr>
          <w:rFonts w:hAnsi="宋体" w:hint="eastAsia"/>
          <w:kern w:val="0"/>
          <w:sz w:val="24"/>
          <w:szCs w:val="24"/>
        </w:rPr>
        <w:t>）延缓支付赎回款项”的约定方式与其他基金份额持有人的赎回申请一并办理。</w:t>
      </w:r>
    </w:p>
    <w:p w14:paraId="1AB89B24" w14:textId="71C9F494" w:rsidR="0004536B" w:rsidRDefault="00E917F4">
      <w:pPr>
        <w:widowControl/>
        <w:adjustRightInd w:val="0"/>
        <w:snapToGrid w:val="0"/>
        <w:spacing w:line="360" w:lineRule="auto"/>
        <w:ind w:firstLineChars="200" w:firstLine="480"/>
        <w:rPr>
          <w:rFonts w:hAnsi="宋体"/>
          <w:kern w:val="0"/>
          <w:sz w:val="24"/>
          <w:szCs w:val="24"/>
        </w:rPr>
      </w:pPr>
      <w:r w:rsidRPr="00E917F4">
        <w:rPr>
          <w:rFonts w:hAnsi="宋体" w:hint="eastAsia"/>
          <w:kern w:val="0"/>
          <w:sz w:val="24"/>
          <w:szCs w:val="24"/>
        </w:rPr>
        <w:t>如延期办理期限超过开放期的，开放期相应延长，延长的开放期内不办理申购，亦不接受新的赎回申请，即基金管理人仅为原开放期内因提交赎回申请超过基金总份额</w:t>
      </w:r>
      <w:r w:rsidRPr="00E917F4">
        <w:rPr>
          <w:rFonts w:hAnsi="宋体" w:hint="eastAsia"/>
          <w:kern w:val="0"/>
          <w:sz w:val="24"/>
          <w:szCs w:val="24"/>
        </w:rPr>
        <w:t>20%</w:t>
      </w:r>
      <w:r w:rsidRPr="00E917F4">
        <w:rPr>
          <w:rFonts w:hAnsi="宋体" w:hint="eastAsia"/>
          <w:kern w:val="0"/>
          <w:sz w:val="24"/>
          <w:szCs w:val="24"/>
        </w:rPr>
        <w:t>以上而被延期办理赎回的单个基金份额持有人办理赎回业务。</w:t>
      </w:r>
    </w:p>
    <w:p w14:paraId="372478DD"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巨额赎回的公告</w:t>
      </w:r>
    </w:p>
    <w:p w14:paraId="0D3D8663" w14:textId="6BB8B62B"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当发生上述</w:t>
      </w:r>
      <w:r>
        <w:rPr>
          <w:rFonts w:hAnsi="宋体" w:hint="eastAsia"/>
          <w:bCs/>
          <w:kern w:val="0"/>
          <w:sz w:val="24"/>
          <w:szCs w:val="24"/>
        </w:rPr>
        <w:t>巨额</w:t>
      </w:r>
      <w:r>
        <w:rPr>
          <w:rFonts w:hAnsi="宋体"/>
          <w:kern w:val="0"/>
          <w:sz w:val="24"/>
          <w:szCs w:val="24"/>
        </w:rPr>
        <w:t>赎回并</w:t>
      </w:r>
      <w:r w:rsidR="00E917F4">
        <w:rPr>
          <w:bCs/>
          <w:sz w:val="24"/>
        </w:rPr>
        <w:t>延</w:t>
      </w:r>
      <w:r w:rsidR="00E917F4">
        <w:rPr>
          <w:rFonts w:hint="eastAsia"/>
          <w:bCs/>
          <w:sz w:val="24"/>
        </w:rPr>
        <w:t>缓支付赎回款项</w:t>
      </w:r>
      <w:r>
        <w:rPr>
          <w:rFonts w:hAnsi="宋体"/>
          <w:kern w:val="0"/>
          <w:sz w:val="24"/>
          <w:szCs w:val="24"/>
        </w:rPr>
        <w:t>时，基金管理人应当通过邮寄、传真</w:t>
      </w:r>
      <w:r>
        <w:rPr>
          <w:rFonts w:hAnsi="宋体" w:hint="eastAsia"/>
          <w:kern w:val="0"/>
          <w:sz w:val="24"/>
          <w:szCs w:val="24"/>
        </w:rPr>
        <w:t>、刊登公告或者通知销售机构代为告知等</w:t>
      </w:r>
      <w:r>
        <w:rPr>
          <w:rFonts w:hAnsi="宋体"/>
          <w:kern w:val="0"/>
          <w:sz w:val="24"/>
          <w:szCs w:val="24"/>
        </w:rPr>
        <w:t>方式在</w:t>
      </w:r>
      <w:r>
        <w:rPr>
          <w:rFonts w:hAnsi="宋体" w:hint="eastAsia"/>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14:paraId="0C593E1D"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39" w:name="_Toc79392617"/>
      <w:r w:rsidRPr="00E917F4">
        <w:rPr>
          <w:rFonts w:hAnsi="宋体"/>
          <w:b/>
          <w:sz w:val="24"/>
        </w:rPr>
        <w:t>（十一）暂停申购或赎回的公告和重新开放申购或赎回的公告</w:t>
      </w:r>
      <w:bookmarkEnd w:id="39"/>
    </w:p>
    <w:p w14:paraId="56B09036" w14:textId="77777777" w:rsidR="0004536B" w:rsidRDefault="003574EC">
      <w:pPr>
        <w:widowControl/>
        <w:adjustRightInd w:val="0"/>
        <w:snapToGrid w:val="0"/>
        <w:spacing w:line="360" w:lineRule="auto"/>
        <w:ind w:firstLineChars="200" w:firstLine="480"/>
        <w:rPr>
          <w:rFonts w:hAnsi="宋体"/>
          <w:kern w:val="0"/>
          <w:sz w:val="24"/>
          <w:szCs w:val="24"/>
        </w:rPr>
      </w:pPr>
      <w:bookmarkStart w:id="40" w:name="_Toc15118274"/>
      <w:bookmarkStart w:id="41" w:name="_Toc79392618"/>
      <w:bookmarkStart w:id="42" w:name="_Toc59441259"/>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14:paraId="4E9951DD" w14:textId="3DCDB832"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个开放日的基金份额净值。</w:t>
      </w:r>
    </w:p>
    <w:p w14:paraId="6AE67ADA"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2703E8CB" w14:textId="1820194D" w:rsidR="00E917F4" w:rsidRDefault="00E917F4">
      <w:pPr>
        <w:widowControl/>
        <w:adjustRightInd w:val="0"/>
        <w:snapToGrid w:val="0"/>
        <w:spacing w:line="360" w:lineRule="auto"/>
        <w:ind w:firstLineChars="200" w:firstLine="480"/>
        <w:rPr>
          <w:rFonts w:hAnsi="宋体"/>
          <w:kern w:val="0"/>
          <w:sz w:val="24"/>
          <w:szCs w:val="24"/>
        </w:rPr>
      </w:pPr>
      <w:r w:rsidRPr="00E917F4">
        <w:rPr>
          <w:rFonts w:hAnsi="宋体" w:hint="eastAsia"/>
          <w:kern w:val="0"/>
          <w:sz w:val="24"/>
          <w:szCs w:val="24"/>
        </w:rPr>
        <w:t>4</w:t>
      </w:r>
      <w:r w:rsidRPr="00E917F4">
        <w:rPr>
          <w:rFonts w:hAnsi="宋体" w:hint="eastAsia"/>
          <w:kern w:val="0"/>
          <w:sz w:val="24"/>
          <w:szCs w:val="24"/>
        </w:rPr>
        <w:t>、</w:t>
      </w:r>
      <w:r w:rsidR="007928AB" w:rsidRPr="007928AB">
        <w:rPr>
          <w:rFonts w:hAnsi="宋体" w:hint="eastAsia"/>
          <w:kern w:val="0"/>
          <w:sz w:val="24"/>
          <w:szCs w:val="24"/>
        </w:rPr>
        <w:t>以上暂停及恢复基金申购与赎回的公告规定，不适用于基金合同约定的封闭期与开放期运作方式转换或者暂停运作引起的暂停或恢复申购与赎回的情形。封闭期与开放期运作方式转换或者暂停运作的有关信息披露按照基金合同的相关约定执行。</w:t>
      </w:r>
    </w:p>
    <w:p w14:paraId="5C06874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43" w:name="_Toc79392621"/>
      <w:bookmarkEnd w:id="40"/>
      <w:bookmarkEnd w:id="41"/>
      <w:bookmarkEnd w:id="42"/>
      <w:r w:rsidRPr="00E917F4">
        <w:rPr>
          <w:rFonts w:hAnsi="宋体"/>
          <w:b/>
          <w:sz w:val="24"/>
        </w:rPr>
        <w:t>（十二）基金转换</w:t>
      </w:r>
    </w:p>
    <w:p w14:paraId="01811008"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F50B6D5"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（十三）基金的非交易过户</w:t>
      </w:r>
    </w:p>
    <w:p w14:paraId="6682DE7F"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Ansi="宋体" w:hint="eastAsia"/>
          <w:kern w:val="0"/>
          <w:sz w:val="24"/>
          <w:szCs w:val="24"/>
        </w:rPr>
        <w:t>非交易过户。无论在上述何种情况下，接受划转的主体必须是依法可以持有本基金基金份额的投资人。</w:t>
      </w:r>
    </w:p>
    <w:p w14:paraId="459EA0A1"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18508F1"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（十四）基金的转托管</w:t>
      </w:r>
      <w:bookmarkEnd w:id="43"/>
    </w:p>
    <w:p w14:paraId="17B4F832" w14:textId="77777777" w:rsidR="0004536B" w:rsidRDefault="003574EC">
      <w:pPr>
        <w:widowControl/>
        <w:adjustRightInd w:val="0"/>
        <w:snapToGrid w:val="0"/>
        <w:spacing w:line="360" w:lineRule="auto"/>
        <w:ind w:firstLineChars="200" w:firstLine="480"/>
        <w:rPr>
          <w:rFonts w:hAnsi="宋体"/>
          <w:kern w:val="0"/>
          <w:sz w:val="24"/>
          <w:szCs w:val="24"/>
        </w:rPr>
      </w:pPr>
      <w:bookmarkStart w:id="44" w:name="_Toc79392620"/>
      <w:r>
        <w:rPr>
          <w:rFonts w:hAnsi="宋体" w:hint="eastAsia"/>
          <w:kern w:val="0"/>
          <w:sz w:val="24"/>
          <w:szCs w:val="24"/>
        </w:rPr>
        <w:t>基金份额持有人可办理已持有基金份额在不同销售机构之间的转托管，基金销售机构可以按照规定的标准收取转托管费。</w:t>
      </w:r>
    </w:p>
    <w:p w14:paraId="14A24659"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（十五）定期定额投资计划</w:t>
      </w:r>
    </w:p>
    <w:p w14:paraId="30716FF1"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AE03F74"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（十六）基金份额的冻结和解冻</w:t>
      </w:r>
      <w:bookmarkEnd w:id="44"/>
    </w:p>
    <w:p w14:paraId="57EF02E1" w14:textId="77777777" w:rsidR="0004536B" w:rsidRDefault="003574EC">
      <w:pPr>
        <w:adjustRightInd w:val="0"/>
        <w:snapToGrid w:val="0"/>
        <w:spacing w:line="360" w:lineRule="auto"/>
        <w:ind w:firstLineChars="200" w:firstLine="480"/>
        <w:rPr>
          <w:rFonts w:hAnsi="宋体"/>
          <w:kern w:val="0"/>
          <w:sz w:val="24"/>
          <w:szCs w:val="24"/>
        </w:rPr>
      </w:pPr>
      <w:r>
        <w:rPr>
          <w:rFonts w:hAnsi="宋体" w:hint="eastAsia"/>
          <w:kern w:val="0"/>
          <w:sz w:val="24"/>
          <w:szCs w:val="24"/>
        </w:rPr>
        <w:t>基金登记机构只受理国家有权机关依法要求的基金份额的冻结与解冻，以及登记机构认可、符合法律法规的其他情况下的冻结与解冻。</w:t>
      </w:r>
    </w:p>
    <w:p w14:paraId="074E655B"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45" w:name="_Toc109059024"/>
      <w:bookmarkStart w:id="46" w:name="_Toc66719557"/>
      <w:bookmarkStart w:id="47" w:name="_Toc66720082"/>
      <w:r w:rsidRPr="00E917F4">
        <w:rPr>
          <w:rFonts w:hAnsi="宋体" w:hint="eastAsia"/>
          <w:b/>
          <w:sz w:val="24"/>
        </w:rPr>
        <w:t>（十七）基金份额的转让</w:t>
      </w:r>
    </w:p>
    <w:p w14:paraId="659311F3"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624727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（十</w:t>
      </w:r>
      <w:r w:rsidRPr="00E917F4">
        <w:rPr>
          <w:rFonts w:hAnsi="宋体" w:hint="eastAsia"/>
          <w:b/>
          <w:sz w:val="24"/>
        </w:rPr>
        <w:t>八</w:t>
      </w:r>
      <w:r w:rsidRPr="00E917F4">
        <w:rPr>
          <w:rFonts w:hAnsi="宋体"/>
          <w:b/>
          <w:sz w:val="24"/>
        </w:rPr>
        <w:t>）</w:t>
      </w:r>
      <w:r w:rsidRPr="00E917F4">
        <w:rPr>
          <w:rFonts w:hAnsi="宋体" w:hint="eastAsia"/>
          <w:b/>
          <w:sz w:val="24"/>
        </w:rPr>
        <w:t>实施侧袋机制期间本基金的申购与赎回</w:t>
      </w:r>
    </w:p>
    <w:p w14:paraId="4F481B3E"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本基金实施侧袋机制的，本基金的申购和赎回安排详见本招募说明书“侧袋机制”部分的规定或相关公告。</w:t>
      </w:r>
    </w:p>
    <w:p w14:paraId="1C49F57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（十九</w:t>
      </w:r>
      <w:r w:rsidRPr="00E917F4">
        <w:rPr>
          <w:rFonts w:hAnsi="宋体"/>
          <w:b/>
          <w:sz w:val="24"/>
        </w:rPr>
        <w:t>）</w:t>
      </w:r>
      <w:r w:rsidRPr="00E917F4">
        <w:rPr>
          <w:rFonts w:hAnsi="宋体" w:hint="eastAsia"/>
          <w:b/>
          <w:sz w:val="24"/>
        </w:rPr>
        <w:t>其他业务</w:t>
      </w:r>
    </w:p>
    <w:p w14:paraId="5C5A84D6"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1"/>
    </w:p>
    <w:p w14:paraId="17A6DED6" w14:textId="283178BF"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8" w:name="_Toc139631558"/>
      <w:r w:rsidR="00827A2B">
        <w:rPr>
          <w:rFonts w:ascii="宋体" w:hAnsi="宋体" w:hint="eastAsia"/>
          <w:b/>
          <w:kern w:val="0"/>
          <w:sz w:val="30"/>
        </w:rPr>
        <w:lastRenderedPageBreak/>
        <w:t>十</w:t>
      </w:r>
      <w:r>
        <w:rPr>
          <w:rFonts w:ascii="宋体" w:hAnsi="宋体" w:hint="eastAsia"/>
          <w:b/>
          <w:kern w:val="0"/>
          <w:sz w:val="30"/>
        </w:rPr>
        <w:t>、基金的投资</w:t>
      </w:r>
      <w:bookmarkEnd w:id="48"/>
    </w:p>
    <w:p w14:paraId="77BF6A1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49" w:name="_Hlk50018503"/>
      <w:r w:rsidRPr="00E917F4">
        <w:rPr>
          <w:rFonts w:hAnsi="宋体" w:hint="eastAsia"/>
          <w:b/>
          <w:sz w:val="24"/>
        </w:rPr>
        <w:t>（一）投资目标</w:t>
      </w:r>
    </w:p>
    <w:p w14:paraId="0555F6F6" w14:textId="77777777" w:rsidR="0004536B" w:rsidRDefault="003574EC">
      <w:pPr>
        <w:adjustRightInd w:val="0"/>
        <w:snapToGrid w:val="0"/>
        <w:spacing w:line="360" w:lineRule="auto"/>
        <w:ind w:firstLine="482"/>
        <w:rPr>
          <w:bCs/>
          <w:sz w:val="24"/>
        </w:rPr>
      </w:pPr>
      <w:r>
        <w:rPr>
          <w:rFonts w:hint="eastAsia"/>
          <w:bCs/>
          <w:sz w:val="24"/>
        </w:rPr>
        <w:t>在合理控制风险的前提下，充分发挥专业的研究与管理能力，力争实现基金资产的长期稳健增值。</w:t>
      </w:r>
    </w:p>
    <w:p w14:paraId="4DEFDF8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（二）投资范围</w:t>
      </w:r>
    </w:p>
    <w:p w14:paraId="06604087" w14:textId="77777777" w:rsidR="0004536B" w:rsidRDefault="003574EC">
      <w:pPr>
        <w:adjustRightInd w:val="0"/>
        <w:snapToGrid w:val="0"/>
        <w:spacing w:line="360" w:lineRule="auto"/>
        <w:ind w:firstLine="482"/>
        <w:rPr>
          <w:rFonts w:ascii="宋体" w:hAnsi="宋体"/>
          <w:bCs/>
          <w:sz w:val="24"/>
          <w:szCs w:val="24"/>
        </w:rPr>
      </w:pPr>
      <w:r>
        <w:rPr>
          <w:rFonts w:ascii="宋体" w:hAnsi="宋体" w:hint="eastAsia"/>
          <w:bCs/>
          <w:sz w:val="24"/>
          <w:szCs w:val="24"/>
        </w:rPr>
        <w:t>本基金的投资范围为具有良好流动性的金融工具，包括国内依法发行上市的股票（含创业板、科创板及其他经中国证监会核准</w:t>
      </w:r>
      <w:r>
        <w:rPr>
          <w:rFonts w:hint="eastAsia"/>
          <w:bCs/>
          <w:sz w:val="24"/>
        </w:rPr>
        <w:t>或注册</w:t>
      </w:r>
      <w:r>
        <w:rPr>
          <w:rFonts w:ascii="宋体" w:hAnsi="宋体" w:hint="eastAsia"/>
          <w:bCs/>
          <w:sz w:val="24"/>
          <w:szCs w:val="24"/>
        </w:rPr>
        <w:t>上市的股票、存托凭证）、</w:t>
      </w:r>
      <w:r>
        <w:rPr>
          <w:rFonts w:hint="eastAsia"/>
          <w:bCs/>
          <w:sz w:val="24"/>
        </w:rPr>
        <w:t>港股通标的股票、</w:t>
      </w:r>
      <w:r>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5982AC6" w14:textId="77777777" w:rsidR="0004536B" w:rsidRDefault="003574EC">
      <w:pPr>
        <w:adjustRightInd w:val="0"/>
        <w:snapToGrid w:val="0"/>
        <w:spacing w:line="360" w:lineRule="auto"/>
        <w:ind w:firstLine="482"/>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29ADBC75" w14:textId="38DF6788" w:rsidR="002277F0" w:rsidRDefault="003574EC">
      <w:pPr>
        <w:adjustRightInd w:val="0"/>
        <w:snapToGrid w:val="0"/>
        <w:spacing w:line="360" w:lineRule="auto"/>
        <w:ind w:firstLine="482"/>
        <w:rPr>
          <w:rFonts w:ascii="宋体" w:hAnsi="宋体"/>
          <w:bCs/>
          <w:sz w:val="24"/>
          <w:szCs w:val="24"/>
        </w:rPr>
      </w:pPr>
      <w:r>
        <w:rPr>
          <w:rFonts w:ascii="宋体" w:hAnsi="宋体" w:hint="eastAsia"/>
          <w:bCs/>
          <w:sz w:val="24"/>
          <w:szCs w:val="24"/>
        </w:rPr>
        <w:t>基金的投资组合比例为：</w:t>
      </w:r>
      <w:r w:rsidR="002277F0" w:rsidRPr="002277F0">
        <w:rPr>
          <w:rFonts w:ascii="宋体" w:hAnsi="宋体" w:hint="eastAsia"/>
          <w:bCs/>
          <w:sz w:val="24"/>
          <w:szCs w:val="24"/>
        </w:rPr>
        <w:t>股票投资（含存托凭证）占基金资产的比例不低于60%，其中投资于港股通标的股票的比例占股票资产的0%-50%；但应开放期流动性需要，为保护基金份额持有人利益，在每个封闭期结束前三个月、开放期及开放期结束后三个月的期间内，基金投资不受上述比例限制。</w:t>
      </w:r>
    </w:p>
    <w:p w14:paraId="092395C5" w14:textId="6D93972F" w:rsidR="0004536B" w:rsidRDefault="002277F0">
      <w:pPr>
        <w:adjustRightInd w:val="0"/>
        <w:snapToGrid w:val="0"/>
        <w:spacing w:line="360" w:lineRule="auto"/>
        <w:ind w:firstLine="482"/>
        <w:rPr>
          <w:rFonts w:ascii="宋体" w:hAnsi="宋体"/>
          <w:bCs/>
          <w:sz w:val="24"/>
          <w:szCs w:val="24"/>
        </w:rPr>
      </w:pPr>
      <w:r w:rsidRPr="006F3EC0">
        <w:rPr>
          <w:rFonts w:hint="eastAsia"/>
          <w:bCs/>
          <w:sz w:val="24"/>
        </w:rPr>
        <w:t>在开放期内</w:t>
      </w:r>
      <w:r>
        <w:rPr>
          <w:rFonts w:hint="eastAsia"/>
          <w:bCs/>
          <w:sz w:val="24"/>
        </w:rPr>
        <w:t>，</w:t>
      </w:r>
      <w:r>
        <w:rPr>
          <w:rFonts w:ascii="宋体" w:hAnsi="宋体" w:hint="eastAsia"/>
          <w:bCs/>
          <w:sz w:val="24"/>
          <w:szCs w:val="24"/>
        </w:rPr>
        <w:t>每</w:t>
      </w:r>
      <w:r w:rsidR="003574EC">
        <w:rPr>
          <w:rFonts w:ascii="宋体" w:hAnsi="宋体" w:hint="eastAsia"/>
          <w:bCs/>
          <w:sz w:val="24"/>
          <w:szCs w:val="24"/>
        </w:rPr>
        <w:t>个交易日日终在扣除股指期货合约需缴纳的交易保证金后，本基金持有的现金或者到期日在一年以内的政府债券的比例合计不低于基金资产净值的5%</w:t>
      </w:r>
      <w:r>
        <w:rPr>
          <w:rFonts w:hint="eastAsia"/>
          <w:bCs/>
          <w:sz w:val="24"/>
        </w:rPr>
        <w:t>；</w:t>
      </w:r>
      <w:r w:rsidRPr="006F3EC0">
        <w:rPr>
          <w:rFonts w:hint="eastAsia"/>
          <w:bCs/>
          <w:sz w:val="24"/>
        </w:rPr>
        <w:t>在封闭期内，本基金不受上述</w:t>
      </w:r>
      <w:r w:rsidRPr="006F3EC0">
        <w:rPr>
          <w:rFonts w:hint="eastAsia"/>
          <w:bCs/>
          <w:sz w:val="24"/>
        </w:rPr>
        <w:t>5%</w:t>
      </w:r>
      <w:r w:rsidRPr="006F3EC0">
        <w:rPr>
          <w:rFonts w:hint="eastAsia"/>
          <w:bCs/>
          <w:sz w:val="24"/>
        </w:rPr>
        <w:t>的限制</w:t>
      </w:r>
      <w:r>
        <w:rPr>
          <w:rFonts w:hint="eastAsia"/>
          <w:bCs/>
          <w:sz w:val="24"/>
        </w:rPr>
        <w:t>，每个交易日日终在扣除股指期货合约需缴纳的交易保证金后，</w:t>
      </w:r>
      <w:r w:rsidRPr="005E3155">
        <w:rPr>
          <w:rFonts w:hint="eastAsia"/>
          <w:bCs/>
          <w:sz w:val="24"/>
        </w:rPr>
        <w:t>应当保持不低于交易保证金一倍的现金</w:t>
      </w:r>
      <w:r>
        <w:rPr>
          <w:rFonts w:hint="eastAsia"/>
          <w:bCs/>
          <w:sz w:val="24"/>
        </w:rPr>
        <w:t>。</w:t>
      </w:r>
      <w:r w:rsidR="003574EC">
        <w:rPr>
          <w:rFonts w:ascii="宋体" w:hAnsi="宋体" w:hint="eastAsia"/>
          <w:bCs/>
          <w:sz w:val="24"/>
          <w:szCs w:val="24"/>
        </w:rPr>
        <w:t>其中现金不包括结算备付金、存出保证金、应收申购款等。</w:t>
      </w:r>
    </w:p>
    <w:p w14:paraId="3535620F" w14:textId="77777777" w:rsidR="0004536B" w:rsidRDefault="003574EC">
      <w:pPr>
        <w:adjustRightInd w:val="0"/>
        <w:snapToGrid w:val="0"/>
        <w:spacing w:line="360" w:lineRule="auto"/>
        <w:ind w:firstLine="482"/>
        <w:rPr>
          <w:bCs/>
          <w:sz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5BFFBBD4"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（三）投资策略</w:t>
      </w:r>
    </w:p>
    <w:p w14:paraId="74A89331" w14:textId="77777777" w:rsidR="008F0E3F" w:rsidRDefault="008F0E3F" w:rsidP="008F0E3F">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1、封闭期投资策略</w:t>
      </w:r>
    </w:p>
    <w:p w14:paraId="7CD5A0CF" w14:textId="6D889985"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ascii="宋体" w:hAnsi="宋体" w:hint="eastAsia"/>
          <w:bCs/>
          <w:sz w:val="24"/>
          <w:szCs w:val="24"/>
        </w:rPr>
        <w:t>个券；在保持总体风险水平相对稳定的基础上，力争获取投资组合的较高回报。</w:t>
      </w:r>
    </w:p>
    <w:p w14:paraId="2A871B83" w14:textId="521BCA8D" w:rsidR="0004536B" w:rsidRPr="00210D77" w:rsidRDefault="008F4AE5" w:rsidP="00210D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3574EC" w:rsidRPr="00210D77">
        <w:rPr>
          <w:rFonts w:hAnsi="宋体" w:hint="eastAsia"/>
          <w:kern w:val="0"/>
          <w:sz w:val="24"/>
          <w:szCs w:val="24"/>
        </w:rPr>
        <w:t>1</w:t>
      </w:r>
      <w:r>
        <w:rPr>
          <w:rFonts w:hAnsi="宋体" w:hint="eastAsia"/>
          <w:kern w:val="0"/>
          <w:sz w:val="24"/>
          <w:szCs w:val="24"/>
        </w:rPr>
        <w:t>）</w:t>
      </w:r>
      <w:r w:rsidR="003574EC" w:rsidRPr="00210D77">
        <w:rPr>
          <w:rFonts w:hAnsi="宋体" w:hint="eastAsia"/>
          <w:kern w:val="0"/>
          <w:sz w:val="24"/>
          <w:szCs w:val="24"/>
        </w:rPr>
        <w:t>大类资产配置</w:t>
      </w:r>
    </w:p>
    <w:p w14:paraId="1C37433D"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w:t>
      </w:r>
      <w:r>
        <w:rPr>
          <w:rFonts w:hint="eastAsia"/>
          <w:bCs/>
          <w:sz w:val="24"/>
        </w:rPr>
        <w:t>A</w:t>
      </w:r>
      <w:r>
        <w:rPr>
          <w:rFonts w:hint="eastAsia"/>
          <w:bCs/>
          <w:sz w:val="24"/>
        </w:rPr>
        <w:t>股、港股</w:t>
      </w:r>
      <w:r>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0F1B3C0D" w14:textId="0F367365" w:rsidR="0004536B" w:rsidRPr="00210D77" w:rsidRDefault="008F4AE5" w:rsidP="00210D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3574EC" w:rsidRPr="00210D77">
        <w:rPr>
          <w:rFonts w:hAnsi="宋体" w:hint="eastAsia"/>
          <w:kern w:val="0"/>
          <w:sz w:val="24"/>
          <w:szCs w:val="24"/>
        </w:rPr>
        <w:t>2</w:t>
      </w:r>
      <w:r>
        <w:rPr>
          <w:rFonts w:hAnsi="宋体" w:hint="eastAsia"/>
          <w:kern w:val="0"/>
          <w:sz w:val="24"/>
          <w:szCs w:val="24"/>
        </w:rPr>
        <w:t>）</w:t>
      </w:r>
      <w:r w:rsidR="003574EC" w:rsidRPr="00210D77">
        <w:rPr>
          <w:rFonts w:hAnsi="宋体" w:hint="eastAsia"/>
          <w:kern w:val="0"/>
          <w:sz w:val="24"/>
          <w:szCs w:val="24"/>
        </w:rPr>
        <w:t>股票投资策略</w:t>
      </w:r>
    </w:p>
    <w:p w14:paraId="22DB7DBD"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59738C48" w14:textId="36F599F2"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1）品质筛选</w:t>
      </w:r>
    </w:p>
    <w:p w14:paraId="40D99114"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14:paraId="759F8DD2" w14:textId="77777777" w:rsidR="0004536B" w:rsidRDefault="003574EC">
      <w:pPr>
        <w:pStyle w:val="afc"/>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盈利能力指标：如市盈率（P/E）、市现率（P/Cash Flow）、股价与每股自由现金流比率（P/FCF）、市销率（P/S）、股价与每股息税前利润比率（P/EBIT）等；</w:t>
      </w:r>
    </w:p>
    <w:p w14:paraId="05109E2A" w14:textId="77777777" w:rsidR="0004536B" w:rsidRDefault="003574EC">
      <w:pPr>
        <w:pStyle w:val="afc"/>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经营效率指标：如净资产收益率（ROE）、资产收益率（ROA）、经营资产回报率（Return on operating assets）等；</w:t>
      </w:r>
    </w:p>
    <w:p w14:paraId="699061E2" w14:textId="77777777" w:rsidR="0004536B" w:rsidRDefault="003574EC">
      <w:pPr>
        <w:pStyle w:val="afc"/>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财务状况指标：如资产负债率（D/A）、流动比率等；</w:t>
      </w:r>
    </w:p>
    <w:p w14:paraId="630816E2" w14:textId="77777777" w:rsidR="0004536B" w:rsidRDefault="003574EC">
      <w:pPr>
        <w:pStyle w:val="afc"/>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研发投入指标：如研发投入与营业收入比率、科研人员数量及占比、专利数量及在同行业的占比等。</w:t>
      </w:r>
    </w:p>
    <w:p w14:paraId="4862B8A3" w14:textId="071FB1DC"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2）价值评估</w:t>
      </w:r>
    </w:p>
    <w:p w14:paraId="0E522B92"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015E382A" w14:textId="65F6E956"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3）港股通标的股票投资策略</w:t>
      </w:r>
    </w:p>
    <w:p w14:paraId="169D589C"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2D5D18BD"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678AD540" w14:textId="4C626CB8"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4）存托凭证的投资策略</w:t>
      </w:r>
    </w:p>
    <w:p w14:paraId="5423DE7D"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本基金投资存托凭证的策略依照境内上市交易的股票投资策略执行。</w:t>
      </w:r>
    </w:p>
    <w:p w14:paraId="7F1B48A8" w14:textId="76F1BEEF" w:rsidR="0004536B" w:rsidRPr="00210D77" w:rsidRDefault="008F4AE5" w:rsidP="00210D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3574EC" w:rsidRPr="00210D77">
        <w:rPr>
          <w:rFonts w:hAnsi="宋体" w:hint="eastAsia"/>
          <w:kern w:val="0"/>
          <w:sz w:val="24"/>
          <w:szCs w:val="24"/>
        </w:rPr>
        <w:t>3</w:t>
      </w:r>
      <w:r>
        <w:rPr>
          <w:rFonts w:hAnsi="宋体" w:hint="eastAsia"/>
          <w:kern w:val="0"/>
          <w:sz w:val="24"/>
          <w:szCs w:val="24"/>
        </w:rPr>
        <w:t>）</w:t>
      </w:r>
      <w:r w:rsidR="003574EC" w:rsidRPr="00210D77">
        <w:rPr>
          <w:rFonts w:hAnsi="宋体" w:hint="eastAsia"/>
          <w:kern w:val="0"/>
          <w:sz w:val="24"/>
          <w:szCs w:val="24"/>
        </w:rPr>
        <w:t>债券投资策略</w:t>
      </w:r>
    </w:p>
    <w:p w14:paraId="54BF60C6"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4CF05CA1"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14:paraId="3C1E5804" w14:textId="3336CCD6" w:rsidR="0004536B" w:rsidRPr="00210D77" w:rsidRDefault="008F4AE5" w:rsidP="00210D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3574EC" w:rsidRPr="00210D77">
        <w:rPr>
          <w:rFonts w:hAnsi="宋体" w:hint="eastAsia"/>
          <w:kern w:val="0"/>
          <w:sz w:val="24"/>
          <w:szCs w:val="24"/>
        </w:rPr>
        <w:t>4</w:t>
      </w:r>
      <w:r>
        <w:rPr>
          <w:rFonts w:hAnsi="宋体" w:hint="eastAsia"/>
          <w:kern w:val="0"/>
          <w:sz w:val="24"/>
          <w:szCs w:val="24"/>
        </w:rPr>
        <w:t>）</w:t>
      </w:r>
      <w:r w:rsidR="003574EC" w:rsidRPr="00210D77">
        <w:rPr>
          <w:rFonts w:hAnsi="宋体" w:hint="eastAsia"/>
          <w:kern w:val="0"/>
          <w:sz w:val="24"/>
          <w:szCs w:val="24"/>
        </w:rPr>
        <w:t>资产支持证券投资策略</w:t>
      </w:r>
    </w:p>
    <w:p w14:paraId="73236EE3"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161E7B6" w14:textId="585D0AE0" w:rsidR="0004536B" w:rsidRPr="00210D77" w:rsidRDefault="008F4AE5" w:rsidP="00210D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sidR="003574EC" w:rsidRPr="00210D77">
        <w:rPr>
          <w:rFonts w:hAnsi="宋体"/>
          <w:kern w:val="0"/>
          <w:sz w:val="24"/>
          <w:szCs w:val="24"/>
        </w:rPr>
        <w:t>5</w:t>
      </w:r>
      <w:r>
        <w:rPr>
          <w:rFonts w:hAnsi="宋体" w:hint="eastAsia"/>
          <w:kern w:val="0"/>
          <w:sz w:val="24"/>
          <w:szCs w:val="24"/>
        </w:rPr>
        <w:t>）</w:t>
      </w:r>
      <w:r w:rsidR="003574EC" w:rsidRPr="00210D77">
        <w:rPr>
          <w:rFonts w:hAnsi="宋体" w:hint="eastAsia"/>
          <w:kern w:val="0"/>
          <w:sz w:val="24"/>
          <w:szCs w:val="24"/>
        </w:rPr>
        <w:t>股指期货投资策略</w:t>
      </w:r>
    </w:p>
    <w:p w14:paraId="140304AA" w14:textId="77777777"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2D6B58A" w14:textId="77FC70D1" w:rsidR="0004536B" w:rsidRDefault="003574EC">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CD87452" w14:textId="77777777" w:rsidR="008F0E3F" w:rsidRPr="008F0E3F" w:rsidRDefault="008F0E3F" w:rsidP="008F0E3F">
      <w:pPr>
        <w:adjustRightInd w:val="0"/>
        <w:snapToGrid w:val="0"/>
        <w:spacing w:line="360" w:lineRule="auto"/>
        <w:ind w:firstLineChars="200" w:firstLine="480"/>
        <w:rPr>
          <w:rFonts w:ascii="宋体" w:hAnsi="宋体"/>
          <w:bCs/>
          <w:sz w:val="24"/>
          <w:szCs w:val="24"/>
        </w:rPr>
      </w:pPr>
      <w:r w:rsidRPr="008F0E3F">
        <w:rPr>
          <w:rFonts w:ascii="宋体" w:hAnsi="宋体" w:hint="eastAsia"/>
          <w:bCs/>
          <w:sz w:val="24"/>
          <w:szCs w:val="24"/>
        </w:rPr>
        <w:t>2、开放期投资策略</w:t>
      </w:r>
    </w:p>
    <w:p w14:paraId="06F3423D" w14:textId="377CC803" w:rsidR="008F0E3F" w:rsidRDefault="00A05126" w:rsidP="008F0E3F">
      <w:pPr>
        <w:adjustRightInd w:val="0"/>
        <w:snapToGrid w:val="0"/>
        <w:spacing w:line="360" w:lineRule="auto"/>
        <w:ind w:firstLineChars="200" w:firstLine="480"/>
        <w:rPr>
          <w:rFonts w:ascii="宋体" w:hAnsi="宋体"/>
          <w:bCs/>
          <w:sz w:val="24"/>
          <w:szCs w:val="24"/>
        </w:rPr>
      </w:pPr>
      <w:r w:rsidRPr="009B66B3">
        <w:rPr>
          <w:rFonts w:hint="eastAsia"/>
          <w:bCs/>
          <w:sz w:val="24"/>
        </w:rPr>
        <w:t>开放期内，</w:t>
      </w:r>
      <w:r w:rsidRPr="00914F01">
        <w:rPr>
          <w:rFonts w:hint="eastAsia"/>
          <w:bCs/>
          <w:sz w:val="24"/>
        </w:rPr>
        <w:t>基金规模将随着投资人对本基金份额的申购与赎回而不断变化。</w:t>
      </w:r>
      <w:r w:rsidRPr="009B66B3">
        <w:rPr>
          <w:rFonts w:hint="eastAsia"/>
          <w:bCs/>
          <w:sz w:val="24"/>
        </w:rPr>
        <w:t>本基金</w:t>
      </w:r>
      <w:r>
        <w:rPr>
          <w:rFonts w:hint="eastAsia"/>
          <w:bCs/>
          <w:sz w:val="24"/>
        </w:rPr>
        <w:t>将</w:t>
      </w:r>
      <w:r w:rsidRPr="009B66B3">
        <w:rPr>
          <w:rFonts w:hint="eastAsia"/>
          <w:bCs/>
          <w:sz w:val="24"/>
        </w:rPr>
        <w:t>保持</w:t>
      </w:r>
      <w:r w:rsidRPr="00914F01">
        <w:rPr>
          <w:rFonts w:hint="eastAsia"/>
          <w:bCs/>
          <w:sz w:val="24"/>
        </w:rPr>
        <w:t>资产适当的</w:t>
      </w:r>
      <w:r w:rsidRPr="009B66B3">
        <w:rPr>
          <w:rFonts w:hint="eastAsia"/>
          <w:bCs/>
          <w:sz w:val="24"/>
        </w:rPr>
        <w:t>流动性，</w:t>
      </w:r>
      <w:r>
        <w:rPr>
          <w:rFonts w:hint="eastAsia"/>
          <w:bCs/>
          <w:sz w:val="24"/>
        </w:rPr>
        <w:t>以应对当时</w:t>
      </w:r>
      <w:r w:rsidRPr="00914F01">
        <w:rPr>
          <w:rFonts w:hint="eastAsia"/>
          <w:bCs/>
          <w:sz w:val="24"/>
        </w:rPr>
        <w:t>市场条件下的赎回要求</w:t>
      </w:r>
      <w:r w:rsidRPr="009B66B3">
        <w:rPr>
          <w:rFonts w:hint="eastAsia"/>
          <w:bCs/>
          <w:sz w:val="24"/>
        </w:rPr>
        <w:t>。</w:t>
      </w:r>
    </w:p>
    <w:p w14:paraId="11FF496D"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（四）投资限制</w:t>
      </w:r>
    </w:p>
    <w:p w14:paraId="09B0895B"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sidRPr="00210D77">
        <w:rPr>
          <w:rFonts w:hAnsi="宋体"/>
          <w:kern w:val="0"/>
          <w:sz w:val="24"/>
          <w:szCs w:val="24"/>
        </w:rPr>
        <w:t>1</w:t>
      </w:r>
      <w:r w:rsidRPr="00210D77">
        <w:rPr>
          <w:rFonts w:hAnsi="宋体"/>
          <w:kern w:val="0"/>
          <w:sz w:val="24"/>
          <w:szCs w:val="24"/>
        </w:rPr>
        <w:t>、组合限制</w:t>
      </w:r>
    </w:p>
    <w:p w14:paraId="549228B9"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sidRPr="00210D77">
        <w:rPr>
          <w:rFonts w:hAnsi="宋体"/>
          <w:kern w:val="0"/>
          <w:sz w:val="24"/>
          <w:szCs w:val="24"/>
        </w:rPr>
        <w:t>基金的投资组合应遵循以下限制：</w:t>
      </w:r>
    </w:p>
    <w:p w14:paraId="063111AF" w14:textId="7820EC82" w:rsidR="002277F0" w:rsidRPr="002277F0" w:rsidRDefault="002277F0" w:rsidP="002277F0">
      <w:pPr>
        <w:widowControl/>
        <w:adjustRightInd w:val="0"/>
        <w:snapToGrid w:val="0"/>
        <w:spacing w:line="360" w:lineRule="auto"/>
        <w:ind w:firstLineChars="200" w:firstLine="480"/>
        <w:rPr>
          <w:rFonts w:hAnsi="宋体"/>
          <w:kern w:val="0"/>
          <w:sz w:val="24"/>
          <w:szCs w:val="24"/>
        </w:rPr>
      </w:pPr>
      <w:r w:rsidRPr="002277F0">
        <w:rPr>
          <w:rFonts w:hAnsi="宋体" w:hint="eastAsia"/>
          <w:kern w:val="0"/>
          <w:sz w:val="24"/>
          <w:szCs w:val="24"/>
        </w:rPr>
        <w:t>（</w:t>
      </w:r>
      <w:r w:rsidRPr="002277F0">
        <w:rPr>
          <w:rFonts w:hAnsi="宋体" w:hint="eastAsia"/>
          <w:kern w:val="0"/>
          <w:sz w:val="24"/>
          <w:szCs w:val="24"/>
        </w:rPr>
        <w:t>1</w:t>
      </w:r>
      <w:r w:rsidRPr="002277F0">
        <w:rPr>
          <w:rFonts w:hAnsi="宋体" w:hint="eastAsia"/>
          <w:kern w:val="0"/>
          <w:sz w:val="24"/>
          <w:szCs w:val="24"/>
        </w:rPr>
        <w:t>）股票投资（含存托凭证）占基金资产的比例不低于</w:t>
      </w:r>
      <w:r w:rsidRPr="002277F0">
        <w:rPr>
          <w:rFonts w:hAnsi="宋体" w:hint="eastAsia"/>
          <w:kern w:val="0"/>
          <w:sz w:val="24"/>
          <w:szCs w:val="24"/>
        </w:rPr>
        <w:t>60%</w:t>
      </w:r>
      <w:r w:rsidRPr="002277F0">
        <w:rPr>
          <w:rFonts w:hAnsi="宋体" w:hint="eastAsia"/>
          <w:kern w:val="0"/>
          <w:sz w:val="24"/>
          <w:szCs w:val="24"/>
        </w:rPr>
        <w:t>，其中投资于港股通标的股票的比例占股票资产的</w:t>
      </w:r>
      <w:r w:rsidRPr="002277F0">
        <w:rPr>
          <w:rFonts w:hAnsi="宋体" w:hint="eastAsia"/>
          <w:kern w:val="0"/>
          <w:sz w:val="24"/>
          <w:szCs w:val="24"/>
        </w:rPr>
        <w:t>0%-50%</w:t>
      </w:r>
      <w:r w:rsidRPr="002277F0">
        <w:rPr>
          <w:rFonts w:hAnsi="宋体" w:hint="eastAsia"/>
          <w:kern w:val="0"/>
          <w:sz w:val="24"/>
          <w:szCs w:val="24"/>
        </w:rPr>
        <w:t>；但在每个封闭期结束前三个月、开放期及开放期结束后三个月的期间内，基金投资不受上述比例限制</w:t>
      </w:r>
      <w:r w:rsidR="008F0E3F">
        <w:rPr>
          <w:rFonts w:hAnsi="宋体" w:hint="eastAsia"/>
          <w:kern w:val="0"/>
          <w:sz w:val="24"/>
          <w:szCs w:val="24"/>
        </w:rPr>
        <w:t>；</w:t>
      </w:r>
    </w:p>
    <w:p w14:paraId="04ECF0F7" w14:textId="2743E396" w:rsidR="0004536B" w:rsidRPr="00210D77" w:rsidRDefault="002277F0" w:rsidP="00210D77">
      <w:pPr>
        <w:widowControl/>
        <w:adjustRightInd w:val="0"/>
        <w:snapToGrid w:val="0"/>
        <w:spacing w:line="360" w:lineRule="auto"/>
        <w:ind w:firstLineChars="200" w:firstLine="480"/>
        <w:rPr>
          <w:rFonts w:hAnsi="宋体"/>
          <w:kern w:val="0"/>
          <w:sz w:val="24"/>
          <w:szCs w:val="24"/>
        </w:rPr>
      </w:pPr>
      <w:r w:rsidRPr="002277F0">
        <w:rPr>
          <w:rFonts w:hAnsi="宋体" w:hint="eastAsia"/>
          <w:kern w:val="0"/>
          <w:sz w:val="24"/>
          <w:szCs w:val="24"/>
        </w:rPr>
        <w:t>（</w:t>
      </w:r>
      <w:r w:rsidRPr="002277F0">
        <w:rPr>
          <w:rFonts w:hAnsi="宋体" w:hint="eastAsia"/>
          <w:kern w:val="0"/>
          <w:sz w:val="24"/>
          <w:szCs w:val="24"/>
        </w:rPr>
        <w:t>2</w:t>
      </w:r>
      <w:r w:rsidRPr="002277F0">
        <w:rPr>
          <w:rFonts w:hAnsi="宋体" w:hint="eastAsia"/>
          <w:kern w:val="0"/>
          <w:sz w:val="24"/>
          <w:szCs w:val="24"/>
        </w:rPr>
        <w:t>）在开放期内，每个交易日日终在扣除股指期货合约需缴纳的交易保证金后，本基金持有的现金或者到期日在一年以内的政府债券的投资比例合计不低于基金资产净值的</w:t>
      </w:r>
      <w:r w:rsidRPr="002277F0">
        <w:rPr>
          <w:rFonts w:hAnsi="宋体" w:hint="eastAsia"/>
          <w:kern w:val="0"/>
          <w:sz w:val="24"/>
          <w:szCs w:val="24"/>
        </w:rPr>
        <w:t>5%</w:t>
      </w:r>
      <w:r w:rsidRPr="002277F0">
        <w:rPr>
          <w:rFonts w:hAnsi="宋体" w:hint="eastAsia"/>
          <w:kern w:val="0"/>
          <w:sz w:val="24"/>
          <w:szCs w:val="24"/>
        </w:rPr>
        <w:t>；在封闭期内，本基金不受上述</w:t>
      </w:r>
      <w:r w:rsidRPr="002277F0">
        <w:rPr>
          <w:rFonts w:hAnsi="宋体" w:hint="eastAsia"/>
          <w:kern w:val="0"/>
          <w:sz w:val="24"/>
          <w:szCs w:val="24"/>
        </w:rPr>
        <w:t>5%</w:t>
      </w:r>
      <w:r w:rsidRPr="002277F0">
        <w:rPr>
          <w:rFonts w:hAnsi="宋体" w:hint="eastAsia"/>
          <w:kern w:val="0"/>
          <w:sz w:val="24"/>
          <w:szCs w:val="24"/>
        </w:rPr>
        <w:t>的限制，每个交易日日终在扣除股指期货合约需缴纳的交易保证金后，应当保持不低于交易保证金一倍的现金。其中现金不包括结算备付金、存出保证金、应收申购款等；</w:t>
      </w:r>
    </w:p>
    <w:p w14:paraId="10E4F97E"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t>（</w:t>
      </w:r>
      <w:r w:rsidRPr="00210D77">
        <w:rPr>
          <w:rFonts w:hAnsi="宋体" w:hint="eastAsia"/>
          <w:kern w:val="0"/>
          <w:sz w:val="24"/>
          <w:szCs w:val="24"/>
        </w:rPr>
        <w:t>3</w:t>
      </w:r>
      <w:r w:rsidRPr="00210D77">
        <w:rPr>
          <w:rFonts w:hAnsi="宋体" w:hint="eastAsia"/>
          <w:kern w:val="0"/>
          <w:sz w:val="24"/>
          <w:szCs w:val="24"/>
        </w:rPr>
        <w:t>）本基金持有一家公司发行的证券（同一家公司在内地和香港同时上市的</w:t>
      </w:r>
      <w:r w:rsidRPr="00210D77">
        <w:rPr>
          <w:rFonts w:hAnsi="宋体" w:hint="eastAsia"/>
          <w:kern w:val="0"/>
          <w:sz w:val="24"/>
          <w:szCs w:val="24"/>
        </w:rPr>
        <w:t>A+H</w:t>
      </w:r>
      <w:r w:rsidRPr="00210D77">
        <w:rPr>
          <w:rFonts w:hAnsi="宋体" w:hint="eastAsia"/>
          <w:kern w:val="0"/>
          <w:sz w:val="24"/>
          <w:szCs w:val="24"/>
        </w:rPr>
        <w:t>股合计计算），其市值不超过基金资产净值的</w:t>
      </w:r>
      <w:r w:rsidRPr="00210D77">
        <w:rPr>
          <w:rFonts w:hAnsi="宋体" w:hint="eastAsia"/>
          <w:kern w:val="0"/>
          <w:sz w:val="24"/>
          <w:szCs w:val="24"/>
        </w:rPr>
        <w:t>10</w:t>
      </w:r>
      <w:r w:rsidRPr="00210D77">
        <w:rPr>
          <w:rFonts w:hAnsi="宋体" w:hint="eastAsia"/>
          <w:kern w:val="0"/>
          <w:sz w:val="24"/>
          <w:szCs w:val="24"/>
        </w:rPr>
        <w:t>％；</w:t>
      </w:r>
    </w:p>
    <w:p w14:paraId="3B440E5F"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lastRenderedPageBreak/>
        <w:t>（</w:t>
      </w:r>
      <w:r w:rsidRPr="00210D77">
        <w:rPr>
          <w:rFonts w:hAnsi="宋体" w:hint="eastAsia"/>
          <w:kern w:val="0"/>
          <w:sz w:val="24"/>
          <w:szCs w:val="24"/>
        </w:rPr>
        <w:t>4</w:t>
      </w:r>
      <w:r w:rsidRPr="00210D77">
        <w:rPr>
          <w:rFonts w:hAnsi="宋体" w:hint="eastAsia"/>
          <w:kern w:val="0"/>
          <w:sz w:val="24"/>
          <w:szCs w:val="24"/>
        </w:rPr>
        <w:t>）本基金管理人管理的全部基金持有一家公司发行的证券（同一家公司在内地和香港同时上市的</w:t>
      </w:r>
      <w:r w:rsidRPr="00210D77">
        <w:rPr>
          <w:rFonts w:hAnsi="宋体" w:hint="eastAsia"/>
          <w:kern w:val="0"/>
          <w:sz w:val="24"/>
          <w:szCs w:val="24"/>
        </w:rPr>
        <w:t>A+H</w:t>
      </w:r>
      <w:r w:rsidRPr="00210D77">
        <w:rPr>
          <w:rFonts w:hAnsi="宋体" w:hint="eastAsia"/>
          <w:kern w:val="0"/>
          <w:sz w:val="24"/>
          <w:szCs w:val="24"/>
        </w:rPr>
        <w:t>股合计计算），不超过该证券的</w:t>
      </w:r>
      <w:r w:rsidRPr="00210D77">
        <w:rPr>
          <w:rFonts w:hAnsi="宋体" w:hint="eastAsia"/>
          <w:kern w:val="0"/>
          <w:sz w:val="24"/>
          <w:szCs w:val="24"/>
        </w:rPr>
        <w:t>10</w:t>
      </w:r>
      <w:r w:rsidRPr="00210D77">
        <w:rPr>
          <w:rFonts w:hAnsi="宋体" w:hint="eastAsia"/>
          <w:kern w:val="0"/>
          <w:sz w:val="24"/>
          <w:szCs w:val="24"/>
        </w:rPr>
        <w:t>％，完全按照有关指数的构成比例进行证券投资的基金品种可以不受此条款规定的比例限制；</w:t>
      </w:r>
    </w:p>
    <w:p w14:paraId="3CE823CF" w14:textId="77777777" w:rsidR="0004536B" w:rsidRDefault="003574EC" w:rsidP="00210D77">
      <w:pPr>
        <w:widowControl/>
        <w:adjustRightInd w:val="0"/>
        <w:snapToGrid w:val="0"/>
        <w:spacing w:line="360" w:lineRule="auto"/>
        <w:ind w:firstLineChars="200" w:firstLine="480"/>
        <w:rPr>
          <w:bCs/>
          <w:sz w:val="24"/>
        </w:rPr>
      </w:pPr>
      <w:r w:rsidRPr="00210D77">
        <w:rPr>
          <w:rFonts w:hAnsi="宋体" w:hint="eastAsia"/>
          <w:kern w:val="0"/>
          <w:sz w:val="24"/>
          <w:szCs w:val="24"/>
        </w:rPr>
        <w:t>（</w:t>
      </w:r>
      <w:r w:rsidRPr="00210D77">
        <w:rPr>
          <w:rFonts w:hAnsi="宋体" w:hint="eastAsia"/>
          <w:kern w:val="0"/>
          <w:sz w:val="24"/>
          <w:szCs w:val="24"/>
        </w:rPr>
        <w:t>5</w:t>
      </w:r>
      <w:r w:rsidRPr="00210D77">
        <w:rPr>
          <w:rFonts w:hAnsi="宋体" w:hint="eastAsia"/>
          <w:kern w:val="0"/>
          <w:sz w:val="24"/>
          <w:szCs w:val="24"/>
        </w:rPr>
        <w:t>）本基金投资于同一原始权益人的各类资产支持证券的比例，不得超过基金</w:t>
      </w:r>
      <w:r>
        <w:rPr>
          <w:rFonts w:hint="eastAsia"/>
          <w:bCs/>
          <w:sz w:val="24"/>
        </w:rPr>
        <w:t>资产净值的</w:t>
      </w:r>
      <w:r>
        <w:rPr>
          <w:rFonts w:hint="eastAsia"/>
          <w:bCs/>
          <w:sz w:val="24"/>
        </w:rPr>
        <w:t>10</w:t>
      </w:r>
      <w:r>
        <w:rPr>
          <w:rFonts w:hint="eastAsia"/>
          <w:bCs/>
          <w:sz w:val="24"/>
        </w:rPr>
        <w:t>％；</w:t>
      </w:r>
    </w:p>
    <w:p w14:paraId="30B2991D"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EA8AA00"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378EB23E"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858D21B"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28150FF"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14:paraId="28B0958F" w14:textId="72CF8165" w:rsidR="0004536B" w:rsidRDefault="003574EC" w:rsidP="002277F0">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9665B14" w14:textId="1DA3E88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sidR="002277F0">
        <w:rPr>
          <w:bCs/>
          <w:sz w:val="24"/>
        </w:rPr>
        <w:t>2</w:t>
      </w:r>
      <w:r>
        <w:rPr>
          <w:rFonts w:hint="eastAsia"/>
          <w:bCs/>
          <w:sz w:val="24"/>
        </w:rPr>
        <w:t>）</w:t>
      </w:r>
      <w:r w:rsidR="002277F0">
        <w:rPr>
          <w:rFonts w:hint="eastAsia"/>
          <w:bCs/>
          <w:sz w:val="24"/>
        </w:rPr>
        <w:t>在</w:t>
      </w:r>
      <w:r w:rsidR="002277F0" w:rsidRPr="00F956EA">
        <w:rPr>
          <w:rFonts w:hint="eastAsia"/>
          <w:bCs/>
          <w:sz w:val="24"/>
        </w:rPr>
        <w:t>开放期内，</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06C0D6BA" w14:textId="341BEE4A"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sidR="002277F0">
        <w:rPr>
          <w:bCs/>
          <w:sz w:val="24"/>
        </w:rPr>
        <w:t>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2EFA437C" w14:textId="2E915AA9"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sidR="002277F0">
        <w:rPr>
          <w:bCs/>
          <w:sz w:val="24"/>
        </w:rPr>
        <w:t>4</w:t>
      </w:r>
      <w:r>
        <w:rPr>
          <w:rFonts w:hint="eastAsia"/>
          <w:bCs/>
          <w:sz w:val="24"/>
        </w:rPr>
        <w:t>）本基金参与股指期货交易，则：</w:t>
      </w:r>
    </w:p>
    <w:p w14:paraId="51FBC270" w14:textId="77777777" w:rsidR="0004536B" w:rsidRDefault="003574EC">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25F2D16" w14:textId="194FCDB4" w:rsidR="0004536B" w:rsidRDefault="003574EC">
      <w:pPr>
        <w:adjustRightInd w:val="0"/>
        <w:snapToGrid w:val="0"/>
        <w:spacing w:line="360" w:lineRule="auto"/>
        <w:ind w:firstLineChars="200" w:firstLine="480"/>
        <w:rPr>
          <w:bCs/>
          <w:sz w:val="24"/>
        </w:rPr>
      </w:pPr>
      <w:r>
        <w:rPr>
          <w:rFonts w:hint="eastAsia"/>
          <w:bCs/>
          <w:sz w:val="24"/>
        </w:rPr>
        <w:t>2</w:t>
      </w:r>
      <w:r>
        <w:rPr>
          <w:rFonts w:hint="eastAsia"/>
          <w:bCs/>
          <w:sz w:val="24"/>
        </w:rPr>
        <w:t>）本基金</w:t>
      </w:r>
      <w:r w:rsidR="002277F0">
        <w:rPr>
          <w:rFonts w:hint="eastAsia"/>
          <w:bCs/>
          <w:sz w:val="24"/>
        </w:rPr>
        <w:t>开放期内，</w:t>
      </w:r>
      <w:r>
        <w:rPr>
          <w:rFonts w:hint="eastAsia"/>
          <w:bCs/>
          <w:sz w:val="24"/>
        </w:rPr>
        <w:t>在任何交易日日终，持有的买入股指期货合约价值与有价证券市值之和，不得超过基金资产净值的</w:t>
      </w:r>
      <w:r>
        <w:rPr>
          <w:rFonts w:hint="eastAsia"/>
          <w:bCs/>
          <w:sz w:val="24"/>
        </w:rPr>
        <w:t>95%</w:t>
      </w:r>
      <w:r w:rsidR="002277F0" w:rsidRPr="002277F0">
        <w:rPr>
          <w:rFonts w:hint="eastAsia"/>
          <w:bCs/>
          <w:sz w:val="24"/>
        </w:rPr>
        <w:t>；封闭期内，在任何交易日日终，持有的买入股指期货合约价值与有价证券市值之和，不得超过基金资产净值的</w:t>
      </w:r>
      <w:r w:rsidR="002277F0" w:rsidRPr="002277F0">
        <w:rPr>
          <w:rFonts w:hint="eastAsia"/>
          <w:bCs/>
          <w:sz w:val="24"/>
        </w:rPr>
        <w:t>100%</w:t>
      </w:r>
      <w:r>
        <w:rPr>
          <w:rFonts w:hint="eastAsia"/>
          <w:bCs/>
          <w:sz w:val="24"/>
        </w:rPr>
        <w:t>。其中，有价证券指股票、债券（不含到期日在一年以内的政府债券）、资产支持证券、买入返售金融资产（不含质押式回购）等；</w:t>
      </w:r>
    </w:p>
    <w:p w14:paraId="58517C22" w14:textId="77777777" w:rsidR="0004536B" w:rsidRDefault="003574EC">
      <w:pPr>
        <w:adjustRightInd w:val="0"/>
        <w:snapToGrid w:val="0"/>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91407B5" w14:textId="77777777" w:rsidR="0004536B" w:rsidRDefault="003574EC">
      <w:pPr>
        <w:adjustRightInd w:val="0"/>
        <w:snapToGrid w:val="0"/>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20787F0D" w14:textId="77777777" w:rsidR="0004536B" w:rsidRDefault="003574EC">
      <w:pPr>
        <w:adjustRightInd w:val="0"/>
        <w:snapToGrid w:val="0"/>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49AED676" w14:textId="259330BC"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sidR="002277F0">
        <w:rPr>
          <w:bCs/>
          <w:sz w:val="24"/>
        </w:rPr>
        <w:t>5</w:t>
      </w:r>
      <w:r>
        <w:rPr>
          <w:rFonts w:hint="eastAsia"/>
          <w:bCs/>
          <w:sz w:val="24"/>
        </w:rPr>
        <w:t>）</w:t>
      </w:r>
      <w:r w:rsidR="002277F0" w:rsidRPr="008D530D">
        <w:rPr>
          <w:rFonts w:hint="eastAsia"/>
          <w:bCs/>
          <w:sz w:val="24"/>
        </w:rPr>
        <w:t>在开放期内，</w:t>
      </w:r>
      <w:r>
        <w:rPr>
          <w:rFonts w:hint="eastAsia"/>
          <w:bCs/>
          <w:sz w:val="24"/>
        </w:rPr>
        <w:t>本基金资产总值不超过基金资产净值的</w:t>
      </w:r>
      <w:r>
        <w:rPr>
          <w:rFonts w:hint="eastAsia"/>
          <w:bCs/>
          <w:sz w:val="24"/>
        </w:rPr>
        <w:t>140%</w:t>
      </w:r>
      <w:r>
        <w:rPr>
          <w:rFonts w:hint="eastAsia"/>
          <w:bCs/>
          <w:sz w:val="24"/>
        </w:rPr>
        <w:t>；</w:t>
      </w:r>
      <w:r w:rsidR="002277F0" w:rsidRPr="008D530D">
        <w:rPr>
          <w:rFonts w:hint="eastAsia"/>
          <w:bCs/>
          <w:sz w:val="24"/>
        </w:rPr>
        <w:t>在封闭期内，本基金的资产总值不超过基金资产净值的</w:t>
      </w:r>
      <w:r w:rsidR="002277F0" w:rsidRPr="008D530D">
        <w:rPr>
          <w:rFonts w:hint="eastAsia"/>
          <w:bCs/>
          <w:sz w:val="24"/>
        </w:rPr>
        <w:t>200%</w:t>
      </w:r>
      <w:r w:rsidR="002277F0" w:rsidRPr="008D530D">
        <w:rPr>
          <w:rFonts w:hint="eastAsia"/>
          <w:bCs/>
          <w:sz w:val="24"/>
        </w:rPr>
        <w:t>；</w:t>
      </w:r>
    </w:p>
    <w:p w14:paraId="5366444F" w14:textId="1AC15492"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sidR="002277F0">
        <w:rPr>
          <w:bCs/>
          <w:sz w:val="24"/>
        </w:rPr>
        <w:t>6</w:t>
      </w:r>
      <w:r>
        <w:rPr>
          <w:rFonts w:hint="eastAsia"/>
          <w:bCs/>
          <w:sz w:val="24"/>
        </w:rPr>
        <w:t>）本基金投资存托凭证的比例限制依照境内上市交易的股票执行；</w:t>
      </w:r>
    </w:p>
    <w:p w14:paraId="15576391" w14:textId="05D62854"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sidR="002277F0">
        <w:rPr>
          <w:bCs/>
          <w:sz w:val="24"/>
        </w:rPr>
        <w:t>7</w:t>
      </w:r>
      <w:r>
        <w:rPr>
          <w:rFonts w:hint="eastAsia"/>
          <w:bCs/>
          <w:sz w:val="24"/>
        </w:rPr>
        <w:t>）法律法规及中国证监会规定的和《基金合同》约定的其他投资限制。</w:t>
      </w:r>
    </w:p>
    <w:p w14:paraId="5493757C" w14:textId="3D8C8772" w:rsidR="0004536B" w:rsidRDefault="003574EC">
      <w:pPr>
        <w:adjustRightInd w:val="0"/>
        <w:snapToGrid w:val="0"/>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sidR="002277F0">
        <w:rPr>
          <w:bCs/>
          <w:sz w:val="24"/>
        </w:rPr>
        <w:t>2</w:t>
      </w:r>
      <w:r>
        <w:rPr>
          <w:rFonts w:hint="eastAsia"/>
          <w:bCs/>
          <w:sz w:val="24"/>
        </w:rPr>
        <w:t>）、（</w:t>
      </w:r>
      <w:r>
        <w:rPr>
          <w:rFonts w:hint="eastAsia"/>
          <w:bCs/>
          <w:sz w:val="24"/>
        </w:rPr>
        <w:t>1</w:t>
      </w:r>
      <w:r w:rsidR="002277F0">
        <w:rPr>
          <w:bCs/>
          <w:sz w:val="24"/>
        </w:rPr>
        <w:t>3</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380EFEA6" w14:textId="77777777" w:rsidR="0004536B" w:rsidRDefault="003574EC">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24BEFA9" w14:textId="77777777" w:rsidR="0004536B" w:rsidRDefault="003574EC">
      <w:pPr>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2635F991" w14:textId="77777777" w:rsidR="0004536B" w:rsidRPr="00210D77" w:rsidRDefault="003574EC" w:rsidP="00210D77">
      <w:pPr>
        <w:widowControl/>
        <w:adjustRightInd w:val="0"/>
        <w:snapToGrid w:val="0"/>
        <w:spacing w:line="360" w:lineRule="auto"/>
        <w:ind w:firstLineChars="200" w:firstLine="480"/>
        <w:rPr>
          <w:rFonts w:hAnsi="宋体"/>
          <w:kern w:val="0"/>
          <w:sz w:val="24"/>
          <w:szCs w:val="24"/>
        </w:rPr>
      </w:pPr>
      <w:r w:rsidRPr="00210D77">
        <w:rPr>
          <w:rFonts w:hAnsi="宋体" w:hint="eastAsia"/>
          <w:kern w:val="0"/>
          <w:sz w:val="24"/>
          <w:szCs w:val="24"/>
        </w:rPr>
        <w:t>2</w:t>
      </w:r>
      <w:r w:rsidRPr="00210D77">
        <w:rPr>
          <w:rFonts w:hAnsi="宋体" w:hint="eastAsia"/>
          <w:kern w:val="0"/>
          <w:sz w:val="24"/>
          <w:szCs w:val="24"/>
        </w:rPr>
        <w:t>、禁止行为</w:t>
      </w:r>
    </w:p>
    <w:p w14:paraId="7FB3FAFA"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lastRenderedPageBreak/>
        <w:t>为维护基金份额持有人的合法权益，基金财产不得用于下列投资或者活动：</w:t>
      </w:r>
    </w:p>
    <w:p w14:paraId="36B037B7"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（1）承销证券；</w:t>
      </w:r>
    </w:p>
    <w:p w14:paraId="21563ABA"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（2）违反规定向他人贷款或者提供担保；</w:t>
      </w:r>
    </w:p>
    <w:p w14:paraId="0417C3D8"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（3）从事承担无限责任的投资；</w:t>
      </w:r>
    </w:p>
    <w:p w14:paraId="1EC0F9E1"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（4）买卖其他基金份额，但是中国证监会另有规定的除外；</w:t>
      </w:r>
    </w:p>
    <w:p w14:paraId="6C3F005B"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（5）向其基金管理人、基金托管人出资；</w:t>
      </w:r>
    </w:p>
    <w:p w14:paraId="47FD982C"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（6）从事内幕交易、操纵证券交易价格及其他不正当的证券交易活动；</w:t>
      </w:r>
    </w:p>
    <w:p w14:paraId="66C3A63A"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（7）法律、行政法规和中国证监会规定禁止的其他活动。</w:t>
      </w:r>
    </w:p>
    <w:p w14:paraId="7ACCDB87"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0ECFCB" w14:textId="77777777" w:rsidR="0004536B" w:rsidRDefault="003574EC">
      <w:pPr>
        <w:snapToGrid w:val="0"/>
        <w:spacing w:line="360" w:lineRule="auto"/>
        <w:ind w:firstLineChars="200"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如法律、行政法规或监管部门取消或变更上述规定，如适用于本基金，基金管理人在履行适当程序后，本基金可不受上述规定的限制或以变更后的规定为准。</w:t>
      </w:r>
    </w:p>
    <w:p w14:paraId="73465B10"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（五）业绩比较基准</w:t>
      </w:r>
    </w:p>
    <w:p w14:paraId="6D20571E" w14:textId="77777777" w:rsidR="0004536B" w:rsidRDefault="003574EC">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14:paraId="0CBAFFBB" w14:textId="77777777" w:rsidR="0004536B" w:rsidRDefault="003574EC">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14:paraId="7CF156B6" w14:textId="77777777" w:rsidR="0004536B" w:rsidRDefault="003574EC">
      <w:pPr>
        <w:adjustRightInd w:val="0"/>
        <w:snapToGrid w:val="0"/>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w:t>
      </w:r>
      <w:r>
        <w:rPr>
          <w:rFonts w:hint="eastAsia"/>
          <w:bCs/>
          <w:sz w:val="24"/>
        </w:rPr>
        <w:lastRenderedPageBreak/>
        <w:t>票为成份股样本，以其发行量为权数的加权平均股价指数，是反映香港股市价幅趋势最有影响的一种股价指数。</w:t>
      </w:r>
    </w:p>
    <w:p w14:paraId="519883A5" w14:textId="77777777" w:rsidR="0004536B" w:rsidRDefault="003574EC">
      <w:pPr>
        <w:adjustRightInd w:val="0"/>
        <w:snapToGrid w:val="0"/>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FF30C6" w14:textId="77777777" w:rsidR="0004536B" w:rsidRDefault="003574EC">
      <w:pPr>
        <w:adjustRightInd w:val="0"/>
        <w:snapToGrid w:val="0"/>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72FF01FB" w14:textId="77777777" w:rsidR="0004536B" w:rsidRDefault="003574EC">
      <w:pPr>
        <w:snapToGrid w:val="0"/>
        <w:spacing w:line="360" w:lineRule="auto"/>
        <w:ind w:firstLineChars="200" w:firstLine="48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3BFBE329"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（六）风险收益特征</w:t>
      </w:r>
    </w:p>
    <w:p w14:paraId="494661CD"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本基金是一只混合型基金，其预期风险和预期收益理论上高于债券型基金和货币市场基金，低于股票型基金。</w:t>
      </w:r>
    </w:p>
    <w:p w14:paraId="2C22E15F"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本基金可投资港股通标的股票，会面临港股通机制下因投资环境、投资标的、市场制度以及交易规则等差异带来的特有风险。</w:t>
      </w:r>
    </w:p>
    <w:p w14:paraId="512CC291"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（七）基金管理人代表基金行使股东</w:t>
      </w:r>
      <w:r w:rsidRPr="00E917F4">
        <w:rPr>
          <w:rFonts w:hAnsi="宋体"/>
          <w:b/>
          <w:sz w:val="24"/>
        </w:rPr>
        <w:t>或</w:t>
      </w:r>
      <w:r w:rsidRPr="00E917F4">
        <w:rPr>
          <w:rFonts w:hAnsi="宋体" w:hint="eastAsia"/>
          <w:b/>
          <w:sz w:val="24"/>
        </w:rPr>
        <w:t>债权人权利的处理原则及方法</w:t>
      </w:r>
    </w:p>
    <w:p w14:paraId="3D311256"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14:paraId="1E994908"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14:paraId="79937EEF"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14:paraId="2A799E85"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16C32C5C"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50" w:name="_Hlt5528681"/>
      <w:bookmarkStart w:id="51" w:name="_Toc109059037"/>
      <w:bookmarkStart w:id="52" w:name="_Toc109059025"/>
      <w:bookmarkStart w:id="53" w:name="_Toc109059036"/>
      <w:bookmarkStart w:id="54" w:name="_Hlt81033424"/>
      <w:bookmarkStart w:id="55" w:name="_Hlt88281392"/>
      <w:bookmarkStart w:id="56" w:name="_Hlt81033092"/>
      <w:bookmarkStart w:id="57" w:name="_Hlt5604240"/>
      <w:bookmarkStart w:id="58" w:name="_Toc155690783"/>
      <w:bookmarkStart w:id="59" w:name="_Toc154909614"/>
      <w:bookmarkEnd w:id="45"/>
      <w:bookmarkEnd w:id="46"/>
      <w:bookmarkEnd w:id="47"/>
      <w:bookmarkEnd w:id="50"/>
      <w:bookmarkEnd w:id="51"/>
      <w:bookmarkEnd w:id="52"/>
      <w:bookmarkEnd w:id="53"/>
      <w:bookmarkEnd w:id="54"/>
      <w:bookmarkEnd w:id="55"/>
      <w:bookmarkEnd w:id="56"/>
      <w:bookmarkEnd w:id="57"/>
      <w:r w:rsidRPr="00E917F4">
        <w:rPr>
          <w:rFonts w:hAnsi="宋体"/>
          <w:b/>
          <w:sz w:val="24"/>
        </w:rPr>
        <w:t>（</w:t>
      </w:r>
      <w:r w:rsidRPr="00E917F4">
        <w:rPr>
          <w:rFonts w:hAnsi="宋体" w:hint="eastAsia"/>
          <w:b/>
          <w:sz w:val="24"/>
        </w:rPr>
        <w:t>八</w:t>
      </w:r>
      <w:r w:rsidRPr="00E917F4">
        <w:rPr>
          <w:rFonts w:hAnsi="宋体"/>
          <w:b/>
          <w:sz w:val="24"/>
        </w:rPr>
        <w:t>）</w:t>
      </w:r>
      <w:r w:rsidRPr="00E917F4">
        <w:rPr>
          <w:rFonts w:hAnsi="宋体" w:hint="eastAsia"/>
          <w:b/>
          <w:sz w:val="24"/>
        </w:rPr>
        <w:t>侧袋机制的实施和投资运作安排</w:t>
      </w:r>
    </w:p>
    <w:p w14:paraId="5889894E"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F6564E8"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lastRenderedPageBreak/>
        <w:t>侧袋机制实施期间，本部分约定的投资组合比例、投资策略、组合限制、业绩比较基准、风险收益特征等约定仅适用于主袋账户。</w:t>
      </w:r>
    </w:p>
    <w:p w14:paraId="5FDCDD83" w14:textId="77777777" w:rsidR="0004536B" w:rsidRDefault="003574EC">
      <w:pPr>
        <w:adjustRightInd w:val="0"/>
        <w:snapToGrid w:val="0"/>
        <w:spacing w:line="360" w:lineRule="auto"/>
        <w:ind w:firstLineChars="200" w:firstLine="480"/>
        <w:rPr>
          <w:rFonts w:ascii="宋体" w:hAnsi="宋体"/>
          <w:sz w:val="24"/>
        </w:rPr>
      </w:pPr>
      <w:r>
        <w:rPr>
          <w:rFonts w:ascii="宋体" w:hAnsi="宋体" w:hint="eastAsia"/>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14:paraId="2D203D2B" w14:textId="530CE0F7"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78208364"/>
      <w:bookmarkEnd w:id="49"/>
      <w:r>
        <w:rPr>
          <w:rFonts w:hAnsi="宋体"/>
          <w:sz w:val="24"/>
          <w:szCs w:val="24"/>
        </w:rPr>
        <w:br w:type="page"/>
      </w:r>
      <w:bookmarkStart w:id="61" w:name="_Toc139631559"/>
      <w:r>
        <w:rPr>
          <w:rFonts w:ascii="宋体" w:hAnsi="宋体" w:hint="eastAsia"/>
          <w:b/>
          <w:kern w:val="0"/>
          <w:sz w:val="30"/>
        </w:rPr>
        <w:lastRenderedPageBreak/>
        <w:t>十</w:t>
      </w:r>
      <w:r w:rsidR="00827A2B">
        <w:rPr>
          <w:rFonts w:ascii="宋体" w:hAnsi="宋体" w:hint="eastAsia"/>
          <w:b/>
          <w:kern w:val="0"/>
          <w:sz w:val="30"/>
        </w:rPr>
        <w:t>一</w:t>
      </w:r>
      <w:r>
        <w:rPr>
          <w:rFonts w:ascii="宋体" w:hAnsi="宋体" w:hint="eastAsia"/>
          <w:b/>
          <w:kern w:val="0"/>
          <w:sz w:val="30"/>
        </w:rPr>
        <w:t>、基金的财产</w:t>
      </w:r>
      <w:bookmarkEnd w:id="61"/>
    </w:p>
    <w:p w14:paraId="48D772F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62" w:name="_Hlk49343903"/>
      <w:r w:rsidRPr="00E917F4">
        <w:rPr>
          <w:rFonts w:hAnsi="宋体"/>
          <w:b/>
          <w:sz w:val="24"/>
        </w:rPr>
        <w:t>（一）基金资产总值</w:t>
      </w:r>
    </w:p>
    <w:p w14:paraId="0C622721" w14:textId="77777777" w:rsidR="0004536B" w:rsidRDefault="003574EC">
      <w:pPr>
        <w:widowControl/>
        <w:adjustRightInd w:val="0"/>
        <w:snapToGrid w:val="0"/>
        <w:spacing w:line="360" w:lineRule="auto"/>
        <w:ind w:firstLineChars="200" w:firstLine="480"/>
        <w:rPr>
          <w:kern w:val="0"/>
          <w:sz w:val="24"/>
        </w:rPr>
      </w:pPr>
      <w:r>
        <w:rPr>
          <w:rFonts w:hAnsi="宋体" w:hint="eastAsia"/>
          <w:sz w:val="24"/>
          <w:szCs w:val="21"/>
        </w:rPr>
        <w:t>基金资产总值是指基金拥有的各类有价证券、股指期货合约、银行存款本息、基金应收款</w:t>
      </w:r>
      <w:r>
        <w:rPr>
          <w:rFonts w:hint="eastAsia"/>
          <w:bCs/>
          <w:sz w:val="24"/>
        </w:rPr>
        <w:t>项</w:t>
      </w:r>
      <w:r>
        <w:rPr>
          <w:rFonts w:hAnsi="宋体" w:hint="eastAsia"/>
          <w:sz w:val="24"/>
          <w:szCs w:val="21"/>
        </w:rPr>
        <w:t>及其他资产的价值总和。</w:t>
      </w:r>
      <w:bookmarkStart w:id="63" w:name="_Toc311810245"/>
      <w:bookmarkEnd w:id="60"/>
    </w:p>
    <w:p w14:paraId="2C83D5B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（二）基金资</w:t>
      </w:r>
      <w:bookmarkEnd w:id="63"/>
      <w:r w:rsidRPr="00E917F4">
        <w:rPr>
          <w:rFonts w:hAnsi="宋体"/>
          <w:b/>
          <w:sz w:val="24"/>
        </w:rPr>
        <w:t>产</w:t>
      </w:r>
      <w:bookmarkEnd w:id="58"/>
      <w:bookmarkEnd w:id="59"/>
      <w:r w:rsidRPr="00E917F4">
        <w:rPr>
          <w:rFonts w:hAnsi="宋体"/>
          <w:b/>
          <w:sz w:val="24"/>
        </w:rPr>
        <w:t>净</w:t>
      </w:r>
      <w:bookmarkStart w:id="64" w:name="_Toc109537391"/>
      <w:r w:rsidRPr="00E917F4">
        <w:rPr>
          <w:rFonts w:hAnsi="宋体"/>
          <w:b/>
          <w:sz w:val="24"/>
        </w:rPr>
        <w:t>值</w:t>
      </w:r>
    </w:p>
    <w:p w14:paraId="58AA6DD9" w14:textId="77777777" w:rsidR="0004536B" w:rsidRDefault="003574EC">
      <w:pPr>
        <w:widowControl/>
        <w:adjustRightInd w:val="0"/>
        <w:snapToGrid w:val="0"/>
        <w:spacing w:line="360" w:lineRule="auto"/>
        <w:ind w:firstLineChars="200" w:firstLine="480"/>
        <w:rPr>
          <w:rFonts w:hAnsi="宋体"/>
          <w:sz w:val="24"/>
          <w:szCs w:val="21"/>
        </w:rPr>
      </w:pPr>
      <w:r>
        <w:rPr>
          <w:rFonts w:hAnsi="宋体"/>
          <w:sz w:val="24"/>
          <w:szCs w:val="21"/>
        </w:rPr>
        <w:t>基</w:t>
      </w:r>
      <w:bookmarkEnd w:id="64"/>
      <w:r>
        <w:rPr>
          <w:rFonts w:hAnsi="宋体"/>
          <w:sz w:val="24"/>
          <w:szCs w:val="21"/>
        </w:rPr>
        <w:t>金资产净值是指基金资产总值</w:t>
      </w:r>
      <w:bookmarkStart w:id="65" w:name="_Toc79392635"/>
      <w:bookmarkStart w:id="66" w:name="_Toc79556449"/>
      <w:r>
        <w:rPr>
          <w:rFonts w:hAnsi="宋体"/>
          <w:sz w:val="24"/>
          <w:szCs w:val="21"/>
        </w:rPr>
        <w:t>减去基金负债后的价值。</w:t>
      </w:r>
    </w:p>
    <w:p w14:paraId="1D4509A8"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（三）基金财产的账户</w:t>
      </w:r>
    </w:p>
    <w:p w14:paraId="7C90341D" w14:textId="677E7BCC" w:rsidR="0004536B" w:rsidRDefault="003574EC">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5"/>
      <w:bookmarkEnd w:id="66"/>
      <w:r>
        <w:rPr>
          <w:bCs/>
          <w:sz w:val="24"/>
        </w:rPr>
        <w:t>金托管人、基金销售机构和基金登记机构自有的财产账户以及其他基金财产账户相独立。</w:t>
      </w:r>
    </w:p>
    <w:p w14:paraId="432C44AE"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（四）基金财产的保管</w:t>
      </w:r>
      <w:r w:rsidRPr="00E917F4">
        <w:rPr>
          <w:rFonts w:hAnsi="宋体" w:hint="eastAsia"/>
          <w:b/>
          <w:sz w:val="24"/>
        </w:rPr>
        <w:t>和</w:t>
      </w:r>
      <w:r w:rsidRPr="00E917F4">
        <w:rPr>
          <w:rFonts w:hAnsi="宋体"/>
          <w:b/>
          <w:sz w:val="24"/>
        </w:rPr>
        <w:t>处分</w:t>
      </w:r>
    </w:p>
    <w:p w14:paraId="1453A2B4" w14:textId="77777777" w:rsidR="0004536B" w:rsidRDefault="003574EC">
      <w:pPr>
        <w:widowControl/>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7957E8C" w14:textId="77777777" w:rsidR="0004536B" w:rsidRDefault="003574EC">
      <w:pPr>
        <w:widowControl/>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62"/>
    </w:p>
    <w:p w14:paraId="6D24B2AC" w14:textId="77777777" w:rsidR="0004536B" w:rsidRDefault="0004536B">
      <w:pPr>
        <w:widowControl/>
        <w:adjustRightInd w:val="0"/>
        <w:snapToGrid w:val="0"/>
        <w:spacing w:line="360" w:lineRule="auto"/>
        <w:ind w:firstLine="200"/>
        <w:rPr>
          <w:rFonts w:ascii="宋体" w:hAnsi="宋体"/>
          <w:kern w:val="0"/>
          <w:sz w:val="24"/>
        </w:rPr>
      </w:pPr>
    </w:p>
    <w:p w14:paraId="33E76D51" w14:textId="14556EB5"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7" w:name="_Toc139631560"/>
      <w:r>
        <w:rPr>
          <w:rFonts w:ascii="宋体" w:hAnsi="宋体" w:hint="eastAsia"/>
          <w:b/>
          <w:kern w:val="0"/>
          <w:sz w:val="30"/>
        </w:rPr>
        <w:lastRenderedPageBreak/>
        <w:t>十</w:t>
      </w:r>
      <w:r w:rsidR="00827A2B">
        <w:rPr>
          <w:rFonts w:ascii="宋体" w:hAnsi="宋体" w:hint="eastAsia"/>
          <w:b/>
          <w:kern w:val="0"/>
          <w:sz w:val="30"/>
        </w:rPr>
        <w:t>二</w:t>
      </w:r>
      <w:r>
        <w:rPr>
          <w:rFonts w:ascii="宋体" w:hAnsi="宋体" w:hint="eastAsia"/>
          <w:b/>
          <w:kern w:val="0"/>
          <w:sz w:val="30"/>
        </w:rPr>
        <w:t>、基金资产的估值</w:t>
      </w:r>
      <w:bookmarkEnd w:id="67"/>
    </w:p>
    <w:p w14:paraId="50598794"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68" w:name="_Hlk50017869"/>
      <w:r w:rsidRPr="00E917F4">
        <w:rPr>
          <w:rFonts w:hAnsi="宋体"/>
          <w:b/>
          <w:sz w:val="24"/>
        </w:rPr>
        <w:t>（一）估值日</w:t>
      </w:r>
    </w:p>
    <w:p w14:paraId="15B319BA" w14:textId="77777777" w:rsidR="0004536B" w:rsidRDefault="003574EC">
      <w:pPr>
        <w:adjustRightInd w:val="0"/>
        <w:snapToGrid w:val="0"/>
        <w:spacing w:line="360" w:lineRule="auto"/>
        <w:ind w:firstLineChars="200" w:firstLine="480"/>
        <w:rPr>
          <w:sz w:val="24"/>
          <w:szCs w:val="24"/>
        </w:rPr>
      </w:pPr>
      <w:r>
        <w:rPr>
          <w:rFonts w:hAnsi="宋体" w:hint="eastAsia"/>
          <w:sz w:val="24"/>
          <w:szCs w:val="24"/>
        </w:rPr>
        <w:t>本基金的估值日为本基金相关的证券交易场所的交易日以及国家法律法规规定需要对外披露基金净值的非交易日。</w:t>
      </w:r>
    </w:p>
    <w:p w14:paraId="12EEA9B3"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（二）估值对象</w:t>
      </w:r>
    </w:p>
    <w:p w14:paraId="68F0E32F" w14:textId="77777777" w:rsidR="0004536B" w:rsidRDefault="003574EC">
      <w:pPr>
        <w:adjustRightInd w:val="0"/>
        <w:snapToGrid w:val="0"/>
        <w:spacing w:line="360" w:lineRule="auto"/>
        <w:ind w:firstLineChars="200" w:firstLine="480"/>
        <w:rPr>
          <w:bCs/>
          <w:sz w:val="24"/>
          <w:szCs w:val="24"/>
        </w:rPr>
      </w:pPr>
      <w:r>
        <w:rPr>
          <w:rFonts w:hint="eastAsia"/>
          <w:bCs/>
          <w:sz w:val="24"/>
          <w:szCs w:val="24"/>
        </w:rPr>
        <w:t>基金所拥有的股票、债券、资产支持证券、衍生工具和其他投资等持续以公允价值计量的金融资产及负债。</w:t>
      </w:r>
    </w:p>
    <w:p w14:paraId="7C4873E3"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（三）估值</w:t>
      </w:r>
      <w:r w:rsidRPr="00E917F4">
        <w:rPr>
          <w:rFonts w:hAnsi="宋体" w:hint="eastAsia"/>
          <w:b/>
          <w:sz w:val="24"/>
        </w:rPr>
        <w:t>原则</w:t>
      </w:r>
    </w:p>
    <w:p w14:paraId="0292C84D" w14:textId="77777777" w:rsidR="0004536B" w:rsidRDefault="003574EC">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541AD6C3" w14:textId="77777777" w:rsidR="0004536B" w:rsidRDefault="003574EC">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ADD7CD" w14:textId="77777777" w:rsidR="0004536B" w:rsidRDefault="003574EC">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C3C9F9A" w14:textId="77777777" w:rsidR="0004536B" w:rsidRDefault="003574EC">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CC39F66" w14:textId="77777777" w:rsidR="0004536B" w:rsidRDefault="003574EC">
      <w:pPr>
        <w:adjustRightInd w:val="0"/>
        <w:snapToGrid w:val="0"/>
        <w:spacing w:line="360" w:lineRule="auto"/>
        <w:ind w:firstLineChars="200" w:firstLine="480"/>
        <w:rPr>
          <w:bCs/>
          <w:sz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7C6FEB1"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lastRenderedPageBreak/>
        <w:t>（</w:t>
      </w:r>
      <w:r w:rsidRPr="00E917F4">
        <w:rPr>
          <w:rFonts w:hAnsi="宋体" w:hint="eastAsia"/>
          <w:b/>
          <w:sz w:val="24"/>
        </w:rPr>
        <w:t>四</w:t>
      </w:r>
      <w:r w:rsidRPr="00E917F4">
        <w:rPr>
          <w:rFonts w:hAnsi="宋体"/>
          <w:b/>
          <w:sz w:val="24"/>
        </w:rPr>
        <w:t>）估值方法</w:t>
      </w:r>
    </w:p>
    <w:p w14:paraId="2825C935" w14:textId="77777777" w:rsidR="0004536B" w:rsidRDefault="003574E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、证券交易所上市的有价证券的估值</w:t>
      </w:r>
    </w:p>
    <w:p w14:paraId="4CA4C84D"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8A507D7"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14:paraId="1E2AA317"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64BF76FB"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14:paraId="20445BEB"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14:paraId="79870CF3"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D08CA86" w14:textId="77777777" w:rsidR="0004536B" w:rsidRDefault="003574EC">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bCs/>
          <w:sz w:val="24"/>
        </w:rPr>
        <w:t>处于</w:t>
      </w:r>
      <w:r>
        <w:rPr>
          <w:rFonts w:hint="eastAsia"/>
          <w:sz w:val="24"/>
          <w:szCs w:val="24"/>
        </w:rPr>
        <w:t>未上市期间的有价证券应区分如下情况处理：</w:t>
      </w:r>
    </w:p>
    <w:p w14:paraId="654E6772"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14:paraId="0BE3686B"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）首次公开发行未上市的股票和债券，采用估值技术确定公允价值，在估值</w:t>
      </w:r>
      <w:r>
        <w:rPr>
          <w:rFonts w:hint="eastAsia"/>
          <w:sz w:val="24"/>
          <w:szCs w:val="24"/>
        </w:rPr>
        <w:lastRenderedPageBreak/>
        <w:t>技术难以可靠计量公允价值的情况下，按成本估值；</w:t>
      </w:r>
    </w:p>
    <w:p w14:paraId="2E2988D8" w14:textId="77777777" w:rsidR="0004536B" w:rsidRDefault="003574EC">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A73943F" w14:textId="77777777" w:rsidR="0004536B" w:rsidRDefault="003574EC">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0AFD32" w14:textId="77777777" w:rsidR="002277F0" w:rsidRDefault="003574EC">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w:t>
      </w:r>
      <w:r w:rsidR="002277F0" w:rsidRPr="002277F0">
        <w:rPr>
          <w:rFonts w:hint="eastAsia"/>
          <w:sz w:val="24"/>
          <w:szCs w:val="24"/>
        </w:rPr>
        <w:t>同一证券同时在两个或两个以上市场交易的，按证券所处的市场分别估值。</w:t>
      </w:r>
    </w:p>
    <w:p w14:paraId="33A02581" w14:textId="77777777" w:rsidR="0004536B" w:rsidRDefault="002277F0">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w:t>
      </w:r>
      <w:r w:rsidR="003574EC">
        <w:rPr>
          <w:rFonts w:hint="eastAsia"/>
          <w:sz w:val="24"/>
          <w:szCs w:val="24"/>
        </w:rPr>
        <w:t>本基金投资股指期货合约，一般以估值当日结算价进行估值，估值当日无结算价的，且最近交易日后经济环境未发生重大变化的，采用最近交易日结算价估值。</w:t>
      </w:r>
    </w:p>
    <w:p w14:paraId="21CBA480" w14:textId="0A873204" w:rsidR="0004536B" w:rsidRDefault="002277F0">
      <w:pPr>
        <w:adjustRightInd w:val="0"/>
        <w:snapToGrid w:val="0"/>
        <w:spacing w:line="360" w:lineRule="auto"/>
        <w:ind w:firstLineChars="200" w:firstLine="480"/>
        <w:rPr>
          <w:sz w:val="24"/>
          <w:szCs w:val="24"/>
        </w:rPr>
      </w:pPr>
      <w:r>
        <w:rPr>
          <w:sz w:val="24"/>
          <w:szCs w:val="24"/>
        </w:rPr>
        <w:t>6</w:t>
      </w:r>
      <w:r w:rsidR="003574EC">
        <w:rPr>
          <w:rFonts w:hint="eastAsia"/>
          <w:sz w:val="24"/>
          <w:szCs w:val="24"/>
        </w:rPr>
        <w:t>、估值计算中涉及港币对人民币汇率的，将依据下列信息提供机构所提供的汇率为基准：当日中国人民银行或其授权机构公布的人民币与港币的中间价。</w:t>
      </w:r>
    </w:p>
    <w:p w14:paraId="1C7285CA" w14:textId="7F96707B" w:rsidR="0004536B" w:rsidRDefault="002277F0">
      <w:pPr>
        <w:adjustRightInd w:val="0"/>
        <w:snapToGrid w:val="0"/>
        <w:spacing w:line="360" w:lineRule="auto"/>
        <w:ind w:firstLineChars="200" w:firstLine="480"/>
        <w:rPr>
          <w:sz w:val="24"/>
          <w:szCs w:val="24"/>
        </w:rPr>
      </w:pPr>
      <w:r>
        <w:rPr>
          <w:sz w:val="24"/>
          <w:szCs w:val="24"/>
        </w:rPr>
        <w:t>7</w:t>
      </w:r>
      <w:r w:rsidR="003574EC">
        <w:rPr>
          <w:rFonts w:hint="eastAsia"/>
          <w:sz w:val="24"/>
          <w:szCs w:val="24"/>
        </w:rPr>
        <w:t>、对于因税收规定调整或其他原因导致产品实际交纳税金与估算的应交税金有差异的，产品将在相关税金调整日或实际支付日进行相应的会计处理。</w:t>
      </w:r>
    </w:p>
    <w:p w14:paraId="70834E34" w14:textId="49662541" w:rsidR="0004536B" w:rsidRDefault="002277F0">
      <w:pPr>
        <w:adjustRightInd w:val="0"/>
        <w:snapToGrid w:val="0"/>
        <w:spacing w:line="360" w:lineRule="auto"/>
        <w:ind w:firstLineChars="200" w:firstLine="480"/>
        <w:rPr>
          <w:sz w:val="24"/>
          <w:szCs w:val="24"/>
        </w:rPr>
      </w:pPr>
      <w:r>
        <w:rPr>
          <w:sz w:val="24"/>
          <w:szCs w:val="24"/>
        </w:rPr>
        <w:t>8</w:t>
      </w:r>
      <w:r w:rsidR="003574EC">
        <w:rPr>
          <w:rFonts w:hint="eastAsia"/>
          <w:sz w:val="24"/>
          <w:szCs w:val="24"/>
        </w:rPr>
        <w:t>、本基金投资存托凭证的估值核算依照境内上市交易的股票执行。</w:t>
      </w:r>
    </w:p>
    <w:p w14:paraId="785C0717" w14:textId="6EB01124" w:rsidR="0004536B" w:rsidRDefault="002277F0">
      <w:pPr>
        <w:adjustRightInd w:val="0"/>
        <w:snapToGrid w:val="0"/>
        <w:spacing w:line="360" w:lineRule="auto"/>
        <w:ind w:firstLineChars="200" w:firstLine="480"/>
        <w:rPr>
          <w:sz w:val="24"/>
          <w:szCs w:val="24"/>
        </w:rPr>
      </w:pPr>
      <w:r>
        <w:rPr>
          <w:sz w:val="24"/>
          <w:szCs w:val="24"/>
        </w:rPr>
        <w:t>9</w:t>
      </w:r>
      <w:r w:rsidR="003574EC">
        <w:rPr>
          <w:rFonts w:hint="eastAsia"/>
          <w:sz w:val="24"/>
          <w:szCs w:val="24"/>
        </w:rPr>
        <w:t>、如有确凿证据表明按上述方法进行估值不能客观反映其公允价值的，基金管理人可根据具体情况与基金托管人商定后，按最能反映公允价值的价格估值。</w:t>
      </w:r>
    </w:p>
    <w:p w14:paraId="7D88F443" w14:textId="738E8CCF" w:rsidR="0004536B" w:rsidRDefault="002277F0">
      <w:pPr>
        <w:adjustRightInd w:val="0"/>
        <w:snapToGrid w:val="0"/>
        <w:spacing w:line="360" w:lineRule="auto"/>
        <w:ind w:firstLineChars="200" w:firstLine="480"/>
        <w:rPr>
          <w:sz w:val="24"/>
          <w:szCs w:val="24"/>
        </w:rPr>
      </w:pPr>
      <w:r>
        <w:rPr>
          <w:sz w:val="24"/>
          <w:szCs w:val="24"/>
        </w:rPr>
        <w:t>10</w:t>
      </w:r>
      <w:r w:rsidR="003574EC">
        <w:rPr>
          <w:rFonts w:hint="eastAsia"/>
          <w:sz w:val="24"/>
          <w:szCs w:val="24"/>
        </w:rPr>
        <w:t>、当发生大额申购或赎回情形时，基金管理人可以采用摆动定价机制，以确保基金估值的公平性。</w:t>
      </w:r>
    </w:p>
    <w:p w14:paraId="0A0FB8BC" w14:textId="3EBCCF6B" w:rsidR="0004536B" w:rsidRDefault="002277F0">
      <w:pPr>
        <w:adjustRightInd w:val="0"/>
        <w:snapToGrid w:val="0"/>
        <w:spacing w:line="360" w:lineRule="auto"/>
        <w:ind w:firstLineChars="200" w:firstLine="480"/>
        <w:rPr>
          <w:sz w:val="24"/>
          <w:szCs w:val="24"/>
        </w:rPr>
      </w:pPr>
      <w:r>
        <w:rPr>
          <w:sz w:val="24"/>
          <w:szCs w:val="24"/>
        </w:rPr>
        <w:t>11</w:t>
      </w:r>
      <w:r w:rsidR="003574EC">
        <w:rPr>
          <w:rFonts w:hint="eastAsia"/>
          <w:sz w:val="24"/>
          <w:szCs w:val="24"/>
        </w:rPr>
        <w:t>、相关法律法规以及监管部门有强制规定的，从其规定。如有新增事项，按国家最新规定估值。</w:t>
      </w:r>
    </w:p>
    <w:p w14:paraId="182ECAA8" w14:textId="77777777" w:rsidR="0004536B" w:rsidRDefault="003574EC">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w:t>
      </w:r>
      <w:r>
        <w:rPr>
          <w:rFonts w:hint="eastAsia"/>
          <w:sz w:val="24"/>
          <w:szCs w:val="24"/>
        </w:rPr>
        <w:lastRenderedPageBreak/>
        <w:t>共同查明原因，双方协商解决。</w:t>
      </w:r>
    </w:p>
    <w:p w14:paraId="56215803" w14:textId="77777777" w:rsidR="0004536B" w:rsidRDefault="003574EC">
      <w:pPr>
        <w:adjustRightInd w:val="0"/>
        <w:snapToGrid w:val="0"/>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14:paraId="583A41C8"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w:t>
      </w:r>
      <w:r w:rsidRPr="00E917F4">
        <w:rPr>
          <w:rFonts w:hAnsi="宋体" w:hint="eastAsia"/>
          <w:b/>
          <w:sz w:val="24"/>
        </w:rPr>
        <w:t>五</w:t>
      </w:r>
      <w:r w:rsidRPr="00E917F4">
        <w:rPr>
          <w:rFonts w:hAnsi="宋体"/>
          <w:b/>
          <w:sz w:val="24"/>
        </w:rPr>
        <w:t>）估值程序</w:t>
      </w:r>
    </w:p>
    <w:p w14:paraId="4DFA7590" w14:textId="6AFA591D" w:rsidR="0004536B" w:rsidRDefault="003574E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、基金份额净值是按照每个工作日闭市后，基金资产净值除以当日基金份额的余额数量计算，精确到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14:paraId="1C7D0256" w14:textId="5306D08B" w:rsidR="0004536B" w:rsidRDefault="003574EC">
      <w:pPr>
        <w:adjustRightInd w:val="0"/>
        <w:snapToGrid w:val="0"/>
        <w:spacing w:line="360" w:lineRule="auto"/>
        <w:ind w:firstLineChars="200" w:firstLine="480"/>
        <w:rPr>
          <w:sz w:val="24"/>
          <w:szCs w:val="24"/>
        </w:rPr>
      </w:pPr>
      <w:r>
        <w:rPr>
          <w:rFonts w:hint="eastAsia"/>
          <w:sz w:val="24"/>
          <w:szCs w:val="24"/>
        </w:rPr>
        <w:t>基金管理人于每个工作日计算基金资产净值及基金份额净值，并按规定公告。如遇特殊情况，经履行适当程序，可以适当延迟计算或公告。</w:t>
      </w:r>
    </w:p>
    <w:p w14:paraId="02CF5BBD" w14:textId="477B4A2C" w:rsidR="0004536B" w:rsidRDefault="003574EC">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67FF0181"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w:t>
      </w:r>
      <w:r w:rsidRPr="00E917F4">
        <w:rPr>
          <w:rFonts w:hAnsi="宋体" w:hint="eastAsia"/>
          <w:b/>
          <w:sz w:val="24"/>
        </w:rPr>
        <w:t>六</w:t>
      </w:r>
      <w:r w:rsidRPr="00E917F4">
        <w:rPr>
          <w:rFonts w:hAnsi="宋体"/>
          <w:b/>
          <w:sz w:val="24"/>
        </w:rPr>
        <w:t>）估值错误的处理</w:t>
      </w:r>
    </w:p>
    <w:p w14:paraId="3CE99346"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14:paraId="67C3B400"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14:paraId="59DD6074" w14:textId="77777777" w:rsidR="0004536B" w:rsidRDefault="003574EC" w:rsidP="00210D77">
      <w:pPr>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、估值错误类型</w:t>
      </w:r>
    </w:p>
    <w:p w14:paraId="1CCA3708"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4ADEF2C"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上述估值错误的主要类型包括但不限于：资料申报差错、数据传输差错、数据计算差错、系统故障差错、下达指令差错等。</w:t>
      </w:r>
    </w:p>
    <w:p w14:paraId="6FBD267A"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lastRenderedPageBreak/>
        <w:t>对于因技术原因引起的差错，若系同行业现有技术水平无法预见、无法避免、无法抗拒，则属不可抗力，按照下述规定执行。</w:t>
      </w:r>
    </w:p>
    <w:p w14:paraId="4679F8B3"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046D7E6" w14:textId="77777777" w:rsidR="0004536B" w:rsidRDefault="003574EC" w:rsidP="00210D77">
      <w:pPr>
        <w:adjustRightInd w:val="0"/>
        <w:snapToGrid w:val="0"/>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、估值错误处理原则</w:t>
      </w:r>
    </w:p>
    <w:p w14:paraId="48D56979"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3C1568"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）估值错误的责任方对有关当事人的直接损失负责，不对间接损失负责，并且仅对估值错误的有关直接当事人负责，不对第三方负责。</w:t>
      </w:r>
    </w:p>
    <w:p w14:paraId="220E1771"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A609AB"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14:paraId="29CDA0C4"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14:paraId="509D4928" w14:textId="77777777" w:rsidR="0004536B" w:rsidRDefault="003574EC" w:rsidP="00210D77">
      <w:pPr>
        <w:adjustRightInd w:val="0"/>
        <w:snapToGrid w:val="0"/>
        <w:spacing w:line="360" w:lineRule="auto"/>
        <w:ind w:firstLineChars="200" w:firstLine="480"/>
        <w:rPr>
          <w:rFonts w:hAnsi="宋体"/>
          <w:sz w:val="24"/>
          <w:szCs w:val="24"/>
        </w:rPr>
      </w:pPr>
      <w:r>
        <w:rPr>
          <w:rFonts w:hAnsi="宋体" w:hint="eastAsia"/>
          <w:sz w:val="24"/>
          <w:szCs w:val="24"/>
        </w:rPr>
        <w:t>3</w:t>
      </w:r>
      <w:r>
        <w:rPr>
          <w:rFonts w:hAnsi="宋体" w:hint="eastAsia"/>
          <w:sz w:val="24"/>
          <w:szCs w:val="24"/>
        </w:rPr>
        <w:t>、估值错误处理程序</w:t>
      </w:r>
    </w:p>
    <w:p w14:paraId="3D0C6816"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估值错误被发现后，有关的当事人应当及时进行处理，处理的程序如下：</w:t>
      </w:r>
    </w:p>
    <w:p w14:paraId="2001E4B1"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）查明估值错误发生的原因，列明所有的当事人，并根据估值错误发生的原因确定估值错误的责任方；</w:t>
      </w:r>
    </w:p>
    <w:p w14:paraId="03AF25D5"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）根据估值错误处理原则或当事人协商的方法对因估值错误造成的损失进</w:t>
      </w:r>
      <w:r>
        <w:rPr>
          <w:rFonts w:hAnsi="宋体" w:hint="eastAsia"/>
          <w:sz w:val="24"/>
          <w:szCs w:val="24"/>
        </w:rPr>
        <w:lastRenderedPageBreak/>
        <w:t>行评估；</w:t>
      </w:r>
    </w:p>
    <w:p w14:paraId="714B1373"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）根据估值错误处理原则或当事人协商的方法由估值错误的责任方进行更正和赔偿损失；</w:t>
      </w:r>
    </w:p>
    <w:p w14:paraId="68361005"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）根据估值错误处理的方法，需要修改基金登记机构交易数据的，由基金登记机构进行更正，并就估值错误的更正向有关当事人进行确认。</w:t>
      </w:r>
    </w:p>
    <w:p w14:paraId="7D1189B9" w14:textId="77777777" w:rsidR="0004536B" w:rsidRDefault="003574EC" w:rsidP="00210D77">
      <w:pPr>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、基金份额净值估值错误处理的方法如下：</w:t>
      </w:r>
    </w:p>
    <w:p w14:paraId="24DD6C5B"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）基金份额净值计算出现错误时，基金管理人应当立即予以纠正，通报基金托管人，并采取合理的措施防止损失进一步扩大。</w:t>
      </w:r>
    </w:p>
    <w:p w14:paraId="5D929322"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）错误偏差达到基金份额净值的</w:t>
      </w:r>
      <w:r>
        <w:rPr>
          <w:rFonts w:hAnsi="宋体" w:hint="eastAsia"/>
          <w:sz w:val="24"/>
          <w:szCs w:val="24"/>
        </w:rPr>
        <w:t>0.25%</w:t>
      </w:r>
      <w:r>
        <w:rPr>
          <w:rFonts w:hAnsi="宋体" w:hint="eastAsia"/>
          <w:sz w:val="24"/>
          <w:szCs w:val="24"/>
        </w:rPr>
        <w:t>时，基金管理人应当通报基金托管人并报中国证监会备案；错误偏差达到基金份额净值的</w:t>
      </w:r>
      <w:r>
        <w:rPr>
          <w:rFonts w:hAnsi="宋体" w:hint="eastAsia"/>
          <w:sz w:val="24"/>
          <w:szCs w:val="24"/>
        </w:rPr>
        <w:t>0.5%</w:t>
      </w:r>
      <w:r>
        <w:rPr>
          <w:rFonts w:hAnsi="宋体" w:hint="eastAsia"/>
          <w:sz w:val="24"/>
          <w:szCs w:val="24"/>
        </w:rPr>
        <w:t>时，基金管理人应当公告，并报中国证监会备案。</w:t>
      </w:r>
    </w:p>
    <w:p w14:paraId="5B236268"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77830E90"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9D2A1E5"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2099CA80"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FA512A"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0C0888BC"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lastRenderedPageBreak/>
        <w:t>（</w:t>
      </w:r>
      <w:r>
        <w:rPr>
          <w:rFonts w:hAnsi="宋体" w:hint="eastAsia"/>
          <w:sz w:val="24"/>
          <w:szCs w:val="24"/>
        </w:rPr>
        <w:t>4</w:t>
      </w:r>
      <w:r>
        <w:rPr>
          <w:rFonts w:hAnsi="宋体" w:hint="eastAsia"/>
          <w:sz w:val="24"/>
          <w:szCs w:val="24"/>
        </w:rPr>
        <w:t>）前述内容如法律法规或监管机关另有规定的，从其规定处理。</w:t>
      </w:r>
    </w:p>
    <w:p w14:paraId="3E724AEC"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w:t>
      </w:r>
      <w:r w:rsidRPr="00E917F4">
        <w:rPr>
          <w:rFonts w:hAnsi="宋体" w:hint="eastAsia"/>
          <w:b/>
          <w:sz w:val="24"/>
        </w:rPr>
        <w:t>七</w:t>
      </w:r>
      <w:r w:rsidRPr="00E917F4">
        <w:rPr>
          <w:rFonts w:hAnsi="宋体"/>
          <w:b/>
          <w:sz w:val="24"/>
        </w:rPr>
        <w:t>）暂停估值的情形</w:t>
      </w:r>
    </w:p>
    <w:p w14:paraId="41B1032C" w14:textId="77777777" w:rsidR="0004536B" w:rsidRDefault="003574E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、基金投资所涉及的证券、期货交易市场遇法定节假日或因其他原因暂停营业时；</w:t>
      </w:r>
    </w:p>
    <w:p w14:paraId="3ED374BE" w14:textId="77777777" w:rsidR="0004536B" w:rsidRDefault="003574EC">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14:paraId="51327AFC" w14:textId="77777777" w:rsidR="0004536B" w:rsidRDefault="003574EC">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、当特定资产占前一估值日基金资产净值</w:t>
      </w:r>
      <w:r>
        <w:rPr>
          <w:rFonts w:hint="eastAsia"/>
          <w:sz w:val="24"/>
          <w:szCs w:val="24"/>
        </w:rPr>
        <w:t>50%</w:t>
      </w:r>
      <w:r>
        <w:rPr>
          <w:rFonts w:hint="eastAsia"/>
          <w:sz w:val="24"/>
          <w:szCs w:val="24"/>
        </w:rPr>
        <w:t>以上的，经与基金托管人协商确认后，基金管理人应当暂停估值；</w:t>
      </w:r>
    </w:p>
    <w:p w14:paraId="18A4E6D9" w14:textId="77777777" w:rsidR="0004536B" w:rsidRDefault="003574EC">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、法律法规、中国证监会和基金合同认定的其它情形。</w:t>
      </w:r>
    </w:p>
    <w:p w14:paraId="0938C962"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w:t>
      </w:r>
      <w:r w:rsidRPr="00E917F4">
        <w:rPr>
          <w:rFonts w:hAnsi="宋体" w:hint="eastAsia"/>
          <w:b/>
          <w:sz w:val="24"/>
        </w:rPr>
        <w:t>八</w:t>
      </w:r>
      <w:r w:rsidRPr="00E917F4">
        <w:rPr>
          <w:rFonts w:hAnsi="宋体"/>
          <w:b/>
          <w:sz w:val="24"/>
        </w:rPr>
        <w:t>）基金净值的确认</w:t>
      </w:r>
    </w:p>
    <w:p w14:paraId="62927111" w14:textId="2F0BB936" w:rsidR="0004536B" w:rsidRDefault="003574EC">
      <w:pPr>
        <w:adjustRightInd w:val="0"/>
        <w:snapToGrid w:val="0"/>
        <w:spacing w:line="360" w:lineRule="auto"/>
        <w:ind w:firstLineChars="200" w:firstLine="480"/>
        <w:rPr>
          <w:sz w:val="24"/>
          <w:szCs w:val="24"/>
        </w:rPr>
      </w:pPr>
      <w:r>
        <w:rPr>
          <w:rFonts w:hAnsi="宋体" w:hint="eastAsia"/>
          <w:sz w:val="24"/>
          <w:szCs w:val="24"/>
        </w:rPr>
        <w:t>基金资产净值和基金份额净值由基金管理人负责计算，基金托管人负责进行复核。基金管理人应于每个</w:t>
      </w:r>
      <w:r w:rsidR="002277F0">
        <w:rPr>
          <w:rFonts w:hAnsi="宋体" w:hint="eastAsia"/>
          <w:sz w:val="24"/>
          <w:szCs w:val="24"/>
        </w:rPr>
        <w:t>工作</w:t>
      </w:r>
      <w:r>
        <w:rPr>
          <w:rFonts w:hAnsi="宋体" w:hint="eastAsia"/>
          <w:sz w:val="24"/>
          <w:szCs w:val="24"/>
        </w:rPr>
        <w:t>日交易结束后计算当日基金资产净值和基金份额净值并发送给基金托管人。基金托管人对净值计算结果复核确认后发送给基金管理人，由基金管理人依据基金合同和相关法律法规的规定对基金净值予以公布。</w:t>
      </w:r>
    </w:p>
    <w:p w14:paraId="2708896C"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w:t>
      </w:r>
      <w:r w:rsidRPr="00E917F4">
        <w:rPr>
          <w:rFonts w:hAnsi="宋体" w:hint="eastAsia"/>
          <w:b/>
          <w:sz w:val="24"/>
        </w:rPr>
        <w:t>九</w:t>
      </w:r>
      <w:r w:rsidRPr="00E917F4">
        <w:rPr>
          <w:rFonts w:hAnsi="宋体"/>
          <w:b/>
          <w:sz w:val="24"/>
        </w:rPr>
        <w:t>）特殊情</w:t>
      </w:r>
      <w:r w:rsidRPr="00E917F4">
        <w:rPr>
          <w:rFonts w:hAnsi="宋体" w:hint="eastAsia"/>
          <w:b/>
          <w:sz w:val="24"/>
        </w:rPr>
        <w:t>形</w:t>
      </w:r>
      <w:r w:rsidRPr="00E917F4">
        <w:rPr>
          <w:rFonts w:hAnsi="宋体"/>
          <w:b/>
          <w:sz w:val="24"/>
        </w:rPr>
        <w:t>的处理</w:t>
      </w:r>
    </w:p>
    <w:p w14:paraId="0D8CAB76" w14:textId="57632BDB" w:rsidR="0004536B" w:rsidRDefault="003574EC">
      <w:pPr>
        <w:adjustRightInd w:val="0"/>
        <w:snapToGrid w:val="0"/>
        <w:spacing w:line="360" w:lineRule="auto"/>
        <w:ind w:firstLineChars="200" w:firstLine="480"/>
        <w:rPr>
          <w:sz w:val="24"/>
          <w:szCs w:val="24"/>
        </w:rPr>
      </w:pPr>
      <w:r>
        <w:rPr>
          <w:sz w:val="24"/>
          <w:szCs w:val="24"/>
        </w:rPr>
        <w:t>1</w:t>
      </w:r>
      <w:r>
        <w:rPr>
          <w:rFonts w:hint="eastAsia"/>
          <w:sz w:val="24"/>
          <w:szCs w:val="24"/>
        </w:rPr>
        <w:t>、基金管理人或基金托管人按估值方法的第</w:t>
      </w:r>
      <w:r w:rsidR="002277F0">
        <w:rPr>
          <w:rFonts w:hint="eastAsia"/>
          <w:sz w:val="24"/>
          <w:szCs w:val="24"/>
        </w:rPr>
        <w:t>9</w:t>
      </w:r>
      <w:r>
        <w:rPr>
          <w:rFonts w:hint="eastAsia"/>
          <w:sz w:val="24"/>
          <w:szCs w:val="24"/>
        </w:rPr>
        <w:t>项进行估值时，所造成的误差不作为基金资产估值错误处理。</w:t>
      </w:r>
    </w:p>
    <w:p w14:paraId="689A7C52" w14:textId="77777777" w:rsidR="0004536B" w:rsidRDefault="003574EC">
      <w:pPr>
        <w:adjustRightInd w:val="0"/>
        <w:snapToGrid w:val="0"/>
        <w:spacing w:line="360" w:lineRule="auto"/>
        <w:ind w:firstLineChars="200" w:firstLine="480"/>
        <w:rPr>
          <w:sz w:val="24"/>
          <w:szCs w:val="24"/>
        </w:rPr>
      </w:pPr>
      <w:r>
        <w:rPr>
          <w:sz w:val="24"/>
          <w:szCs w:val="24"/>
        </w:rPr>
        <w:t>2</w:t>
      </w:r>
      <w:r>
        <w:rPr>
          <w:rFonts w:hint="eastAsia"/>
          <w:sz w:val="24"/>
          <w:szCs w:val="24"/>
        </w:rPr>
        <w:t>、由于不可抗力原因，或由于证券、期货交易所、证券经纪机构、期货公司及登记结算公司</w:t>
      </w:r>
      <w:r w:rsidR="002277F0">
        <w:rPr>
          <w:rFonts w:hint="eastAsia"/>
          <w:bCs/>
          <w:sz w:val="24"/>
        </w:rPr>
        <w:t>等第三方机构</w:t>
      </w:r>
      <w:r>
        <w:rPr>
          <w:rFonts w:hint="eastAsia"/>
          <w:sz w:val="24"/>
          <w:szCs w:val="24"/>
        </w:rPr>
        <w:t>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9A0474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（十）实施侧袋机制期间的基金资产估值</w:t>
      </w:r>
    </w:p>
    <w:p w14:paraId="64DC5C4B" w14:textId="77777777" w:rsidR="0004536B" w:rsidRDefault="003574EC">
      <w:pPr>
        <w:adjustRightInd w:val="0"/>
        <w:snapToGrid w:val="0"/>
        <w:spacing w:line="360" w:lineRule="auto"/>
        <w:ind w:firstLineChars="200" w:firstLine="480"/>
        <w:rPr>
          <w:rFonts w:hAnsi="宋体"/>
          <w:sz w:val="24"/>
          <w:szCs w:val="24"/>
        </w:rPr>
      </w:pPr>
      <w:r>
        <w:rPr>
          <w:rFonts w:hAnsi="宋体" w:hint="eastAsia"/>
          <w:sz w:val="24"/>
          <w:szCs w:val="24"/>
        </w:rPr>
        <w:t>本基金实施侧袋机制的，应根据本部分的约定对主袋账户资产进行估值并披露主袋账户的基金净值信息，暂停披露侧袋账户份额净值。</w:t>
      </w:r>
      <w:bookmarkEnd w:id="68"/>
    </w:p>
    <w:p w14:paraId="74CD84BB" w14:textId="2521C534" w:rsidR="0004536B" w:rsidRDefault="003574EC">
      <w:pPr>
        <w:adjustRightInd w:val="0"/>
        <w:snapToGrid w:val="0"/>
        <w:spacing w:line="360" w:lineRule="auto"/>
        <w:jc w:val="center"/>
        <w:outlineLvl w:val="0"/>
        <w:rPr>
          <w:rFonts w:ascii="宋体" w:hAnsi="宋体"/>
          <w:b/>
          <w:kern w:val="0"/>
          <w:sz w:val="30"/>
        </w:rPr>
      </w:pPr>
      <w:r>
        <w:rPr>
          <w:sz w:val="24"/>
          <w:szCs w:val="24"/>
        </w:rPr>
        <w:br w:type="page"/>
      </w:r>
      <w:bookmarkStart w:id="69" w:name="_Toc139631561"/>
      <w:r>
        <w:rPr>
          <w:rFonts w:ascii="宋体" w:hAnsi="宋体" w:hint="eastAsia"/>
          <w:b/>
          <w:kern w:val="0"/>
          <w:sz w:val="30"/>
        </w:rPr>
        <w:lastRenderedPageBreak/>
        <w:t>十</w:t>
      </w:r>
      <w:r w:rsidR="00827A2B">
        <w:rPr>
          <w:rFonts w:ascii="宋体" w:hAnsi="宋体" w:hint="eastAsia"/>
          <w:b/>
          <w:kern w:val="0"/>
          <w:sz w:val="30"/>
        </w:rPr>
        <w:t>三</w:t>
      </w:r>
      <w:r>
        <w:rPr>
          <w:rFonts w:ascii="宋体" w:hAnsi="宋体" w:hint="eastAsia"/>
          <w:b/>
          <w:kern w:val="0"/>
          <w:sz w:val="30"/>
        </w:rPr>
        <w:t>、基金收益与分配</w:t>
      </w:r>
      <w:bookmarkEnd w:id="69"/>
    </w:p>
    <w:p w14:paraId="0B69F1D3"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70" w:name="_Hlk49343954"/>
      <w:r>
        <w:rPr>
          <w:rFonts w:hAnsi="宋体"/>
          <w:b/>
          <w:sz w:val="24"/>
        </w:rPr>
        <w:t>（一）基金利润的构成</w:t>
      </w:r>
    </w:p>
    <w:p w14:paraId="7A6ED0BD" w14:textId="77777777" w:rsidR="0004536B" w:rsidRDefault="003574EC">
      <w:pPr>
        <w:adjustRightInd w:val="0"/>
        <w:snapToGrid w:val="0"/>
        <w:spacing w:line="360" w:lineRule="auto"/>
        <w:ind w:firstLineChars="200" w:firstLine="48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14:paraId="084ADF7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Pr>
          <w:rFonts w:hAnsi="宋体"/>
          <w:b/>
          <w:sz w:val="24"/>
        </w:rPr>
        <w:t>（二）基金可供分配利润</w:t>
      </w:r>
    </w:p>
    <w:p w14:paraId="3B6CAFED" w14:textId="77777777" w:rsidR="0004536B" w:rsidRDefault="003574EC">
      <w:pPr>
        <w:adjustRightInd w:val="0"/>
        <w:snapToGrid w:val="0"/>
        <w:spacing w:line="360" w:lineRule="auto"/>
        <w:ind w:firstLineChars="200" w:firstLine="480"/>
        <w:rPr>
          <w:rFonts w:hAnsi="宋体"/>
          <w:sz w:val="24"/>
        </w:rPr>
      </w:pPr>
      <w:r>
        <w:rPr>
          <w:rFonts w:hAnsi="宋体"/>
          <w:sz w:val="24"/>
        </w:rPr>
        <w:t>基金可供分配利润指截至收益分</w:t>
      </w:r>
      <w:bookmarkStart w:id="71" w:name="_Hlt81129040"/>
      <w:bookmarkStart w:id="72" w:name="_Hlt88900301"/>
      <w:bookmarkStart w:id="73" w:name="_Hlt80435237"/>
      <w:bookmarkStart w:id="74" w:name="_Toc15118286"/>
      <w:bookmarkStart w:id="75" w:name="_Toc109537392"/>
      <w:bookmarkEnd w:id="71"/>
      <w:bookmarkEnd w:id="72"/>
      <w:bookmarkEnd w:id="73"/>
      <w:r>
        <w:rPr>
          <w:rFonts w:hAnsi="宋体"/>
          <w:sz w:val="24"/>
        </w:rPr>
        <w:t>配</w:t>
      </w:r>
      <w:bookmarkEnd w:id="74"/>
      <w:r>
        <w:rPr>
          <w:rFonts w:hAnsi="宋体"/>
          <w:sz w:val="24"/>
        </w:rPr>
        <w:t>基准日基金未分配利润与</w:t>
      </w:r>
      <w:bookmarkEnd w:id="75"/>
      <w:r>
        <w:rPr>
          <w:rFonts w:hAnsi="宋体"/>
          <w:sz w:val="24"/>
        </w:rPr>
        <w:t>未分配利润中已实现收益的孰低数。</w:t>
      </w:r>
    </w:p>
    <w:p w14:paraId="53A5F80E"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Pr>
          <w:rFonts w:hAnsi="宋体"/>
          <w:b/>
          <w:sz w:val="24"/>
        </w:rPr>
        <w:t>（三）</w:t>
      </w:r>
      <w:r>
        <w:rPr>
          <w:rFonts w:hAnsi="宋体" w:hint="eastAsia"/>
          <w:b/>
          <w:sz w:val="24"/>
        </w:rPr>
        <w:t>基金</w:t>
      </w:r>
      <w:r>
        <w:rPr>
          <w:rFonts w:hAnsi="宋体"/>
          <w:b/>
          <w:sz w:val="24"/>
        </w:rPr>
        <w:t>收益分配原则</w:t>
      </w:r>
    </w:p>
    <w:p w14:paraId="7E8F7381" w14:textId="77777777" w:rsidR="00000719" w:rsidRPr="00000719" w:rsidRDefault="00000719" w:rsidP="00000719">
      <w:pPr>
        <w:pStyle w:val="a0"/>
        <w:autoSpaceDE w:val="0"/>
        <w:autoSpaceDN w:val="0"/>
        <w:adjustRightInd w:val="0"/>
        <w:snapToGrid w:val="0"/>
        <w:spacing w:line="360" w:lineRule="auto"/>
        <w:ind w:firstLine="480"/>
        <w:rPr>
          <w:rFonts w:ascii="宋体" w:hAnsi="宋体"/>
          <w:bCs/>
          <w:sz w:val="24"/>
          <w:szCs w:val="24"/>
        </w:rPr>
      </w:pPr>
      <w:bookmarkStart w:id="76" w:name="OLE_LINK72"/>
      <w:bookmarkStart w:id="77" w:name="OLE_LINK73"/>
      <w:r w:rsidRPr="00000719">
        <w:rPr>
          <w:rFonts w:ascii="宋体" w:hAnsi="宋体" w:hint="eastAsia"/>
          <w:bCs/>
          <w:sz w:val="24"/>
          <w:szCs w:val="24"/>
        </w:rPr>
        <w:t>1、在符合有关基金分红条件的前提下，基金管理人可以根据实际情况进行收益分配，具体分配方案详见届时基金管理人发布的公告，若《基金合同》生效不满3个月可不进行收益分配；</w:t>
      </w:r>
    </w:p>
    <w:p w14:paraId="604F16F8" w14:textId="77777777" w:rsidR="00000719" w:rsidRPr="00000719" w:rsidRDefault="00000719" w:rsidP="00000719">
      <w:pPr>
        <w:pStyle w:val="a0"/>
        <w:autoSpaceDE w:val="0"/>
        <w:autoSpaceDN w:val="0"/>
        <w:adjustRightInd w:val="0"/>
        <w:snapToGrid w:val="0"/>
        <w:spacing w:line="360" w:lineRule="auto"/>
        <w:ind w:firstLine="480"/>
        <w:rPr>
          <w:rFonts w:ascii="宋体" w:hAnsi="宋体"/>
          <w:bCs/>
          <w:sz w:val="24"/>
          <w:szCs w:val="24"/>
        </w:rPr>
      </w:pPr>
      <w:r w:rsidRPr="00000719">
        <w:rPr>
          <w:rFonts w:ascii="宋体" w:hAnsi="宋体" w:hint="eastAsia"/>
          <w:bCs/>
          <w:sz w:val="24"/>
          <w:szCs w:val="24"/>
        </w:rPr>
        <w:t>2、本基金收益分配方式为现金分红；</w:t>
      </w:r>
    </w:p>
    <w:p w14:paraId="553112B7" w14:textId="77777777" w:rsidR="00000719" w:rsidRPr="00000719" w:rsidRDefault="00000719" w:rsidP="00000719">
      <w:pPr>
        <w:pStyle w:val="a0"/>
        <w:autoSpaceDE w:val="0"/>
        <w:autoSpaceDN w:val="0"/>
        <w:adjustRightInd w:val="0"/>
        <w:snapToGrid w:val="0"/>
        <w:spacing w:line="360" w:lineRule="auto"/>
        <w:ind w:firstLine="480"/>
        <w:rPr>
          <w:rFonts w:ascii="宋体" w:hAnsi="宋体"/>
          <w:bCs/>
          <w:sz w:val="24"/>
          <w:szCs w:val="24"/>
        </w:rPr>
      </w:pPr>
      <w:r w:rsidRPr="00000719">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56A7E287" w14:textId="77777777" w:rsidR="00000719" w:rsidRPr="00000719" w:rsidRDefault="00000719" w:rsidP="00000719">
      <w:pPr>
        <w:pStyle w:val="a0"/>
        <w:autoSpaceDE w:val="0"/>
        <w:autoSpaceDN w:val="0"/>
        <w:adjustRightInd w:val="0"/>
        <w:snapToGrid w:val="0"/>
        <w:spacing w:line="360" w:lineRule="auto"/>
        <w:ind w:firstLine="480"/>
        <w:rPr>
          <w:rFonts w:ascii="宋体" w:hAnsi="宋体"/>
          <w:bCs/>
          <w:sz w:val="24"/>
          <w:szCs w:val="24"/>
        </w:rPr>
      </w:pPr>
      <w:r w:rsidRPr="00000719">
        <w:rPr>
          <w:rFonts w:ascii="宋体" w:hAnsi="宋体" w:hint="eastAsia"/>
          <w:bCs/>
          <w:sz w:val="24"/>
          <w:szCs w:val="24"/>
        </w:rPr>
        <w:t>4、每一基金份额享有同等分配权；</w:t>
      </w:r>
    </w:p>
    <w:p w14:paraId="01AA2C0A" w14:textId="77777777" w:rsidR="00000719" w:rsidRPr="00000719" w:rsidRDefault="00000719" w:rsidP="00000719">
      <w:pPr>
        <w:pStyle w:val="a0"/>
        <w:autoSpaceDE w:val="0"/>
        <w:autoSpaceDN w:val="0"/>
        <w:adjustRightInd w:val="0"/>
        <w:snapToGrid w:val="0"/>
        <w:spacing w:line="360" w:lineRule="auto"/>
        <w:ind w:firstLine="480"/>
        <w:rPr>
          <w:rFonts w:ascii="宋体" w:hAnsi="宋体"/>
          <w:bCs/>
          <w:sz w:val="24"/>
          <w:szCs w:val="24"/>
        </w:rPr>
      </w:pPr>
      <w:r w:rsidRPr="00000719">
        <w:rPr>
          <w:rFonts w:ascii="宋体" w:hAnsi="宋体" w:hint="eastAsia"/>
          <w:bCs/>
          <w:sz w:val="24"/>
          <w:szCs w:val="24"/>
        </w:rPr>
        <w:t>5、法律法规或监管机关另有规定的，从其规定。</w:t>
      </w:r>
    </w:p>
    <w:p w14:paraId="442DDE5B" w14:textId="3EAD4D62" w:rsidR="0004536B" w:rsidRDefault="00000719">
      <w:pPr>
        <w:adjustRightInd w:val="0"/>
        <w:snapToGrid w:val="0"/>
        <w:spacing w:line="360" w:lineRule="auto"/>
        <w:ind w:firstLineChars="200" w:firstLine="480"/>
        <w:rPr>
          <w:rFonts w:ascii="宋体" w:hAnsi="宋体"/>
          <w:bCs/>
          <w:sz w:val="24"/>
          <w:szCs w:val="24"/>
        </w:rPr>
      </w:pPr>
      <w:r w:rsidRPr="00000719">
        <w:rPr>
          <w:rFonts w:ascii="宋体" w:hAnsi="宋体" w:hint="eastAsia"/>
          <w:bCs/>
          <w:sz w:val="24"/>
          <w:szCs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bookmarkEnd w:id="76"/>
    <w:bookmarkEnd w:id="77"/>
    <w:p w14:paraId="2EB82CC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Pr>
          <w:rFonts w:hAnsi="宋体"/>
          <w:b/>
          <w:sz w:val="24"/>
        </w:rPr>
        <w:t>（四）收益分配方案</w:t>
      </w:r>
    </w:p>
    <w:p w14:paraId="6A9B1227" w14:textId="77777777" w:rsidR="0004536B" w:rsidRDefault="003574EC">
      <w:pPr>
        <w:adjustRightInd w:val="0"/>
        <w:snapToGrid w:val="0"/>
        <w:spacing w:line="360" w:lineRule="auto"/>
        <w:ind w:firstLineChars="200" w:firstLine="480"/>
        <w:rPr>
          <w:rFonts w:hAnsi="宋体"/>
          <w:sz w:val="24"/>
        </w:rPr>
      </w:pPr>
      <w:r>
        <w:rPr>
          <w:rFonts w:hAnsi="宋体"/>
          <w:sz w:val="24"/>
        </w:rPr>
        <w:t>基金收益分配方案中应载明截止收益分配基准日的可供分配利润、基金收益分配对象、分配时间、分配数额及比例、分配方式等内容。</w:t>
      </w:r>
    </w:p>
    <w:p w14:paraId="5A145B0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Pr>
          <w:rFonts w:hAnsi="宋体"/>
          <w:b/>
          <w:sz w:val="24"/>
        </w:rPr>
        <w:t>（五）收益分配方案的确定、公告与实施</w:t>
      </w:r>
    </w:p>
    <w:p w14:paraId="59F4F4DB" w14:textId="77777777" w:rsidR="0004536B" w:rsidRDefault="003574EC">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本基金收益分配方案由基金管理人拟定，并由基金托管人复核，依照《信息披露办法》的规定在规定媒介公告。</w:t>
      </w:r>
    </w:p>
    <w:p w14:paraId="2562632E" w14:textId="77777777" w:rsidR="0004536B" w:rsidRDefault="003574EC">
      <w:pPr>
        <w:adjustRightInd w:val="0"/>
        <w:snapToGrid w:val="0"/>
        <w:spacing w:line="360" w:lineRule="auto"/>
        <w:ind w:firstLineChars="200" w:firstLine="480"/>
        <w:rPr>
          <w:rFonts w:ascii="宋体" w:hAnsi="宋体"/>
          <w:sz w:val="24"/>
        </w:rPr>
      </w:pPr>
      <w:r>
        <w:rPr>
          <w:rFonts w:hint="eastAsia"/>
          <w:bCs/>
          <w:sz w:val="24"/>
        </w:rPr>
        <w:t>法律法规或监管机关另有规定的，从其规定。</w:t>
      </w:r>
    </w:p>
    <w:p w14:paraId="4A83AB9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lastRenderedPageBreak/>
        <w:t>（六）基金收益分配中发生的费用</w:t>
      </w:r>
    </w:p>
    <w:p w14:paraId="385A6518" w14:textId="327C4093" w:rsidR="0004536B" w:rsidRDefault="003574EC">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w:t>
      </w:r>
    </w:p>
    <w:p w14:paraId="2856B1DB" w14:textId="38EDE7E8" w:rsidR="0004536B" w:rsidRPr="00E917F4" w:rsidRDefault="003574EC" w:rsidP="008B046A">
      <w:pPr>
        <w:pStyle w:val="a0"/>
        <w:autoSpaceDE w:val="0"/>
        <w:autoSpaceDN w:val="0"/>
        <w:adjustRightInd w:val="0"/>
        <w:snapToGrid w:val="0"/>
        <w:spacing w:line="360" w:lineRule="auto"/>
        <w:ind w:firstLine="482"/>
        <w:rPr>
          <w:rFonts w:hAnsi="宋体"/>
          <w:b/>
          <w:sz w:val="24"/>
        </w:rPr>
      </w:pPr>
      <w:r w:rsidRPr="00E917F4">
        <w:rPr>
          <w:rFonts w:hAnsi="宋体"/>
          <w:b/>
          <w:sz w:val="24"/>
        </w:rPr>
        <w:t>（七）</w:t>
      </w:r>
      <w:r w:rsidRPr="00E917F4">
        <w:rPr>
          <w:rFonts w:hAnsi="宋体" w:hint="eastAsia"/>
          <w:b/>
          <w:sz w:val="24"/>
        </w:rPr>
        <w:t>实施侧袋机制期间的收益分配</w:t>
      </w:r>
    </w:p>
    <w:p w14:paraId="20F1E85D" w14:textId="77777777" w:rsidR="0004536B" w:rsidRDefault="003574EC">
      <w:pPr>
        <w:adjustRightInd w:val="0"/>
        <w:snapToGrid w:val="0"/>
        <w:spacing w:line="360" w:lineRule="auto"/>
        <w:ind w:firstLineChars="200" w:firstLine="480"/>
        <w:rPr>
          <w:sz w:val="24"/>
        </w:rPr>
      </w:pPr>
      <w:r>
        <w:rPr>
          <w:rFonts w:hint="eastAsia"/>
          <w:sz w:val="24"/>
        </w:rPr>
        <w:t>本基金实施侧袋机制的，侧袋账户不进行收益分配。</w:t>
      </w:r>
      <w:bookmarkEnd w:id="70"/>
    </w:p>
    <w:p w14:paraId="7B6C0E66" w14:textId="77777777" w:rsidR="0004536B" w:rsidRDefault="0004536B">
      <w:pPr>
        <w:widowControl/>
        <w:adjustRightInd w:val="0"/>
        <w:snapToGrid w:val="0"/>
        <w:spacing w:line="360" w:lineRule="auto"/>
        <w:ind w:firstLine="200"/>
        <w:rPr>
          <w:rFonts w:ascii="宋体" w:hAnsi="宋体"/>
          <w:kern w:val="0"/>
          <w:sz w:val="24"/>
        </w:rPr>
      </w:pPr>
    </w:p>
    <w:p w14:paraId="7B715E5B" w14:textId="20757556" w:rsidR="0004536B" w:rsidRDefault="003574EC">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8" w:name="_Toc139631562"/>
      <w:r>
        <w:rPr>
          <w:rFonts w:ascii="宋体" w:hAnsi="宋体" w:hint="eastAsia"/>
          <w:b/>
          <w:kern w:val="0"/>
          <w:sz w:val="30"/>
        </w:rPr>
        <w:lastRenderedPageBreak/>
        <w:t>十</w:t>
      </w:r>
      <w:r w:rsidR="00827A2B">
        <w:rPr>
          <w:rFonts w:ascii="宋体" w:hAnsi="宋体" w:hint="eastAsia"/>
          <w:b/>
          <w:kern w:val="0"/>
          <w:sz w:val="30"/>
        </w:rPr>
        <w:t>四</w:t>
      </w:r>
      <w:r>
        <w:rPr>
          <w:rFonts w:ascii="宋体" w:hAnsi="宋体" w:hint="eastAsia"/>
          <w:b/>
          <w:kern w:val="0"/>
          <w:sz w:val="30"/>
        </w:rPr>
        <w:t>、基金的费用与税收</w:t>
      </w:r>
      <w:bookmarkEnd w:id="78"/>
    </w:p>
    <w:p w14:paraId="473DBA4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79" w:name="_Hlk49343964"/>
      <w:r>
        <w:rPr>
          <w:rFonts w:hAnsi="宋体"/>
          <w:b/>
          <w:sz w:val="24"/>
        </w:rPr>
        <w:t>（一）基金费用的种类</w:t>
      </w:r>
    </w:p>
    <w:p w14:paraId="261FFAF4" w14:textId="77777777" w:rsidR="0004536B" w:rsidRDefault="003574EC">
      <w:pPr>
        <w:adjustRightInd w:val="0"/>
        <w:snapToGrid w:val="0"/>
        <w:spacing w:line="360" w:lineRule="auto"/>
        <w:ind w:firstLineChars="200" w:firstLine="480"/>
        <w:rPr>
          <w:sz w:val="24"/>
        </w:rPr>
      </w:pPr>
      <w:r>
        <w:rPr>
          <w:sz w:val="24"/>
        </w:rPr>
        <w:t>1</w:t>
      </w:r>
      <w:r>
        <w:rPr>
          <w:sz w:val="24"/>
        </w:rPr>
        <w:t>、基金管理人的管理费；</w:t>
      </w:r>
    </w:p>
    <w:p w14:paraId="33EB2F38" w14:textId="77777777" w:rsidR="0004536B" w:rsidRDefault="003574EC">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14:paraId="607F433F" w14:textId="77777777" w:rsidR="0004536B" w:rsidRDefault="003574EC">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14:paraId="0D43A1CE" w14:textId="77777777" w:rsidR="0004536B" w:rsidRDefault="003574EC">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w:t>
      </w:r>
      <w:r>
        <w:rPr>
          <w:rFonts w:hint="eastAsia"/>
          <w:bCs/>
          <w:sz w:val="24"/>
        </w:rPr>
        <w:t>、仲裁费</w:t>
      </w:r>
      <w:r>
        <w:rPr>
          <w:rFonts w:hint="eastAsia"/>
          <w:sz w:val="24"/>
        </w:rPr>
        <w:t>和诉讼费；</w:t>
      </w:r>
    </w:p>
    <w:p w14:paraId="76A30E1C" w14:textId="77777777" w:rsidR="0004536B" w:rsidRDefault="003574EC">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14:paraId="686143CD" w14:textId="77777777" w:rsidR="0004536B" w:rsidRDefault="003574EC">
      <w:pPr>
        <w:adjustRightInd w:val="0"/>
        <w:snapToGrid w:val="0"/>
        <w:spacing w:line="360" w:lineRule="auto"/>
        <w:ind w:firstLineChars="200" w:firstLine="480"/>
        <w:rPr>
          <w:sz w:val="24"/>
        </w:rPr>
      </w:pPr>
      <w:r>
        <w:rPr>
          <w:rFonts w:hint="eastAsia"/>
          <w:sz w:val="24"/>
        </w:rPr>
        <w:t>6</w:t>
      </w:r>
      <w:r>
        <w:rPr>
          <w:rFonts w:hint="eastAsia"/>
          <w:sz w:val="24"/>
        </w:rPr>
        <w:t>、基金的证券、期货交易费用；</w:t>
      </w:r>
    </w:p>
    <w:p w14:paraId="76730495" w14:textId="77777777" w:rsidR="0004536B" w:rsidRDefault="003574EC">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14:paraId="3583C4A9" w14:textId="77777777" w:rsidR="0004536B" w:rsidRDefault="003574EC">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14:paraId="1B1C5D0A" w14:textId="77777777" w:rsidR="0004536B" w:rsidRDefault="003574EC">
      <w:pPr>
        <w:adjustRightInd w:val="0"/>
        <w:snapToGrid w:val="0"/>
        <w:spacing w:line="360" w:lineRule="auto"/>
        <w:ind w:firstLineChars="200" w:firstLine="480"/>
        <w:rPr>
          <w:sz w:val="24"/>
        </w:rPr>
      </w:pPr>
      <w:r>
        <w:rPr>
          <w:rFonts w:hint="eastAsia"/>
          <w:sz w:val="24"/>
        </w:rPr>
        <w:t>9</w:t>
      </w:r>
      <w:r>
        <w:rPr>
          <w:rFonts w:hint="eastAsia"/>
          <w:sz w:val="24"/>
        </w:rPr>
        <w:t>、因投资港股通标的股票而产生的各项合理费用；</w:t>
      </w:r>
    </w:p>
    <w:p w14:paraId="2B43071C" w14:textId="21924F62" w:rsidR="0004536B" w:rsidRDefault="003574EC" w:rsidP="00FC0C0C">
      <w:pPr>
        <w:adjustRightInd w:val="0"/>
        <w:snapToGrid w:val="0"/>
        <w:spacing w:line="360" w:lineRule="auto"/>
        <w:ind w:firstLineChars="200" w:firstLine="480"/>
        <w:rPr>
          <w:sz w:val="24"/>
        </w:rPr>
      </w:pPr>
      <w:r>
        <w:rPr>
          <w:sz w:val="24"/>
        </w:rPr>
        <w:t>10</w:t>
      </w:r>
      <w:r>
        <w:rPr>
          <w:rFonts w:hint="eastAsia"/>
          <w:sz w:val="24"/>
        </w:rPr>
        <w:t>、按照国家有关规定和《基金合同》约定，可以在基金财产中列支的其他费用。</w:t>
      </w:r>
    </w:p>
    <w:p w14:paraId="4574766B"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（二）基金费用计提方法、计提标准和支付方式</w:t>
      </w:r>
    </w:p>
    <w:p w14:paraId="1FEFB805"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、与基金运作有关的费用</w:t>
      </w:r>
    </w:p>
    <w:p w14:paraId="49D17462" w14:textId="541844B9" w:rsidR="00BE4744" w:rsidRPr="00F778DA" w:rsidRDefault="003574EC" w:rsidP="00BE4744">
      <w:pPr>
        <w:adjustRightInd w:val="0"/>
        <w:snapToGrid w:val="0"/>
        <w:spacing w:line="360" w:lineRule="auto"/>
        <w:ind w:firstLineChars="200" w:firstLine="480"/>
        <w:rPr>
          <w:bCs/>
          <w:sz w:val="24"/>
        </w:rPr>
      </w:pPr>
      <w:r w:rsidRPr="00F778DA">
        <w:rPr>
          <w:rFonts w:hint="eastAsia"/>
          <w:bCs/>
          <w:sz w:val="24"/>
        </w:rPr>
        <w:t>（</w:t>
      </w:r>
      <w:r w:rsidRPr="00F778DA">
        <w:rPr>
          <w:bCs/>
          <w:sz w:val="24"/>
        </w:rPr>
        <w:t>1</w:t>
      </w:r>
      <w:r w:rsidRPr="00F778DA">
        <w:rPr>
          <w:rFonts w:hint="eastAsia"/>
          <w:bCs/>
          <w:sz w:val="24"/>
        </w:rPr>
        <w:t>）</w:t>
      </w:r>
      <w:r w:rsidR="00BE4744" w:rsidRPr="00F778DA">
        <w:rPr>
          <w:bCs/>
          <w:sz w:val="24"/>
        </w:rPr>
        <w:t>基金管理人的管理费</w:t>
      </w:r>
    </w:p>
    <w:p w14:paraId="50F90504" w14:textId="32A6C64A" w:rsidR="00DF0F8D" w:rsidRPr="00DF0F8D" w:rsidRDefault="00DF0F8D" w:rsidP="00DF0F8D">
      <w:pPr>
        <w:adjustRightInd w:val="0"/>
        <w:snapToGrid w:val="0"/>
        <w:spacing w:line="360" w:lineRule="auto"/>
        <w:ind w:firstLineChars="200" w:firstLine="480"/>
        <w:rPr>
          <w:sz w:val="24"/>
        </w:rPr>
      </w:pPr>
      <w:r w:rsidRPr="00DF0F8D">
        <w:rPr>
          <w:rFonts w:hint="eastAsia"/>
          <w:sz w:val="24"/>
        </w:rPr>
        <w:t>1</w:t>
      </w:r>
      <w:r w:rsidRPr="00DF0F8D">
        <w:rPr>
          <w:rFonts w:hint="eastAsia"/>
          <w:sz w:val="24"/>
        </w:rPr>
        <w:t>）基金管理人的基础管理费</w:t>
      </w:r>
    </w:p>
    <w:p w14:paraId="7C425539"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开放期内，本基金不收取基础管理费。</w:t>
      </w:r>
    </w:p>
    <w:p w14:paraId="17CC65B1" w14:textId="47A67739" w:rsidR="00DF0F8D" w:rsidRPr="00DF0F8D" w:rsidRDefault="00DF0F8D" w:rsidP="00DF0F8D">
      <w:pPr>
        <w:adjustRightInd w:val="0"/>
        <w:snapToGrid w:val="0"/>
        <w:spacing w:line="360" w:lineRule="auto"/>
        <w:ind w:firstLineChars="200" w:firstLine="480"/>
        <w:rPr>
          <w:sz w:val="24"/>
        </w:rPr>
      </w:pPr>
      <w:r w:rsidRPr="00DF0F8D">
        <w:rPr>
          <w:rFonts w:hint="eastAsia"/>
          <w:sz w:val="24"/>
        </w:rPr>
        <w:t>封闭期内，本基金的基础管理费按前一日基金资产净值的</w:t>
      </w:r>
      <w:r w:rsidRPr="00DF0F8D">
        <w:rPr>
          <w:rFonts w:hint="eastAsia"/>
          <w:sz w:val="24"/>
        </w:rPr>
        <w:t>1.</w:t>
      </w:r>
      <w:r w:rsidR="00576572">
        <w:rPr>
          <w:sz w:val="24"/>
        </w:rPr>
        <w:t>0</w:t>
      </w:r>
      <w:r w:rsidRPr="00DF0F8D">
        <w:rPr>
          <w:rFonts w:hint="eastAsia"/>
          <w:sz w:val="24"/>
        </w:rPr>
        <w:t>%</w:t>
      </w:r>
      <w:r w:rsidRPr="00DF0F8D">
        <w:rPr>
          <w:rFonts w:hint="eastAsia"/>
          <w:sz w:val="24"/>
        </w:rPr>
        <w:t>年费率计提。基础管理费的计算方法如下：</w:t>
      </w:r>
    </w:p>
    <w:p w14:paraId="1766060E"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H1</w:t>
      </w:r>
      <w:r w:rsidRPr="00DF0F8D">
        <w:rPr>
          <w:rFonts w:hint="eastAsia"/>
          <w:sz w:val="24"/>
        </w:rPr>
        <w:t>＝</w:t>
      </w:r>
      <w:r w:rsidRPr="00DF0F8D">
        <w:rPr>
          <w:rFonts w:hint="eastAsia"/>
          <w:sz w:val="24"/>
        </w:rPr>
        <w:t>E</w:t>
      </w:r>
      <w:r w:rsidRPr="00DF0F8D">
        <w:rPr>
          <w:rFonts w:hint="eastAsia"/>
          <w:sz w:val="24"/>
        </w:rPr>
        <w:t>×年基础管理费率÷当年天数</w:t>
      </w:r>
    </w:p>
    <w:p w14:paraId="4002F6E4"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H1</w:t>
      </w:r>
      <w:r w:rsidRPr="00DF0F8D">
        <w:rPr>
          <w:rFonts w:hint="eastAsia"/>
          <w:sz w:val="24"/>
        </w:rPr>
        <w:t>为每日应计提的基金基础管理费</w:t>
      </w:r>
    </w:p>
    <w:p w14:paraId="4CC65E52"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E</w:t>
      </w:r>
      <w:r w:rsidRPr="00DF0F8D">
        <w:rPr>
          <w:rFonts w:hint="eastAsia"/>
          <w:sz w:val="24"/>
        </w:rPr>
        <w:t>为前一日的基金资产净值</w:t>
      </w:r>
    </w:p>
    <w:p w14:paraId="711D534B"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封闭期基金基础管理费中</w:t>
      </w:r>
      <w:r w:rsidRPr="00DF0F8D">
        <w:rPr>
          <w:rFonts w:hint="eastAsia"/>
          <w:sz w:val="24"/>
        </w:rPr>
        <w:t>50%</w:t>
      </w:r>
      <w:r w:rsidRPr="00DF0F8D">
        <w:rPr>
          <w:rFonts w:hint="eastAsia"/>
          <w:sz w:val="24"/>
        </w:rPr>
        <w:t>的部分为基金管理人的固定管理费，固定管理费每日计提，逐日累计至每月月末，按月支付，由基金托管人根据与基金管理人核对一致的财务数据，在月初</w:t>
      </w:r>
      <w:r w:rsidRPr="00DF0F8D">
        <w:rPr>
          <w:rFonts w:hint="eastAsia"/>
          <w:sz w:val="24"/>
        </w:rPr>
        <w:t>5</w:t>
      </w:r>
      <w:r w:rsidRPr="00DF0F8D">
        <w:rPr>
          <w:rFonts w:hint="eastAsia"/>
          <w:sz w:val="24"/>
        </w:rPr>
        <w:t>个工作日内、基金托管人按照与基金管理人协商一致的方式进行资金支付。</w:t>
      </w:r>
    </w:p>
    <w:p w14:paraId="0D11467B"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lastRenderedPageBreak/>
        <w:t>封闭期基金基础管理费另外</w:t>
      </w:r>
      <w:r w:rsidRPr="00DF0F8D">
        <w:rPr>
          <w:rFonts w:hint="eastAsia"/>
          <w:sz w:val="24"/>
        </w:rPr>
        <w:t>50%</w:t>
      </w:r>
      <w:r w:rsidRPr="00DF0F8D">
        <w:rPr>
          <w:rFonts w:hint="eastAsia"/>
          <w:sz w:val="24"/>
        </w:rPr>
        <w:t>的部分为基金管理人的或有管理费，或有管理费每日计提，逐日累计至每个封闭期的最后一日。经基金管理人与基金托管人双方核对无误后，在每个封闭期的最后一日，若基金份额的期末净值小于或等于期初净值，则该封闭期内的或有管理费全额返还至基金资产；否则由基金托管人根据与基金管理人核对一致的财务数据，在该封闭期结束后次月月初的</w:t>
      </w:r>
      <w:r w:rsidRPr="00DF0F8D">
        <w:rPr>
          <w:rFonts w:hint="eastAsia"/>
          <w:sz w:val="24"/>
        </w:rPr>
        <w:t>5</w:t>
      </w:r>
      <w:r w:rsidRPr="00DF0F8D">
        <w:rPr>
          <w:rFonts w:hint="eastAsia"/>
          <w:sz w:val="24"/>
        </w:rPr>
        <w:t>个工作日内、按照与基金管理人协商一致的方式进行资金支付。</w:t>
      </w:r>
    </w:p>
    <w:p w14:paraId="6AC99541"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若遇法定节假日、公休日等，支付日期顺延。费用扣划后，基金管理人应进行核对，如发现数据不符，及时联系基金托管人协商解决。</w:t>
      </w:r>
    </w:p>
    <w:p w14:paraId="526FBDC5"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其中，</w:t>
      </w:r>
    </w:p>
    <w:p w14:paraId="23D022C8"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期末净值</w:t>
      </w:r>
      <w:r w:rsidRPr="00DF0F8D">
        <w:rPr>
          <w:rFonts w:hint="eastAsia"/>
          <w:sz w:val="24"/>
        </w:rPr>
        <w:t>=</w:t>
      </w:r>
      <w:r w:rsidRPr="00DF0F8D">
        <w:rPr>
          <w:rFonts w:hint="eastAsia"/>
          <w:sz w:val="24"/>
        </w:rPr>
        <w:t>该封闭期最后一日的扣除基础管理费后、未扣除业绩报酬（如有）前的基金份额累计净值</w:t>
      </w:r>
    </w:p>
    <w:p w14:paraId="02D321EF"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期初净值</w:t>
      </w:r>
      <w:r w:rsidRPr="00DF0F8D">
        <w:rPr>
          <w:rFonts w:hint="eastAsia"/>
          <w:sz w:val="24"/>
        </w:rPr>
        <w:t>=</w:t>
      </w:r>
      <w:r w:rsidRPr="00DF0F8D">
        <w:rPr>
          <w:rFonts w:hint="eastAsia"/>
          <w:sz w:val="24"/>
        </w:rPr>
        <w:t>该封闭期的前一开放期最后一日的基金份额累计净值（第一个封闭期时，期初净值为</w:t>
      </w:r>
      <w:r w:rsidRPr="00DF0F8D">
        <w:rPr>
          <w:rFonts w:hint="eastAsia"/>
          <w:sz w:val="24"/>
        </w:rPr>
        <w:t>1.00</w:t>
      </w:r>
      <w:r w:rsidRPr="00DF0F8D">
        <w:rPr>
          <w:rFonts w:hint="eastAsia"/>
          <w:sz w:val="24"/>
        </w:rPr>
        <w:t>元）</w:t>
      </w:r>
    </w:p>
    <w:p w14:paraId="78C9880A" w14:textId="25DF21DD" w:rsidR="00DF0F8D" w:rsidRPr="00DF0F8D" w:rsidRDefault="00DF0F8D" w:rsidP="00DF0F8D">
      <w:pPr>
        <w:adjustRightInd w:val="0"/>
        <w:snapToGrid w:val="0"/>
        <w:spacing w:line="360" w:lineRule="auto"/>
        <w:ind w:firstLineChars="200" w:firstLine="480"/>
        <w:rPr>
          <w:sz w:val="24"/>
        </w:rPr>
      </w:pPr>
      <w:r w:rsidRPr="00DF0F8D">
        <w:rPr>
          <w:rFonts w:hint="eastAsia"/>
          <w:sz w:val="24"/>
        </w:rPr>
        <w:t>2</w:t>
      </w:r>
      <w:r w:rsidRPr="00DF0F8D">
        <w:rPr>
          <w:rFonts w:hint="eastAsia"/>
          <w:sz w:val="24"/>
        </w:rPr>
        <w:t>）业绩报酬</w:t>
      </w:r>
    </w:p>
    <w:p w14:paraId="6674ED01" w14:textId="159D7712" w:rsidR="00DF0F8D" w:rsidRPr="00DF0F8D" w:rsidRDefault="00DF0F8D" w:rsidP="00DF0F8D">
      <w:pPr>
        <w:adjustRightInd w:val="0"/>
        <w:snapToGrid w:val="0"/>
        <w:spacing w:line="360" w:lineRule="auto"/>
        <w:ind w:firstLineChars="200" w:firstLine="480"/>
        <w:rPr>
          <w:sz w:val="24"/>
        </w:rPr>
      </w:pPr>
      <w:r w:rsidRPr="00DF0F8D">
        <w:rPr>
          <w:rFonts w:hint="eastAsia"/>
          <w:sz w:val="24"/>
        </w:rPr>
        <w:t>当封闭期内基金年化收益率超过</w:t>
      </w:r>
      <w:r w:rsidRPr="00DF0F8D">
        <w:rPr>
          <w:rFonts w:hint="eastAsia"/>
          <w:sz w:val="24"/>
        </w:rPr>
        <w:t>8%</w:t>
      </w:r>
      <w:r w:rsidRPr="00DF0F8D">
        <w:rPr>
          <w:rFonts w:hint="eastAsia"/>
          <w:sz w:val="24"/>
        </w:rPr>
        <w:t>且超过同期业绩比较基准的年化收益率</w:t>
      </w:r>
      <w:r w:rsidRPr="00DF0F8D">
        <w:rPr>
          <w:rFonts w:hint="eastAsia"/>
          <w:sz w:val="24"/>
        </w:rPr>
        <w:t>Rm</w:t>
      </w:r>
      <w:r w:rsidRPr="00DF0F8D">
        <w:rPr>
          <w:rFonts w:hint="eastAsia"/>
          <w:sz w:val="24"/>
        </w:rPr>
        <w:t>时，基金管理人对基金年化收益率（</w:t>
      </w:r>
      <w:r w:rsidRPr="00DF0F8D">
        <w:rPr>
          <w:rFonts w:hint="eastAsia"/>
          <w:sz w:val="24"/>
        </w:rPr>
        <w:t>R</w:t>
      </w:r>
      <w:r w:rsidRPr="00DF0F8D">
        <w:rPr>
          <w:rFonts w:hint="eastAsia"/>
          <w:sz w:val="24"/>
        </w:rPr>
        <w:t>）超过业绩报酬计提基准（</w:t>
      </w:r>
      <w:r w:rsidRPr="00DF0F8D">
        <w:rPr>
          <w:rFonts w:hint="eastAsia"/>
          <w:sz w:val="24"/>
        </w:rPr>
        <w:t>8%</w:t>
      </w:r>
      <w:r w:rsidRPr="00DF0F8D">
        <w:rPr>
          <w:rFonts w:hint="eastAsia"/>
          <w:sz w:val="24"/>
        </w:rPr>
        <w:t>和同期业绩比较基准年化收益率的孰高者）的部分，按</w:t>
      </w:r>
      <w:r w:rsidRPr="00DF0F8D">
        <w:rPr>
          <w:rFonts w:hint="eastAsia"/>
          <w:sz w:val="24"/>
        </w:rPr>
        <w:t>20%</w:t>
      </w:r>
      <w:r w:rsidRPr="00DF0F8D">
        <w:rPr>
          <w:rFonts w:hint="eastAsia"/>
          <w:sz w:val="24"/>
        </w:rPr>
        <w:t>的计提比例计算业绩报酬。业绩报酬计提比例年化不超过</w:t>
      </w:r>
      <w:r w:rsidR="00576572">
        <w:rPr>
          <w:rFonts w:hint="eastAsia"/>
          <w:sz w:val="24"/>
        </w:rPr>
        <w:t>1</w:t>
      </w:r>
      <w:r w:rsidR="00576572">
        <w:rPr>
          <w:sz w:val="24"/>
        </w:rPr>
        <w:t>.0</w:t>
      </w:r>
      <w:r w:rsidRPr="00DF0F8D">
        <w:rPr>
          <w:rFonts w:hint="eastAsia"/>
          <w:sz w:val="24"/>
        </w:rPr>
        <w:t>%</w:t>
      </w:r>
      <w:r w:rsidRPr="00DF0F8D">
        <w:rPr>
          <w:rFonts w:hint="eastAsia"/>
          <w:sz w:val="24"/>
        </w:rPr>
        <w:t>，即基金管理人对基金年化收益率（</w:t>
      </w:r>
      <w:r w:rsidRPr="00DF0F8D">
        <w:rPr>
          <w:rFonts w:hint="eastAsia"/>
          <w:sz w:val="24"/>
        </w:rPr>
        <w:t>R</w:t>
      </w:r>
      <w:r w:rsidRPr="00DF0F8D">
        <w:rPr>
          <w:rFonts w:hint="eastAsia"/>
          <w:sz w:val="24"/>
        </w:rPr>
        <w:t>）超过计提基准部分的</w:t>
      </w:r>
      <w:r w:rsidRPr="00DF0F8D">
        <w:rPr>
          <w:rFonts w:hint="eastAsia"/>
          <w:sz w:val="24"/>
        </w:rPr>
        <w:t>20%</w:t>
      </w:r>
      <w:r w:rsidRPr="00DF0F8D">
        <w:rPr>
          <w:rFonts w:hint="eastAsia"/>
          <w:sz w:val="24"/>
        </w:rPr>
        <w:t>计提业绩报酬，按此计提的业绩报酬计提比例超过</w:t>
      </w:r>
      <w:r w:rsidR="00576572">
        <w:rPr>
          <w:rFonts w:hint="eastAsia"/>
          <w:sz w:val="24"/>
        </w:rPr>
        <w:t>1</w:t>
      </w:r>
      <w:r w:rsidR="00576572">
        <w:rPr>
          <w:sz w:val="24"/>
        </w:rPr>
        <w:t>.0</w:t>
      </w:r>
      <w:r w:rsidRPr="00DF0F8D">
        <w:rPr>
          <w:rFonts w:hint="eastAsia"/>
          <w:sz w:val="24"/>
        </w:rPr>
        <w:t>%</w:t>
      </w:r>
      <w:r w:rsidRPr="00DF0F8D">
        <w:rPr>
          <w:rFonts w:hint="eastAsia"/>
          <w:sz w:val="24"/>
        </w:rPr>
        <w:t>时，则按</w:t>
      </w:r>
      <w:r w:rsidR="00576572">
        <w:rPr>
          <w:rFonts w:hint="eastAsia"/>
          <w:sz w:val="24"/>
        </w:rPr>
        <w:t>1</w:t>
      </w:r>
      <w:r w:rsidR="00576572">
        <w:rPr>
          <w:sz w:val="24"/>
        </w:rPr>
        <w:t>.0</w:t>
      </w:r>
      <w:r w:rsidRPr="00DF0F8D">
        <w:rPr>
          <w:rFonts w:hint="eastAsia"/>
          <w:sz w:val="24"/>
        </w:rPr>
        <w:t>%</w:t>
      </w:r>
      <w:r w:rsidRPr="00DF0F8D">
        <w:rPr>
          <w:rFonts w:hint="eastAsia"/>
          <w:sz w:val="24"/>
        </w:rPr>
        <w:t>的比例计提。具体计算公式如下：</w:t>
      </w:r>
    </w:p>
    <w:p w14:paraId="2EB53C92" w14:textId="2EE8666E" w:rsidR="00DF0F8D" w:rsidRPr="00DF0F8D" w:rsidRDefault="00576572" w:rsidP="006952C8">
      <w:pPr>
        <w:spacing w:line="360" w:lineRule="auto"/>
        <w:rPr>
          <w:sz w:val="24"/>
        </w:rPr>
      </w:pPr>
      <m:oMathPara>
        <m:oMathParaPr>
          <m:jc m:val="center"/>
        </m:oMathParaPr>
        <m:oMath>
          <m:r>
            <m:rPr>
              <m:sty m:val="p"/>
            </m:rPr>
            <w:rPr>
              <w:rFonts w:ascii="Cambria Math" w:hAnsi="Cambria Math" w:hint="eastAsia"/>
              <w:sz w:val="24"/>
              <w:szCs w:val="24"/>
            </w:rPr>
            <m:t>业绩报酬</m:t>
          </m:r>
          <m:r>
            <m:rPr>
              <m:sty m:val="p"/>
            </m:rPr>
            <w:rPr>
              <w:rFonts w:ascii="Cambria Math" w:hAnsi="Cambria Math" w:hint="eastAsia"/>
              <w:sz w:val="24"/>
              <w:szCs w:val="24"/>
            </w:rPr>
            <m:t>=</m:t>
          </m:r>
          <m:sSub>
            <m:sSubPr>
              <m:ctrlPr>
                <w:rPr>
                  <w:rFonts w:ascii="Cambria Math" w:hAnsi="Cambria Math"/>
                  <w:bCs/>
                  <w:sz w:val="24"/>
                  <w:szCs w:val="24"/>
                </w:rPr>
              </m:ctrlPr>
            </m:sSubPr>
            <m:e>
              <m:r>
                <w:rPr>
                  <w:rFonts w:ascii="Cambria Math" w:hAnsi="Cambria Math"/>
                  <w:sz w:val="24"/>
                  <w:szCs w:val="24"/>
                </w:rPr>
                <m:t>S</m:t>
              </m:r>
            </m:e>
            <m:sub>
              <m:r>
                <m:rPr>
                  <m:sty m:val="p"/>
                </m:rPr>
                <w:rPr>
                  <w:rFonts w:ascii="Cambria Math" w:hAnsi="Cambria Math"/>
                  <w:sz w:val="24"/>
                  <w:szCs w:val="24"/>
                </w:rPr>
                <m:t>0</m:t>
              </m:r>
            </m:sub>
          </m:sSub>
          <m:r>
            <m:rPr>
              <m:sty m:val="p"/>
            </m:rPr>
            <w:rPr>
              <w:rFonts w:ascii="Cambria Math" w:hAnsi="Cambria Math" w:hint="eastAsia"/>
              <w:sz w:val="24"/>
              <w:szCs w:val="24"/>
            </w:rPr>
            <m:t>×</m:t>
          </m:r>
          <m:r>
            <m:rPr>
              <m:sty m:val="p"/>
            </m:rPr>
            <w:rPr>
              <w:rFonts w:ascii="Cambria Math" w:hAnsi="Cambria Math"/>
              <w:sz w:val="24"/>
              <w:szCs w:val="24"/>
            </w:rPr>
            <m:t>Min⁡{(R-8%)</m:t>
          </m:r>
          <m:r>
            <m:rPr>
              <m:sty m:val="p"/>
            </m:rPr>
            <w:rPr>
              <w:rFonts w:ascii="Cambria Math" w:hAnsi="Cambria Math" w:hint="eastAsia"/>
              <w:sz w:val="24"/>
              <w:szCs w:val="24"/>
            </w:rPr>
            <m:t>×</m:t>
          </m:r>
          <m:r>
            <m:rPr>
              <m:sty m:val="p"/>
            </m:rPr>
            <w:rPr>
              <w:rFonts w:ascii="Cambria Math" w:hAnsi="Cambria Math"/>
              <w:sz w:val="24"/>
              <w:szCs w:val="24"/>
            </w:rPr>
            <m:t>20%,</m:t>
          </m:r>
          <m:d>
            <m:dPr>
              <m:ctrlPr>
                <w:rPr>
                  <w:rFonts w:ascii="Cambria Math" w:hAnsi="Cambria Math"/>
                  <w:sz w:val="24"/>
                  <w:szCs w:val="24"/>
                </w:rPr>
              </m:ctrlPr>
            </m:dPr>
            <m:e>
              <m:r>
                <m:rPr>
                  <m:sty m:val="p"/>
                </m:rPr>
                <w:rPr>
                  <w:rFonts w:ascii="Cambria Math" w:hAnsi="Cambria Math"/>
                  <w:sz w:val="24"/>
                  <w:szCs w:val="24"/>
                </w:rPr>
                <m:t>R-Rm</m:t>
              </m:r>
            </m:e>
          </m:d>
          <m:r>
            <m:rPr>
              <m:sty m:val="p"/>
            </m:rPr>
            <w:rPr>
              <w:rFonts w:ascii="Cambria Math" w:hAnsi="Cambria Math" w:hint="eastAsia"/>
              <w:sz w:val="24"/>
              <w:szCs w:val="24"/>
            </w:rPr>
            <m:t>×</m:t>
          </m:r>
          <m:r>
            <m:rPr>
              <m:sty m:val="p"/>
            </m:rPr>
            <w:rPr>
              <w:rFonts w:ascii="Cambria Math" w:hAnsi="Cambria Math"/>
              <w:sz w:val="24"/>
              <w:szCs w:val="24"/>
            </w:rPr>
            <m:t>20%,1.0%}</m:t>
          </m:r>
          <m:r>
            <m:rPr>
              <m:sty m:val="p"/>
            </m:rPr>
            <w:rPr>
              <w:rFonts w:ascii="Cambria Math" w:hAnsi="Cambria Math" w:hint="eastAsia"/>
              <w:sz w:val="24"/>
              <w:szCs w:val="24"/>
            </w:rPr>
            <m:t>×</m:t>
          </m:r>
          <m:f>
            <m:fPr>
              <m:ctrlPr>
                <w:rPr>
                  <w:rFonts w:ascii="Cambria Math" w:hAnsi="Cambria Math"/>
                  <w:bCs/>
                  <w:sz w:val="24"/>
                  <w:szCs w:val="24"/>
                </w:rPr>
              </m:ctrlPr>
            </m:fPr>
            <m:num>
              <m:r>
                <m:rPr>
                  <m:sty m:val="p"/>
                </m:rPr>
                <w:rPr>
                  <w:rFonts w:ascii="Cambria Math" w:hAnsi="Cambria Math" w:hint="eastAsia"/>
                  <w:sz w:val="24"/>
                  <w:szCs w:val="24"/>
                </w:rPr>
                <m:t>T</m:t>
              </m:r>
            </m:num>
            <m:den>
              <m:r>
                <m:rPr>
                  <m:sty m:val="p"/>
                </m:rPr>
                <w:rPr>
                  <w:rFonts w:ascii="Cambria Math" w:hAnsi="Cambria Math" w:hint="eastAsia"/>
                  <w:sz w:val="24"/>
                  <w:szCs w:val="24"/>
                </w:rPr>
                <m:t>365</m:t>
              </m:r>
            </m:den>
          </m:f>
        </m:oMath>
      </m:oMathPara>
    </w:p>
    <w:p w14:paraId="79E17484"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其</w:t>
      </w:r>
      <w:r w:rsidRPr="00DF0F8D">
        <w:rPr>
          <w:sz w:val="24"/>
        </w:rPr>
        <w:t>中，</w:t>
      </w:r>
    </w:p>
    <w:p w14:paraId="593FF718"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每个封闭期</w:t>
      </w:r>
      <w:r w:rsidRPr="00DF0F8D">
        <w:rPr>
          <w:sz w:val="24"/>
        </w:rPr>
        <w:t>内</w:t>
      </w:r>
      <w:r w:rsidRPr="00DF0F8D">
        <w:rPr>
          <w:rFonts w:hint="eastAsia"/>
          <w:sz w:val="24"/>
        </w:rPr>
        <w:t>基金</w:t>
      </w:r>
      <w:r w:rsidRPr="00DF0F8D">
        <w:rPr>
          <w:sz w:val="24"/>
        </w:rPr>
        <w:t>的</w:t>
      </w:r>
      <w:r w:rsidRPr="00DF0F8D">
        <w:rPr>
          <w:rFonts w:hint="eastAsia"/>
          <w:sz w:val="24"/>
        </w:rPr>
        <w:t>年化收益率（</w:t>
      </w:r>
      <w:r w:rsidRPr="00DF0F8D">
        <w:rPr>
          <w:rFonts w:hint="eastAsia"/>
          <w:sz w:val="24"/>
        </w:rPr>
        <w:t>R</w:t>
      </w:r>
      <w:r w:rsidRPr="00DF0F8D">
        <w:rPr>
          <w:rFonts w:hint="eastAsia"/>
          <w:sz w:val="24"/>
        </w:rPr>
        <w:t>）计算公式如下：</w:t>
      </w:r>
    </w:p>
    <w:p w14:paraId="05F73966" w14:textId="7514717C" w:rsidR="00DF0F8D" w:rsidRPr="00DF0F8D" w:rsidRDefault="00DF0F8D" w:rsidP="00DF0F8D">
      <w:pPr>
        <w:adjustRightInd w:val="0"/>
        <w:snapToGrid w:val="0"/>
        <w:spacing w:line="360" w:lineRule="auto"/>
        <w:ind w:firstLineChars="200" w:firstLine="480"/>
        <w:rPr>
          <w:sz w:val="24"/>
        </w:rPr>
      </w:pPr>
      <m:oMathPara>
        <m:oMath>
          <m:r>
            <w:rPr>
              <w:rFonts w:ascii="Cambria Math" w:hAnsi="Cambria Math"/>
              <w:sz w:val="24"/>
            </w:rPr>
            <m:t>R</m:t>
          </m:r>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Nav</m:t>
                  </m:r>
                </m:e>
                <m:sub>
                  <m:r>
                    <m:rPr>
                      <m:sty m:val="p"/>
                    </m:rPr>
                    <w:rPr>
                      <w:rFonts w:ascii="Cambria Math" w:hAnsi="Cambria Math"/>
                      <w:sz w:val="24"/>
                    </w:rPr>
                    <m:t>1</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Nav</m:t>
                  </m:r>
                </m:e>
                <m:sub>
                  <m:r>
                    <m:rPr>
                      <m:sty m:val="p"/>
                    </m:rPr>
                    <w:rPr>
                      <w:rFonts w:ascii="Cambria Math" w:hAnsi="Cambria Math"/>
                      <w:sz w:val="24"/>
                    </w:rPr>
                    <m:t>0</m:t>
                  </m:r>
                </m:sub>
              </m:sSub>
            </m:num>
            <m:den>
              <m:sSubSup>
                <m:sSubSupPr>
                  <m:ctrlPr>
                    <w:rPr>
                      <w:rFonts w:ascii="Cambria Math" w:hAnsi="Cambria Math"/>
                      <w:sz w:val="24"/>
                    </w:rPr>
                  </m:ctrlPr>
                </m:sSubSupPr>
                <m:e>
                  <m:r>
                    <w:rPr>
                      <w:rFonts w:ascii="Cambria Math" w:hAnsi="Cambria Math"/>
                      <w:sz w:val="24"/>
                    </w:rPr>
                    <m:t>Nav</m:t>
                  </m:r>
                </m:e>
                <m:sub>
                  <m:r>
                    <m:rPr>
                      <m:sty m:val="p"/>
                    </m:rPr>
                    <w:rPr>
                      <w:rFonts w:ascii="Cambria Math" w:hAnsi="Cambria Math"/>
                      <w:sz w:val="24"/>
                    </w:rPr>
                    <m:t>0</m:t>
                  </m:r>
                </m:sub>
                <m:sup>
                  <m:r>
                    <m:rPr>
                      <m:sty m:val="p"/>
                    </m:rPr>
                    <w:rPr>
                      <w:rFonts w:ascii="Cambria Math" w:hAnsi="Cambria Math"/>
                      <w:sz w:val="24"/>
                    </w:rPr>
                    <m:t>*</m:t>
                  </m:r>
                </m:sup>
              </m:sSubSup>
            </m:den>
          </m:f>
          <m:r>
            <m:rPr>
              <m:sty m:val="p"/>
            </m:rPr>
            <w:rPr>
              <w:rFonts w:ascii="Cambria Math" w:hAnsi="Cambria Math" w:hint="eastAsia"/>
              <w:sz w:val="24"/>
            </w:rPr>
            <m:t>×</m:t>
          </m:r>
          <m:f>
            <m:fPr>
              <m:ctrlPr>
                <w:rPr>
                  <w:rFonts w:ascii="Cambria Math" w:hAnsi="Cambria Math"/>
                  <w:sz w:val="24"/>
                </w:rPr>
              </m:ctrlPr>
            </m:fPr>
            <m:num>
              <m:r>
                <m:rPr>
                  <m:sty m:val="p"/>
                </m:rPr>
                <w:rPr>
                  <w:rFonts w:ascii="Cambria Math" w:hAnsi="Cambria Math" w:hint="eastAsia"/>
                  <w:sz w:val="24"/>
                </w:rPr>
                <m:t>365</m:t>
              </m:r>
            </m:num>
            <m:den>
              <m:r>
                <m:rPr>
                  <m:sty m:val="p"/>
                </m:rPr>
                <w:rPr>
                  <w:rFonts w:ascii="Cambria Math" w:hAnsi="Cambria Math" w:hint="eastAsia"/>
                  <w:sz w:val="24"/>
                </w:rPr>
                <m:t>T</m:t>
              </m:r>
            </m:den>
          </m:f>
          <m:r>
            <m:rPr>
              <m:sty m:val="p"/>
            </m:rPr>
            <w:rPr>
              <w:rFonts w:ascii="Cambria Math" w:hAnsi="Cambria Math" w:hint="eastAsia"/>
              <w:sz w:val="24"/>
            </w:rPr>
            <m:t>×</m:t>
          </m:r>
          <m:r>
            <m:rPr>
              <m:sty m:val="p"/>
            </m:rPr>
            <w:rPr>
              <w:rFonts w:ascii="Cambria Math" w:hAnsi="Cambria Math"/>
              <w:sz w:val="24"/>
            </w:rPr>
            <m:t>100%</m:t>
          </m:r>
        </m:oMath>
      </m:oMathPara>
    </w:p>
    <w:p w14:paraId="7861C42F" w14:textId="77777777" w:rsidR="00DF0F8D" w:rsidRPr="00DF0F8D" w:rsidRDefault="00DF0F8D" w:rsidP="00DF0F8D">
      <w:pPr>
        <w:adjustRightInd w:val="0"/>
        <w:snapToGrid w:val="0"/>
        <w:spacing w:line="360" w:lineRule="auto"/>
        <w:ind w:firstLineChars="200" w:firstLine="480"/>
        <w:rPr>
          <w:sz w:val="24"/>
        </w:rPr>
      </w:pPr>
      <w:r w:rsidRPr="00DF0F8D">
        <w:rPr>
          <w:sz w:val="24"/>
        </w:rPr>
        <w:t>R</w:t>
      </w:r>
      <w:r w:rsidRPr="00DF0F8D">
        <w:rPr>
          <w:sz w:val="24"/>
        </w:rPr>
        <w:t>的计算采用四舍五入的方法保留到小数点后</w:t>
      </w:r>
      <w:r w:rsidRPr="00DF0F8D">
        <w:rPr>
          <w:sz w:val="24"/>
        </w:rPr>
        <w:t>8</w:t>
      </w:r>
      <w:r w:rsidRPr="00DF0F8D">
        <w:rPr>
          <w:sz w:val="24"/>
        </w:rPr>
        <w:t>位；</w:t>
      </w:r>
    </w:p>
    <w:p w14:paraId="59B03FE0" w14:textId="01F2E1A5" w:rsidR="00DF0F8D" w:rsidRPr="00DF0F8D" w:rsidRDefault="00D103F0" w:rsidP="00DF0F8D">
      <w:pPr>
        <w:adjustRightInd w:val="0"/>
        <w:snapToGrid w:val="0"/>
        <w:spacing w:line="360" w:lineRule="auto"/>
        <w:ind w:firstLineChars="200" w:firstLine="480"/>
        <w:rPr>
          <w:sz w:val="24"/>
        </w:rPr>
      </w:pPr>
      <m:oMath>
        <m:sSub>
          <m:sSubPr>
            <m:ctrlPr>
              <w:rPr>
                <w:rFonts w:ascii="Cambria Math" w:hAnsi="Cambria Math"/>
                <w:sz w:val="24"/>
              </w:rPr>
            </m:ctrlPr>
          </m:sSubPr>
          <m:e>
            <m:r>
              <w:rPr>
                <w:rFonts w:ascii="Cambria Math" w:hAnsi="Cambria Math"/>
                <w:sz w:val="24"/>
              </w:rPr>
              <m:t>Nav</m:t>
            </m:r>
          </m:e>
          <m:sub>
            <m:r>
              <m:rPr>
                <m:sty m:val="p"/>
              </m:rPr>
              <w:rPr>
                <w:rFonts w:ascii="Cambria Math" w:hAnsi="Cambria Math"/>
                <w:sz w:val="24"/>
              </w:rPr>
              <m:t>1</m:t>
            </m:r>
          </m:sub>
        </m:sSub>
      </m:oMath>
      <w:r w:rsidR="00DF0F8D" w:rsidRPr="00DF0F8D">
        <w:rPr>
          <w:rFonts w:hint="eastAsia"/>
          <w:sz w:val="24"/>
        </w:rPr>
        <w:t>为该封闭期</w:t>
      </w:r>
      <w:r w:rsidR="00DF0F8D" w:rsidRPr="00DF0F8D">
        <w:rPr>
          <w:sz w:val="24"/>
        </w:rPr>
        <w:t>最后一日</w:t>
      </w:r>
      <w:r w:rsidR="00DF0F8D" w:rsidRPr="00DF0F8D">
        <w:rPr>
          <w:rFonts w:hint="eastAsia"/>
          <w:sz w:val="24"/>
        </w:rPr>
        <w:t>的基金份额累计净值（提取业绩报酬前）；</w:t>
      </w:r>
      <w:r w:rsidR="00DF0F8D" w:rsidRPr="00DF0F8D">
        <w:rPr>
          <w:sz w:val="24"/>
        </w:rPr>
        <w:t xml:space="preserve"> </w:t>
      </w:r>
    </w:p>
    <w:p w14:paraId="598F5781" w14:textId="68394119" w:rsidR="00DF0F8D" w:rsidRPr="00DF0F8D" w:rsidRDefault="00D103F0" w:rsidP="00DF0F8D">
      <w:pPr>
        <w:adjustRightInd w:val="0"/>
        <w:snapToGrid w:val="0"/>
        <w:spacing w:line="360" w:lineRule="auto"/>
        <w:ind w:firstLineChars="200" w:firstLine="480"/>
        <w:rPr>
          <w:sz w:val="24"/>
        </w:rPr>
      </w:pPr>
      <m:oMath>
        <m:sSub>
          <m:sSubPr>
            <m:ctrlPr>
              <w:rPr>
                <w:rFonts w:ascii="Cambria Math" w:hAnsi="Cambria Math"/>
                <w:sz w:val="24"/>
              </w:rPr>
            </m:ctrlPr>
          </m:sSubPr>
          <m:e>
            <m:r>
              <w:rPr>
                <w:rFonts w:ascii="Cambria Math" w:hAnsi="Cambria Math"/>
                <w:sz w:val="24"/>
              </w:rPr>
              <m:t>Nav</m:t>
            </m:r>
          </m:e>
          <m:sub>
            <m:r>
              <m:rPr>
                <m:sty m:val="p"/>
              </m:rPr>
              <w:rPr>
                <w:rFonts w:ascii="Cambria Math" w:hAnsi="Cambria Math"/>
                <w:sz w:val="24"/>
              </w:rPr>
              <m:t>0</m:t>
            </m:r>
          </m:sub>
        </m:sSub>
      </m:oMath>
      <w:r w:rsidR="00DF0F8D" w:rsidRPr="00DF0F8D">
        <w:rPr>
          <w:rFonts w:hint="eastAsia"/>
          <w:sz w:val="24"/>
        </w:rPr>
        <w:t>为该封闭期</w:t>
      </w:r>
      <w:r w:rsidR="00DF0F8D" w:rsidRPr="00DF0F8D">
        <w:rPr>
          <w:sz w:val="24"/>
        </w:rPr>
        <w:t>的前一开放期</w:t>
      </w:r>
      <w:r w:rsidR="00DF0F8D" w:rsidRPr="00DF0F8D">
        <w:rPr>
          <w:rFonts w:hint="eastAsia"/>
          <w:sz w:val="24"/>
        </w:rPr>
        <w:t>最后</w:t>
      </w:r>
      <w:r w:rsidR="00DF0F8D" w:rsidRPr="00DF0F8D">
        <w:rPr>
          <w:sz w:val="24"/>
        </w:rPr>
        <w:t>一</w:t>
      </w:r>
      <w:r w:rsidR="00DF0F8D" w:rsidRPr="00DF0F8D">
        <w:rPr>
          <w:rFonts w:hint="eastAsia"/>
          <w:sz w:val="24"/>
        </w:rPr>
        <w:t>日</w:t>
      </w:r>
      <w:r w:rsidR="00DF0F8D" w:rsidRPr="00DF0F8D">
        <w:rPr>
          <w:sz w:val="24"/>
        </w:rPr>
        <w:t>的基金份额累计净值</w:t>
      </w:r>
      <w:r w:rsidR="00DF0F8D" w:rsidRPr="00DF0F8D">
        <w:rPr>
          <w:rFonts w:hint="eastAsia"/>
          <w:sz w:val="24"/>
        </w:rPr>
        <w:t>（第一个封闭期时</w:t>
      </w:r>
      <w:r w:rsidR="00DF0F8D" w:rsidRPr="00DF0F8D">
        <w:rPr>
          <w:sz w:val="24"/>
        </w:rPr>
        <w:t>，</w:t>
      </w:r>
      <m:oMath>
        <m:sSub>
          <m:sSubPr>
            <m:ctrlPr>
              <w:rPr>
                <w:rFonts w:ascii="Cambria Math" w:hAnsi="Cambria Math"/>
                <w:sz w:val="24"/>
              </w:rPr>
            </m:ctrlPr>
          </m:sSubPr>
          <m:e>
            <m:r>
              <w:rPr>
                <w:rFonts w:ascii="Cambria Math" w:hAnsi="Cambria Math"/>
                <w:sz w:val="24"/>
              </w:rPr>
              <m:t>Nav</m:t>
            </m:r>
          </m:e>
          <m:sub>
            <m:r>
              <m:rPr>
                <m:sty m:val="p"/>
              </m:rPr>
              <w:rPr>
                <w:rFonts w:ascii="Cambria Math" w:hAnsi="Cambria Math"/>
                <w:sz w:val="24"/>
              </w:rPr>
              <m:t>0</m:t>
            </m:r>
          </m:sub>
        </m:sSub>
      </m:oMath>
      <w:r w:rsidR="00DF0F8D" w:rsidRPr="00DF0F8D">
        <w:rPr>
          <w:sz w:val="24"/>
        </w:rPr>
        <w:t>为</w:t>
      </w:r>
      <w:r w:rsidR="00DF0F8D" w:rsidRPr="00DF0F8D">
        <w:rPr>
          <w:sz w:val="24"/>
        </w:rPr>
        <w:t>1.00</w:t>
      </w:r>
      <w:r w:rsidR="00DF0F8D" w:rsidRPr="00DF0F8D">
        <w:rPr>
          <w:sz w:val="24"/>
        </w:rPr>
        <w:t>元</w:t>
      </w:r>
      <w:r w:rsidR="00DF0F8D" w:rsidRPr="00DF0F8D">
        <w:rPr>
          <w:rFonts w:hint="eastAsia"/>
          <w:sz w:val="24"/>
        </w:rPr>
        <w:t>）；</w:t>
      </w:r>
    </w:p>
    <w:p w14:paraId="6B1CD59D" w14:textId="218C155B" w:rsidR="00DF0F8D" w:rsidRPr="00DF0F8D" w:rsidRDefault="00D103F0" w:rsidP="00DF0F8D">
      <w:pPr>
        <w:adjustRightInd w:val="0"/>
        <w:snapToGrid w:val="0"/>
        <w:spacing w:line="360" w:lineRule="auto"/>
        <w:ind w:firstLineChars="200" w:firstLine="480"/>
        <w:rPr>
          <w:sz w:val="24"/>
        </w:rPr>
      </w:pPr>
      <m:oMath>
        <m:sSubSup>
          <m:sSubSupPr>
            <m:ctrlPr>
              <w:rPr>
                <w:rFonts w:ascii="Cambria Math" w:hAnsi="Cambria Math"/>
                <w:sz w:val="24"/>
              </w:rPr>
            </m:ctrlPr>
          </m:sSubSupPr>
          <m:e>
            <m:r>
              <w:rPr>
                <w:rFonts w:ascii="Cambria Math" w:hAnsi="Cambria Math"/>
                <w:sz w:val="24"/>
              </w:rPr>
              <m:t>Nav</m:t>
            </m:r>
          </m:e>
          <m:sub>
            <m:r>
              <m:rPr>
                <m:sty m:val="p"/>
              </m:rPr>
              <w:rPr>
                <w:rFonts w:ascii="Cambria Math" w:hAnsi="Cambria Math"/>
                <w:sz w:val="24"/>
              </w:rPr>
              <m:t>0</m:t>
            </m:r>
          </m:sub>
          <m:sup>
            <m:r>
              <m:rPr>
                <m:sty m:val="p"/>
              </m:rPr>
              <w:rPr>
                <w:rFonts w:ascii="Cambria Math" w:hAnsi="Cambria Math"/>
                <w:sz w:val="24"/>
              </w:rPr>
              <m:t>*</m:t>
            </m:r>
          </m:sup>
        </m:sSubSup>
      </m:oMath>
      <w:r w:rsidR="00DF0F8D" w:rsidRPr="00DF0F8D">
        <w:rPr>
          <w:rFonts w:hint="eastAsia"/>
          <w:sz w:val="24"/>
        </w:rPr>
        <w:t>为该封闭期</w:t>
      </w:r>
      <w:r w:rsidR="00DF0F8D" w:rsidRPr="00DF0F8D">
        <w:rPr>
          <w:sz w:val="24"/>
        </w:rPr>
        <w:t>的前一开放期</w:t>
      </w:r>
      <w:r w:rsidR="00DF0F8D" w:rsidRPr="00DF0F8D">
        <w:rPr>
          <w:rFonts w:hint="eastAsia"/>
          <w:sz w:val="24"/>
        </w:rPr>
        <w:t>最后</w:t>
      </w:r>
      <w:r w:rsidR="00DF0F8D" w:rsidRPr="00DF0F8D">
        <w:rPr>
          <w:sz w:val="24"/>
        </w:rPr>
        <w:t>一</w:t>
      </w:r>
      <w:r w:rsidR="00DF0F8D" w:rsidRPr="00DF0F8D">
        <w:rPr>
          <w:rFonts w:hint="eastAsia"/>
          <w:sz w:val="24"/>
        </w:rPr>
        <w:t>日</w:t>
      </w:r>
      <w:r w:rsidR="00DF0F8D" w:rsidRPr="00DF0F8D">
        <w:rPr>
          <w:sz w:val="24"/>
        </w:rPr>
        <w:t>的基金份额单位净值（</w:t>
      </w:r>
      <w:r w:rsidR="00DF0F8D" w:rsidRPr="00DF0F8D">
        <w:rPr>
          <w:rFonts w:hint="eastAsia"/>
          <w:sz w:val="24"/>
        </w:rPr>
        <w:t>第一个封闭期时</w:t>
      </w:r>
      <w:r w:rsidR="00DF0F8D" w:rsidRPr="00DF0F8D">
        <w:rPr>
          <w:sz w:val="24"/>
        </w:rPr>
        <w:t>，</w:t>
      </w:r>
      <m:oMath>
        <m:sSubSup>
          <m:sSubSupPr>
            <m:ctrlPr>
              <w:rPr>
                <w:rFonts w:ascii="Cambria Math" w:hAnsi="Cambria Math"/>
                <w:sz w:val="24"/>
              </w:rPr>
            </m:ctrlPr>
          </m:sSubSupPr>
          <m:e>
            <m:r>
              <w:rPr>
                <w:rFonts w:ascii="Cambria Math" w:hAnsi="Cambria Math"/>
                <w:sz w:val="24"/>
              </w:rPr>
              <m:t>Nav</m:t>
            </m:r>
          </m:e>
          <m:sub>
            <m:r>
              <m:rPr>
                <m:sty m:val="p"/>
              </m:rPr>
              <w:rPr>
                <w:rFonts w:ascii="Cambria Math" w:hAnsi="Cambria Math"/>
                <w:sz w:val="24"/>
              </w:rPr>
              <m:t>0</m:t>
            </m:r>
          </m:sub>
          <m:sup>
            <m:r>
              <m:rPr>
                <m:sty m:val="p"/>
              </m:rPr>
              <w:rPr>
                <w:rFonts w:ascii="Cambria Math" w:hAnsi="Cambria Math"/>
                <w:sz w:val="24"/>
              </w:rPr>
              <m:t>*</m:t>
            </m:r>
          </m:sup>
        </m:sSubSup>
      </m:oMath>
      <w:r w:rsidR="00DF0F8D" w:rsidRPr="00DF0F8D">
        <w:rPr>
          <w:sz w:val="24"/>
        </w:rPr>
        <w:t>为</w:t>
      </w:r>
      <w:r w:rsidR="00DF0F8D" w:rsidRPr="00DF0F8D">
        <w:rPr>
          <w:sz w:val="24"/>
        </w:rPr>
        <w:t>1.00</w:t>
      </w:r>
      <w:r w:rsidR="00DF0F8D" w:rsidRPr="00DF0F8D">
        <w:rPr>
          <w:sz w:val="24"/>
        </w:rPr>
        <w:t>元）；</w:t>
      </w:r>
    </w:p>
    <w:p w14:paraId="4C3BDB80"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T</w:t>
      </w:r>
      <w:r w:rsidRPr="00DF0F8D">
        <w:rPr>
          <w:rFonts w:hint="eastAsia"/>
          <w:sz w:val="24"/>
        </w:rPr>
        <w:t>为该封闭期实际天数。</w:t>
      </w:r>
    </w:p>
    <w:p w14:paraId="2F6093E5" w14:textId="68C2CCDC" w:rsidR="00DF0F8D" w:rsidRPr="00DF0F8D" w:rsidRDefault="00D103F0" w:rsidP="00DF0F8D">
      <w:pPr>
        <w:adjustRightInd w:val="0"/>
        <w:snapToGrid w:val="0"/>
        <w:spacing w:line="360" w:lineRule="auto"/>
        <w:ind w:firstLineChars="200" w:firstLine="480"/>
        <w:rPr>
          <w:sz w:val="24"/>
        </w:rPr>
      </w:pPr>
      <m:oMath>
        <m:sSub>
          <m:sSubPr>
            <m:ctrlPr>
              <w:rPr>
                <w:rFonts w:ascii="Cambria Math" w:hAnsi="Cambria Math"/>
                <w:sz w:val="24"/>
              </w:rPr>
            </m:ctrlPr>
          </m:sSubPr>
          <m:e>
            <m:r>
              <w:rPr>
                <w:rFonts w:ascii="Cambria Math" w:hAnsi="Cambria Math"/>
                <w:sz w:val="24"/>
              </w:rPr>
              <m:t>S</m:t>
            </m:r>
          </m:e>
          <m:sub>
            <m:r>
              <m:rPr>
                <m:sty m:val="p"/>
              </m:rPr>
              <w:rPr>
                <w:rFonts w:ascii="Cambria Math" w:hAnsi="Cambria Math"/>
                <w:sz w:val="24"/>
              </w:rPr>
              <m:t>0</m:t>
            </m:r>
          </m:sub>
        </m:sSub>
      </m:oMath>
      <w:r w:rsidR="00DF0F8D" w:rsidRPr="00DF0F8D">
        <w:rPr>
          <w:rFonts w:hint="eastAsia"/>
          <w:sz w:val="24"/>
        </w:rPr>
        <w:t>为该封闭期</w:t>
      </w:r>
      <w:r w:rsidR="00DF0F8D" w:rsidRPr="00DF0F8D">
        <w:rPr>
          <w:sz w:val="24"/>
        </w:rPr>
        <w:t>的前一开放期</w:t>
      </w:r>
      <w:r w:rsidR="00DF0F8D" w:rsidRPr="00DF0F8D">
        <w:rPr>
          <w:rFonts w:hint="eastAsia"/>
          <w:sz w:val="24"/>
        </w:rPr>
        <w:t>最后</w:t>
      </w:r>
      <w:r w:rsidR="00DF0F8D" w:rsidRPr="00DF0F8D">
        <w:rPr>
          <w:sz w:val="24"/>
        </w:rPr>
        <w:t>一</w:t>
      </w:r>
      <w:r w:rsidR="00DF0F8D" w:rsidRPr="00DF0F8D">
        <w:rPr>
          <w:rFonts w:hint="eastAsia"/>
          <w:sz w:val="24"/>
        </w:rPr>
        <w:t>日的基金资产净值</w:t>
      </w:r>
      <w:r w:rsidR="00DF0F8D" w:rsidRPr="00DF0F8D">
        <w:rPr>
          <w:sz w:val="24"/>
        </w:rPr>
        <w:t>（</w:t>
      </w:r>
      <w:r w:rsidR="00DF0F8D" w:rsidRPr="00DF0F8D">
        <w:rPr>
          <w:rFonts w:hint="eastAsia"/>
          <w:sz w:val="24"/>
        </w:rPr>
        <w:t>第一个封闭期时，</w:t>
      </w:r>
      <m:oMath>
        <m:sSub>
          <m:sSubPr>
            <m:ctrlPr>
              <w:rPr>
                <w:rFonts w:ascii="Cambria Math" w:hAnsi="Cambria Math"/>
                <w:sz w:val="24"/>
              </w:rPr>
            </m:ctrlPr>
          </m:sSubPr>
          <m:e>
            <m:r>
              <w:rPr>
                <w:rFonts w:ascii="Cambria Math" w:hAnsi="Cambria Math"/>
                <w:sz w:val="24"/>
              </w:rPr>
              <m:t>S</m:t>
            </m:r>
          </m:e>
          <m:sub>
            <m:r>
              <m:rPr>
                <m:sty m:val="p"/>
              </m:rPr>
              <w:rPr>
                <w:rFonts w:ascii="Cambria Math" w:hAnsi="Cambria Math"/>
                <w:sz w:val="24"/>
              </w:rPr>
              <m:t>0</m:t>
            </m:r>
          </m:sub>
        </m:sSub>
      </m:oMath>
      <w:r w:rsidR="00DF0F8D" w:rsidRPr="00DF0F8D">
        <w:rPr>
          <w:rFonts w:hint="eastAsia"/>
          <w:sz w:val="24"/>
        </w:rPr>
        <w:t>指基金的募集规模</w:t>
      </w:r>
      <w:r w:rsidR="00DF0F8D" w:rsidRPr="00DF0F8D">
        <w:rPr>
          <w:sz w:val="24"/>
        </w:rPr>
        <w:t>）；</w:t>
      </w:r>
      <w:r w:rsidR="00DF0F8D" w:rsidRPr="00DF0F8D">
        <w:rPr>
          <w:rFonts w:hint="eastAsia"/>
          <w:sz w:val="24"/>
        </w:rPr>
        <w:t xml:space="preserve"> </w:t>
      </w:r>
    </w:p>
    <w:p w14:paraId="27167C3A" w14:textId="0B5CCD92" w:rsidR="00DF0F8D" w:rsidRPr="00DF0F8D" w:rsidRDefault="00DF0F8D" w:rsidP="00DF0F8D">
      <w:pPr>
        <w:adjustRightInd w:val="0"/>
        <w:snapToGrid w:val="0"/>
        <w:spacing w:line="360" w:lineRule="auto"/>
        <w:ind w:firstLineChars="200" w:firstLine="480"/>
        <w:rPr>
          <w:sz w:val="24"/>
        </w:rPr>
      </w:pPr>
      <m:oMath>
        <m:r>
          <m:rPr>
            <m:sty m:val="p"/>
          </m:rPr>
          <w:rPr>
            <w:rFonts w:ascii="Cambria Math" w:eastAsia="仿宋" w:hAnsi="Cambria Math"/>
            <w:sz w:val="24"/>
          </w:rPr>
          <m:t>Min⁡</m:t>
        </m:r>
        <m:d>
          <m:dPr>
            <m:begChr m:val="{"/>
            <m:ctrlPr>
              <w:rPr>
                <w:rFonts w:ascii="Cambria Math" w:eastAsia="仿宋" w:hAnsi="Cambria Math"/>
                <w:sz w:val="24"/>
              </w:rPr>
            </m:ctrlPr>
          </m:dPr>
          <m:e>
            <m:d>
              <m:dPr>
                <m:ctrlPr>
                  <w:rPr>
                    <w:rFonts w:ascii="Cambria Math" w:eastAsia="仿宋" w:hAnsi="Cambria Math"/>
                    <w:sz w:val="24"/>
                  </w:rPr>
                </m:ctrlPr>
              </m:dPr>
              <m:e>
                <m:r>
                  <w:rPr>
                    <w:rFonts w:ascii="Cambria Math" w:eastAsia="仿宋" w:hAnsi="Cambria Math"/>
                    <w:sz w:val="24"/>
                  </w:rPr>
                  <m:t>R</m:t>
                </m:r>
                <m:r>
                  <m:rPr>
                    <m:sty m:val="p"/>
                  </m:rPr>
                  <w:rPr>
                    <w:rFonts w:ascii="Cambria Math" w:eastAsia="仿宋" w:hAnsi="Cambria Math"/>
                    <w:sz w:val="24"/>
                  </w:rPr>
                  <m:t>-8%</m:t>
                </m:r>
              </m:e>
            </m:d>
            <m:r>
              <m:rPr>
                <m:sty m:val="p"/>
              </m:rPr>
              <w:rPr>
                <w:rFonts w:ascii="Cambria Math" w:eastAsia="仿宋" w:hAnsi="Cambria Math" w:hint="eastAsia"/>
                <w:sz w:val="24"/>
              </w:rPr>
              <m:t>×</m:t>
            </m:r>
            <m:r>
              <m:rPr>
                <m:sty m:val="p"/>
              </m:rPr>
              <w:rPr>
                <w:rFonts w:ascii="Cambria Math" w:eastAsia="仿宋" w:hAnsi="Cambria Math" w:hint="eastAsia"/>
                <w:sz w:val="24"/>
              </w:rPr>
              <m:t>20%</m:t>
            </m:r>
            <m:r>
              <m:rPr>
                <m:sty m:val="p"/>
              </m:rPr>
              <w:rPr>
                <w:rFonts w:ascii="Cambria Math" w:eastAsia="仿宋" w:hAnsi="Cambria Math"/>
                <w:sz w:val="24"/>
              </w:rPr>
              <m:t>,</m:t>
            </m:r>
            <m:d>
              <m:dPr>
                <m:ctrlPr>
                  <w:rPr>
                    <w:rFonts w:ascii="Cambria Math" w:hAnsi="Cambria Math"/>
                    <w:sz w:val="24"/>
                    <w:szCs w:val="24"/>
                  </w:rPr>
                </m:ctrlPr>
              </m:dPr>
              <m:e>
                <m:r>
                  <m:rPr>
                    <m:sty m:val="p"/>
                  </m:rPr>
                  <w:rPr>
                    <w:rFonts w:ascii="Cambria Math" w:hAnsi="Cambria Math"/>
                    <w:sz w:val="24"/>
                    <w:szCs w:val="24"/>
                  </w:rPr>
                  <m:t>R-Rm</m:t>
                </m:r>
              </m:e>
            </m:d>
            <m:r>
              <m:rPr>
                <m:sty m:val="p"/>
              </m:rPr>
              <w:rPr>
                <w:rFonts w:ascii="Cambria Math" w:hAnsi="Cambria Math" w:hint="eastAsia"/>
                <w:sz w:val="24"/>
                <w:szCs w:val="24"/>
              </w:rPr>
              <m:t>×</m:t>
            </m:r>
            <m:r>
              <m:rPr>
                <m:sty m:val="p"/>
              </m:rPr>
              <w:rPr>
                <w:rFonts w:ascii="Cambria Math" w:hAnsi="Cambria Math"/>
                <w:sz w:val="24"/>
                <w:szCs w:val="24"/>
              </w:rPr>
              <m:t>20%,</m:t>
            </m:r>
            <m:r>
              <m:rPr>
                <m:sty m:val="p"/>
              </m:rPr>
              <w:rPr>
                <w:rFonts w:ascii="Cambria Math" w:eastAsia="仿宋" w:hAnsi="Cambria Math"/>
                <w:sz w:val="24"/>
              </w:rPr>
              <m:t>1.0%</m:t>
            </m:r>
          </m:e>
        </m:d>
        <m:r>
          <m:rPr>
            <m:sty m:val="p"/>
          </m:rPr>
          <w:rPr>
            <w:rFonts w:ascii="Cambria Math" w:eastAsia="仿宋" w:hAnsi="Cambria Math"/>
            <w:sz w:val="24"/>
          </w:rPr>
          <m:t>}</m:t>
        </m:r>
      </m:oMath>
      <w:r w:rsidRPr="00DF0F8D">
        <w:rPr>
          <w:rFonts w:hint="eastAsia"/>
          <w:sz w:val="24"/>
        </w:rPr>
        <w:t>指</w:t>
      </w:r>
      <w:r w:rsidRPr="00DF0F8D">
        <w:rPr>
          <w:sz w:val="24"/>
        </w:rPr>
        <w:t>取</w:t>
      </w:r>
      <w:r w:rsidRPr="00DF0F8D">
        <w:rPr>
          <w:rFonts w:hint="eastAsia"/>
          <w:sz w:val="24"/>
        </w:rPr>
        <w:t>三者的孰低者</w:t>
      </w:r>
      <w:r w:rsidRPr="00DF0F8D">
        <w:rPr>
          <w:sz w:val="24"/>
        </w:rPr>
        <w:t>；</w:t>
      </w:r>
      <w:r w:rsidRPr="00DF0F8D">
        <w:rPr>
          <w:rFonts w:hint="eastAsia"/>
          <w:sz w:val="24"/>
        </w:rPr>
        <w:t>业绩报</w:t>
      </w:r>
      <w:r w:rsidRPr="00DF0F8D">
        <w:rPr>
          <w:sz w:val="24"/>
        </w:rPr>
        <w:t>酬</w:t>
      </w:r>
      <w:r w:rsidRPr="00DF0F8D">
        <w:rPr>
          <w:rFonts w:hint="eastAsia"/>
          <w:sz w:val="24"/>
        </w:rPr>
        <w:t>的计算采用四舍五入的方法保留到小数点后</w:t>
      </w:r>
      <w:r w:rsidRPr="00DF0F8D">
        <w:rPr>
          <w:sz w:val="24"/>
        </w:rPr>
        <w:t>2</w:t>
      </w:r>
      <w:r w:rsidRPr="00DF0F8D">
        <w:rPr>
          <w:rFonts w:hint="eastAsia"/>
          <w:sz w:val="24"/>
        </w:rPr>
        <w:t>位。</w:t>
      </w:r>
    </w:p>
    <w:p w14:paraId="24A89437"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同</w:t>
      </w:r>
      <w:r w:rsidRPr="00DF0F8D">
        <w:rPr>
          <w:sz w:val="24"/>
        </w:rPr>
        <w:t>期</w:t>
      </w:r>
      <w:r w:rsidRPr="00DF0F8D">
        <w:rPr>
          <w:rFonts w:hint="eastAsia"/>
          <w:sz w:val="24"/>
        </w:rPr>
        <w:t>业绩</w:t>
      </w:r>
      <w:r w:rsidRPr="00DF0F8D">
        <w:rPr>
          <w:sz w:val="24"/>
        </w:rPr>
        <w:t>比较基准的年化收益率计算公式</w:t>
      </w:r>
      <w:r w:rsidRPr="00DF0F8D">
        <w:rPr>
          <w:rFonts w:hint="eastAsia"/>
          <w:sz w:val="24"/>
        </w:rPr>
        <w:t>如</w:t>
      </w:r>
      <w:r w:rsidRPr="00DF0F8D">
        <w:rPr>
          <w:sz w:val="24"/>
        </w:rPr>
        <w:t>下：</w:t>
      </w:r>
      <w:r w:rsidRPr="00DF0F8D">
        <w:rPr>
          <w:sz w:val="24"/>
        </w:rPr>
        <w:t xml:space="preserve"> </w:t>
      </w:r>
    </w:p>
    <w:p w14:paraId="724ABEF8" w14:textId="75F35F2E" w:rsidR="00DF0F8D" w:rsidRPr="00DF0F8D" w:rsidRDefault="00DF0F8D" w:rsidP="00DF0F8D">
      <w:pPr>
        <w:adjustRightInd w:val="0"/>
        <w:snapToGrid w:val="0"/>
        <w:spacing w:line="360" w:lineRule="auto"/>
        <w:ind w:firstLineChars="200" w:firstLine="480"/>
        <w:rPr>
          <w:sz w:val="24"/>
        </w:rPr>
      </w:pPr>
      <m:oMathPara>
        <m:oMath>
          <m:r>
            <w:rPr>
              <w:rFonts w:ascii="Cambria Math" w:hAnsi="Cambria Math" w:hint="eastAsia"/>
              <w:sz w:val="24"/>
            </w:rPr>
            <m:t>R</m:t>
          </m:r>
          <m:r>
            <w:rPr>
              <w:rFonts w:ascii="Cambria Math" w:hAnsi="Cambria Math"/>
              <w:sz w:val="24"/>
            </w:rPr>
            <m:t>m</m:t>
          </m:r>
          <m:r>
            <m:rPr>
              <m:sty m:val="p"/>
            </m:rPr>
            <w:rPr>
              <w:rFonts w:ascii="Cambria Math" w:hAnsi="Cambria Math" w:hint="eastAsia"/>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P</m:t>
                  </m:r>
                </m:e>
                <m:sub>
                  <m:r>
                    <m:rPr>
                      <m:sty m:val="p"/>
                    </m:rPr>
                    <w:rPr>
                      <w:rFonts w:ascii="Cambria Math" w:hAnsi="Cambria Math" w:hint="eastAsia"/>
                      <w:sz w:val="24"/>
                    </w:rPr>
                    <m:t>1</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P</m:t>
                  </m:r>
                </m:e>
                <m:sub>
                  <m:r>
                    <m:rPr>
                      <m:sty m:val="p"/>
                    </m:rPr>
                    <w:rPr>
                      <w:rFonts w:ascii="Cambria Math" w:hAnsi="Cambria Math" w:hint="eastAsia"/>
                      <w:sz w:val="24"/>
                    </w:rPr>
                    <m:t>0</m:t>
                  </m:r>
                </m:sub>
              </m:sSub>
            </m:num>
            <m:den>
              <m:sSub>
                <m:sSubPr>
                  <m:ctrlPr>
                    <w:rPr>
                      <w:rFonts w:ascii="Cambria Math" w:hAnsi="Cambria Math"/>
                      <w:sz w:val="24"/>
                    </w:rPr>
                  </m:ctrlPr>
                </m:sSubPr>
                <m:e>
                  <m:r>
                    <w:rPr>
                      <w:rFonts w:ascii="Cambria Math" w:hAnsi="Cambria Math"/>
                      <w:sz w:val="24"/>
                    </w:rPr>
                    <m:t>P</m:t>
                  </m:r>
                </m:e>
                <m:sub>
                  <m:r>
                    <m:rPr>
                      <m:sty m:val="p"/>
                    </m:rPr>
                    <w:rPr>
                      <w:rFonts w:ascii="Cambria Math" w:hAnsi="Cambria Math" w:hint="eastAsia"/>
                      <w:sz w:val="24"/>
                    </w:rPr>
                    <m:t>0</m:t>
                  </m:r>
                </m:sub>
              </m:sSub>
            </m:den>
          </m:f>
          <m:r>
            <m:rPr>
              <m:sty m:val="p"/>
            </m:rPr>
            <w:rPr>
              <w:rFonts w:ascii="Cambria Math" w:hAnsi="Cambria Math" w:hint="eastAsia"/>
              <w:sz w:val="24"/>
            </w:rPr>
            <m:t>×</m:t>
          </m:r>
          <m:f>
            <m:fPr>
              <m:ctrlPr>
                <w:rPr>
                  <w:rFonts w:ascii="Cambria Math" w:hAnsi="Cambria Math"/>
                  <w:sz w:val="24"/>
                </w:rPr>
              </m:ctrlPr>
            </m:fPr>
            <m:num>
              <m:r>
                <m:rPr>
                  <m:sty m:val="p"/>
                </m:rPr>
                <w:rPr>
                  <w:rFonts w:ascii="Cambria Math" w:hAnsi="Cambria Math" w:hint="eastAsia"/>
                  <w:sz w:val="24"/>
                </w:rPr>
                <m:t>365</m:t>
              </m:r>
            </m:num>
            <m:den>
              <m:r>
                <m:rPr>
                  <m:sty m:val="p"/>
                </m:rPr>
                <w:rPr>
                  <w:rFonts w:ascii="Cambria Math" w:hAnsi="Cambria Math" w:hint="eastAsia"/>
                  <w:sz w:val="24"/>
                </w:rPr>
                <m:t>T</m:t>
              </m:r>
            </m:den>
          </m:f>
          <m:r>
            <m:rPr>
              <m:sty m:val="p"/>
            </m:rPr>
            <w:rPr>
              <w:rFonts w:ascii="Cambria Math" w:hAnsi="Cambria Math" w:hint="eastAsia"/>
              <w:sz w:val="24"/>
            </w:rPr>
            <m:t>×</m:t>
          </m:r>
          <m:r>
            <m:rPr>
              <m:sty m:val="p"/>
            </m:rPr>
            <w:rPr>
              <w:rFonts w:ascii="Cambria Math" w:hAnsi="Cambria Math" w:hint="eastAsia"/>
              <w:sz w:val="24"/>
            </w:rPr>
            <m:t>100%</m:t>
          </m:r>
        </m:oMath>
      </m:oMathPara>
    </w:p>
    <w:p w14:paraId="388D2AC1" w14:textId="77777777" w:rsidR="00DF0F8D" w:rsidRPr="00DF0F8D" w:rsidRDefault="00DF0F8D" w:rsidP="00DF0F8D">
      <w:pPr>
        <w:adjustRightInd w:val="0"/>
        <w:snapToGrid w:val="0"/>
        <w:spacing w:line="360" w:lineRule="auto"/>
        <w:ind w:firstLineChars="200" w:firstLine="480"/>
        <w:rPr>
          <w:sz w:val="24"/>
        </w:rPr>
      </w:pPr>
      <w:r w:rsidRPr="00DF0F8D">
        <w:rPr>
          <w:sz w:val="24"/>
        </w:rPr>
        <w:t>Rm</w:t>
      </w:r>
      <w:r w:rsidRPr="00DF0F8D">
        <w:rPr>
          <w:rFonts w:hint="eastAsia"/>
          <w:sz w:val="24"/>
        </w:rPr>
        <w:t>的计算采用四舍五入的方法保留到小数点后</w:t>
      </w:r>
      <w:r w:rsidRPr="00DF0F8D">
        <w:rPr>
          <w:rFonts w:hint="eastAsia"/>
          <w:sz w:val="24"/>
        </w:rPr>
        <w:t>8</w:t>
      </w:r>
      <w:r w:rsidRPr="00DF0F8D">
        <w:rPr>
          <w:rFonts w:hint="eastAsia"/>
          <w:sz w:val="24"/>
        </w:rPr>
        <w:t>位；</w:t>
      </w:r>
    </w:p>
    <w:p w14:paraId="1AADEEEE" w14:textId="15B9932A" w:rsidR="00DF0F8D" w:rsidRPr="00DF0F8D" w:rsidRDefault="00D103F0" w:rsidP="00DF0F8D">
      <w:pPr>
        <w:adjustRightInd w:val="0"/>
        <w:snapToGrid w:val="0"/>
        <w:spacing w:line="360" w:lineRule="auto"/>
        <w:ind w:firstLineChars="200" w:firstLine="480"/>
        <w:rPr>
          <w:sz w:val="24"/>
        </w:rPr>
      </w:pPr>
      <m:oMath>
        <m:sSub>
          <m:sSubPr>
            <m:ctrlPr>
              <w:rPr>
                <w:rFonts w:ascii="Cambria Math" w:hAnsi="Cambria Math"/>
                <w:sz w:val="24"/>
              </w:rPr>
            </m:ctrlPr>
          </m:sSubPr>
          <m:e>
            <m:r>
              <w:rPr>
                <w:rFonts w:ascii="Cambria Math" w:hAnsi="Cambria Math"/>
                <w:sz w:val="24"/>
              </w:rPr>
              <m:t>P</m:t>
            </m:r>
          </m:e>
          <m:sub>
            <m:r>
              <m:rPr>
                <m:sty m:val="p"/>
              </m:rPr>
              <w:rPr>
                <w:rFonts w:ascii="Cambria Math" w:hAnsi="Cambria Math" w:hint="eastAsia"/>
                <w:sz w:val="24"/>
              </w:rPr>
              <m:t>1</m:t>
            </m:r>
          </m:sub>
        </m:sSub>
      </m:oMath>
      <w:r w:rsidR="00DF0F8D" w:rsidRPr="00DF0F8D">
        <w:rPr>
          <w:rFonts w:hint="eastAsia"/>
          <w:sz w:val="24"/>
        </w:rPr>
        <w:t>为封闭期</w:t>
      </w:r>
      <w:r w:rsidR="00DF0F8D" w:rsidRPr="00DF0F8D">
        <w:rPr>
          <w:sz w:val="24"/>
        </w:rPr>
        <w:t>最后一日</w:t>
      </w:r>
      <w:r w:rsidR="00DF0F8D" w:rsidRPr="00DF0F8D">
        <w:rPr>
          <w:rFonts w:hint="eastAsia"/>
          <w:sz w:val="24"/>
        </w:rPr>
        <w:t>业绩</w:t>
      </w:r>
      <w:r w:rsidR="00DF0F8D" w:rsidRPr="00DF0F8D">
        <w:rPr>
          <w:sz w:val="24"/>
        </w:rPr>
        <w:t>比较基准的点位</w:t>
      </w:r>
      <w:r w:rsidR="00DF0F8D" w:rsidRPr="00DF0F8D">
        <w:rPr>
          <w:rFonts w:hint="eastAsia"/>
          <w:sz w:val="24"/>
        </w:rPr>
        <w:t>；</w:t>
      </w:r>
      <w:r w:rsidR="00DF0F8D" w:rsidRPr="00DF0F8D">
        <w:rPr>
          <w:sz w:val="24"/>
        </w:rPr>
        <w:t xml:space="preserve"> </w:t>
      </w:r>
    </w:p>
    <w:p w14:paraId="1DB3D882" w14:textId="02BED023" w:rsidR="00DF0F8D" w:rsidRPr="00DF0F8D" w:rsidRDefault="00D103F0" w:rsidP="00DF0F8D">
      <w:pPr>
        <w:adjustRightInd w:val="0"/>
        <w:snapToGrid w:val="0"/>
        <w:spacing w:line="360" w:lineRule="auto"/>
        <w:ind w:firstLineChars="200" w:firstLine="480"/>
        <w:rPr>
          <w:sz w:val="24"/>
        </w:rPr>
      </w:pPr>
      <m:oMath>
        <m:sSub>
          <m:sSubPr>
            <m:ctrlPr>
              <w:rPr>
                <w:rFonts w:ascii="Cambria Math" w:hAnsi="Cambria Math"/>
                <w:sz w:val="24"/>
              </w:rPr>
            </m:ctrlPr>
          </m:sSubPr>
          <m:e>
            <m:r>
              <w:rPr>
                <w:rFonts w:ascii="Cambria Math" w:hAnsi="Cambria Math"/>
                <w:sz w:val="24"/>
              </w:rPr>
              <m:t>P</m:t>
            </m:r>
          </m:e>
          <m:sub>
            <m:r>
              <m:rPr>
                <m:sty m:val="p"/>
              </m:rPr>
              <w:rPr>
                <w:rFonts w:ascii="Cambria Math" w:hAnsi="Cambria Math" w:hint="eastAsia"/>
                <w:sz w:val="24"/>
              </w:rPr>
              <m:t>0</m:t>
            </m:r>
          </m:sub>
        </m:sSub>
      </m:oMath>
      <w:r w:rsidR="00DF0F8D" w:rsidRPr="00DF0F8D">
        <w:rPr>
          <w:rFonts w:hint="eastAsia"/>
          <w:sz w:val="24"/>
        </w:rPr>
        <w:t>为封闭期的前一开放期最后一日业绩</w:t>
      </w:r>
      <w:r w:rsidR="00DF0F8D" w:rsidRPr="00DF0F8D">
        <w:rPr>
          <w:sz w:val="24"/>
        </w:rPr>
        <w:t>比较基准</w:t>
      </w:r>
      <w:r w:rsidR="00DF0F8D" w:rsidRPr="00DF0F8D">
        <w:rPr>
          <w:rFonts w:hint="eastAsia"/>
          <w:sz w:val="24"/>
        </w:rPr>
        <w:t>的点位；</w:t>
      </w:r>
      <w:r w:rsidR="00DF0F8D" w:rsidRPr="00DF0F8D">
        <w:rPr>
          <w:sz w:val="24"/>
        </w:rPr>
        <w:t xml:space="preserve"> </w:t>
      </w:r>
    </w:p>
    <w:p w14:paraId="1785C7F9"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T</w:t>
      </w:r>
      <w:r w:rsidRPr="00DF0F8D">
        <w:rPr>
          <w:rFonts w:hint="eastAsia"/>
          <w:sz w:val="24"/>
        </w:rPr>
        <w:t>为该封闭期实际天数</w:t>
      </w:r>
      <w:r w:rsidRPr="00DF0F8D">
        <w:rPr>
          <w:sz w:val="24"/>
        </w:rPr>
        <w:t xml:space="preserve"> </w:t>
      </w:r>
    </w:p>
    <w:p w14:paraId="02555FA5"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本基金业绩比较基准点位的计算方法如下：本基金业绩比较基准以基金合同生效日为基日，基点为</w:t>
      </w:r>
      <w:r w:rsidRPr="00DF0F8D">
        <w:rPr>
          <w:sz w:val="24"/>
        </w:rPr>
        <w:t>1000</w:t>
      </w:r>
      <w:r w:rsidRPr="00DF0F8D">
        <w:rPr>
          <w:sz w:val="24"/>
        </w:rPr>
        <w:t>基点，</w:t>
      </w:r>
      <w:r w:rsidRPr="00DF0F8D">
        <w:rPr>
          <w:sz w:val="24"/>
        </w:rPr>
        <w:t>T</w:t>
      </w:r>
      <w:r w:rsidRPr="00DF0F8D">
        <w:rPr>
          <w:sz w:val="24"/>
        </w:rPr>
        <w:t>日业绩比较基准的涨跌幅计算公式为：</w:t>
      </w:r>
      <w:r w:rsidRPr="00DF0F8D">
        <w:rPr>
          <w:sz w:val="24"/>
        </w:rPr>
        <w:t>rm=T</w:t>
      </w:r>
      <w:r w:rsidRPr="00DF0F8D">
        <w:rPr>
          <w:sz w:val="24"/>
        </w:rPr>
        <w:t>日</w:t>
      </w:r>
      <w:r w:rsidRPr="00DF0F8D">
        <w:rPr>
          <w:rFonts w:hint="eastAsia"/>
          <w:sz w:val="24"/>
        </w:rPr>
        <w:t>（沪深</w:t>
      </w:r>
      <w:r w:rsidRPr="00DF0F8D">
        <w:rPr>
          <w:rFonts w:hint="eastAsia"/>
          <w:sz w:val="24"/>
        </w:rPr>
        <w:t>300</w:t>
      </w:r>
      <w:r w:rsidRPr="00DF0F8D">
        <w:rPr>
          <w:rFonts w:hint="eastAsia"/>
          <w:sz w:val="24"/>
        </w:rPr>
        <w:t>指数收益率×</w:t>
      </w:r>
      <w:r w:rsidRPr="00DF0F8D">
        <w:rPr>
          <w:rFonts w:hint="eastAsia"/>
          <w:sz w:val="24"/>
        </w:rPr>
        <w:t>70%+</w:t>
      </w:r>
      <w:r w:rsidRPr="00DF0F8D">
        <w:rPr>
          <w:rFonts w:hint="eastAsia"/>
          <w:sz w:val="24"/>
        </w:rPr>
        <w:t>恒生指数收益率×</w:t>
      </w:r>
      <w:r w:rsidRPr="00DF0F8D">
        <w:rPr>
          <w:rFonts w:hint="eastAsia"/>
          <w:sz w:val="24"/>
        </w:rPr>
        <w:t>5%+</w:t>
      </w:r>
      <w:r w:rsidRPr="00DF0F8D">
        <w:rPr>
          <w:rFonts w:hint="eastAsia"/>
          <w:sz w:val="24"/>
        </w:rPr>
        <w:t>中证综合债券指数收益率×</w:t>
      </w:r>
      <w:r w:rsidRPr="00DF0F8D">
        <w:rPr>
          <w:rFonts w:hint="eastAsia"/>
          <w:sz w:val="24"/>
        </w:rPr>
        <w:t>25%</w:t>
      </w:r>
      <w:r w:rsidRPr="00DF0F8D">
        <w:rPr>
          <w:rFonts w:hint="eastAsia"/>
          <w:sz w:val="24"/>
        </w:rPr>
        <w:t>，即本基金业绩比较基准计算公式）</w:t>
      </w:r>
      <w:r w:rsidRPr="00DF0F8D">
        <w:rPr>
          <w:sz w:val="24"/>
        </w:rPr>
        <w:t>。则本基金</w:t>
      </w:r>
      <w:r w:rsidRPr="00DF0F8D">
        <w:rPr>
          <w:sz w:val="24"/>
        </w:rPr>
        <w:t>T</w:t>
      </w:r>
      <w:r w:rsidRPr="00DF0F8D">
        <w:rPr>
          <w:sz w:val="24"/>
        </w:rPr>
        <w:t>日的点位为：</w:t>
      </w:r>
      <w:r w:rsidRPr="00DF0F8D">
        <w:rPr>
          <w:sz w:val="24"/>
        </w:rPr>
        <w:t>T</w:t>
      </w:r>
      <w:r w:rsidRPr="00DF0F8D">
        <w:rPr>
          <w:sz w:val="24"/>
        </w:rPr>
        <w:t>日业绩比较基准点位</w:t>
      </w:r>
      <w:r w:rsidRPr="00DF0F8D">
        <w:rPr>
          <w:sz w:val="24"/>
        </w:rPr>
        <w:t>=T-1</w:t>
      </w:r>
      <w:r w:rsidRPr="00DF0F8D">
        <w:rPr>
          <w:sz w:val="24"/>
        </w:rPr>
        <w:t>日业绩比较基准点位</w:t>
      </w:r>
      <w:r w:rsidRPr="00DF0F8D">
        <w:rPr>
          <w:sz w:val="24"/>
        </w:rPr>
        <w:t>×</w:t>
      </w:r>
      <w:r w:rsidRPr="00DF0F8D">
        <w:rPr>
          <w:sz w:val="24"/>
        </w:rPr>
        <w:t>（</w:t>
      </w:r>
      <w:r w:rsidRPr="00DF0F8D">
        <w:rPr>
          <w:sz w:val="24"/>
        </w:rPr>
        <w:t>1+rm</w:t>
      </w:r>
      <w:r w:rsidRPr="00DF0F8D">
        <w:rPr>
          <w:sz w:val="24"/>
        </w:rPr>
        <w:t>）。</w:t>
      </w:r>
      <w:bookmarkStart w:id="80" w:name="_Hlk138680183"/>
    </w:p>
    <w:p w14:paraId="2042FBA9"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业绩报酬在每一封闭期的最后一个工作日计算并计提。经基金管理人与基金托管人双方核对无误后，由基金管理人向基金托管人发送业绩报酬划付指令，基金托管人于该封闭期结束后</w:t>
      </w:r>
      <w:r w:rsidRPr="00DF0F8D">
        <w:rPr>
          <w:sz w:val="24"/>
        </w:rPr>
        <w:t>5</w:t>
      </w:r>
      <w:r w:rsidRPr="00DF0F8D">
        <w:rPr>
          <w:sz w:val="24"/>
        </w:rPr>
        <w:t>个工作日内从基金财产中一次性支付给基金管理人。若遇法定节假日、公休日等，支付日期顺延。</w:t>
      </w:r>
    </w:p>
    <w:p w14:paraId="44BD3725"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本基金基础管理费与浮动管理费支付前，均需经基金管理人与基金托管人双方核对无误后划付。</w:t>
      </w:r>
    </w:p>
    <w:bookmarkEnd w:id="80"/>
    <w:p w14:paraId="29F9727D" w14:textId="77777777" w:rsidR="00DF0F8D" w:rsidRPr="00DF0F8D" w:rsidRDefault="00DF0F8D" w:rsidP="00DF0F8D">
      <w:pPr>
        <w:adjustRightInd w:val="0"/>
        <w:snapToGrid w:val="0"/>
        <w:spacing w:line="360" w:lineRule="auto"/>
        <w:ind w:firstLineChars="200" w:firstLine="480"/>
        <w:rPr>
          <w:sz w:val="24"/>
        </w:rPr>
      </w:pPr>
      <w:r w:rsidRPr="00DF0F8D">
        <w:rPr>
          <w:rFonts w:hint="eastAsia"/>
          <w:sz w:val="24"/>
        </w:rPr>
        <w:t>因法规政策调整而需要修订业绩报酬相关基准比例的，无需召开基金份额持有人大会。</w:t>
      </w:r>
    </w:p>
    <w:p w14:paraId="768AF01A" w14:textId="115A2B7A" w:rsidR="0004536B" w:rsidRDefault="003574EC">
      <w:pPr>
        <w:adjustRightInd w:val="0"/>
        <w:snapToGrid w:val="0"/>
        <w:spacing w:line="360" w:lineRule="auto"/>
        <w:ind w:firstLineChars="200" w:firstLine="480"/>
        <w:rPr>
          <w:sz w:val="24"/>
        </w:rPr>
      </w:pPr>
      <w:r>
        <w:rPr>
          <w:rFonts w:hint="eastAsia"/>
          <w:sz w:val="24"/>
        </w:rPr>
        <w:lastRenderedPageBreak/>
        <w:t>（</w:t>
      </w:r>
      <w:r>
        <w:rPr>
          <w:sz w:val="24"/>
        </w:rPr>
        <w:t>2</w:t>
      </w:r>
      <w:r>
        <w:rPr>
          <w:rFonts w:hAnsi="宋体" w:hint="eastAsia"/>
          <w:sz w:val="24"/>
        </w:rPr>
        <w:t>）</w:t>
      </w:r>
      <w:r>
        <w:rPr>
          <w:rFonts w:hAnsi="宋体"/>
          <w:sz w:val="24"/>
        </w:rPr>
        <w:t>基金托管人的托管费</w:t>
      </w:r>
    </w:p>
    <w:p w14:paraId="4B2A17F8" w14:textId="313311E3" w:rsidR="0004536B" w:rsidRDefault="003574EC">
      <w:pPr>
        <w:adjustRightInd w:val="0"/>
        <w:snapToGrid w:val="0"/>
        <w:spacing w:line="360" w:lineRule="auto"/>
        <w:ind w:firstLineChars="200" w:firstLine="480"/>
        <w:rPr>
          <w:bCs/>
          <w:sz w:val="24"/>
        </w:rPr>
      </w:pPr>
      <w:r>
        <w:rPr>
          <w:rFonts w:hint="eastAsia"/>
          <w:bCs/>
          <w:sz w:val="24"/>
        </w:rPr>
        <w:t>本基金的托管费按前一日基金资产净值的</w:t>
      </w:r>
      <w:r>
        <w:rPr>
          <w:rFonts w:hint="eastAsia"/>
          <w:bCs/>
          <w:sz w:val="24"/>
        </w:rPr>
        <w:t>0.2%</w:t>
      </w:r>
      <w:r>
        <w:rPr>
          <w:rFonts w:hint="eastAsia"/>
          <w:bCs/>
          <w:sz w:val="24"/>
        </w:rPr>
        <w:t>年费率计提。托管费的计算方法如下：</w:t>
      </w:r>
    </w:p>
    <w:p w14:paraId="28E66F1E" w14:textId="0F420430" w:rsidR="0004536B" w:rsidRDefault="003574EC">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÷当年天数</w:t>
      </w:r>
    </w:p>
    <w:p w14:paraId="2B41AC90" w14:textId="77777777" w:rsidR="0004536B" w:rsidRDefault="003574EC">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14:paraId="1185E1EA" w14:textId="77777777" w:rsidR="0004536B" w:rsidRDefault="003574EC">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14:paraId="58387A11" w14:textId="72A76D4A" w:rsidR="0004536B" w:rsidRDefault="003574EC">
      <w:pPr>
        <w:adjustRightInd w:val="0"/>
        <w:snapToGrid w:val="0"/>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基金托管费每日计提，按月支付。由基金管理人向基金托管人发送基金托管费划付指令，经基金托管人复核无误后于次月首日起</w:t>
      </w:r>
      <w:r w:rsidR="005B6D32">
        <w:rPr>
          <w:rFonts w:hint="eastAsia"/>
          <w:bCs/>
          <w:sz w:val="24"/>
        </w:rPr>
        <w:t>5</w:t>
      </w:r>
      <w:r>
        <w:rPr>
          <w:rFonts w:hint="eastAsia"/>
          <w:bCs/>
          <w:sz w:val="24"/>
        </w:rPr>
        <w:t>个工作日内从基金</w:t>
      </w:r>
      <w:r>
        <w:rPr>
          <w:bCs/>
          <w:sz w:val="24"/>
        </w:rPr>
        <w:t>财</w:t>
      </w:r>
      <w:r>
        <w:rPr>
          <w:rFonts w:hint="eastAsia"/>
          <w:bCs/>
          <w:sz w:val="24"/>
        </w:rPr>
        <w:t>产中一次性支付给基金托管人。若遇法定节假日、休息日或不可抗力致使无法按时支付的，顺延至最近可支付日支付。</w:t>
      </w:r>
    </w:p>
    <w:p w14:paraId="3303F56D" w14:textId="4B3FDDF1" w:rsidR="0004536B" w:rsidRDefault="003574EC" w:rsidP="00FC0C0C">
      <w:pPr>
        <w:adjustRightInd w:val="0"/>
        <w:snapToGrid w:val="0"/>
        <w:spacing w:line="360" w:lineRule="auto"/>
        <w:ind w:firstLineChars="200" w:firstLine="480"/>
        <w:rPr>
          <w:sz w:val="24"/>
        </w:rPr>
      </w:pPr>
      <w:r>
        <w:rPr>
          <w:rFonts w:hint="eastAsia"/>
          <w:bCs/>
          <w:sz w:val="24"/>
        </w:rPr>
        <w:t>（</w:t>
      </w:r>
      <w:r>
        <w:rPr>
          <w:bCs/>
          <w:sz w:val="24"/>
        </w:rPr>
        <w:t>3</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sidR="00FC0C0C">
        <w:rPr>
          <w:bCs/>
          <w:sz w:val="24"/>
        </w:rPr>
        <w:t>10</w:t>
      </w:r>
      <w:r>
        <w:rPr>
          <w:bCs/>
          <w:sz w:val="24"/>
        </w:rPr>
        <w:t>项费用，根据有关法规及相应协议规定，按费用实际支出金额列入当期费用，由基金托管人从基金财产中支付。</w:t>
      </w:r>
    </w:p>
    <w:p w14:paraId="39EB1B28"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sz w:val="24"/>
          <w:szCs w:val="24"/>
        </w:rPr>
        <w:t>2</w:t>
      </w:r>
      <w:r w:rsidRPr="00210D77">
        <w:rPr>
          <w:rFonts w:hAnsi="宋体"/>
          <w:sz w:val="24"/>
          <w:szCs w:val="24"/>
        </w:rPr>
        <w:t>、与基金销售有关的费用</w:t>
      </w:r>
    </w:p>
    <w:p w14:paraId="0B7DAF17" w14:textId="77777777" w:rsidR="0004536B" w:rsidRDefault="003574EC">
      <w:pPr>
        <w:adjustRightInd w:val="0"/>
        <w:snapToGrid w:val="0"/>
        <w:spacing w:line="360" w:lineRule="auto"/>
        <w:ind w:firstLineChars="200" w:firstLine="480"/>
        <w:rPr>
          <w:bCs/>
          <w:sz w:val="24"/>
        </w:rPr>
      </w:pPr>
      <w:r>
        <w:rPr>
          <w:bCs/>
          <w:sz w:val="24"/>
        </w:rPr>
        <w:t>（</w:t>
      </w:r>
      <w:r>
        <w:rPr>
          <w:bCs/>
          <w:sz w:val="24"/>
        </w:rPr>
        <w:t>1</w:t>
      </w:r>
      <w:r>
        <w:rPr>
          <w:bCs/>
          <w:sz w:val="24"/>
        </w:rPr>
        <w:t>）申购费</w:t>
      </w:r>
    </w:p>
    <w:p w14:paraId="6FB2CBDC" w14:textId="77777777" w:rsidR="0004536B" w:rsidRDefault="003574EC">
      <w:pPr>
        <w:adjustRightInd w:val="0"/>
        <w:snapToGrid w:val="0"/>
        <w:spacing w:line="360" w:lineRule="auto"/>
        <w:ind w:firstLineChars="200" w:firstLine="48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14:paraId="3943B434" w14:textId="77777777" w:rsidR="0004536B" w:rsidRDefault="003574EC">
      <w:pPr>
        <w:adjustRightInd w:val="0"/>
        <w:snapToGrid w:val="0"/>
        <w:spacing w:line="360" w:lineRule="auto"/>
        <w:ind w:firstLineChars="200" w:firstLine="480"/>
        <w:rPr>
          <w:bCs/>
          <w:sz w:val="24"/>
        </w:rPr>
      </w:pPr>
      <w:r>
        <w:rPr>
          <w:bCs/>
          <w:sz w:val="24"/>
        </w:rPr>
        <w:t>（</w:t>
      </w:r>
      <w:r>
        <w:rPr>
          <w:bCs/>
          <w:sz w:val="24"/>
        </w:rPr>
        <w:t>2</w:t>
      </w:r>
      <w:r>
        <w:rPr>
          <w:bCs/>
          <w:sz w:val="24"/>
        </w:rPr>
        <w:t>）赎回费</w:t>
      </w:r>
    </w:p>
    <w:p w14:paraId="7564FD56" w14:textId="77777777" w:rsidR="0004536B" w:rsidRDefault="003574EC">
      <w:pPr>
        <w:adjustRightInd w:val="0"/>
        <w:snapToGrid w:val="0"/>
        <w:spacing w:line="360" w:lineRule="auto"/>
        <w:ind w:firstLineChars="200" w:firstLine="48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14:paraId="3E57D343"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（三）不列入基金费用的项目</w:t>
      </w:r>
    </w:p>
    <w:p w14:paraId="4A509778" w14:textId="77777777" w:rsidR="0004536B" w:rsidRDefault="003574EC">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14:paraId="10CFA02D" w14:textId="77777777" w:rsidR="0004536B" w:rsidRDefault="003574EC">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14:paraId="0840A010" w14:textId="77777777" w:rsidR="0004536B" w:rsidRDefault="003574EC">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14:paraId="324944C1" w14:textId="77777777" w:rsidR="0004536B" w:rsidRDefault="003574EC">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14:paraId="3FDF69C5" w14:textId="77777777" w:rsidR="0004536B" w:rsidRDefault="003574EC">
      <w:pPr>
        <w:adjustRightInd w:val="0"/>
        <w:snapToGrid w:val="0"/>
        <w:spacing w:line="360" w:lineRule="auto"/>
        <w:ind w:firstLineChars="200" w:firstLine="480"/>
        <w:rPr>
          <w:rFonts w:hAnsi="宋体"/>
          <w:sz w:val="24"/>
          <w:szCs w:val="21"/>
        </w:rPr>
      </w:pPr>
      <w:bookmarkStart w:id="81" w:name="_Hlt81193394"/>
      <w:bookmarkEnd w:id="81"/>
      <w:r>
        <w:rPr>
          <w:rFonts w:hAnsi="宋体"/>
          <w:sz w:val="24"/>
          <w:szCs w:val="21"/>
        </w:rPr>
        <w:t>4</w:t>
      </w:r>
      <w:r>
        <w:rPr>
          <w:rFonts w:hAnsi="宋体"/>
          <w:sz w:val="24"/>
          <w:szCs w:val="21"/>
        </w:rPr>
        <w:t>、其他根据相关法律法规及中国证监会的有关规定不得列入基金费用的项目。</w:t>
      </w:r>
    </w:p>
    <w:p w14:paraId="78E9733E"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w:t>
      </w:r>
      <w:r w:rsidRPr="00E917F4">
        <w:rPr>
          <w:rFonts w:hAnsi="宋体"/>
          <w:b/>
          <w:sz w:val="24"/>
        </w:rPr>
        <w:t>四</w:t>
      </w:r>
      <w:r w:rsidRPr="00E917F4">
        <w:rPr>
          <w:rFonts w:hAnsi="宋体" w:hint="eastAsia"/>
          <w:b/>
          <w:sz w:val="24"/>
        </w:rPr>
        <w:t>）实施侧袋机制期间的基金费用</w:t>
      </w:r>
    </w:p>
    <w:p w14:paraId="2EF71912" w14:textId="77777777" w:rsidR="0004536B" w:rsidRDefault="003574EC">
      <w:pPr>
        <w:adjustRightInd w:val="0"/>
        <w:snapToGrid w:val="0"/>
        <w:spacing w:line="360" w:lineRule="auto"/>
        <w:ind w:firstLineChars="200" w:firstLine="480"/>
        <w:rPr>
          <w:rFonts w:hAnsi="宋体"/>
          <w:sz w:val="24"/>
          <w:szCs w:val="21"/>
        </w:rPr>
      </w:pPr>
      <w:r>
        <w:rPr>
          <w:rFonts w:hAnsi="宋体" w:hint="eastAsia"/>
          <w:sz w:val="24"/>
          <w:szCs w:val="21"/>
        </w:rPr>
        <w:t>本基金实施侧袋机制的，与侧袋账户有关的费用可以从侧袋账户中列支，但应</w:t>
      </w:r>
      <w:r>
        <w:rPr>
          <w:rFonts w:hAnsi="宋体" w:hint="eastAsia"/>
          <w:sz w:val="24"/>
          <w:szCs w:val="21"/>
        </w:rPr>
        <w:lastRenderedPageBreak/>
        <w:t>待侧袋账户资产变现后方可列支，有关费用可酌情收取或减免，但不得收取管理费，详见本招募说明书“侧袋机制”部分的规定。</w:t>
      </w:r>
    </w:p>
    <w:p w14:paraId="588991A4"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（五）</w:t>
      </w:r>
      <w:r w:rsidRPr="00E917F4">
        <w:rPr>
          <w:rFonts w:hAnsi="宋体"/>
          <w:b/>
          <w:sz w:val="24"/>
        </w:rPr>
        <w:t>基金税收</w:t>
      </w:r>
    </w:p>
    <w:p w14:paraId="30A53312" w14:textId="77777777" w:rsidR="0004536B" w:rsidRDefault="003574EC">
      <w:pPr>
        <w:adjustRightInd w:val="0"/>
        <w:snapToGrid w:val="0"/>
        <w:spacing w:line="360" w:lineRule="auto"/>
        <w:ind w:firstLineChars="200" w:firstLine="480"/>
        <w:rPr>
          <w:rFonts w:ascii="宋体" w:hAnsi="宋体"/>
          <w:b/>
          <w:kern w:val="0"/>
          <w:sz w:val="30"/>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9"/>
      <w:r>
        <w:rPr>
          <w:rFonts w:ascii="宋体" w:hAnsi="宋体"/>
          <w:b/>
          <w:kern w:val="0"/>
          <w:sz w:val="30"/>
        </w:rPr>
        <w:br w:type="page"/>
      </w:r>
    </w:p>
    <w:p w14:paraId="4CA501FF" w14:textId="2D2D4FA6"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139631563"/>
      <w:r>
        <w:rPr>
          <w:rFonts w:ascii="宋体" w:hAnsi="宋体" w:hint="eastAsia"/>
          <w:b/>
          <w:kern w:val="0"/>
          <w:sz w:val="30"/>
        </w:rPr>
        <w:lastRenderedPageBreak/>
        <w:t>十</w:t>
      </w:r>
      <w:r w:rsidR="00827A2B">
        <w:rPr>
          <w:rFonts w:ascii="宋体" w:hAnsi="宋体" w:hint="eastAsia"/>
          <w:b/>
          <w:kern w:val="0"/>
          <w:sz w:val="30"/>
        </w:rPr>
        <w:t>五</w:t>
      </w:r>
      <w:r>
        <w:rPr>
          <w:rFonts w:ascii="宋体" w:hAnsi="宋体" w:hint="eastAsia"/>
          <w:b/>
          <w:kern w:val="0"/>
          <w:sz w:val="30"/>
        </w:rPr>
        <w:t>、基金的会计与审计</w:t>
      </w:r>
      <w:bookmarkEnd w:id="82"/>
    </w:p>
    <w:p w14:paraId="714A5FE9"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83" w:name="_Hlk49344167"/>
      <w:r w:rsidRPr="00E917F4">
        <w:rPr>
          <w:rFonts w:hAnsi="宋体"/>
          <w:b/>
          <w:sz w:val="24"/>
        </w:rPr>
        <w:t>（一）基金会计政策</w:t>
      </w:r>
    </w:p>
    <w:p w14:paraId="4D4E6A66" w14:textId="77777777" w:rsidR="0004536B" w:rsidRDefault="003574EC">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14:paraId="5454B587" w14:textId="77777777" w:rsidR="0004536B" w:rsidRDefault="003574EC">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基金的会计年度为公历年度的</w:t>
      </w:r>
      <w:r>
        <w:rPr>
          <w:rFonts w:hAnsi="宋体" w:hint="eastAsia"/>
          <w:sz w:val="24"/>
        </w:rPr>
        <w:t>1</w:t>
      </w:r>
      <w:r>
        <w:rPr>
          <w:rFonts w:hAnsi="宋体" w:hint="eastAsia"/>
          <w:sz w:val="24"/>
        </w:rPr>
        <w:t>月</w:t>
      </w:r>
      <w:r>
        <w:rPr>
          <w:rFonts w:hAnsi="宋体" w:hint="eastAsia"/>
          <w:sz w:val="24"/>
        </w:rPr>
        <w:t>1</w:t>
      </w:r>
      <w:r>
        <w:rPr>
          <w:rFonts w:hAnsi="宋体" w:hint="eastAsia"/>
          <w:sz w:val="24"/>
        </w:rPr>
        <w:t>日至</w:t>
      </w:r>
      <w:r>
        <w:rPr>
          <w:rFonts w:hAnsi="宋体" w:hint="eastAsia"/>
          <w:sz w:val="24"/>
        </w:rPr>
        <w:t>12</w:t>
      </w:r>
      <w:r>
        <w:rPr>
          <w:rFonts w:hAnsi="宋体" w:hint="eastAsia"/>
          <w:sz w:val="24"/>
        </w:rPr>
        <w:t>月</w:t>
      </w:r>
      <w:r>
        <w:rPr>
          <w:rFonts w:hAnsi="宋体" w:hint="eastAsia"/>
          <w:sz w:val="24"/>
        </w:rPr>
        <w:t>31</w:t>
      </w:r>
      <w:r>
        <w:rPr>
          <w:rFonts w:hAnsi="宋体" w:hint="eastAsia"/>
          <w:sz w:val="24"/>
        </w:rPr>
        <w:t>日；基金首次募集的会计年度按如下原则：如果《基金合同》生效少于</w:t>
      </w:r>
      <w:r>
        <w:rPr>
          <w:rFonts w:hAnsi="宋体" w:hint="eastAsia"/>
          <w:sz w:val="24"/>
        </w:rPr>
        <w:t>2</w:t>
      </w:r>
      <w:r>
        <w:rPr>
          <w:rFonts w:hAnsi="宋体" w:hint="eastAsia"/>
          <w:sz w:val="24"/>
        </w:rPr>
        <w:t>个月，可以并入下一个会计年度披露；</w:t>
      </w:r>
    </w:p>
    <w:p w14:paraId="50C4DA27" w14:textId="77777777" w:rsidR="0004536B" w:rsidRDefault="003574EC">
      <w:pPr>
        <w:adjustRightInd w:val="0"/>
        <w:snapToGrid w:val="0"/>
        <w:spacing w:line="360" w:lineRule="auto"/>
        <w:ind w:firstLineChars="200" w:firstLine="480"/>
        <w:rPr>
          <w:sz w:val="24"/>
          <w:szCs w:val="18"/>
        </w:rPr>
      </w:pPr>
      <w:bookmarkStart w:id="84" w:name="_Toc109537394"/>
      <w:r>
        <w:rPr>
          <w:sz w:val="24"/>
        </w:rPr>
        <w:t>3</w:t>
      </w:r>
      <w:r>
        <w:rPr>
          <w:rFonts w:hAnsi="宋体"/>
          <w:sz w:val="24"/>
        </w:rPr>
        <w:t>、</w:t>
      </w:r>
      <w:r>
        <w:rPr>
          <w:rFonts w:hAnsi="宋体"/>
          <w:sz w:val="24"/>
          <w:szCs w:val="21"/>
        </w:rPr>
        <w:t>基金核</w:t>
      </w:r>
      <w:bookmarkEnd w:id="84"/>
      <w:r>
        <w:rPr>
          <w:rFonts w:hAnsi="宋体"/>
          <w:sz w:val="24"/>
          <w:szCs w:val="21"/>
        </w:rPr>
        <w:t>算以人民币为记账本位币，以人民币元为记账单位；</w:t>
      </w:r>
    </w:p>
    <w:p w14:paraId="2AF1E967" w14:textId="77777777" w:rsidR="0004536B" w:rsidRDefault="003574EC">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14:paraId="1D93E917" w14:textId="77777777" w:rsidR="0004536B" w:rsidRDefault="003574EC">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14:paraId="4E61D492" w14:textId="77777777" w:rsidR="0004536B" w:rsidRDefault="003574EC">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14:paraId="1A24CE3E" w14:textId="77777777" w:rsidR="0004536B" w:rsidRDefault="003574EC">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、基金托管人每月与基金管理人就基金的会计核算、报表编制等进行核对确认。</w:t>
      </w:r>
    </w:p>
    <w:p w14:paraId="1108D4E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（二）基金的年度审计</w:t>
      </w:r>
    </w:p>
    <w:p w14:paraId="1ADC541F" w14:textId="77777777" w:rsidR="0004536B" w:rsidRDefault="003574EC">
      <w:pPr>
        <w:adjustRightInd w:val="0"/>
        <w:snapToGrid w:val="0"/>
        <w:spacing w:line="360" w:lineRule="auto"/>
        <w:ind w:firstLineChars="200" w:firstLine="480"/>
        <w:rPr>
          <w:rFonts w:hAnsi="宋体"/>
          <w:sz w:val="24"/>
          <w:szCs w:val="18"/>
        </w:rPr>
      </w:pPr>
      <w:r>
        <w:rPr>
          <w:rFonts w:hAnsi="宋体"/>
          <w:sz w:val="24"/>
          <w:szCs w:val="18"/>
        </w:rPr>
        <w:t>1</w:t>
      </w:r>
      <w:r>
        <w:rPr>
          <w:rFonts w:hAnsi="宋体"/>
          <w:sz w:val="24"/>
          <w:szCs w:val="18"/>
        </w:rPr>
        <w:t>、基金管理人聘请与基金管理人、基金托管人相互独立的符合《中华人民共和国证券法》规定的会计师事务所及其注册会计师对本基金的年度财务报表进行审计。</w:t>
      </w:r>
    </w:p>
    <w:p w14:paraId="1193F791" w14:textId="77777777" w:rsidR="0004536B" w:rsidRDefault="003574EC">
      <w:pPr>
        <w:adjustRightInd w:val="0"/>
        <w:snapToGrid w:val="0"/>
        <w:spacing w:line="360" w:lineRule="auto"/>
        <w:ind w:firstLineChars="200" w:firstLine="480"/>
        <w:rPr>
          <w:rFonts w:hAnsi="宋体"/>
          <w:sz w:val="24"/>
          <w:szCs w:val="18"/>
        </w:rPr>
      </w:pPr>
      <w:r>
        <w:rPr>
          <w:rFonts w:hAnsi="宋体"/>
          <w:sz w:val="24"/>
          <w:szCs w:val="18"/>
        </w:rPr>
        <w:t>2</w:t>
      </w:r>
      <w:r>
        <w:rPr>
          <w:rFonts w:hAnsi="宋体"/>
          <w:sz w:val="24"/>
          <w:szCs w:val="18"/>
        </w:rPr>
        <w:t>、会计师事务所更换经办注册会计师，应事先征得基金管理人同意。</w:t>
      </w:r>
    </w:p>
    <w:p w14:paraId="748D2208" w14:textId="77777777" w:rsidR="0004536B" w:rsidRDefault="003574EC">
      <w:pPr>
        <w:adjustRightInd w:val="0"/>
        <w:snapToGrid w:val="0"/>
        <w:spacing w:line="360" w:lineRule="auto"/>
        <w:ind w:firstLineChars="200" w:firstLine="480"/>
        <w:rPr>
          <w:rFonts w:hAnsi="宋体"/>
          <w:sz w:val="24"/>
          <w:szCs w:val="18"/>
        </w:rPr>
      </w:pPr>
      <w:r>
        <w:rPr>
          <w:rFonts w:hAnsi="宋体"/>
          <w:sz w:val="24"/>
          <w:szCs w:val="18"/>
        </w:rPr>
        <w:t>3</w:t>
      </w:r>
      <w:r>
        <w:rPr>
          <w:rFonts w:hAnsi="宋体"/>
          <w:sz w:val="24"/>
          <w:szCs w:val="18"/>
        </w:rPr>
        <w:t>、</w:t>
      </w:r>
      <w:bookmarkStart w:id="85" w:name="_Hlt4221115"/>
      <w:bookmarkEnd w:id="85"/>
      <w:r>
        <w:rPr>
          <w:rFonts w:hAnsi="宋体"/>
          <w:sz w:val="24"/>
          <w:szCs w:val="18"/>
        </w:rPr>
        <w:t>基金管理人认为有充足理由更换会计师事务所，须通报基金托管人。更换会计师事务所需</w:t>
      </w:r>
      <w:r>
        <w:rPr>
          <w:rFonts w:hAnsi="宋体" w:hint="eastAsia"/>
          <w:sz w:val="24"/>
          <w:szCs w:val="18"/>
        </w:rPr>
        <w:t>依照《信息披露办法》的规定</w:t>
      </w:r>
      <w:r>
        <w:rPr>
          <w:rFonts w:hAnsi="宋体"/>
          <w:sz w:val="24"/>
          <w:szCs w:val="18"/>
        </w:rPr>
        <w:t>在</w:t>
      </w:r>
      <w:r>
        <w:rPr>
          <w:rFonts w:hAnsi="宋体" w:hint="eastAsia"/>
          <w:sz w:val="24"/>
          <w:szCs w:val="18"/>
        </w:rPr>
        <w:t>规定媒介</w:t>
      </w:r>
      <w:r>
        <w:rPr>
          <w:rFonts w:hAnsi="宋体"/>
          <w:sz w:val="24"/>
          <w:szCs w:val="18"/>
        </w:rPr>
        <w:t>公告。</w:t>
      </w:r>
    </w:p>
    <w:p w14:paraId="655F7B20" w14:textId="6B61B8DB"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6" w:name="_Toc139631564"/>
      <w:r>
        <w:rPr>
          <w:rFonts w:ascii="宋体" w:hAnsi="宋体" w:hint="eastAsia"/>
          <w:b/>
          <w:kern w:val="0"/>
          <w:sz w:val="30"/>
        </w:rPr>
        <w:lastRenderedPageBreak/>
        <w:t>十</w:t>
      </w:r>
      <w:r w:rsidR="00827A2B">
        <w:rPr>
          <w:rFonts w:ascii="宋体" w:hAnsi="宋体" w:hint="eastAsia"/>
          <w:b/>
          <w:kern w:val="0"/>
          <w:sz w:val="30"/>
        </w:rPr>
        <w:t>六</w:t>
      </w:r>
      <w:r>
        <w:rPr>
          <w:rFonts w:ascii="宋体" w:hAnsi="宋体" w:hint="eastAsia"/>
          <w:b/>
          <w:kern w:val="0"/>
          <w:sz w:val="30"/>
        </w:rPr>
        <w:t>、基金的信息披露</w:t>
      </w:r>
      <w:bookmarkEnd w:id="86"/>
    </w:p>
    <w:p w14:paraId="1B035BF6" w14:textId="77777777" w:rsidR="0004536B" w:rsidRDefault="003574EC">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本基金的信息披露应符合《基金法》、《运作办法》、《信息披露办法》、《流动性风险管理规定》、《基金合同》及其他有关规定。相关法律法规关于信息披露的规定发生变化时，本基金从其最新规定。</w:t>
      </w:r>
    </w:p>
    <w:p w14:paraId="6AEB9DF8" w14:textId="77777777" w:rsidR="0004536B" w:rsidRDefault="003574EC">
      <w:pPr>
        <w:adjustRightInd w:val="0"/>
        <w:snapToGrid w:val="0"/>
        <w:spacing w:line="360" w:lineRule="auto"/>
        <w:ind w:firstLineChars="200" w:firstLine="482"/>
        <w:rPr>
          <w:b/>
          <w:sz w:val="24"/>
        </w:rPr>
      </w:pPr>
      <w:r>
        <w:rPr>
          <w:b/>
          <w:bCs/>
          <w:sz w:val="24"/>
        </w:rPr>
        <w:t>（二）信息披露义务人</w:t>
      </w:r>
    </w:p>
    <w:p w14:paraId="6C18165F" w14:textId="77777777" w:rsidR="0004536B" w:rsidRDefault="003574EC">
      <w:pPr>
        <w:adjustRightInd w:val="0"/>
        <w:snapToGrid w:val="0"/>
        <w:spacing w:line="360" w:lineRule="auto"/>
        <w:ind w:firstLineChars="200" w:firstLine="480"/>
        <w:rPr>
          <w:rFonts w:hAnsi="宋体"/>
          <w:sz w:val="24"/>
        </w:rPr>
      </w:pPr>
      <w:r>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行政法规和中国证监会规定的自然人、法人和</w:t>
      </w:r>
      <w:r>
        <w:rPr>
          <w:rFonts w:hint="eastAsia"/>
          <w:bCs/>
          <w:sz w:val="24"/>
        </w:rPr>
        <w:t>非法人</w:t>
      </w:r>
      <w:r>
        <w:rPr>
          <w:rFonts w:hAnsi="宋体"/>
          <w:sz w:val="24"/>
        </w:rPr>
        <w:t>组织。</w:t>
      </w:r>
    </w:p>
    <w:p w14:paraId="731F2E46" w14:textId="77777777" w:rsidR="0004536B" w:rsidRDefault="003574EC">
      <w:pPr>
        <w:adjustRightInd w:val="0"/>
        <w:snapToGrid w:val="0"/>
        <w:spacing w:line="360" w:lineRule="auto"/>
        <w:ind w:firstLineChars="200" w:firstLine="48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Ansi="宋体" w:hint="eastAsia"/>
          <w:sz w:val="24"/>
        </w:rPr>
        <w:t>、</w:t>
      </w:r>
      <w:r>
        <w:rPr>
          <w:rFonts w:hAnsi="宋体"/>
          <w:sz w:val="24"/>
        </w:rPr>
        <w:t>完整性</w:t>
      </w:r>
      <w:r>
        <w:rPr>
          <w:rFonts w:hint="eastAsia"/>
          <w:bCs/>
          <w:sz w:val="24"/>
        </w:rPr>
        <w:t>、及时性、简明性和易得性</w:t>
      </w:r>
      <w:r>
        <w:rPr>
          <w:rFonts w:hAnsi="宋体"/>
          <w:sz w:val="24"/>
        </w:rPr>
        <w:t>。</w:t>
      </w:r>
    </w:p>
    <w:p w14:paraId="0E3F25B3" w14:textId="77777777" w:rsidR="0004536B" w:rsidRDefault="003574EC">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795F7A8" w14:textId="77777777" w:rsidR="0004536B" w:rsidRDefault="003574EC">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3F4AA147" w14:textId="77777777" w:rsidR="0004536B" w:rsidRDefault="003574EC">
      <w:pPr>
        <w:adjustRightInd w:val="0"/>
        <w:snapToGrid w:val="0"/>
        <w:spacing w:line="360" w:lineRule="auto"/>
        <w:ind w:firstLineChars="200" w:firstLine="480"/>
        <w:rPr>
          <w:rFonts w:hAnsi="宋体"/>
          <w:sz w:val="24"/>
        </w:rPr>
      </w:pPr>
      <w:r>
        <w:rPr>
          <w:rFonts w:hAnsi="宋体"/>
          <w:sz w:val="24"/>
        </w:rPr>
        <w:t>1</w:t>
      </w:r>
      <w:r>
        <w:rPr>
          <w:rFonts w:hAnsi="宋体"/>
          <w:sz w:val="24"/>
        </w:rPr>
        <w:t>、虚假记载、误导性陈述或者重大遗漏；</w:t>
      </w:r>
    </w:p>
    <w:p w14:paraId="2D19F1F1" w14:textId="77777777" w:rsidR="0004536B" w:rsidRDefault="003574EC">
      <w:pPr>
        <w:adjustRightInd w:val="0"/>
        <w:snapToGrid w:val="0"/>
        <w:spacing w:line="360" w:lineRule="auto"/>
        <w:ind w:firstLineChars="200" w:firstLine="480"/>
        <w:rPr>
          <w:rFonts w:hAnsi="宋体"/>
          <w:sz w:val="24"/>
        </w:rPr>
      </w:pPr>
      <w:r>
        <w:rPr>
          <w:rFonts w:hAnsi="宋体"/>
          <w:sz w:val="24"/>
        </w:rPr>
        <w:t>2</w:t>
      </w:r>
      <w:r>
        <w:rPr>
          <w:rFonts w:hAnsi="宋体"/>
          <w:sz w:val="24"/>
        </w:rPr>
        <w:t>、对证券投资业绩进行预测；</w:t>
      </w:r>
    </w:p>
    <w:p w14:paraId="57637986" w14:textId="77777777" w:rsidR="0004536B" w:rsidRDefault="003574EC">
      <w:pPr>
        <w:adjustRightInd w:val="0"/>
        <w:snapToGrid w:val="0"/>
        <w:spacing w:line="360" w:lineRule="auto"/>
        <w:ind w:firstLineChars="200" w:firstLine="480"/>
        <w:rPr>
          <w:rFonts w:hAnsi="宋体"/>
          <w:sz w:val="24"/>
        </w:rPr>
      </w:pPr>
      <w:r>
        <w:rPr>
          <w:rFonts w:hAnsi="宋体"/>
          <w:sz w:val="24"/>
        </w:rPr>
        <w:t>3</w:t>
      </w:r>
      <w:r>
        <w:rPr>
          <w:rFonts w:hAnsi="宋体"/>
          <w:sz w:val="24"/>
        </w:rPr>
        <w:t>、违规承诺收益或者承担损失；</w:t>
      </w:r>
    </w:p>
    <w:p w14:paraId="1E39F4C1" w14:textId="77777777" w:rsidR="0004536B" w:rsidRDefault="003574EC">
      <w:pPr>
        <w:adjustRightInd w:val="0"/>
        <w:snapToGrid w:val="0"/>
        <w:spacing w:line="360" w:lineRule="auto"/>
        <w:ind w:firstLineChars="200" w:firstLine="480"/>
        <w:rPr>
          <w:rFonts w:hAnsi="宋体"/>
          <w:sz w:val="24"/>
        </w:rPr>
      </w:pPr>
      <w:r>
        <w:rPr>
          <w:rFonts w:hAnsi="宋体"/>
          <w:sz w:val="24"/>
        </w:rPr>
        <w:t>4</w:t>
      </w:r>
      <w:r>
        <w:rPr>
          <w:rFonts w:hAnsi="宋体"/>
          <w:sz w:val="24"/>
        </w:rPr>
        <w:t>、诋毁其他基金管理人、基金托管人或者基金销售机构；</w:t>
      </w:r>
    </w:p>
    <w:p w14:paraId="306F593F" w14:textId="77777777" w:rsidR="0004536B" w:rsidRDefault="003574EC">
      <w:pPr>
        <w:adjustRightInd w:val="0"/>
        <w:snapToGrid w:val="0"/>
        <w:spacing w:line="360" w:lineRule="auto"/>
        <w:ind w:firstLineChars="200" w:firstLine="480"/>
        <w:rPr>
          <w:rFonts w:hAnsi="宋体"/>
          <w:sz w:val="24"/>
        </w:rPr>
      </w:pPr>
      <w:r>
        <w:rPr>
          <w:rFonts w:hAnsi="宋体"/>
          <w:sz w:val="24"/>
        </w:rPr>
        <w:t>5</w:t>
      </w:r>
      <w:r>
        <w:rPr>
          <w:rFonts w:hAnsi="宋体"/>
          <w:sz w:val="24"/>
        </w:rPr>
        <w:t>、登载任何自然人、法人</w:t>
      </w:r>
      <w:r>
        <w:rPr>
          <w:rFonts w:hint="eastAsia"/>
          <w:bCs/>
          <w:sz w:val="24"/>
        </w:rPr>
        <w:t>和非法人</w:t>
      </w:r>
      <w:r>
        <w:rPr>
          <w:rFonts w:hAnsi="宋体"/>
          <w:sz w:val="24"/>
        </w:rPr>
        <w:t>组织的祝贺性、恭维性或推荐性的文字；</w:t>
      </w:r>
    </w:p>
    <w:p w14:paraId="3ABF8427" w14:textId="77777777" w:rsidR="0004536B" w:rsidRDefault="003574EC">
      <w:pPr>
        <w:adjustRightInd w:val="0"/>
        <w:snapToGrid w:val="0"/>
        <w:spacing w:line="360" w:lineRule="auto"/>
        <w:ind w:firstLineChars="200" w:firstLine="480"/>
        <w:rPr>
          <w:rFonts w:hAnsi="宋体"/>
          <w:sz w:val="24"/>
        </w:rPr>
      </w:pPr>
      <w:r>
        <w:rPr>
          <w:rFonts w:hAnsi="宋体"/>
          <w:sz w:val="24"/>
        </w:rPr>
        <w:t>6</w:t>
      </w:r>
      <w:r>
        <w:rPr>
          <w:rFonts w:hAnsi="宋体"/>
          <w:sz w:val="24"/>
        </w:rPr>
        <w:t>、中国证监会禁止的其他行为。</w:t>
      </w:r>
    </w:p>
    <w:p w14:paraId="603DA3D5" w14:textId="77777777" w:rsidR="0004536B" w:rsidRDefault="003574EC">
      <w:pPr>
        <w:adjustRightInd w:val="0"/>
        <w:snapToGrid w:val="0"/>
        <w:spacing w:line="360" w:lineRule="auto"/>
        <w:ind w:firstLineChars="200" w:firstLine="482"/>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Ansi="宋体" w:hint="eastAsia"/>
          <w:sz w:val="24"/>
        </w:rPr>
        <w:t>之间</w:t>
      </w:r>
      <w:r>
        <w:rPr>
          <w:rFonts w:hAnsi="宋体"/>
          <w:sz w:val="24"/>
        </w:rPr>
        <w:t>发生歧义的，以中文文本为准。</w:t>
      </w:r>
    </w:p>
    <w:p w14:paraId="37C31026" w14:textId="77777777" w:rsidR="0004536B" w:rsidRDefault="003574EC">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514F5F9D" w14:textId="77777777" w:rsidR="0004536B" w:rsidRDefault="003574EC">
      <w:pPr>
        <w:adjustRightInd w:val="0"/>
        <w:snapToGrid w:val="0"/>
        <w:spacing w:line="360" w:lineRule="auto"/>
        <w:ind w:firstLineChars="200" w:firstLine="482"/>
        <w:rPr>
          <w:b/>
          <w:sz w:val="24"/>
        </w:rPr>
      </w:pPr>
      <w:r>
        <w:rPr>
          <w:rFonts w:hAnsi="宋体"/>
          <w:b/>
          <w:sz w:val="24"/>
        </w:rPr>
        <w:t>（五）公开披露的基金信息</w:t>
      </w:r>
    </w:p>
    <w:p w14:paraId="6D13F3C2" w14:textId="77777777" w:rsidR="0004536B" w:rsidRDefault="003574EC">
      <w:pPr>
        <w:adjustRightInd w:val="0"/>
        <w:snapToGrid w:val="0"/>
        <w:spacing w:line="360" w:lineRule="auto"/>
        <w:ind w:firstLineChars="200" w:firstLine="480"/>
        <w:rPr>
          <w:b/>
          <w:bCs/>
          <w:sz w:val="24"/>
        </w:rPr>
      </w:pPr>
      <w:r>
        <w:rPr>
          <w:bCs/>
          <w:sz w:val="24"/>
        </w:rPr>
        <w:lastRenderedPageBreak/>
        <w:t>公开披露的基金信息包括：</w:t>
      </w:r>
    </w:p>
    <w:p w14:paraId="317B3EA2" w14:textId="77777777" w:rsidR="0004536B" w:rsidRDefault="003574EC">
      <w:pPr>
        <w:adjustRightInd w:val="0"/>
        <w:snapToGrid w:val="0"/>
        <w:spacing w:line="360" w:lineRule="auto"/>
        <w:ind w:firstLineChars="200" w:firstLine="480"/>
        <w:rPr>
          <w:bCs/>
          <w:sz w:val="24"/>
        </w:rPr>
      </w:pPr>
      <w:r>
        <w:rPr>
          <w:bCs/>
          <w:sz w:val="24"/>
        </w:rPr>
        <w:t>1</w:t>
      </w:r>
      <w:r>
        <w:rPr>
          <w:bCs/>
          <w:sz w:val="24"/>
        </w:rPr>
        <w:t>、基金招募说明书、《基金合同》、基金托管协议</w:t>
      </w:r>
      <w:r>
        <w:rPr>
          <w:rFonts w:hint="eastAsia"/>
          <w:bCs/>
          <w:sz w:val="24"/>
        </w:rPr>
        <w:t>、基金产品资料概要</w:t>
      </w:r>
    </w:p>
    <w:p w14:paraId="601E88B8" w14:textId="77777777" w:rsidR="0004536B" w:rsidRDefault="003574EC">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0E6FD9B5" w14:textId="6DC686E9" w:rsidR="0004536B" w:rsidRDefault="003574EC">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sidR="001D5794" w:rsidRPr="00F95637">
        <w:rPr>
          <w:rFonts w:hint="eastAsia"/>
          <w:bCs/>
          <w:sz w:val="24"/>
        </w:rPr>
        <w:t>本基金暂停运作期间或</w:t>
      </w:r>
      <w:r>
        <w:rPr>
          <w:rFonts w:hint="eastAsia"/>
          <w:bCs/>
          <w:sz w:val="24"/>
        </w:rPr>
        <w:t>基金终止运作的，基金管理人不再更新基金招募说明书</w:t>
      </w:r>
      <w:r>
        <w:rPr>
          <w:rFonts w:hAnsi="宋体"/>
          <w:sz w:val="24"/>
        </w:rPr>
        <w:t>。</w:t>
      </w:r>
    </w:p>
    <w:p w14:paraId="73FFA694" w14:textId="77777777" w:rsidR="0004536B" w:rsidRDefault="003574EC">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14:paraId="31A673F4" w14:textId="5149E37F"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w:t>
      </w:r>
      <w:r w:rsidR="001D5794" w:rsidRPr="00F95637">
        <w:rPr>
          <w:rFonts w:hint="eastAsia"/>
          <w:bCs/>
          <w:sz w:val="24"/>
        </w:rPr>
        <w:t>本基金暂停运作期间或</w:t>
      </w:r>
      <w:r>
        <w:rPr>
          <w:rFonts w:hint="eastAsia"/>
          <w:bCs/>
          <w:sz w:val="24"/>
        </w:rPr>
        <w:t>基金终止运作的，基金管理人不再更新基金产品资料概要。</w:t>
      </w:r>
    </w:p>
    <w:p w14:paraId="59BB189A"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Ansi="宋体" w:hint="eastAsia"/>
          <w:sz w:val="24"/>
        </w:rPr>
        <w:t>报刊上，将基金份额发售公告、基金招募说明书、基金产品资料概要、《基金合同》和基金托管协议登载在</w:t>
      </w:r>
      <w:r>
        <w:rPr>
          <w:rFonts w:hint="eastAsia"/>
          <w:bCs/>
          <w:sz w:val="24"/>
        </w:rPr>
        <w:t>规定</w:t>
      </w:r>
      <w:r>
        <w:rPr>
          <w:rFonts w:hAnsi="宋体" w:hint="eastAsia"/>
          <w:sz w:val="24"/>
        </w:rPr>
        <w:t>网站上，并将基金产品资料概要登载在基金销售机构网站或营业网点；基金托管人应当同时将《基金合同》、基金托管协议登载在网站上。</w:t>
      </w:r>
    </w:p>
    <w:p w14:paraId="79ABB84A" w14:textId="77777777" w:rsidR="0004536B" w:rsidRDefault="003574EC">
      <w:pPr>
        <w:adjustRightInd w:val="0"/>
        <w:snapToGrid w:val="0"/>
        <w:spacing w:line="360" w:lineRule="auto"/>
        <w:ind w:firstLineChars="200" w:firstLine="480"/>
        <w:rPr>
          <w:sz w:val="24"/>
        </w:rPr>
      </w:pPr>
      <w:r>
        <w:rPr>
          <w:sz w:val="24"/>
        </w:rPr>
        <w:t>2</w:t>
      </w:r>
      <w:r>
        <w:rPr>
          <w:rFonts w:hAnsi="宋体"/>
          <w:sz w:val="24"/>
        </w:rPr>
        <w:t>、基金份额发售公告</w:t>
      </w:r>
    </w:p>
    <w:p w14:paraId="4BC9E1BF" w14:textId="77777777" w:rsidR="0004536B" w:rsidRDefault="003574EC">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基金管理人应当就基金份额发售的具体事宜编制基金份额发售公告，并在披露招募说明书的当日登载于规定媒介上。</w:t>
      </w:r>
    </w:p>
    <w:p w14:paraId="1AE647C3" w14:textId="77777777" w:rsidR="0004536B" w:rsidRDefault="003574EC">
      <w:pPr>
        <w:adjustRightInd w:val="0"/>
        <w:snapToGrid w:val="0"/>
        <w:spacing w:line="360" w:lineRule="auto"/>
        <w:ind w:firstLineChars="200" w:firstLine="480"/>
        <w:rPr>
          <w:sz w:val="24"/>
        </w:rPr>
      </w:pPr>
      <w:r>
        <w:rPr>
          <w:sz w:val="24"/>
        </w:rPr>
        <w:lastRenderedPageBreak/>
        <w:t>3</w:t>
      </w:r>
      <w:r>
        <w:rPr>
          <w:rFonts w:hAnsi="宋体"/>
          <w:sz w:val="24"/>
        </w:rPr>
        <w:t>、</w:t>
      </w:r>
      <w:r>
        <w:rPr>
          <w:bCs/>
          <w:sz w:val="24"/>
        </w:rPr>
        <w:t>《基金合同》</w:t>
      </w:r>
      <w:r>
        <w:rPr>
          <w:rFonts w:hAnsi="宋体"/>
          <w:sz w:val="24"/>
        </w:rPr>
        <w:t>生效公告</w:t>
      </w:r>
    </w:p>
    <w:p w14:paraId="0F5BC27C" w14:textId="77777777" w:rsidR="0004536B" w:rsidRDefault="003574EC">
      <w:pPr>
        <w:adjustRightInd w:val="0"/>
        <w:snapToGrid w:val="0"/>
        <w:spacing w:line="360" w:lineRule="auto"/>
        <w:ind w:firstLineChars="200" w:firstLine="480"/>
        <w:rPr>
          <w:rFonts w:hAnsi="宋体"/>
          <w:sz w:val="24"/>
        </w:rPr>
      </w:pPr>
      <w:r>
        <w:rPr>
          <w:rFonts w:hAnsi="宋体"/>
          <w:sz w:val="24"/>
        </w:rPr>
        <w:t>基金管理人应当在收到中国证监会确认文件的次日在规定媒介上登载《基金合同》生效公告。</w:t>
      </w:r>
    </w:p>
    <w:p w14:paraId="4E40BCD4" w14:textId="77777777" w:rsidR="0004536B" w:rsidRDefault="003574EC">
      <w:pPr>
        <w:adjustRightInd w:val="0"/>
        <w:snapToGrid w:val="0"/>
        <w:spacing w:line="360" w:lineRule="auto"/>
        <w:ind w:firstLineChars="200" w:firstLine="480"/>
        <w:rPr>
          <w:sz w:val="24"/>
        </w:rPr>
      </w:pPr>
      <w:r>
        <w:rPr>
          <w:sz w:val="24"/>
        </w:rPr>
        <w:t>4</w:t>
      </w:r>
      <w:r>
        <w:rPr>
          <w:rFonts w:hAnsi="宋体"/>
          <w:sz w:val="24"/>
        </w:rPr>
        <w:t>、基金</w:t>
      </w:r>
      <w:r>
        <w:rPr>
          <w:rFonts w:hint="eastAsia"/>
          <w:bCs/>
          <w:sz w:val="24"/>
        </w:rPr>
        <w:t>净值信息</w:t>
      </w:r>
    </w:p>
    <w:p w14:paraId="2498EA2F" w14:textId="453D4AC8" w:rsidR="0004536B" w:rsidRDefault="003574EC">
      <w:pPr>
        <w:adjustRightInd w:val="0"/>
        <w:snapToGrid w:val="0"/>
        <w:spacing w:line="360" w:lineRule="auto"/>
        <w:ind w:firstLineChars="200" w:firstLine="480"/>
        <w:rPr>
          <w:bCs/>
          <w:sz w:val="24"/>
        </w:rPr>
      </w:pPr>
      <w:r>
        <w:rPr>
          <w:rFonts w:hint="eastAsia"/>
          <w:bCs/>
          <w:sz w:val="24"/>
        </w:rPr>
        <w:t>《基金合同》生效后，</w:t>
      </w:r>
      <w:r w:rsidR="001D5794" w:rsidRPr="006151BA">
        <w:rPr>
          <w:rFonts w:hint="eastAsia"/>
          <w:bCs/>
          <w:sz w:val="24"/>
        </w:rPr>
        <w:t>在封闭期内</w:t>
      </w:r>
      <w:r>
        <w:rPr>
          <w:rFonts w:hint="eastAsia"/>
          <w:bCs/>
          <w:sz w:val="24"/>
        </w:rPr>
        <w:t>，基金管理人应当至少每周在规定网站披露一次基金份额净值和基金份额累计净值。</w:t>
      </w:r>
    </w:p>
    <w:p w14:paraId="195CC666" w14:textId="5E492176" w:rsidR="0004536B" w:rsidRDefault="001D5794">
      <w:pPr>
        <w:adjustRightInd w:val="0"/>
        <w:snapToGrid w:val="0"/>
        <w:spacing w:line="360" w:lineRule="auto"/>
        <w:ind w:firstLineChars="200" w:firstLine="480"/>
        <w:rPr>
          <w:bCs/>
          <w:sz w:val="24"/>
        </w:rPr>
      </w:pPr>
      <w:r w:rsidRPr="006151BA">
        <w:rPr>
          <w:rFonts w:hint="eastAsia"/>
          <w:bCs/>
          <w:sz w:val="24"/>
        </w:rPr>
        <w:t>在开放期内</w:t>
      </w:r>
      <w:r w:rsidR="003574EC">
        <w:rPr>
          <w:rFonts w:hint="eastAsia"/>
          <w:bCs/>
          <w:sz w:val="24"/>
        </w:rPr>
        <w:t>，基金管理人应当在不晚于每个开放日的次日，通过规定网站、基金销售机构网站或者营业网点披露开放日的基金份额净值和基金份额累计净值。</w:t>
      </w:r>
    </w:p>
    <w:p w14:paraId="1733E8CF" w14:textId="133542BF" w:rsidR="0004536B" w:rsidRDefault="003574EC">
      <w:pPr>
        <w:adjustRightInd w:val="0"/>
        <w:snapToGrid w:val="0"/>
        <w:spacing w:line="360" w:lineRule="auto"/>
        <w:ind w:firstLineChars="200" w:firstLine="480"/>
        <w:rPr>
          <w:rFonts w:hAnsi="宋体"/>
          <w:sz w:val="24"/>
        </w:rPr>
      </w:pPr>
      <w:r>
        <w:rPr>
          <w:rFonts w:hint="eastAsia"/>
          <w:bCs/>
          <w:sz w:val="24"/>
        </w:rPr>
        <w:t>基金管理人应当在不晚于半年度和年度最后一日的次日，在规定网站披露半年度和年度最后一日</w:t>
      </w:r>
      <w:r w:rsidR="002D6E97">
        <w:rPr>
          <w:rFonts w:hint="eastAsia"/>
          <w:bCs/>
          <w:sz w:val="24"/>
        </w:rPr>
        <w:t>的</w:t>
      </w:r>
      <w:r>
        <w:rPr>
          <w:rFonts w:hint="eastAsia"/>
          <w:bCs/>
          <w:sz w:val="24"/>
        </w:rPr>
        <w:t>基金份额净值和基金份额累计净值。</w:t>
      </w:r>
    </w:p>
    <w:p w14:paraId="67F5BB5B" w14:textId="26AAB839" w:rsidR="001D5794" w:rsidRDefault="00670C59">
      <w:pPr>
        <w:adjustRightInd w:val="0"/>
        <w:snapToGrid w:val="0"/>
        <w:spacing w:line="360" w:lineRule="auto"/>
        <w:ind w:firstLineChars="200" w:firstLine="480"/>
        <w:rPr>
          <w:sz w:val="24"/>
        </w:rPr>
      </w:pPr>
      <w:r w:rsidRPr="00670C59">
        <w:rPr>
          <w:rFonts w:hint="eastAsia"/>
          <w:bCs/>
          <w:sz w:val="24"/>
        </w:rPr>
        <w:t>如本基金暂停运作，基金管理人可以根据实际情况调整或暂停净值公告。</w:t>
      </w:r>
    </w:p>
    <w:p w14:paraId="3D77180E" w14:textId="5635C5E5" w:rsidR="0004536B" w:rsidRDefault="003574EC">
      <w:pPr>
        <w:adjustRightInd w:val="0"/>
        <w:snapToGrid w:val="0"/>
        <w:spacing w:line="360" w:lineRule="auto"/>
        <w:ind w:firstLineChars="200" w:firstLine="480"/>
        <w:rPr>
          <w:sz w:val="24"/>
        </w:rPr>
      </w:pPr>
      <w:r>
        <w:rPr>
          <w:sz w:val="24"/>
        </w:rPr>
        <w:t>5</w:t>
      </w:r>
      <w:r>
        <w:rPr>
          <w:rFonts w:hAnsi="宋体"/>
          <w:sz w:val="24"/>
        </w:rPr>
        <w:t>、基金份额申购、赎回价格</w:t>
      </w:r>
    </w:p>
    <w:p w14:paraId="1CE2962C" w14:textId="77777777" w:rsidR="0004536B" w:rsidRDefault="003574EC">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Ansi="宋体" w:hint="eastAsia"/>
          <w:bCs/>
          <w:sz w:val="24"/>
        </w:rPr>
        <w:t>销售机构</w:t>
      </w:r>
      <w:r>
        <w:rPr>
          <w:rFonts w:hint="eastAsia"/>
          <w:bCs/>
          <w:sz w:val="24"/>
        </w:rPr>
        <w:t>网站或营业网点</w:t>
      </w:r>
      <w:r>
        <w:rPr>
          <w:rFonts w:hAnsi="宋体"/>
          <w:sz w:val="24"/>
        </w:rPr>
        <w:t>查阅或者复制前述信息资料。</w:t>
      </w:r>
    </w:p>
    <w:p w14:paraId="3BA7DB98" w14:textId="77777777" w:rsidR="0004536B" w:rsidRDefault="003574EC">
      <w:pPr>
        <w:adjustRightInd w:val="0"/>
        <w:snapToGrid w:val="0"/>
        <w:spacing w:line="360" w:lineRule="auto"/>
        <w:ind w:firstLineChars="200" w:firstLine="48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14:paraId="31A0263E"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基金管理人应当在每年结束之日起三个月内，编制完成基金年度报告，将年度报告登载在规定网站上，并将年度报告提示性公告登载在</w:t>
      </w:r>
      <w:r>
        <w:rPr>
          <w:rFonts w:hint="eastAsia"/>
          <w:bCs/>
          <w:sz w:val="24"/>
        </w:rPr>
        <w:t>规定</w:t>
      </w:r>
      <w:r>
        <w:rPr>
          <w:rFonts w:hAnsi="宋体" w:hint="eastAsia"/>
          <w:sz w:val="24"/>
        </w:rPr>
        <w:t>报刊上。基金年度报告中的财务会计报告应当经过符合《中华人民共和国证券法》规定的会计师事务所审计。</w:t>
      </w:r>
    </w:p>
    <w:p w14:paraId="67E7F210"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基金管理人应当在上半年结束之日起两个月内，编制完成基金中期报告，将中期报告登载在规定网站上，并将中期报告提示性公告登载在</w:t>
      </w:r>
      <w:r>
        <w:rPr>
          <w:rFonts w:hint="eastAsia"/>
          <w:bCs/>
          <w:sz w:val="24"/>
        </w:rPr>
        <w:t>规定</w:t>
      </w:r>
      <w:r>
        <w:rPr>
          <w:rFonts w:hAnsi="宋体" w:hint="eastAsia"/>
          <w:sz w:val="24"/>
        </w:rPr>
        <w:t>报刊上。</w:t>
      </w:r>
    </w:p>
    <w:p w14:paraId="483E2BF9"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基金管理人应当在季度结束之日起</w:t>
      </w:r>
      <w:r>
        <w:rPr>
          <w:rFonts w:hAnsi="宋体" w:hint="eastAsia"/>
          <w:sz w:val="24"/>
        </w:rPr>
        <w:t>15</w:t>
      </w:r>
      <w:r>
        <w:rPr>
          <w:rFonts w:hAnsi="宋体" w:hint="eastAsia"/>
          <w:sz w:val="24"/>
        </w:rPr>
        <w:t>个工作日内，编制完成基金季度报告，将季度报告登载在规定网站上，并将季度报告提示性公告登载在</w:t>
      </w:r>
      <w:r>
        <w:rPr>
          <w:rFonts w:hint="eastAsia"/>
          <w:bCs/>
          <w:sz w:val="24"/>
        </w:rPr>
        <w:t>规定</w:t>
      </w:r>
      <w:r>
        <w:rPr>
          <w:rFonts w:hAnsi="宋体" w:hint="eastAsia"/>
          <w:sz w:val="24"/>
        </w:rPr>
        <w:t>报刊上。</w:t>
      </w:r>
    </w:p>
    <w:p w14:paraId="1429D955" w14:textId="5FF6964F" w:rsidR="0004536B" w:rsidRDefault="003574EC">
      <w:pPr>
        <w:adjustRightInd w:val="0"/>
        <w:snapToGrid w:val="0"/>
        <w:spacing w:line="360" w:lineRule="auto"/>
        <w:ind w:firstLineChars="200" w:firstLine="480"/>
        <w:rPr>
          <w:rFonts w:hAnsi="宋体"/>
          <w:sz w:val="24"/>
        </w:rPr>
      </w:pPr>
      <w:r>
        <w:rPr>
          <w:rFonts w:hAnsi="宋体" w:hint="eastAsia"/>
          <w:sz w:val="24"/>
        </w:rPr>
        <w:t>《基金合同》生效不足</w:t>
      </w:r>
      <w:r>
        <w:rPr>
          <w:rFonts w:hAnsi="宋体" w:hint="eastAsia"/>
          <w:sz w:val="24"/>
        </w:rPr>
        <w:t>2</w:t>
      </w:r>
      <w:r>
        <w:rPr>
          <w:rFonts w:hAnsi="宋体" w:hint="eastAsia"/>
          <w:sz w:val="24"/>
        </w:rPr>
        <w:t>个月的，基金管理人可以不编制当期季度报告、中期报告或者年度报告。</w:t>
      </w:r>
    </w:p>
    <w:p w14:paraId="11F14A1D" w14:textId="73FA62F2" w:rsidR="00B26E82" w:rsidRDefault="00B26E82">
      <w:pPr>
        <w:adjustRightInd w:val="0"/>
        <w:snapToGrid w:val="0"/>
        <w:spacing w:line="360" w:lineRule="auto"/>
        <w:ind w:firstLineChars="200" w:firstLine="480"/>
        <w:rPr>
          <w:rFonts w:hAnsi="宋体"/>
          <w:sz w:val="24"/>
        </w:rPr>
      </w:pPr>
      <w:r w:rsidRPr="00B26E82">
        <w:rPr>
          <w:rFonts w:hAnsi="宋体" w:hint="eastAsia"/>
          <w:sz w:val="24"/>
        </w:rPr>
        <w:t>本基金暂停运作的期间，不再编制定期报告。</w:t>
      </w:r>
    </w:p>
    <w:p w14:paraId="1DE80767" w14:textId="77777777" w:rsidR="00670C59" w:rsidRDefault="00670C59">
      <w:pPr>
        <w:adjustRightInd w:val="0"/>
        <w:snapToGrid w:val="0"/>
        <w:spacing w:line="360" w:lineRule="auto"/>
        <w:ind w:firstLineChars="200" w:firstLine="480"/>
        <w:rPr>
          <w:rFonts w:hAnsi="宋体"/>
          <w:sz w:val="24"/>
        </w:rPr>
      </w:pPr>
      <w:r w:rsidRPr="00670C59">
        <w:rPr>
          <w:rFonts w:hAnsi="宋体" w:hint="eastAsia"/>
          <w:sz w:val="24"/>
        </w:rPr>
        <w:t>基金管理人应当在中期报告和年度报告中披露基础管理费和业绩报酬收取情况。</w:t>
      </w:r>
    </w:p>
    <w:p w14:paraId="24835E9C" w14:textId="2C359028" w:rsidR="0004536B" w:rsidRDefault="003574EC">
      <w:pPr>
        <w:adjustRightInd w:val="0"/>
        <w:snapToGrid w:val="0"/>
        <w:spacing w:line="360" w:lineRule="auto"/>
        <w:ind w:firstLineChars="200" w:firstLine="480"/>
        <w:rPr>
          <w:rFonts w:hAnsi="宋体"/>
          <w:sz w:val="24"/>
        </w:rPr>
      </w:pPr>
      <w:r>
        <w:rPr>
          <w:rFonts w:hAnsi="宋体" w:hint="eastAsia"/>
          <w:sz w:val="24"/>
        </w:rPr>
        <w:lastRenderedPageBreak/>
        <w:t>如报告期内出现单一投资者持有基金份额达到或超过基金总份额</w:t>
      </w:r>
      <w:r>
        <w:rPr>
          <w:rFonts w:hAnsi="宋体" w:hint="eastAsia"/>
          <w:sz w:val="24"/>
        </w:rPr>
        <w:t>20%</w:t>
      </w:r>
      <w:r>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ED13A25"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14:paraId="1BB0957B" w14:textId="77777777" w:rsidR="0004536B" w:rsidRDefault="003574EC">
      <w:pPr>
        <w:adjustRightInd w:val="0"/>
        <w:snapToGrid w:val="0"/>
        <w:spacing w:line="360" w:lineRule="auto"/>
        <w:ind w:firstLineChars="200" w:firstLine="480"/>
        <w:rPr>
          <w:sz w:val="24"/>
        </w:rPr>
      </w:pPr>
      <w:r>
        <w:rPr>
          <w:sz w:val="24"/>
        </w:rPr>
        <w:t>7</w:t>
      </w:r>
      <w:r>
        <w:rPr>
          <w:rFonts w:hAnsi="宋体"/>
          <w:sz w:val="24"/>
        </w:rPr>
        <w:t>、临时报告</w:t>
      </w:r>
    </w:p>
    <w:p w14:paraId="606342B5" w14:textId="77777777" w:rsidR="0004536B" w:rsidRDefault="003574EC">
      <w:pPr>
        <w:adjustRightInd w:val="0"/>
        <w:snapToGrid w:val="0"/>
        <w:spacing w:line="360" w:lineRule="auto"/>
        <w:ind w:firstLineChars="200" w:firstLine="480"/>
        <w:rPr>
          <w:rFonts w:hAnsi="宋体"/>
          <w:sz w:val="24"/>
        </w:rPr>
      </w:pPr>
      <w:r>
        <w:rPr>
          <w:rFonts w:hAnsi="宋体"/>
          <w:sz w:val="24"/>
        </w:rPr>
        <w:t>本基金发生重大事件，有关信息披露义务人应当</w:t>
      </w:r>
      <w:r>
        <w:rPr>
          <w:rFonts w:hAnsi="宋体" w:hint="eastAsia"/>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14:paraId="5B030E57" w14:textId="77777777" w:rsidR="0004536B" w:rsidRDefault="003574EC">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14:paraId="1F4A11B9"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14:paraId="7796B22E"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14:paraId="6B3E95F4" w14:textId="2FB63C39"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w:t>
      </w:r>
      <w:r w:rsidR="00440931" w:rsidRPr="009D79C4">
        <w:rPr>
          <w:rFonts w:hint="eastAsia"/>
          <w:bCs/>
          <w:sz w:val="24"/>
        </w:rPr>
        <w:t>（不包括本基金开放期与封闭期运作方式的转换及暂停运作）</w:t>
      </w:r>
      <w:r>
        <w:rPr>
          <w:rFonts w:hint="eastAsia"/>
          <w:bCs/>
          <w:sz w:val="24"/>
        </w:rPr>
        <w:t>、基金合并；</w:t>
      </w:r>
    </w:p>
    <w:p w14:paraId="5B0BAC99"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）更换基金管理人、基金托管人、基金份额登记机构，基金改聘会计师事务所；</w:t>
      </w:r>
    </w:p>
    <w:p w14:paraId="69E94644"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53992FE"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14:paraId="7CC8F083"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14:paraId="43BFD46A"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）基金募集期延长或提前结束募集；</w:t>
      </w:r>
    </w:p>
    <w:p w14:paraId="3144C60B"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）基金管理人的高级管理人员、基金经理和基金托管人专门基金托管部门负责人发生变动；</w:t>
      </w:r>
    </w:p>
    <w:p w14:paraId="366E5E2D"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431FB771" w14:textId="77777777" w:rsidR="0004536B" w:rsidRDefault="003574EC">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）涉及基金财产、基金管理业务、基金托管业务的诉讼或仲裁；</w:t>
      </w:r>
    </w:p>
    <w:p w14:paraId="32CD54C0"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A391668"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B1D404A" w14:textId="7777777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）基金收益分配事项；</w:t>
      </w:r>
    </w:p>
    <w:p w14:paraId="3C382CAD" w14:textId="7D313650"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）管理费、托管费、申购费、赎回费等费用计提标准、计提方式和费率发生变更；</w:t>
      </w:r>
    </w:p>
    <w:p w14:paraId="5216C1DD" w14:textId="11ECE074"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）基金份额净值计价错误达基金份额净值百分之零点五；</w:t>
      </w:r>
    </w:p>
    <w:p w14:paraId="4E180D08" w14:textId="6192950B"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w:t>
      </w:r>
      <w:r w:rsidR="009B5FA5" w:rsidRPr="006151BA">
        <w:rPr>
          <w:rFonts w:hint="eastAsia"/>
          <w:bCs/>
          <w:sz w:val="24"/>
        </w:rPr>
        <w:t>进入开放期及开放期的具体时间</w:t>
      </w:r>
      <w:r>
        <w:rPr>
          <w:rFonts w:hint="eastAsia"/>
          <w:bCs/>
          <w:sz w:val="24"/>
        </w:rPr>
        <w:t>；</w:t>
      </w:r>
    </w:p>
    <w:p w14:paraId="0BB8CC44" w14:textId="4F6CAFAC"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w:t>
      </w:r>
      <w:r w:rsidR="009B5FA5" w:rsidRPr="006151BA">
        <w:rPr>
          <w:rFonts w:hint="eastAsia"/>
          <w:bCs/>
          <w:sz w:val="24"/>
        </w:rPr>
        <w:t>在开放期内发生巨额赎回并延缓支付赎回款项</w:t>
      </w:r>
      <w:r>
        <w:rPr>
          <w:rFonts w:hint="eastAsia"/>
          <w:bCs/>
          <w:sz w:val="24"/>
        </w:rPr>
        <w:t>；</w:t>
      </w:r>
    </w:p>
    <w:p w14:paraId="3254CF54" w14:textId="47B67A0E" w:rsidR="0004536B" w:rsidRDefault="003574EC" w:rsidP="009B5FA5">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）本基金暂停接受申购、赎回申请或重新接受申购、赎回申请；</w:t>
      </w:r>
    </w:p>
    <w:p w14:paraId="7AA291F8" w14:textId="3E75386A"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sidR="009B5FA5">
        <w:rPr>
          <w:bCs/>
          <w:sz w:val="24"/>
        </w:rPr>
        <w:t>0</w:t>
      </w:r>
      <w:r>
        <w:rPr>
          <w:rFonts w:hint="eastAsia"/>
          <w:bCs/>
          <w:sz w:val="24"/>
        </w:rPr>
        <w:t>）发生涉及基金申购、赎回事项调整或潜在影响投资者赎回等重大事项时；</w:t>
      </w:r>
    </w:p>
    <w:p w14:paraId="49C6C9BC" w14:textId="3201FF5E"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sidR="009B5FA5">
        <w:rPr>
          <w:bCs/>
          <w:sz w:val="24"/>
        </w:rPr>
        <w:t>1</w:t>
      </w:r>
      <w:r>
        <w:rPr>
          <w:rFonts w:hint="eastAsia"/>
          <w:bCs/>
          <w:sz w:val="24"/>
        </w:rPr>
        <w:t>）基金管理人采用摆动定价机制进行估值；</w:t>
      </w:r>
    </w:p>
    <w:p w14:paraId="6A3607D6" w14:textId="53A2CD5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sidR="009B5FA5">
        <w:rPr>
          <w:bCs/>
          <w:sz w:val="24"/>
        </w:rPr>
        <w:t>2</w:t>
      </w:r>
      <w:r>
        <w:rPr>
          <w:rFonts w:hint="eastAsia"/>
          <w:bCs/>
          <w:sz w:val="24"/>
        </w:rPr>
        <w:t>）本基金增加或调整基金份额类别；</w:t>
      </w:r>
    </w:p>
    <w:p w14:paraId="35D79514" w14:textId="70DF6A5D"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sidR="009B5FA5">
        <w:rPr>
          <w:bCs/>
          <w:sz w:val="24"/>
        </w:rPr>
        <w:t>3</w:t>
      </w:r>
      <w:r>
        <w:rPr>
          <w:rFonts w:hint="eastAsia"/>
          <w:bCs/>
          <w:sz w:val="24"/>
        </w:rPr>
        <w:t>）本基金推出新业务或服务；</w:t>
      </w:r>
    </w:p>
    <w:p w14:paraId="1439710A" w14:textId="70C45417" w:rsidR="009B5FA5" w:rsidRPr="009B5FA5" w:rsidRDefault="009B5FA5" w:rsidP="009B5FA5">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4</w:t>
      </w:r>
      <w:r>
        <w:rPr>
          <w:rFonts w:hint="eastAsia"/>
          <w:bCs/>
          <w:sz w:val="24"/>
        </w:rPr>
        <w:t>）</w:t>
      </w:r>
      <w:r w:rsidRPr="009B5FA5">
        <w:rPr>
          <w:rFonts w:hint="eastAsia"/>
          <w:bCs/>
          <w:sz w:val="24"/>
        </w:rPr>
        <w:t>本基金暂停运作；</w:t>
      </w:r>
    </w:p>
    <w:p w14:paraId="7AB2438D" w14:textId="207F43CB" w:rsidR="009B5FA5" w:rsidRDefault="009B5FA5" w:rsidP="009B5FA5">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5</w:t>
      </w:r>
      <w:r>
        <w:rPr>
          <w:rFonts w:hint="eastAsia"/>
          <w:bCs/>
          <w:sz w:val="24"/>
        </w:rPr>
        <w:t>）</w:t>
      </w:r>
      <w:r w:rsidRPr="009B5FA5">
        <w:rPr>
          <w:rFonts w:hint="eastAsia"/>
          <w:bCs/>
          <w:sz w:val="24"/>
        </w:rPr>
        <w:t>本基金暂停运作后重新开始运作；</w:t>
      </w:r>
    </w:p>
    <w:p w14:paraId="62AA025C" w14:textId="5CBED5CE" w:rsidR="0004536B" w:rsidRDefault="003574EC" w:rsidP="00440931">
      <w:pPr>
        <w:adjustRightInd w:val="0"/>
        <w:snapToGrid w:val="0"/>
        <w:spacing w:line="360" w:lineRule="auto"/>
        <w:ind w:firstLineChars="200" w:firstLine="480"/>
        <w:rPr>
          <w:bCs/>
          <w:sz w:val="24"/>
        </w:rPr>
      </w:pPr>
      <w:r>
        <w:rPr>
          <w:rFonts w:hint="eastAsia"/>
          <w:bCs/>
          <w:sz w:val="24"/>
        </w:rPr>
        <w:t>（</w:t>
      </w:r>
      <w:r>
        <w:rPr>
          <w:rFonts w:hint="eastAsia"/>
          <w:bCs/>
          <w:sz w:val="24"/>
        </w:rPr>
        <w:t>2</w:t>
      </w:r>
      <w:r w:rsidR="009B5FA5">
        <w:rPr>
          <w:bCs/>
          <w:sz w:val="24"/>
        </w:rPr>
        <w:t>6</w:t>
      </w:r>
      <w:r>
        <w:rPr>
          <w:rFonts w:hint="eastAsia"/>
          <w:bCs/>
          <w:sz w:val="24"/>
        </w:rPr>
        <w:t>）基金信息披露义务人认为可能对基金份额持有人权益或者基金份额的价格产生重大影响的其他事项或中国证监会规定和基金合同约定的其他事项。</w:t>
      </w:r>
    </w:p>
    <w:p w14:paraId="2F29770A" w14:textId="77777777" w:rsidR="0004536B" w:rsidRDefault="003574EC">
      <w:pPr>
        <w:adjustRightInd w:val="0"/>
        <w:snapToGrid w:val="0"/>
        <w:spacing w:line="360" w:lineRule="auto"/>
        <w:ind w:firstLineChars="200" w:firstLine="480"/>
        <w:rPr>
          <w:sz w:val="24"/>
        </w:rPr>
      </w:pPr>
      <w:r>
        <w:rPr>
          <w:sz w:val="24"/>
        </w:rPr>
        <w:t>8</w:t>
      </w:r>
      <w:r>
        <w:rPr>
          <w:rFonts w:hAnsi="宋体"/>
          <w:sz w:val="24"/>
        </w:rPr>
        <w:t>、澄清公告</w:t>
      </w:r>
    </w:p>
    <w:p w14:paraId="64C87886" w14:textId="77777777" w:rsidR="0004536B" w:rsidRDefault="003574EC">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14:paraId="79C487DD" w14:textId="77777777" w:rsidR="0004536B" w:rsidRDefault="003574EC">
      <w:pPr>
        <w:adjustRightInd w:val="0"/>
        <w:snapToGrid w:val="0"/>
        <w:spacing w:line="360" w:lineRule="auto"/>
        <w:ind w:firstLineChars="200" w:firstLine="480"/>
        <w:rPr>
          <w:sz w:val="24"/>
        </w:rPr>
      </w:pPr>
      <w:r>
        <w:rPr>
          <w:sz w:val="24"/>
        </w:rPr>
        <w:t>9</w:t>
      </w:r>
      <w:r>
        <w:rPr>
          <w:rFonts w:hAnsi="宋体"/>
          <w:sz w:val="24"/>
        </w:rPr>
        <w:t>、基金份额持有人大会决议</w:t>
      </w:r>
    </w:p>
    <w:p w14:paraId="039D2BAA" w14:textId="77777777" w:rsidR="0004536B" w:rsidRDefault="003574EC">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14:paraId="3FA0CE55" w14:textId="77777777" w:rsidR="0004536B" w:rsidRDefault="003574EC">
      <w:pPr>
        <w:adjustRightInd w:val="0"/>
        <w:snapToGrid w:val="0"/>
        <w:spacing w:line="360" w:lineRule="auto"/>
        <w:ind w:firstLineChars="200" w:firstLine="480"/>
        <w:rPr>
          <w:bCs/>
          <w:sz w:val="24"/>
        </w:rPr>
      </w:pPr>
      <w:r>
        <w:rPr>
          <w:rFonts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14:paraId="171867DA" w14:textId="77777777" w:rsidR="0004536B" w:rsidRDefault="003574EC">
      <w:pPr>
        <w:adjustRightInd w:val="0"/>
        <w:snapToGrid w:val="0"/>
        <w:spacing w:line="360" w:lineRule="auto"/>
        <w:ind w:firstLineChars="200" w:firstLine="480"/>
        <w:rPr>
          <w:sz w:val="24"/>
        </w:rPr>
      </w:pPr>
      <w:r>
        <w:rPr>
          <w:rFonts w:hint="eastAsia"/>
          <w:sz w:val="24"/>
        </w:rPr>
        <w:t>1</w:t>
      </w:r>
      <w:r>
        <w:rPr>
          <w:sz w:val="24"/>
        </w:rPr>
        <w:t>0</w:t>
      </w:r>
      <w:r>
        <w:rPr>
          <w:sz w:val="24"/>
        </w:rPr>
        <w:t>、</w:t>
      </w:r>
      <w:r>
        <w:rPr>
          <w:rFonts w:hint="eastAsia"/>
          <w:sz w:val="24"/>
        </w:rPr>
        <w:t>实施侧袋机制期间的信息披露</w:t>
      </w:r>
    </w:p>
    <w:p w14:paraId="1E54C8ED" w14:textId="77777777" w:rsidR="0004536B" w:rsidRDefault="003574EC">
      <w:pPr>
        <w:adjustRightInd w:val="0"/>
        <w:snapToGrid w:val="0"/>
        <w:spacing w:line="360" w:lineRule="auto"/>
        <w:ind w:firstLineChars="200" w:firstLine="48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14:paraId="35ACDE73" w14:textId="77777777" w:rsidR="0004536B" w:rsidRDefault="003574EC">
      <w:pPr>
        <w:adjustRightInd w:val="0"/>
        <w:snapToGrid w:val="0"/>
        <w:spacing w:line="360" w:lineRule="auto"/>
        <w:ind w:firstLineChars="200" w:firstLine="480"/>
        <w:rPr>
          <w:sz w:val="24"/>
        </w:rPr>
      </w:pPr>
      <w:r>
        <w:rPr>
          <w:rFonts w:hint="eastAsia"/>
          <w:sz w:val="24"/>
        </w:rPr>
        <w:t>11</w:t>
      </w:r>
      <w:r>
        <w:rPr>
          <w:rFonts w:hint="eastAsia"/>
          <w:sz w:val="24"/>
        </w:rPr>
        <w:t>、清算报告</w:t>
      </w:r>
    </w:p>
    <w:p w14:paraId="43DEBE04" w14:textId="77777777" w:rsidR="0004536B" w:rsidRDefault="003574EC">
      <w:pPr>
        <w:adjustRightInd w:val="0"/>
        <w:snapToGrid w:val="0"/>
        <w:spacing w:line="360" w:lineRule="auto"/>
        <w:ind w:firstLineChars="200" w:firstLine="48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14:paraId="532C69EE" w14:textId="77777777" w:rsidR="0004536B" w:rsidRDefault="003574EC">
      <w:pPr>
        <w:adjustRightInd w:val="0"/>
        <w:snapToGrid w:val="0"/>
        <w:spacing w:line="360" w:lineRule="auto"/>
        <w:ind w:firstLineChars="200" w:firstLine="480"/>
        <w:rPr>
          <w:sz w:val="24"/>
        </w:rPr>
      </w:pPr>
      <w:r>
        <w:rPr>
          <w:rFonts w:hint="eastAsia"/>
          <w:sz w:val="24"/>
        </w:rPr>
        <w:t>1</w:t>
      </w:r>
      <w:r>
        <w:rPr>
          <w:sz w:val="24"/>
        </w:rPr>
        <w:t>2</w:t>
      </w:r>
      <w:r>
        <w:rPr>
          <w:sz w:val="24"/>
        </w:rPr>
        <w:t>、</w:t>
      </w:r>
      <w:r>
        <w:rPr>
          <w:rFonts w:hint="eastAsia"/>
          <w:sz w:val="24"/>
        </w:rPr>
        <w:t>基金投资资产支持证券情况</w:t>
      </w:r>
    </w:p>
    <w:p w14:paraId="69E8BE6D" w14:textId="77777777" w:rsidR="0004536B" w:rsidRDefault="003574EC">
      <w:pPr>
        <w:adjustRightInd w:val="0"/>
        <w:snapToGrid w:val="0"/>
        <w:spacing w:line="360" w:lineRule="auto"/>
        <w:ind w:firstLineChars="200" w:firstLine="480"/>
        <w:rPr>
          <w:sz w:val="24"/>
        </w:rPr>
      </w:pPr>
      <w:r>
        <w:rPr>
          <w:rFonts w:hint="eastAsia"/>
          <w:sz w:val="24"/>
        </w:rPr>
        <w:t>本基金可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sz w:val="24"/>
        </w:rPr>
        <w:t>10</w:t>
      </w:r>
      <w:r>
        <w:rPr>
          <w:rFonts w:hint="eastAsia"/>
          <w:sz w:val="24"/>
        </w:rPr>
        <w:t>名资产支持证券明细。</w:t>
      </w:r>
    </w:p>
    <w:p w14:paraId="20DE5C2D" w14:textId="77777777" w:rsidR="0004536B" w:rsidRDefault="003574EC">
      <w:pPr>
        <w:adjustRightInd w:val="0"/>
        <w:snapToGrid w:val="0"/>
        <w:spacing w:line="360" w:lineRule="auto"/>
        <w:ind w:firstLineChars="200" w:firstLine="480"/>
        <w:rPr>
          <w:sz w:val="24"/>
        </w:rPr>
      </w:pPr>
      <w:r>
        <w:rPr>
          <w:rFonts w:hint="eastAsia"/>
          <w:sz w:val="24"/>
        </w:rPr>
        <w:t>1</w:t>
      </w:r>
      <w:r>
        <w:rPr>
          <w:sz w:val="24"/>
        </w:rPr>
        <w:t>3</w:t>
      </w:r>
      <w:r>
        <w:rPr>
          <w:sz w:val="24"/>
        </w:rPr>
        <w:t>、</w:t>
      </w:r>
      <w:r>
        <w:rPr>
          <w:rFonts w:hint="eastAsia"/>
          <w:sz w:val="24"/>
        </w:rPr>
        <w:t>基金投资股指期货情况</w:t>
      </w:r>
    </w:p>
    <w:p w14:paraId="0D82F880" w14:textId="77777777" w:rsidR="0004536B" w:rsidRDefault="003574EC">
      <w:pPr>
        <w:adjustRightInd w:val="0"/>
        <w:snapToGrid w:val="0"/>
        <w:spacing w:line="360" w:lineRule="auto"/>
        <w:ind w:firstLineChars="200" w:firstLine="48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840B48" w14:textId="77777777" w:rsidR="0004536B" w:rsidRDefault="003574EC">
      <w:pPr>
        <w:adjustRightInd w:val="0"/>
        <w:snapToGrid w:val="0"/>
        <w:spacing w:line="360" w:lineRule="auto"/>
        <w:ind w:firstLineChars="200" w:firstLine="480"/>
        <w:rPr>
          <w:sz w:val="24"/>
        </w:rPr>
      </w:pPr>
      <w:r>
        <w:rPr>
          <w:rFonts w:hint="eastAsia"/>
          <w:sz w:val="24"/>
        </w:rPr>
        <w:t>1</w:t>
      </w:r>
      <w:r>
        <w:rPr>
          <w:sz w:val="24"/>
        </w:rPr>
        <w:t>4</w:t>
      </w:r>
      <w:r>
        <w:rPr>
          <w:sz w:val="24"/>
        </w:rPr>
        <w:t>、</w:t>
      </w:r>
      <w:r>
        <w:rPr>
          <w:rFonts w:hint="eastAsia"/>
          <w:sz w:val="24"/>
        </w:rPr>
        <w:t>基金投资港股通标的股票情况</w:t>
      </w:r>
    </w:p>
    <w:p w14:paraId="08B1BF9F" w14:textId="77777777" w:rsidR="0004536B" w:rsidRDefault="003574EC">
      <w:pPr>
        <w:adjustRightInd w:val="0"/>
        <w:snapToGrid w:val="0"/>
        <w:spacing w:line="360" w:lineRule="auto"/>
        <w:ind w:firstLineChars="200" w:firstLine="480"/>
        <w:rPr>
          <w:rFonts w:hAnsi="宋体"/>
          <w:sz w:val="24"/>
        </w:rPr>
      </w:pPr>
      <w:r>
        <w:rPr>
          <w:rFonts w:hint="eastAsia"/>
          <w:bCs/>
          <w:sz w:val="24"/>
        </w:rPr>
        <w:t>本基金可投资港股通标的股票，</w:t>
      </w:r>
      <w:r>
        <w:rPr>
          <w:rFonts w:hint="eastAsia"/>
          <w:sz w:val="24"/>
        </w:rPr>
        <w:t>基金应当在季度报告、中期报告、年度报告等定期报告和招募说明书（更新）等文件中披露港股通标的股票的投资情况。法律法规或中国证监会另有规定的，从其规定。</w:t>
      </w:r>
    </w:p>
    <w:p w14:paraId="2610F0FC" w14:textId="77777777" w:rsidR="0004536B" w:rsidRDefault="003574EC">
      <w:pPr>
        <w:adjustRightInd w:val="0"/>
        <w:snapToGrid w:val="0"/>
        <w:spacing w:line="360" w:lineRule="auto"/>
        <w:ind w:firstLineChars="200" w:firstLine="480"/>
        <w:rPr>
          <w:sz w:val="24"/>
        </w:rPr>
      </w:pPr>
      <w:r>
        <w:rPr>
          <w:rFonts w:hAnsi="宋体" w:hint="eastAsia"/>
          <w:sz w:val="24"/>
        </w:rPr>
        <w:t>1</w:t>
      </w:r>
      <w:r>
        <w:rPr>
          <w:rFonts w:hAnsi="宋体"/>
          <w:sz w:val="24"/>
        </w:rPr>
        <w:t>5</w:t>
      </w:r>
      <w:r>
        <w:rPr>
          <w:rFonts w:hAnsi="宋体" w:hint="eastAsia"/>
          <w:sz w:val="24"/>
        </w:rPr>
        <w:t>、</w:t>
      </w:r>
      <w:r>
        <w:rPr>
          <w:rFonts w:hAnsi="宋体"/>
          <w:sz w:val="24"/>
        </w:rPr>
        <w:t>中国证监会规定的其他信息</w:t>
      </w:r>
      <w:r>
        <w:rPr>
          <w:rFonts w:hAnsi="宋体" w:hint="eastAsia"/>
          <w:sz w:val="24"/>
        </w:rPr>
        <w:t>。</w:t>
      </w:r>
    </w:p>
    <w:p w14:paraId="72F9AC31" w14:textId="77777777" w:rsidR="0004536B" w:rsidRDefault="003574EC">
      <w:pPr>
        <w:adjustRightInd w:val="0"/>
        <w:snapToGrid w:val="0"/>
        <w:spacing w:line="360" w:lineRule="auto"/>
        <w:ind w:firstLineChars="200" w:firstLine="482"/>
        <w:rPr>
          <w:b/>
          <w:bCs/>
          <w:sz w:val="24"/>
        </w:rPr>
      </w:pPr>
      <w:r>
        <w:rPr>
          <w:b/>
          <w:bCs/>
          <w:sz w:val="24"/>
        </w:rPr>
        <w:t>（六）信息披露事务管理</w:t>
      </w:r>
    </w:p>
    <w:p w14:paraId="6F4FB9ED" w14:textId="77777777" w:rsidR="0004536B" w:rsidRDefault="003574EC">
      <w:pPr>
        <w:adjustRightInd w:val="0"/>
        <w:snapToGrid w:val="0"/>
        <w:spacing w:line="360" w:lineRule="auto"/>
        <w:ind w:firstLineChars="200" w:firstLine="480"/>
        <w:rPr>
          <w:rFonts w:hAnsi="宋体"/>
          <w:sz w:val="24"/>
        </w:rPr>
      </w:pPr>
      <w:r>
        <w:rPr>
          <w:rFonts w:hAnsi="宋体" w:hint="eastAsia"/>
          <w:sz w:val="24"/>
        </w:rPr>
        <w:lastRenderedPageBreak/>
        <w:t>基金管理人、基金托管人应当建立健全信息披露管理制度，指定</w:t>
      </w:r>
      <w:r>
        <w:rPr>
          <w:rFonts w:hint="eastAsia"/>
          <w:bCs/>
          <w:sz w:val="24"/>
        </w:rPr>
        <w:t>专门部门及高级管理人员</w:t>
      </w:r>
      <w:r>
        <w:rPr>
          <w:rFonts w:hAnsi="宋体" w:hint="eastAsia"/>
          <w:sz w:val="24"/>
        </w:rPr>
        <w:t>负责管理信息披露事务。</w:t>
      </w:r>
    </w:p>
    <w:p w14:paraId="609CA91D"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基金信息披露义务人公开披露基金信息，应当符合中国证监会相关基金信息披露内容与格式准则</w:t>
      </w:r>
      <w:r>
        <w:rPr>
          <w:rFonts w:hint="eastAsia"/>
          <w:bCs/>
          <w:sz w:val="24"/>
        </w:rPr>
        <w:t>等法规</w:t>
      </w:r>
      <w:r>
        <w:rPr>
          <w:rFonts w:hAnsi="宋体" w:hint="eastAsia"/>
          <w:sz w:val="24"/>
        </w:rPr>
        <w:t>的规定。</w:t>
      </w:r>
    </w:p>
    <w:p w14:paraId="7510ACA7" w14:textId="201D2045" w:rsidR="0004536B" w:rsidRDefault="003574EC">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Ansi="宋体" w:hint="eastAsia"/>
          <w:sz w:val="24"/>
        </w:rPr>
        <w:t>更新的招募说明书</w:t>
      </w:r>
      <w:r>
        <w:rPr>
          <w:rFonts w:hint="eastAsia"/>
          <w:bCs/>
          <w:sz w:val="24"/>
        </w:rPr>
        <w:t>、基金产品资料概要、基金清算报告</w:t>
      </w:r>
      <w:r>
        <w:rPr>
          <w:rFonts w:hAnsi="宋体" w:hint="eastAsia"/>
          <w:sz w:val="24"/>
        </w:rPr>
        <w:t>等相关基金信息进行复核、审查，并向基金管理人</w:t>
      </w:r>
      <w:r>
        <w:rPr>
          <w:rFonts w:hint="eastAsia"/>
          <w:bCs/>
          <w:sz w:val="24"/>
        </w:rPr>
        <w:t>进行书面或电子</w:t>
      </w:r>
      <w:r>
        <w:rPr>
          <w:rFonts w:hAnsi="宋体" w:hint="eastAsia"/>
          <w:sz w:val="24"/>
        </w:rPr>
        <w:t>确认。</w:t>
      </w:r>
    </w:p>
    <w:p w14:paraId="1BBC6AD2"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Ansi="宋体" w:hint="eastAsia"/>
          <w:sz w:val="24"/>
        </w:rPr>
        <w:t>。</w:t>
      </w:r>
    </w:p>
    <w:p w14:paraId="265AC059"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291E9CE" w14:textId="77777777" w:rsidR="0004536B" w:rsidRDefault="003574EC">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14:paraId="32C344A6" w14:textId="77777777" w:rsidR="0004536B" w:rsidRDefault="003574EC">
      <w:pPr>
        <w:adjustRightInd w:val="0"/>
        <w:snapToGrid w:val="0"/>
        <w:spacing w:line="360" w:lineRule="auto"/>
        <w:ind w:firstLineChars="200" w:firstLine="480"/>
        <w:rPr>
          <w:rFonts w:hAnsi="宋体"/>
          <w:sz w:val="24"/>
        </w:rPr>
      </w:pPr>
      <w:r>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82D72B8" w14:textId="77777777" w:rsidR="0004536B" w:rsidRDefault="003574EC">
      <w:pPr>
        <w:adjustRightInd w:val="0"/>
        <w:snapToGrid w:val="0"/>
        <w:spacing w:line="360" w:lineRule="auto"/>
        <w:ind w:firstLineChars="200" w:firstLine="482"/>
        <w:rPr>
          <w:b/>
          <w:sz w:val="24"/>
        </w:rPr>
      </w:pPr>
      <w:r>
        <w:rPr>
          <w:rFonts w:hAnsi="宋体"/>
          <w:b/>
          <w:sz w:val="24"/>
        </w:rPr>
        <w:t>（七）信息披露文件的存放与查阅</w:t>
      </w:r>
    </w:p>
    <w:p w14:paraId="5296C23A" w14:textId="77777777" w:rsidR="0004536B" w:rsidRDefault="003574EC">
      <w:pPr>
        <w:adjustRightInd w:val="0"/>
        <w:snapToGrid w:val="0"/>
        <w:spacing w:line="360" w:lineRule="auto"/>
        <w:ind w:firstLineChars="200" w:firstLine="48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3"/>
    </w:p>
    <w:p w14:paraId="7CA60C8C" w14:textId="7EA8E0E8"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7" w:name="_Toc139631565"/>
      <w:r>
        <w:rPr>
          <w:rFonts w:ascii="宋体" w:hAnsi="宋体" w:hint="eastAsia"/>
          <w:b/>
          <w:kern w:val="0"/>
          <w:sz w:val="30"/>
        </w:rPr>
        <w:lastRenderedPageBreak/>
        <w:t>十</w:t>
      </w:r>
      <w:r w:rsidR="00827A2B">
        <w:rPr>
          <w:rFonts w:ascii="宋体" w:hAnsi="宋体" w:hint="eastAsia"/>
          <w:b/>
          <w:kern w:val="0"/>
          <w:sz w:val="30"/>
        </w:rPr>
        <w:t>七</w:t>
      </w:r>
      <w:r>
        <w:rPr>
          <w:rFonts w:ascii="宋体" w:hAnsi="宋体" w:hint="eastAsia"/>
          <w:b/>
          <w:kern w:val="0"/>
          <w:sz w:val="30"/>
        </w:rPr>
        <w:t>、侧袋机制</w:t>
      </w:r>
      <w:bookmarkEnd w:id="87"/>
    </w:p>
    <w:p w14:paraId="093C6321"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（一）侧袋机制的实施条件</w:t>
      </w:r>
    </w:p>
    <w:p w14:paraId="6CB39DA9"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1B450D5"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基金管理人应当在启用侧袋机制后及时发布临时公告，</w:t>
      </w:r>
      <w:bookmarkStart w:id="88" w:name="_Hlk45746268"/>
      <w:r>
        <w:rPr>
          <w:rFonts w:hAnsi="宋体" w:hint="eastAsia"/>
          <w:bCs/>
          <w:sz w:val="24"/>
          <w:szCs w:val="24"/>
        </w:rPr>
        <w:t>并在</w:t>
      </w:r>
      <w:bookmarkStart w:id="89" w:name="_Hlk45746204"/>
      <w:r>
        <w:rPr>
          <w:rFonts w:hAnsi="宋体" w:hint="eastAsia"/>
          <w:bCs/>
          <w:sz w:val="24"/>
          <w:szCs w:val="24"/>
        </w:rPr>
        <w:t>五个工作日内</w:t>
      </w:r>
      <w:bookmarkEnd w:id="88"/>
      <w:bookmarkEnd w:id="89"/>
      <w:r>
        <w:rPr>
          <w:rFonts w:hAnsi="宋体" w:hint="eastAsia"/>
          <w:bCs/>
          <w:sz w:val="24"/>
          <w:szCs w:val="24"/>
        </w:rPr>
        <w:t>聘请</w:t>
      </w:r>
      <w:bookmarkStart w:id="90" w:name="_Hlk45746277"/>
      <w:r>
        <w:rPr>
          <w:rFonts w:hAnsi="宋体" w:hint="eastAsia"/>
          <w:bCs/>
          <w:sz w:val="24"/>
          <w:szCs w:val="24"/>
        </w:rPr>
        <w:t>侧袋机制启用日发表意见且</w:t>
      </w:r>
      <w:bookmarkEnd w:id="90"/>
      <w:r>
        <w:rPr>
          <w:rFonts w:hAnsi="宋体" w:hint="eastAsia"/>
          <w:bCs/>
          <w:sz w:val="24"/>
          <w:szCs w:val="24"/>
        </w:rPr>
        <w:t>符合《中华人民共和国证券法》规定的会计师事务所</w:t>
      </w:r>
      <w:bookmarkStart w:id="91" w:name="_Hlk45746299"/>
      <w:r>
        <w:rPr>
          <w:rFonts w:hAnsi="宋体" w:hint="eastAsia"/>
          <w:bCs/>
          <w:sz w:val="24"/>
          <w:szCs w:val="24"/>
        </w:rPr>
        <w:t>进行审计并披露</w:t>
      </w:r>
      <w:bookmarkEnd w:id="91"/>
      <w:r>
        <w:rPr>
          <w:rFonts w:hAnsi="宋体" w:hint="eastAsia"/>
          <w:bCs/>
          <w:sz w:val="24"/>
          <w:szCs w:val="24"/>
        </w:rPr>
        <w:t>专项审计意见。</w:t>
      </w:r>
    </w:p>
    <w:p w14:paraId="3D8DDFB5"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（二）实施侧袋机制期间基金份额的申购与赎回</w:t>
      </w:r>
    </w:p>
    <w:p w14:paraId="06CC04EA"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BE53689" w14:textId="77777777" w:rsidR="0004536B" w:rsidRDefault="003574EC">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036A0216" w14:textId="0B6DBB0B" w:rsidR="0004536B" w:rsidRDefault="003574EC">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w:t>
      </w:r>
      <w:r w:rsidR="00E92A05">
        <w:rPr>
          <w:rFonts w:hAnsi="宋体" w:hint="eastAsia"/>
          <w:bCs/>
          <w:sz w:val="24"/>
          <w:szCs w:val="24"/>
        </w:rPr>
        <w:t>工作</w:t>
      </w:r>
      <w:r>
        <w:rPr>
          <w:rFonts w:hAnsi="宋体" w:hint="eastAsia"/>
          <w:bCs/>
          <w:sz w:val="24"/>
          <w:szCs w:val="24"/>
        </w:rPr>
        <w:t>日主袋账户总份额的</w:t>
      </w:r>
      <w:r w:rsidR="00E92A05">
        <w:rPr>
          <w:rFonts w:hAnsi="宋体"/>
          <w:bCs/>
          <w:sz w:val="24"/>
          <w:szCs w:val="24"/>
        </w:rPr>
        <w:t>20</w:t>
      </w:r>
      <w:r>
        <w:rPr>
          <w:rFonts w:hAnsi="宋体" w:hint="eastAsia"/>
          <w:bCs/>
          <w:sz w:val="24"/>
          <w:szCs w:val="24"/>
        </w:rPr>
        <w:t>%</w:t>
      </w:r>
      <w:r>
        <w:rPr>
          <w:rFonts w:hAnsi="宋体" w:hint="eastAsia"/>
          <w:bCs/>
          <w:sz w:val="24"/>
          <w:szCs w:val="24"/>
        </w:rPr>
        <w:t>认定。</w:t>
      </w:r>
    </w:p>
    <w:p w14:paraId="14DEB114"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（三）实施侧袋机制期间的基金投资</w:t>
      </w:r>
    </w:p>
    <w:p w14:paraId="3E3C10C0"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、业绩比较基准、风险收益特征等约定仅适用于主袋账户。基金管理人计算各项投资运作指标和基金业绩指标时仅需考虑主袋账户资产。</w:t>
      </w:r>
    </w:p>
    <w:p w14:paraId="215B7057"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基金管理人原则上应当在侧袋</w:t>
      </w:r>
      <w:r>
        <w:rPr>
          <w:rFonts w:hAnsi="宋体"/>
          <w:bCs/>
          <w:sz w:val="24"/>
          <w:szCs w:val="24"/>
        </w:rPr>
        <w:t>机制启用后</w:t>
      </w:r>
      <w:r>
        <w:rPr>
          <w:rFonts w:hAnsi="宋体"/>
          <w:bCs/>
          <w:sz w:val="24"/>
          <w:szCs w:val="24"/>
        </w:rPr>
        <w:t>20</w:t>
      </w:r>
      <w:r>
        <w:rPr>
          <w:rFonts w:hAnsi="宋体"/>
          <w:bCs/>
          <w:sz w:val="24"/>
          <w:szCs w:val="24"/>
        </w:rPr>
        <w:t>个交易日内完成对主袋账户投资组合的调整，</w:t>
      </w:r>
      <w:r>
        <w:rPr>
          <w:rFonts w:hAnsi="宋体" w:hint="eastAsia"/>
          <w:bCs/>
          <w:sz w:val="24"/>
          <w:szCs w:val="24"/>
        </w:rPr>
        <w:t>因资产流动性受限等中国证监会规定的情形除外。</w:t>
      </w:r>
    </w:p>
    <w:p w14:paraId="4BF1843C"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基金管理人不得在侧袋账户中进行除特定资产处置变现以外的其他投资操作。</w:t>
      </w:r>
    </w:p>
    <w:p w14:paraId="0B6AC858"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lastRenderedPageBreak/>
        <w:t>（四）实施侧袋机制期间的基金估值</w:t>
      </w:r>
    </w:p>
    <w:p w14:paraId="1A948394"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E8893A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（五）实施侧袋账户期间的基金费用</w:t>
      </w:r>
    </w:p>
    <w:p w14:paraId="6895C4DC"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、本基金实施侧袋机制的，管理费和托管费等按主袋账户基金资产净值作为基数计提。</w:t>
      </w:r>
    </w:p>
    <w:p w14:paraId="54AE1F89" w14:textId="77777777" w:rsidR="0004536B" w:rsidRDefault="003574EC">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、与侧袋账户有关的费用可从侧袋账户中列支，但应待侧袋账户资产变现后方可列支，有关费用可酌情收取或减免，但不得收取管理费。</w:t>
      </w:r>
    </w:p>
    <w:p w14:paraId="36FCAF0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（六）侧袋账户中特定资产的处置变现和支付</w:t>
      </w:r>
    </w:p>
    <w:p w14:paraId="16D3545F"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4587629"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0B9DED6" w14:textId="77777777" w:rsidR="0004536B" w:rsidRDefault="003574EC">
      <w:pPr>
        <w:adjustRightInd w:val="0"/>
        <w:snapToGrid w:val="0"/>
        <w:spacing w:line="360" w:lineRule="auto"/>
        <w:ind w:firstLineChars="200" w:firstLine="480"/>
        <w:rPr>
          <w:rFonts w:hAnsi="宋体"/>
          <w:bCs/>
          <w:sz w:val="24"/>
          <w:szCs w:val="24"/>
        </w:rPr>
      </w:pPr>
      <w:r>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45A66659"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（七）侧袋机制的信息披露</w:t>
      </w:r>
    </w:p>
    <w:p w14:paraId="1BB13D6D"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、临时公告</w:t>
      </w:r>
    </w:p>
    <w:p w14:paraId="798E30F2" w14:textId="7777777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在启用侧袋机制、处置特定资产、终止侧袋机制以及发生其他可能对投资者利益产生重大影响的事项后基金管理人应及时发布临时公告。</w:t>
      </w:r>
    </w:p>
    <w:p w14:paraId="5EF8B683"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、基金净值信息</w:t>
      </w:r>
    </w:p>
    <w:p w14:paraId="067EB083" w14:textId="7777777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5463ACD"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3</w:t>
      </w:r>
      <w:r w:rsidRPr="00210D77">
        <w:rPr>
          <w:rFonts w:hAnsi="宋体" w:hint="eastAsia"/>
          <w:sz w:val="24"/>
          <w:szCs w:val="24"/>
        </w:rPr>
        <w:t>、定期报告</w:t>
      </w:r>
    </w:p>
    <w:p w14:paraId="324AA091" w14:textId="7777777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lastRenderedPageBreak/>
        <w:t>侧袋机制实施期间，基金管理人应当在基金定期报告中披露报告期内侧袋账户相关信息，基金定期报告中的基金会计报表仅需针对主袋账户进行编制。</w:t>
      </w:r>
      <w:bookmarkStart w:id="92" w:name="_Hlk45747214"/>
      <w:r w:rsidRPr="00210D77">
        <w:rPr>
          <w:rFonts w:hAnsi="宋体" w:hint="eastAsia"/>
          <w:sz w:val="24"/>
          <w:szCs w:val="24"/>
        </w:rPr>
        <w:t>会计师事务所对基金年度报告进行审计时，应对报告期内基金侧袋机制运行相关的会计核算和年度报告披露等发表审计意见。</w:t>
      </w:r>
      <w:bookmarkEnd w:id="92"/>
    </w:p>
    <w:p w14:paraId="73FEA933" w14:textId="77777777"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0BADF128" w14:textId="0BAD47A7"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139631566"/>
      <w:r>
        <w:rPr>
          <w:rFonts w:ascii="宋体" w:hAnsi="宋体" w:hint="eastAsia"/>
          <w:b/>
          <w:kern w:val="0"/>
          <w:sz w:val="30"/>
        </w:rPr>
        <w:lastRenderedPageBreak/>
        <w:t>十</w:t>
      </w:r>
      <w:r w:rsidR="00827A2B">
        <w:rPr>
          <w:rFonts w:ascii="宋体" w:hAnsi="宋体" w:hint="eastAsia"/>
          <w:b/>
          <w:kern w:val="0"/>
          <w:sz w:val="30"/>
        </w:rPr>
        <w:t>八</w:t>
      </w:r>
      <w:r>
        <w:rPr>
          <w:rFonts w:ascii="宋体" w:hAnsi="宋体" w:hint="eastAsia"/>
          <w:b/>
          <w:kern w:val="0"/>
          <w:sz w:val="30"/>
        </w:rPr>
        <w:t>、风险揭示</w:t>
      </w:r>
      <w:bookmarkEnd w:id="93"/>
    </w:p>
    <w:p w14:paraId="2B09471A" w14:textId="77777777" w:rsidR="0004536B" w:rsidRDefault="003574EC">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4" w:name="_Hlt91150550"/>
      <w:bookmarkStart w:id="95" w:name="_Hlt88901012"/>
      <w:bookmarkStart w:id="96" w:name="_Toc109537396"/>
      <w:bookmarkEnd w:id="94"/>
      <w:bookmarkEnd w:id="95"/>
      <w:r>
        <w:rPr>
          <w:rFonts w:hAnsi="宋体"/>
          <w:sz w:val="24"/>
          <w:szCs w:val="24"/>
        </w:rPr>
        <w:t>生的收益，也可能承担</w:t>
      </w:r>
      <w:bookmarkEnd w:id="96"/>
      <w:r>
        <w:rPr>
          <w:rFonts w:hAnsi="宋体"/>
          <w:sz w:val="24"/>
          <w:szCs w:val="24"/>
        </w:rPr>
        <w:t>基金投资所带来的损失。</w:t>
      </w:r>
    </w:p>
    <w:p w14:paraId="56E5CAF6" w14:textId="639A2A5C" w:rsidR="003E363D" w:rsidRPr="003E363D" w:rsidRDefault="003574EC">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w:t>
      </w:r>
      <w:r w:rsidR="003E363D">
        <w:rPr>
          <w:rFonts w:hAnsi="宋体" w:hint="eastAsia"/>
          <w:sz w:val="24"/>
          <w:szCs w:val="24"/>
        </w:rPr>
        <w:t>工作</w:t>
      </w:r>
      <w:r>
        <w:rPr>
          <w:rFonts w:hAnsi="宋体" w:hint="eastAsia"/>
          <w:sz w:val="24"/>
          <w:szCs w:val="24"/>
        </w:rPr>
        <w:t>日</w:t>
      </w:r>
      <w:r>
        <w:rPr>
          <w:rFonts w:hAnsi="宋体"/>
          <w:sz w:val="24"/>
          <w:szCs w:val="24"/>
        </w:rPr>
        <w:t>基金总份额的</w:t>
      </w:r>
      <w:r w:rsidR="003E363D">
        <w:rPr>
          <w:rFonts w:hAnsi="宋体" w:hint="eastAsia"/>
          <w:sz w:val="24"/>
          <w:szCs w:val="24"/>
        </w:rPr>
        <w:t>2</w:t>
      </w:r>
      <w:r w:rsidR="003E363D">
        <w:rPr>
          <w:rFonts w:hAnsi="宋体"/>
          <w:sz w:val="24"/>
          <w:szCs w:val="24"/>
        </w:rPr>
        <w:t>0</w:t>
      </w:r>
      <w:r w:rsidR="003E363D">
        <w:rPr>
          <w:rFonts w:hAnsi="宋体" w:hint="eastAsia"/>
          <w:sz w:val="24"/>
          <w:szCs w:val="24"/>
        </w:rPr>
        <w:t>%</w:t>
      </w:r>
      <w:r>
        <w:rPr>
          <w:rFonts w:hAnsi="宋体"/>
          <w:sz w:val="24"/>
          <w:szCs w:val="24"/>
        </w:rPr>
        <w:t>时，投资人将可能无法及时赎回持有的全部基金份额。基金分为股票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5CE2BA4" w14:textId="77777777" w:rsidR="0004536B" w:rsidRDefault="003574EC">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14:paraId="516CDC8A" w14:textId="77777777" w:rsidR="0004536B" w:rsidRDefault="003574EC">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55692E" w14:textId="77777777" w:rsidR="0004536B" w:rsidRDefault="003574EC">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5FB0FBC0" w14:textId="77777777" w:rsidR="0004536B" w:rsidRDefault="003574EC">
      <w:pPr>
        <w:widowControl/>
        <w:adjustRightInd w:val="0"/>
        <w:snapToGrid w:val="0"/>
        <w:spacing w:line="360" w:lineRule="auto"/>
        <w:ind w:firstLineChars="200" w:firstLine="48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w:t>
      </w:r>
      <w:r>
        <w:rPr>
          <w:rFonts w:hAnsi="宋体"/>
          <w:sz w:val="24"/>
          <w:szCs w:val="24"/>
        </w:rPr>
        <w:lastRenderedPageBreak/>
        <w:t>则，在做出投资决策后，基金运营状况与基金净值变化引致的投资风险，由投资人自行负担。</w:t>
      </w:r>
    </w:p>
    <w:p w14:paraId="23B6E020"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39C0EA44"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（一）市场风险</w:t>
      </w:r>
    </w:p>
    <w:p w14:paraId="38E806D9"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14:paraId="385B8BFF"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14:paraId="2B169552"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C6B42E8"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9F28922"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883C8CC"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2BB261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（二）管理风险</w:t>
      </w:r>
    </w:p>
    <w:p w14:paraId="60B0C3A7"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84EB735"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（三）流动性风险</w:t>
      </w:r>
    </w:p>
    <w:p w14:paraId="7ED75F6A" w14:textId="63B49E4A"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本基金属于</w:t>
      </w:r>
      <w:r w:rsidR="00CA23A9">
        <w:rPr>
          <w:rFonts w:hAnsi="宋体" w:hint="eastAsia"/>
          <w:kern w:val="0"/>
          <w:sz w:val="24"/>
          <w:szCs w:val="24"/>
        </w:rPr>
        <w:t>定期</w:t>
      </w:r>
      <w:r>
        <w:rPr>
          <w:rFonts w:hAnsi="宋体"/>
          <w:kern w:val="0"/>
          <w:sz w:val="24"/>
          <w:szCs w:val="24"/>
        </w:rPr>
        <w:t>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7746CC1"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、本基金的申购、赎回安排</w:t>
      </w:r>
    </w:p>
    <w:p w14:paraId="76178F19" w14:textId="2C58082E" w:rsidR="00726057" w:rsidRDefault="003574EC" w:rsidP="00726057">
      <w:pPr>
        <w:adjustRightInd w:val="0"/>
        <w:snapToGrid w:val="0"/>
        <w:spacing w:line="360" w:lineRule="auto"/>
        <w:ind w:firstLineChars="200" w:firstLine="480"/>
        <w:rPr>
          <w:rFonts w:hAnsi="宋体"/>
          <w:sz w:val="24"/>
          <w:szCs w:val="24"/>
        </w:rPr>
      </w:pPr>
      <w:r w:rsidRPr="00210D77">
        <w:rPr>
          <w:rFonts w:hAnsi="宋体" w:hint="eastAsia"/>
          <w:sz w:val="24"/>
          <w:szCs w:val="24"/>
        </w:rPr>
        <w:t>本基金采用</w:t>
      </w:r>
      <w:r w:rsidR="000F03DE">
        <w:rPr>
          <w:rFonts w:hAnsi="宋体" w:hint="eastAsia"/>
          <w:sz w:val="24"/>
          <w:szCs w:val="24"/>
        </w:rPr>
        <w:t>定期</w:t>
      </w:r>
      <w:r w:rsidRPr="00210D77">
        <w:rPr>
          <w:rFonts w:hAnsi="宋体" w:hint="eastAsia"/>
          <w:sz w:val="24"/>
          <w:szCs w:val="24"/>
        </w:rPr>
        <w:t>开放方式运作，基金管理人在开放日办理基金份额的申购</w:t>
      </w:r>
      <w:r w:rsidR="00972E07">
        <w:rPr>
          <w:rFonts w:hint="eastAsia"/>
          <w:bCs/>
          <w:sz w:val="24"/>
        </w:rPr>
        <w:t>及</w:t>
      </w:r>
      <w:r w:rsidR="00972E07">
        <w:rPr>
          <w:rFonts w:hint="eastAsia"/>
          <w:bCs/>
          <w:sz w:val="24"/>
        </w:rPr>
        <w:t>/</w:t>
      </w:r>
      <w:r w:rsidR="00972E07">
        <w:rPr>
          <w:rFonts w:hint="eastAsia"/>
          <w:bCs/>
          <w:sz w:val="24"/>
        </w:rPr>
        <w:t>或</w:t>
      </w:r>
      <w:r w:rsidRPr="00210D77">
        <w:rPr>
          <w:rFonts w:hAnsi="宋体" w:hint="eastAsia"/>
          <w:sz w:val="24"/>
          <w:szCs w:val="24"/>
        </w:rPr>
        <w:t>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r w:rsidR="00726057" w:rsidRPr="00726057">
        <w:rPr>
          <w:rFonts w:hAnsi="宋体" w:hint="eastAsia"/>
          <w:sz w:val="24"/>
          <w:szCs w:val="24"/>
        </w:rPr>
        <w:t>封闭期内，本基金不办理申购和赎回业务，也不上市交易。</w:t>
      </w:r>
    </w:p>
    <w:p w14:paraId="387CFCB5" w14:textId="1E42760A" w:rsidR="0004536B" w:rsidRPr="00210D77" w:rsidRDefault="00C729B0" w:rsidP="00726057">
      <w:pPr>
        <w:adjustRightInd w:val="0"/>
        <w:snapToGrid w:val="0"/>
        <w:spacing w:line="360" w:lineRule="auto"/>
        <w:ind w:firstLineChars="200" w:firstLine="480"/>
        <w:rPr>
          <w:rFonts w:hAnsi="宋体"/>
          <w:sz w:val="24"/>
          <w:szCs w:val="24"/>
        </w:rPr>
      </w:pPr>
      <w:r w:rsidRPr="00C729B0">
        <w:rPr>
          <w:rFonts w:hAnsi="宋体" w:hint="eastAsia"/>
          <w:sz w:val="24"/>
          <w:szCs w:val="24"/>
        </w:rPr>
        <w:t>本基金自封闭期结束之日的下一个工作日起至下一个封闭期开始前进入开放期，开放期期间可以办理申购与赎回业务。每个开放期不少于</w:t>
      </w:r>
      <w:r w:rsidRPr="00C729B0">
        <w:rPr>
          <w:rFonts w:hAnsi="宋体" w:hint="eastAsia"/>
          <w:sz w:val="24"/>
          <w:szCs w:val="24"/>
        </w:rPr>
        <w:t>5</w:t>
      </w:r>
      <w:r w:rsidRPr="00C729B0">
        <w:rPr>
          <w:rFonts w:hAnsi="宋体" w:hint="eastAsia"/>
          <w:sz w:val="24"/>
          <w:szCs w:val="24"/>
        </w:rPr>
        <w:t>个工作日并且最长不超过</w:t>
      </w:r>
      <w:r w:rsidRPr="00C729B0">
        <w:rPr>
          <w:rFonts w:hAnsi="宋体" w:hint="eastAsia"/>
          <w:sz w:val="24"/>
          <w:szCs w:val="24"/>
        </w:rPr>
        <w:t xml:space="preserve">20 </w:t>
      </w:r>
      <w:r w:rsidRPr="00C729B0">
        <w:rPr>
          <w:rFonts w:hAnsi="宋体" w:hint="eastAsia"/>
          <w:sz w:val="24"/>
          <w:szCs w:val="24"/>
        </w:rPr>
        <w:t>个工作日，开放期的具体时间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w:t>
      </w:r>
    </w:p>
    <w:p w14:paraId="2DF7885E"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、投资市场、行业及资产的流动性风险评估</w:t>
      </w:r>
    </w:p>
    <w:p w14:paraId="0C37451C"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3F62F72C"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3</w:t>
      </w:r>
      <w:r w:rsidRPr="00210D77">
        <w:rPr>
          <w:rFonts w:hAnsi="宋体" w:hint="eastAsia"/>
          <w:sz w:val="24"/>
          <w:szCs w:val="24"/>
        </w:rPr>
        <w:t>、巨额赎回情形下的流动性风险管理措施</w:t>
      </w:r>
    </w:p>
    <w:p w14:paraId="52B12F12" w14:textId="17C83283"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若本基金</w:t>
      </w:r>
      <w:r w:rsidR="00726057">
        <w:rPr>
          <w:rFonts w:hAnsi="宋体" w:hint="eastAsia"/>
          <w:sz w:val="24"/>
          <w:szCs w:val="24"/>
        </w:rPr>
        <w:t>开放期内</w:t>
      </w:r>
      <w:r w:rsidRPr="00210D77">
        <w:rPr>
          <w:rFonts w:hAnsi="宋体" w:hint="eastAsia"/>
          <w:sz w:val="24"/>
          <w:szCs w:val="24"/>
        </w:rPr>
        <w:t>单个开放日内的基金份额净赎回申请（赎回申请份额总数加上基金转换中转出申请份额总数后扣除申购申请份额总数及基金转换中转入申请份额总数后的余额）超过前一</w:t>
      </w:r>
      <w:r w:rsidR="00726057">
        <w:rPr>
          <w:rFonts w:hAnsi="宋体" w:hint="eastAsia"/>
          <w:sz w:val="24"/>
          <w:szCs w:val="24"/>
        </w:rPr>
        <w:t>工作</w:t>
      </w:r>
      <w:r w:rsidRPr="00210D77">
        <w:rPr>
          <w:rFonts w:hAnsi="宋体" w:hint="eastAsia"/>
          <w:sz w:val="24"/>
          <w:szCs w:val="24"/>
        </w:rPr>
        <w:t>日的基金总份额的</w:t>
      </w:r>
      <w:r w:rsidR="00726057">
        <w:rPr>
          <w:rFonts w:hAnsi="宋体"/>
          <w:sz w:val="24"/>
          <w:szCs w:val="24"/>
        </w:rPr>
        <w:t>2</w:t>
      </w:r>
      <w:r w:rsidR="00726057" w:rsidRPr="00210D77">
        <w:rPr>
          <w:rFonts w:hAnsi="宋体" w:hint="eastAsia"/>
          <w:sz w:val="24"/>
          <w:szCs w:val="24"/>
        </w:rPr>
        <w:t>0</w:t>
      </w:r>
      <w:r w:rsidRPr="00210D77">
        <w:rPr>
          <w:rFonts w:hAnsi="宋体" w:hint="eastAsia"/>
          <w:sz w:val="24"/>
          <w:szCs w:val="24"/>
        </w:rPr>
        <w:t>%</w:t>
      </w:r>
      <w:r w:rsidRPr="00210D77">
        <w:rPr>
          <w:rFonts w:hAnsi="宋体" w:hint="eastAsia"/>
          <w:sz w:val="24"/>
          <w:szCs w:val="24"/>
        </w:rPr>
        <w:t>，即认为是发生了巨额赎回。</w:t>
      </w:r>
    </w:p>
    <w:p w14:paraId="7267A871" w14:textId="764683A2"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当基金出现巨额赎回时，基金管理人可以根据基金当时的资产组合状况决定全额赎回或</w:t>
      </w:r>
      <w:r w:rsidR="00726057" w:rsidRPr="00726057">
        <w:rPr>
          <w:rFonts w:hAnsi="宋体" w:hint="eastAsia"/>
          <w:sz w:val="24"/>
          <w:szCs w:val="24"/>
        </w:rPr>
        <w:t>延缓支付赎回款项</w:t>
      </w:r>
      <w:r w:rsidRPr="00210D77">
        <w:rPr>
          <w:rFonts w:hAnsi="宋体" w:hint="eastAsia"/>
          <w:sz w:val="24"/>
          <w:szCs w:val="24"/>
        </w:rPr>
        <w:t>。</w:t>
      </w:r>
    </w:p>
    <w:p w14:paraId="0DB5EE44"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lastRenderedPageBreak/>
        <w:t>（</w:t>
      </w:r>
      <w:r w:rsidRPr="00210D77">
        <w:rPr>
          <w:rFonts w:hAnsi="宋体" w:hint="eastAsia"/>
          <w:sz w:val="24"/>
          <w:szCs w:val="24"/>
        </w:rPr>
        <w:t>1</w:t>
      </w:r>
      <w:r w:rsidRPr="00210D77">
        <w:rPr>
          <w:rFonts w:hAnsi="宋体" w:hint="eastAsia"/>
          <w:sz w:val="24"/>
          <w:szCs w:val="24"/>
        </w:rPr>
        <w:t>）全额赎回：当基金管理人认为有能力支付投资人的全部赎回申请时，按正常赎回程序执行。</w:t>
      </w:r>
    </w:p>
    <w:p w14:paraId="178259E2" w14:textId="76B7263C"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w:t>
      </w:r>
      <w:r w:rsidR="00726057" w:rsidRPr="00FB1070">
        <w:rPr>
          <w:rFonts w:hint="eastAsia"/>
          <w:bCs/>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00726057" w:rsidRPr="00FB1070">
        <w:rPr>
          <w:rFonts w:hint="eastAsia"/>
          <w:bCs/>
          <w:sz w:val="24"/>
        </w:rPr>
        <w:t>20%</w:t>
      </w:r>
      <w:r w:rsidR="00726057" w:rsidRPr="00FB1070">
        <w:rPr>
          <w:rFonts w:hint="eastAsia"/>
          <w:bCs/>
          <w:sz w:val="24"/>
        </w:rPr>
        <w:t>，其余赎回申请可以延缓支付赎回款项，但延缓支付的期限不得超过</w:t>
      </w:r>
      <w:r w:rsidR="00726057" w:rsidRPr="00FB1070">
        <w:rPr>
          <w:rFonts w:hint="eastAsia"/>
          <w:bCs/>
          <w:sz w:val="24"/>
        </w:rPr>
        <w:t>20</w:t>
      </w:r>
      <w:r w:rsidR="00726057" w:rsidRPr="00FB1070">
        <w:rPr>
          <w:rFonts w:hint="eastAsia"/>
          <w:bCs/>
          <w:sz w:val="24"/>
        </w:rPr>
        <w:t>个工作日，并在规定媒介上予以公告。延缓支付的赎回申请以赎回申请确认当日的基金份额净值为基础计算赎回金额。</w:t>
      </w:r>
    </w:p>
    <w:p w14:paraId="7EBEE8E6" w14:textId="50B787F0"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sz w:val="24"/>
          <w:szCs w:val="24"/>
        </w:rPr>
        <w:t>3</w:t>
      </w:r>
      <w:r w:rsidRPr="00210D77">
        <w:rPr>
          <w:rFonts w:hAnsi="宋体"/>
          <w:sz w:val="24"/>
          <w:szCs w:val="24"/>
        </w:rPr>
        <w:t>）</w:t>
      </w:r>
      <w:r w:rsidR="00726057" w:rsidRPr="00FB1070">
        <w:rPr>
          <w:rFonts w:hint="eastAsia"/>
          <w:bCs/>
          <w:sz w:val="24"/>
        </w:rPr>
        <w:t>延期办理赎回申请：本基金如发生巨额赎回且单个开放日内单个基金份额持有人申请赎回的基金份额超过前一工作日的基金总份额的</w:t>
      </w:r>
      <w:r w:rsidR="00726057" w:rsidRPr="00FB1070">
        <w:rPr>
          <w:rFonts w:hint="eastAsia"/>
          <w:bCs/>
          <w:sz w:val="24"/>
        </w:rPr>
        <w:t>20%</w:t>
      </w:r>
      <w:r w:rsidR="00726057" w:rsidRPr="00FB1070">
        <w:rPr>
          <w:rFonts w:hint="eastAsia"/>
          <w:bCs/>
          <w:sz w:val="24"/>
        </w:rPr>
        <w:t>时，本基金管理人有权采取如下措施：</w:t>
      </w:r>
    </w:p>
    <w:p w14:paraId="7CF9A96D" w14:textId="6B42CC5F"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对于基金份额持有人当日超过</w:t>
      </w:r>
      <w:r w:rsidRPr="00210D77">
        <w:rPr>
          <w:rFonts w:hAnsi="宋体" w:hint="eastAsia"/>
          <w:sz w:val="24"/>
          <w:szCs w:val="24"/>
        </w:rPr>
        <w:t>20%</w:t>
      </w:r>
      <w:r w:rsidRPr="00210D77">
        <w:rPr>
          <w:rFonts w:hAnsi="宋体" w:hint="eastAsia"/>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66AAF5D" w14:textId="77777777" w:rsidR="00F57F86" w:rsidRPr="00F57F86" w:rsidRDefault="00F57F86" w:rsidP="00F57F86">
      <w:pPr>
        <w:adjustRightInd w:val="0"/>
        <w:snapToGrid w:val="0"/>
        <w:spacing w:line="360" w:lineRule="auto"/>
        <w:ind w:firstLineChars="200" w:firstLine="480"/>
        <w:rPr>
          <w:rFonts w:hAnsi="宋体"/>
          <w:sz w:val="24"/>
          <w:szCs w:val="24"/>
        </w:rPr>
      </w:pPr>
      <w:r w:rsidRPr="00F57F86">
        <w:rPr>
          <w:rFonts w:hAnsi="宋体" w:hint="eastAsia"/>
          <w:sz w:val="24"/>
          <w:szCs w:val="24"/>
        </w:rPr>
        <w:t>对于基金份额持有人未超过上述比例的部分，基金管理人可以根据前述“（</w:t>
      </w:r>
      <w:r w:rsidRPr="00F57F86">
        <w:rPr>
          <w:rFonts w:hAnsi="宋体" w:hint="eastAsia"/>
          <w:sz w:val="24"/>
          <w:szCs w:val="24"/>
        </w:rPr>
        <w:t>1</w:t>
      </w:r>
      <w:r w:rsidRPr="00F57F86">
        <w:rPr>
          <w:rFonts w:hAnsi="宋体" w:hint="eastAsia"/>
          <w:sz w:val="24"/>
          <w:szCs w:val="24"/>
        </w:rPr>
        <w:t>）全额赎回”或“（</w:t>
      </w:r>
      <w:r w:rsidRPr="00F57F86">
        <w:rPr>
          <w:rFonts w:hAnsi="宋体" w:hint="eastAsia"/>
          <w:sz w:val="24"/>
          <w:szCs w:val="24"/>
        </w:rPr>
        <w:t>2</w:t>
      </w:r>
      <w:r w:rsidRPr="00F57F86">
        <w:rPr>
          <w:rFonts w:hAnsi="宋体" w:hint="eastAsia"/>
          <w:sz w:val="24"/>
          <w:szCs w:val="24"/>
        </w:rPr>
        <w:t>）延缓支付赎回款项”的约定方式与其他基金份额持有人的赎回申请一并办理。</w:t>
      </w:r>
    </w:p>
    <w:p w14:paraId="5647F2B9" w14:textId="2D160D6F" w:rsidR="0004536B" w:rsidRPr="00210D77" w:rsidRDefault="00F57F86" w:rsidP="00210D77">
      <w:pPr>
        <w:adjustRightInd w:val="0"/>
        <w:snapToGrid w:val="0"/>
        <w:spacing w:line="360" w:lineRule="auto"/>
        <w:ind w:firstLineChars="200" w:firstLine="480"/>
        <w:rPr>
          <w:rFonts w:hAnsi="宋体"/>
          <w:sz w:val="24"/>
          <w:szCs w:val="24"/>
        </w:rPr>
      </w:pPr>
      <w:r w:rsidRPr="00F57F86">
        <w:rPr>
          <w:rFonts w:hAnsi="宋体" w:hint="eastAsia"/>
          <w:sz w:val="24"/>
          <w:szCs w:val="24"/>
        </w:rPr>
        <w:t>如延期办理期限超过开放期的，开放期相应延长，延长的开放期内不办理申购，亦不接受新的赎回申请，即基金管理人仅为原开放期内因提交赎回申请超过基金总份额</w:t>
      </w:r>
      <w:r w:rsidRPr="00F57F86">
        <w:rPr>
          <w:rFonts w:hAnsi="宋体" w:hint="eastAsia"/>
          <w:sz w:val="24"/>
          <w:szCs w:val="24"/>
        </w:rPr>
        <w:t>20%</w:t>
      </w:r>
      <w:r w:rsidRPr="00F57F86">
        <w:rPr>
          <w:rFonts w:hAnsi="宋体" w:hint="eastAsia"/>
          <w:sz w:val="24"/>
          <w:szCs w:val="24"/>
        </w:rPr>
        <w:t>以上而被延期办理赎回的单个基金份额持有人办理赎回业务。</w:t>
      </w:r>
    </w:p>
    <w:p w14:paraId="213777BA"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4</w:t>
      </w:r>
      <w:r w:rsidRPr="00210D77">
        <w:rPr>
          <w:rFonts w:hAnsi="宋体" w:hint="eastAsia"/>
          <w:sz w:val="24"/>
          <w:szCs w:val="24"/>
        </w:rPr>
        <w:t>、实施备用的流动性风险管理工具的情形、程序及对投资者的潜在影响</w:t>
      </w:r>
    </w:p>
    <w:p w14:paraId="67F8F036"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本基金在面临大规模赎回的情况下有可能因为无法变现造成流动性风险。</w:t>
      </w:r>
    </w:p>
    <w:p w14:paraId="5424390F"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如果出现流动性风险，基金管理人经与基金托管人协商，在确保投资者得到公平对待的前提下，可实施备用的流动性风险管理工具，包括但不限于延期办理巨额</w:t>
      </w:r>
      <w:r w:rsidRPr="00210D77">
        <w:rPr>
          <w:rFonts w:hAnsi="宋体" w:hint="eastAsia"/>
          <w:sz w:val="24"/>
          <w:szCs w:val="24"/>
        </w:rPr>
        <w:lastRenderedPageBreak/>
        <w:t>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CADCE71"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02D57E4D" w14:textId="77777777" w:rsidR="0004536B" w:rsidRDefault="003574EC" w:rsidP="00210D77">
      <w:pPr>
        <w:adjustRightInd w:val="0"/>
        <w:snapToGrid w:val="0"/>
        <w:spacing w:line="360" w:lineRule="auto"/>
        <w:ind w:firstLineChars="200" w:firstLine="480"/>
        <w:rPr>
          <w:rFonts w:hAnsi="宋体"/>
          <w:kern w:val="0"/>
          <w:sz w:val="24"/>
          <w:szCs w:val="24"/>
        </w:rPr>
      </w:pPr>
      <w:r w:rsidRPr="00210D77">
        <w:rPr>
          <w:rFonts w:hAnsi="宋体" w:hint="eastAsia"/>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w:t>
      </w:r>
      <w:r>
        <w:rPr>
          <w:rFonts w:hAnsi="宋体" w:hint="eastAsia"/>
          <w:kern w:val="0"/>
          <w:sz w:val="24"/>
          <w:szCs w:val="24"/>
        </w:rPr>
        <w:t>人不承担任何保证和承诺的责任。</w:t>
      </w:r>
    </w:p>
    <w:p w14:paraId="535AFAC2"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基金管理人将根据主袋账户运作情况合理确定申购政策，因此实施侧袋机制后主袋账户份额存在暂停申购的可能。</w:t>
      </w:r>
    </w:p>
    <w:p w14:paraId="6452B374"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53BB44D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（四）信用风险</w:t>
      </w:r>
    </w:p>
    <w:p w14:paraId="524D459F"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14:paraId="7974CA3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（五）本基金的</w:t>
      </w:r>
      <w:r w:rsidRPr="00E917F4">
        <w:rPr>
          <w:rFonts w:hAnsi="宋体" w:hint="eastAsia"/>
          <w:b/>
          <w:sz w:val="24"/>
        </w:rPr>
        <w:t>特有</w:t>
      </w:r>
      <w:r w:rsidRPr="00E917F4">
        <w:rPr>
          <w:rFonts w:hAnsi="宋体"/>
          <w:b/>
          <w:sz w:val="24"/>
        </w:rPr>
        <w:t>风险</w:t>
      </w:r>
    </w:p>
    <w:p w14:paraId="107E779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本基金属于混合型基金，</w:t>
      </w:r>
      <w:r>
        <w:rPr>
          <w:rFonts w:hAnsi="宋体" w:hint="eastAsia"/>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w:t>
      </w:r>
      <w:r>
        <w:rPr>
          <w:rFonts w:hAnsi="宋体" w:hint="eastAsia"/>
          <w:kern w:val="0"/>
          <w:sz w:val="24"/>
          <w:szCs w:val="24"/>
        </w:rPr>
        <w:lastRenderedPageBreak/>
        <w:t>例时，可能由于基金经理的预判与市场的实际表现存在较大差异，出现资产配置不合理的风险，从而对基金收益造成不利影响。</w:t>
      </w:r>
    </w:p>
    <w:p w14:paraId="5EBE02EA"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2F23A844" w14:textId="3942CA67" w:rsidR="00CD74C0" w:rsidRDefault="00CD74C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CD74C0">
        <w:rPr>
          <w:rFonts w:hAnsi="宋体" w:hint="eastAsia"/>
          <w:kern w:val="0"/>
          <w:sz w:val="24"/>
          <w:szCs w:val="24"/>
        </w:rPr>
        <w:t>本基金面临特定运作方式的风险：本基金以封闭期和开放期滚动的方式运作，投资者需在开放期提出申购、赎回申请，每个开放期</w:t>
      </w:r>
      <w:r w:rsidR="00D03416" w:rsidRPr="009B134A">
        <w:rPr>
          <w:rFonts w:hint="eastAsia"/>
          <w:bCs/>
          <w:sz w:val="24"/>
        </w:rPr>
        <w:t>不少于</w:t>
      </w:r>
      <w:r w:rsidR="00D03416" w:rsidRPr="009B134A">
        <w:rPr>
          <w:rFonts w:hint="eastAsia"/>
          <w:bCs/>
          <w:sz w:val="24"/>
        </w:rPr>
        <w:t>5</w:t>
      </w:r>
      <w:r w:rsidR="00D03416" w:rsidRPr="009B134A">
        <w:rPr>
          <w:rFonts w:hint="eastAsia"/>
          <w:bCs/>
          <w:sz w:val="24"/>
        </w:rPr>
        <w:t>个工作日并且最长不超过</w:t>
      </w:r>
      <w:r w:rsidR="00D03416" w:rsidRPr="009B134A">
        <w:rPr>
          <w:rFonts w:hint="eastAsia"/>
          <w:bCs/>
          <w:sz w:val="24"/>
        </w:rPr>
        <w:t>20</w:t>
      </w:r>
      <w:r w:rsidR="00D03416" w:rsidRPr="009B134A">
        <w:rPr>
          <w:rFonts w:hint="eastAsia"/>
          <w:bCs/>
          <w:sz w:val="24"/>
        </w:rPr>
        <w:t>个工作日</w:t>
      </w:r>
      <w:r w:rsidRPr="00CD74C0">
        <w:rPr>
          <w:rFonts w:hAnsi="宋体" w:hint="eastAsia"/>
          <w:kern w:val="0"/>
          <w:sz w:val="24"/>
          <w:szCs w:val="24"/>
        </w:rPr>
        <w:t>。在非开放期间将无法按照基金份额净值进行申购和赎回。基金份额持有人面临封闭期内无法赎回的风险。</w:t>
      </w:r>
    </w:p>
    <w:p w14:paraId="3B674E3F" w14:textId="6BF0088B" w:rsidR="00120965" w:rsidRPr="00120965" w:rsidRDefault="00120965" w:rsidP="0012096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w:t>
      </w:r>
      <w:r w:rsidRPr="00120965">
        <w:rPr>
          <w:rFonts w:hAnsi="宋体" w:hint="eastAsia"/>
          <w:kern w:val="0"/>
          <w:sz w:val="24"/>
          <w:szCs w:val="24"/>
        </w:rPr>
        <w:t>本基金暂停运作的风险</w:t>
      </w:r>
    </w:p>
    <w:p w14:paraId="05318C20" w14:textId="7777777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基金合同生效后的存续期内，出现以下情况的，本基金可以暂停基金的运作，且无须召开基金份额持有人大会：</w:t>
      </w:r>
    </w:p>
    <w:p w14:paraId="58D954CE" w14:textId="7777777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w:t>
      </w:r>
      <w:r w:rsidRPr="00120965">
        <w:rPr>
          <w:rFonts w:hAnsi="宋体" w:hint="eastAsia"/>
          <w:kern w:val="0"/>
          <w:sz w:val="24"/>
          <w:szCs w:val="24"/>
        </w:rPr>
        <w:t>1</w:t>
      </w:r>
      <w:r w:rsidRPr="00120965">
        <w:rPr>
          <w:rFonts w:hAnsi="宋体" w:hint="eastAsia"/>
          <w:kern w:val="0"/>
          <w:sz w:val="24"/>
          <w:szCs w:val="24"/>
        </w:rPr>
        <w:t>）每个封闭期到期前，基金管理人有权根据市场情况、基金的投资策略等决定是否进入开放期，具体安排以基金管理人公告为准。基金管理人决定暂停进入下一开放期的，基金将在封闭期结束之日的下一个工作日将全部基金份额自动赎回。若存在未变现的资产，登记机构将于该部分资产变现完成后，将对应款项按该封闭期最后一日基金份额持有人持有的基金份额比例分配给全体基金份额持有人，单位基金份额所分配的资产金额按照资产变现完成后的净额进行计算，单位基金份额对应的总到账款项可能与封闭期到期日基金份额净值不一致。封闭期结束后，基金暂不开放申购、转换转入等相关业务。</w:t>
      </w:r>
    </w:p>
    <w:p w14:paraId="249750FC" w14:textId="7777777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同时，为避免基金份额持有人利益因基金份额净值的小数点保留精度受到不利影响，基金管理人可提高该封闭期结束之日的下一个工作日的基金份额净值的精度。</w:t>
      </w:r>
    </w:p>
    <w:p w14:paraId="5C0A8779" w14:textId="7777777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w:t>
      </w:r>
      <w:r w:rsidRPr="00120965">
        <w:rPr>
          <w:rFonts w:hAnsi="宋体" w:hint="eastAsia"/>
          <w:kern w:val="0"/>
          <w:sz w:val="24"/>
          <w:szCs w:val="24"/>
        </w:rPr>
        <w:t>2</w:t>
      </w:r>
      <w:r w:rsidRPr="00120965">
        <w:rPr>
          <w:rFonts w:hAnsi="宋体" w:hint="eastAsia"/>
          <w:kern w:val="0"/>
          <w:sz w:val="24"/>
          <w:szCs w:val="24"/>
        </w:rPr>
        <w:t>）开放期最后一日日终，如果基金的基金资产净值加上基金开放期最后一日交易申请确认的申购确认金额及转换转入确认金额，扣除赎回确认金额及转换转出确认金额后的余额低于</w:t>
      </w:r>
      <w:r w:rsidRPr="00120965">
        <w:rPr>
          <w:rFonts w:hAnsi="宋体" w:hint="eastAsia"/>
          <w:kern w:val="0"/>
          <w:sz w:val="24"/>
          <w:szCs w:val="24"/>
        </w:rPr>
        <w:t>5000</w:t>
      </w:r>
      <w:r w:rsidRPr="00120965">
        <w:rPr>
          <w:rFonts w:hAnsi="宋体" w:hint="eastAsia"/>
          <w:kern w:val="0"/>
          <w:sz w:val="24"/>
          <w:szCs w:val="24"/>
        </w:rPr>
        <w:t>万元或基金份额持有人数量不满</w:t>
      </w:r>
      <w:r w:rsidRPr="00120965">
        <w:rPr>
          <w:rFonts w:hAnsi="宋体" w:hint="eastAsia"/>
          <w:kern w:val="0"/>
          <w:sz w:val="24"/>
          <w:szCs w:val="24"/>
        </w:rPr>
        <w:t>200</w:t>
      </w:r>
      <w:r w:rsidRPr="00120965">
        <w:rPr>
          <w:rFonts w:hAnsi="宋体" w:hint="eastAsia"/>
          <w:kern w:val="0"/>
          <w:sz w:val="24"/>
          <w:szCs w:val="24"/>
        </w:rPr>
        <w:t>人的，基金管理人有权决定是否进入下一封闭期，具体安排以基金管理人公告为准。基金管理人决定暂停进入下一封闭期的，投资人未确认的申购申请对应的已缴纳申购款项将全部退回；对于当日日终留存的基金份额，将全部自动赎回。</w:t>
      </w:r>
    </w:p>
    <w:p w14:paraId="1AFC0214" w14:textId="7777777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lastRenderedPageBreak/>
        <w:t>同时，为避免基金份额持有人利益因基金份额净值的小数点保留精度受到不利影响，基金管理人可提高该开放期最后一日的基金份额净值的精度。</w:t>
      </w:r>
    </w:p>
    <w:p w14:paraId="50E879EE" w14:textId="7777777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w:t>
      </w:r>
      <w:r w:rsidRPr="00120965">
        <w:rPr>
          <w:rFonts w:hAnsi="宋体" w:hint="eastAsia"/>
          <w:kern w:val="0"/>
          <w:sz w:val="24"/>
          <w:szCs w:val="24"/>
        </w:rPr>
        <w:t>3</w:t>
      </w:r>
      <w:r w:rsidRPr="00120965">
        <w:rPr>
          <w:rFonts w:hAnsi="宋体" w:hint="eastAsia"/>
          <w:kern w:val="0"/>
          <w:sz w:val="24"/>
          <w:szCs w:val="24"/>
        </w:rPr>
        <w:t>）暂停运作期间，基金管理人与基金托管人协商一致，可以决定终止基金合同，报中国证监会备案并公告，无须召开基金份额持有人大会。</w:t>
      </w:r>
    </w:p>
    <w:p w14:paraId="019A6FF0" w14:textId="7777777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5</w:t>
      </w:r>
      <w:r w:rsidRPr="00120965">
        <w:rPr>
          <w:rFonts w:hAnsi="宋体" w:hint="eastAsia"/>
          <w:kern w:val="0"/>
          <w:sz w:val="24"/>
          <w:szCs w:val="24"/>
        </w:rPr>
        <w:t>、浮动管理费模式相关风险</w:t>
      </w:r>
    </w:p>
    <w:p w14:paraId="1CC500D0" w14:textId="7777777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w:t>
      </w:r>
      <w:r w:rsidRPr="00120965">
        <w:rPr>
          <w:rFonts w:hAnsi="宋体" w:hint="eastAsia"/>
          <w:kern w:val="0"/>
          <w:sz w:val="24"/>
          <w:szCs w:val="24"/>
        </w:rPr>
        <w:t>1</w:t>
      </w:r>
      <w:r w:rsidRPr="00120965">
        <w:rPr>
          <w:rFonts w:hAnsi="宋体" w:hint="eastAsia"/>
          <w:kern w:val="0"/>
          <w:sz w:val="24"/>
          <w:szCs w:val="24"/>
        </w:rPr>
        <w:t>）本基金的基金管理费由基础管理费和业绩报酬两部分组成，而基础管理费、业绩报酬取决于基金封闭期内净值增长情况及年化收益率情况，因此投资者在认</w:t>
      </w:r>
      <w:r w:rsidRPr="00120965">
        <w:rPr>
          <w:rFonts w:hAnsi="宋体" w:hint="eastAsia"/>
          <w:kern w:val="0"/>
          <w:sz w:val="24"/>
          <w:szCs w:val="24"/>
        </w:rPr>
        <w:t>/</w:t>
      </w:r>
      <w:r w:rsidRPr="00120965">
        <w:rPr>
          <w:rFonts w:hAnsi="宋体" w:hint="eastAsia"/>
          <w:kern w:val="0"/>
          <w:sz w:val="24"/>
          <w:szCs w:val="24"/>
        </w:rPr>
        <w:t>申购本基金时无法预先确定本基金的整体管理费水平。</w:t>
      </w:r>
    </w:p>
    <w:p w14:paraId="4CBCEF00" w14:textId="2381C727"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w:t>
      </w:r>
      <w:r w:rsidRPr="00120965">
        <w:rPr>
          <w:rFonts w:hAnsi="宋体" w:hint="eastAsia"/>
          <w:kern w:val="0"/>
          <w:sz w:val="24"/>
          <w:szCs w:val="24"/>
        </w:rPr>
        <w:t>2</w:t>
      </w:r>
      <w:r w:rsidRPr="00120965">
        <w:rPr>
          <w:rFonts w:hAnsi="宋体" w:hint="eastAsia"/>
          <w:kern w:val="0"/>
          <w:sz w:val="24"/>
          <w:szCs w:val="24"/>
        </w:rPr>
        <w:t>）本基金公布的基金份额净值中，为按</w:t>
      </w:r>
      <w:r w:rsidRPr="00120965">
        <w:rPr>
          <w:rFonts w:hAnsi="宋体" w:hint="eastAsia"/>
          <w:kern w:val="0"/>
          <w:sz w:val="24"/>
          <w:szCs w:val="24"/>
        </w:rPr>
        <w:t>1.</w:t>
      </w:r>
      <w:r w:rsidR="00576572">
        <w:rPr>
          <w:rFonts w:hAnsi="宋体"/>
          <w:kern w:val="0"/>
          <w:sz w:val="24"/>
          <w:szCs w:val="24"/>
        </w:rPr>
        <w:t>0</w:t>
      </w:r>
      <w:r w:rsidRPr="00120965">
        <w:rPr>
          <w:rFonts w:hAnsi="宋体" w:hint="eastAsia"/>
          <w:kern w:val="0"/>
          <w:sz w:val="24"/>
          <w:szCs w:val="24"/>
        </w:rPr>
        <w:t>%/</w:t>
      </w:r>
      <w:r w:rsidRPr="00120965">
        <w:rPr>
          <w:rFonts w:hAnsi="宋体" w:hint="eastAsia"/>
          <w:kern w:val="0"/>
          <w:sz w:val="24"/>
          <w:szCs w:val="24"/>
        </w:rPr>
        <w:t>年收取管理费的净值。本基金封闭期内（封闭期最后一天除外）披露的基金份额净值为已扣除或有管理费但未扣除基金管理人业绩报酬前的基金份额净值，可能因为封闭期最后一天或有管理费划归基金资产或计提业绩报酬导致基金份额净值发生波动。投资者投资者实际可得的份额净值可能与披露净值不同。投资者实际赎回金额，以登记机构确认数据为准。</w:t>
      </w:r>
    </w:p>
    <w:p w14:paraId="0729A443" w14:textId="3704A376" w:rsidR="00120965" w:rsidRPr="00120965"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hint="eastAsia"/>
          <w:kern w:val="0"/>
          <w:sz w:val="24"/>
          <w:szCs w:val="24"/>
        </w:rPr>
        <w:t>（</w:t>
      </w:r>
      <w:r w:rsidRPr="00120965">
        <w:rPr>
          <w:rFonts w:hAnsi="宋体" w:hint="eastAsia"/>
          <w:kern w:val="0"/>
          <w:sz w:val="24"/>
          <w:szCs w:val="24"/>
        </w:rPr>
        <w:t>3</w:t>
      </w:r>
      <w:r w:rsidRPr="00120965">
        <w:rPr>
          <w:rFonts w:hAnsi="宋体" w:hint="eastAsia"/>
          <w:kern w:val="0"/>
          <w:sz w:val="24"/>
          <w:szCs w:val="24"/>
        </w:rPr>
        <w:t>）虽然本基金采用浮动管理费加提取业绩报酬的模式，但这并不代表基金的收益保证，即封闭期到期时，存在年化收益率低于</w:t>
      </w:r>
      <w:r w:rsidRPr="00120965">
        <w:rPr>
          <w:rFonts w:hAnsi="宋体" w:hint="eastAsia"/>
          <w:kern w:val="0"/>
          <w:sz w:val="24"/>
          <w:szCs w:val="24"/>
        </w:rPr>
        <w:t>8%</w:t>
      </w:r>
      <w:r w:rsidRPr="00120965">
        <w:rPr>
          <w:rFonts w:hAnsi="宋体" w:hint="eastAsia"/>
          <w:kern w:val="0"/>
          <w:sz w:val="24"/>
          <w:szCs w:val="24"/>
        </w:rPr>
        <w:t>甚至为负的可能性</w:t>
      </w:r>
      <w:r w:rsidR="007428FF">
        <w:rPr>
          <w:rFonts w:hAnsi="宋体" w:hint="eastAsia"/>
          <w:kern w:val="0"/>
          <w:sz w:val="24"/>
          <w:szCs w:val="24"/>
        </w:rPr>
        <w:t>。</w:t>
      </w:r>
    </w:p>
    <w:p w14:paraId="15DC82D5" w14:textId="1DDAB162" w:rsidR="00642869" w:rsidRDefault="00120965" w:rsidP="00120965">
      <w:pPr>
        <w:widowControl/>
        <w:adjustRightInd w:val="0"/>
        <w:snapToGrid w:val="0"/>
        <w:spacing w:line="360" w:lineRule="auto"/>
        <w:ind w:firstLineChars="200" w:firstLine="480"/>
        <w:rPr>
          <w:rFonts w:hAnsi="宋体"/>
          <w:kern w:val="0"/>
          <w:sz w:val="24"/>
          <w:szCs w:val="24"/>
        </w:rPr>
      </w:pPr>
      <w:r w:rsidRPr="00120965">
        <w:rPr>
          <w:rFonts w:hAnsi="宋体"/>
          <w:kern w:val="0"/>
          <w:sz w:val="24"/>
          <w:szCs w:val="24"/>
        </w:rPr>
        <w:t>6</w:t>
      </w:r>
      <w:r>
        <w:rPr>
          <w:rFonts w:hAnsi="宋体" w:hint="eastAsia"/>
          <w:kern w:val="0"/>
          <w:sz w:val="24"/>
          <w:szCs w:val="24"/>
        </w:rPr>
        <w:t>、</w:t>
      </w:r>
      <w:r w:rsidR="003574EC">
        <w:rPr>
          <w:rFonts w:hAnsi="宋体" w:hint="eastAsia"/>
          <w:kern w:val="0"/>
          <w:sz w:val="24"/>
          <w:szCs w:val="24"/>
        </w:rPr>
        <w:t>本基金可投资创业板股票，创业板个股上市后的前五个交易日不设价格涨跌幅限制，第六个交易日开始涨跌幅限制比例为</w:t>
      </w:r>
      <w:r w:rsidR="003574EC">
        <w:rPr>
          <w:rFonts w:hAnsi="宋体" w:hint="eastAsia"/>
          <w:kern w:val="0"/>
          <w:sz w:val="24"/>
          <w:szCs w:val="24"/>
        </w:rPr>
        <w:t>20%</w:t>
      </w:r>
      <w:r w:rsidR="003574EC">
        <w:rPr>
          <w:rFonts w:hAnsi="宋体" w:hint="eastAsia"/>
          <w:kern w:val="0"/>
          <w:sz w:val="24"/>
          <w:szCs w:val="24"/>
        </w:rPr>
        <w:t>。</w:t>
      </w:r>
    </w:p>
    <w:p w14:paraId="0A4C5448" w14:textId="77777777" w:rsidR="0004536B" w:rsidRPr="00E917F4" w:rsidRDefault="003574EC" w:rsidP="002B4F78">
      <w:pPr>
        <w:pStyle w:val="a0"/>
        <w:autoSpaceDE w:val="0"/>
        <w:autoSpaceDN w:val="0"/>
        <w:adjustRightInd w:val="0"/>
        <w:snapToGrid w:val="0"/>
        <w:spacing w:line="360" w:lineRule="auto"/>
        <w:ind w:firstLine="482"/>
        <w:rPr>
          <w:rFonts w:hAnsi="宋体"/>
          <w:b/>
          <w:sz w:val="24"/>
        </w:rPr>
      </w:pPr>
      <w:r w:rsidRPr="00E917F4">
        <w:rPr>
          <w:rFonts w:hAnsi="宋体"/>
          <w:b/>
          <w:sz w:val="24"/>
        </w:rPr>
        <w:t>（</w:t>
      </w:r>
      <w:r w:rsidRPr="00E917F4">
        <w:rPr>
          <w:rFonts w:hAnsi="宋体" w:hint="eastAsia"/>
          <w:b/>
          <w:sz w:val="24"/>
        </w:rPr>
        <w:t>六</w:t>
      </w:r>
      <w:r w:rsidRPr="00E917F4">
        <w:rPr>
          <w:rFonts w:hAnsi="宋体"/>
          <w:b/>
          <w:sz w:val="24"/>
        </w:rPr>
        <w:t>）投资股指期货的特定风险</w:t>
      </w:r>
    </w:p>
    <w:p w14:paraId="2D49F499"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09394C08"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14:paraId="76267617"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14:paraId="3C8D507C"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14556FE7"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lastRenderedPageBreak/>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14:paraId="2CB2B601"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14:paraId="5EFD09F8"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14:paraId="2C74657B" w14:textId="77777777" w:rsidR="0004536B" w:rsidRDefault="003574EC">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14:paraId="0865F93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w:t>
      </w:r>
      <w:r w:rsidRPr="00E917F4">
        <w:rPr>
          <w:rFonts w:hAnsi="宋体" w:hint="eastAsia"/>
          <w:b/>
          <w:sz w:val="24"/>
        </w:rPr>
        <w:t>七</w:t>
      </w:r>
      <w:r w:rsidRPr="00E917F4">
        <w:rPr>
          <w:rFonts w:hAnsi="宋体"/>
          <w:b/>
          <w:sz w:val="24"/>
        </w:rPr>
        <w:t>）投资</w:t>
      </w:r>
      <w:r w:rsidRPr="00E917F4">
        <w:rPr>
          <w:rFonts w:hAnsi="宋体" w:hint="eastAsia"/>
          <w:b/>
          <w:sz w:val="24"/>
        </w:rPr>
        <w:t>资产支持证券</w:t>
      </w:r>
      <w:r w:rsidRPr="00E917F4">
        <w:rPr>
          <w:rFonts w:hAnsi="宋体"/>
          <w:b/>
          <w:sz w:val="24"/>
        </w:rPr>
        <w:t>的特定风险</w:t>
      </w:r>
    </w:p>
    <w:p w14:paraId="4B16DBDE"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6FDBD8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（八）投资流通受限证券的特定风险</w:t>
      </w:r>
    </w:p>
    <w:p w14:paraId="0F5C8A69"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6C36919E"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（九）投资港股通标的股票的特定风险</w:t>
      </w:r>
    </w:p>
    <w:p w14:paraId="047D5270"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本基金可投资港股通标的股票，会面临港股通机制下因投资环境、投资标的、市场制度以及交易规则等差异带来的特有风险，具体如下：</w:t>
      </w:r>
    </w:p>
    <w:p w14:paraId="56D045DD"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14:paraId="0F150B73"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3564FE4A"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14:paraId="7E7C299B"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w:t>
      </w:r>
      <w:r>
        <w:rPr>
          <w:rFonts w:hAnsi="宋体" w:hint="eastAsia"/>
          <w:kern w:val="0"/>
          <w:sz w:val="24"/>
          <w:szCs w:val="24"/>
        </w:rPr>
        <w:lastRenderedPageBreak/>
        <w:t>算有限责任公司进行净额换汇，将换汇成本按成交金额分摊至每笔交易，确定交易实际适用的结算汇率。</w:t>
      </w:r>
    </w:p>
    <w:p w14:paraId="7C551F82"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68A6B656"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）境外市场的风险</w:t>
      </w:r>
    </w:p>
    <w:p w14:paraId="5EADE1AC"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4FB77AEB"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）香港市场交易规则有别于内地</w:t>
      </w:r>
      <w:r>
        <w:rPr>
          <w:rFonts w:hAnsi="宋体" w:hint="eastAsia"/>
          <w:kern w:val="0"/>
          <w:sz w:val="24"/>
          <w:szCs w:val="24"/>
        </w:rPr>
        <w:t>A</w:t>
      </w:r>
      <w:r>
        <w:rPr>
          <w:rFonts w:hAnsi="宋体" w:hint="eastAsia"/>
          <w:kern w:val="0"/>
          <w:sz w:val="24"/>
          <w:szCs w:val="24"/>
        </w:rPr>
        <w:t>股市场规则，此外，在“内地与香港股票市场交易互联互通机制”下参与香港股票投资还将面临包括但不限于如下特殊风险：</w:t>
      </w:r>
    </w:p>
    <w:p w14:paraId="4CF377BD"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T+0</w:t>
      </w:r>
      <w:r>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Pr>
          <w:rFonts w:hAnsi="宋体" w:hint="eastAsia"/>
          <w:kern w:val="0"/>
          <w:sz w:val="24"/>
          <w:szCs w:val="24"/>
        </w:rPr>
        <w:t>A</w:t>
      </w:r>
      <w:r>
        <w:rPr>
          <w:rFonts w:hAnsi="宋体" w:hint="eastAsia"/>
          <w:kern w:val="0"/>
          <w:sz w:val="24"/>
          <w:szCs w:val="24"/>
        </w:rPr>
        <w:t>股更为剧烈的股价波动；</w:t>
      </w:r>
    </w:p>
    <w:p w14:paraId="33457CDB"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b</w:t>
      </w:r>
      <w:r>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BD3A651"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51A03336"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d</w:t>
      </w:r>
      <w:r>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09D98AE4"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79B2125C"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3F7742D7"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14:paraId="5D4C0FD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（十）投资存托凭证的特定风险</w:t>
      </w:r>
    </w:p>
    <w:p w14:paraId="4A088DDC" w14:textId="77777777" w:rsidR="0004536B" w:rsidRDefault="003574EC">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45371A32" w14:textId="77777777" w:rsidR="0004536B" w:rsidRDefault="003574EC">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DF4D1DE" w14:textId="77777777" w:rsidR="0004536B" w:rsidRDefault="003574EC">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lastRenderedPageBreak/>
        <w:t>本基金可根据投资策略需要或市场环境的变化，选择将部分基金资产投资于存托凭证或选择不将基金资产投资于存托凭证，基金资产并非必然投资存托凭证。</w:t>
      </w:r>
    </w:p>
    <w:p w14:paraId="64242C74"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（十一）投资科创板股票的特定风险</w:t>
      </w:r>
    </w:p>
    <w:p w14:paraId="5ACA5341" w14:textId="77777777" w:rsidR="0004536B" w:rsidRDefault="003574EC">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EE8BAC8"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sz w:val="24"/>
          <w:szCs w:val="24"/>
        </w:rPr>
        <w:t>1</w:t>
      </w:r>
      <w:r w:rsidRPr="00210D77">
        <w:rPr>
          <w:rFonts w:hAnsi="宋体"/>
          <w:sz w:val="24"/>
          <w:szCs w:val="24"/>
        </w:rPr>
        <w:t>）市场风险</w:t>
      </w:r>
    </w:p>
    <w:p w14:paraId="61526026"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303F7550"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科创板个股上市前五日无涨跌停限制，第六日开始涨跌幅限制在正负</w:t>
      </w:r>
      <w:r w:rsidRPr="00210D77">
        <w:rPr>
          <w:rFonts w:hAnsi="宋体"/>
          <w:sz w:val="24"/>
          <w:szCs w:val="24"/>
        </w:rPr>
        <w:t>20%</w:t>
      </w:r>
      <w:r w:rsidRPr="00210D77">
        <w:rPr>
          <w:rFonts w:hAnsi="宋体"/>
          <w:sz w:val="24"/>
          <w:szCs w:val="24"/>
        </w:rPr>
        <w:t>以内，个股波动幅度较其他股票加大，市场风险随之上升。</w:t>
      </w:r>
    </w:p>
    <w:p w14:paraId="0D8439EF"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sz w:val="24"/>
          <w:szCs w:val="24"/>
        </w:rPr>
        <w:t>2</w:t>
      </w:r>
      <w:r w:rsidRPr="00210D77">
        <w:rPr>
          <w:rFonts w:hAnsi="宋体"/>
          <w:sz w:val="24"/>
          <w:szCs w:val="24"/>
        </w:rPr>
        <w:t>）流动性风险</w:t>
      </w:r>
    </w:p>
    <w:p w14:paraId="24AF3E52"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科创板整体投资门槛较高，个人投资者必须满足交易满两年并且资金在</w:t>
      </w:r>
      <w:r w:rsidRPr="00210D77">
        <w:rPr>
          <w:rFonts w:hAnsi="宋体"/>
          <w:sz w:val="24"/>
          <w:szCs w:val="24"/>
        </w:rPr>
        <w:t>50</w:t>
      </w:r>
      <w:r w:rsidRPr="00210D77">
        <w:rPr>
          <w:rFonts w:hAnsi="宋体"/>
          <w:sz w:val="24"/>
          <w:szCs w:val="24"/>
        </w:rPr>
        <w:t>万以上才可参与，二级市场上个人投资者参与度相对较低，机构持有个股大量流通盘导致个股流动性较差，基金组合存在无法及时变现及其他相关流动性风险。</w:t>
      </w:r>
    </w:p>
    <w:p w14:paraId="71F6A7FA"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sz w:val="24"/>
          <w:szCs w:val="24"/>
        </w:rPr>
        <w:t>3</w:t>
      </w:r>
      <w:r w:rsidRPr="00210D77">
        <w:rPr>
          <w:rFonts w:hAnsi="宋体"/>
          <w:sz w:val="24"/>
          <w:szCs w:val="24"/>
        </w:rPr>
        <w:t>）退市风险</w:t>
      </w:r>
    </w:p>
    <w:p w14:paraId="1E971A02"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5CD7FB1"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sz w:val="24"/>
          <w:szCs w:val="24"/>
        </w:rPr>
        <w:t>4</w:t>
      </w:r>
      <w:r w:rsidRPr="00210D77">
        <w:rPr>
          <w:rFonts w:hAnsi="宋体"/>
          <w:sz w:val="24"/>
          <w:szCs w:val="24"/>
        </w:rPr>
        <w:t>）集中度风险</w:t>
      </w:r>
    </w:p>
    <w:p w14:paraId="57A86F48"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科创板为新设板块，初期可投标的较少，投资者容易集中投资于少量个股，市场可能存在高集中度状况，整体存在集中度风险。</w:t>
      </w:r>
    </w:p>
    <w:p w14:paraId="73C21005"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lastRenderedPageBreak/>
        <w:t>（</w:t>
      </w:r>
      <w:r w:rsidRPr="00210D77">
        <w:rPr>
          <w:rFonts w:hAnsi="宋体"/>
          <w:sz w:val="24"/>
          <w:szCs w:val="24"/>
        </w:rPr>
        <w:t>5</w:t>
      </w:r>
      <w:r w:rsidRPr="00210D77">
        <w:rPr>
          <w:rFonts w:hAnsi="宋体"/>
          <w:sz w:val="24"/>
          <w:szCs w:val="24"/>
        </w:rPr>
        <w:t>）系统性风险</w:t>
      </w:r>
    </w:p>
    <w:p w14:paraId="76ED7B1C"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科创板企业均为市场认可度较高的科技创新企业，在企业经营及盈利模式上存在趋同，所以科创板个股相关性较高，市场表现不佳时，系统性风险将更为显著。</w:t>
      </w:r>
    </w:p>
    <w:p w14:paraId="0F98E593"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sz w:val="24"/>
          <w:szCs w:val="24"/>
        </w:rPr>
        <w:t>6</w:t>
      </w:r>
      <w:r w:rsidRPr="00210D77">
        <w:rPr>
          <w:rFonts w:hAnsi="宋体"/>
          <w:sz w:val="24"/>
          <w:szCs w:val="24"/>
        </w:rPr>
        <w:t>）政策风险</w:t>
      </w:r>
    </w:p>
    <w:p w14:paraId="77ABEA60" w14:textId="77777777"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国家对高新技术产业扶持力度及重视程度的变化会对科创板企业带来较大影响，国际经济形势变化对战略新兴产业及科创板个股也会带来政策影响。</w:t>
      </w:r>
    </w:p>
    <w:p w14:paraId="194B6B00"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（十二）本基金法律文件风险收益特征表述与销售机构基金风险评价可能不一致的风险</w:t>
      </w:r>
    </w:p>
    <w:p w14:paraId="7D5497DE" w14:textId="77777777" w:rsidR="0004536B" w:rsidRDefault="003574EC">
      <w:pPr>
        <w:widowControl/>
        <w:adjustRightInd w:val="0"/>
        <w:snapToGrid w:val="0"/>
        <w:spacing w:line="360" w:lineRule="auto"/>
        <w:ind w:firstLineChars="200" w:firstLine="480"/>
        <w:rPr>
          <w:rFonts w:hAnsi="宋体"/>
          <w:b/>
          <w:kern w:val="0"/>
          <w:sz w:val="24"/>
          <w:szCs w:val="24"/>
        </w:rPr>
      </w:pPr>
      <w:r>
        <w:rPr>
          <w:rFonts w:hAnsi="宋体" w:hint="eastAsia"/>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31531AA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（十三）</w:t>
      </w:r>
      <w:r w:rsidRPr="00E917F4">
        <w:rPr>
          <w:rFonts w:hAnsi="宋体"/>
          <w:b/>
          <w:sz w:val="24"/>
        </w:rPr>
        <w:t>其他风险</w:t>
      </w:r>
    </w:p>
    <w:p w14:paraId="5C3368F0"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14:paraId="3B4DB653"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14:paraId="2F5860A6"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14:paraId="6C80999E"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14:paraId="1C923005"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14:paraId="2F48FFC4" w14:textId="77777777" w:rsidR="0004536B" w:rsidRDefault="003574EC">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14:paraId="1E88D4C7" w14:textId="77777777" w:rsidR="0004536B" w:rsidRDefault="003574EC">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7" w:name="OLE_LINK15"/>
    </w:p>
    <w:p w14:paraId="02579037" w14:textId="720E35A6" w:rsidR="0004536B" w:rsidRDefault="003574EC">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8" w:name="_Toc139631567"/>
      <w:r>
        <w:rPr>
          <w:rFonts w:hAnsi="宋体" w:hint="eastAsia"/>
          <w:b/>
          <w:kern w:val="0"/>
          <w:sz w:val="30"/>
        </w:rPr>
        <w:lastRenderedPageBreak/>
        <w:t>十</w:t>
      </w:r>
      <w:r w:rsidR="00827A2B">
        <w:rPr>
          <w:rFonts w:hAnsi="宋体" w:hint="eastAsia"/>
          <w:b/>
          <w:kern w:val="0"/>
          <w:sz w:val="30"/>
        </w:rPr>
        <w:t>九</w:t>
      </w:r>
      <w:r>
        <w:rPr>
          <w:rFonts w:hAnsi="宋体"/>
          <w:b/>
          <w:kern w:val="0"/>
          <w:sz w:val="30"/>
        </w:rPr>
        <w:t>、基金合同的变更、终止与基金财</w:t>
      </w:r>
      <w:bookmarkEnd w:id="97"/>
      <w:r>
        <w:rPr>
          <w:rFonts w:hAnsi="宋体"/>
          <w:b/>
          <w:kern w:val="0"/>
          <w:sz w:val="30"/>
        </w:rPr>
        <w:t>产的清算</w:t>
      </w:r>
      <w:bookmarkEnd w:id="98"/>
    </w:p>
    <w:p w14:paraId="7444511D"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（一）《基金合同》的变更</w:t>
      </w:r>
    </w:p>
    <w:p w14:paraId="7BE8BC25"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A86DCE4"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w:t>
      </w:r>
      <w:r>
        <w:rPr>
          <w:rFonts w:hAnsi="宋体"/>
          <w:bCs/>
          <w:kern w:val="0"/>
          <w:sz w:val="24"/>
        </w:rPr>
        <w:t>自</w:t>
      </w:r>
      <w:r>
        <w:rPr>
          <w:rFonts w:hAnsi="宋体" w:hint="eastAsia"/>
          <w:bCs/>
          <w:kern w:val="0"/>
          <w:sz w:val="24"/>
        </w:rPr>
        <w:t>决议</w:t>
      </w:r>
      <w:r>
        <w:rPr>
          <w:rFonts w:hAnsi="宋体" w:hint="eastAsia"/>
          <w:kern w:val="0"/>
          <w:sz w:val="24"/>
        </w:rPr>
        <w:t>生效后依照《信息披露办法》的规定在规定媒介公告。</w:t>
      </w:r>
    </w:p>
    <w:p w14:paraId="12D4DDA3"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（二）《基金合同》的终止事由</w:t>
      </w:r>
    </w:p>
    <w:p w14:paraId="0B4782A5"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有下列情形之一的，</w:t>
      </w:r>
      <w:r>
        <w:rPr>
          <w:rFonts w:hint="eastAsia"/>
          <w:bCs/>
          <w:sz w:val="24"/>
        </w:rPr>
        <w:t>经履行相关程序后，</w:t>
      </w:r>
      <w:r>
        <w:rPr>
          <w:rFonts w:hAnsi="宋体" w:hint="eastAsia"/>
          <w:kern w:val="0"/>
          <w:sz w:val="24"/>
        </w:rPr>
        <w:t>《基金合同》应当终止：</w:t>
      </w:r>
    </w:p>
    <w:p w14:paraId="516BB1E8"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14:paraId="2B94F370"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14:paraId="56FFF514" w14:textId="12CC069E" w:rsidR="0004536B" w:rsidRDefault="003574EC" w:rsidP="00323503">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、《基金合同》约定的其他情形；</w:t>
      </w:r>
    </w:p>
    <w:p w14:paraId="3469D1B7" w14:textId="382693AC" w:rsidR="0004536B" w:rsidRDefault="00323503">
      <w:pPr>
        <w:adjustRightInd w:val="0"/>
        <w:snapToGrid w:val="0"/>
        <w:spacing w:line="360" w:lineRule="auto"/>
        <w:ind w:firstLineChars="200" w:firstLine="480"/>
        <w:rPr>
          <w:rFonts w:hAnsi="宋体"/>
          <w:kern w:val="0"/>
          <w:sz w:val="24"/>
        </w:rPr>
      </w:pPr>
      <w:r>
        <w:rPr>
          <w:rFonts w:hAnsi="宋体"/>
          <w:kern w:val="0"/>
          <w:sz w:val="24"/>
        </w:rPr>
        <w:t>4</w:t>
      </w:r>
      <w:r w:rsidR="003574EC">
        <w:rPr>
          <w:rFonts w:hAnsi="宋体" w:hint="eastAsia"/>
          <w:kern w:val="0"/>
          <w:sz w:val="24"/>
        </w:rPr>
        <w:t>、相关法律法规和中国证监会规定的其他情况。</w:t>
      </w:r>
    </w:p>
    <w:p w14:paraId="5A9F1DF7"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（三）基金财产的清算</w:t>
      </w:r>
    </w:p>
    <w:p w14:paraId="254D6752"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25817F6B"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w:t>
      </w:r>
      <w:r>
        <w:rPr>
          <w:rFonts w:hint="eastAsia"/>
          <w:bCs/>
          <w:sz w:val="24"/>
        </w:rPr>
        <w:t>《中华人民共和国证券法》规定</w:t>
      </w:r>
      <w:r>
        <w:rPr>
          <w:rFonts w:hAnsi="宋体" w:hint="eastAsia"/>
          <w:kern w:val="0"/>
          <w:sz w:val="24"/>
        </w:rPr>
        <w:t>的注册会计师、律师以及中国证监会指定的人员组成。基金财产清算小组可以聘用必要的工作人员。</w:t>
      </w:r>
    </w:p>
    <w:p w14:paraId="74020269"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0C236E7C"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14:paraId="465233BC"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）《基金合同》终止情形出现时，由基金财产清算小组统一接管基金；</w:t>
      </w:r>
    </w:p>
    <w:p w14:paraId="5A977EF9"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14:paraId="00EF01D5"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3</w:t>
      </w:r>
      <w:r>
        <w:rPr>
          <w:rFonts w:hAnsi="宋体" w:hint="eastAsia"/>
          <w:kern w:val="0"/>
          <w:sz w:val="24"/>
        </w:rPr>
        <w:t>）对基金财产进行估值和变现；</w:t>
      </w:r>
    </w:p>
    <w:p w14:paraId="6C260704"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14:paraId="09E81EF7"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28F8A826"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14:paraId="6657790B"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14:paraId="44CB8086"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4E0E733D"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（四）清算费用</w:t>
      </w:r>
    </w:p>
    <w:p w14:paraId="1B67CDD8"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78509369"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（五）基金财产清算剩余资产的分配</w:t>
      </w:r>
    </w:p>
    <w:p w14:paraId="463408F9" w14:textId="77777777" w:rsidR="0004536B" w:rsidRDefault="003574EC">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55490C9A"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（六）基金财产清算的公告</w:t>
      </w:r>
    </w:p>
    <w:p w14:paraId="6E75491C" w14:textId="77777777" w:rsidR="0004536B" w:rsidRDefault="003574EC">
      <w:pPr>
        <w:adjustRightInd w:val="0"/>
        <w:snapToGrid w:val="0"/>
        <w:spacing w:line="360" w:lineRule="auto"/>
        <w:ind w:firstLineChars="200" w:firstLine="48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14:paraId="248296DB"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（七）基金财产清算账册及文件的保存</w:t>
      </w:r>
    </w:p>
    <w:p w14:paraId="40E227C0" w14:textId="77777777" w:rsidR="0004536B" w:rsidRDefault="003574EC">
      <w:pPr>
        <w:adjustRightInd w:val="0"/>
        <w:snapToGrid w:val="0"/>
        <w:spacing w:line="360" w:lineRule="auto"/>
        <w:ind w:firstLineChars="200" w:firstLine="480"/>
        <w:rPr>
          <w:rFonts w:ascii="宋体" w:hAnsi="宋体"/>
          <w:kern w:val="0"/>
          <w:sz w:val="24"/>
        </w:rPr>
      </w:pPr>
      <w:r>
        <w:rPr>
          <w:rFonts w:hAnsi="宋体" w:hint="eastAsia"/>
          <w:kern w:val="0"/>
          <w:sz w:val="24"/>
        </w:rPr>
        <w:t>基金财产清算账册及有关文件由基金托管人保存</w:t>
      </w:r>
      <w:r>
        <w:rPr>
          <w:rFonts w:hint="eastAsia"/>
          <w:bCs/>
          <w:sz w:val="24"/>
        </w:rPr>
        <w:t>不低于法律法规规定的最低期限</w:t>
      </w:r>
      <w:r>
        <w:rPr>
          <w:rFonts w:hAnsi="宋体" w:hint="eastAsia"/>
          <w:kern w:val="0"/>
          <w:sz w:val="24"/>
        </w:rPr>
        <w:t>。</w:t>
      </w:r>
    </w:p>
    <w:p w14:paraId="3F1BC292" w14:textId="0023DAED"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9" w:name="_Toc139631568"/>
      <w:r w:rsidR="00827A2B">
        <w:rPr>
          <w:rFonts w:ascii="宋体" w:hAnsi="宋体" w:hint="eastAsia"/>
          <w:b/>
          <w:kern w:val="0"/>
          <w:sz w:val="30"/>
        </w:rPr>
        <w:lastRenderedPageBreak/>
        <w:t>二</w:t>
      </w:r>
      <w:r>
        <w:rPr>
          <w:rFonts w:ascii="宋体" w:hAnsi="宋体" w:hint="eastAsia"/>
          <w:b/>
          <w:kern w:val="0"/>
          <w:sz w:val="30"/>
        </w:rPr>
        <w:t>十、基金合同内容摘要</w:t>
      </w:r>
      <w:bookmarkEnd w:id="99"/>
    </w:p>
    <w:p w14:paraId="2704425E"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（一）基金</w:t>
      </w:r>
      <w:r w:rsidRPr="00E917F4">
        <w:rPr>
          <w:rFonts w:hAnsi="宋体" w:hint="eastAsia"/>
          <w:b/>
          <w:sz w:val="24"/>
        </w:rPr>
        <w:t>份额持有人、基金管理人和基金托管人的</w:t>
      </w:r>
      <w:r w:rsidRPr="00E917F4">
        <w:rPr>
          <w:rFonts w:hAnsi="宋体"/>
          <w:b/>
          <w:sz w:val="24"/>
        </w:rPr>
        <w:t>权利</w:t>
      </w:r>
      <w:r w:rsidRPr="00E917F4">
        <w:rPr>
          <w:rFonts w:hAnsi="宋体" w:hint="eastAsia"/>
          <w:b/>
          <w:sz w:val="24"/>
        </w:rPr>
        <w:t>与</w:t>
      </w:r>
      <w:r w:rsidRPr="00E917F4">
        <w:rPr>
          <w:rFonts w:hAnsi="宋体"/>
          <w:b/>
          <w:sz w:val="24"/>
        </w:rPr>
        <w:t>义务</w:t>
      </w:r>
    </w:p>
    <w:p w14:paraId="6972D621" w14:textId="7BD43CCC"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sz w:val="24"/>
          <w:szCs w:val="24"/>
        </w:rPr>
        <w:t>1</w:t>
      </w:r>
      <w:r w:rsidRPr="00210D77">
        <w:rPr>
          <w:rFonts w:hAnsi="宋体"/>
          <w:sz w:val="24"/>
          <w:szCs w:val="24"/>
        </w:rPr>
        <w:t>、基金管理人的权利与义务</w:t>
      </w:r>
    </w:p>
    <w:p w14:paraId="758DA2DA" w14:textId="1DC788FD" w:rsidR="0004536B" w:rsidRDefault="003574EC">
      <w:pPr>
        <w:adjustRightInd w:val="0"/>
        <w:snapToGrid w:val="0"/>
        <w:spacing w:line="360" w:lineRule="auto"/>
        <w:ind w:firstLineChars="200" w:firstLine="480"/>
        <w:rPr>
          <w:bCs/>
          <w:sz w:val="24"/>
        </w:rPr>
      </w:pPr>
      <w:r>
        <w:rPr>
          <w:bCs/>
          <w:sz w:val="24"/>
        </w:rPr>
        <w:t>根据《基金法》、《运作办法》及其他有关规定，基金管理人的权利包括但不限于：</w:t>
      </w:r>
    </w:p>
    <w:p w14:paraId="55AD707E" w14:textId="0B4AFA1F" w:rsidR="0004536B" w:rsidRDefault="003574EC">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9C16FCE" w14:textId="0D3F80A2" w:rsidR="0004536B" w:rsidRDefault="003574EC">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CEB3078" w14:textId="39370CFE" w:rsidR="0004536B" w:rsidRDefault="003574EC">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5AF1E2C" w14:textId="273DF7A0" w:rsidR="0004536B" w:rsidRDefault="003574EC">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1A2548C4" w14:textId="5A4D401D" w:rsidR="0004536B" w:rsidRDefault="003574EC">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3654552" w14:textId="5DADFAC1" w:rsidR="0004536B" w:rsidRDefault="003574EC">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F212484" w14:textId="2E21B7E7" w:rsidR="0004536B" w:rsidRDefault="003574EC">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582D1F7" w14:textId="4080406E" w:rsidR="0004536B" w:rsidRDefault="003574EC">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6BDCDDD" w14:textId="0EA02343" w:rsidR="0004536B" w:rsidRDefault="003574EC">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6A8F8F05" w14:textId="092987C1" w:rsidR="0004536B" w:rsidRDefault="003574EC">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206E96D9" w14:textId="10F8C076" w:rsidR="0004536B" w:rsidRDefault="003574EC">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4D9DC91D" w14:textId="4AF47781" w:rsidR="0004536B" w:rsidRDefault="003574EC">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93945E9" w14:textId="44FADA4F" w:rsidR="0004536B" w:rsidRDefault="003574EC">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653BD675" w14:textId="00F2A338" w:rsidR="0004536B" w:rsidRDefault="003574EC">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39F260A" w14:textId="459BE3C1" w:rsidR="0004536B" w:rsidRDefault="003574EC">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4B8317D0" w14:textId="17783EE2" w:rsidR="0004536B" w:rsidRDefault="003574EC">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7F3559A8" w14:textId="65A14FE7" w:rsidR="0004536B" w:rsidRDefault="003574EC">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CBD6CBB" w14:textId="6002ACFC" w:rsidR="0004536B" w:rsidRDefault="003574EC">
      <w:pPr>
        <w:adjustRightInd w:val="0"/>
        <w:snapToGrid w:val="0"/>
        <w:spacing w:line="360" w:lineRule="auto"/>
        <w:ind w:firstLineChars="200" w:firstLine="480"/>
        <w:rPr>
          <w:bCs/>
          <w:sz w:val="24"/>
        </w:rPr>
      </w:pPr>
      <w:r>
        <w:rPr>
          <w:bCs/>
          <w:sz w:val="24"/>
        </w:rPr>
        <w:t>根据《基金法》、《运作办法》及其他有关规定，基金管理人的义务包括但不限于：</w:t>
      </w:r>
    </w:p>
    <w:p w14:paraId="4A010E96" w14:textId="149C8742" w:rsidR="0004536B" w:rsidRDefault="003574EC">
      <w:pPr>
        <w:adjustRightInd w:val="0"/>
        <w:snapToGrid w:val="0"/>
        <w:spacing w:line="360" w:lineRule="auto"/>
        <w:ind w:firstLineChars="200" w:firstLine="480"/>
        <w:rPr>
          <w:bCs/>
          <w:sz w:val="24"/>
        </w:rPr>
      </w:pPr>
      <w:bookmarkStart w:id="100" w:name="_Hlt88897298"/>
      <w:bookmarkEnd w:id="100"/>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2599635D" w14:textId="6AE26F8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0885BC95" w14:textId="0FCDA80B"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0DA052C9" w14:textId="3BEB4C3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5A949467" w14:textId="71A93614"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10E13C7" w14:textId="6AA2D9BF"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64198365" w14:textId="0F05D152"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41D2AC2F" w14:textId="628CBC29"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A244F88" w14:textId="4BBFDBE4"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6E0BE0AE" w14:textId="64C5E69A"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58B76FF7" w14:textId="352690A6"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104F4135" w14:textId="5015EDC0"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w:t>
      </w:r>
      <w:r>
        <w:rPr>
          <w:rFonts w:hint="eastAsia"/>
          <w:bCs/>
          <w:sz w:val="24"/>
        </w:rPr>
        <w:lastRenderedPageBreak/>
        <w:t>他人泄露；</w:t>
      </w:r>
    </w:p>
    <w:p w14:paraId="4B854600" w14:textId="70A7D7C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52DB4D3C" w14:textId="0732E6DA"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422ECB77" w14:textId="33BCAB2A"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184077D0" w14:textId="688B456F"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7C412965" w14:textId="3BC2558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DE08CA" w14:textId="74EDBCC6"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63042C62" w14:textId="366ED701"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3227A74F" w14:textId="791F0B4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364A5745" w14:textId="1B91C312"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D02B62D" w14:textId="3A67D4CF"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4C13BA75" w14:textId="70726C2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2BE4F9BD" w14:textId="6F22594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0A4D9C55" w14:textId="7582002F"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5E732618" w14:textId="66B382F4" w:rsidR="0004536B" w:rsidRDefault="003574EC">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14:paraId="02894FEC" w14:textId="04F33BB0"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68CBC51B" w14:textId="6A7EB2F5"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sz w:val="24"/>
          <w:szCs w:val="24"/>
        </w:rPr>
        <w:t>2</w:t>
      </w:r>
      <w:r w:rsidRPr="00210D77">
        <w:rPr>
          <w:rFonts w:hAnsi="宋体"/>
          <w:sz w:val="24"/>
          <w:szCs w:val="24"/>
        </w:rPr>
        <w:t>、基金托管人的权利与义务</w:t>
      </w:r>
    </w:p>
    <w:p w14:paraId="6C559BBD" w14:textId="4F5AC0A5" w:rsidR="0004536B" w:rsidRDefault="003574EC">
      <w:pPr>
        <w:adjustRightInd w:val="0"/>
        <w:snapToGrid w:val="0"/>
        <w:spacing w:line="360" w:lineRule="auto"/>
        <w:ind w:firstLineChars="200" w:firstLine="480"/>
        <w:rPr>
          <w:bCs/>
          <w:sz w:val="24"/>
        </w:rPr>
      </w:pPr>
      <w:r>
        <w:rPr>
          <w:bCs/>
          <w:sz w:val="24"/>
        </w:rPr>
        <w:t>根据《基金法》、《运作办法》及其他有关规定，基金托管人的权利包括但不限于：</w:t>
      </w:r>
    </w:p>
    <w:p w14:paraId="2B4486F7" w14:textId="54E2AF5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7EFA7B62" w14:textId="460D820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6A5C4DA5" w14:textId="4F54841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1B9445" w14:textId="4CCE170B"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）根据相关市场规则，为基金开设资金账户、证券账户、期货结算账户等投资所需账户，为基金办理证券、期货交易资金清算；</w:t>
      </w:r>
    </w:p>
    <w:p w14:paraId="27141966" w14:textId="2E641A5A"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491F1B1F" w14:textId="3DF9F0B6"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49604F86" w14:textId="595EFF2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0ED7AAAA" w14:textId="49EB738F" w:rsidR="0004536B" w:rsidRDefault="003574EC">
      <w:pPr>
        <w:adjustRightInd w:val="0"/>
        <w:snapToGrid w:val="0"/>
        <w:spacing w:line="360" w:lineRule="auto"/>
        <w:ind w:firstLineChars="200" w:firstLine="480"/>
        <w:rPr>
          <w:bCs/>
          <w:sz w:val="24"/>
        </w:rPr>
      </w:pPr>
      <w:r>
        <w:rPr>
          <w:bCs/>
          <w:sz w:val="24"/>
        </w:rPr>
        <w:t>根据《基金法》、《运作办法》及其他有关规定，基金托管人的义务包括但不限于：</w:t>
      </w:r>
    </w:p>
    <w:p w14:paraId="02BAED37" w14:textId="6BA1B92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582B05F6" w14:textId="5199CBD1"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059083F1" w14:textId="1C1FC496"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422694E" w14:textId="21DC4C9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072E8405" w14:textId="1E2F85B4" w:rsidR="0004536B" w:rsidRDefault="003574EC">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14:paraId="1E8B6D83" w14:textId="42ADE1D2"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）按规定开设基金财产的资金账户、证券账户和期货结算账户等投资所需账户，按照《基金合同》的约定，根据基金管理人的投资指令，及时办理清算、交割事宜；</w:t>
      </w:r>
    </w:p>
    <w:p w14:paraId="65F50F2F" w14:textId="5652FC5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监管机构、司法机关等有权机关要求，或审计、法律等外部专业顾问提供服务需要的情况外，在基金信息公开披露前予以保密，不得向他人泄露。如向审计、法律等外部专业顾问提供上述信息，基金托管人保证审计、法律等外部专业顾问遵守与基金托管人同等的保密义务；</w:t>
      </w:r>
    </w:p>
    <w:p w14:paraId="05545AB1" w14:textId="3AFBF0C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1027D8E6" w14:textId="55B2BEC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3B8A38E" w14:textId="5E0080D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D675AAC" w14:textId="24670F4D"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410E5B64" w14:textId="7303561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5ED4DC2D" w14:textId="3E255E6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270F83D0" w14:textId="296C6EBA"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194097C2" w14:textId="7AA0E2D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5E0AB51B" w14:textId="676B56B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5BD2BF86" w14:textId="448ECCFB"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3F0A550A" w14:textId="7965E0BF"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w:t>
      </w:r>
      <w:r>
        <w:rPr>
          <w:rFonts w:hint="eastAsia"/>
          <w:bCs/>
          <w:sz w:val="24"/>
        </w:rPr>
        <w:lastRenderedPageBreak/>
        <w:t>银行业监督管理机构，并通知基金管理人；</w:t>
      </w:r>
    </w:p>
    <w:p w14:paraId="0A6D46EA" w14:textId="11523031"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1D46302A" w14:textId="0F73E754"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8B274BB" w14:textId="67E197FD"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6134E99F" w14:textId="49A94CF4"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45F361BC" w14:textId="1673C3DD"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sz w:val="24"/>
          <w:szCs w:val="24"/>
        </w:rPr>
        <w:t>3</w:t>
      </w:r>
      <w:r w:rsidRPr="00210D77">
        <w:rPr>
          <w:rFonts w:hAnsi="宋体"/>
          <w:sz w:val="24"/>
          <w:szCs w:val="24"/>
        </w:rPr>
        <w:t>、基金份额持有人的权利与义务</w:t>
      </w:r>
    </w:p>
    <w:p w14:paraId="24F9557F" w14:textId="5EBE1AD8" w:rsidR="0004536B" w:rsidRDefault="003574EC">
      <w:pPr>
        <w:adjustRightInd w:val="0"/>
        <w:snapToGrid w:val="0"/>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C51A7B5" w14:textId="6E5093C0" w:rsidR="0004536B" w:rsidRDefault="003574EC">
      <w:pPr>
        <w:adjustRightInd w:val="0"/>
        <w:snapToGrid w:val="0"/>
        <w:spacing w:line="360" w:lineRule="auto"/>
        <w:ind w:firstLineChars="200" w:firstLine="480"/>
        <w:rPr>
          <w:bCs/>
          <w:sz w:val="24"/>
        </w:rPr>
      </w:pPr>
      <w:r>
        <w:rPr>
          <w:rFonts w:hint="eastAsia"/>
          <w:bCs/>
          <w:sz w:val="24"/>
        </w:rPr>
        <w:t>每份基金份额具有同等的合法权益。</w:t>
      </w:r>
    </w:p>
    <w:p w14:paraId="339B7191" w14:textId="1580899E" w:rsidR="0004536B" w:rsidRDefault="003574EC">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14:paraId="6D60A4F6" w14:textId="356D5BD1"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14:paraId="2FA550AD" w14:textId="59B37E1C"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14:paraId="7414D87B" w14:textId="7B40536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w:t>
      </w:r>
      <w:r w:rsidR="00A32A4E" w:rsidRPr="00A32A4E">
        <w:rPr>
          <w:rFonts w:hint="eastAsia"/>
          <w:bCs/>
          <w:sz w:val="24"/>
        </w:rPr>
        <w:t>在开放期内</w:t>
      </w:r>
      <w:r>
        <w:rPr>
          <w:rFonts w:hint="eastAsia"/>
          <w:bCs/>
          <w:sz w:val="24"/>
        </w:rPr>
        <w:t>转让或者申请赎回其持有的基金份额；</w:t>
      </w:r>
    </w:p>
    <w:p w14:paraId="5EC1EC81" w14:textId="65CFB61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509AFA96" w14:textId="02E1F13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648C31A5" w14:textId="27303351"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14:paraId="71596905" w14:textId="63AF774E"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14:paraId="0E1EDC1B" w14:textId="416C72F9"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50EEB1E1" w14:textId="28F5371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702AD5CF" w14:textId="1B282443" w:rsidR="0004536B" w:rsidRDefault="003574EC">
      <w:pPr>
        <w:adjustRightInd w:val="0"/>
        <w:snapToGrid w:val="0"/>
        <w:spacing w:line="360" w:lineRule="auto"/>
        <w:ind w:firstLineChars="200" w:firstLine="480"/>
        <w:rPr>
          <w:bCs/>
          <w:sz w:val="24"/>
        </w:rPr>
      </w:pPr>
      <w:r>
        <w:rPr>
          <w:rFonts w:hint="eastAsia"/>
          <w:bCs/>
          <w:sz w:val="24"/>
        </w:rPr>
        <w:lastRenderedPageBreak/>
        <w:t>根据《基金法》、《运作办法》及其他有关规定，基金份额持有人的义务包括但不限于：</w:t>
      </w:r>
    </w:p>
    <w:p w14:paraId="36595492" w14:textId="079DA08F"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1C0E2DF2" w14:textId="04DF5E8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67056CA3" w14:textId="4555ED1C"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14:paraId="56258D3E" w14:textId="44BDCFF1"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79A8702B" w14:textId="5CCD4CAD"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4DE409FF" w14:textId="51CB54D6"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40605686" w14:textId="69E588BC"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14:paraId="4AE4392E" w14:textId="4AB32B9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30728622" w14:textId="32A6B7C8"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349099D3" w14:textId="7FB64DC5"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2A69F478" w14:textId="332F044A"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14:paraId="3DD457A4" w14:textId="7D461A20"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（二）基金份额持有人大会</w:t>
      </w:r>
      <w:r w:rsidRPr="00E917F4">
        <w:rPr>
          <w:rFonts w:hAnsi="宋体" w:hint="eastAsia"/>
          <w:b/>
          <w:sz w:val="24"/>
        </w:rPr>
        <w:t>召集、议事及表决的程序和规则</w:t>
      </w:r>
    </w:p>
    <w:p w14:paraId="16330353" w14:textId="18357D70" w:rsidR="0004536B" w:rsidRDefault="003574EC">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E134B56" w14:textId="18D51E49" w:rsidR="0004536B" w:rsidRDefault="003574EC">
      <w:pPr>
        <w:adjustRightInd w:val="0"/>
        <w:snapToGrid w:val="0"/>
        <w:spacing w:line="360" w:lineRule="auto"/>
        <w:ind w:firstLineChars="200" w:firstLine="480"/>
        <w:rPr>
          <w:bCs/>
          <w:sz w:val="24"/>
        </w:rPr>
      </w:pPr>
      <w:r>
        <w:rPr>
          <w:rFonts w:hint="eastAsia"/>
          <w:bCs/>
          <w:sz w:val="24"/>
        </w:rPr>
        <w:t>本基金份额持有人大会不设日常机构。</w:t>
      </w:r>
    </w:p>
    <w:p w14:paraId="053E0753" w14:textId="73F217A2"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sz w:val="24"/>
          <w:szCs w:val="24"/>
        </w:rPr>
        <w:t>1</w:t>
      </w:r>
      <w:r w:rsidRPr="00210D77">
        <w:rPr>
          <w:rFonts w:hAnsi="宋体"/>
          <w:sz w:val="24"/>
          <w:szCs w:val="24"/>
        </w:rPr>
        <w:t>、召开事由</w:t>
      </w:r>
    </w:p>
    <w:p w14:paraId="37ABAFE7" w14:textId="42785B6B"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1</w:t>
      </w:r>
      <w:r w:rsidRPr="00210D77">
        <w:rPr>
          <w:rFonts w:hAnsi="宋体" w:hint="eastAsia"/>
          <w:sz w:val="24"/>
          <w:szCs w:val="24"/>
        </w:rPr>
        <w:t>）当出现或需要决定下列事由之一的，应当召开基金份额持有人大会，法律法规、基金合同和中国证监会另有规定的除外：</w:t>
      </w:r>
    </w:p>
    <w:p w14:paraId="508805F6" w14:textId="2AD50320"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）终止《基金合同》；</w:t>
      </w:r>
    </w:p>
    <w:p w14:paraId="0D598E6E" w14:textId="61B7660B"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）更换基金管理人；</w:t>
      </w:r>
    </w:p>
    <w:p w14:paraId="3FB9C031" w14:textId="5A1D029B"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3</w:t>
      </w:r>
      <w:r w:rsidRPr="00210D77">
        <w:rPr>
          <w:rFonts w:hAnsi="宋体" w:hint="eastAsia"/>
          <w:sz w:val="24"/>
          <w:szCs w:val="24"/>
        </w:rPr>
        <w:t>）更换基金托管人；</w:t>
      </w:r>
    </w:p>
    <w:p w14:paraId="540EF469" w14:textId="244112F4"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lastRenderedPageBreak/>
        <w:t>4</w:t>
      </w:r>
      <w:r w:rsidRPr="00210D77">
        <w:rPr>
          <w:rFonts w:hAnsi="宋体" w:hint="eastAsia"/>
          <w:sz w:val="24"/>
          <w:szCs w:val="24"/>
        </w:rPr>
        <w:t>）转换基金运作方式</w:t>
      </w:r>
      <w:r w:rsidR="00197DDA" w:rsidRPr="00B9794F">
        <w:rPr>
          <w:rFonts w:hint="eastAsia"/>
          <w:bCs/>
          <w:sz w:val="24"/>
        </w:rPr>
        <w:t>（本基金封闭期与开放期的转换及暂停运作除外）</w:t>
      </w:r>
      <w:r w:rsidRPr="00210D77">
        <w:rPr>
          <w:rFonts w:hAnsi="宋体" w:hint="eastAsia"/>
          <w:sz w:val="24"/>
          <w:szCs w:val="24"/>
        </w:rPr>
        <w:t>；</w:t>
      </w:r>
    </w:p>
    <w:p w14:paraId="5CC34D77" w14:textId="6F80EB30"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5</w:t>
      </w:r>
      <w:r w:rsidRPr="00210D77">
        <w:rPr>
          <w:rFonts w:hAnsi="宋体" w:hint="eastAsia"/>
          <w:sz w:val="24"/>
          <w:szCs w:val="24"/>
        </w:rPr>
        <w:t>）调整基金管理人、基金托管人的报酬标准；</w:t>
      </w:r>
    </w:p>
    <w:p w14:paraId="4B7FA898" w14:textId="39CDB6B2"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6</w:t>
      </w:r>
      <w:r w:rsidRPr="00210D77">
        <w:rPr>
          <w:rFonts w:hAnsi="宋体" w:hint="eastAsia"/>
          <w:sz w:val="24"/>
          <w:szCs w:val="24"/>
        </w:rPr>
        <w:t>）变更基金类别；</w:t>
      </w:r>
    </w:p>
    <w:p w14:paraId="7B73AB4D" w14:textId="6B49E40B"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7</w:t>
      </w:r>
      <w:r w:rsidRPr="00210D77">
        <w:rPr>
          <w:rFonts w:hAnsi="宋体" w:hint="eastAsia"/>
          <w:sz w:val="24"/>
          <w:szCs w:val="24"/>
        </w:rPr>
        <w:t>）本基金与其他基金的合并；</w:t>
      </w:r>
    </w:p>
    <w:p w14:paraId="1F7FB23E" w14:textId="3A376532"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8</w:t>
      </w:r>
      <w:r w:rsidRPr="00210D77">
        <w:rPr>
          <w:rFonts w:hAnsi="宋体" w:hint="eastAsia"/>
          <w:sz w:val="24"/>
          <w:szCs w:val="24"/>
        </w:rPr>
        <w:t>）变更基金投资目标、范围或策略；</w:t>
      </w:r>
    </w:p>
    <w:p w14:paraId="00E5C560" w14:textId="77F4D40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9</w:t>
      </w:r>
      <w:r w:rsidRPr="00210D77">
        <w:rPr>
          <w:rFonts w:hAnsi="宋体" w:hint="eastAsia"/>
          <w:sz w:val="24"/>
          <w:szCs w:val="24"/>
        </w:rPr>
        <w:t>）变更基金份额持有人大会程序；</w:t>
      </w:r>
    </w:p>
    <w:p w14:paraId="09D1A6FB" w14:textId="0070E72E"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10</w:t>
      </w:r>
      <w:r w:rsidRPr="00210D77">
        <w:rPr>
          <w:rFonts w:hAnsi="宋体" w:hint="eastAsia"/>
          <w:sz w:val="24"/>
          <w:szCs w:val="24"/>
        </w:rPr>
        <w:t>）基金管理人或基金托管人要求召开基金份额持有人大会；</w:t>
      </w:r>
    </w:p>
    <w:p w14:paraId="4AFF9A04" w14:textId="0577E913"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11</w:t>
      </w:r>
      <w:r w:rsidRPr="00210D77">
        <w:rPr>
          <w:rFonts w:hAnsi="宋体" w:hint="eastAsia"/>
          <w:sz w:val="24"/>
          <w:szCs w:val="24"/>
        </w:rPr>
        <w:t>）单独或合计持有本基金总份额</w:t>
      </w:r>
      <w:r w:rsidRPr="00210D77">
        <w:rPr>
          <w:rFonts w:hAnsi="宋体" w:hint="eastAsia"/>
          <w:sz w:val="24"/>
          <w:szCs w:val="24"/>
        </w:rPr>
        <w:t>10%</w:t>
      </w:r>
      <w:r w:rsidRPr="00210D77">
        <w:rPr>
          <w:rFonts w:hAnsi="宋体" w:hint="eastAsia"/>
          <w:sz w:val="24"/>
          <w:szCs w:val="24"/>
        </w:rPr>
        <w:t>以上（含</w:t>
      </w:r>
      <w:r w:rsidRPr="00210D77">
        <w:rPr>
          <w:rFonts w:hAnsi="宋体" w:hint="eastAsia"/>
          <w:sz w:val="24"/>
          <w:szCs w:val="24"/>
        </w:rPr>
        <w:t>10%</w:t>
      </w:r>
      <w:r w:rsidRPr="00210D77">
        <w:rPr>
          <w:rFonts w:hAnsi="宋体" w:hint="eastAsia"/>
          <w:sz w:val="24"/>
          <w:szCs w:val="24"/>
        </w:rPr>
        <w:t>）基金份额的基金份额持有人（以基金管理人收到提议当日的基金份额计算，下同）就同一事项书面要求召开基金份额持有人大会；</w:t>
      </w:r>
    </w:p>
    <w:p w14:paraId="4AC45E96" w14:textId="27558E83"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12</w:t>
      </w:r>
      <w:r w:rsidRPr="00210D77">
        <w:rPr>
          <w:rFonts w:hAnsi="宋体" w:hint="eastAsia"/>
          <w:sz w:val="24"/>
          <w:szCs w:val="24"/>
        </w:rPr>
        <w:t>）对基金合同当事人权利和义务产生重大影响的其他事项；</w:t>
      </w:r>
    </w:p>
    <w:p w14:paraId="6A6D7B74" w14:textId="7EB9029A"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13</w:t>
      </w:r>
      <w:r w:rsidRPr="00210D77">
        <w:rPr>
          <w:rFonts w:hAnsi="宋体" w:hint="eastAsia"/>
          <w:sz w:val="24"/>
          <w:szCs w:val="24"/>
        </w:rPr>
        <w:t>）法律法规、《基金合同》或中国证监会规定的其他应当召开基金份额持有人大会的事项。</w:t>
      </w:r>
    </w:p>
    <w:p w14:paraId="0525FE9D" w14:textId="4F46EE45"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6C0D7A01" w14:textId="1405873C" w:rsidR="00197DDA" w:rsidRPr="00197DDA" w:rsidRDefault="00197DDA" w:rsidP="00197DDA">
      <w:pPr>
        <w:adjustRightInd w:val="0"/>
        <w:snapToGrid w:val="0"/>
        <w:spacing w:line="360" w:lineRule="auto"/>
        <w:ind w:firstLineChars="200" w:firstLine="480"/>
        <w:rPr>
          <w:rFonts w:hAnsi="宋体"/>
          <w:sz w:val="24"/>
          <w:szCs w:val="24"/>
        </w:rPr>
      </w:pPr>
      <w:r w:rsidRPr="00197DDA">
        <w:rPr>
          <w:rFonts w:hAnsi="宋体" w:hint="eastAsia"/>
          <w:sz w:val="24"/>
          <w:szCs w:val="24"/>
        </w:rPr>
        <w:t>1</w:t>
      </w:r>
      <w:r w:rsidRPr="00197DDA">
        <w:rPr>
          <w:rFonts w:hAnsi="宋体" w:hint="eastAsia"/>
          <w:sz w:val="24"/>
          <w:szCs w:val="24"/>
        </w:rPr>
        <w:t>）法律法规要求增加的基金费用的收取；</w:t>
      </w:r>
    </w:p>
    <w:p w14:paraId="5C0E59FE" w14:textId="05BE16A8" w:rsidR="00197DDA" w:rsidRPr="00197DDA" w:rsidRDefault="00197DDA" w:rsidP="00197DDA">
      <w:pPr>
        <w:adjustRightInd w:val="0"/>
        <w:snapToGrid w:val="0"/>
        <w:spacing w:line="360" w:lineRule="auto"/>
        <w:ind w:firstLineChars="200" w:firstLine="480"/>
        <w:rPr>
          <w:rFonts w:hAnsi="宋体"/>
          <w:sz w:val="24"/>
          <w:szCs w:val="24"/>
        </w:rPr>
      </w:pPr>
      <w:r w:rsidRPr="00197DDA">
        <w:rPr>
          <w:rFonts w:hAnsi="宋体" w:hint="eastAsia"/>
          <w:sz w:val="24"/>
          <w:szCs w:val="24"/>
        </w:rPr>
        <w:t>2</w:t>
      </w:r>
      <w:r w:rsidRPr="00197DDA">
        <w:rPr>
          <w:rFonts w:hAnsi="宋体" w:hint="eastAsia"/>
          <w:sz w:val="24"/>
          <w:szCs w:val="24"/>
        </w:rPr>
        <w:t>）在法律法规和《基金合同》规定的范围内调整本基金的申购费率、在对现有基金份额持有人利益无实质性不利影响的前提下变更收费方式；</w:t>
      </w:r>
    </w:p>
    <w:p w14:paraId="2D9F5930" w14:textId="0009D6E9" w:rsidR="00197DDA" w:rsidRPr="00197DDA" w:rsidRDefault="00197DDA" w:rsidP="00197DDA">
      <w:pPr>
        <w:adjustRightInd w:val="0"/>
        <w:snapToGrid w:val="0"/>
        <w:spacing w:line="360" w:lineRule="auto"/>
        <w:ind w:firstLineChars="200" w:firstLine="480"/>
        <w:rPr>
          <w:rFonts w:hAnsi="宋体"/>
          <w:sz w:val="24"/>
          <w:szCs w:val="24"/>
        </w:rPr>
      </w:pPr>
      <w:r w:rsidRPr="00197DDA">
        <w:rPr>
          <w:rFonts w:hAnsi="宋体" w:hint="eastAsia"/>
          <w:sz w:val="24"/>
          <w:szCs w:val="24"/>
        </w:rPr>
        <w:t>3</w:t>
      </w:r>
      <w:r w:rsidRPr="00197DDA">
        <w:rPr>
          <w:rFonts w:hAnsi="宋体" w:hint="eastAsia"/>
          <w:sz w:val="24"/>
          <w:szCs w:val="24"/>
        </w:rPr>
        <w:t>）因法规政策调整而需要修订业绩报酬相关基准比例的；</w:t>
      </w:r>
    </w:p>
    <w:p w14:paraId="552D6033" w14:textId="311F12F5" w:rsidR="00197DDA" w:rsidRPr="00197DDA" w:rsidRDefault="00197DDA" w:rsidP="00197DDA">
      <w:pPr>
        <w:adjustRightInd w:val="0"/>
        <w:snapToGrid w:val="0"/>
        <w:spacing w:line="360" w:lineRule="auto"/>
        <w:ind w:firstLineChars="200" w:firstLine="480"/>
        <w:rPr>
          <w:rFonts w:hAnsi="宋体"/>
          <w:sz w:val="24"/>
          <w:szCs w:val="24"/>
        </w:rPr>
      </w:pPr>
      <w:r w:rsidRPr="00197DDA">
        <w:rPr>
          <w:rFonts w:hAnsi="宋体" w:hint="eastAsia"/>
          <w:sz w:val="24"/>
          <w:szCs w:val="24"/>
        </w:rPr>
        <w:t>4</w:t>
      </w:r>
      <w:r w:rsidRPr="00197DDA">
        <w:rPr>
          <w:rFonts w:hAnsi="宋体" w:hint="eastAsia"/>
          <w:sz w:val="24"/>
          <w:szCs w:val="24"/>
        </w:rPr>
        <w:t>）因相应的法律法规、登记机构的相关业务规则发生变动而应当对《基金合同》进行修改；</w:t>
      </w:r>
    </w:p>
    <w:p w14:paraId="48D07598" w14:textId="7819F850" w:rsidR="00197DDA" w:rsidRPr="00197DDA" w:rsidRDefault="00197DDA" w:rsidP="00197DDA">
      <w:pPr>
        <w:adjustRightInd w:val="0"/>
        <w:snapToGrid w:val="0"/>
        <w:spacing w:line="360" w:lineRule="auto"/>
        <w:ind w:firstLineChars="200" w:firstLine="480"/>
        <w:rPr>
          <w:rFonts w:hAnsi="宋体"/>
          <w:sz w:val="24"/>
          <w:szCs w:val="24"/>
        </w:rPr>
      </w:pPr>
      <w:r w:rsidRPr="00197DDA">
        <w:rPr>
          <w:rFonts w:hAnsi="宋体" w:hint="eastAsia"/>
          <w:sz w:val="24"/>
          <w:szCs w:val="24"/>
        </w:rPr>
        <w:t>5</w:t>
      </w:r>
      <w:r w:rsidRPr="00197DDA">
        <w:rPr>
          <w:rFonts w:hAnsi="宋体" w:hint="eastAsia"/>
          <w:sz w:val="24"/>
          <w:szCs w:val="24"/>
        </w:rPr>
        <w:t>）对《基金合同》的修改对基金份额持有人利益无实质性不利影响或修改不涉及《基金合同》当事人权利义务关系发生重大变化；</w:t>
      </w:r>
    </w:p>
    <w:p w14:paraId="003C25BC" w14:textId="129850E4" w:rsidR="00197DDA" w:rsidRPr="00197DDA" w:rsidRDefault="00197DDA" w:rsidP="00197DDA">
      <w:pPr>
        <w:adjustRightInd w:val="0"/>
        <w:snapToGrid w:val="0"/>
        <w:spacing w:line="360" w:lineRule="auto"/>
        <w:ind w:firstLineChars="200" w:firstLine="480"/>
        <w:rPr>
          <w:rFonts w:hAnsi="宋体"/>
          <w:sz w:val="24"/>
          <w:szCs w:val="24"/>
        </w:rPr>
      </w:pPr>
      <w:r w:rsidRPr="00197DDA">
        <w:rPr>
          <w:rFonts w:hAnsi="宋体" w:hint="eastAsia"/>
          <w:sz w:val="24"/>
          <w:szCs w:val="24"/>
        </w:rPr>
        <w:t>6</w:t>
      </w:r>
      <w:r w:rsidRPr="00197DDA">
        <w:rPr>
          <w:rFonts w:hAnsi="宋体" w:hint="eastAsia"/>
          <w:sz w:val="24"/>
          <w:szCs w:val="24"/>
        </w:rPr>
        <w:t>）在法律法规允许的情况下，且在对现有基金份额持有人利益无实质性不利影响的前提下，基金推出新业务或服务；</w:t>
      </w:r>
    </w:p>
    <w:p w14:paraId="1E8044C9" w14:textId="6D6F9088" w:rsidR="00197DDA" w:rsidRPr="00197DDA" w:rsidRDefault="00197DDA" w:rsidP="00197DDA">
      <w:pPr>
        <w:adjustRightInd w:val="0"/>
        <w:snapToGrid w:val="0"/>
        <w:spacing w:line="360" w:lineRule="auto"/>
        <w:ind w:firstLineChars="200" w:firstLine="480"/>
        <w:rPr>
          <w:rFonts w:hAnsi="宋体"/>
          <w:sz w:val="24"/>
          <w:szCs w:val="24"/>
        </w:rPr>
      </w:pPr>
      <w:r w:rsidRPr="00197DDA">
        <w:rPr>
          <w:rFonts w:hAnsi="宋体" w:hint="eastAsia"/>
          <w:sz w:val="24"/>
          <w:szCs w:val="24"/>
        </w:rPr>
        <w:t>7</w:t>
      </w:r>
      <w:r w:rsidRPr="00197DDA">
        <w:rPr>
          <w:rFonts w:hAnsi="宋体" w:hint="eastAsia"/>
          <w:sz w:val="24"/>
          <w:szCs w:val="24"/>
        </w:rPr>
        <w:t>）在不违反法律法规及对基金份额持有人利益无实质性不利影响的前提下，基金管理人、登记机构、销售机构调整有关基金认购、申购、赎回、转换、收益分配、</w:t>
      </w:r>
      <w:r w:rsidRPr="00197DDA">
        <w:rPr>
          <w:rFonts w:hAnsi="宋体" w:hint="eastAsia"/>
          <w:sz w:val="24"/>
          <w:szCs w:val="24"/>
        </w:rPr>
        <w:lastRenderedPageBreak/>
        <w:t>非交易过户、转托管等业务的规则；</w:t>
      </w:r>
    </w:p>
    <w:p w14:paraId="30EFE39C" w14:textId="6DADC88D" w:rsidR="0004536B" w:rsidRPr="00210D77" w:rsidRDefault="00197DDA">
      <w:pPr>
        <w:adjustRightInd w:val="0"/>
        <w:snapToGrid w:val="0"/>
        <w:spacing w:line="360" w:lineRule="auto"/>
        <w:ind w:firstLineChars="200" w:firstLine="480"/>
        <w:rPr>
          <w:rFonts w:hAnsi="宋体"/>
          <w:sz w:val="24"/>
          <w:szCs w:val="24"/>
        </w:rPr>
      </w:pPr>
      <w:r w:rsidRPr="00197DDA">
        <w:rPr>
          <w:rFonts w:hAnsi="宋体" w:hint="eastAsia"/>
          <w:sz w:val="24"/>
          <w:szCs w:val="24"/>
        </w:rPr>
        <w:t>8</w:t>
      </w:r>
      <w:r w:rsidRPr="00197DDA">
        <w:rPr>
          <w:rFonts w:hAnsi="宋体" w:hint="eastAsia"/>
          <w:sz w:val="24"/>
          <w:szCs w:val="24"/>
        </w:rPr>
        <w:t>）按照法律法规和《基金合同》规定不需召开基金份额持有人大会的其他情形。</w:t>
      </w:r>
    </w:p>
    <w:p w14:paraId="7DFB9BB4" w14:textId="0D18EC9F"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、会议召集人及召集方式</w:t>
      </w:r>
    </w:p>
    <w:p w14:paraId="389145E5" w14:textId="0205E3AB"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1</w:t>
      </w:r>
      <w:r w:rsidRPr="00210D77">
        <w:rPr>
          <w:rFonts w:hAnsi="宋体" w:hint="eastAsia"/>
          <w:sz w:val="24"/>
          <w:szCs w:val="24"/>
        </w:rPr>
        <w:t>）除法律法规规定或《基金合同》另有约定外，基金份额持有人大会由基金管理人召集；</w:t>
      </w:r>
    </w:p>
    <w:p w14:paraId="3833459F" w14:textId="6CB3C38F"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）基金管理人未按规定召集或不能召集时，由基金托管人召集；</w:t>
      </w:r>
    </w:p>
    <w:p w14:paraId="2202C007" w14:textId="2DAD6066"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3</w:t>
      </w:r>
      <w:r w:rsidRPr="00210D77">
        <w:rPr>
          <w:rFonts w:hAnsi="宋体" w:hint="eastAsia"/>
          <w:sz w:val="24"/>
          <w:szCs w:val="24"/>
        </w:rPr>
        <w:t>）基金托管人认为有必要召开基金份额持有人大会的，应当向基金管理人提出书面提议。基金管理人应当自收到书面提议之日起</w:t>
      </w:r>
      <w:r w:rsidRPr="00210D77">
        <w:rPr>
          <w:rFonts w:hAnsi="宋体" w:hint="eastAsia"/>
          <w:sz w:val="24"/>
          <w:szCs w:val="24"/>
        </w:rPr>
        <w:t>10</w:t>
      </w:r>
      <w:r w:rsidRPr="00210D77">
        <w:rPr>
          <w:rFonts w:hAnsi="宋体" w:hint="eastAsia"/>
          <w:sz w:val="24"/>
          <w:szCs w:val="24"/>
        </w:rPr>
        <w:t>日内决定是否召集，并书面告知基金托管人。基金管理人决定召集的，应当自出具书面决定之日起</w:t>
      </w:r>
      <w:r w:rsidRPr="00210D77">
        <w:rPr>
          <w:rFonts w:hAnsi="宋体" w:hint="eastAsia"/>
          <w:sz w:val="24"/>
          <w:szCs w:val="24"/>
        </w:rPr>
        <w:t>60</w:t>
      </w:r>
      <w:r w:rsidRPr="00210D77">
        <w:rPr>
          <w:rFonts w:hAnsi="宋体" w:hint="eastAsia"/>
          <w:sz w:val="24"/>
          <w:szCs w:val="24"/>
        </w:rPr>
        <w:t>日内召开；基金管理人决定不召集，基金托管人仍认为有必要召开的，应当由基金托管人自行召集，并自出具书面决定之日起</w:t>
      </w:r>
      <w:r w:rsidRPr="00210D77">
        <w:rPr>
          <w:rFonts w:hAnsi="宋体" w:hint="eastAsia"/>
          <w:sz w:val="24"/>
          <w:szCs w:val="24"/>
        </w:rPr>
        <w:t>60</w:t>
      </w:r>
      <w:r w:rsidRPr="00210D77">
        <w:rPr>
          <w:rFonts w:hAnsi="宋体" w:hint="eastAsia"/>
          <w:sz w:val="24"/>
          <w:szCs w:val="24"/>
        </w:rPr>
        <w:t>日内召开并告知基金管理人，基金管理人应当配合；</w:t>
      </w:r>
    </w:p>
    <w:p w14:paraId="5E8D8929" w14:textId="2F7F8044"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4</w:t>
      </w:r>
      <w:r w:rsidRPr="00210D77">
        <w:rPr>
          <w:rFonts w:hAnsi="宋体" w:hint="eastAsia"/>
          <w:sz w:val="24"/>
          <w:szCs w:val="24"/>
        </w:rPr>
        <w:t>）代表基金份额</w:t>
      </w:r>
      <w:r w:rsidRPr="00210D77">
        <w:rPr>
          <w:rFonts w:hAnsi="宋体" w:hint="eastAsia"/>
          <w:sz w:val="24"/>
          <w:szCs w:val="24"/>
        </w:rPr>
        <w:t>10%</w:t>
      </w:r>
      <w:r w:rsidRPr="00210D77">
        <w:rPr>
          <w:rFonts w:hAnsi="宋体" w:hint="eastAsia"/>
          <w:sz w:val="24"/>
          <w:szCs w:val="24"/>
        </w:rPr>
        <w:t>以上（含</w:t>
      </w:r>
      <w:r w:rsidRPr="00210D77">
        <w:rPr>
          <w:rFonts w:hAnsi="宋体" w:hint="eastAsia"/>
          <w:sz w:val="24"/>
          <w:szCs w:val="24"/>
        </w:rPr>
        <w:t>10%</w:t>
      </w:r>
      <w:r w:rsidRPr="00210D77">
        <w:rPr>
          <w:rFonts w:hAnsi="宋体" w:hint="eastAsia"/>
          <w:sz w:val="24"/>
          <w:szCs w:val="24"/>
        </w:rPr>
        <w:t>）的基金份额持有人就同一事项书面要求召开基金份额持有人大会，应当向基金管理人提出书面提议。基金管理人应当自收到书面提议之日起</w:t>
      </w:r>
      <w:r w:rsidRPr="00210D77">
        <w:rPr>
          <w:rFonts w:hAnsi="宋体" w:hint="eastAsia"/>
          <w:sz w:val="24"/>
          <w:szCs w:val="24"/>
        </w:rPr>
        <w:t>10</w:t>
      </w:r>
      <w:r w:rsidRPr="00210D77">
        <w:rPr>
          <w:rFonts w:hAnsi="宋体" w:hint="eastAsia"/>
          <w:sz w:val="24"/>
          <w:szCs w:val="24"/>
        </w:rPr>
        <w:t>日内决定是否召集，并书面告知提出提议的基金份额持有人代表和基金托管人。基金管理人决定召集的，应当自出具书面决定之日起</w:t>
      </w:r>
      <w:r w:rsidRPr="00210D77">
        <w:rPr>
          <w:rFonts w:hAnsi="宋体" w:hint="eastAsia"/>
          <w:sz w:val="24"/>
          <w:szCs w:val="24"/>
        </w:rPr>
        <w:t>60</w:t>
      </w:r>
      <w:r w:rsidRPr="00210D77">
        <w:rPr>
          <w:rFonts w:hAnsi="宋体" w:hint="eastAsia"/>
          <w:sz w:val="24"/>
          <w:szCs w:val="24"/>
        </w:rPr>
        <w:t>日内召开；基金管理人决定不召集，代表基金份额</w:t>
      </w:r>
      <w:r w:rsidRPr="00210D77">
        <w:rPr>
          <w:rFonts w:hAnsi="宋体" w:hint="eastAsia"/>
          <w:sz w:val="24"/>
          <w:szCs w:val="24"/>
        </w:rPr>
        <w:t>10%</w:t>
      </w:r>
      <w:r w:rsidRPr="00210D77">
        <w:rPr>
          <w:rFonts w:hAnsi="宋体" w:hint="eastAsia"/>
          <w:sz w:val="24"/>
          <w:szCs w:val="24"/>
        </w:rPr>
        <w:t>以上（含</w:t>
      </w:r>
      <w:r w:rsidRPr="00210D77">
        <w:rPr>
          <w:rFonts w:hAnsi="宋体" w:hint="eastAsia"/>
          <w:sz w:val="24"/>
          <w:szCs w:val="24"/>
        </w:rPr>
        <w:t>10%</w:t>
      </w:r>
      <w:r w:rsidRPr="00210D77">
        <w:rPr>
          <w:rFonts w:hAnsi="宋体" w:hint="eastAsia"/>
          <w:sz w:val="24"/>
          <w:szCs w:val="24"/>
        </w:rPr>
        <w:t>）的基金份额持有人仍认为有必要召开的，应当向基金托管人提出书面提议。基金托管人应当自收到书面提议之日起</w:t>
      </w:r>
      <w:r w:rsidRPr="00210D77">
        <w:rPr>
          <w:rFonts w:hAnsi="宋体" w:hint="eastAsia"/>
          <w:sz w:val="24"/>
          <w:szCs w:val="24"/>
        </w:rPr>
        <w:t>10</w:t>
      </w:r>
      <w:r w:rsidRPr="00210D77">
        <w:rPr>
          <w:rFonts w:hAnsi="宋体" w:hint="eastAsia"/>
          <w:sz w:val="24"/>
          <w:szCs w:val="24"/>
        </w:rPr>
        <w:t>日内决定是否召集，并书面告知提出提议的基金份额持有人代表和基金管理人；基金托管人决定召集的，应当自出具书面决定之日起</w:t>
      </w:r>
      <w:r w:rsidRPr="00210D77">
        <w:rPr>
          <w:rFonts w:hAnsi="宋体" w:hint="eastAsia"/>
          <w:sz w:val="24"/>
          <w:szCs w:val="24"/>
        </w:rPr>
        <w:t>60</w:t>
      </w:r>
      <w:r w:rsidRPr="00210D77">
        <w:rPr>
          <w:rFonts w:hAnsi="宋体" w:hint="eastAsia"/>
          <w:sz w:val="24"/>
          <w:szCs w:val="24"/>
        </w:rPr>
        <w:t>日内召开并告知基金管理人，基金管理人应当配合；</w:t>
      </w:r>
    </w:p>
    <w:p w14:paraId="76D3C1B5" w14:textId="7818D349"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5</w:t>
      </w:r>
      <w:r w:rsidRPr="00210D77">
        <w:rPr>
          <w:rFonts w:hAnsi="宋体" w:hint="eastAsia"/>
          <w:sz w:val="24"/>
          <w:szCs w:val="24"/>
        </w:rPr>
        <w:t>）代表基金份额</w:t>
      </w:r>
      <w:r w:rsidRPr="00210D77">
        <w:rPr>
          <w:rFonts w:hAnsi="宋体" w:hint="eastAsia"/>
          <w:sz w:val="24"/>
          <w:szCs w:val="24"/>
        </w:rPr>
        <w:t>10%</w:t>
      </w:r>
      <w:r w:rsidRPr="00210D77">
        <w:rPr>
          <w:rFonts w:hAnsi="宋体" w:hint="eastAsia"/>
          <w:sz w:val="24"/>
          <w:szCs w:val="24"/>
        </w:rPr>
        <w:t>以上（含</w:t>
      </w:r>
      <w:r w:rsidRPr="00210D77">
        <w:rPr>
          <w:rFonts w:hAnsi="宋体" w:hint="eastAsia"/>
          <w:sz w:val="24"/>
          <w:szCs w:val="24"/>
        </w:rPr>
        <w:t>10%</w:t>
      </w:r>
      <w:r w:rsidRPr="00210D77">
        <w:rPr>
          <w:rFonts w:hAnsi="宋体" w:hint="eastAsia"/>
          <w:sz w:val="24"/>
          <w:szCs w:val="24"/>
        </w:rPr>
        <w:t>）的基金份额持有人就同一事项要求召开基金份额持有人大会，而基金管理人、基金托管人都不召集的，单独或合计代表基金份额</w:t>
      </w:r>
      <w:r w:rsidRPr="00210D77">
        <w:rPr>
          <w:rFonts w:hAnsi="宋体" w:hint="eastAsia"/>
          <w:sz w:val="24"/>
          <w:szCs w:val="24"/>
        </w:rPr>
        <w:t>10%</w:t>
      </w:r>
      <w:r w:rsidRPr="00210D77">
        <w:rPr>
          <w:rFonts w:hAnsi="宋体" w:hint="eastAsia"/>
          <w:sz w:val="24"/>
          <w:szCs w:val="24"/>
        </w:rPr>
        <w:t>以上（含</w:t>
      </w:r>
      <w:r w:rsidRPr="00210D77">
        <w:rPr>
          <w:rFonts w:hAnsi="宋体" w:hint="eastAsia"/>
          <w:sz w:val="24"/>
          <w:szCs w:val="24"/>
        </w:rPr>
        <w:t>10%</w:t>
      </w:r>
      <w:r w:rsidRPr="00210D77">
        <w:rPr>
          <w:rFonts w:hAnsi="宋体" w:hint="eastAsia"/>
          <w:sz w:val="24"/>
          <w:szCs w:val="24"/>
        </w:rPr>
        <w:t>）的基金份额持有人有权自行召集，并至少提前</w:t>
      </w:r>
      <w:r w:rsidRPr="00210D77">
        <w:rPr>
          <w:rFonts w:hAnsi="宋体" w:hint="eastAsia"/>
          <w:sz w:val="24"/>
          <w:szCs w:val="24"/>
        </w:rPr>
        <w:t>30</w:t>
      </w:r>
      <w:r w:rsidRPr="00210D77">
        <w:rPr>
          <w:rFonts w:hAnsi="宋体" w:hint="eastAsia"/>
          <w:sz w:val="24"/>
          <w:szCs w:val="24"/>
        </w:rPr>
        <w:t>日报中国证监会备案。基金份额持有人依法自行召集基金份额持有人大会的，基金管理人、基金托管人应当配合，不得阻碍、干扰；</w:t>
      </w:r>
    </w:p>
    <w:p w14:paraId="34BB3876" w14:textId="22ACF2D0"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6</w:t>
      </w:r>
      <w:r w:rsidRPr="00210D77">
        <w:rPr>
          <w:rFonts w:hAnsi="宋体" w:hint="eastAsia"/>
          <w:sz w:val="24"/>
          <w:szCs w:val="24"/>
        </w:rPr>
        <w:t>）基金份额持有人会议的召集人负责选择确定开会时间、地点、方式和权益登记日。</w:t>
      </w:r>
    </w:p>
    <w:p w14:paraId="0D71DC83" w14:textId="1137D92F"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lastRenderedPageBreak/>
        <w:t>3</w:t>
      </w:r>
      <w:r w:rsidRPr="00210D77">
        <w:rPr>
          <w:rFonts w:hAnsi="宋体" w:hint="eastAsia"/>
          <w:sz w:val="24"/>
          <w:szCs w:val="24"/>
        </w:rPr>
        <w:t>、召开基金份额持有人大会的通知时间、通知内容、通知方式</w:t>
      </w:r>
    </w:p>
    <w:p w14:paraId="642558AB" w14:textId="580BA69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1</w:t>
      </w:r>
      <w:r w:rsidRPr="00210D77">
        <w:rPr>
          <w:rFonts w:hAnsi="宋体" w:hint="eastAsia"/>
          <w:sz w:val="24"/>
          <w:szCs w:val="24"/>
        </w:rPr>
        <w:t>）召开基金份额持有人大会，召集人应于会议召开前</w:t>
      </w:r>
      <w:r w:rsidRPr="00210D77">
        <w:rPr>
          <w:rFonts w:hAnsi="宋体" w:hint="eastAsia"/>
          <w:sz w:val="24"/>
          <w:szCs w:val="24"/>
        </w:rPr>
        <w:t>30</w:t>
      </w:r>
      <w:r w:rsidRPr="00210D77">
        <w:rPr>
          <w:rFonts w:hAnsi="宋体" w:hint="eastAsia"/>
          <w:sz w:val="24"/>
          <w:szCs w:val="24"/>
        </w:rPr>
        <w:t>日，在规定媒介公告。基金份额持有人大会通知应至少载明以下内容：</w:t>
      </w:r>
    </w:p>
    <w:p w14:paraId="07C7721D" w14:textId="6937F22E"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）会议召开的时间、地点和会议形式；</w:t>
      </w:r>
    </w:p>
    <w:p w14:paraId="09717BC9" w14:textId="1FDFE54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）会议拟审议的事项、议事程序和表决方式；</w:t>
      </w:r>
    </w:p>
    <w:p w14:paraId="61A678CD" w14:textId="4C6C2284"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3</w:t>
      </w:r>
      <w:r w:rsidRPr="00210D77">
        <w:rPr>
          <w:rFonts w:hAnsi="宋体" w:hint="eastAsia"/>
          <w:sz w:val="24"/>
          <w:szCs w:val="24"/>
        </w:rPr>
        <w:t>）有权出席基金份额持有人大会的基金份额持有人的权益登记日；</w:t>
      </w:r>
    </w:p>
    <w:p w14:paraId="4A7545CF" w14:textId="445CB913"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4</w:t>
      </w:r>
      <w:r w:rsidRPr="00210D77">
        <w:rPr>
          <w:rFonts w:hAnsi="宋体" w:hint="eastAsia"/>
          <w:sz w:val="24"/>
          <w:szCs w:val="24"/>
        </w:rPr>
        <w:t>）授权委托证明的内容要求（包括但不限于代理人身份，代理权限和代理有效期限等）、送达时间和地点；</w:t>
      </w:r>
    </w:p>
    <w:p w14:paraId="10040146" w14:textId="186FD7CE"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5</w:t>
      </w:r>
      <w:r w:rsidRPr="00210D77">
        <w:rPr>
          <w:rFonts w:hAnsi="宋体" w:hint="eastAsia"/>
          <w:sz w:val="24"/>
          <w:szCs w:val="24"/>
        </w:rPr>
        <w:t>）会务常设联系人姓名及联系电话；</w:t>
      </w:r>
    </w:p>
    <w:p w14:paraId="04B1A390" w14:textId="07244D2C"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6</w:t>
      </w:r>
      <w:r w:rsidRPr="00210D77">
        <w:rPr>
          <w:rFonts w:hAnsi="宋体" w:hint="eastAsia"/>
          <w:sz w:val="24"/>
          <w:szCs w:val="24"/>
        </w:rPr>
        <w:t>）出席会议者必须准备的文件和必须履行的手续；</w:t>
      </w:r>
    </w:p>
    <w:p w14:paraId="2DDC8994" w14:textId="72975444"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7</w:t>
      </w:r>
      <w:r w:rsidRPr="00210D77">
        <w:rPr>
          <w:rFonts w:hAnsi="宋体" w:hint="eastAsia"/>
          <w:sz w:val="24"/>
          <w:szCs w:val="24"/>
        </w:rPr>
        <w:t>）召集人需要通知的其他事项。</w:t>
      </w:r>
    </w:p>
    <w:p w14:paraId="0096CA70" w14:textId="0D948B6A"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E0CBBB" w14:textId="32A4E0F3"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3</w:t>
      </w:r>
      <w:r w:rsidRPr="00210D77">
        <w:rPr>
          <w:rFonts w:hAnsi="宋体"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F4A2BF" w14:textId="01A282E3"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4</w:t>
      </w:r>
      <w:r w:rsidRPr="00210D77">
        <w:rPr>
          <w:rFonts w:hAnsi="宋体" w:hint="eastAsia"/>
          <w:sz w:val="24"/>
          <w:szCs w:val="24"/>
        </w:rPr>
        <w:t>、基金份额持有人出席会议的方式</w:t>
      </w:r>
    </w:p>
    <w:p w14:paraId="31144840" w14:textId="2B6116AA"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基金份额持有人大会可通过现场开会方式、通讯开会方式或法律法规、监管机构允许的其他方式召开，会议的召开方式由会议召集人确定。</w:t>
      </w:r>
    </w:p>
    <w:p w14:paraId="72248CB9" w14:textId="6BC7191E"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1</w:t>
      </w:r>
      <w:r w:rsidRPr="00210D77">
        <w:rPr>
          <w:rFonts w:hAnsi="宋体" w:hint="eastAsia"/>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F378E5D" w14:textId="23DDAAEC"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）亲自出席会议者持有基金份额的凭证、受托出席会议者出具的委托人持有基金份额的凭证及委托人的代理投票授权委托证明符合法律法规、《基金合同》和会议</w:t>
      </w:r>
      <w:r w:rsidRPr="00210D77">
        <w:rPr>
          <w:rFonts w:hAnsi="宋体" w:hint="eastAsia"/>
          <w:sz w:val="24"/>
          <w:szCs w:val="24"/>
        </w:rPr>
        <w:lastRenderedPageBreak/>
        <w:t>通知的规定，并且持有基金份额的凭证与基金管理人持有的登记资料相符；</w:t>
      </w:r>
    </w:p>
    <w:p w14:paraId="115D7B0D" w14:textId="69EF8061"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10D77">
        <w:rPr>
          <w:rFonts w:hAnsi="宋体" w:hint="eastAsia"/>
          <w:sz w:val="24"/>
          <w:szCs w:val="24"/>
        </w:rPr>
        <w:t>3</w:t>
      </w:r>
      <w:r w:rsidRPr="00210D77">
        <w:rPr>
          <w:rFonts w:hAnsi="宋体" w:hint="eastAsia"/>
          <w:sz w:val="24"/>
          <w:szCs w:val="24"/>
        </w:rPr>
        <w:t>个月以后、</w:t>
      </w:r>
      <w:r w:rsidRPr="00210D77">
        <w:rPr>
          <w:rFonts w:hAnsi="宋体" w:hint="eastAsia"/>
          <w:sz w:val="24"/>
          <w:szCs w:val="24"/>
        </w:rPr>
        <w:t>6</w:t>
      </w:r>
      <w:r w:rsidRPr="00210D77">
        <w:rPr>
          <w:rFonts w:hAnsi="宋体" w:hint="eastAsia"/>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A465F8A" w14:textId="0010D72E"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）通讯开会。通讯开会系指基金份额持有人将其对表决事项的投票以会议通知载明的形式或基金合同约定的其他方式在表决截止日以前送达至召集人指定的地址或系统。</w:t>
      </w:r>
    </w:p>
    <w:p w14:paraId="08CC055B" w14:textId="3DFB3284"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在同时符合以下条件时，通讯开会的方式视为有效：</w:t>
      </w:r>
    </w:p>
    <w:p w14:paraId="15F62DD5" w14:textId="3722DB0E"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）会议召集人按《基金合同》约定公布会议通知后，在</w:t>
      </w:r>
      <w:r w:rsidRPr="00210D77">
        <w:rPr>
          <w:rFonts w:hAnsi="宋体" w:hint="eastAsia"/>
          <w:sz w:val="24"/>
          <w:szCs w:val="24"/>
        </w:rPr>
        <w:t>2</w:t>
      </w:r>
      <w:r w:rsidRPr="00210D77">
        <w:rPr>
          <w:rFonts w:hAnsi="宋体" w:hint="eastAsia"/>
          <w:sz w:val="24"/>
          <w:szCs w:val="24"/>
        </w:rPr>
        <w:t>个工作日内连续公布相关提示性公告；</w:t>
      </w:r>
    </w:p>
    <w:p w14:paraId="2048F995" w14:textId="431C4D94"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A9B7B42" w14:textId="27DAFC33"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3</w:t>
      </w:r>
      <w:r w:rsidRPr="00210D77">
        <w:rPr>
          <w:rFonts w:hAnsi="宋体" w:hint="eastAsia"/>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10D77">
        <w:rPr>
          <w:rFonts w:hAnsi="宋体" w:hint="eastAsia"/>
          <w:sz w:val="24"/>
          <w:szCs w:val="24"/>
        </w:rPr>
        <w:t>3</w:t>
      </w:r>
      <w:r w:rsidRPr="00210D77">
        <w:rPr>
          <w:rFonts w:hAnsi="宋体" w:hint="eastAsia"/>
          <w:sz w:val="24"/>
          <w:szCs w:val="24"/>
        </w:rPr>
        <w:t>个月以后、</w:t>
      </w:r>
      <w:r w:rsidRPr="00210D77">
        <w:rPr>
          <w:rFonts w:hAnsi="宋体" w:hint="eastAsia"/>
          <w:sz w:val="24"/>
          <w:szCs w:val="24"/>
        </w:rPr>
        <w:t>6</w:t>
      </w:r>
      <w:r w:rsidRPr="00210D77">
        <w:rPr>
          <w:rFonts w:hAnsi="宋体" w:hint="eastAsia"/>
          <w:sz w:val="24"/>
          <w:szCs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9D45A4F" w14:textId="22BC820C"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4</w:t>
      </w:r>
      <w:r w:rsidRPr="00210D77">
        <w:rPr>
          <w:rFonts w:hAnsi="宋体" w:hint="eastAsia"/>
          <w:sz w:val="24"/>
          <w:szCs w:val="24"/>
        </w:rPr>
        <w:t>）上述第</w:t>
      </w:r>
      <w:r w:rsidRPr="00210D77">
        <w:rPr>
          <w:rFonts w:hAnsi="宋体" w:hint="eastAsia"/>
          <w:sz w:val="24"/>
          <w:szCs w:val="24"/>
        </w:rPr>
        <w:t>3</w:t>
      </w:r>
      <w:r w:rsidRPr="00210D77">
        <w:rPr>
          <w:rFonts w:hAnsi="宋体" w:hint="eastAsia"/>
          <w:sz w:val="24"/>
          <w:szCs w:val="24"/>
        </w:rPr>
        <w:t>）项中直接出具表决意见的基金份额持有人或受托代表他人出具表决意见的代理人，同时提交的持有基金份额的凭证、受托出具表决意见的代理人出</w:t>
      </w:r>
      <w:r w:rsidRPr="00210D77">
        <w:rPr>
          <w:rFonts w:hAnsi="宋体" w:hint="eastAsia"/>
          <w:sz w:val="24"/>
          <w:szCs w:val="24"/>
        </w:rPr>
        <w:lastRenderedPageBreak/>
        <w:t>具的委托人持有基金份额的凭证及委托人的代理投票授权委托证明符合法律法规、《基金合同》和会议通知的规定，并与基金登记机构记录相符。</w:t>
      </w:r>
    </w:p>
    <w:p w14:paraId="52995F8A" w14:textId="6A66D3E0"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3</w:t>
      </w:r>
      <w:r w:rsidRPr="00210D77">
        <w:rPr>
          <w:rFonts w:hAnsi="宋体" w:hint="eastAsia"/>
          <w:sz w:val="24"/>
          <w:szCs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0F31EFA" w14:textId="4359A4BC"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5</w:t>
      </w:r>
      <w:r w:rsidRPr="00210D77">
        <w:rPr>
          <w:rFonts w:hAnsi="宋体" w:hint="eastAsia"/>
          <w:sz w:val="24"/>
          <w:szCs w:val="24"/>
        </w:rPr>
        <w:t>、议事内容与程序</w:t>
      </w:r>
    </w:p>
    <w:p w14:paraId="69F84199" w14:textId="0335D3EE"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1</w:t>
      </w:r>
      <w:r w:rsidRPr="00210D77">
        <w:rPr>
          <w:rFonts w:hAnsi="宋体" w:hint="eastAsia"/>
          <w:sz w:val="24"/>
          <w:szCs w:val="24"/>
        </w:rPr>
        <w:t>）议事内容及提案权</w:t>
      </w:r>
    </w:p>
    <w:p w14:paraId="73F9702F" w14:textId="2A49EB04"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351A09A" w14:textId="09D1B635"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基金份额持有人大会的召集人发出召集会议的通知后，对原有提案的修改应当在基金份额持有人大会召开前及时公告。</w:t>
      </w:r>
    </w:p>
    <w:p w14:paraId="2D8B1295" w14:textId="537F6331"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基金份额持有人大会不得对未事先公告的议事内容进行表决。</w:t>
      </w:r>
    </w:p>
    <w:p w14:paraId="4B54A16A" w14:textId="7B9304EC"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）议事程序</w:t>
      </w:r>
    </w:p>
    <w:p w14:paraId="08C13DB2" w14:textId="7E74FF7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）现场开会</w:t>
      </w:r>
    </w:p>
    <w:p w14:paraId="78689580" w14:textId="7F4C504F"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在现场开会的方式下，首先由大会主持人按照下列第</w:t>
      </w:r>
      <w:r w:rsidRPr="00210D77">
        <w:rPr>
          <w:rFonts w:hAnsi="宋体" w:hint="eastAsia"/>
          <w:sz w:val="24"/>
          <w:szCs w:val="24"/>
        </w:rPr>
        <w:t>7</w:t>
      </w:r>
      <w:r w:rsidRPr="00210D77">
        <w:rPr>
          <w:rFonts w:hAnsi="宋体" w:hint="eastAsia"/>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10D77">
        <w:rPr>
          <w:rFonts w:hAnsi="宋体" w:hint="eastAsia"/>
          <w:sz w:val="24"/>
          <w:szCs w:val="24"/>
        </w:rPr>
        <w:t>50%</w:t>
      </w:r>
      <w:r w:rsidRPr="00210D77">
        <w:rPr>
          <w:rFonts w:hAnsi="宋体" w:hint="eastAsia"/>
          <w:sz w:val="24"/>
          <w:szCs w:val="24"/>
        </w:rPr>
        <w:t>以上（含</w:t>
      </w:r>
      <w:r w:rsidRPr="00210D77">
        <w:rPr>
          <w:rFonts w:hAnsi="宋体" w:hint="eastAsia"/>
          <w:sz w:val="24"/>
          <w:szCs w:val="24"/>
        </w:rPr>
        <w:t>50%</w:t>
      </w:r>
      <w:r w:rsidRPr="00210D77">
        <w:rPr>
          <w:rFonts w:hAnsi="宋体" w:hint="eastAsia"/>
          <w:sz w:val="24"/>
          <w:szCs w:val="24"/>
        </w:rPr>
        <w:t>）选举产生一名基金份额持有人或代理人作为该次基金份额持有人大会的主持人。基金管理人和基金托管人拒不出席或主持基金份额持有人大会，不影响基金份额持有人大会作出的决议的效力。</w:t>
      </w:r>
    </w:p>
    <w:p w14:paraId="5F3C4669" w14:textId="1EA60A3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会议召集人应当制作出席会议人员的签名册。签名册载明参加会议人员姓名（或单位名称）、身份证明文件号码、持有或代表有表决权的基金份额、委托人姓名（或</w:t>
      </w:r>
      <w:r w:rsidRPr="00210D77">
        <w:rPr>
          <w:rFonts w:hAnsi="宋体" w:hint="eastAsia"/>
          <w:sz w:val="24"/>
          <w:szCs w:val="24"/>
        </w:rPr>
        <w:lastRenderedPageBreak/>
        <w:t>单位名称）和联系方式等事项。</w:t>
      </w:r>
    </w:p>
    <w:p w14:paraId="26660E2D" w14:textId="6A506B69"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）通讯开会</w:t>
      </w:r>
    </w:p>
    <w:p w14:paraId="343A9AA2" w14:textId="19F15D8A"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在通讯开会的情况下，首先由召集人提前</w:t>
      </w:r>
      <w:r w:rsidRPr="00210D77">
        <w:rPr>
          <w:rFonts w:hAnsi="宋体" w:hint="eastAsia"/>
          <w:sz w:val="24"/>
          <w:szCs w:val="24"/>
        </w:rPr>
        <w:t>30</w:t>
      </w:r>
      <w:r w:rsidRPr="00210D77">
        <w:rPr>
          <w:rFonts w:hAnsi="宋体" w:hint="eastAsia"/>
          <w:sz w:val="24"/>
          <w:szCs w:val="24"/>
        </w:rPr>
        <w:t>日公布提案，在所通知的表决截止日期后</w:t>
      </w:r>
      <w:r w:rsidRPr="00210D77">
        <w:rPr>
          <w:rFonts w:hAnsi="宋体" w:hint="eastAsia"/>
          <w:sz w:val="24"/>
          <w:szCs w:val="24"/>
        </w:rPr>
        <w:t>2</w:t>
      </w:r>
      <w:r w:rsidRPr="00210D77">
        <w:rPr>
          <w:rFonts w:hAnsi="宋体" w:hint="eastAsia"/>
          <w:sz w:val="24"/>
          <w:szCs w:val="24"/>
        </w:rPr>
        <w:t>个工作日内在公证机关监督下由召集人统计全部有效表决，在公证机关监督下形成决议。</w:t>
      </w:r>
    </w:p>
    <w:p w14:paraId="474AFADD" w14:textId="56DE449C"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6</w:t>
      </w:r>
      <w:r w:rsidRPr="00210D77">
        <w:rPr>
          <w:rFonts w:hAnsi="宋体" w:hint="eastAsia"/>
          <w:sz w:val="24"/>
          <w:szCs w:val="24"/>
        </w:rPr>
        <w:t>、表决</w:t>
      </w:r>
    </w:p>
    <w:p w14:paraId="2286CB1A" w14:textId="635D2993"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基金份额持有人所持每份基金份额有一票表决权。</w:t>
      </w:r>
    </w:p>
    <w:p w14:paraId="282A5D9E" w14:textId="0A6BFDD7"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基金份额持有人大会决议分为一般决议和特别决议：</w:t>
      </w:r>
    </w:p>
    <w:p w14:paraId="7C564093" w14:textId="52CA9351"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1</w:t>
      </w:r>
      <w:r w:rsidRPr="00210D77">
        <w:rPr>
          <w:rFonts w:hAnsi="宋体" w:hint="eastAsia"/>
          <w:sz w:val="24"/>
          <w:szCs w:val="24"/>
        </w:rPr>
        <w:t>）一般决议，一般决议须经参加大会的基金份额持有人或其代理人所持表决权的二分之一以上（含二分之一）通过方为有效；除下列第（</w:t>
      </w:r>
      <w:r w:rsidRPr="00210D77">
        <w:rPr>
          <w:rFonts w:hAnsi="宋体" w:hint="eastAsia"/>
          <w:sz w:val="24"/>
          <w:szCs w:val="24"/>
        </w:rPr>
        <w:t>2</w:t>
      </w:r>
      <w:r w:rsidRPr="00210D77">
        <w:rPr>
          <w:rFonts w:hAnsi="宋体" w:hint="eastAsia"/>
          <w:sz w:val="24"/>
          <w:szCs w:val="24"/>
        </w:rPr>
        <w:t>）项所规定的须以特别决议通过事项以外的其他事项均以一般决议的方式通过。</w:t>
      </w:r>
    </w:p>
    <w:p w14:paraId="13F840DD" w14:textId="1F43950F"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5DD22B2" w14:textId="48248886"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基金份额持有人大会采取记名方式进行投票表决。</w:t>
      </w:r>
    </w:p>
    <w:p w14:paraId="7F88DA48" w14:textId="72C3A30A"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02AF145" w14:textId="3C54577A"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基金份额持有人大会的各项提案或同一项提案内并列的各项议题应当分开审议、逐项表决。</w:t>
      </w:r>
    </w:p>
    <w:p w14:paraId="4A76BA4F" w14:textId="53A8F8E2"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7</w:t>
      </w:r>
      <w:r w:rsidRPr="00210D77">
        <w:rPr>
          <w:rFonts w:hAnsi="宋体" w:hint="eastAsia"/>
          <w:sz w:val="24"/>
          <w:szCs w:val="24"/>
        </w:rPr>
        <w:t>、计票</w:t>
      </w:r>
    </w:p>
    <w:p w14:paraId="47D64529" w14:textId="1A19644E"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1</w:t>
      </w:r>
      <w:r w:rsidRPr="00210D77">
        <w:rPr>
          <w:rFonts w:hAnsi="宋体" w:hint="eastAsia"/>
          <w:sz w:val="24"/>
          <w:szCs w:val="24"/>
        </w:rPr>
        <w:t>）现场开会</w:t>
      </w:r>
    </w:p>
    <w:p w14:paraId="02281548" w14:textId="45049EF1"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1</w:t>
      </w:r>
      <w:r w:rsidRPr="00210D77">
        <w:rPr>
          <w:rFonts w:hAnsi="宋体"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210D77">
        <w:rPr>
          <w:rFonts w:hAnsi="宋体" w:hint="eastAsia"/>
          <w:sz w:val="24"/>
          <w:szCs w:val="24"/>
        </w:rPr>
        <w:lastRenderedPageBreak/>
        <w:t>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6C52766" w14:textId="0A46ED70"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2</w:t>
      </w:r>
      <w:r w:rsidRPr="00210D77">
        <w:rPr>
          <w:rFonts w:hAnsi="宋体" w:hint="eastAsia"/>
          <w:sz w:val="24"/>
          <w:szCs w:val="24"/>
        </w:rPr>
        <w:t>）监票人应当在基金份额持有人表决后立即进行清点并由大会主持人当场公布计票结果。</w:t>
      </w:r>
    </w:p>
    <w:p w14:paraId="64854F65" w14:textId="0CD17509"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3</w:t>
      </w:r>
      <w:r w:rsidRPr="00210D77">
        <w:rPr>
          <w:rFonts w:hAnsi="宋体" w:hint="eastAsia"/>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943B047" w14:textId="535DA27D"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4</w:t>
      </w:r>
      <w:r w:rsidRPr="00210D77">
        <w:rPr>
          <w:rFonts w:hAnsi="宋体" w:hint="eastAsia"/>
          <w:sz w:val="24"/>
          <w:szCs w:val="24"/>
        </w:rPr>
        <w:t>）计票过程应由公证机关予以公证，基金管理人或基金托管人拒不出席大会的，不影响计票的效力。</w:t>
      </w:r>
    </w:p>
    <w:p w14:paraId="64CE84C8" w14:textId="28DEE228"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）通讯开会</w:t>
      </w:r>
    </w:p>
    <w:p w14:paraId="61C8E98F" w14:textId="7BBAFC43"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3B50B48" w14:textId="5A2F6F0C"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8</w:t>
      </w:r>
      <w:r w:rsidRPr="00210D77">
        <w:rPr>
          <w:rFonts w:hAnsi="宋体" w:hint="eastAsia"/>
          <w:sz w:val="24"/>
          <w:szCs w:val="24"/>
        </w:rPr>
        <w:t>、生效与公告</w:t>
      </w:r>
    </w:p>
    <w:p w14:paraId="037EBE6C" w14:textId="1A0E6E64"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基金份额持有人大会的决议，召集人应当自通过之日起</w:t>
      </w:r>
      <w:r w:rsidRPr="00210D77">
        <w:rPr>
          <w:rFonts w:hAnsi="宋体" w:hint="eastAsia"/>
          <w:sz w:val="24"/>
          <w:szCs w:val="24"/>
        </w:rPr>
        <w:t>5</w:t>
      </w:r>
      <w:r w:rsidRPr="00210D77">
        <w:rPr>
          <w:rFonts w:hAnsi="宋体" w:hint="eastAsia"/>
          <w:sz w:val="24"/>
          <w:szCs w:val="24"/>
        </w:rPr>
        <w:t>日内报中国证监会备案。</w:t>
      </w:r>
    </w:p>
    <w:p w14:paraId="305BF30D" w14:textId="422E39EF"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基金份额持有人大会的决议自表决通过之日起生效。法律法规另有规定的，从其规定。</w:t>
      </w:r>
    </w:p>
    <w:p w14:paraId="52880DF1" w14:textId="7ECFFCCA"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488BB6AF" w14:textId="07C5C101"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32EC3323" w14:textId="269D9A39" w:rsidR="0004536B" w:rsidRPr="00210D77" w:rsidRDefault="003574EC" w:rsidP="00210D77">
      <w:pPr>
        <w:adjustRightInd w:val="0"/>
        <w:snapToGrid w:val="0"/>
        <w:spacing w:line="360" w:lineRule="auto"/>
        <w:ind w:firstLineChars="200" w:firstLine="480"/>
        <w:rPr>
          <w:rFonts w:hAnsi="宋体"/>
          <w:sz w:val="24"/>
          <w:szCs w:val="24"/>
        </w:rPr>
      </w:pPr>
      <w:r w:rsidRPr="00210D77">
        <w:rPr>
          <w:rFonts w:hAnsi="宋体" w:hint="eastAsia"/>
          <w:sz w:val="24"/>
          <w:szCs w:val="24"/>
        </w:rPr>
        <w:t>9</w:t>
      </w:r>
      <w:r w:rsidRPr="00210D77">
        <w:rPr>
          <w:rFonts w:hAnsi="宋体" w:hint="eastAsia"/>
          <w:sz w:val="24"/>
          <w:szCs w:val="24"/>
        </w:rPr>
        <w:t>、实施侧袋机制期间基金份额持有人大会的特殊约定</w:t>
      </w:r>
    </w:p>
    <w:p w14:paraId="2A729E35" w14:textId="2FE19989"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若本基金实施侧袋机制，则相关基金份额或表决权的比例指主袋份额持有人和</w:t>
      </w:r>
      <w:r w:rsidRPr="00210D77">
        <w:rPr>
          <w:rFonts w:hAnsi="宋体" w:hint="eastAsia"/>
          <w:sz w:val="24"/>
          <w:szCs w:val="24"/>
        </w:rPr>
        <w:lastRenderedPageBreak/>
        <w:t>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A2C1E97" w14:textId="2919B04B"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1</w:t>
      </w:r>
      <w:r w:rsidRPr="00210D77">
        <w:rPr>
          <w:rFonts w:hAnsi="宋体" w:hint="eastAsia"/>
          <w:sz w:val="24"/>
          <w:szCs w:val="24"/>
        </w:rPr>
        <w:t>）基金份额持有人行使提议权、召集权、提名权所需单独或合计代表相关基金份额</w:t>
      </w:r>
      <w:r w:rsidRPr="00210D77">
        <w:rPr>
          <w:rFonts w:hAnsi="宋体" w:hint="eastAsia"/>
          <w:sz w:val="24"/>
          <w:szCs w:val="24"/>
        </w:rPr>
        <w:t>10%</w:t>
      </w:r>
      <w:r w:rsidRPr="00210D77">
        <w:rPr>
          <w:rFonts w:hAnsi="宋体" w:hint="eastAsia"/>
          <w:sz w:val="24"/>
          <w:szCs w:val="24"/>
        </w:rPr>
        <w:t>以上（含</w:t>
      </w:r>
      <w:r w:rsidRPr="00210D77">
        <w:rPr>
          <w:rFonts w:hAnsi="宋体" w:hint="eastAsia"/>
          <w:sz w:val="24"/>
          <w:szCs w:val="24"/>
        </w:rPr>
        <w:t>10%</w:t>
      </w:r>
      <w:r w:rsidRPr="00210D77">
        <w:rPr>
          <w:rFonts w:hAnsi="宋体" w:hint="eastAsia"/>
          <w:sz w:val="24"/>
          <w:szCs w:val="24"/>
        </w:rPr>
        <w:t>）；</w:t>
      </w:r>
    </w:p>
    <w:p w14:paraId="599E3755" w14:textId="575E9246"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2</w:t>
      </w:r>
      <w:r w:rsidRPr="00210D77">
        <w:rPr>
          <w:rFonts w:hAnsi="宋体" w:hint="eastAsia"/>
          <w:sz w:val="24"/>
          <w:szCs w:val="24"/>
        </w:rPr>
        <w:t>）现场开会的到会者在权益登记日代表的基金份额不少于本基金在权益登记日相关基金份额的二分之一（含二分之一）；</w:t>
      </w:r>
    </w:p>
    <w:p w14:paraId="25BDA5BA" w14:textId="642B2606"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3</w:t>
      </w:r>
      <w:r w:rsidRPr="00210D77">
        <w:rPr>
          <w:rFonts w:hAnsi="宋体" w:hint="eastAsia"/>
          <w:sz w:val="24"/>
          <w:szCs w:val="24"/>
        </w:rPr>
        <w:t>）通讯开会的直接出具表决意见或授权他人代表出具表决意见的基金份额持有人所持有的基金份额不小于在权益登记日相关基金份额的二分之一（含二分之一）；</w:t>
      </w:r>
    </w:p>
    <w:p w14:paraId="778B8EFC" w14:textId="3FB4D019"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4</w:t>
      </w:r>
      <w:r w:rsidRPr="00210D77">
        <w:rPr>
          <w:rFonts w:hAnsi="宋体" w:hint="eastAsia"/>
          <w:sz w:val="24"/>
          <w:szCs w:val="24"/>
        </w:rPr>
        <w:t>）在参与基金份额持有人大会投票的基金份额持有人所持有的基金份额小于在权益登记日相关基金份额的二分之一、召集人在原公告的基金份额持有人大会召开时间的</w:t>
      </w:r>
      <w:r w:rsidRPr="00210D77">
        <w:rPr>
          <w:rFonts w:hAnsi="宋体" w:hint="eastAsia"/>
          <w:sz w:val="24"/>
          <w:szCs w:val="24"/>
        </w:rPr>
        <w:t>3</w:t>
      </w:r>
      <w:r w:rsidRPr="00210D77">
        <w:rPr>
          <w:rFonts w:hAnsi="宋体" w:hint="eastAsia"/>
          <w:sz w:val="24"/>
          <w:szCs w:val="24"/>
        </w:rPr>
        <w:t>个月以后、</w:t>
      </w:r>
      <w:r w:rsidRPr="00210D77">
        <w:rPr>
          <w:rFonts w:hAnsi="宋体" w:hint="eastAsia"/>
          <w:sz w:val="24"/>
          <w:szCs w:val="24"/>
        </w:rPr>
        <w:t>6</w:t>
      </w:r>
      <w:r w:rsidRPr="00210D77">
        <w:rPr>
          <w:rFonts w:hAnsi="宋体"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3FF93F26" w14:textId="11A384DB"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5</w:t>
      </w:r>
      <w:r w:rsidRPr="00210D77">
        <w:rPr>
          <w:rFonts w:hAnsi="宋体" w:hint="eastAsia"/>
          <w:sz w:val="24"/>
          <w:szCs w:val="24"/>
        </w:rPr>
        <w:t>）现场开会由出席大会的基金份额持有人和代理人所持表决权的</w:t>
      </w:r>
      <w:r w:rsidRPr="00210D77">
        <w:rPr>
          <w:rFonts w:hAnsi="宋体" w:hint="eastAsia"/>
          <w:sz w:val="24"/>
          <w:szCs w:val="24"/>
        </w:rPr>
        <w:t>50%</w:t>
      </w:r>
      <w:r w:rsidRPr="00210D77">
        <w:rPr>
          <w:rFonts w:hAnsi="宋体" w:hint="eastAsia"/>
          <w:sz w:val="24"/>
          <w:szCs w:val="24"/>
        </w:rPr>
        <w:t>以上（含</w:t>
      </w:r>
      <w:r w:rsidRPr="00210D77">
        <w:rPr>
          <w:rFonts w:hAnsi="宋体" w:hint="eastAsia"/>
          <w:sz w:val="24"/>
          <w:szCs w:val="24"/>
        </w:rPr>
        <w:t>50%</w:t>
      </w:r>
      <w:r w:rsidRPr="00210D77">
        <w:rPr>
          <w:rFonts w:hAnsi="宋体" w:hint="eastAsia"/>
          <w:sz w:val="24"/>
          <w:szCs w:val="24"/>
        </w:rPr>
        <w:t>）选举产生一名基金份额持有人或代理人作为该次基金份额持有人大会的主持人；</w:t>
      </w:r>
    </w:p>
    <w:p w14:paraId="57F87A55" w14:textId="757CC476"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6</w:t>
      </w:r>
      <w:r w:rsidRPr="00210D77">
        <w:rPr>
          <w:rFonts w:hAnsi="宋体" w:hint="eastAsia"/>
          <w:sz w:val="24"/>
          <w:szCs w:val="24"/>
        </w:rPr>
        <w:t>）一般决议须经参加大会的基金份额持有人或其代理人所持表决权的二分之一以上（含二分之一）通过；</w:t>
      </w:r>
    </w:p>
    <w:p w14:paraId="7279ED70" w14:textId="127D2E81"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w:t>
      </w:r>
      <w:r w:rsidRPr="00210D77">
        <w:rPr>
          <w:rFonts w:hAnsi="宋体" w:hint="eastAsia"/>
          <w:sz w:val="24"/>
          <w:szCs w:val="24"/>
        </w:rPr>
        <w:t>7</w:t>
      </w:r>
      <w:r w:rsidRPr="00210D77">
        <w:rPr>
          <w:rFonts w:hAnsi="宋体" w:hint="eastAsia"/>
          <w:sz w:val="24"/>
          <w:szCs w:val="24"/>
        </w:rPr>
        <w:t>）特别决议应当经参加大会的基金份额持有人或其代理人所持表决权的三分之二以上（含三分之二）通过。</w:t>
      </w:r>
    </w:p>
    <w:p w14:paraId="4A96C45E" w14:textId="7993311C"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同一主侧袋账户内的每份基金份额具有平等的表决权。</w:t>
      </w:r>
    </w:p>
    <w:p w14:paraId="14F82C88" w14:textId="13709D98" w:rsidR="0004536B" w:rsidRPr="00210D77" w:rsidRDefault="003574EC">
      <w:pPr>
        <w:adjustRightInd w:val="0"/>
        <w:snapToGrid w:val="0"/>
        <w:spacing w:line="360" w:lineRule="auto"/>
        <w:ind w:firstLineChars="200" w:firstLine="480"/>
        <w:rPr>
          <w:rFonts w:hAnsi="宋体"/>
          <w:sz w:val="24"/>
          <w:szCs w:val="24"/>
        </w:rPr>
      </w:pPr>
      <w:r w:rsidRPr="00210D77">
        <w:rPr>
          <w:rFonts w:hAnsi="宋体" w:hint="eastAsia"/>
          <w:sz w:val="24"/>
          <w:szCs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0FD123D8" w14:textId="471EC274"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（三）基金合同解除和终止的事由、程序</w:t>
      </w:r>
    </w:p>
    <w:p w14:paraId="6558BF0D" w14:textId="1E3144E5" w:rsidR="0004536B" w:rsidRDefault="003574EC" w:rsidP="00210D77">
      <w:pPr>
        <w:adjustRightInd w:val="0"/>
        <w:snapToGrid w:val="0"/>
        <w:spacing w:line="360" w:lineRule="auto"/>
        <w:ind w:firstLineChars="200" w:firstLine="480"/>
        <w:rPr>
          <w:bCs/>
          <w:sz w:val="24"/>
        </w:rPr>
      </w:pPr>
      <w:r>
        <w:rPr>
          <w:bCs/>
          <w:sz w:val="24"/>
        </w:rPr>
        <w:lastRenderedPageBreak/>
        <w:t>1</w:t>
      </w:r>
      <w:r>
        <w:rPr>
          <w:bCs/>
          <w:sz w:val="24"/>
        </w:rPr>
        <w:t>、《基金合同》的变更</w:t>
      </w:r>
    </w:p>
    <w:p w14:paraId="18A64EA9" w14:textId="68E5364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F246351" w14:textId="69D7330E"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）关于《基金合同》变更的基金份额持有人大会决议自生效后方可执行，自决议生效后依照《信息披露办法》的规定在规定媒介公告。</w:t>
      </w:r>
    </w:p>
    <w:p w14:paraId="7202DD8F" w14:textId="3F83EE65" w:rsidR="0004536B" w:rsidRDefault="003574EC" w:rsidP="00210D77">
      <w:pPr>
        <w:adjustRightInd w:val="0"/>
        <w:snapToGrid w:val="0"/>
        <w:spacing w:line="360" w:lineRule="auto"/>
        <w:ind w:firstLineChars="200" w:firstLine="480"/>
        <w:rPr>
          <w:bCs/>
          <w:sz w:val="24"/>
        </w:rPr>
      </w:pPr>
      <w:r>
        <w:rPr>
          <w:bCs/>
          <w:sz w:val="24"/>
        </w:rPr>
        <w:t>2</w:t>
      </w:r>
      <w:r>
        <w:rPr>
          <w:bCs/>
          <w:sz w:val="24"/>
        </w:rPr>
        <w:t>、《基金合同》的终止事由</w:t>
      </w:r>
    </w:p>
    <w:p w14:paraId="72FAAD8F" w14:textId="70FD143A" w:rsidR="0004536B" w:rsidRDefault="003574EC">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14:paraId="15E13579" w14:textId="7876E870"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14:paraId="7BCD136F" w14:textId="37B8433D"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203B918D" w14:textId="07266748" w:rsidR="0004536B" w:rsidRDefault="003574EC" w:rsidP="00EB0205">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）《基金合同》约定的其他情形；</w:t>
      </w:r>
    </w:p>
    <w:p w14:paraId="284B9B67" w14:textId="6754F9DD" w:rsidR="0004536B" w:rsidRDefault="003574EC">
      <w:pPr>
        <w:adjustRightInd w:val="0"/>
        <w:snapToGrid w:val="0"/>
        <w:spacing w:line="360" w:lineRule="auto"/>
        <w:ind w:firstLineChars="200" w:firstLine="480"/>
        <w:rPr>
          <w:bCs/>
          <w:sz w:val="24"/>
        </w:rPr>
      </w:pPr>
      <w:r>
        <w:rPr>
          <w:rFonts w:hint="eastAsia"/>
          <w:bCs/>
          <w:sz w:val="24"/>
        </w:rPr>
        <w:t>（</w:t>
      </w:r>
      <w:r w:rsidR="00EB0205">
        <w:rPr>
          <w:rFonts w:hint="eastAsia"/>
          <w:bCs/>
          <w:sz w:val="24"/>
        </w:rPr>
        <w:t>4</w:t>
      </w:r>
      <w:r>
        <w:rPr>
          <w:rFonts w:hint="eastAsia"/>
          <w:bCs/>
          <w:sz w:val="24"/>
        </w:rPr>
        <w:t>）相关法律法规和中国证监会规定的其他情况。</w:t>
      </w:r>
    </w:p>
    <w:p w14:paraId="77957556" w14:textId="7318DEAB" w:rsidR="0004536B" w:rsidRDefault="003574EC" w:rsidP="00210D77">
      <w:pPr>
        <w:adjustRightInd w:val="0"/>
        <w:snapToGrid w:val="0"/>
        <w:spacing w:line="360" w:lineRule="auto"/>
        <w:ind w:firstLineChars="200" w:firstLine="480"/>
        <w:rPr>
          <w:bCs/>
          <w:sz w:val="24"/>
        </w:rPr>
      </w:pPr>
      <w:r>
        <w:rPr>
          <w:rFonts w:hint="eastAsia"/>
          <w:bCs/>
          <w:sz w:val="24"/>
        </w:rPr>
        <w:t>3</w:t>
      </w:r>
      <w:r>
        <w:rPr>
          <w:bCs/>
          <w:sz w:val="24"/>
        </w:rPr>
        <w:t>、基金财产的清算</w:t>
      </w:r>
    </w:p>
    <w:p w14:paraId="3BC369EA" w14:textId="5FB11557"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52C311A5" w14:textId="0172D28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088C667" w14:textId="31C5A7E9"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3A3020A1" w14:textId="03CF3A64"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14:paraId="636097B4" w14:textId="6335DB9C" w:rsidR="0004536B" w:rsidRDefault="003574EC">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14:paraId="0BA8BEB8" w14:textId="445834B1" w:rsidR="0004536B" w:rsidRDefault="003574EC">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14:paraId="63A942A7" w14:textId="1D9490DC" w:rsidR="0004536B" w:rsidRDefault="003574EC">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14:paraId="6F6EE824" w14:textId="252A9784" w:rsidR="0004536B" w:rsidRDefault="003574EC">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14:paraId="0CCCA75D" w14:textId="410B7A17" w:rsidR="0004536B" w:rsidRDefault="003574EC">
      <w:pPr>
        <w:adjustRightInd w:val="0"/>
        <w:snapToGrid w:val="0"/>
        <w:spacing w:line="360" w:lineRule="auto"/>
        <w:ind w:firstLineChars="200" w:firstLine="480"/>
        <w:rPr>
          <w:bCs/>
          <w:sz w:val="24"/>
        </w:rPr>
      </w:pPr>
      <w:r>
        <w:rPr>
          <w:rFonts w:hint="eastAsia"/>
          <w:bCs/>
          <w:sz w:val="24"/>
        </w:rPr>
        <w:lastRenderedPageBreak/>
        <w:t>5</w:t>
      </w:r>
      <w:r>
        <w:rPr>
          <w:rFonts w:hint="eastAsia"/>
          <w:bCs/>
          <w:sz w:val="24"/>
        </w:rPr>
        <w:t>）聘请会计师事务所对清算报告进行外部审计，聘请律师事务所对清算报告出具法律意见书；</w:t>
      </w:r>
    </w:p>
    <w:p w14:paraId="223D5F0C" w14:textId="28566C40" w:rsidR="0004536B" w:rsidRDefault="003574EC">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14:paraId="2774150B" w14:textId="480551EF" w:rsidR="0004536B" w:rsidRDefault="003574EC">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14:paraId="2B581DFD" w14:textId="76D069B3" w:rsidR="0004536B" w:rsidRDefault="003574EC">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6E834853" w14:textId="46FB1E92" w:rsidR="0004536B" w:rsidRDefault="003574EC" w:rsidP="00210D77">
      <w:pPr>
        <w:adjustRightInd w:val="0"/>
        <w:snapToGrid w:val="0"/>
        <w:spacing w:line="360" w:lineRule="auto"/>
        <w:ind w:firstLineChars="200" w:firstLine="480"/>
        <w:rPr>
          <w:bCs/>
          <w:sz w:val="24"/>
        </w:rPr>
      </w:pPr>
      <w:r>
        <w:rPr>
          <w:rFonts w:hint="eastAsia"/>
          <w:bCs/>
          <w:sz w:val="24"/>
        </w:rPr>
        <w:t>4</w:t>
      </w:r>
      <w:r>
        <w:rPr>
          <w:bCs/>
          <w:sz w:val="24"/>
        </w:rPr>
        <w:t>、清算费用</w:t>
      </w:r>
    </w:p>
    <w:p w14:paraId="3D7A9B0D" w14:textId="2028EFE1" w:rsidR="0004536B" w:rsidRDefault="003574EC">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39B2827" w14:textId="5E981CF0" w:rsidR="0004536B" w:rsidRDefault="003574EC" w:rsidP="00210D77">
      <w:pPr>
        <w:adjustRightInd w:val="0"/>
        <w:snapToGrid w:val="0"/>
        <w:spacing w:line="360" w:lineRule="auto"/>
        <w:ind w:firstLineChars="200" w:firstLine="480"/>
        <w:rPr>
          <w:bCs/>
          <w:sz w:val="24"/>
        </w:rPr>
      </w:pPr>
      <w:r>
        <w:rPr>
          <w:rFonts w:hint="eastAsia"/>
          <w:bCs/>
          <w:sz w:val="24"/>
        </w:rPr>
        <w:t>5</w:t>
      </w:r>
      <w:r>
        <w:rPr>
          <w:bCs/>
          <w:sz w:val="24"/>
        </w:rPr>
        <w:t>、基金财产清算剩余资产的分配</w:t>
      </w:r>
    </w:p>
    <w:p w14:paraId="12601F43" w14:textId="0F2308B6" w:rsidR="0004536B" w:rsidRDefault="003574EC">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0C9BFE92" w14:textId="297B77D1" w:rsidR="0004536B" w:rsidRDefault="003574EC" w:rsidP="00210D77">
      <w:pPr>
        <w:adjustRightInd w:val="0"/>
        <w:snapToGrid w:val="0"/>
        <w:spacing w:line="360" w:lineRule="auto"/>
        <w:ind w:firstLineChars="200" w:firstLine="480"/>
        <w:rPr>
          <w:bCs/>
          <w:sz w:val="24"/>
        </w:rPr>
      </w:pPr>
      <w:r>
        <w:rPr>
          <w:rFonts w:hint="eastAsia"/>
          <w:bCs/>
          <w:sz w:val="24"/>
        </w:rPr>
        <w:t>6</w:t>
      </w:r>
      <w:r>
        <w:rPr>
          <w:bCs/>
          <w:sz w:val="24"/>
        </w:rPr>
        <w:t>、基金财产清算的公告</w:t>
      </w:r>
    </w:p>
    <w:p w14:paraId="5781E77A" w14:textId="46CB4DEB" w:rsidR="0004536B" w:rsidRDefault="003574EC">
      <w:pPr>
        <w:adjustRightInd w:val="0"/>
        <w:snapToGrid w:val="0"/>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2D9A1541" w14:textId="19E0EBBD" w:rsidR="0004536B" w:rsidRDefault="003574EC" w:rsidP="00210D77">
      <w:pPr>
        <w:adjustRightInd w:val="0"/>
        <w:snapToGrid w:val="0"/>
        <w:spacing w:line="360" w:lineRule="auto"/>
        <w:ind w:firstLineChars="200" w:firstLine="480"/>
        <w:rPr>
          <w:bCs/>
          <w:sz w:val="24"/>
        </w:rPr>
      </w:pPr>
      <w:r>
        <w:rPr>
          <w:rFonts w:hint="eastAsia"/>
          <w:bCs/>
          <w:sz w:val="24"/>
        </w:rPr>
        <w:t>7</w:t>
      </w:r>
      <w:r>
        <w:rPr>
          <w:bCs/>
          <w:sz w:val="24"/>
        </w:rPr>
        <w:t>、基金财产清算账册及文件的保存</w:t>
      </w:r>
    </w:p>
    <w:p w14:paraId="0B2E219A" w14:textId="437EE6B0" w:rsidR="0004536B" w:rsidRDefault="003574EC" w:rsidP="00210D77">
      <w:pPr>
        <w:adjustRightInd w:val="0"/>
        <w:snapToGrid w:val="0"/>
        <w:spacing w:line="360" w:lineRule="auto"/>
        <w:ind w:firstLineChars="200" w:firstLine="480"/>
        <w:rPr>
          <w:bCs/>
          <w:sz w:val="24"/>
        </w:rPr>
      </w:pPr>
      <w:r>
        <w:rPr>
          <w:rFonts w:hint="eastAsia"/>
          <w:bCs/>
          <w:sz w:val="24"/>
        </w:rPr>
        <w:t>基金财产清算账册及有关文件由基金托管人保存不低于法律法规规定的最低期限。</w:t>
      </w:r>
    </w:p>
    <w:p w14:paraId="03CBD343" w14:textId="38357738"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（四）争议</w:t>
      </w:r>
      <w:r w:rsidRPr="00E917F4">
        <w:rPr>
          <w:rFonts w:hAnsi="宋体" w:hint="eastAsia"/>
          <w:b/>
          <w:sz w:val="24"/>
        </w:rPr>
        <w:t>解决方式</w:t>
      </w:r>
    </w:p>
    <w:p w14:paraId="3D745B4D" w14:textId="2737E4B6" w:rsidR="0004536B" w:rsidRDefault="003574EC">
      <w:pPr>
        <w:adjustRightInd w:val="0"/>
        <w:snapToGrid w:val="0"/>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33DF6806" w14:textId="12594BF2" w:rsidR="0004536B" w:rsidRDefault="003574EC">
      <w:pPr>
        <w:adjustRightInd w:val="0"/>
        <w:snapToGrid w:val="0"/>
        <w:spacing w:line="360" w:lineRule="auto"/>
        <w:ind w:firstLineChars="200" w:firstLine="480"/>
        <w:rPr>
          <w:bCs/>
          <w:sz w:val="24"/>
        </w:rPr>
      </w:pPr>
      <w:r>
        <w:rPr>
          <w:rFonts w:hint="eastAsia"/>
          <w:bCs/>
          <w:sz w:val="24"/>
        </w:rPr>
        <w:lastRenderedPageBreak/>
        <w:t>争议处理期间，基金合同当事人应恪守各自的职责，继续忠实、勤勉、尽责地履行基金合同规定的义务，维护基金份额持有人的合法权益。</w:t>
      </w:r>
    </w:p>
    <w:p w14:paraId="1CA679DC" w14:textId="0A4F68E6" w:rsidR="0004536B" w:rsidRDefault="003574EC">
      <w:pPr>
        <w:adjustRightInd w:val="0"/>
        <w:snapToGrid w:val="0"/>
        <w:spacing w:line="360" w:lineRule="auto"/>
        <w:ind w:firstLineChars="200" w:firstLine="480"/>
        <w:rPr>
          <w:bCs/>
          <w:sz w:val="24"/>
        </w:rPr>
      </w:pPr>
      <w:r>
        <w:rPr>
          <w:rFonts w:hint="eastAsia"/>
          <w:bCs/>
          <w:sz w:val="24"/>
        </w:rPr>
        <w:t>《基金合同》受中国法律（不含港澳台地区法律）管辖。</w:t>
      </w:r>
    </w:p>
    <w:p w14:paraId="399DB1EE" w14:textId="4E0EF06B" w:rsidR="0004536B" w:rsidRPr="00E917F4" w:rsidRDefault="003574EC" w:rsidP="00E917F4">
      <w:pPr>
        <w:pStyle w:val="a0"/>
        <w:autoSpaceDE w:val="0"/>
        <w:autoSpaceDN w:val="0"/>
        <w:adjustRightInd w:val="0"/>
        <w:snapToGrid w:val="0"/>
        <w:spacing w:line="360" w:lineRule="auto"/>
        <w:ind w:firstLine="482"/>
        <w:rPr>
          <w:rFonts w:hAnsi="宋体"/>
          <w:b/>
          <w:sz w:val="24"/>
        </w:rPr>
      </w:pPr>
      <w:bookmarkStart w:id="101" w:name="_Toc523711688"/>
      <w:r w:rsidRPr="00E917F4">
        <w:rPr>
          <w:rFonts w:hAnsi="宋体"/>
          <w:b/>
          <w:sz w:val="24"/>
        </w:rPr>
        <w:t>（五）基金合同存放地和投资者取得基金合同的方式</w:t>
      </w:r>
    </w:p>
    <w:bookmarkEnd w:id="101"/>
    <w:p w14:paraId="71BFDC76" w14:textId="322DE477" w:rsidR="0004536B" w:rsidRDefault="003574EC">
      <w:pPr>
        <w:adjustRightInd w:val="0"/>
        <w:snapToGrid w:val="0"/>
        <w:spacing w:line="360" w:lineRule="auto"/>
        <w:ind w:firstLineChars="200" w:firstLine="480"/>
        <w:rPr>
          <w:bCs/>
          <w:sz w:val="24"/>
        </w:rPr>
      </w:pPr>
      <w:r>
        <w:rPr>
          <w:rFonts w:hint="eastAsia"/>
          <w:bCs/>
          <w:sz w:val="24"/>
        </w:rPr>
        <w:t>《基金合同》正本一式三份，除上报有关监管机构一份外，基金管理人、基金托管人各持有一份，每份具有同等的法律效力。</w:t>
      </w:r>
    </w:p>
    <w:p w14:paraId="6879955F" w14:textId="21A27B6C" w:rsidR="0004536B" w:rsidRDefault="003574EC">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14:paraId="1B645D1E" w14:textId="20C8DD38"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2" w:name="_Toc139631569"/>
      <w:bookmarkStart w:id="103" w:name="_Hlk130846689"/>
      <w:r>
        <w:rPr>
          <w:rFonts w:ascii="宋体" w:hAnsi="宋体" w:hint="eastAsia"/>
          <w:b/>
          <w:kern w:val="0"/>
          <w:sz w:val="30"/>
        </w:rPr>
        <w:lastRenderedPageBreak/>
        <w:t>二十</w:t>
      </w:r>
      <w:r w:rsidR="00827A2B">
        <w:rPr>
          <w:rFonts w:ascii="宋体" w:hAnsi="宋体" w:hint="eastAsia"/>
          <w:b/>
          <w:kern w:val="0"/>
          <w:sz w:val="30"/>
        </w:rPr>
        <w:t>一</w:t>
      </w:r>
      <w:r>
        <w:rPr>
          <w:rFonts w:ascii="宋体" w:hAnsi="宋体" w:hint="eastAsia"/>
          <w:b/>
          <w:kern w:val="0"/>
          <w:sz w:val="30"/>
        </w:rPr>
        <w:t>、托管协议的内容摘要</w:t>
      </w:r>
      <w:bookmarkEnd w:id="102"/>
    </w:p>
    <w:p w14:paraId="7455082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（一）托管协议当事人</w:t>
      </w:r>
    </w:p>
    <w:p w14:paraId="7D27ED6E" w14:textId="77777777" w:rsidR="0004536B" w:rsidRDefault="003574EC" w:rsidP="00210D77">
      <w:pPr>
        <w:adjustRightInd w:val="0"/>
        <w:snapToGrid w:val="0"/>
        <w:spacing w:line="360" w:lineRule="auto"/>
        <w:ind w:firstLineChars="200" w:firstLine="480"/>
        <w:rPr>
          <w:bCs/>
          <w:sz w:val="24"/>
        </w:rPr>
      </w:pPr>
      <w:r>
        <w:rPr>
          <w:rFonts w:hint="eastAsia"/>
          <w:bCs/>
          <w:sz w:val="24"/>
        </w:rPr>
        <w:t>1</w:t>
      </w:r>
      <w:r>
        <w:rPr>
          <w:rFonts w:hint="eastAsia"/>
          <w:bCs/>
          <w:sz w:val="24"/>
        </w:rPr>
        <w:t>、基金管理人</w:t>
      </w:r>
    </w:p>
    <w:p w14:paraId="7FCC86A0" w14:textId="77777777" w:rsidR="0004536B" w:rsidRDefault="003574EC">
      <w:pPr>
        <w:widowControl/>
        <w:adjustRightInd w:val="0"/>
        <w:snapToGrid w:val="0"/>
        <w:spacing w:line="360" w:lineRule="auto"/>
        <w:ind w:firstLineChars="200" w:firstLine="480"/>
        <w:rPr>
          <w:bCs/>
          <w:sz w:val="24"/>
        </w:rPr>
      </w:pPr>
      <w:r>
        <w:rPr>
          <w:rFonts w:hint="eastAsia"/>
          <w:bCs/>
          <w:sz w:val="24"/>
        </w:rPr>
        <w:t>名称：交银施罗德基金管理有限公司</w:t>
      </w:r>
    </w:p>
    <w:p w14:paraId="64559718" w14:textId="77777777" w:rsidR="0004536B" w:rsidRDefault="003574EC">
      <w:pPr>
        <w:widowControl/>
        <w:adjustRightInd w:val="0"/>
        <w:snapToGrid w:val="0"/>
        <w:spacing w:line="360" w:lineRule="auto"/>
        <w:ind w:firstLineChars="200" w:firstLine="480"/>
        <w:rPr>
          <w:bCs/>
          <w:sz w:val="24"/>
        </w:rPr>
      </w:pPr>
      <w:r>
        <w:rPr>
          <w:rFonts w:hint="eastAsia"/>
          <w:bCs/>
          <w:sz w:val="24"/>
        </w:rPr>
        <w:t>注册地址：中国（上海）自由贸易试验区银城中路</w:t>
      </w:r>
      <w:r>
        <w:rPr>
          <w:rFonts w:hint="eastAsia"/>
          <w:bCs/>
          <w:sz w:val="24"/>
        </w:rPr>
        <w:t>188</w:t>
      </w:r>
      <w:r>
        <w:rPr>
          <w:rFonts w:hint="eastAsia"/>
          <w:bCs/>
          <w:sz w:val="24"/>
        </w:rPr>
        <w:t>号交通银行大楼二层（裙）</w:t>
      </w:r>
    </w:p>
    <w:p w14:paraId="42924E02" w14:textId="77777777" w:rsidR="0004536B" w:rsidRDefault="003574EC">
      <w:pPr>
        <w:widowControl/>
        <w:adjustRightInd w:val="0"/>
        <w:snapToGrid w:val="0"/>
        <w:spacing w:line="360" w:lineRule="auto"/>
        <w:ind w:firstLineChars="200" w:firstLine="480"/>
        <w:rPr>
          <w:bCs/>
          <w:sz w:val="24"/>
        </w:rPr>
      </w:pPr>
      <w:r>
        <w:rPr>
          <w:rFonts w:hint="eastAsia"/>
          <w:bCs/>
          <w:sz w:val="24"/>
        </w:rPr>
        <w:t>办公地址：上海市浦东新区世纪大道</w:t>
      </w:r>
      <w:r>
        <w:rPr>
          <w:rFonts w:hint="eastAsia"/>
          <w:bCs/>
          <w:sz w:val="24"/>
        </w:rPr>
        <w:t>8</w:t>
      </w:r>
      <w:r>
        <w:rPr>
          <w:rFonts w:hint="eastAsia"/>
          <w:bCs/>
          <w:sz w:val="24"/>
        </w:rPr>
        <w:t>号国金中心二期</w:t>
      </w:r>
      <w:r>
        <w:rPr>
          <w:rFonts w:hint="eastAsia"/>
          <w:bCs/>
          <w:sz w:val="24"/>
        </w:rPr>
        <w:t>21-22</w:t>
      </w:r>
      <w:r>
        <w:rPr>
          <w:rFonts w:hint="eastAsia"/>
          <w:bCs/>
          <w:sz w:val="24"/>
        </w:rPr>
        <w:t>楼</w:t>
      </w:r>
    </w:p>
    <w:p w14:paraId="01C777D9" w14:textId="77777777" w:rsidR="0004536B" w:rsidRDefault="003574EC">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200120</w:t>
      </w:r>
    </w:p>
    <w:p w14:paraId="5C4D807E" w14:textId="77777777" w:rsidR="0004536B" w:rsidRDefault="003574EC">
      <w:pPr>
        <w:widowControl/>
        <w:adjustRightInd w:val="0"/>
        <w:snapToGrid w:val="0"/>
        <w:spacing w:line="360" w:lineRule="auto"/>
        <w:ind w:firstLineChars="200" w:firstLine="480"/>
        <w:rPr>
          <w:bCs/>
          <w:sz w:val="24"/>
        </w:rPr>
      </w:pPr>
      <w:r>
        <w:rPr>
          <w:rFonts w:hint="eastAsia"/>
          <w:bCs/>
          <w:sz w:val="24"/>
        </w:rPr>
        <w:t>法定代表人：阮红</w:t>
      </w:r>
    </w:p>
    <w:p w14:paraId="2447589D" w14:textId="77777777" w:rsidR="0004536B" w:rsidRDefault="003574EC">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14:paraId="601F4CA9" w14:textId="77777777" w:rsidR="0004536B" w:rsidRDefault="003574EC">
      <w:pPr>
        <w:widowControl/>
        <w:adjustRightInd w:val="0"/>
        <w:snapToGrid w:val="0"/>
        <w:spacing w:line="360" w:lineRule="auto"/>
        <w:ind w:firstLineChars="200" w:firstLine="480"/>
        <w:rPr>
          <w:bCs/>
          <w:sz w:val="24"/>
        </w:rPr>
      </w:pPr>
      <w:r>
        <w:rPr>
          <w:rFonts w:hint="eastAsia"/>
          <w:bCs/>
          <w:sz w:val="24"/>
        </w:rPr>
        <w:t>批准设立机关及批准设立文号：中国证监会证监基金字</w:t>
      </w:r>
      <w:r>
        <w:rPr>
          <w:rFonts w:hint="eastAsia"/>
          <w:bCs/>
          <w:sz w:val="24"/>
        </w:rPr>
        <w:t>[2005]128</w:t>
      </w:r>
      <w:r>
        <w:rPr>
          <w:rFonts w:hint="eastAsia"/>
          <w:bCs/>
          <w:sz w:val="24"/>
        </w:rPr>
        <w:t>号</w:t>
      </w:r>
    </w:p>
    <w:p w14:paraId="2BCCD021" w14:textId="77777777" w:rsidR="0004536B" w:rsidRDefault="003574EC">
      <w:pPr>
        <w:widowControl/>
        <w:adjustRightInd w:val="0"/>
        <w:snapToGrid w:val="0"/>
        <w:spacing w:line="360" w:lineRule="auto"/>
        <w:ind w:firstLineChars="200" w:firstLine="480"/>
        <w:rPr>
          <w:bCs/>
          <w:sz w:val="24"/>
        </w:rPr>
      </w:pPr>
      <w:r>
        <w:rPr>
          <w:rFonts w:hint="eastAsia"/>
          <w:bCs/>
          <w:sz w:val="24"/>
        </w:rPr>
        <w:t>组织形式：有限责任公司</w:t>
      </w:r>
    </w:p>
    <w:p w14:paraId="6B594892" w14:textId="77777777" w:rsidR="0004536B" w:rsidRDefault="003574EC">
      <w:pPr>
        <w:widowControl/>
        <w:adjustRightInd w:val="0"/>
        <w:snapToGrid w:val="0"/>
        <w:spacing w:line="360" w:lineRule="auto"/>
        <w:ind w:firstLineChars="200" w:firstLine="480"/>
        <w:rPr>
          <w:bCs/>
          <w:sz w:val="24"/>
        </w:rPr>
      </w:pPr>
      <w:r>
        <w:rPr>
          <w:rFonts w:hint="eastAsia"/>
          <w:bCs/>
          <w:sz w:val="24"/>
        </w:rPr>
        <w:t>注册资本：</w:t>
      </w:r>
      <w:r>
        <w:rPr>
          <w:rFonts w:hint="eastAsia"/>
          <w:bCs/>
          <w:sz w:val="24"/>
        </w:rPr>
        <w:t>2</w:t>
      </w:r>
      <w:r>
        <w:rPr>
          <w:rFonts w:hint="eastAsia"/>
          <w:bCs/>
          <w:sz w:val="24"/>
        </w:rPr>
        <w:t>亿元人民币</w:t>
      </w:r>
    </w:p>
    <w:p w14:paraId="5B41E6EC" w14:textId="77777777" w:rsidR="0004536B" w:rsidRDefault="003574EC">
      <w:pPr>
        <w:widowControl/>
        <w:adjustRightInd w:val="0"/>
        <w:snapToGrid w:val="0"/>
        <w:spacing w:line="360" w:lineRule="auto"/>
        <w:ind w:firstLineChars="200" w:firstLine="480"/>
        <w:rPr>
          <w:bCs/>
          <w:sz w:val="24"/>
        </w:rPr>
      </w:pPr>
      <w:r>
        <w:rPr>
          <w:rFonts w:hint="eastAsia"/>
          <w:bCs/>
          <w:sz w:val="24"/>
        </w:rPr>
        <w:t>存续期间：持续经营</w:t>
      </w:r>
    </w:p>
    <w:p w14:paraId="0A44DC81" w14:textId="77777777" w:rsidR="0004536B" w:rsidRDefault="003574EC">
      <w:pPr>
        <w:widowControl/>
        <w:adjustRightInd w:val="0"/>
        <w:snapToGrid w:val="0"/>
        <w:spacing w:line="360" w:lineRule="auto"/>
        <w:ind w:firstLineChars="200" w:firstLine="480"/>
        <w:rPr>
          <w:bCs/>
          <w:sz w:val="24"/>
        </w:rPr>
      </w:pPr>
      <w:r>
        <w:rPr>
          <w:rFonts w:hint="eastAsia"/>
          <w:bCs/>
          <w:sz w:val="24"/>
        </w:rPr>
        <w:t>经营范围：基金募集、基金销售、资产管理和中国证监会许可的其它业务</w:t>
      </w:r>
    </w:p>
    <w:p w14:paraId="0ECC0281" w14:textId="77777777" w:rsidR="0004536B" w:rsidRDefault="003574EC" w:rsidP="00210D77">
      <w:pPr>
        <w:adjustRightInd w:val="0"/>
        <w:snapToGrid w:val="0"/>
        <w:spacing w:line="360" w:lineRule="auto"/>
        <w:ind w:firstLineChars="200" w:firstLine="480"/>
        <w:rPr>
          <w:bCs/>
          <w:sz w:val="24"/>
        </w:rPr>
      </w:pPr>
      <w:r>
        <w:rPr>
          <w:rFonts w:hint="eastAsia"/>
          <w:bCs/>
          <w:sz w:val="24"/>
        </w:rPr>
        <w:t>2</w:t>
      </w:r>
      <w:r>
        <w:rPr>
          <w:rFonts w:hint="eastAsia"/>
          <w:bCs/>
          <w:sz w:val="24"/>
        </w:rPr>
        <w:t>、基金托管人</w:t>
      </w:r>
    </w:p>
    <w:p w14:paraId="4388C6D6" w14:textId="77777777" w:rsidR="0004536B" w:rsidRDefault="003574EC">
      <w:pPr>
        <w:widowControl/>
        <w:adjustRightInd w:val="0"/>
        <w:snapToGrid w:val="0"/>
        <w:spacing w:line="360" w:lineRule="auto"/>
        <w:ind w:firstLineChars="200" w:firstLine="480"/>
        <w:rPr>
          <w:bCs/>
          <w:sz w:val="24"/>
        </w:rPr>
      </w:pPr>
      <w:r>
        <w:rPr>
          <w:rFonts w:hint="eastAsia"/>
          <w:bCs/>
          <w:sz w:val="24"/>
        </w:rPr>
        <w:t>名称：中信银行股份有限公司</w:t>
      </w:r>
    </w:p>
    <w:p w14:paraId="7140CD84" w14:textId="77777777" w:rsidR="0004536B" w:rsidRDefault="003574EC">
      <w:pPr>
        <w:widowControl/>
        <w:adjustRightInd w:val="0"/>
        <w:snapToGrid w:val="0"/>
        <w:spacing w:line="360" w:lineRule="auto"/>
        <w:ind w:firstLineChars="200" w:firstLine="48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p>
    <w:p w14:paraId="5E192F9F" w14:textId="6C0938DD" w:rsidR="0004536B" w:rsidRDefault="003574EC">
      <w:pPr>
        <w:widowControl/>
        <w:adjustRightInd w:val="0"/>
        <w:snapToGrid w:val="0"/>
        <w:spacing w:line="360" w:lineRule="auto"/>
        <w:ind w:firstLineChars="200" w:firstLine="480"/>
        <w:rPr>
          <w:bCs/>
          <w:sz w:val="24"/>
        </w:rPr>
      </w:pPr>
      <w:r>
        <w:rPr>
          <w:rFonts w:hint="eastAsia"/>
          <w:bCs/>
          <w:sz w:val="24"/>
        </w:rPr>
        <w:t>法定代表人：</w:t>
      </w:r>
      <w:r w:rsidR="00AA417D" w:rsidRPr="00AA417D">
        <w:rPr>
          <w:rFonts w:hint="eastAsia"/>
          <w:bCs/>
          <w:sz w:val="24"/>
        </w:rPr>
        <w:t>方合英</w:t>
      </w:r>
    </w:p>
    <w:p w14:paraId="0744CB8B" w14:textId="77777777" w:rsidR="0004536B" w:rsidRDefault="003574EC">
      <w:pPr>
        <w:widowControl/>
        <w:adjustRightInd w:val="0"/>
        <w:snapToGrid w:val="0"/>
        <w:spacing w:line="360" w:lineRule="auto"/>
        <w:ind w:firstLineChars="200" w:firstLine="480"/>
        <w:rPr>
          <w:bCs/>
          <w:sz w:val="24"/>
        </w:rPr>
      </w:pPr>
      <w:r>
        <w:rPr>
          <w:rFonts w:hint="eastAsia"/>
          <w:bCs/>
          <w:sz w:val="24"/>
        </w:rPr>
        <w:t>成立时间：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p>
    <w:p w14:paraId="754152BC" w14:textId="77777777" w:rsidR="0004536B" w:rsidRDefault="003574EC">
      <w:pPr>
        <w:widowControl/>
        <w:adjustRightInd w:val="0"/>
        <w:snapToGrid w:val="0"/>
        <w:spacing w:line="360" w:lineRule="auto"/>
        <w:ind w:firstLineChars="200" w:firstLine="480"/>
        <w:rPr>
          <w:bCs/>
          <w:sz w:val="24"/>
        </w:rPr>
      </w:pPr>
      <w:r>
        <w:rPr>
          <w:rFonts w:hint="eastAsia"/>
          <w:bCs/>
          <w:sz w:val="24"/>
        </w:rPr>
        <w:t>批准设立文号：中华人民共和国国务院办公厅国办函</w:t>
      </w:r>
      <w:r>
        <w:rPr>
          <w:rFonts w:hint="eastAsia"/>
          <w:bCs/>
          <w:sz w:val="24"/>
        </w:rPr>
        <w:t>[1987]14</w:t>
      </w:r>
      <w:r>
        <w:rPr>
          <w:rFonts w:hint="eastAsia"/>
          <w:bCs/>
          <w:sz w:val="24"/>
        </w:rPr>
        <w:t>号</w:t>
      </w:r>
    </w:p>
    <w:p w14:paraId="660FDBD3" w14:textId="77777777" w:rsidR="0004536B" w:rsidRDefault="003574EC">
      <w:pPr>
        <w:widowControl/>
        <w:adjustRightInd w:val="0"/>
        <w:snapToGrid w:val="0"/>
        <w:spacing w:line="360" w:lineRule="auto"/>
        <w:ind w:firstLineChars="200" w:firstLine="480"/>
        <w:rPr>
          <w:bCs/>
          <w:sz w:val="24"/>
        </w:rPr>
      </w:pPr>
      <w:r>
        <w:rPr>
          <w:rFonts w:hint="eastAsia"/>
          <w:bCs/>
          <w:sz w:val="24"/>
        </w:rPr>
        <w:t>基金托管业务批准文号：中国证监会证监基金字</w:t>
      </w:r>
      <w:r>
        <w:rPr>
          <w:rFonts w:hint="eastAsia"/>
          <w:bCs/>
          <w:sz w:val="24"/>
        </w:rPr>
        <w:t>[2004]125</w:t>
      </w:r>
      <w:r>
        <w:rPr>
          <w:rFonts w:hint="eastAsia"/>
          <w:bCs/>
          <w:sz w:val="24"/>
        </w:rPr>
        <w:t>号</w:t>
      </w:r>
    </w:p>
    <w:p w14:paraId="09710C4A" w14:textId="77777777" w:rsidR="0004536B" w:rsidRDefault="003574EC">
      <w:pPr>
        <w:widowControl/>
        <w:adjustRightInd w:val="0"/>
        <w:snapToGrid w:val="0"/>
        <w:spacing w:line="360" w:lineRule="auto"/>
        <w:ind w:firstLineChars="200" w:firstLine="480"/>
        <w:rPr>
          <w:bCs/>
          <w:sz w:val="24"/>
        </w:rPr>
      </w:pPr>
      <w:r>
        <w:rPr>
          <w:rFonts w:hint="eastAsia"/>
          <w:bCs/>
          <w:sz w:val="24"/>
        </w:rPr>
        <w:t>组织形式：股份有限公司</w:t>
      </w:r>
    </w:p>
    <w:p w14:paraId="50F1362B" w14:textId="77777777" w:rsidR="0004536B" w:rsidRDefault="003574EC">
      <w:pPr>
        <w:widowControl/>
        <w:adjustRightInd w:val="0"/>
        <w:snapToGrid w:val="0"/>
        <w:spacing w:line="360" w:lineRule="auto"/>
        <w:ind w:firstLineChars="200" w:firstLine="480"/>
        <w:rPr>
          <w:bCs/>
          <w:sz w:val="24"/>
        </w:rPr>
      </w:pPr>
      <w:r>
        <w:rPr>
          <w:rFonts w:hint="eastAsia"/>
          <w:bCs/>
          <w:sz w:val="24"/>
        </w:rPr>
        <w:t>注册资本：</w:t>
      </w:r>
      <w:r>
        <w:rPr>
          <w:rFonts w:hint="eastAsia"/>
          <w:bCs/>
          <w:sz w:val="24"/>
        </w:rPr>
        <w:t>489.35</w:t>
      </w:r>
      <w:r>
        <w:rPr>
          <w:rFonts w:hint="eastAsia"/>
          <w:bCs/>
          <w:sz w:val="24"/>
        </w:rPr>
        <w:t>亿元人民币</w:t>
      </w:r>
    </w:p>
    <w:p w14:paraId="50B7EDCE" w14:textId="77777777" w:rsidR="0004536B" w:rsidRDefault="003574EC">
      <w:pPr>
        <w:widowControl/>
        <w:adjustRightInd w:val="0"/>
        <w:snapToGrid w:val="0"/>
        <w:spacing w:line="360" w:lineRule="auto"/>
        <w:ind w:firstLineChars="200" w:firstLine="480"/>
        <w:rPr>
          <w:bCs/>
          <w:sz w:val="24"/>
        </w:rPr>
      </w:pPr>
      <w:r>
        <w:rPr>
          <w:rFonts w:hint="eastAsia"/>
          <w:bCs/>
          <w:sz w:val="24"/>
        </w:rPr>
        <w:t>存续期间：持续经营</w:t>
      </w:r>
    </w:p>
    <w:p w14:paraId="3B2ADE0A" w14:textId="77777777" w:rsidR="0004536B" w:rsidRDefault="003574EC">
      <w:pPr>
        <w:widowControl/>
        <w:adjustRightInd w:val="0"/>
        <w:snapToGrid w:val="0"/>
        <w:spacing w:line="360" w:lineRule="auto"/>
        <w:ind w:firstLineChars="200" w:firstLine="480"/>
        <w:rPr>
          <w:bCs/>
          <w:sz w:val="24"/>
        </w:rPr>
      </w:pPr>
      <w:r>
        <w:rPr>
          <w:rFonts w:hint="eastAsia"/>
          <w:bCs/>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w:t>
      </w:r>
      <w:r>
        <w:rPr>
          <w:rFonts w:hint="eastAsia"/>
          <w:bCs/>
          <w:sz w:val="24"/>
        </w:rPr>
        <w:lastRenderedPageBreak/>
        <w:t>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7694F62D"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hint="eastAsia"/>
          <w:b/>
          <w:sz w:val="24"/>
        </w:rPr>
        <w:t>（二）基金托管人对基金管理人的业务监督和核查</w:t>
      </w:r>
    </w:p>
    <w:p w14:paraId="4BB526AA"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1、基金托管人对基金管理人的投资行为行使监督权</w:t>
      </w:r>
    </w:p>
    <w:p w14:paraId="7F992D95"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（1）基金托管人根据有关法律法规的规定和基金合同的约定，对下述基金投资范围、投资对象进行监督。本基金将投资于以下金融工具：</w:t>
      </w:r>
    </w:p>
    <w:p w14:paraId="3276A790"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0D0711AA"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14:paraId="116050D0" w14:textId="16FA3140" w:rsidR="00A32A4E" w:rsidRPr="00A32A4E" w:rsidRDefault="003574EC" w:rsidP="00A32A4E">
      <w:pPr>
        <w:adjustRightInd w:val="0"/>
        <w:snapToGrid w:val="0"/>
        <w:spacing w:line="360" w:lineRule="auto"/>
        <w:ind w:firstLine="480"/>
        <w:rPr>
          <w:rFonts w:ascii="宋体" w:hAnsi="宋体"/>
          <w:sz w:val="24"/>
          <w:szCs w:val="24"/>
        </w:rPr>
      </w:pPr>
      <w:r>
        <w:rPr>
          <w:rFonts w:ascii="宋体" w:hAnsi="宋体" w:hint="eastAsia"/>
          <w:sz w:val="24"/>
          <w:szCs w:val="24"/>
        </w:rPr>
        <w:t>基金的投资组合比例为：</w:t>
      </w:r>
      <w:r w:rsidR="00A32A4E" w:rsidRPr="00A32A4E">
        <w:rPr>
          <w:rFonts w:ascii="宋体" w:hAnsi="宋体" w:hint="eastAsia"/>
          <w:sz w:val="24"/>
          <w:szCs w:val="24"/>
        </w:rPr>
        <w:t>股票投资（含存托凭证）占基金资产的比例不低于60%，其中投资于港股通标的股票的比例占股票资产的0%-50%；但应开放期流动性需要，为保护基金份额持有人利益，在每个封闭期结束前三个月、开放期及开放期结束后三个月的期间内，基金投资不受上述比例限制。</w:t>
      </w:r>
    </w:p>
    <w:p w14:paraId="633D4BC5" w14:textId="2DAEA39B" w:rsidR="0004536B" w:rsidRDefault="00A32A4E" w:rsidP="00A32A4E">
      <w:pPr>
        <w:adjustRightInd w:val="0"/>
        <w:snapToGrid w:val="0"/>
        <w:spacing w:line="360" w:lineRule="auto"/>
        <w:ind w:firstLine="480"/>
        <w:rPr>
          <w:rFonts w:ascii="宋体" w:hAnsi="宋体"/>
          <w:sz w:val="24"/>
          <w:szCs w:val="24"/>
        </w:rPr>
      </w:pPr>
      <w:r w:rsidRPr="00A32A4E">
        <w:rPr>
          <w:rFonts w:ascii="宋体" w:hAnsi="宋体" w:hint="eastAsia"/>
          <w:sz w:val="24"/>
          <w:szCs w:val="24"/>
        </w:rPr>
        <w:t>在开放期内，每个交易日日终在扣除股指期货合约需缴纳的交易保证金后，本基金持有的现金或者到期日在一年以内的政府债券的比例合计不低于基金资产净值的5%；在封闭期内，本基金不受上述5%的限制，每个交易日日终在扣除股指期货合约需缴纳的交易保证金后，应当保持不低于交易保证金一倍的现金。其中现金不包</w:t>
      </w:r>
      <w:r w:rsidRPr="00A32A4E">
        <w:rPr>
          <w:rFonts w:ascii="宋体" w:hAnsi="宋体" w:hint="eastAsia"/>
          <w:sz w:val="24"/>
          <w:szCs w:val="24"/>
        </w:rPr>
        <w:lastRenderedPageBreak/>
        <w:t>括结算备付金、存出保证金、应收申购款等。</w:t>
      </w:r>
    </w:p>
    <w:p w14:paraId="4190BA6E"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如果法律法规或中国证监会变更投资品种的投资比例限制，基金管理人在履行适当程序后，可以调整上述投资品种的投资比例。</w:t>
      </w:r>
    </w:p>
    <w:p w14:paraId="684CDD15"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（2）基金托管人根据有关法律法规的规定及基金合同的约定对下述基金投融资比例进行监督：</w:t>
      </w:r>
    </w:p>
    <w:p w14:paraId="1EB45747" w14:textId="2AA6EC3F" w:rsidR="00A32A4E" w:rsidRPr="00A32A4E" w:rsidRDefault="00A32A4E" w:rsidP="00A32A4E">
      <w:pPr>
        <w:adjustRightInd w:val="0"/>
        <w:snapToGrid w:val="0"/>
        <w:spacing w:line="360" w:lineRule="auto"/>
        <w:ind w:firstLine="480"/>
        <w:rPr>
          <w:rFonts w:ascii="宋体" w:hAnsi="宋体"/>
          <w:sz w:val="24"/>
          <w:szCs w:val="24"/>
        </w:rPr>
      </w:pPr>
      <w:r w:rsidRPr="00A32A4E">
        <w:rPr>
          <w:rFonts w:ascii="宋体" w:hAnsi="宋体" w:hint="eastAsia"/>
          <w:sz w:val="24"/>
          <w:szCs w:val="24"/>
        </w:rPr>
        <w:t>1）股票投资（含存托凭证）占基金资产的比例不低于60%，其中投资于港股通标的股票的比例占股票资产的0%-50%；但在每个封闭期结束前三个月、开放期及开放期结束后三个月的期间内，基金投资不受上述比例限制。</w:t>
      </w:r>
    </w:p>
    <w:p w14:paraId="5AF6BF77" w14:textId="5D004320" w:rsidR="0004536B" w:rsidRDefault="00A32A4E">
      <w:pPr>
        <w:adjustRightInd w:val="0"/>
        <w:snapToGrid w:val="0"/>
        <w:spacing w:line="360" w:lineRule="auto"/>
        <w:ind w:firstLine="480"/>
        <w:rPr>
          <w:rFonts w:ascii="宋体" w:hAnsi="宋体"/>
          <w:sz w:val="24"/>
          <w:szCs w:val="24"/>
        </w:rPr>
      </w:pPr>
      <w:r w:rsidRPr="00A32A4E">
        <w:rPr>
          <w:rFonts w:ascii="宋体" w:hAnsi="宋体" w:hint="eastAsia"/>
          <w:sz w:val="24"/>
          <w:szCs w:val="24"/>
        </w:rPr>
        <w:t>2）在开放期内，每个交易日日终在扣除股指期货合约需缴纳的交易保证金后，本基金持有的现金或者到期日在一年以内的政府债券的投资比例合计不低于基金资产净值的5%；在封闭期内，本基金不受上述5%的限制，每个交易日日终在扣除股指期货合约需缴纳的交易保证金后，应当保持不低于交易保证金一倍的现金。其中现金不包括结算备付金、存出保证金、应收申购款等；</w:t>
      </w:r>
    </w:p>
    <w:p w14:paraId="471C1D9C"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3）本基金持有一家公司发行的证券（同一家公司在内地和香港同时上市的A+H股合计计算），其市值不超过基金资产净值的10％；</w:t>
      </w:r>
    </w:p>
    <w:p w14:paraId="1CA8BA4C"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0FFFBA2C"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5）本基金投资于同一原始权益人的各类资产支持证券的比例，不得超过基金资产净值的10％；</w:t>
      </w:r>
    </w:p>
    <w:p w14:paraId="6095E52D"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6）本基金持有的全部资产支持证券，其市值不得超过基金资产净值的20％；</w:t>
      </w:r>
    </w:p>
    <w:p w14:paraId="7185DC37"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7）本基金持有的同一（指同一信用级别）资产支持证券的比例，不得超过该资产支持证券规模的10％；</w:t>
      </w:r>
    </w:p>
    <w:p w14:paraId="375E2743"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8）本基金管理人管理的全部基金投资于同一原始权益人的各类资产支持证券，不得超过其各类资产支持证券合计规模的10％；</w:t>
      </w:r>
    </w:p>
    <w:p w14:paraId="321503CA"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6B3F3D0A"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10）基金财产参与股票发行申购，本基金所申报的金额不超过本基金的总资产，本基金所申报的股票数量不超过拟发行股票公司本次发行股票的总量；</w:t>
      </w:r>
    </w:p>
    <w:p w14:paraId="7A0CD8C0" w14:textId="0AE4F0C4" w:rsidR="0004536B" w:rsidRDefault="003574EC" w:rsidP="00A32A4E">
      <w:pPr>
        <w:adjustRightInd w:val="0"/>
        <w:snapToGrid w:val="0"/>
        <w:spacing w:line="360" w:lineRule="auto"/>
        <w:ind w:firstLine="480"/>
        <w:rPr>
          <w:rFonts w:ascii="宋体" w:hAnsi="宋体"/>
          <w:sz w:val="24"/>
          <w:szCs w:val="24"/>
        </w:rPr>
      </w:pPr>
      <w:r>
        <w:rPr>
          <w:rFonts w:ascii="宋体" w:hAnsi="宋体" w:hint="eastAsia"/>
          <w:sz w:val="24"/>
          <w:szCs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9E4351C" w14:textId="3E306181"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w:t>
      </w:r>
      <w:r w:rsidR="00A32A4E">
        <w:rPr>
          <w:rFonts w:ascii="宋体" w:hAnsi="宋体"/>
          <w:sz w:val="24"/>
          <w:szCs w:val="24"/>
        </w:rPr>
        <w:t>2</w:t>
      </w:r>
      <w:r>
        <w:rPr>
          <w:rFonts w:ascii="宋体" w:hAnsi="宋体" w:hint="eastAsia"/>
          <w:sz w:val="24"/>
          <w:szCs w:val="24"/>
        </w:rPr>
        <w:t>）</w:t>
      </w:r>
      <w:r w:rsidR="00C84366" w:rsidRPr="00C84366">
        <w:rPr>
          <w:rFonts w:ascii="宋体" w:hAnsi="宋体" w:hint="eastAsia"/>
          <w:sz w:val="24"/>
          <w:szCs w:val="24"/>
        </w:rPr>
        <w:t>在开放期内，</w:t>
      </w:r>
      <w:r>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2D65AA6" w14:textId="5A14AA01"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w:t>
      </w:r>
      <w:r w:rsidR="00A32A4E">
        <w:rPr>
          <w:rFonts w:ascii="宋体" w:hAnsi="宋体"/>
          <w:sz w:val="24"/>
          <w:szCs w:val="24"/>
        </w:rPr>
        <w:t>3</w:t>
      </w:r>
      <w:r>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1460663A" w14:textId="65CACAE4"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w:t>
      </w:r>
      <w:r w:rsidR="00A32A4E">
        <w:rPr>
          <w:rFonts w:ascii="宋体" w:hAnsi="宋体"/>
          <w:sz w:val="24"/>
          <w:szCs w:val="24"/>
        </w:rPr>
        <w:t>4</w:t>
      </w:r>
      <w:r>
        <w:rPr>
          <w:rFonts w:ascii="宋体" w:hAnsi="宋体" w:hint="eastAsia"/>
          <w:sz w:val="24"/>
          <w:szCs w:val="24"/>
        </w:rPr>
        <w:t>）本基金参与股指期货交易，则：</w:t>
      </w:r>
    </w:p>
    <w:p w14:paraId="513E8354" w14:textId="38D75A3E" w:rsidR="0004536B" w:rsidRDefault="00F65998">
      <w:pPr>
        <w:adjustRightInd w:val="0"/>
        <w:snapToGrid w:val="0"/>
        <w:spacing w:line="360" w:lineRule="auto"/>
        <w:ind w:firstLine="480"/>
        <w:rPr>
          <w:rFonts w:ascii="宋体" w:hAnsi="宋体"/>
          <w:sz w:val="24"/>
          <w:szCs w:val="24"/>
        </w:rPr>
      </w:pPr>
      <w:r w:rsidRPr="00210D77">
        <w:rPr>
          <w:rFonts w:hint="eastAsia"/>
          <w:bCs/>
          <w:sz w:val="24"/>
        </w:rPr>
        <w:t>①</w:t>
      </w:r>
      <w:r w:rsidR="003574EC">
        <w:rPr>
          <w:rFonts w:ascii="宋体" w:hAnsi="宋体" w:hint="eastAsia"/>
          <w:sz w:val="24"/>
          <w:szCs w:val="24"/>
        </w:rPr>
        <w:t>本基金在任何交易日日终，持有的买入股指期货合约价值，不得超过基金资产净值的10%；</w:t>
      </w:r>
    </w:p>
    <w:p w14:paraId="6641198F" w14:textId="38ADBBFD" w:rsidR="0004536B" w:rsidRDefault="00F65998">
      <w:pPr>
        <w:adjustRightInd w:val="0"/>
        <w:snapToGrid w:val="0"/>
        <w:spacing w:line="360" w:lineRule="auto"/>
        <w:ind w:firstLine="480"/>
        <w:rPr>
          <w:rFonts w:ascii="宋体" w:hAnsi="宋体"/>
          <w:sz w:val="24"/>
          <w:szCs w:val="24"/>
        </w:rPr>
      </w:pPr>
      <w:r>
        <w:rPr>
          <mc:AlternateContent>
            <mc:Choice Requires="w16se">
              <w:rFonts w:ascii="宋体" w:hAnsi="宋体" w:hint="eastAsia"/>
            </mc:Choice>
            <mc:Fallback>
              <w:rFonts w:ascii="宋体" w:hAnsi="宋体" w:cs="宋体" w:hint="eastAsia"/>
            </mc:Fallback>
          </mc:AlternateContent>
          <w:sz w:val="24"/>
          <w:szCs w:val="24"/>
        </w:rPr>
        <mc:AlternateContent>
          <mc:Choice Requires="w16se">
            <w16se:symEx w16se:font="宋体" w16se:char="2461"/>
          </mc:Choice>
          <mc:Fallback>
            <w:t>②</w:t>
          </mc:Fallback>
        </mc:AlternateContent>
      </w:r>
      <w:r w:rsidR="00A32A4E" w:rsidRPr="00A32A4E">
        <w:rPr>
          <w:rFonts w:ascii="宋体" w:hAnsi="宋体" w:hint="eastAsia"/>
          <w:sz w:val="24"/>
          <w:szCs w:val="24"/>
        </w:rPr>
        <w:t>本基金开放期内，在任何交易日日终，持有的买入股指期货合约价值与有价证券市值之和，不得超过基金资产净值的95%；封闭期内，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6A7E804D" w14:textId="7C11ACFA" w:rsidR="0004536B" w:rsidRDefault="00F65998">
      <w:pPr>
        <w:adjustRightInd w:val="0"/>
        <w:snapToGrid w:val="0"/>
        <w:spacing w:line="360" w:lineRule="auto"/>
        <w:ind w:firstLine="480"/>
        <w:rPr>
          <w:rFonts w:ascii="宋体" w:hAnsi="宋体"/>
          <w:sz w:val="24"/>
          <w:szCs w:val="24"/>
        </w:rPr>
      </w:pPr>
      <w:r>
        <w:rPr>
          <mc:AlternateContent>
            <mc:Choice Requires="w16se">
              <w:rFonts w:ascii="宋体" w:hAnsi="宋体" w:hint="eastAsia"/>
            </mc:Choice>
            <mc:Fallback>
              <w:rFonts w:ascii="宋体" w:hAnsi="宋体" w:cs="宋体" w:hint="eastAsia"/>
            </mc:Fallback>
          </mc:AlternateContent>
          <w:sz w:val="24"/>
          <w:szCs w:val="24"/>
        </w:rPr>
        <mc:AlternateContent>
          <mc:Choice Requires="w16se">
            <w16se:symEx w16se:font="宋体" w16se:char="2462"/>
          </mc:Choice>
          <mc:Fallback>
            <w:t>③</w:t>
          </mc:Fallback>
        </mc:AlternateContent>
      </w:r>
      <w:r w:rsidR="003574EC">
        <w:rPr>
          <w:rFonts w:ascii="宋体" w:hAnsi="宋体" w:hint="eastAsia"/>
          <w:sz w:val="24"/>
          <w:szCs w:val="24"/>
        </w:rPr>
        <w:t>本基金在任何交易日日终，持有的卖出股指期货合约价值不得超过基金持有的股票总市值的20%；</w:t>
      </w:r>
    </w:p>
    <w:p w14:paraId="120D05C2" w14:textId="4D25EB61" w:rsidR="0004536B" w:rsidRDefault="00F65998">
      <w:pPr>
        <w:adjustRightInd w:val="0"/>
        <w:snapToGrid w:val="0"/>
        <w:spacing w:line="360" w:lineRule="auto"/>
        <w:ind w:firstLine="480"/>
        <w:rPr>
          <w:rFonts w:ascii="宋体" w:hAnsi="宋体"/>
          <w:sz w:val="24"/>
          <w:szCs w:val="24"/>
        </w:rPr>
      </w:pPr>
      <w:r>
        <w:rPr>
          <mc:AlternateContent>
            <mc:Choice Requires="w16se">
              <w:rFonts w:ascii="宋体" w:hAnsi="宋体" w:hint="eastAsia"/>
            </mc:Choice>
            <mc:Fallback>
              <w:rFonts w:ascii="宋体" w:hAnsi="宋体" w:cs="宋体" w:hint="eastAsia"/>
            </mc:Fallback>
          </mc:AlternateContent>
          <w:sz w:val="24"/>
          <w:szCs w:val="24"/>
        </w:rPr>
        <mc:AlternateContent>
          <mc:Choice Requires="w16se">
            <w16se:symEx w16se:font="宋体" w16se:char="2463"/>
          </mc:Choice>
          <mc:Fallback>
            <w:t>④</w:t>
          </mc:Fallback>
        </mc:AlternateContent>
      </w:r>
      <w:r w:rsidR="003574EC">
        <w:rPr>
          <w:rFonts w:ascii="宋体" w:hAnsi="宋体" w:hint="eastAsia"/>
          <w:sz w:val="24"/>
          <w:szCs w:val="24"/>
        </w:rPr>
        <w:t>本基金所持有的股票市值和买入、卖出股指期货合约价值，合计（轧差计算）应当符合基金合同关于股票投资比例的有关约定；</w:t>
      </w:r>
    </w:p>
    <w:p w14:paraId="18A299A7" w14:textId="42C3CC1E" w:rsidR="0004536B" w:rsidRDefault="00F65998">
      <w:pPr>
        <w:adjustRightInd w:val="0"/>
        <w:snapToGrid w:val="0"/>
        <w:spacing w:line="360" w:lineRule="auto"/>
        <w:ind w:firstLine="480"/>
        <w:rPr>
          <w:rFonts w:ascii="宋体" w:hAnsi="宋体"/>
          <w:sz w:val="24"/>
          <w:szCs w:val="24"/>
        </w:rPr>
      </w:pPr>
      <w:r>
        <w:rPr>
          <mc:AlternateContent>
            <mc:Choice Requires="w16se">
              <w:rFonts w:ascii="宋体" w:hAnsi="宋体" w:hint="eastAsia"/>
            </mc:Choice>
            <mc:Fallback>
              <w:rFonts w:ascii="宋体" w:hAnsi="宋体" w:cs="宋体" w:hint="eastAsia"/>
            </mc:Fallback>
          </mc:AlternateContent>
          <w:sz w:val="24"/>
          <w:szCs w:val="24"/>
        </w:rPr>
        <mc:AlternateContent>
          <mc:Choice Requires="w16se">
            <w16se:symEx w16se:font="宋体" w16se:char="2464"/>
          </mc:Choice>
          <mc:Fallback>
            <w:t>⑤</w:t>
          </mc:Fallback>
        </mc:AlternateContent>
      </w:r>
      <w:r w:rsidR="003574EC">
        <w:rPr>
          <w:rFonts w:ascii="宋体" w:hAnsi="宋体" w:hint="eastAsia"/>
          <w:sz w:val="24"/>
          <w:szCs w:val="24"/>
        </w:rPr>
        <w:t>本基金在任何交易日内交易（不包括平仓）的股指期货合约的成交金额不得超过上一交易日基金资产净值的20%；</w:t>
      </w:r>
    </w:p>
    <w:p w14:paraId="30ED5BA8" w14:textId="6096FEC0" w:rsidR="0004536B" w:rsidRDefault="00A32A4E">
      <w:pPr>
        <w:adjustRightInd w:val="0"/>
        <w:snapToGrid w:val="0"/>
        <w:spacing w:line="360" w:lineRule="auto"/>
        <w:ind w:firstLine="480"/>
        <w:rPr>
          <w:rFonts w:ascii="宋体" w:hAnsi="宋体"/>
          <w:sz w:val="24"/>
          <w:szCs w:val="24"/>
        </w:rPr>
      </w:pPr>
      <w:r w:rsidRPr="00A32A4E">
        <w:rPr>
          <w:rFonts w:ascii="宋体" w:hAnsi="宋体" w:hint="eastAsia"/>
          <w:sz w:val="24"/>
          <w:szCs w:val="24"/>
        </w:rPr>
        <w:lastRenderedPageBreak/>
        <w:t>15）在开放期内，本基金资产总值不超过基金资产净值的140%；在封闭期内，本基金的资产总值不超过基金资产净值的200%；</w:t>
      </w:r>
    </w:p>
    <w:p w14:paraId="1CE21A85" w14:textId="1BB80762"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w:t>
      </w:r>
      <w:r w:rsidR="00A32A4E">
        <w:rPr>
          <w:rFonts w:ascii="宋体" w:hAnsi="宋体"/>
          <w:sz w:val="24"/>
          <w:szCs w:val="24"/>
        </w:rPr>
        <w:t>6</w:t>
      </w:r>
      <w:r>
        <w:rPr>
          <w:rFonts w:ascii="宋体" w:hAnsi="宋体" w:hint="eastAsia"/>
          <w:sz w:val="24"/>
          <w:szCs w:val="24"/>
        </w:rPr>
        <w:t>）本基金投资存托凭证的比例限制依照境内上市交易的股票执行；</w:t>
      </w:r>
    </w:p>
    <w:p w14:paraId="292015AB" w14:textId="7E000933"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w:t>
      </w:r>
      <w:r w:rsidR="00A32A4E">
        <w:rPr>
          <w:rFonts w:ascii="宋体" w:hAnsi="宋体"/>
          <w:sz w:val="24"/>
          <w:szCs w:val="24"/>
        </w:rPr>
        <w:t>7</w:t>
      </w:r>
      <w:r>
        <w:rPr>
          <w:rFonts w:ascii="宋体" w:hAnsi="宋体" w:hint="eastAsia"/>
          <w:sz w:val="24"/>
          <w:szCs w:val="24"/>
        </w:rPr>
        <w:t>）法律法规及中国证监会规定的和《基金合同》约定的其他投资限制。</w:t>
      </w:r>
    </w:p>
    <w:p w14:paraId="4EEC012F" w14:textId="2B08FB00"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除上述2）、9）、1</w:t>
      </w:r>
      <w:r w:rsidR="00A32A4E">
        <w:rPr>
          <w:rFonts w:ascii="宋体" w:hAnsi="宋体"/>
          <w:sz w:val="24"/>
          <w:szCs w:val="24"/>
        </w:rPr>
        <w:t>2</w:t>
      </w:r>
      <w:r>
        <w:rPr>
          <w:rFonts w:ascii="宋体" w:hAnsi="宋体" w:hint="eastAsia"/>
          <w:sz w:val="24"/>
          <w:szCs w:val="24"/>
        </w:rPr>
        <w:t>）、1</w:t>
      </w:r>
      <w:r w:rsidR="00A32A4E">
        <w:rPr>
          <w:rFonts w:ascii="宋体" w:hAnsi="宋体"/>
          <w:sz w:val="24"/>
          <w:szCs w:val="24"/>
        </w:rPr>
        <w:t>3</w:t>
      </w:r>
      <w:r>
        <w:rPr>
          <w:rFonts w:ascii="宋体" w:hAnsi="宋体" w:hint="eastAsia"/>
          <w:sz w:val="24"/>
          <w:szCs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EF64D87"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A090BA2"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28102CA8"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）基金托管人根据有关法律法规的规定及基金合同的约定对下述基金投资禁止行为进行监督：</w:t>
      </w:r>
    </w:p>
    <w:p w14:paraId="0F8DE49A"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为维护基金份额持有人的合法权益，基金财产不得用于下列投资或者活动：</w:t>
      </w:r>
    </w:p>
    <w:p w14:paraId="5187AAEE"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1）承销证券；</w:t>
      </w:r>
    </w:p>
    <w:p w14:paraId="5CB55522"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2）违反规定向他人贷款或者提供担保；</w:t>
      </w:r>
    </w:p>
    <w:p w14:paraId="338FF00A"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3）从事承担无限责任的投资；</w:t>
      </w:r>
    </w:p>
    <w:p w14:paraId="33F87EAF"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4）买卖其他基金份额，但是中国证监会另有规定的除外；</w:t>
      </w:r>
    </w:p>
    <w:p w14:paraId="5F20CB40"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5）向其基金管理人、基金托管人出资；</w:t>
      </w:r>
    </w:p>
    <w:p w14:paraId="082241A0"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6）从事内幕交易、操纵证券交易价格及其他不正当的证券交易活动；</w:t>
      </w:r>
    </w:p>
    <w:p w14:paraId="253C55C4"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7）法律、行政法规和中国证监会规定禁止的其他活动。</w:t>
      </w:r>
    </w:p>
    <w:p w14:paraId="16B3145A"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如法律、行政法规或监管部门取消或变更上述规定，如适用于本基金，基金管理人在履行适当程序后，本基金可不受上述规定的限制或以变更后的规定为准。</w:t>
      </w:r>
    </w:p>
    <w:p w14:paraId="6F20737F"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（4）基金托管人依据有关法律法规的规定和基金合同的约定对于基金关联投资进行监督。</w:t>
      </w:r>
    </w:p>
    <w:p w14:paraId="4AFBAED2"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46E867B"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如法律、行政法规或监管部门取消或变更上述规定，如适用于本基金，基金管理人在履行适当程序后，本基金可不受上述规定的限制或以变更后的规定为准。</w:t>
      </w:r>
    </w:p>
    <w:p w14:paraId="0F29EE82"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相应损失和责任。</w:t>
      </w:r>
    </w:p>
    <w:p w14:paraId="56AFB230"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2D53C7C9"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（5）基金托管人依据有关法律法规的规定和基金合同的约定对基金管理人参与银行间债券市场进行监督。</w:t>
      </w:r>
    </w:p>
    <w:p w14:paraId="02243687"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1）基金托管人依据有关法律法规的规定和基金合同的约定对于基金管理人参与银行间债券市场交易时面临的交易对手资信风险进行监督。</w:t>
      </w:r>
    </w:p>
    <w:p w14:paraId="424C779D"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0A95A013"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如果基金托管人发现基金管理人与不在名单内的银行间债券市场交易对手进行交易，应及时提醒基金管理人撤销交易，经提醒后基金管理人仍执行交易并造成基金资产损失的，基金托管人不承担相应责任。</w:t>
      </w:r>
    </w:p>
    <w:p w14:paraId="292AC1CF"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6859F1EC"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（6）基金托管人对基金投资流通受限证券的监督</w:t>
      </w:r>
    </w:p>
    <w:p w14:paraId="5DA2CEC3" w14:textId="29CF9F04"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1）基金投资流通受限证券，应遵守有关法律法规规定。流通受限证券包括由《上市公司证券发行</w:t>
      </w:r>
      <w:r w:rsidR="00A32A4E">
        <w:rPr>
          <w:rFonts w:ascii="宋体" w:hAnsi="宋体" w:hint="eastAsia"/>
          <w:color w:val="0D0D0D"/>
          <w:sz w:val="24"/>
          <w:szCs w:val="24"/>
        </w:rPr>
        <w:t>注册</w:t>
      </w:r>
      <w:r>
        <w:rPr>
          <w:rFonts w:ascii="宋体" w:hAnsi="宋体" w:hint="eastAsia"/>
          <w:sz w:val="24"/>
          <w:szCs w:val="24"/>
        </w:rPr>
        <w:t>管理办法》规范的在发行时明确一定期限锁定期的可交易证券，不包括由于发布重大消息或其他原因而临时停牌的证券、已发行未上市证券、回购交易中的质押券等流通受限证券。</w:t>
      </w:r>
    </w:p>
    <w:p w14:paraId="49E2FB7C"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23D6AC6D"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DA1860B"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38A059E5"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相应责任，但基金托管人未经提前告知基金管理人于合理时间内提供说明的除外。</w:t>
      </w:r>
    </w:p>
    <w:p w14:paraId="7AA57071"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如基金管理人和基金托管人无法达成一致，应及时上报中国证监会请求解决。</w:t>
      </w:r>
    </w:p>
    <w:p w14:paraId="37D79F7B"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（7）基金托管人根据有关法律法规的规定及基金合同的约定，对基金管理人选择存款银行进行监督。</w:t>
      </w:r>
    </w:p>
    <w:p w14:paraId="660DF20C"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00B9153"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本基金投资银行存款应符合如下规定：</w:t>
      </w:r>
    </w:p>
    <w:p w14:paraId="16D2E443"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1）基金管理人、基金托管人应当与存款银行建立定期对账机制，确保基金银行存款业务账目及核算的真实、准确。</w:t>
      </w:r>
    </w:p>
    <w:p w14:paraId="338BA047"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2）基金托管人应加强对基金银行存款业务的监督与核查，严格审查、复核相关协议、账户资料、投资指令、存款证实书等有关文件，切实履行托管职责。</w:t>
      </w:r>
    </w:p>
    <w:p w14:paraId="0E9097A4"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3）基金管理人与基金托管人在开展基金存款业务时，应严格遵守《基金法》、《运作办法》等有关法律法规，以及国家有关账户管理、利率管理、支付结算等的各项规定。</w:t>
      </w:r>
    </w:p>
    <w:p w14:paraId="5C162BDE"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599DD3D1" w14:textId="420282C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6D3CF8C"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3、基金托管人发现基金管理人的投资运作及其他运作违反《基金法》、基金合</w:t>
      </w:r>
      <w:r>
        <w:rPr>
          <w:rFonts w:ascii="宋体" w:hAnsi="宋体" w:hint="eastAsia"/>
          <w:sz w:val="24"/>
          <w:szCs w:val="24"/>
        </w:rPr>
        <w:lastRenderedPageBreak/>
        <w:t>同、本托管协议及其他有关规定时，应及时以书面形式通知基金管理人限期纠正，基金管理人收到通知后应在下一个工作日及时核对，并以书面形式向基金托管人发出回函，进行解释或举证。</w:t>
      </w:r>
    </w:p>
    <w:p w14:paraId="56CDE06F"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3327F378"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基金托管人发现基金管理人的投资指令违反有关法律法规规定或者违反基金合同约定的，应当拒绝执行，立即通知基金管理人。</w:t>
      </w:r>
    </w:p>
    <w:p w14:paraId="1EB400B6"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7A8C0FD8"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6A48C77B"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基金托管人发现基金管理人有重大违规行为，应立即报告中国证监会，同时通知基金管理人限期纠正。</w:t>
      </w:r>
    </w:p>
    <w:p w14:paraId="051996D3"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1BBC7A9" w14:textId="77777777" w:rsidR="0004536B" w:rsidRDefault="003574EC">
      <w:pPr>
        <w:adjustRightInd w:val="0"/>
        <w:snapToGrid w:val="0"/>
        <w:spacing w:line="360" w:lineRule="auto"/>
        <w:ind w:firstLine="480"/>
        <w:rPr>
          <w:rFonts w:ascii="宋体" w:hAnsi="宋体"/>
          <w:sz w:val="24"/>
          <w:szCs w:val="24"/>
        </w:rPr>
      </w:pPr>
      <w:r>
        <w:rPr>
          <w:rFonts w:ascii="宋体" w:hAnsi="宋体" w:hint="eastAsia"/>
          <w:sz w:val="24"/>
          <w:szCs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14:paraId="5BE78246"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（三）基金管理人对基金托管人的业务核查</w:t>
      </w:r>
    </w:p>
    <w:p w14:paraId="5B7D9623" w14:textId="7CAA6566" w:rsidR="0004536B" w:rsidRDefault="003574EC">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基金管理人对基金托管人履行托管职责情况进行核查，核查事项包括但不限于基金托管人安全保管基金财产、开设基金财产的资金账户和证券账户等投资所需账</w:t>
      </w:r>
      <w:r>
        <w:rPr>
          <w:rFonts w:ascii="宋体" w:hAnsi="宋体" w:hint="eastAsia"/>
          <w:sz w:val="24"/>
          <w:szCs w:val="24"/>
        </w:rPr>
        <w:lastRenderedPageBreak/>
        <w:t>户、复核基金管理人计算的基金资产净值和基金份额净值、根据基金管理人指令办理清算交收、相关信息披露和监督基金投资运作等行为。</w:t>
      </w:r>
    </w:p>
    <w:p w14:paraId="7BF5AD54" w14:textId="77777777" w:rsidR="0004536B" w:rsidRDefault="003574EC">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本基金、基金管理人因此所遭受的损失。</w:t>
      </w:r>
    </w:p>
    <w:p w14:paraId="1B076FF2" w14:textId="77777777" w:rsidR="0004536B" w:rsidRDefault="003574EC">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基金管理人发现基金托管人有重大违规行为，应立即报告中国证监会和银行业监督管理机构，同时通知基金托管人限期纠正。</w:t>
      </w:r>
    </w:p>
    <w:p w14:paraId="075E5748" w14:textId="77777777" w:rsidR="0004536B" w:rsidRDefault="003574EC">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494719C1" w14:textId="77777777" w:rsidR="0004536B" w:rsidRDefault="003574EC">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47B3EE95"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（四）基金财产保管</w:t>
      </w:r>
    </w:p>
    <w:p w14:paraId="5CD4B26D"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1</w:t>
      </w:r>
      <w:r w:rsidRPr="00210D77">
        <w:rPr>
          <w:rFonts w:hint="eastAsia"/>
          <w:bCs/>
          <w:sz w:val="24"/>
        </w:rPr>
        <w:t>、基金财产保管的原则</w:t>
      </w:r>
    </w:p>
    <w:p w14:paraId="66CDF9CE"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1</w:t>
      </w:r>
      <w:r w:rsidRPr="00210D77">
        <w:rPr>
          <w:rFonts w:hint="eastAsia"/>
          <w:bCs/>
          <w:sz w:val="24"/>
        </w:rPr>
        <w:t>）基金财产应独立于基金管理人、基金托管人和证券经纪机构的固有财产。</w:t>
      </w:r>
    </w:p>
    <w:p w14:paraId="06F5377F"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2</w:t>
      </w:r>
      <w:r w:rsidRPr="00210D77">
        <w:rPr>
          <w:rFonts w:hint="eastAsia"/>
          <w:bCs/>
          <w:sz w:val="24"/>
        </w:rPr>
        <w:t>）基金托管人应安全保管基金财产。除依据法律法规规定、基金合同和本托管协议约定及基金管理人的正当指令外，不得自行运用、处分、分配基金的任何财产。</w:t>
      </w:r>
    </w:p>
    <w:p w14:paraId="085EA695"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3</w:t>
      </w:r>
      <w:r w:rsidRPr="00210D77">
        <w:rPr>
          <w:rFonts w:hint="eastAsia"/>
          <w:bCs/>
          <w:sz w:val="24"/>
        </w:rPr>
        <w:t>）基金托管人按照规定开设基金财产的资金账户和证券账户等投资所需账户。</w:t>
      </w:r>
    </w:p>
    <w:p w14:paraId="32295262"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4</w:t>
      </w:r>
      <w:r w:rsidRPr="00210D77">
        <w:rPr>
          <w:rFonts w:hint="eastAsia"/>
          <w:bCs/>
          <w:sz w:val="24"/>
        </w:rPr>
        <w:t>）基金托管人对所托管的不同基金财产分别设置账户，与基金托管人的其他业务和其他基金的托管业务实行严格的分账管理，确保基金财产的完整与独立。</w:t>
      </w:r>
    </w:p>
    <w:p w14:paraId="764A528A"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lastRenderedPageBreak/>
        <w:t>（</w:t>
      </w:r>
      <w:r w:rsidRPr="00210D77">
        <w:rPr>
          <w:rFonts w:hint="eastAsia"/>
          <w:bCs/>
          <w:sz w:val="24"/>
        </w:rPr>
        <w:t>5</w:t>
      </w:r>
      <w:r w:rsidRPr="00210D77">
        <w:rPr>
          <w:rFonts w:hint="eastAsia"/>
          <w:bCs/>
          <w:sz w:val="24"/>
        </w:rPr>
        <w:t>）基金托管人根据基金管理人的指令，按照基金合同和本协议的约定保管基金财产，如有特殊情况双方可另行协商解决。</w:t>
      </w:r>
    </w:p>
    <w:p w14:paraId="1C4D6947"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bCs/>
          <w:sz w:val="24"/>
        </w:rPr>
        <w:t>6</w:t>
      </w:r>
      <w:r w:rsidRPr="00210D77">
        <w:rPr>
          <w:rFonts w:hint="eastAsia"/>
          <w:bCs/>
          <w:sz w:val="24"/>
        </w:rPr>
        <w:t>）除依据法律法规和基金合同的规定外，基金托管人不得委托第三人托管基金资产。</w:t>
      </w:r>
    </w:p>
    <w:p w14:paraId="60CC870F"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2</w:t>
      </w:r>
      <w:r w:rsidRPr="00210D77">
        <w:rPr>
          <w:rFonts w:hint="eastAsia"/>
          <w:bCs/>
          <w:sz w:val="24"/>
        </w:rPr>
        <w:t>、募集资金的验资</w:t>
      </w:r>
    </w:p>
    <w:p w14:paraId="2166221E"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基金募集期间募集认购款项应存于基金认购专用账户，该账户由基金管理人或基金管理人委托的登记机构开立并管理。</w:t>
      </w:r>
    </w:p>
    <w:p w14:paraId="6637A04E"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w:t>
      </w:r>
      <w:r w:rsidRPr="00210D77">
        <w:rPr>
          <w:rFonts w:hint="eastAsia"/>
          <w:bCs/>
          <w:sz w:val="24"/>
        </w:rPr>
        <w:t>2</w:t>
      </w:r>
      <w:r w:rsidRPr="00210D77">
        <w:rPr>
          <w:rFonts w:hint="eastAsia"/>
          <w:bCs/>
          <w:sz w:val="24"/>
        </w:rPr>
        <w:t>名以上（含</w:t>
      </w:r>
      <w:r w:rsidRPr="00210D77">
        <w:rPr>
          <w:rFonts w:hint="eastAsia"/>
          <w:bCs/>
          <w:sz w:val="24"/>
        </w:rPr>
        <w:t>2</w:t>
      </w:r>
      <w:r w:rsidRPr="00210D77">
        <w:rPr>
          <w:rFonts w:hint="eastAsia"/>
          <w:bCs/>
          <w:sz w:val="24"/>
        </w:rPr>
        <w:t>名）中国注册会计师签字有效。</w:t>
      </w:r>
    </w:p>
    <w:p w14:paraId="7F0DAE25"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若基金募集期限届满，未能达到基金备案条件，由基金管理人按规定办理退款事宜，基金托管人应提供充分协助。</w:t>
      </w:r>
    </w:p>
    <w:p w14:paraId="4ADEAB2A"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3</w:t>
      </w:r>
      <w:r w:rsidRPr="00210D77">
        <w:rPr>
          <w:rFonts w:hint="eastAsia"/>
          <w:bCs/>
          <w:sz w:val="24"/>
        </w:rPr>
        <w:t>、基金的银行账户的开立和管理</w:t>
      </w:r>
    </w:p>
    <w:p w14:paraId="5B594F7C"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1</w:t>
      </w:r>
      <w:r w:rsidRPr="00210D77">
        <w:rPr>
          <w:rFonts w:hint="eastAsia"/>
          <w:bCs/>
          <w:sz w:val="24"/>
        </w:rPr>
        <w:t>）基金托管人以本基金的名义在其营业机构开立基金的银行账户，并根据基金管理人合法合规的指令办理资金收付。本基金的银行预留印鉴由基金托管人刻制、保管和使用。</w:t>
      </w:r>
    </w:p>
    <w:p w14:paraId="0C4B311A"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2</w:t>
      </w:r>
      <w:r w:rsidRPr="00210D77">
        <w:rPr>
          <w:rFonts w:hint="eastAsia"/>
          <w:bCs/>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3BA758E2"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3</w:t>
      </w:r>
      <w:r w:rsidRPr="00210D77">
        <w:rPr>
          <w:rFonts w:hint="eastAsia"/>
          <w:bCs/>
          <w:sz w:val="24"/>
        </w:rPr>
        <w:t>）基金银行账户的开立和管理应符合有关法律法规以及银行业监督管理机构的有关规定。</w:t>
      </w:r>
    </w:p>
    <w:p w14:paraId="1E09B6E9"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4</w:t>
      </w:r>
      <w:r w:rsidRPr="00210D77">
        <w:rPr>
          <w:rFonts w:hint="eastAsia"/>
          <w:bCs/>
          <w:sz w:val="24"/>
        </w:rPr>
        <w:t>、基金证券账户与证券交易资金账户的开设和管理</w:t>
      </w:r>
    </w:p>
    <w:p w14:paraId="75BAD631"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基金托管人以基金托管人和本基金联名的方式在中国证券登记结算有限责任公司（以下简称“中登公司”）上海分公司</w:t>
      </w:r>
      <w:r w:rsidRPr="00210D77">
        <w:rPr>
          <w:rFonts w:hint="eastAsia"/>
          <w:bCs/>
          <w:sz w:val="24"/>
        </w:rPr>
        <w:t>/</w:t>
      </w:r>
      <w:r w:rsidRPr="00210D77">
        <w:rPr>
          <w:rFonts w:hint="eastAsia"/>
          <w:bCs/>
          <w:sz w:val="24"/>
        </w:rPr>
        <w:t>深圳分公司开设证券账户。</w:t>
      </w:r>
    </w:p>
    <w:p w14:paraId="2A418A2A" w14:textId="77777777" w:rsidR="00A32A4E" w:rsidRDefault="00A32A4E">
      <w:pPr>
        <w:adjustRightInd w:val="0"/>
        <w:snapToGrid w:val="0"/>
        <w:spacing w:line="360" w:lineRule="auto"/>
        <w:ind w:firstLineChars="200" w:firstLine="480"/>
        <w:rPr>
          <w:bCs/>
          <w:sz w:val="24"/>
        </w:rPr>
      </w:pPr>
      <w:r w:rsidRPr="00A32A4E">
        <w:rPr>
          <w:rFonts w:hint="eastAsia"/>
          <w:bCs/>
          <w:sz w:val="24"/>
        </w:rPr>
        <w:t>基金托管人以基金托管人的名义在中国证券登记结算有限责任公司上海分公司</w:t>
      </w:r>
      <w:r w:rsidRPr="00A32A4E">
        <w:rPr>
          <w:rFonts w:hint="eastAsia"/>
          <w:bCs/>
          <w:sz w:val="24"/>
        </w:rPr>
        <w:lastRenderedPageBreak/>
        <w:t>/</w:t>
      </w:r>
      <w:r w:rsidRPr="00A32A4E">
        <w:rPr>
          <w:rFonts w:hint="eastAsia"/>
          <w:bCs/>
          <w:sz w:val="24"/>
        </w:rPr>
        <w:t>深圳分公司开立基金证券交易资金账户，用于证券清算。</w:t>
      </w:r>
    </w:p>
    <w:p w14:paraId="1BB815EE" w14:textId="15E5C19E" w:rsidR="0004536B" w:rsidRPr="00210D77" w:rsidRDefault="003574EC">
      <w:pPr>
        <w:adjustRightInd w:val="0"/>
        <w:snapToGrid w:val="0"/>
        <w:spacing w:line="360" w:lineRule="auto"/>
        <w:ind w:firstLineChars="200" w:firstLine="480"/>
        <w:rPr>
          <w:bCs/>
          <w:sz w:val="24"/>
        </w:rPr>
      </w:pPr>
      <w:r w:rsidRPr="00210D77">
        <w:rPr>
          <w:rFonts w:hint="eastAsia"/>
          <w:bCs/>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A09F533"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5</w:t>
      </w:r>
      <w:r w:rsidRPr="00210D77">
        <w:rPr>
          <w:rFonts w:hint="eastAsia"/>
          <w:bCs/>
          <w:sz w:val="24"/>
        </w:rPr>
        <w:t>、债券托管账户的开立和管理</w:t>
      </w:r>
    </w:p>
    <w:p w14:paraId="2B1083ED" w14:textId="16FD401E"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1</w:t>
      </w:r>
      <w:r w:rsidRPr="00210D77">
        <w:rPr>
          <w:rFonts w:hint="eastAsia"/>
          <w:bCs/>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33A1EFEB"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2</w:t>
      </w:r>
      <w:r w:rsidRPr="00210D77">
        <w:rPr>
          <w:rFonts w:hint="eastAsia"/>
          <w:bCs/>
          <w:sz w:val="24"/>
        </w:rPr>
        <w:t>）基金管理人和基金托管人应一起负责为本基金对外签订全国银行间国债市场回购主协议，正本由基金托管人保管，基金管理人保存副本。</w:t>
      </w:r>
    </w:p>
    <w:p w14:paraId="667DD586"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6</w:t>
      </w:r>
      <w:r w:rsidRPr="00210D77">
        <w:rPr>
          <w:rFonts w:hint="eastAsia"/>
          <w:bCs/>
          <w:sz w:val="24"/>
        </w:rPr>
        <w:t>、其他账户的开设和管理</w:t>
      </w:r>
    </w:p>
    <w:p w14:paraId="047556A4"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48986B4"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7</w:t>
      </w:r>
      <w:r w:rsidRPr="00210D77">
        <w:rPr>
          <w:rFonts w:hint="eastAsia"/>
          <w:bCs/>
          <w:sz w:val="24"/>
        </w:rPr>
        <w:t>、基金财产投资的有关实物证券、银行定期存款存单等有价凭证的保管</w:t>
      </w:r>
    </w:p>
    <w:p w14:paraId="4B0178EA"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基金财产投资的有关实物证券由基金托管人存放于基金托管人的保管库；其中实物证券也可存入中央国债登记结算有限责任公司或银行间市场清算所股份有限公司或中登公司上海分公司</w:t>
      </w:r>
      <w:r w:rsidRPr="00210D77">
        <w:rPr>
          <w:rFonts w:hint="eastAsia"/>
          <w:bCs/>
          <w:sz w:val="24"/>
        </w:rPr>
        <w:t>/</w:t>
      </w:r>
      <w:r w:rsidRPr="00210D77">
        <w:rPr>
          <w:rFonts w:hint="eastAsia"/>
          <w:bCs/>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12887477"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8</w:t>
      </w:r>
      <w:r w:rsidRPr="00210D77">
        <w:rPr>
          <w:rFonts w:hint="eastAsia"/>
          <w:bCs/>
          <w:sz w:val="24"/>
        </w:rPr>
        <w:t>、与基金财产有关的重大合同的保管</w:t>
      </w:r>
    </w:p>
    <w:p w14:paraId="17E8A956"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w:t>
      </w:r>
      <w:r w:rsidRPr="00210D77">
        <w:rPr>
          <w:rFonts w:hint="eastAsia"/>
          <w:bCs/>
          <w:sz w:val="24"/>
        </w:rPr>
        <w:lastRenderedPageBreak/>
        <w:t>管理人在合同签署后</w:t>
      </w:r>
      <w:r w:rsidRPr="00210D77">
        <w:rPr>
          <w:rFonts w:hint="eastAsia"/>
          <w:bCs/>
          <w:sz w:val="24"/>
        </w:rPr>
        <w:t>30</w:t>
      </w:r>
      <w:r w:rsidRPr="00210D77">
        <w:rPr>
          <w:rFonts w:hint="eastAsia"/>
          <w:bCs/>
          <w:sz w:val="24"/>
        </w:rPr>
        <w:t>个工作日内通过专人送达、挂号邮寄等安全方式将合同送达基金托管人处。合同应存放于基金管理人和基金托管人各自文件保管部门不低于法律法规规定的最低期限。对于无法取得二份以上的正本的，基金管理人应向基金托管人提供加盖授权业务章的合同传真件，未经双方协商或未在合同约定范围内，合同原件不得转移，由基金管理人保管。</w:t>
      </w:r>
    </w:p>
    <w:p w14:paraId="53B5133F"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（五）</w:t>
      </w:r>
      <w:r w:rsidRPr="00E917F4">
        <w:rPr>
          <w:rFonts w:hAnsi="宋体" w:hint="eastAsia"/>
          <w:b/>
          <w:sz w:val="24"/>
        </w:rPr>
        <w:t>基金资产净值计算和会计核算</w:t>
      </w:r>
    </w:p>
    <w:p w14:paraId="64B02AE8"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1</w:t>
      </w:r>
      <w:r w:rsidRPr="00210D77">
        <w:rPr>
          <w:rFonts w:hint="eastAsia"/>
          <w:bCs/>
          <w:sz w:val="24"/>
        </w:rPr>
        <w:t>、基金资产净值的计算</w:t>
      </w:r>
    </w:p>
    <w:p w14:paraId="556AEA03"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1</w:t>
      </w:r>
      <w:r w:rsidRPr="00210D77">
        <w:rPr>
          <w:rFonts w:hint="eastAsia"/>
          <w:bCs/>
          <w:sz w:val="24"/>
        </w:rPr>
        <w:t>）基金资产净值的计算、复核的时间和程序</w:t>
      </w:r>
    </w:p>
    <w:p w14:paraId="01A045DE" w14:textId="2FA5A74E"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基金资产净值是指基金资产总值减去基金负债后的价值。基金份额净值是按照每个工作日闭市后，基金资产净值除以当日基金份额的余额数量计算，精确到</w:t>
      </w:r>
      <w:r w:rsidRPr="00210D77">
        <w:rPr>
          <w:rFonts w:hint="eastAsia"/>
          <w:bCs/>
          <w:sz w:val="24"/>
        </w:rPr>
        <w:t>0.0001</w:t>
      </w:r>
      <w:r w:rsidRPr="00210D77">
        <w:rPr>
          <w:rFonts w:hint="eastAsia"/>
          <w:bCs/>
          <w:sz w:val="24"/>
        </w:rPr>
        <w:t>元，小数点后第</w:t>
      </w:r>
      <w:r w:rsidRPr="00210D77">
        <w:rPr>
          <w:rFonts w:hint="eastAsia"/>
          <w:bCs/>
          <w:sz w:val="24"/>
        </w:rPr>
        <w:t>5</w:t>
      </w:r>
      <w:r w:rsidRPr="00210D77">
        <w:rPr>
          <w:rFonts w:hint="eastAsia"/>
          <w:bCs/>
          <w:sz w:val="24"/>
        </w:rPr>
        <w:t>位四舍五入。基金管理人可以设立大额赎回情形下的净值精度应急调整机制，具体可参见相关公告。国家另有规定的，从其规定。</w:t>
      </w:r>
    </w:p>
    <w:p w14:paraId="7CA501C7" w14:textId="3C2A35E9"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基金管理人应每个估值日对基金资产估值，但基金管理人根据法律法规或基金合同的规定暂停估值时除外。估值原则应符合基金合同及相关法律、法规的规定。基金资产净值和基金份额净值由基金管理人负责计算，基金托管人复核。基金管理人应于每个估值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61422EF8" w14:textId="3A630D34"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w:t>
      </w:r>
    </w:p>
    <w:p w14:paraId="4310D941"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2</w:t>
      </w:r>
      <w:r w:rsidRPr="00210D77">
        <w:rPr>
          <w:rFonts w:hint="eastAsia"/>
          <w:bCs/>
          <w:sz w:val="24"/>
        </w:rPr>
        <w:t>、基金资产估值方法</w:t>
      </w:r>
    </w:p>
    <w:p w14:paraId="786B616F"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1</w:t>
      </w:r>
      <w:r w:rsidRPr="00210D77">
        <w:rPr>
          <w:rFonts w:hint="eastAsia"/>
          <w:bCs/>
          <w:sz w:val="24"/>
        </w:rPr>
        <w:t>）估值对象</w:t>
      </w:r>
    </w:p>
    <w:p w14:paraId="4A85E2D3"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基金所拥有的股票、债券、资产支持证券、衍生工具和其他投资等持续以公允价值计量的金融资产及负债。</w:t>
      </w:r>
    </w:p>
    <w:p w14:paraId="0D5B8A1A"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2</w:t>
      </w:r>
      <w:r w:rsidRPr="00210D77">
        <w:rPr>
          <w:rFonts w:hint="eastAsia"/>
          <w:bCs/>
          <w:sz w:val="24"/>
        </w:rPr>
        <w:t>）估值原则</w:t>
      </w:r>
    </w:p>
    <w:p w14:paraId="0BCDCBEF"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lastRenderedPageBreak/>
        <w:t>基金管理人在确定相关金融资产和金融负债的公允价值时，应符合《企业会计准则》、监管部门有关规定。</w:t>
      </w:r>
    </w:p>
    <w:p w14:paraId="7115440C"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1</w:t>
      </w:r>
      <w:r w:rsidRPr="00210D77">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E0715A"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869603C"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2</w:t>
      </w:r>
      <w:r w:rsidRPr="00210D77">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D9DD621"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3</w:t>
      </w:r>
      <w:r w:rsidRPr="00210D77">
        <w:rPr>
          <w:rFonts w:hint="eastAsia"/>
          <w:bCs/>
          <w:sz w:val="24"/>
        </w:rPr>
        <w:t>）如经济环境发生重大变化或证券发行人发生影响证券价格的重大事件，使潜在估值调整对前一估值日的基金资产净值的影响在</w:t>
      </w:r>
      <w:r w:rsidRPr="00210D77">
        <w:rPr>
          <w:rFonts w:hint="eastAsia"/>
          <w:bCs/>
          <w:sz w:val="24"/>
        </w:rPr>
        <w:t>0.25%</w:t>
      </w:r>
      <w:r w:rsidRPr="00210D77">
        <w:rPr>
          <w:rFonts w:hint="eastAsia"/>
          <w:bCs/>
          <w:sz w:val="24"/>
        </w:rPr>
        <w:t>以上的，应对估值进行调整并确定公允价值。</w:t>
      </w:r>
    </w:p>
    <w:p w14:paraId="0B2CA541"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3</w:t>
      </w:r>
      <w:r w:rsidRPr="00210D77">
        <w:rPr>
          <w:rFonts w:hint="eastAsia"/>
          <w:bCs/>
          <w:sz w:val="24"/>
        </w:rPr>
        <w:t>）估值方法</w:t>
      </w:r>
    </w:p>
    <w:p w14:paraId="4ACC6C5B"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1</w:t>
      </w:r>
      <w:r w:rsidRPr="00210D77">
        <w:rPr>
          <w:rFonts w:hint="eastAsia"/>
          <w:bCs/>
          <w:sz w:val="24"/>
        </w:rPr>
        <w:t>）证券交易所上市的有价证券的估值</w:t>
      </w:r>
    </w:p>
    <w:p w14:paraId="1F65AC50"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9036F5"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②交易所上市交易或挂牌转让的固定收益品种（另有规定的除外），选取估值日</w:t>
      </w:r>
      <w:r w:rsidRPr="00210D77">
        <w:rPr>
          <w:rFonts w:hint="eastAsia"/>
          <w:bCs/>
          <w:sz w:val="24"/>
        </w:rPr>
        <w:lastRenderedPageBreak/>
        <w:t>第三方估值机构提供的相应品种当日的估值净价进行估值；</w:t>
      </w:r>
    </w:p>
    <w:p w14:paraId="299909D4"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6F1AE606"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④交易所上市实行全价交易的债券（可转债除外），选取第三方估值机构提供的估值全价减去估值全价中所含的债券（税后）应收利息得到的净价进行估值；</w:t>
      </w:r>
    </w:p>
    <w:p w14:paraId="75F7767A"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⑤交易所上市不存在活跃市场的有价证券，采用估值技术确定公允价值。交易所市场挂牌转让的资产支持证券，采用估值技术确定公允价值；</w:t>
      </w:r>
    </w:p>
    <w:p w14:paraId="318921BA"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4DFBCB3"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2</w:t>
      </w:r>
      <w:r w:rsidRPr="00210D77">
        <w:rPr>
          <w:rFonts w:hint="eastAsia"/>
          <w:bCs/>
          <w:sz w:val="24"/>
        </w:rPr>
        <w:t>）处于未上市期间的有价证券应区分如下情况处理：</w:t>
      </w:r>
    </w:p>
    <w:p w14:paraId="465720F4"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①送股、转增股、配股和公开增发的新股，按估值日在证券交易所挂牌的同一股票的估值方法估值；该日无交易的，以最近一日的市价（收盘价）估值；</w:t>
      </w:r>
    </w:p>
    <w:p w14:paraId="17980949"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②首次公开发行未上市的股票和债券，采用估值技术确定公允价值，在估值技术难以可靠计量公允价值的情况下，按成本估值；</w:t>
      </w:r>
    </w:p>
    <w:p w14:paraId="3EA8E46D"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04FF832"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3</w:t>
      </w:r>
      <w:r w:rsidRPr="00210D77">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w:t>
      </w:r>
      <w:r w:rsidRPr="00210D77">
        <w:rPr>
          <w:rFonts w:hint="eastAsia"/>
          <w:bCs/>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207EFAE2" w14:textId="4FB9AB99" w:rsidR="00A32A4E" w:rsidRDefault="003574EC" w:rsidP="00210D77">
      <w:pPr>
        <w:adjustRightInd w:val="0"/>
        <w:snapToGrid w:val="0"/>
        <w:spacing w:line="360" w:lineRule="auto"/>
        <w:ind w:firstLineChars="200" w:firstLine="480"/>
        <w:rPr>
          <w:bCs/>
          <w:sz w:val="24"/>
        </w:rPr>
      </w:pPr>
      <w:r w:rsidRPr="00210D77">
        <w:rPr>
          <w:rFonts w:hint="eastAsia"/>
          <w:bCs/>
          <w:sz w:val="24"/>
        </w:rPr>
        <w:t>4</w:t>
      </w:r>
      <w:r w:rsidRPr="00210D77">
        <w:rPr>
          <w:rFonts w:hint="eastAsia"/>
          <w:bCs/>
          <w:sz w:val="24"/>
        </w:rPr>
        <w:t>）</w:t>
      </w:r>
      <w:r w:rsidR="00A32A4E" w:rsidRPr="00A32A4E">
        <w:rPr>
          <w:rFonts w:hint="eastAsia"/>
          <w:bCs/>
          <w:sz w:val="24"/>
        </w:rPr>
        <w:t>同一证券同时在两个或两个以上市场交易的，按证券所处的市场分别估值。</w:t>
      </w:r>
    </w:p>
    <w:p w14:paraId="46F184C2" w14:textId="21E505FF" w:rsidR="0004536B" w:rsidRPr="00210D77" w:rsidRDefault="00A32A4E" w:rsidP="00210D77">
      <w:pPr>
        <w:adjustRightInd w:val="0"/>
        <w:snapToGrid w:val="0"/>
        <w:spacing w:line="360" w:lineRule="auto"/>
        <w:ind w:firstLineChars="200" w:firstLine="480"/>
        <w:rPr>
          <w:bCs/>
          <w:sz w:val="24"/>
        </w:rPr>
      </w:pPr>
      <w:r>
        <w:rPr>
          <w:bCs/>
          <w:sz w:val="24"/>
        </w:rPr>
        <w:t>5</w:t>
      </w:r>
      <w:r w:rsidRPr="00A32A4E">
        <w:rPr>
          <w:rFonts w:hint="eastAsia"/>
          <w:bCs/>
          <w:sz w:val="24"/>
        </w:rPr>
        <w:t>）</w:t>
      </w:r>
      <w:r w:rsidR="003574EC" w:rsidRPr="00210D77">
        <w:rPr>
          <w:rFonts w:hint="eastAsia"/>
          <w:bCs/>
          <w:sz w:val="24"/>
        </w:rPr>
        <w:t>本基金投资股指期货合约，一般以估值当日结算价进行估值，估值当日无结算价的，且最近交易日后经济环境未发生重大变化的，采用最近交易日结算价估值。</w:t>
      </w:r>
    </w:p>
    <w:p w14:paraId="3A7EE436" w14:textId="0C917E37" w:rsidR="0004536B" w:rsidRPr="00210D77" w:rsidRDefault="00A32A4E" w:rsidP="00210D77">
      <w:pPr>
        <w:adjustRightInd w:val="0"/>
        <w:snapToGrid w:val="0"/>
        <w:spacing w:line="360" w:lineRule="auto"/>
        <w:ind w:firstLineChars="200" w:firstLine="480"/>
        <w:rPr>
          <w:bCs/>
          <w:sz w:val="24"/>
        </w:rPr>
      </w:pPr>
      <w:r>
        <w:rPr>
          <w:bCs/>
          <w:sz w:val="24"/>
        </w:rPr>
        <w:t>6</w:t>
      </w:r>
      <w:r w:rsidR="003574EC" w:rsidRPr="00210D77">
        <w:rPr>
          <w:rFonts w:hint="eastAsia"/>
          <w:bCs/>
          <w:sz w:val="24"/>
        </w:rPr>
        <w:t>）估值计算中涉及港币对人民币汇率的，将依据下列信息提供机构所提供的汇率为基准：当日中国人民银行或其授权机构公布的人民币与港币的中间价。</w:t>
      </w:r>
    </w:p>
    <w:p w14:paraId="3105CE60" w14:textId="44A3CA1D" w:rsidR="0004536B" w:rsidRPr="00210D77" w:rsidRDefault="00A32A4E" w:rsidP="00210D77">
      <w:pPr>
        <w:adjustRightInd w:val="0"/>
        <w:snapToGrid w:val="0"/>
        <w:spacing w:line="360" w:lineRule="auto"/>
        <w:ind w:firstLineChars="200" w:firstLine="480"/>
        <w:rPr>
          <w:bCs/>
          <w:sz w:val="24"/>
        </w:rPr>
      </w:pPr>
      <w:r>
        <w:rPr>
          <w:bCs/>
          <w:sz w:val="24"/>
        </w:rPr>
        <w:t>7</w:t>
      </w:r>
      <w:r w:rsidR="003574EC" w:rsidRPr="00210D77">
        <w:rPr>
          <w:rFonts w:hint="eastAsia"/>
          <w:bCs/>
          <w:sz w:val="24"/>
        </w:rPr>
        <w:t>）对于因税收规定调整或其他原因导致产品实际交纳税金与估算的应交税金有差异的，产品将在相关税金调整日或实际支付日进行相应的会计处理。</w:t>
      </w:r>
    </w:p>
    <w:p w14:paraId="46CAFBC9" w14:textId="5A8D94F9" w:rsidR="0004536B" w:rsidRPr="00210D77" w:rsidRDefault="00A32A4E" w:rsidP="00210D77">
      <w:pPr>
        <w:adjustRightInd w:val="0"/>
        <w:snapToGrid w:val="0"/>
        <w:spacing w:line="360" w:lineRule="auto"/>
        <w:ind w:firstLineChars="200" w:firstLine="480"/>
        <w:rPr>
          <w:bCs/>
          <w:sz w:val="24"/>
        </w:rPr>
      </w:pPr>
      <w:r>
        <w:rPr>
          <w:bCs/>
          <w:sz w:val="24"/>
        </w:rPr>
        <w:t>8</w:t>
      </w:r>
      <w:r w:rsidR="003574EC" w:rsidRPr="00210D77">
        <w:rPr>
          <w:rFonts w:hint="eastAsia"/>
          <w:bCs/>
          <w:sz w:val="24"/>
        </w:rPr>
        <w:t>）本基金投资存托凭证的估值核算依照境内上市交易的股票执行。</w:t>
      </w:r>
    </w:p>
    <w:p w14:paraId="742A2FB9" w14:textId="0498F784" w:rsidR="0004536B" w:rsidRPr="00210D77" w:rsidRDefault="00A32A4E" w:rsidP="00210D77">
      <w:pPr>
        <w:adjustRightInd w:val="0"/>
        <w:snapToGrid w:val="0"/>
        <w:spacing w:line="360" w:lineRule="auto"/>
        <w:ind w:firstLineChars="200" w:firstLine="480"/>
        <w:rPr>
          <w:bCs/>
          <w:sz w:val="24"/>
        </w:rPr>
      </w:pPr>
      <w:r>
        <w:rPr>
          <w:bCs/>
          <w:sz w:val="24"/>
        </w:rPr>
        <w:t>9</w:t>
      </w:r>
      <w:r w:rsidR="003574EC" w:rsidRPr="00210D77">
        <w:rPr>
          <w:rFonts w:hint="eastAsia"/>
          <w:bCs/>
          <w:sz w:val="24"/>
        </w:rPr>
        <w:t>）如有确凿证据表明按上述方法进行估值不能客观反映其公允价值的，基金管理人可根据具体情况与基金托管人商定后，按最能反映公允价值的价格估值。</w:t>
      </w:r>
    </w:p>
    <w:p w14:paraId="1175C705" w14:textId="7B5C3B5F" w:rsidR="0004536B" w:rsidRPr="00210D77" w:rsidRDefault="00A32A4E" w:rsidP="00210D77">
      <w:pPr>
        <w:adjustRightInd w:val="0"/>
        <w:snapToGrid w:val="0"/>
        <w:spacing w:line="360" w:lineRule="auto"/>
        <w:ind w:firstLineChars="200" w:firstLine="480"/>
        <w:rPr>
          <w:bCs/>
          <w:sz w:val="24"/>
        </w:rPr>
      </w:pPr>
      <w:r>
        <w:rPr>
          <w:bCs/>
          <w:sz w:val="24"/>
        </w:rPr>
        <w:t>10</w:t>
      </w:r>
      <w:r w:rsidR="003574EC" w:rsidRPr="00210D77">
        <w:rPr>
          <w:rFonts w:hint="eastAsia"/>
          <w:bCs/>
          <w:sz w:val="24"/>
        </w:rPr>
        <w:t>）当发生大额申购或赎回情形时，基金管理人可以采用摆动定价机制，以确保基金估值的公平性。</w:t>
      </w:r>
    </w:p>
    <w:p w14:paraId="6E60B333" w14:textId="1C5EA31A" w:rsidR="0004536B" w:rsidRPr="00210D77" w:rsidRDefault="003574EC" w:rsidP="00210D77">
      <w:pPr>
        <w:adjustRightInd w:val="0"/>
        <w:snapToGrid w:val="0"/>
        <w:spacing w:line="360" w:lineRule="auto"/>
        <w:ind w:firstLineChars="200" w:firstLine="480"/>
        <w:rPr>
          <w:bCs/>
          <w:sz w:val="24"/>
        </w:rPr>
      </w:pPr>
      <w:r w:rsidRPr="00210D77">
        <w:rPr>
          <w:bCs/>
          <w:sz w:val="24"/>
        </w:rPr>
        <w:t>1</w:t>
      </w:r>
      <w:r w:rsidR="00A32A4E">
        <w:rPr>
          <w:bCs/>
          <w:sz w:val="24"/>
        </w:rPr>
        <w:t>1</w:t>
      </w:r>
      <w:r w:rsidRPr="00210D77">
        <w:rPr>
          <w:rFonts w:hint="eastAsia"/>
          <w:bCs/>
          <w:sz w:val="24"/>
        </w:rPr>
        <w:t>）相关法律法规以及监管部门有强制规定的，从其规定。如有新增事项，按国家最新规定估值。</w:t>
      </w:r>
    </w:p>
    <w:p w14:paraId="0EC7A810"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871D18"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673ECCD"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3</w:t>
      </w:r>
      <w:r w:rsidRPr="00210D77">
        <w:rPr>
          <w:rFonts w:hint="eastAsia"/>
          <w:bCs/>
          <w:sz w:val="24"/>
        </w:rPr>
        <w:t>、估值错误处理</w:t>
      </w:r>
    </w:p>
    <w:p w14:paraId="2850281A"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w:t>
      </w:r>
      <w:r w:rsidRPr="00210D77">
        <w:rPr>
          <w:rFonts w:hint="eastAsia"/>
          <w:bCs/>
          <w:sz w:val="24"/>
        </w:rPr>
        <w:lastRenderedPageBreak/>
        <w:t>照过错程度各自承担相应的责任。</w:t>
      </w:r>
    </w:p>
    <w:p w14:paraId="261F26B1"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141C2573" w14:textId="6C08FA64"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由于不可抗力原因，或由于证券、期货交易所、证券经纪机构、期货公司及登记结算公司</w:t>
      </w:r>
      <w:r w:rsidR="00A32A4E">
        <w:rPr>
          <w:rFonts w:ascii="宋体" w:hAnsi="宋体" w:hint="eastAsia"/>
          <w:color w:val="0D0D0D"/>
          <w:sz w:val="24"/>
          <w:szCs w:val="24"/>
        </w:rPr>
        <w:t>等第三方机构</w:t>
      </w:r>
      <w:r w:rsidRPr="00210D77">
        <w:rPr>
          <w:rFonts w:hint="eastAsia"/>
          <w:bCs/>
          <w:sz w:val="24"/>
        </w:rPr>
        <w:t>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6D57BC1"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16F95FD3" w14:textId="75A3CC06"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基金管理人或基金托管人按估值方法的第</w:t>
      </w:r>
      <w:r w:rsidR="00A32A4E">
        <w:rPr>
          <w:rFonts w:hint="eastAsia"/>
          <w:bCs/>
          <w:sz w:val="24"/>
        </w:rPr>
        <w:t>9</w:t>
      </w:r>
      <w:r w:rsidRPr="00210D77">
        <w:rPr>
          <w:rFonts w:hint="eastAsia"/>
          <w:bCs/>
          <w:sz w:val="24"/>
        </w:rPr>
        <w:t>）项进行估值的，所造成的误差不作为基金资产估值错误处理。</w:t>
      </w:r>
    </w:p>
    <w:p w14:paraId="77DDEAC7"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14:paraId="1784DF4A"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4</w:t>
      </w:r>
      <w:r w:rsidRPr="00210D77">
        <w:rPr>
          <w:rFonts w:hint="eastAsia"/>
          <w:bCs/>
          <w:sz w:val="24"/>
        </w:rPr>
        <w:t>、基金账册的建立</w:t>
      </w:r>
    </w:p>
    <w:p w14:paraId="5F76CB42"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B6097B6"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经对账发现相关各方的账目存在不符的，基金管理人和基金托管人必须及时查明原因并纠正，保证相关各方平行登录的账册记录完全相符。若当日核对不符，暂</w:t>
      </w:r>
      <w:r w:rsidRPr="00210D77">
        <w:rPr>
          <w:rFonts w:hint="eastAsia"/>
          <w:bCs/>
          <w:sz w:val="24"/>
        </w:rPr>
        <w:lastRenderedPageBreak/>
        <w:t>时无法查找到错账的原因而影响到基金净值信息的计算和公告的，以基金管理人的账册为准。</w:t>
      </w:r>
    </w:p>
    <w:p w14:paraId="73A9212B"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5</w:t>
      </w:r>
      <w:r w:rsidRPr="00210D77">
        <w:rPr>
          <w:rFonts w:hint="eastAsia"/>
          <w:bCs/>
          <w:sz w:val="24"/>
        </w:rPr>
        <w:t>、基金定期报告、招募说明书、基金产品资料概要的编制和复核</w:t>
      </w:r>
    </w:p>
    <w:p w14:paraId="4BECE276" w14:textId="77777777" w:rsidR="00A32A4E" w:rsidRPr="00A32A4E" w:rsidRDefault="00A32A4E" w:rsidP="00A32A4E">
      <w:pPr>
        <w:adjustRightInd w:val="0"/>
        <w:snapToGrid w:val="0"/>
        <w:spacing w:line="360" w:lineRule="auto"/>
        <w:ind w:firstLineChars="200" w:firstLine="480"/>
        <w:rPr>
          <w:bCs/>
          <w:sz w:val="24"/>
        </w:rPr>
      </w:pPr>
      <w:r w:rsidRPr="00A32A4E">
        <w:rPr>
          <w:rFonts w:hint="eastAsia"/>
          <w:bCs/>
          <w:sz w:val="24"/>
        </w:rPr>
        <w:t>基金财务报表由基金管理人和基金托管人每月分别独立编制。月度报表的编制，应于每月终了后</w:t>
      </w:r>
      <w:r w:rsidRPr="00A32A4E">
        <w:rPr>
          <w:rFonts w:hint="eastAsia"/>
          <w:bCs/>
          <w:sz w:val="24"/>
        </w:rPr>
        <w:t>5</w:t>
      </w:r>
      <w:r w:rsidRPr="00A32A4E">
        <w:rPr>
          <w:rFonts w:hint="eastAsia"/>
          <w:bCs/>
          <w:sz w:val="24"/>
        </w:rPr>
        <w:t>个工作日内完成。</w:t>
      </w:r>
    </w:p>
    <w:p w14:paraId="59B89631" w14:textId="77777777" w:rsidR="00A32A4E" w:rsidRPr="00A32A4E" w:rsidRDefault="00A32A4E" w:rsidP="00A32A4E">
      <w:pPr>
        <w:adjustRightInd w:val="0"/>
        <w:snapToGrid w:val="0"/>
        <w:spacing w:line="360" w:lineRule="auto"/>
        <w:ind w:firstLineChars="200" w:firstLine="480"/>
        <w:rPr>
          <w:bCs/>
          <w:sz w:val="24"/>
        </w:rPr>
      </w:pPr>
      <w:r w:rsidRPr="00A32A4E">
        <w:rPr>
          <w:rFonts w:hint="eastAsia"/>
          <w:bCs/>
          <w:sz w:val="24"/>
        </w:rPr>
        <w:t>在基金合同生效后，基金招募说明书的信息发生重大变更的，基金管理人应当在三个工作日内，更新基金招募说明书并登载在规定网站上；基金招募说明书其他信息发生变更的，基金管理人至少每年更新一次。本基金暂停运作期间或基金终止运作的，基金管理人不再更新基金招募说明书。</w:t>
      </w:r>
    </w:p>
    <w:p w14:paraId="1966C107" w14:textId="77777777" w:rsidR="00A32A4E" w:rsidRPr="00A32A4E" w:rsidRDefault="00A32A4E" w:rsidP="00A32A4E">
      <w:pPr>
        <w:adjustRightInd w:val="0"/>
        <w:snapToGrid w:val="0"/>
        <w:spacing w:line="360" w:lineRule="auto"/>
        <w:ind w:firstLineChars="200" w:firstLine="480"/>
        <w:rPr>
          <w:bCs/>
          <w:sz w:val="24"/>
        </w:rPr>
      </w:pPr>
      <w:r w:rsidRPr="00A32A4E">
        <w:rPr>
          <w:rFonts w:hint="eastAsia"/>
          <w:bCs/>
          <w:sz w:val="24"/>
        </w:rPr>
        <w:t>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本基金暂停运作期间或基金终止运作的，基金管理人不再更新基金产品资料概要。</w:t>
      </w:r>
    </w:p>
    <w:p w14:paraId="1607DA40" w14:textId="77777777" w:rsidR="00A32A4E" w:rsidRPr="00A32A4E" w:rsidRDefault="00A32A4E" w:rsidP="00A32A4E">
      <w:pPr>
        <w:adjustRightInd w:val="0"/>
        <w:snapToGrid w:val="0"/>
        <w:spacing w:line="360" w:lineRule="auto"/>
        <w:ind w:firstLineChars="200" w:firstLine="480"/>
        <w:rPr>
          <w:bCs/>
          <w:sz w:val="24"/>
        </w:rPr>
      </w:pPr>
      <w:r w:rsidRPr="00A32A4E">
        <w:rPr>
          <w:rFonts w:hint="eastAsia"/>
          <w:bCs/>
          <w:sz w:val="24"/>
        </w:rPr>
        <w:t>基金管理人在季度结束之日起</w:t>
      </w:r>
      <w:r w:rsidRPr="00A32A4E">
        <w:rPr>
          <w:rFonts w:hint="eastAsia"/>
          <w:bCs/>
          <w:sz w:val="24"/>
        </w:rPr>
        <w:t>15</w:t>
      </w:r>
      <w:r w:rsidRPr="00A32A4E">
        <w:rPr>
          <w:rFonts w:hint="eastAsia"/>
          <w:bCs/>
          <w:sz w:val="24"/>
        </w:rPr>
        <w:t>个工作日内完成季度报告编制并公告；在上半年结束之日起两个月内完成中期报告编制并公告；在每年结束之日起三个月内完成年度报告编制并公告。基金合同生效不足</w:t>
      </w:r>
      <w:r w:rsidRPr="00A32A4E">
        <w:rPr>
          <w:rFonts w:hint="eastAsia"/>
          <w:bCs/>
          <w:sz w:val="24"/>
        </w:rPr>
        <w:t>2</w:t>
      </w:r>
      <w:r w:rsidRPr="00A32A4E">
        <w:rPr>
          <w:rFonts w:hint="eastAsia"/>
          <w:bCs/>
          <w:sz w:val="24"/>
        </w:rPr>
        <w:t>个月的，基金管理人可以不编制当期季度报告、中期报告或者年度报告。本基金暂停运作的期间，不再编制定期报告。</w:t>
      </w:r>
    </w:p>
    <w:p w14:paraId="464C7F46" w14:textId="77777777" w:rsidR="00A32A4E" w:rsidRPr="00A32A4E" w:rsidRDefault="00A32A4E" w:rsidP="00A32A4E">
      <w:pPr>
        <w:adjustRightInd w:val="0"/>
        <w:snapToGrid w:val="0"/>
        <w:spacing w:line="360" w:lineRule="auto"/>
        <w:ind w:firstLineChars="200" w:firstLine="480"/>
        <w:rPr>
          <w:bCs/>
          <w:sz w:val="24"/>
        </w:rPr>
      </w:pPr>
      <w:r w:rsidRPr="00A32A4E">
        <w:rPr>
          <w:rFonts w:hint="eastAsia"/>
          <w:bCs/>
          <w:sz w:val="24"/>
        </w:rPr>
        <w:t>基金管理人应及时完成报表编制，将有关报表提供基金托管人复核；基金托管人应当在收到报告之日起</w:t>
      </w:r>
      <w:r w:rsidRPr="00A32A4E">
        <w:rPr>
          <w:rFonts w:hint="eastAsia"/>
          <w:bCs/>
          <w:sz w:val="24"/>
        </w:rPr>
        <w:t>2</w:t>
      </w:r>
      <w:r w:rsidRPr="00A32A4E">
        <w:rPr>
          <w:rFonts w:hint="eastAsia"/>
          <w:bCs/>
          <w:sz w:val="24"/>
        </w:rPr>
        <w:t>个工作日内完成月度报表的复核；在收到报告之日起</w:t>
      </w:r>
      <w:r w:rsidRPr="00A32A4E">
        <w:rPr>
          <w:rFonts w:hint="eastAsia"/>
          <w:bCs/>
          <w:sz w:val="24"/>
        </w:rPr>
        <w:t>7</w:t>
      </w:r>
      <w:r w:rsidRPr="00A32A4E">
        <w:rPr>
          <w:rFonts w:hint="eastAsia"/>
          <w:bCs/>
          <w:sz w:val="24"/>
        </w:rPr>
        <w:t>个工作日内完成基金季度报告的复核；在收到报告之日起</w:t>
      </w:r>
      <w:r w:rsidRPr="00A32A4E">
        <w:rPr>
          <w:rFonts w:hint="eastAsia"/>
          <w:bCs/>
          <w:sz w:val="24"/>
        </w:rPr>
        <w:t>20</w:t>
      </w:r>
      <w:r w:rsidRPr="00A32A4E">
        <w:rPr>
          <w:rFonts w:hint="eastAsia"/>
          <w:bCs/>
          <w:sz w:val="24"/>
        </w:rPr>
        <w:t>日内完成基金中期报告的复核；在收到报告之日起</w:t>
      </w:r>
      <w:r w:rsidRPr="00A32A4E">
        <w:rPr>
          <w:rFonts w:hint="eastAsia"/>
          <w:bCs/>
          <w:sz w:val="24"/>
        </w:rPr>
        <w:t>30</w:t>
      </w:r>
      <w:r w:rsidRPr="00A32A4E">
        <w:rPr>
          <w:rFonts w:hint="eastAsia"/>
          <w:bCs/>
          <w:sz w:val="24"/>
        </w:rPr>
        <w:t>日内完成基金年度报告的复核。基金托管人在复核过程中，发现双方的报表存在不符时，基金管理人和基金托管人应共同查明原因，进行调整，调整以国家有关规定为准。</w:t>
      </w:r>
    </w:p>
    <w:p w14:paraId="7FBB78D7" w14:textId="77777777" w:rsidR="00A32A4E" w:rsidRPr="00A32A4E" w:rsidRDefault="00A32A4E" w:rsidP="00A32A4E">
      <w:pPr>
        <w:adjustRightInd w:val="0"/>
        <w:snapToGrid w:val="0"/>
        <w:spacing w:line="360" w:lineRule="auto"/>
        <w:ind w:firstLineChars="200" w:firstLine="480"/>
        <w:rPr>
          <w:bCs/>
          <w:sz w:val="24"/>
        </w:rPr>
      </w:pPr>
      <w:r w:rsidRPr="00A32A4E">
        <w:rPr>
          <w:rFonts w:hint="eastAsia"/>
          <w:bCs/>
          <w:sz w:val="24"/>
        </w:rPr>
        <w:t>核对无误后，基金托管人在基金管理人提供的报告上加盖业务印鉴或者出具加盖托管业务部门公章的复核意见书，相关各方各自留存一份。</w:t>
      </w:r>
    </w:p>
    <w:p w14:paraId="6EBA55BD" w14:textId="1827E62F" w:rsidR="0004536B" w:rsidRPr="00210D77" w:rsidRDefault="00A32A4E" w:rsidP="00210D77">
      <w:pPr>
        <w:adjustRightInd w:val="0"/>
        <w:snapToGrid w:val="0"/>
        <w:spacing w:line="360" w:lineRule="auto"/>
        <w:ind w:firstLineChars="200" w:firstLine="480"/>
        <w:rPr>
          <w:bCs/>
          <w:sz w:val="24"/>
        </w:rPr>
      </w:pPr>
      <w:r w:rsidRPr="00A32A4E">
        <w:rPr>
          <w:rFonts w:hint="eastAsia"/>
          <w:bCs/>
          <w:sz w:val="24"/>
        </w:rPr>
        <w:t>基金托管人在对月度报表、季度、中期报告或年度报告复核完毕后，需盖章确认或出具相应的复核确认书，以备有权机构对相关文件审核时提示。</w:t>
      </w:r>
    </w:p>
    <w:p w14:paraId="7D7816DD"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lastRenderedPageBreak/>
        <w:t>6</w:t>
      </w:r>
      <w:r w:rsidRPr="00210D77">
        <w:rPr>
          <w:rFonts w:hint="eastAsia"/>
          <w:bCs/>
          <w:sz w:val="24"/>
        </w:rPr>
        <w:t>、暂停估值的情形</w:t>
      </w:r>
    </w:p>
    <w:p w14:paraId="03120903"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1</w:t>
      </w:r>
      <w:r w:rsidRPr="00210D77">
        <w:rPr>
          <w:rFonts w:hint="eastAsia"/>
          <w:bCs/>
          <w:sz w:val="24"/>
        </w:rPr>
        <w:t>）基金投资所涉及的证券、期货交易市场遇法定节假日或因其他原因暂停营业时；</w:t>
      </w:r>
    </w:p>
    <w:p w14:paraId="65F05AC8"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2</w:t>
      </w:r>
      <w:r w:rsidRPr="00210D77">
        <w:rPr>
          <w:rFonts w:hint="eastAsia"/>
          <w:bCs/>
          <w:sz w:val="24"/>
        </w:rPr>
        <w:t>）因不可抗力致使基金管理人、基金托管人无法准确评估基金资产价值时；</w:t>
      </w:r>
    </w:p>
    <w:p w14:paraId="50D78851"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3</w:t>
      </w:r>
      <w:r w:rsidRPr="00210D77">
        <w:rPr>
          <w:rFonts w:hint="eastAsia"/>
          <w:bCs/>
          <w:sz w:val="24"/>
        </w:rPr>
        <w:t>）当特定资产占前一估值日基金资产净值</w:t>
      </w:r>
      <w:r w:rsidRPr="00210D77">
        <w:rPr>
          <w:rFonts w:hint="eastAsia"/>
          <w:bCs/>
          <w:sz w:val="24"/>
        </w:rPr>
        <w:t>50%</w:t>
      </w:r>
      <w:r w:rsidRPr="00210D77">
        <w:rPr>
          <w:rFonts w:hint="eastAsia"/>
          <w:bCs/>
          <w:sz w:val="24"/>
        </w:rPr>
        <w:t>以上的，经与基金托管人协商确认后，基金管理人应当暂停估值；</w:t>
      </w:r>
    </w:p>
    <w:p w14:paraId="77957E36"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4</w:t>
      </w:r>
      <w:r w:rsidRPr="00210D77">
        <w:rPr>
          <w:rFonts w:hint="eastAsia"/>
          <w:bCs/>
          <w:sz w:val="24"/>
        </w:rPr>
        <w:t>）法律法规、中国证监会和基金合同认定的其它情形。</w:t>
      </w:r>
    </w:p>
    <w:p w14:paraId="3D17E84F"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7</w:t>
      </w:r>
      <w:r w:rsidRPr="00210D77">
        <w:rPr>
          <w:rFonts w:hint="eastAsia"/>
          <w:bCs/>
          <w:sz w:val="24"/>
        </w:rPr>
        <w:t>、实施侧袋机制期间的基金资产估值</w:t>
      </w:r>
    </w:p>
    <w:p w14:paraId="593800EE"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本基金实施侧袋机制的，应根据基金合同的约定对主袋账户资产进行估值并披露主袋账户的基金净值信息，暂停披露侧袋账户份额净值。</w:t>
      </w:r>
    </w:p>
    <w:p w14:paraId="54888952" w14:textId="77777777" w:rsidR="0004536B" w:rsidRPr="00210D77" w:rsidRDefault="003574EC" w:rsidP="00210D77">
      <w:pPr>
        <w:adjustRightInd w:val="0"/>
        <w:snapToGrid w:val="0"/>
        <w:spacing w:line="360" w:lineRule="auto"/>
        <w:ind w:firstLineChars="200" w:firstLine="480"/>
        <w:rPr>
          <w:bCs/>
          <w:sz w:val="24"/>
        </w:rPr>
      </w:pPr>
      <w:r w:rsidRPr="00210D77">
        <w:rPr>
          <w:bCs/>
          <w:sz w:val="24"/>
        </w:rPr>
        <w:t>（六）</w:t>
      </w:r>
      <w:r w:rsidRPr="00210D77">
        <w:rPr>
          <w:rFonts w:hint="eastAsia"/>
          <w:bCs/>
          <w:sz w:val="24"/>
        </w:rPr>
        <w:t>基金份额持有人名册的保管</w:t>
      </w:r>
    </w:p>
    <w:p w14:paraId="1508E6FC"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基金管理人和基金托管人须分别妥善保管的基金份额持有人名册，基金份额持有人名册的内容必须包括基金份额持有人的名称和持有的基金份额。</w:t>
      </w:r>
    </w:p>
    <w:p w14:paraId="1191FD02"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基金份额持有人名册由基金的登记机构根据基金管理人的指令编制和保管，基金管理人和基金托管人应按照目前相关规则分别保管基金份额持有人名册。保管方式可以采用电子或文档的形式。保管期限不低于法律法规规定的最低期限。</w:t>
      </w:r>
    </w:p>
    <w:p w14:paraId="28A3F6B1" w14:textId="4DB655EA"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基金管理人应当及时向基金托管人定期或不定期提交</w:t>
      </w:r>
      <w:r w:rsidR="00977476">
        <w:rPr>
          <w:rFonts w:ascii="宋体" w:hAnsi="宋体" w:hint="eastAsia"/>
          <w:color w:val="0D0D0D"/>
          <w:sz w:val="24"/>
          <w:szCs w:val="24"/>
        </w:rPr>
        <w:t>约定</w:t>
      </w:r>
      <w:r w:rsidRPr="00210D77">
        <w:rPr>
          <w:rFonts w:hint="eastAsia"/>
          <w:bCs/>
          <w:sz w:val="24"/>
        </w:rPr>
        <w:t>日期的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p>
    <w:p w14:paraId="353BAA49"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若基金管理人或基金托管人由于自身原因无法妥善保管基金份额持有人名册，应按有关法规规定各自承担相应的责任。</w:t>
      </w:r>
    </w:p>
    <w:p w14:paraId="4D007F05" w14:textId="77777777" w:rsidR="0004536B" w:rsidRPr="00210D77" w:rsidRDefault="003574EC" w:rsidP="00210D77">
      <w:pPr>
        <w:adjustRightInd w:val="0"/>
        <w:snapToGrid w:val="0"/>
        <w:spacing w:line="360" w:lineRule="auto"/>
        <w:ind w:firstLineChars="200" w:firstLine="480"/>
        <w:rPr>
          <w:bCs/>
          <w:sz w:val="24"/>
        </w:rPr>
      </w:pPr>
      <w:r w:rsidRPr="00210D77">
        <w:rPr>
          <w:bCs/>
          <w:sz w:val="24"/>
        </w:rPr>
        <w:t>（七）争议解决方式</w:t>
      </w:r>
    </w:p>
    <w:p w14:paraId="2715CE1E"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w:t>
      </w:r>
      <w:r w:rsidRPr="00210D77">
        <w:rPr>
          <w:rFonts w:hint="eastAsia"/>
          <w:bCs/>
          <w:sz w:val="24"/>
        </w:rPr>
        <w:lastRenderedPageBreak/>
        <w:t>诉方承担。</w:t>
      </w:r>
    </w:p>
    <w:p w14:paraId="0A910C93"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争议处理期间，双方当事人应恪守基金管理人和基金托管人职责，继续忠实、勤勉、尽责地履行基金合同和托管协议规定的义务，维护基金份额持有人的合法权益。</w:t>
      </w:r>
    </w:p>
    <w:p w14:paraId="799C154D"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本协议受中国法律（不含港澳台地区法律）管辖。</w:t>
      </w:r>
    </w:p>
    <w:p w14:paraId="73EA2A20" w14:textId="77777777" w:rsidR="0004536B" w:rsidRPr="00E917F4" w:rsidRDefault="003574EC" w:rsidP="00E917F4">
      <w:pPr>
        <w:pStyle w:val="a0"/>
        <w:autoSpaceDE w:val="0"/>
        <w:autoSpaceDN w:val="0"/>
        <w:adjustRightInd w:val="0"/>
        <w:snapToGrid w:val="0"/>
        <w:spacing w:line="360" w:lineRule="auto"/>
        <w:ind w:firstLine="482"/>
        <w:rPr>
          <w:rFonts w:hAnsi="宋体"/>
          <w:b/>
          <w:sz w:val="24"/>
        </w:rPr>
      </w:pPr>
      <w:r w:rsidRPr="00E917F4">
        <w:rPr>
          <w:rFonts w:hAnsi="宋体"/>
          <w:b/>
          <w:sz w:val="24"/>
        </w:rPr>
        <w:t>（八）</w:t>
      </w:r>
      <w:r w:rsidRPr="00E917F4">
        <w:rPr>
          <w:rFonts w:hAnsi="宋体" w:hint="eastAsia"/>
          <w:b/>
          <w:sz w:val="24"/>
        </w:rPr>
        <w:t>基金托管协议的变更、终止与基金财产的清算</w:t>
      </w:r>
    </w:p>
    <w:p w14:paraId="795EF0E7"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1</w:t>
      </w:r>
      <w:r w:rsidRPr="00210D77">
        <w:rPr>
          <w:rFonts w:hint="eastAsia"/>
          <w:bCs/>
          <w:sz w:val="24"/>
        </w:rPr>
        <w:t>、托管协议的变更与终止</w:t>
      </w:r>
    </w:p>
    <w:p w14:paraId="4A4CC1AF"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1</w:t>
      </w:r>
      <w:r w:rsidRPr="00210D77">
        <w:rPr>
          <w:rFonts w:hint="eastAsia"/>
          <w:bCs/>
          <w:sz w:val="24"/>
        </w:rPr>
        <w:t>）托管协议的变更程序</w:t>
      </w:r>
    </w:p>
    <w:p w14:paraId="7DAF2279"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本协议双方当事人经协商一致，可以对协议的内容进行变更。变更后的托管协议，其内容不得与基金合同的规定有任何冲突。本托管协议的变更报中国证监会备案。</w:t>
      </w:r>
    </w:p>
    <w:p w14:paraId="42CA7C3C"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2</w:t>
      </w:r>
      <w:r w:rsidRPr="00210D77">
        <w:rPr>
          <w:rFonts w:hint="eastAsia"/>
          <w:bCs/>
          <w:sz w:val="24"/>
        </w:rPr>
        <w:t>）基金托管协议终止的情形</w:t>
      </w:r>
    </w:p>
    <w:p w14:paraId="6D0CE26F"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发生以下情况，本托管协议终止：</w:t>
      </w:r>
    </w:p>
    <w:p w14:paraId="2257B7F5"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1</w:t>
      </w:r>
      <w:r w:rsidRPr="00210D77">
        <w:rPr>
          <w:rFonts w:hint="eastAsia"/>
          <w:bCs/>
          <w:sz w:val="24"/>
        </w:rPr>
        <w:t>）基金合同终止；</w:t>
      </w:r>
    </w:p>
    <w:p w14:paraId="1A3900C2"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2</w:t>
      </w:r>
      <w:r w:rsidRPr="00210D77">
        <w:rPr>
          <w:rFonts w:hint="eastAsia"/>
          <w:bCs/>
          <w:sz w:val="24"/>
        </w:rPr>
        <w:t>）基金托管人解散、依法被撤销、破产或由其他基金托管人接管基金资产；</w:t>
      </w:r>
    </w:p>
    <w:p w14:paraId="17DEC249"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3</w:t>
      </w:r>
      <w:r w:rsidRPr="00210D77">
        <w:rPr>
          <w:rFonts w:hint="eastAsia"/>
          <w:bCs/>
          <w:sz w:val="24"/>
        </w:rPr>
        <w:t>）基金管理人解散、依法被撤销、破产或由其他基金管理人接管基金管理权；</w:t>
      </w:r>
    </w:p>
    <w:p w14:paraId="57D019A6"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4</w:t>
      </w:r>
      <w:r w:rsidRPr="00210D77">
        <w:rPr>
          <w:rFonts w:hint="eastAsia"/>
          <w:bCs/>
          <w:sz w:val="24"/>
        </w:rPr>
        <w:t>）发生法律法规或基金合同规定的终止事项。</w:t>
      </w:r>
    </w:p>
    <w:p w14:paraId="6574D8CF"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2</w:t>
      </w:r>
      <w:r w:rsidRPr="00210D77">
        <w:rPr>
          <w:rFonts w:hint="eastAsia"/>
          <w:bCs/>
          <w:sz w:val="24"/>
        </w:rPr>
        <w:t>、基金财产的清算</w:t>
      </w:r>
    </w:p>
    <w:p w14:paraId="4EAE5F6E"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1</w:t>
      </w:r>
      <w:r w:rsidRPr="00210D77">
        <w:rPr>
          <w:rFonts w:hint="eastAsia"/>
          <w:bCs/>
          <w:sz w:val="24"/>
        </w:rPr>
        <w:t>）基金财产的清算</w:t>
      </w:r>
    </w:p>
    <w:p w14:paraId="128FDDD3"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1</w:t>
      </w:r>
      <w:r w:rsidRPr="00210D77">
        <w:rPr>
          <w:rFonts w:hint="eastAsia"/>
          <w:bCs/>
          <w:sz w:val="24"/>
        </w:rPr>
        <w:t>）基金财产清算小组：自出现《基金合同》终止事由之日起</w:t>
      </w:r>
      <w:r w:rsidRPr="00210D77">
        <w:rPr>
          <w:rFonts w:hint="eastAsia"/>
          <w:bCs/>
          <w:sz w:val="24"/>
        </w:rPr>
        <w:t>30</w:t>
      </w:r>
      <w:r w:rsidRPr="00210D77">
        <w:rPr>
          <w:rFonts w:hint="eastAsia"/>
          <w:bCs/>
          <w:sz w:val="24"/>
        </w:rPr>
        <w:t>个工作日内成立清算小组，基金管理人组织基金财产清算小组并在中国证监会的监督下进行基金清算。</w:t>
      </w:r>
    </w:p>
    <w:p w14:paraId="343D997B"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2</w:t>
      </w:r>
      <w:r w:rsidRPr="00210D77">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A35D582"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3</w:t>
      </w:r>
      <w:r w:rsidRPr="00210D77">
        <w:rPr>
          <w:rFonts w:hint="eastAsia"/>
          <w:bCs/>
          <w:sz w:val="24"/>
        </w:rPr>
        <w:t>）基金财产清算小组职责：基金财产清算小组负责基金财产的保管、清理、估价、变现和分配。基金财产清算小组可以依法进行必要的民事活动。</w:t>
      </w:r>
    </w:p>
    <w:p w14:paraId="3E4C9D31"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4</w:t>
      </w:r>
      <w:r w:rsidRPr="00210D77">
        <w:rPr>
          <w:rFonts w:hint="eastAsia"/>
          <w:bCs/>
          <w:sz w:val="24"/>
        </w:rPr>
        <w:t>）基金财产清算程序：</w:t>
      </w:r>
    </w:p>
    <w:p w14:paraId="1C3726C9"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lastRenderedPageBreak/>
        <w:t>①《基金合同》终止情形出现时，由基金财产清算小组统一接管基金；</w:t>
      </w:r>
    </w:p>
    <w:p w14:paraId="0AD7B986"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②对基金财产和债权债务进行清理和确认；</w:t>
      </w:r>
    </w:p>
    <w:p w14:paraId="10F50E9E"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③对基金财产进行估值和变现；</w:t>
      </w:r>
    </w:p>
    <w:p w14:paraId="243E7B12"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④制作清算报告；</w:t>
      </w:r>
    </w:p>
    <w:p w14:paraId="0C0439CF"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⑤聘请会计师事务所对清算报告进行外部审计，聘请律师事务所对清算报告出具法律意见书；</w:t>
      </w:r>
    </w:p>
    <w:p w14:paraId="192A6CA1"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⑥将清算报告报中国证监会备案并公告；</w:t>
      </w:r>
    </w:p>
    <w:p w14:paraId="0B961955"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⑦对基金剩余财产进行分配。</w:t>
      </w:r>
    </w:p>
    <w:p w14:paraId="1856983D"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5</w:t>
      </w:r>
      <w:r w:rsidRPr="00210D77">
        <w:rPr>
          <w:rFonts w:hint="eastAsia"/>
          <w:bCs/>
          <w:sz w:val="24"/>
        </w:rPr>
        <w:t>）基金财产清算的期限为</w:t>
      </w:r>
      <w:r w:rsidRPr="00210D77">
        <w:rPr>
          <w:rFonts w:hint="eastAsia"/>
          <w:bCs/>
          <w:sz w:val="24"/>
        </w:rPr>
        <w:t>6</w:t>
      </w:r>
      <w:r w:rsidRPr="00210D77">
        <w:rPr>
          <w:rFonts w:hint="eastAsia"/>
          <w:bCs/>
          <w:sz w:val="24"/>
        </w:rPr>
        <w:t>个月，但因本基金所持证券的流动性受到限制而不能及时变现的，清算期限相应顺延。</w:t>
      </w:r>
    </w:p>
    <w:p w14:paraId="4D1B2524"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bCs/>
          <w:sz w:val="24"/>
        </w:rPr>
        <w:t>3</w:t>
      </w:r>
      <w:r w:rsidRPr="00210D77">
        <w:rPr>
          <w:rFonts w:hint="eastAsia"/>
          <w:bCs/>
          <w:sz w:val="24"/>
        </w:rPr>
        <w:t>）清算费用</w:t>
      </w:r>
    </w:p>
    <w:p w14:paraId="256CACC6"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清算费用是指基金财产清算小组在进行基金清算过程中发生的所有合理费用，清算费用由基金财产清算小组优先从基金财产中支付。</w:t>
      </w:r>
    </w:p>
    <w:p w14:paraId="552CE179"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4</w:t>
      </w:r>
      <w:r w:rsidRPr="00210D77">
        <w:rPr>
          <w:rFonts w:hint="eastAsia"/>
          <w:bCs/>
          <w:sz w:val="24"/>
        </w:rPr>
        <w:t>）基金财产清算剩余资产的分配</w:t>
      </w:r>
    </w:p>
    <w:p w14:paraId="35D2CBFB"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2E81AAC"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5</w:t>
      </w:r>
      <w:r w:rsidRPr="00210D77">
        <w:rPr>
          <w:rFonts w:hint="eastAsia"/>
          <w:bCs/>
          <w:sz w:val="24"/>
        </w:rPr>
        <w:t>）基金财产清算的公告</w:t>
      </w:r>
    </w:p>
    <w:p w14:paraId="4D54250E"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210D77">
        <w:rPr>
          <w:rFonts w:hint="eastAsia"/>
          <w:bCs/>
          <w:sz w:val="24"/>
        </w:rPr>
        <w:t>5</w:t>
      </w:r>
      <w:r w:rsidRPr="00210D77">
        <w:rPr>
          <w:rFonts w:hint="eastAsia"/>
          <w:bCs/>
          <w:sz w:val="24"/>
        </w:rPr>
        <w:t>个工作日内由基金财产清算小组进行公告，基金财产清算小组应当将清算报告登载在规定网站上，并将清算报告提示性公告登载在规定报刊上。</w:t>
      </w:r>
    </w:p>
    <w:p w14:paraId="301E6B92" w14:textId="77777777" w:rsidR="0004536B" w:rsidRPr="00210D77" w:rsidRDefault="003574EC" w:rsidP="00210D77">
      <w:pPr>
        <w:adjustRightInd w:val="0"/>
        <w:snapToGrid w:val="0"/>
        <w:spacing w:line="360" w:lineRule="auto"/>
        <w:ind w:firstLineChars="200" w:firstLine="480"/>
        <w:rPr>
          <w:bCs/>
          <w:sz w:val="24"/>
        </w:rPr>
      </w:pPr>
      <w:r w:rsidRPr="00210D77">
        <w:rPr>
          <w:rFonts w:hint="eastAsia"/>
          <w:bCs/>
          <w:sz w:val="24"/>
        </w:rPr>
        <w:t>（</w:t>
      </w:r>
      <w:r w:rsidRPr="00210D77">
        <w:rPr>
          <w:rFonts w:hint="eastAsia"/>
          <w:bCs/>
          <w:sz w:val="24"/>
        </w:rPr>
        <w:t>6</w:t>
      </w:r>
      <w:r w:rsidRPr="00210D77">
        <w:rPr>
          <w:rFonts w:hint="eastAsia"/>
          <w:bCs/>
          <w:sz w:val="24"/>
        </w:rPr>
        <w:t>）基金财产清算账册及文件的保存</w:t>
      </w:r>
    </w:p>
    <w:p w14:paraId="1A117F95" w14:textId="77777777" w:rsidR="0004536B" w:rsidRPr="00210D77" w:rsidRDefault="003574EC">
      <w:pPr>
        <w:adjustRightInd w:val="0"/>
        <w:snapToGrid w:val="0"/>
        <w:spacing w:line="360" w:lineRule="auto"/>
        <w:ind w:firstLineChars="200" w:firstLine="480"/>
        <w:rPr>
          <w:bCs/>
          <w:sz w:val="24"/>
        </w:rPr>
      </w:pPr>
      <w:r w:rsidRPr="00210D77">
        <w:rPr>
          <w:rFonts w:hint="eastAsia"/>
          <w:bCs/>
          <w:sz w:val="24"/>
        </w:rPr>
        <w:t>基金财产清算账册及有关文件由基金托管人保存不低于法律法规规定的最低期限。</w:t>
      </w:r>
    </w:p>
    <w:p w14:paraId="2C582BCE" w14:textId="670ADEBA" w:rsidR="0004536B" w:rsidRDefault="003574EC" w:rsidP="00827A2B">
      <w:pPr>
        <w:widowControl/>
        <w:adjustRightInd w:val="0"/>
        <w:snapToGrid w:val="0"/>
        <w:spacing w:beforeLines="50" w:before="143" w:afterLines="50" w:after="143" w:line="360" w:lineRule="auto"/>
        <w:jc w:val="center"/>
        <w:outlineLvl w:val="0"/>
        <w:rPr>
          <w:rFonts w:ascii="宋体" w:hAnsi="宋体"/>
          <w:b/>
          <w:kern w:val="0"/>
          <w:sz w:val="30"/>
        </w:rPr>
      </w:pPr>
      <w:r w:rsidRPr="00210D77">
        <w:rPr>
          <w:bCs/>
          <w:sz w:val="24"/>
        </w:rPr>
        <w:br w:type="page"/>
      </w:r>
      <w:bookmarkStart w:id="104" w:name="_Toc139631570"/>
      <w:bookmarkEnd w:id="103"/>
      <w:r>
        <w:rPr>
          <w:rFonts w:ascii="宋体" w:hAnsi="宋体" w:hint="eastAsia"/>
          <w:b/>
          <w:kern w:val="0"/>
          <w:sz w:val="30"/>
        </w:rPr>
        <w:lastRenderedPageBreak/>
        <w:t>二十</w:t>
      </w:r>
      <w:r w:rsidR="00827A2B">
        <w:rPr>
          <w:rFonts w:ascii="宋体" w:hAnsi="宋体" w:hint="eastAsia"/>
          <w:b/>
          <w:kern w:val="0"/>
          <w:sz w:val="30"/>
        </w:rPr>
        <w:t>二</w:t>
      </w:r>
      <w:r>
        <w:rPr>
          <w:rFonts w:ascii="宋体" w:hAnsi="宋体" w:hint="eastAsia"/>
          <w:b/>
          <w:kern w:val="0"/>
          <w:sz w:val="30"/>
        </w:rPr>
        <w:t>、对基金份额持有人的服务</w:t>
      </w:r>
      <w:bookmarkEnd w:id="104"/>
    </w:p>
    <w:p w14:paraId="4D954BE9" w14:textId="77777777" w:rsidR="0004536B" w:rsidRDefault="003574EC">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738E0DD2" w14:textId="77777777" w:rsidR="0004536B" w:rsidRDefault="003574EC">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14:paraId="2BB52BE0" w14:textId="77777777" w:rsidR="0004536B" w:rsidRDefault="003574EC">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6060EA25" w14:textId="77777777" w:rsidR="0004536B" w:rsidRDefault="003574EC">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p>
    <w:p w14:paraId="01036902" w14:textId="77777777" w:rsidR="0004536B" w:rsidRDefault="003574EC">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7AE023DA" w14:textId="77777777" w:rsidR="0004536B" w:rsidRDefault="003574EC">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03CC4FE5" w14:textId="77777777" w:rsidR="0004536B" w:rsidRDefault="003574EC">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5021C035" w14:textId="77777777" w:rsidR="0004536B" w:rsidRDefault="003574EC">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p>
    <w:p w14:paraId="39D79E0D"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14:paraId="1FD728AC"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1C40210F" w14:textId="77777777" w:rsidR="0004536B" w:rsidRDefault="003574EC">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p>
    <w:p w14:paraId="636D798D" w14:textId="1395ACD9" w:rsidR="0004536B" w:rsidRDefault="003574EC" w:rsidP="005120AF">
      <w:pPr>
        <w:widowControl/>
        <w:adjustRightInd w:val="0"/>
        <w:snapToGrid w:val="0"/>
        <w:spacing w:line="360" w:lineRule="auto"/>
        <w:ind w:firstLineChars="200" w:firstLine="482"/>
        <w:rPr>
          <w:rFonts w:hAnsi="宋体"/>
          <w:b/>
          <w:kern w:val="0"/>
          <w:sz w:val="24"/>
        </w:rPr>
      </w:pPr>
      <w:r>
        <w:rPr>
          <w:rFonts w:hAnsi="宋体"/>
          <w:b/>
          <w:kern w:val="0"/>
          <w:sz w:val="24"/>
        </w:rPr>
        <w:t>（四）定期定额投资计划</w:t>
      </w:r>
    </w:p>
    <w:p w14:paraId="79DD04AA" w14:textId="77777777" w:rsidR="0004536B" w:rsidRDefault="003574EC">
      <w:pPr>
        <w:widowControl/>
        <w:adjustRightInd w:val="0"/>
        <w:snapToGrid w:val="0"/>
        <w:spacing w:line="360" w:lineRule="auto"/>
        <w:ind w:firstLineChars="200" w:firstLine="480"/>
        <w:rPr>
          <w:kern w:val="0"/>
          <w:sz w:val="24"/>
        </w:rPr>
      </w:pPr>
      <w:r>
        <w:rPr>
          <w:kern w:val="0"/>
          <w:sz w:val="24"/>
        </w:rPr>
        <w:lastRenderedPageBreak/>
        <w:t>待技术条件成熟时，基金</w:t>
      </w:r>
      <w:bookmarkStart w:id="105" w:name="OLE_LINK11"/>
      <w:r>
        <w:rPr>
          <w:kern w:val="0"/>
          <w:sz w:val="24"/>
        </w:rPr>
        <w:t>管理人可通过销售机构为投资人提供定期定额投资的服务。通过定期定额</w:t>
      </w:r>
      <w:bookmarkEnd w:id="105"/>
      <w:r>
        <w:rPr>
          <w:kern w:val="0"/>
          <w:sz w:val="24"/>
        </w:rPr>
        <w:t>投资计划，投资人可以定期定额申购基金份额，具体实施方法另行公告。</w:t>
      </w:r>
    </w:p>
    <w:p w14:paraId="2F08E3EC"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服务联系方式：</w:t>
      </w:r>
    </w:p>
    <w:p w14:paraId="031C9973"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14:paraId="7B37738A" w14:textId="77777777" w:rsidR="0004536B" w:rsidRDefault="003574EC">
      <w:pPr>
        <w:widowControl/>
        <w:adjustRightInd w:val="0"/>
        <w:snapToGrid w:val="0"/>
        <w:spacing w:line="360" w:lineRule="auto"/>
        <w:ind w:firstLineChars="200" w:firstLine="480"/>
        <w:rPr>
          <w:kern w:val="0"/>
          <w:sz w:val="24"/>
        </w:rPr>
      </w:pPr>
      <w:r>
        <w:rPr>
          <w:rFonts w:hAnsi="宋体"/>
          <w:kern w:val="0"/>
          <w:sz w:val="24"/>
        </w:rPr>
        <w:t>网址：</w:t>
      </w:r>
      <w:hyperlink r:id="rId11" w:history="1">
        <w:r>
          <w:rPr>
            <w:sz w:val="24"/>
          </w:rPr>
          <w:t>www.fund001.com</w:t>
        </w:r>
      </w:hyperlink>
    </w:p>
    <w:p w14:paraId="19588021"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73383A4B"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4F2133F3" w14:textId="7014B56E" w:rsidR="0004536B" w:rsidRDefault="003574EC">
      <w:pPr>
        <w:widowControl/>
        <w:adjustRightInd w:val="0"/>
        <w:snapToGrid w:val="0"/>
        <w:spacing w:line="360" w:lineRule="auto"/>
        <w:ind w:firstLineChars="200" w:firstLine="482"/>
        <w:rPr>
          <w:rFonts w:ascii="宋体" w:hAnsi="宋体"/>
          <w:b/>
          <w:kern w:val="0"/>
          <w:sz w:val="24"/>
        </w:rPr>
      </w:pPr>
      <w:r>
        <w:rPr>
          <w:rFonts w:hAnsi="宋体" w:hint="eastAsia"/>
          <w:b/>
          <w:kern w:val="0"/>
          <w:sz w:val="24"/>
        </w:rPr>
        <w:t>（</w:t>
      </w:r>
      <w:r w:rsidR="005120AF">
        <w:rPr>
          <w:rFonts w:hAnsi="宋体" w:hint="eastAsia"/>
          <w:b/>
          <w:kern w:val="0"/>
          <w:sz w:val="24"/>
        </w:rPr>
        <w:t>五</w:t>
      </w:r>
      <w:r>
        <w:rPr>
          <w:rFonts w:hAnsi="宋体" w:hint="eastAsia"/>
          <w:b/>
          <w:kern w:val="0"/>
          <w:sz w:val="24"/>
        </w:rPr>
        <w:t>）如本招募说明书存在任何您</w:t>
      </w:r>
      <w:r>
        <w:rPr>
          <w:rFonts w:hAnsi="宋体"/>
          <w:b/>
          <w:kern w:val="0"/>
          <w:sz w:val="24"/>
        </w:rPr>
        <w:t>/</w:t>
      </w:r>
      <w:r>
        <w:rPr>
          <w:rFonts w:hAnsi="宋体" w:hint="eastAsia"/>
          <w:b/>
          <w:kern w:val="0"/>
          <w:sz w:val="24"/>
        </w:rPr>
        <w:t>贵机构无法理解的内容，请通过上述方式联系基金管理人。请确保投资前，您</w:t>
      </w:r>
      <w:r>
        <w:rPr>
          <w:rFonts w:hAnsi="宋体"/>
          <w:b/>
          <w:kern w:val="0"/>
          <w:sz w:val="24"/>
        </w:rPr>
        <w:t>/</w:t>
      </w:r>
      <w:r>
        <w:rPr>
          <w:rFonts w:hAnsi="宋体" w:hint="eastAsia"/>
          <w:b/>
          <w:kern w:val="0"/>
          <w:sz w:val="24"/>
        </w:rPr>
        <w:t>贵机构已经全面理解了本招募说明书。</w:t>
      </w:r>
    </w:p>
    <w:p w14:paraId="47D2CFE9" w14:textId="1B35E553"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6" w:name="_Toc139631571"/>
      <w:r>
        <w:rPr>
          <w:rFonts w:ascii="宋体" w:hAnsi="宋体" w:hint="eastAsia"/>
          <w:b/>
          <w:kern w:val="0"/>
          <w:sz w:val="30"/>
        </w:rPr>
        <w:lastRenderedPageBreak/>
        <w:t>二十</w:t>
      </w:r>
      <w:r w:rsidR="00827A2B">
        <w:rPr>
          <w:rFonts w:ascii="宋体" w:hAnsi="宋体" w:hint="eastAsia"/>
          <w:b/>
          <w:kern w:val="0"/>
          <w:sz w:val="30"/>
        </w:rPr>
        <w:t>三</w:t>
      </w:r>
      <w:r>
        <w:rPr>
          <w:rFonts w:ascii="宋体" w:hAnsi="宋体" w:hint="eastAsia"/>
          <w:b/>
          <w:kern w:val="0"/>
          <w:sz w:val="30"/>
        </w:rPr>
        <w:t>、其他应披露事项</w:t>
      </w:r>
      <w:bookmarkEnd w:id="106"/>
    </w:p>
    <w:p w14:paraId="7D7F074A"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14:paraId="0D47A66F" w14:textId="1DF37F8A"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7" w:name="_Toc139631572"/>
      <w:r>
        <w:rPr>
          <w:rFonts w:ascii="宋体" w:hAnsi="宋体" w:hint="eastAsia"/>
          <w:b/>
          <w:kern w:val="0"/>
          <w:sz w:val="30"/>
        </w:rPr>
        <w:lastRenderedPageBreak/>
        <w:t>二十</w:t>
      </w:r>
      <w:r w:rsidR="00827A2B">
        <w:rPr>
          <w:rFonts w:ascii="宋体" w:hAnsi="宋体" w:hint="eastAsia"/>
          <w:b/>
          <w:kern w:val="0"/>
          <w:sz w:val="30"/>
        </w:rPr>
        <w:t>四</w:t>
      </w:r>
      <w:r>
        <w:rPr>
          <w:rFonts w:ascii="宋体" w:hAnsi="宋体" w:hint="eastAsia"/>
          <w:b/>
          <w:kern w:val="0"/>
          <w:sz w:val="30"/>
        </w:rPr>
        <w:t>、招募说明书的存放及查阅方式</w:t>
      </w:r>
      <w:bookmarkEnd w:id="107"/>
    </w:p>
    <w:p w14:paraId="10C8B03E"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108" w:name="_Toc109537401"/>
      <w:r>
        <w:rPr>
          <w:rFonts w:ascii="宋体" w:hAnsi="宋体"/>
          <w:kern w:val="0"/>
          <w:sz w:val="24"/>
        </w:rPr>
        <w:t>间内取得上述文件复制件</w:t>
      </w:r>
      <w:bookmarkEnd w:id="108"/>
      <w:r>
        <w:rPr>
          <w:rFonts w:ascii="宋体" w:hAnsi="宋体"/>
          <w:kern w:val="0"/>
          <w:sz w:val="24"/>
        </w:rPr>
        <w:t>或复印件。对投资人按此种方式所获得的文件及其复印件，基金管理人和基金托管人</w:t>
      </w:r>
      <w:bookmarkStart w:id="109" w:name="_Toc109537402"/>
      <w:r>
        <w:rPr>
          <w:rFonts w:ascii="宋体" w:hAnsi="宋体"/>
          <w:kern w:val="0"/>
          <w:sz w:val="24"/>
        </w:rPr>
        <w:t>保证文本的内容与所公告的内容完全一</w:t>
      </w:r>
      <w:bookmarkEnd w:id="109"/>
      <w:r>
        <w:rPr>
          <w:rFonts w:ascii="宋体" w:hAnsi="宋体"/>
          <w:kern w:val="0"/>
          <w:sz w:val="24"/>
        </w:rPr>
        <w:t>致。</w:t>
      </w:r>
    </w:p>
    <w:p w14:paraId="7E1DEBAC"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2" w:history="1">
        <w:r>
          <w:rPr>
            <w:rStyle w:val="af7"/>
            <w:color w:val="auto"/>
            <w:sz w:val="24"/>
            <w:u w:val="none"/>
          </w:rPr>
          <w:t>www.fund001.com</w:t>
        </w:r>
      </w:hyperlink>
      <w:r>
        <w:rPr>
          <w:rStyle w:val="af7"/>
          <w:color w:val="auto"/>
          <w:u w:val="none"/>
        </w:rPr>
        <w:t>）</w:t>
      </w:r>
      <w:r>
        <w:rPr>
          <w:rFonts w:ascii="宋体" w:hAnsi="宋体"/>
          <w:kern w:val="0"/>
          <w:sz w:val="24"/>
        </w:rPr>
        <w:t>查阅和下载招募说明书。</w:t>
      </w:r>
    </w:p>
    <w:p w14:paraId="5CE72BAE" w14:textId="4F237407" w:rsidR="0004536B" w:rsidRDefault="003574EC">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0" w:name="_Toc139631573"/>
      <w:r>
        <w:rPr>
          <w:rFonts w:ascii="宋体" w:hAnsi="宋体" w:hint="eastAsia"/>
          <w:b/>
          <w:kern w:val="0"/>
          <w:sz w:val="30"/>
        </w:rPr>
        <w:lastRenderedPageBreak/>
        <w:t>二十</w:t>
      </w:r>
      <w:r w:rsidR="00827A2B">
        <w:rPr>
          <w:rFonts w:ascii="宋体" w:hAnsi="宋体" w:hint="eastAsia"/>
          <w:b/>
          <w:kern w:val="0"/>
          <w:sz w:val="30"/>
        </w:rPr>
        <w:t>五</w:t>
      </w:r>
      <w:r>
        <w:rPr>
          <w:rFonts w:ascii="宋体" w:hAnsi="宋体" w:hint="eastAsia"/>
          <w:b/>
          <w:kern w:val="0"/>
          <w:sz w:val="30"/>
        </w:rPr>
        <w:t>、备查文件</w:t>
      </w:r>
      <w:bookmarkEnd w:id="110"/>
    </w:p>
    <w:p w14:paraId="2B839857"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72780B2F" w14:textId="746F4C21"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交银施罗德</w:t>
      </w:r>
      <w:r w:rsidR="00F86ECF">
        <w:rPr>
          <w:rFonts w:ascii="宋体" w:hAnsi="宋体" w:hint="eastAsia"/>
          <w:kern w:val="0"/>
          <w:sz w:val="24"/>
        </w:rPr>
        <w:t>瑞元三年定期开放</w:t>
      </w:r>
      <w:r>
        <w:rPr>
          <w:rFonts w:ascii="宋体" w:hAnsi="宋体"/>
          <w:kern w:val="0"/>
          <w:sz w:val="24"/>
        </w:rPr>
        <w:t>混合型证券投资基金募集</w:t>
      </w:r>
      <w:r>
        <w:rPr>
          <w:rFonts w:ascii="宋体" w:hAnsi="宋体" w:hint="eastAsia"/>
          <w:kern w:val="0"/>
          <w:sz w:val="24"/>
          <w:szCs w:val="24"/>
        </w:rPr>
        <w:t>注册</w:t>
      </w:r>
      <w:r>
        <w:rPr>
          <w:rFonts w:ascii="宋体" w:hAnsi="宋体"/>
          <w:kern w:val="0"/>
          <w:sz w:val="24"/>
        </w:rPr>
        <w:t>的文件</w:t>
      </w:r>
    </w:p>
    <w:p w14:paraId="0251F227" w14:textId="6CC88040"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sidR="00F86ECF">
        <w:rPr>
          <w:rFonts w:ascii="宋体" w:hAnsi="宋体" w:hint="eastAsia"/>
          <w:kern w:val="0"/>
          <w:sz w:val="24"/>
        </w:rPr>
        <w:t>瑞元三年定期开放</w:t>
      </w:r>
      <w:r>
        <w:rPr>
          <w:rFonts w:ascii="宋体" w:hAnsi="宋体"/>
          <w:kern w:val="0"/>
          <w:sz w:val="24"/>
        </w:rPr>
        <w:t>混合型证券投资基金基金合同》</w:t>
      </w:r>
    </w:p>
    <w:p w14:paraId="1CC3812F" w14:textId="62ED179A"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sidR="00F86ECF">
        <w:rPr>
          <w:rFonts w:ascii="宋体" w:hAnsi="宋体" w:hint="eastAsia"/>
          <w:kern w:val="0"/>
          <w:sz w:val="24"/>
        </w:rPr>
        <w:t>瑞元三年定期开放</w:t>
      </w:r>
      <w:r>
        <w:rPr>
          <w:rFonts w:ascii="宋体" w:hAnsi="宋体"/>
          <w:kern w:val="0"/>
          <w:sz w:val="24"/>
        </w:rPr>
        <w:t>混合型证券投资基金托管协议》</w:t>
      </w:r>
    </w:p>
    <w:p w14:paraId="133FB8B4"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0E9D8698" w14:textId="77777777" w:rsidR="0004536B" w:rsidRDefault="003574EC">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4C412758" w14:textId="3CAF4EA1" w:rsidR="0004536B" w:rsidRDefault="003574EC">
      <w:pPr>
        <w:widowControl/>
        <w:adjustRightInd w:val="0"/>
        <w:snapToGrid w:val="0"/>
        <w:spacing w:line="360" w:lineRule="auto"/>
        <w:ind w:firstLineChars="200" w:firstLine="480"/>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交银施罗德</w:t>
      </w:r>
      <w:r w:rsidR="00F86ECF">
        <w:rPr>
          <w:rFonts w:ascii="宋体" w:hAnsi="宋体" w:hint="eastAsia"/>
          <w:kern w:val="0"/>
          <w:sz w:val="24"/>
        </w:rPr>
        <w:t>瑞元三年定期开放</w:t>
      </w:r>
      <w:r>
        <w:rPr>
          <w:rFonts w:ascii="宋体" w:hAnsi="宋体"/>
          <w:kern w:val="0"/>
          <w:sz w:val="24"/>
        </w:rPr>
        <w:t>混合型证券投资基金</w:t>
      </w:r>
      <w:r>
        <w:rPr>
          <w:rFonts w:ascii="宋体" w:hAnsi="宋体" w:hint="eastAsia"/>
          <w:kern w:val="0"/>
          <w:sz w:val="24"/>
        </w:rPr>
        <w:t>的</w:t>
      </w:r>
      <w:r>
        <w:rPr>
          <w:rFonts w:ascii="宋体" w:hAnsi="宋体"/>
          <w:kern w:val="0"/>
          <w:sz w:val="24"/>
        </w:rPr>
        <w:t>法律意见书</w:t>
      </w:r>
    </w:p>
    <w:sectPr w:rsidR="0004536B">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7A91C" w16cid:durableId="28512A44"/>
  <w16cid:commentId w16cid:paraId="076C9142" w16cid:durableId="28516619"/>
  <w16cid:commentId w16cid:paraId="7E95BB10" w16cid:durableId="28512B72"/>
  <w16cid:commentId w16cid:paraId="6564F2FE" w16cid:durableId="28512B8F"/>
  <w16cid:commentId w16cid:paraId="71C43F21" w16cid:durableId="28512C5E"/>
  <w16cid:commentId w16cid:paraId="3C3B32D0" w16cid:durableId="285141CA"/>
  <w16cid:commentId w16cid:paraId="74EC55B6" w16cid:durableId="285141F0"/>
  <w16cid:commentId w16cid:paraId="46E82C73" w16cid:durableId="28514366"/>
  <w16cid:commentId w16cid:paraId="77342C21" w16cid:durableId="285143BF"/>
  <w16cid:commentId w16cid:paraId="7DBB8801" w16cid:durableId="2851443D"/>
  <w16cid:commentId w16cid:paraId="6FDEED5E" w16cid:durableId="28514596"/>
  <w16cid:commentId w16cid:paraId="00E5C311" w16cid:durableId="285147FB"/>
  <w16cid:commentId w16cid:paraId="5EC1D99D" w16cid:durableId="28514852"/>
  <w16cid:commentId w16cid:paraId="57265DB4" w16cid:durableId="2851488A"/>
  <w16cid:commentId w16cid:paraId="347ED9B1" w16cid:durableId="285148C7"/>
  <w16cid:commentId w16cid:paraId="6A6574B4" w16cid:durableId="28514C99"/>
  <w16cid:commentId w16cid:paraId="01B99DC5" w16cid:durableId="28514D1B"/>
  <w16cid:commentId w16cid:paraId="375832B9" w16cid:durableId="28514E90"/>
  <w16cid:commentId w16cid:paraId="351FFDD7" w16cid:durableId="28514F1B"/>
  <w16cid:commentId w16cid:paraId="22BFA375" w16cid:durableId="28515612"/>
  <w16cid:commentId w16cid:paraId="4A94ACD0" w16cid:durableId="285156D8"/>
  <w16cid:commentId w16cid:paraId="7C583775" w16cid:durableId="285156F0"/>
  <w16cid:commentId w16cid:paraId="6200E4C8" w16cid:durableId="28515740"/>
  <w16cid:commentId w16cid:paraId="7EE07716" w16cid:durableId="28515A58"/>
  <w16cid:commentId w16cid:paraId="5B2536C3" w16cid:durableId="28515A81"/>
  <w16cid:commentId w16cid:paraId="1BADE5E3" w16cid:durableId="28515C07"/>
  <w16cid:commentId w16cid:paraId="4D02BB44" w16cid:durableId="285119DF"/>
  <w16cid:commentId w16cid:paraId="144BE804" w16cid:durableId="285119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F4452" w14:textId="77777777" w:rsidR="00D103F0" w:rsidRDefault="00D103F0">
      <w:r>
        <w:separator/>
      </w:r>
    </w:p>
  </w:endnote>
  <w:endnote w:type="continuationSeparator" w:id="0">
    <w:p w14:paraId="0F9D4B8A" w14:textId="77777777" w:rsidR="00D103F0" w:rsidRDefault="00D1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方正舒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22F7" w14:textId="128D37D4" w:rsidR="00B412F4" w:rsidRDefault="00B412F4">
    <w:pPr>
      <w:pStyle w:val="af"/>
      <w:jc w:val="center"/>
    </w:pPr>
    <w:r>
      <w:fldChar w:fldCharType="begin"/>
    </w:r>
    <w:r>
      <w:instrText xml:space="preserve"> PAGE   \* MERGEFORMAT </w:instrText>
    </w:r>
    <w:r>
      <w:fldChar w:fldCharType="separate"/>
    </w:r>
    <w:r w:rsidR="00DF05E9">
      <w:rPr>
        <w:noProof/>
      </w:rPr>
      <w:t>22</w:t>
    </w:r>
    <w:r>
      <w:fldChar w:fldCharType="end"/>
    </w:r>
  </w:p>
  <w:p w14:paraId="793C07B0" w14:textId="77777777" w:rsidR="00B412F4" w:rsidRDefault="00B412F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AD48" w14:textId="77777777" w:rsidR="00D103F0" w:rsidRDefault="00D103F0">
      <w:r>
        <w:separator/>
      </w:r>
    </w:p>
  </w:footnote>
  <w:footnote w:type="continuationSeparator" w:id="0">
    <w:p w14:paraId="7EF7ABB2" w14:textId="77777777" w:rsidR="00D103F0" w:rsidRDefault="00D103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B155" w14:textId="6C7A799B" w:rsidR="00B412F4" w:rsidRDefault="00B412F4">
    <w:pPr>
      <w:pStyle w:val="af1"/>
      <w:jc w:val="right"/>
    </w:pPr>
    <w:r>
      <w:rPr>
        <w:noProof/>
      </w:rPr>
      <w:drawing>
        <wp:anchor distT="0" distB="0" distL="114300" distR="114300" simplePos="0" relativeHeight="251659264" behindDoc="0" locked="0" layoutInCell="1" allowOverlap="1" wp14:anchorId="29A10FC2" wp14:editId="22E63FFF">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交银施罗德瑞元三年定期开放混合型证券投资基金招募说明书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415BF"/>
    <w:multiLevelType w:val="multilevel"/>
    <w:tmpl w:val="4AC415B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510"/>
    <w:rsid w:val="00000719"/>
    <w:rsid w:val="00000E8F"/>
    <w:rsid w:val="00000F69"/>
    <w:rsid w:val="00002218"/>
    <w:rsid w:val="000023B4"/>
    <w:rsid w:val="00002D5D"/>
    <w:rsid w:val="000036ED"/>
    <w:rsid w:val="00004148"/>
    <w:rsid w:val="00004BC7"/>
    <w:rsid w:val="00004F21"/>
    <w:rsid w:val="00006546"/>
    <w:rsid w:val="000073BB"/>
    <w:rsid w:val="000077E2"/>
    <w:rsid w:val="00007B19"/>
    <w:rsid w:val="00012036"/>
    <w:rsid w:val="000129AD"/>
    <w:rsid w:val="00013380"/>
    <w:rsid w:val="00013616"/>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AE3"/>
    <w:rsid w:val="00025D7E"/>
    <w:rsid w:val="00026566"/>
    <w:rsid w:val="0003146A"/>
    <w:rsid w:val="0003244B"/>
    <w:rsid w:val="00032B65"/>
    <w:rsid w:val="00032ED5"/>
    <w:rsid w:val="00033D71"/>
    <w:rsid w:val="00034F61"/>
    <w:rsid w:val="0003520D"/>
    <w:rsid w:val="00035769"/>
    <w:rsid w:val="00035792"/>
    <w:rsid w:val="0003639E"/>
    <w:rsid w:val="00037275"/>
    <w:rsid w:val="000376EB"/>
    <w:rsid w:val="00041E92"/>
    <w:rsid w:val="00042121"/>
    <w:rsid w:val="000437B3"/>
    <w:rsid w:val="00043A36"/>
    <w:rsid w:val="0004506F"/>
    <w:rsid w:val="00045328"/>
    <w:rsid w:val="0004536B"/>
    <w:rsid w:val="000461B1"/>
    <w:rsid w:val="000467E8"/>
    <w:rsid w:val="000469CF"/>
    <w:rsid w:val="00047D76"/>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2C7"/>
    <w:rsid w:val="00065B95"/>
    <w:rsid w:val="000663E4"/>
    <w:rsid w:val="0006649F"/>
    <w:rsid w:val="00066B5D"/>
    <w:rsid w:val="0006727E"/>
    <w:rsid w:val="0006731B"/>
    <w:rsid w:val="00067AC9"/>
    <w:rsid w:val="00070546"/>
    <w:rsid w:val="000706E3"/>
    <w:rsid w:val="00070905"/>
    <w:rsid w:val="0007099B"/>
    <w:rsid w:val="00070FCE"/>
    <w:rsid w:val="00071F2F"/>
    <w:rsid w:val="00072162"/>
    <w:rsid w:val="0007227C"/>
    <w:rsid w:val="00072525"/>
    <w:rsid w:val="00073820"/>
    <w:rsid w:val="00073EE0"/>
    <w:rsid w:val="0007459F"/>
    <w:rsid w:val="000746DA"/>
    <w:rsid w:val="00074E2E"/>
    <w:rsid w:val="000751B6"/>
    <w:rsid w:val="00075DD9"/>
    <w:rsid w:val="000760FB"/>
    <w:rsid w:val="000766E4"/>
    <w:rsid w:val="00080148"/>
    <w:rsid w:val="0008018D"/>
    <w:rsid w:val="000808ED"/>
    <w:rsid w:val="000816D0"/>
    <w:rsid w:val="00081717"/>
    <w:rsid w:val="000825D3"/>
    <w:rsid w:val="00082AB1"/>
    <w:rsid w:val="00082BA8"/>
    <w:rsid w:val="000831FC"/>
    <w:rsid w:val="00084506"/>
    <w:rsid w:val="00084CED"/>
    <w:rsid w:val="000852F6"/>
    <w:rsid w:val="0008593A"/>
    <w:rsid w:val="000866EF"/>
    <w:rsid w:val="00087169"/>
    <w:rsid w:val="00087B7B"/>
    <w:rsid w:val="00090A41"/>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0FF"/>
    <w:rsid w:val="000A140C"/>
    <w:rsid w:val="000A1C44"/>
    <w:rsid w:val="000A1D6B"/>
    <w:rsid w:val="000A1DC7"/>
    <w:rsid w:val="000A21D3"/>
    <w:rsid w:val="000A2FD3"/>
    <w:rsid w:val="000A3044"/>
    <w:rsid w:val="000A365C"/>
    <w:rsid w:val="000A36E6"/>
    <w:rsid w:val="000A3CA6"/>
    <w:rsid w:val="000A3FB4"/>
    <w:rsid w:val="000A4DEE"/>
    <w:rsid w:val="000A775B"/>
    <w:rsid w:val="000B07CA"/>
    <w:rsid w:val="000B086A"/>
    <w:rsid w:val="000B0A66"/>
    <w:rsid w:val="000B1A18"/>
    <w:rsid w:val="000B26A8"/>
    <w:rsid w:val="000B2FE7"/>
    <w:rsid w:val="000B3D39"/>
    <w:rsid w:val="000B4C2D"/>
    <w:rsid w:val="000B4FB6"/>
    <w:rsid w:val="000B6967"/>
    <w:rsid w:val="000B78FB"/>
    <w:rsid w:val="000C0148"/>
    <w:rsid w:val="000C0D01"/>
    <w:rsid w:val="000C1A8D"/>
    <w:rsid w:val="000C2295"/>
    <w:rsid w:val="000C2DD2"/>
    <w:rsid w:val="000C4E01"/>
    <w:rsid w:val="000C585D"/>
    <w:rsid w:val="000C650A"/>
    <w:rsid w:val="000C7711"/>
    <w:rsid w:val="000C7F7F"/>
    <w:rsid w:val="000D0144"/>
    <w:rsid w:val="000D0D52"/>
    <w:rsid w:val="000D0ED3"/>
    <w:rsid w:val="000D1375"/>
    <w:rsid w:val="000D2E4B"/>
    <w:rsid w:val="000D37C6"/>
    <w:rsid w:val="000D3A89"/>
    <w:rsid w:val="000D3F22"/>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7980"/>
    <w:rsid w:val="000F03DE"/>
    <w:rsid w:val="000F1899"/>
    <w:rsid w:val="000F2783"/>
    <w:rsid w:val="000F5072"/>
    <w:rsid w:val="000F525A"/>
    <w:rsid w:val="000F5363"/>
    <w:rsid w:val="000F603F"/>
    <w:rsid w:val="000F62A2"/>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96B"/>
    <w:rsid w:val="00106E70"/>
    <w:rsid w:val="0010779D"/>
    <w:rsid w:val="00107C20"/>
    <w:rsid w:val="00107D4B"/>
    <w:rsid w:val="00107D54"/>
    <w:rsid w:val="00107EED"/>
    <w:rsid w:val="001110CF"/>
    <w:rsid w:val="00111562"/>
    <w:rsid w:val="001116F3"/>
    <w:rsid w:val="00111801"/>
    <w:rsid w:val="00112984"/>
    <w:rsid w:val="0011591F"/>
    <w:rsid w:val="0011593B"/>
    <w:rsid w:val="00115C4B"/>
    <w:rsid w:val="00115DD2"/>
    <w:rsid w:val="001166C2"/>
    <w:rsid w:val="00116B1B"/>
    <w:rsid w:val="00117D50"/>
    <w:rsid w:val="00120965"/>
    <w:rsid w:val="00120A92"/>
    <w:rsid w:val="001211C6"/>
    <w:rsid w:val="001214B9"/>
    <w:rsid w:val="00122A3D"/>
    <w:rsid w:val="00122CF1"/>
    <w:rsid w:val="00122E51"/>
    <w:rsid w:val="00122FD4"/>
    <w:rsid w:val="001242AF"/>
    <w:rsid w:val="0012435E"/>
    <w:rsid w:val="00124732"/>
    <w:rsid w:val="0012504C"/>
    <w:rsid w:val="00125194"/>
    <w:rsid w:val="00125F07"/>
    <w:rsid w:val="001266C3"/>
    <w:rsid w:val="0012671A"/>
    <w:rsid w:val="00126BA9"/>
    <w:rsid w:val="00131686"/>
    <w:rsid w:val="00132012"/>
    <w:rsid w:val="001325E6"/>
    <w:rsid w:val="00132970"/>
    <w:rsid w:val="001336A1"/>
    <w:rsid w:val="00134304"/>
    <w:rsid w:val="00134370"/>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0E8"/>
    <w:rsid w:val="00156CDE"/>
    <w:rsid w:val="001577C7"/>
    <w:rsid w:val="00157AAF"/>
    <w:rsid w:val="00160163"/>
    <w:rsid w:val="00160A24"/>
    <w:rsid w:val="001623B0"/>
    <w:rsid w:val="001629C9"/>
    <w:rsid w:val="001629DE"/>
    <w:rsid w:val="001648AA"/>
    <w:rsid w:val="001651A4"/>
    <w:rsid w:val="00165F32"/>
    <w:rsid w:val="00166D06"/>
    <w:rsid w:val="00166E4B"/>
    <w:rsid w:val="00167015"/>
    <w:rsid w:val="001670ED"/>
    <w:rsid w:val="00167B47"/>
    <w:rsid w:val="0017072D"/>
    <w:rsid w:val="001723A3"/>
    <w:rsid w:val="00172632"/>
    <w:rsid w:val="00172912"/>
    <w:rsid w:val="00172A27"/>
    <w:rsid w:val="00172E25"/>
    <w:rsid w:val="00172E34"/>
    <w:rsid w:val="00172FA0"/>
    <w:rsid w:val="001732A9"/>
    <w:rsid w:val="00174853"/>
    <w:rsid w:val="00175439"/>
    <w:rsid w:val="00175E1A"/>
    <w:rsid w:val="001760E1"/>
    <w:rsid w:val="00176574"/>
    <w:rsid w:val="00176E7D"/>
    <w:rsid w:val="001773F2"/>
    <w:rsid w:val="0018056C"/>
    <w:rsid w:val="00180E0A"/>
    <w:rsid w:val="00181528"/>
    <w:rsid w:val="001820F6"/>
    <w:rsid w:val="00182281"/>
    <w:rsid w:val="001829F1"/>
    <w:rsid w:val="00184093"/>
    <w:rsid w:val="001847FD"/>
    <w:rsid w:val="00184B24"/>
    <w:rsid w:val="00184B7E"/>
    <w:rsid w:val="00184DB7"/>
    <w:rsid w:val="001854DC"/>
    <w:rsid w:val="00185FFD"/>
    <w:rsid w:val="00186102"/>
    <w:rsid w:val="0018678E"/>
    <w:rsid w:val="00186FD4"/>
    <w:rsid w:val="00190188"/>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97DDA"/>
    <w:rsid w:val="001A1652"/>
    <w:rsid w:val="001A191E"/>
    <w:rsid w:val="001A2DD1"/>
    <w:rsid w:val="001A3878"/>
    <w:rsid w:val="001A39CE"/>
    <w:rsid w:val="001A401D"/>
    <w:rsid w:val="001A41AF"/>
    <w:rsid w:val="001A49AE"/>
    <w:rsid w:val="001A4CDF"/>
    <w:rsid w:val="001A57CF"/>
    <w:rsid w:val="001A58FE"/>
    <w:rsid w:val="001B2567"/>
    <w:rsid w:val="001B30C8"/>
    <w:rsid w:val="001B33A8"/>
    <w:rsid w:val="001B4357"/>
    <w:rsid w:val="001B46A1"/>
    <w:rsid w:val="001B480D"/>
    <w:rsid w:val="001B5948"/>
    <w:rsid w:val="001B63A2"/>
    <w:rsid w:val="001B65BB"/>
    <w:rsid w:val="001B7CA2"/>
    <w:rsid w:val="001C3484"/>
    <w:rsid w:val="001C3695"/>
    <w:rsid w:val="001C3EAB"/>
    <w:rsid w:val="001C5648"/>
    <w:rsid w:val="001C651B"/>
    <w:rsid w:val="001C7AFB"/>
    <w:rsid w:val="001D06DB"/>
    <w:rsid w:val="001D0792"/>
    <w:rsid w:val="001D09B7"/>
    <w:rsid w:val="001D0A65"/>
    <w:rsid w:val="001D125E"/>
    <w:rsid w:val="001D187F"/>
    <w:rsid w:val="001D23C8"/>
    <w:rsid w:val="001D2D9B"/>
    <w:rsid w:val="001D3529"/>
    <w:rsid w:val="001D35D1"/>
    <w:rsid w:val="001D39C0"/>
    <w:rsid w:val="001D498F"/>
    <w:rsid w:val="001D49D6"/>
    <w:rsid w:val="001D55B4"/>
    <w:rsid w:val="001D5794"/>
    <w:rsid w:val="001D5F76"/>
    <w:rsid w:val="001D6690"/>
    <w:rsid w:val="001D6A3A"/>
    <w:rsid w:val="001D6A52"/>
    <w:rsid w:val="001D7E20"/>
    <w:rsid w:val="001E073C"/>
    <w:rsid w:val="001E1159"/>
    <w:rsid w:val="001E19B1"/>
    <w:rsid w:val="001E3944"/>
    <w:rsid w:val="001E3D0E"/>
    <w:rsid w:val="001E3FDB"/>
    <w:rsid w:val="001E4091"/>
    <w:rsid w:val="001E4801"/>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0D77"/>
    <w:rsid w:val="002112D0"/>
    <w:rsid w:val="00211327"/>
    <w:rsid w:val="0021175A"/>
    <w:rsid w:val="00211DDD"/>
    <w:rsid w:val="002130F3"/>
    <w:rsid w:val="00213CA7"/>
    <w:rsid w:val="002148CD"/>
    <w:rsid w:val="00215416"/>
    <w:rsid w:val="002159EF"/>
    <w:rsid w:val="002164DD"/>
    <w:rsid w:val="00216E3C"/>
    <w:rsid w:val="002172D5"/>
    <w:rsid w:val="00217B49"/>
    <w:rsid w:val="00217E1A"/>
    <w:rsid w:val="0022028D"/>
    <w:rsid w:val="00220C87"/>
    <w:rsid w:val="00220FBF"/>
    <w:rsid w:val="00221127"/>
    <w:rsid w:val="002213BF"/>
    <w:rsid w:val="002213C7"/>
    <w:rsid w:val="00221F92"/>
    <w:rsid w:val="002223F3"/>
    <w:rsid w:val="002224EC"/>
    <w:rsid w:val="00222727"/>
    <w:rsid w:val="002229B0"/>
    <w:rsid w:val="00222DC0"/>
    <w:rsid w:val="00223DD8"/>
    <w:rsid w:val="0022464C"/>
    <w:rsid w:val="00225114"/>
    <w:rsid w:val="0022586B"/>
    <w:rsid w:val="00227112"/>
    <w:rsid w:val="002277F0"/>
    <w:rsid w:val="0022796A"/>
    <w:rsid w:val="00231247"/>
    <w:rsid w:val="002339A6"/>
    <w:rsid w:val="002344C9"/>
    <w:rsid w:val="00234677"/>
    <w:rsid w:val="0023502A"/>
    <w:rsid w:val="0023619A"/>
    <w:rsid w:val="00236DFE"/>
    <w:rsid w:val="0023706F"/>
    <w:rsid w:val="0023763D"/>
    <w:rsid w:val="00237DF6"/>
    <w:rsid w:val="00240088"/>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4168"/>
    <w:rsid w:val="002553F3"/>
    <w:rsid w:val="00256021"/>
    <w:rsid w:val="002564B8"/>
    <w:rsid w:val="00256ACE"/>
    <w:rsid w:val="0025795A"/>
    <w:rsid w:val="00261278"/>
    <w:rsid w:val="0026246A"/>
    <w:rsid w:val="0026254E"/>
    <w:rsid w:val="002635A6"/>
    <w:rsid w:val="002635EC"/>
    <w:rsid w:val="00264191"/>
    <w:rsid w:val="00264AD1"/>
    <w:rsid w:val="00265A1F"/>
    <w:rsid w:val="00265A54"/>
    <w:rsid w:val="00265FD2"/>
    <w:rsid w:val="002661A3"/>
    <w:rsid w:val="00266ACE"/>
    <w:rsid w:val="00266B21"/>
    <w:rsid w:val="00272220"/>
    <w:rsid w:val="002724C0"/>
    <w:rsid w:val="00273181"/>
    <w:rsid w:val="002757CA"/>
    <w:rsid w:val="002802E4"/>
    <w:rsid w:val="00281F8E"/>
    <w:rsid w:val="00282F4D"/>
    <w:rsid w:val="00283237"/>
    <w:rsid w:val="00284380"/>
    <w:rsid w:val="002860B5"/>
    <w:rsid w:val="002869FF"/>
    <w:rsid w:val="00287E74"/>
    <w:rsid w:val="00290B48"/>
    <w:rsid w:val="002915C7"/>
    <w:rsid w:val="002920F3"/>
    <w:rsid w:val="00292156"/>
    <w:rsid w:val="0029355B"/>
    <w:rsid w:val="00293BC8"/>
    <w:rsid w:val="00296193"/>
    <w:rsid w:val="0029691D"/>
    <w:rsid w:val="00296BF6"/>
    <w:rsid w:val="002979EB"/>
    <w:rsid w:val="002A071E"/>
    <w:rsid w:val="002A1944"/>
    <w:rsid w:val="002A234B"/>
    <w:rsid w:val="002A25B1"/>
    <w:rsid w:val="002A2657"/>
    <w:rsid w:val="002A4A10"/>
    <w:rsid w:val="002A4E3E"/>
    <w:rsid w:val="002A5387"/>
    <w:rsid w:val="002A6364"/>
    <w:rsid w:val="002A6B5C"/>
    <w:rsid w:val="002B02A1"/>
    <w:rsid w:val="002B0DD7"/>
    <w:rsid w:val="002B0F37"/>
    <w:rsid w:val="002B180D"/>
    <w:rsid w:val="002B2AC2"/>
    <w:rsid w:val="002B2F04"/>
    <w:rsid w:val="002B2F63"/>
    <w:rsid w:val="002B37CD"/>
    <w:rsid w:val="002B4F78"/>
    <w:rsid w:val="002B5271"/>
    <w:rsid w:val="002B537B"/>
    <w:rsid w:val="002B7181"/>
    <w:rsid w:val="002B74A2"/>
    <w:rsid w:val="002B78F9"/>
    <w:rsid w:val="002C01CE"/>
    <w:rsid w:val="002C08AA"/>
    <w:rsid w:val="002C0BB9"/>
    <w:rsid w:val="002C2BD4"/>
    <w:rsid w:val="002C4278"/>
    <w:rsid w:val="002C6411"/>
    <w:rsid w:val="002C77BA"/>
    <w:rsid w:val="002C7A89"/>
    <w:rsid w:val="002D17E5"/>
    <w:rsid w:val="002D193A"/>
    <w:rsid w:val="002D19CB"/>
    <w:rsid w:val="002D1D28"/>
    <w:rsid w:val="002D2527"/>
    <w:rsid w:val="002D355B"/>
    <w:rsid w:val="002D4CAA"/>
    <w:rsid w:val="002D541C"/>
    <w:rsid w:val="002D55B3"/>
    <w:rsid w:val="002D5E5D"/>
    <w:rsid w:val="002D5F7F"/>
    <w:rsid w:val="002D6E97"/>
    <w:rsid w:val="002D781E"/>
    <w:rsid w:val="002D7F04"/>
    <w:rsid w:val="002E0AE6"/>
    <w:rsid w:val="002E1513"/>
    <w:rsid w:val="002E1AC9"/>
    <w:rsid w:val="002E2738"/>
    <w:rsid w:val="002E4942"/>
    <w:rsid w:val="002E4A43"/>
    <w:rsid w:val="002E50C1"/>
    <w:rsid w:val="002E609E"/>
    <w:rsid w:val="002E72C3"/>
    <w:rsid w:val="002E7F7C"/>
    <w:rsid w:val="002F0BA6"/>
    <w:rsid w:val="002F12C9"/>
    <w:rsid w:val="002F2ADF"/>
    <w:rsid w:val="002F2B3B"/>
    <w:rsid w:val="002F3032"/>
    <w:rsid w:val="002F3CDD"/>
    <w:rsid w:val="002F3D6F"/>
    <w:rsid w:val="002F3DC0"/>
    <w:rsid w:val="002F5679"/>
    <w:rsid w:val="002F579F"/>
    <w:rsid w:val="002F5CD3"/>
    <w:rsid w:val="002F60EF"/>
    <w:rsid w:val="0030037A"/>
    <w:rsid w:val="00301328"/>
    <w:rsid w:val="00302ABF"/>
    <w:rsid w:val="00302D39"/>
    <w:rsid w:val="00302EB3"/>
    <w:rsid w:val="00303334"/>
    <w:rsid w:val="00304168"/>
    <w:rsid w:val="00304456"/>
    <w:rsid w:val="00306876"/>
    <w:rsid w:val="00310001"/>
    <w:rsid w:val="00310863"/>
    <w:rsid w:val="00310C7F"/>
    <w:rsid w:val="003117F5"/>
    <w:rsid w:val="003122E8"/>
    <w:rsid w:val="003122FA"/>
    <w:rsid w:val="00312A59"/>
    <w:rsid w:val="00312D62"/>
    <w:rsid w:val="003147AC"/>
    <w:rsid w:val="0031526E"/>
    <w:rsid w:val="00316510"/>
    <w:rsid w:val="003166AE"/>
    <w:rsid w:val="00316FC1"/>
    <w:rsid w:val="00320B50"/>
    <w:rsid w:val="003221C1"/>
    <w:rsid w:val="00322B67"/>
    <w:rsid w:val="00322DA4"/>
    <w:rsid w:val="00323072"/>
    <w:rsid w:val="00323503"/>
    <w:rsid w:val="00323779"/>
    <w:rsid w:val="0032388F"/>
    <w:rsid w:val="003255EA"/>
    <w:rsid w:val="00327520"/>
    <w:rsid w:val="0033022C"/>
    <w:rsid w:val="00330610"/>
    <w:rsid w:val="0033142F"/>
    <w:rsid w:val="003315C6"/>
    <w:rsid w:val="00332FA9"/>
    <w:rsid w:val="0033329C"/>
    <w:rsid w:val="00333470"/>
    <w:rsid w:val="003334FB"/>
    <w:rsid w:val="0033396F"/>
    <w:rsid w:val="0033398B"/>
    <w:rsid w:val="00333C94"/>
    <w:rsid w:val="003343B7"/>
    <w:rsid w:val="00334DC0"/>
    <w:rsid w:val="00335497"/>
    <w:rsid w:val="003365C0"/>
    <w:rsid w:val="003403CE"/>
    <w:rsid w:val="00340B73"/>
    <w:rsid w:val="00341663"/>
    <w:rsid w:val="00341688"/>
    <w:rsid w:val="00342792"/>
    <w:rsid w:val="00343650"/>
    <w:rsid w:val="003443A9"/>
    <w:rsid w:val="003447A5"/>
    <w:rsid w:val="00344829"/>
    <w:rsid w:val="00344A3B"/>
    <w:rsid w:val="003450E0"/>
    <w:rsid w:val="00345EBD"/>
    <w:rsid w:val="00347CC6"/>
    <w:rsid w:val="003500D3"/>
    <w:rsid w:val="003517A0"/>
    <w:rsid w:val="00352C90"/>
    <w:rsid w:val="00354040"/>
    <w:rsid w:val="003540D3"/>
    <w:rsid w:val="00354142"/>
    <w:rsid w:val="00354164"/>
    <w:rsid w:val="00354B5F"/>
    <w:rsid w:val="00354EC5"/>
    <w:rsid w:val="003550FC"/>
    <w:rsid w:val="0035527F"/>
    <w:rsid w:val="00355713"/>
    <w:rsid w:val="00355952"/>
    <w:rsid w:val="00355C70"/>
    <w:rsid w:val="00355F44"/>
    <w:rsid w:val="003560DC"/>
    <w:rsid w:val="003574EC"/>
    <w:rsid w:val="003575F1"/>
    <w:rsid w:val="003578D2"/>
    <w:rsid w:val="00357DC4"/>
    <w:rsid w:val="00357EBD"/>
    <w:rsid w:val="00360AFF"/>
    <w:rsid w:val="003612DB"/>
    <w:rsid w:val="003613ED"/>
    <w:rsid w:val="00362C07"/>
    <w:rsid w:val="00362F93"/>
    <w:rsid w:val="003634CE"/>
    <w:rsid w:val="00363BA1"/>
    <w:rsid w:val="00364553"/>
    <w:rsid w:val="003645EA"/>
    <w:rsid w:val="00365D8B"/>
    <w:rsid w:val="00366575"/>
    <w:rsid w:val="003665B0"/>
    <w:rsid w:val="0036688E"/>
    <w:rsid w:val="00367342"/>
    <w:rsid w:val="003709B2"/>
    <w:rsid w:val="00372916"/>
    <w:rsid w:val="00372E5D"/>
    <w:rsid w:val="00372E9D"/>
    <w:rsid w:val="0037356F"/>
    <w:rsid w:val="00373784"/>
    <w:rsid w:val="00373A94"/>
    <w:rsid w:val="003745A7"/>
    <w:rsid w:val="00374ABC"/>
    <w:rsid w:val="003750FA"/>
    <w:rsid w:val="00375104"/>
    <w:rsid w:val="00375A29"/>
    <w:rsid w:val="00375DCF"/>
    <w:rsid w:val="00375ECD"/>
    <w:rsid w:val="00376A8B"/>
    <w:rsid w:val="0037714B"/>
    <w:rsid w:val="003775BF"/>
    <w:rsid w:val="00377B45"/>
    <w:rsid w:val="00380AF9"/>
    <w:rsid w:val="00381452"/>
    <w:rsid w:val="0038287E"/>
    <w:rsid w:val="00383134"/>
    <w:rsid w:val="0038394E"/>
    <w:rsid w:val="00384AEF"/>
    <w:rsid w:val="00384C09"/>
    <w:rsid w:val="00384D22"/>
    <w:rsid w:val="00385221"/>
    <w:rsid w:val="00385C62"/>
    <w:rsid w:val="00385CDC"/>
    <w:rsid w:val="00386231"/>
    <w:rsid w:val="00386AE5"/>
    <w:rsid w:val="00387671"/>
    <w:rsid w:val="00387ABE"/>
    <w:rsid w:val="003909E2"/>
    <w:rsid w:val="00391677"/>
    <w:rsid w:val="00392C8E"/>
    <w:rsid w:val="00393344"/>
    <w:rsid w:val="003946F2"/>
    <w:rsid w:val="0039475E"/>
    <w:rsid w:val="003950D0"/>
    <w:rsid w:val="00395441"/>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955"/>
    <w:rsid w:val="003A2B26"/>
    <w:rsid w:val="003A2B4A"/>
    <w:rsid w:val="003A333A"/>
    <w:rsid w:val="003A36DB"/>
    <w:rsid w:val="003A5CAC"/>
    <w:rsid w:val="003A63FD"/>
    <w:rsid w:val="003A74EE"/>
    <w:rsid w:val="003A77F1"/>
    <w:rsid w:val="003B0B0C"/>
    <w:rsid w:val="003B28BE"/>
    <w:rsid w:val="003B2C40"/>
    <w:rsid w:val="003B37E7"/>
    <w:rsid w:val="003B3827"/>
    <w:rsid w:val="003B4153"/>
    <w:rsid w:val="003B64DF"/>
    <w:rsid w:val="003B66E3"/>
    <w:rsid w:val="003B7286"/>
    <w:rsid w:val="003C048E"/>
    <w:rsid w:val="003C0901"/>
    <w:rsid w:val="003C0ED9"/>
    <w:rsid w:val="003C0F87"/>
    <w:rsid w:val="003C2778"/>
    <w:rsid w:val="003C2DAE"/>
    <w:rsid w:val="003C2E24"/>
    <w:rsid w:val="003C3354"/>
    <w:rsid w:val="003C354F"/>
    <w:rsid w:val="003C3F39"/>
    <w:rsid w:val="003C4D79"/>
    <w:rsid w:val="003C6226"/>
    <w:rsid w:val="003C7623"/>
    <w:rsid w:val="003D0009"/>
    <w:rsid w:val="003D00C6"/>
    <w:rsid w:val="003D08F8"/>
    <w:rsid w:val="003D0EF7"/>
    <w:rsid w:val="003D1A34"/>
    <w:rsid w:val="003D1D93"/>
    <w:rsid w:val="003D5261"/>
    <w:rsid w:val="003D5457"/>
    <w:rsid w:val="003D54ED"/>
    <w:rsid w:val="003D5728"/>
    <w:rsid w:val="003D5A80"/>
    <w:rsid w:val="003D7221"/>
    <w:rsid w:val="003E1676"/>
    <w:rsid w:val="003E1CAC"/>
    <w:rsid w:val="003E2863"/>
    <w:rsid w:val="003E363D"/>
    <w:rsid w:val="003E37AC"/>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4C50"/>
    <w:rsid w:val="003F5225"/>
    <w:rsid w:val="003F54A3"/>
    <w:rsid w:val="003F6A96"/>
    <w:rsid w:val="003F6DA9"/>
    <w:rsid w:val="003F6DDA"/>
    <w:rsid w:val="003F6DDC"/>
    <w:rsid w:val="003F71DE"/>
    <w:rsid w:val="003F7C6A"/>
    <w:rsid w:val="0040058D"/>
    <w:rsid w:val="004007B8"/>
    <w:rsid w:val="00401625"/>
    <w:rsid w:val="0040380B"/>
    <w:rsid w:val="004058F5"/>
    <w:rsid w:val="00406408"/>
    <w:rsid w:val="00407006"/>
    <w:rsid w:val="00407976"/>
    <w:rsid w:val="00407A35"/>
    <w:rsid w:val="004104FD"/>
    <w:rsid w:val="004106AA"/>
    <w:rsid w:val="004106FE"/>
    <w:rsid w:val="004112DB"/>
    <w:rsid w:val="00412865"/>
    <w:rsid w:val="0041375C"/>
    <w:rsid w:val="00413E5F"/>
    <w:rsid w:val="0041460D"/>
    <w:rsid w:val="004147E4"/>
    <w:rsid w:val="004151D7"/>
    <w:rsid w:val="0041611F"/>
    <w:rsid w:val="0042047E"/>
    <w:rsid w:val="00420BF4"/>
    <w:rsid w:val="00423237"/>
    <w:rsid w:val="00424BE4"/>
    <w:rsid w:val="00424ED2"/>
    <w:rsid w:val="004250A5"/>
    <w:rsid w:val="0042524B"/>
    <w:rsid w:val="004258C3"/>
    <w:rsid w:val="00425EA8"/>
    <w:rsid w:val="004260C7"/>
    <w:rsid w:val="00426254"/>
    <w:rsid w:val="0042762E"/>
    <w:rsid w:val="004276F1"/>
    <w:rsid w:val="00427CBF"/>
    <w:rsid w:val="0043062F"/>
    <w:rsid w:val="00430A2C"/>
    <w:rsid w:val="00430FF8"/>
    <w:rsid w:val="00431A31"/>
    <w:rsid w:val="00431D0B"/>
    <w:rsid w:val="00431D20"/>
    <w:rsid w:val="00431FE5"/>
    <w:rsid w:val="0043218B"/>
    <w:rsid w:val="004326E3"/>
    <w:rsid w:val="00432883"/>
    <w:rsid w:val="00434113"/>
    <w:rsid w:val="00435C3A"/>
    <w:rsid w:val="00437030"/>
    <w:rsid w:val="004370A4"/>
    <w:rsid w:val="00437AD4"/>
    <w:rsid w:val="004403D5"/>
    <w:rsid w:val="0044052F"/>
    <w:rsid w:val="00440931"/>
    <w:rsid w:val="00440BB2"/>
    <w:rsid w:val="00440F8C"/>
    <w:rsid w:val="004414C4"/>
    <w:rsid w:val="0044187C"/>
    <w:rsid w:val="004419AE"/>
    <w:rsid w:val="00441AF7"/>
    <w:rsid w:val="0044390E"/>
    <w:rsid w:val="00443C68"/>
    <w:rsid w:val="00443D1C"/>
    <w:rsid w:val="0044415F"/>
    <w:rsid w:val="004444FE"/>
    <w:rsid w:val="004457B1"/>
    <w:rsid w:val="00445D20"/>
    <w:rsid w:val="004461DC"/>
    <w:rsid w:val="004465B3"/>
    <w:rsid w:val="00447B3F"/>
    <w:rsid w:val="00447CC9"/>
    <w:rsid w:val="004509A7"/>
    <w:rsid w:val="004517A6"/>
    <w:rsid w:val="0045195C"/>
    <w:rsid w:val="0045254B"/>
    <w:rsid w:val="0045443A"/>
    <w:rsid w:val="00454AED"/>
    <w:rsid w:val="00454D7C"/>
    <w:rsid w:val="00456E6D"/>
    <w:rsid w:val="00456FD9"/>
    <w:rsid w:val="0045734D"/>
    <w:rsid w:val="00457F1F"/>
    <w:rsid w:val="00461527"/>
    <w:rsid w:val="00461FB0"/>
    <w:rsid w:val="00462948"/>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552E"/>
    <w:rsid w:val="00476370"/>
    <w:rsid w:val="00477039"/>
    <w:rsid w:val="00480664"/>
    <w:rsid w:val="00482082"/>
    <w:rsid w:val="00485CB4"/>
    <w:rsid w:val="00486983"/>
    <w:rsid w:val="004869CA"/>
    <w:rsid w:val="00486AEC"/>
    <w:rsid w:val="00487F1C"/>
    <w:rsid w:val="00490994"/>
    <w:rsid w:val="00490A0E"/>
    <w:rsid w:val="004915F3"/>
    <w:rsid w:val="00491993"/>
    <w:rsid w:val="00494682"/>
    <w:rsid w:val="004955C1"/>
    <w:rsid w:val="00495B81"/>
    <w:rsid w:val="00495EAB"/>
    <w:rsid w:val="00496553"/>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4FB"/>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09FA"/>
    <w:rsid w:val="004C36B3"/>
    <w:rsid w:val="004C36BB"/>
    <w:rsid w:val="004C3A7E"/>
    <w:rsid w:val="004C3BF1"/>
    <w:rsid w:val="004C3D0A"/>
    <w:rsid w:val="004C3F16"/>
    <w:rsid w:val="004C5241"/>
    <w:rsid w:val="004C5F6D"/>
    <w:rsid w:val="004C6AC4"/>
    <w:rsid w:val="004C7F8A"/>
    <w:rsid w:val="004D340D"/>
    <w:rsid w:val="004D34F3"/>
    <w:rsid w:val="004D4851"/>
    <w:rsid w:val="004D5AD6"/>
    <w:rsid w:val="004D5C36"/>
    <w:rsid w:val="004D5DE3"/>
    <w:rsid w:val="004D711C"/>
    <w:rsid w:val="004E192B"/>
    <w:rsid w:val="004E29FD"/>
    <w:rsid w:val="004E365D"/>
    <w:rsid w:val="004E47B0"/>
    <w:rsid w:val="004E5302"/>
    <w:rsid w:val="004E592A"/>
    <w:rsid w:val="004E66D9"/>
    <w:rsid w:val="004E6CA8"/>
    <w:rsid w:val="004E6CFB"/>
    <w:rsid w:val="004E708A"/>
    <w:rsid w:val="004E7380"/>
    <w:rsid w:val="004E758C"/>
    <w:rsid w:val="004E7A10"/>
    <w:rsid w:val="004E7F44"/>
    <w:rsid w:val="004E7FB4"/>
    <w:rsid w:val="004F0BCF"/>
    <w:rsid w:val="004F0D4B"/>
    <w:rsid w:val="004F2C9E"/>
    <w:rsid w:val="004F30F2"/>
    <w:rsid w:val="004F3328"/>
    <w:rsid w:val="004F33D6"/>
    <w:rsid w:val="004F3CB8"/>
    <w:rsid w:val="004F495B"/>
    <w:rsid w:val="004F4CF1"/>
    <w:rsid w:val="004F4D77"/>
    <w:rsid w:val="004F546B"/>
    <w:rsid w:val="004F5D44"/>
    <w:rsid w:val="004F704B"/>
    <w:rsid w:val="004F72EB"/>
    <w:rsid w:val="004F7BFD"/>
    <w:rsid w:val="004F7F45"/>
    <w:rsid w:val="005019DC"/>
    <w:rsid w:val="00501C88"/>
    <w:rsid w:val="0050281E"/>
    <w:rsid w:val="00502B26"/>
    <w:rsid w:val="00502BFA"/>
    <w:rsid w:val="00503097"/>
    <w:rsid w:val="005036C2"/>
    <w:rsid w:val="00504BDF"/>
    <w:rsid w:val="005055B9"/>
    <w:rsid w:val="00505A18"/>
    <w:rsid w:val="00505AE1"/>
    <w:rsid w:val="00505F1A"/>
    <w:rsid w:val="005062FB"/>
    <w:rsid w:val="0050637F"/>
    <w:rsid w:val="0050666F"/>
    <w:rsid w:val="00506A30"/>
    <w:rsid w:val="00506A86"/>
    <w:rsid w:val="00510211"/>
    <w:rsid w:val="005119F7"/>
    <w:rsid w:val="005120AF"/>
    <w:rsid w:val="005120D4"/>
    <w:rsid w:val="005135AA"/>
    <w:rsid w:val="005145B4"/>
    <w:rsid w:val="005158B6"/>
    <w:rsid w:val="00515D02"/>
    <w:rsid w:val="00516737"/>
    <w:rsid w:val="005176CA"/>
    <w:rsid w:val="00517AF3"/>
    <w:rsid w:val="005204D3"/>
    <w:rsid w:val="00521593"/>
    <w:rsid w:val="00522E7B"/>
    <w:rsid w:val="0052347F"/>
    <w:rsid w:val="005243A5"/>
    <w:rsid w:val="0052664A"/>
    <w:rsid w:val="00526D70"/>
    <w:rsid w:val="00530A28"/>
    <w:rsid w:val="00531600"/>
    <w:rsid w:val="00531CA1"/>
    <w:rsid w:val="00533A67"/>
    <w:rsid w:val="00533B6B"/>
    <w:rsid w:val="00534271"/>
    <w:rsid w:val="00534733"/>
    <w:rsid w:val="005358B3"/>
    <w:rsid w:val="00536575"/>
    <w:rsid w:val="005368C2"/>
    <w:rsid w:val="00536B7D"/>
    <w:rsid w:val="00540141"/>
    <w:rsid w:val="00540761"/>
    <w:rsid w:val="0054149C"/>
    <w:rsid w:val="00541B25"/>
    <w:rsid w:val="005435A1"/>
    <w:rsid w:val="0054379D"/>
    <w:rsid w:val="00543A59"/>
    <w:rsid w:val="00543CBF"/>
    <w:rsid w:val="00544A92"/>
    <w:rsid w:val="00544B58"/>
    <w:rsid w:val="00544B5A"/>
    <w:rsid w:val="00544D2E"/>
    <w:rsid w:val="00544E5D"/>
    <w:rsid w:val="0054537D"/>
    <w:rsid w:val="00547CBE"/>
    <w:rsid w:val="0055062D"/>
    <w:rsid w:val="00550BC2"/>
    <w:rsid w:val="00551013"/>
    <w:rsid w:val="00551290"/>
    <w:rsid w:val="00551870"/>
    <w:rsid w:val="00551A3D"/>
    <w:rsid w:val="00552A56"/>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2781"/>
    <w:rsid w:val="00563FF2"/>
    <w:rsid w:val="005643A7"/>
    <w:rsid w:val="0056490B"/>
    <w:rsid w:val="00565375"/>
    <w:rsid w:val="00566FCD"/>
    <w:rsid w:val="0056784C"/>
    <w:rsid w:val="00567B83"/>
    <w:rsid w:val="00570788"/>
    <w:rsid w:val="00571009"/>
    <w:rsid w:val="00571556"/>
    <w:rsid w:val="00571715"/>
    <w:rsid w:val="00571B4E"/>
    <w:rsid w:val="005723FD"/>
    <w:rsid w:val="00572BF8"/>
    <w:rsid w:val="00572EF5"/>
    <w:rsid w:val="005732A2"/>
    <w:rsid w:val="0057377B"/>
    <w:rsid w:val="00574190"/>
    <w:rsid w:val="00574667"/>
    <w:rsid w:val="00574893"/>
    <w:rsid w:val="00575FD9"/>
    <w:rsid w:val="00576572"/>
    <w:rsid w:val="0057728F"/>
    <w:rsid w:val="005778A7"/>
    <w:rsid w:val="0058033F"/>
    <w:rsid w:val="005814BD"/>
    <w:rsid w:val="00582518"/>
    <w:rsid w:val="005829DC"/>
    <w:rsid w:val="00582C33"/>
    <w:rsid w:val="00583F3A"/>
    <w:rsid w:val="00584108"/>
    <w:rsid w:val="00585772"/>
    <w:rsid w:val="005857B3"/>
    <w:rsid w:val="0058672E"/>
    <w:rsid w:val="0058765F"/>
    <w:rsid w:val="00587A65"/>
    <w:rsid w:val="0059002B"/>
    <w:rsid w:val="005906B2"/>
    <w:rsid w:val="005907BE"/>
    <w:rsid w:val="0059094D"/>
    <w:rsid w:val="005914C2"/>
    <w:rsid w:val="0059268F"/>
    <w:rsid w:val="00592EA6"/>
    <w:rsid w:val="00594537"/>
    <w:rsid w:val="00594CF0"/>
    <w:rsid w:val="0059512B"/>
    <w:rsid w:val="005955CB"/>
    <w:rsid w:val="0059588C"/>
    <w:rsid w:val="0059618D"/>
    <w:rsid w:val="0059638A"/>
    <w:rsid w:val="00596B64"/>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3B8E"/>
    <w:rsid w:val="005B57E1"/>
    <w:rsid w:val="005B5BA9"/>
    <w:rsid w:val="005B65AC"/>
    <w:rsid w:val="005B6D32"/>
    <w:rsid w:val="005B7856"/>
    <w:rsid w:val="005C1554"/>
    <w:rsid w:val="005C1EA1"/>
    <w:rsid w:val="005C1FF8"/>
    <w:rsid w:val="005C3188"/>
    <w:rsid w:val="005C3296"/>
    <w:rsid w:val="005C59EB"/>
    <w:rsid w:val="005C68CC"/>
    <w:rsid w:val="005C69D8"/>
    <w:rsid w:val="005C6C99"/>
    <w:rsid w:val="005C6EB8"/>
    <w:rsid w:val="005C78B1"/>
    <w:rsid w:val="005C79D9"/>
    <w:rsid w:val="005C7C76"/>
    <w:rsid w:val="005D0045"/>
    <w:rsid w:val="005D037A"/>
    <w:rsid w:val="005D03FE"/>
    <w:rsid w:val="005D04D6"/>
    <w:rsid w:val="005D05D1"/>
    <w:rsid w:val="005D0685"/>
    <w:rsid w:val="005D0A1C"/>
    <w:rsid w:val="005D0FAA"/>
    <w:rsid w:val="005D121C"/>
    <w:rsid w:val="005D1849"/>
    <w:rsid w:val="005D1922"/>
    <w:rsid w:val="005D1FA3"/>
    <w:rsid w:val="005D244A"/>
    <w:rsid w:val="005D3E58"/>
    <w:rsid w:val="005D454B"/>
    <w:rsid w:val="005D50DE"/>
    <w:rsid w:val="005D5D38"/>
    <w:rsid w:val="005D7975"/>
    <w:rsid w:val="005D7F7E"/>
    <w:rsid w:val="005E114F"/>
    <w:rsid w:val="005E1585"/>
    <w:rsid w:val="005E2182"/>
    <w:rsid w:val="005E23A3"/>
    <w:rsid w:val="005E23C6"/>
    <w:rsid w:val="005E4189"/>
    <w:rsid w:val="005E4237"/>
    <w:rsid w:val="005E4D0A"/>
    <w:rsid w:val="005E5BAA"/>
    <w:rsid w:val="005E672A"/>
    <w:rsid w:val="005E6C6B"/>
    <w:rsid w:val="005F0530"/>
    <w:rsid w:val="005F1A0A"/>
    <w:rsid w:val="005F2CE0"/>
    <w:rsid w:val="005F2D22"/>
    <w:rsid w:val="005F3A68"/>
    <w:rsid w:val="005F3BD1"/>
    <w:rsid w:val="005F4D9E"/>
    <w:rsid w:val="005F505B"/>
    <w:rsid w:val="005F59FA"/>
    <w:rsid w:val="005F7265"/>
    <w:rsid w:val="00600231"/>
    <w:rsid w:val="00600E81"/>
    <w:rsid w:val="0060212D"/>
    <w:rsid w:val="006022FE"/>
    <w:rsid w:val="00602DB2"/>
    <w:rsid w:val="00602EFA"/>
    <w:rsid w:val="00605792"/>
    <w:rsid w:val="00606059"/>
    <w:rsid w:val="00607BFE"/>
    <w:rsid w:val="0061036D"/>
    <w:rsid w:val="006104C3"/>
    <w:rsid w:val="00610D09"/>
    <w:rsid w:val="00610E0A"/>
    <w:rsid w:val="00611F66"/>
    <w:rsid w:val="00612FF5"/>
    <w:rsid w:val="00613A1C"/>
    <w:rsid w:val="00614214"/>
    <w:rsid w:val="0061422B"/>
    <w:rsid w:val="00614256"/>
    <w:rsid w:val="006147DD"/>
    <w:rsid w:val="00614933"/>
    <w:rsid w:val="00614FB2"/>
    <w:rsid w:val="00615406"/>
    <w:rsid w:val="006175E7"/>
    <w:rsid w:val="0062052D"/>
    <w:rsid w:val="00620F08"/>
    <w:rsid w:val="00621D49"/>
    <w:rsid w:val="0062244C"/>
    <w:rsid w:val="0062463B"/>
    <w:rsid w:val="00624A86"/>
    <w:rsid w:val="00626415"/>
    <w:rsid w:val="00626C74"/>
    <w:rsid w:val="00626E14"/>
    <w:rsid w:val="00627D7E"/>
    <w:rsid w:val="00627E1C"/>
    <w:rsid w:val="00630233"/>
    <w:rsid w:val="006336B5"/>
    <w:rsid w:val="006342EB"/>
    <w:rsid w:val="0063466A"/>
    <w:rsid w:val="00634A6B"/>
    <w:rsid w:val="0063532E"/>
    <w:rsid w:val="0063638D"/>
    <w:rsid w:val="00636754"/>
    <w:rsid w:val="00636B31"/>
    <w:rsid w:val="0064002B"/>
    <w:rsid w:val="0064061E"/>
    <w:rsid w:val="0064179F"/>
    <w:rsid w:val="006423D5"/>
    <w:rsid w:val="00642869"/>
    <w:rsid w:val="00643AD4"/>
    <w:rsid w:val="00643F16"/>
    <w:rsid w:val="00645542"/>
    <w:rsid w:val="006456EC"/>
    <w:rsid w:val="00645D5F"/>
    <w:rsid w:val="0065008F"/>
    <w:rsid w:val="00650D60"/>
    <w:rsid w:val="00650E37"/>
    <w:rsid w:val="00652829"/>
    <w:rsid w:val="006529B8"/>
    <w:rsid w:val="00652EE1"/>
    <w:rsid w:val="0065385C"/>
    <w:rsid w:val="00653919"/>
    <w:rsid w:val="00653AE2"/>
    <w:rsid w:val="00654F6A"/>
    <w:rsid w:val="00654FC7"/>
    <w:rsid w:val="00655AEC"/>
    <w:rsid w:val="00655BE9"/>
    <w:rsid w:val="00655FDD"/>
    <w:rsid w:val="00657EB0"/>
    <w:rsid w:val="00660F7D"/>
    <w:rsid w:val="0066106E"/>
    <w:rsid w:val="006618D8"/>
    <w:rsid w:val="006621AB"/>
    <w:rsid w:val="006625BF"/>
    <w:rsid w:val="00663FAA"/>
    <w:rsid w:val="006640C2"/>
    <w:rsid w:val="0066474C"/>
    <w:rsid w:val="00664B05"/>
    <w:rsid w:val="00665BB1"/>
    <w:rsid w:val="00665BEB"/>
    <w:rsid w:val="00666A5B"/>
    <w:rsid w:val="00666AB3"/>
    <w:rsid w:val="006674A2"/>
    <w:rsid w:val="00667F13"/>
    <w:rsid w:val="0067054E"/>
    <w:rsid w:val="0067087C"/>
    <w:rsid w:val="006709EE"/>
    <w:rsid w:val="00670C59"/>
    <w:rsid w:val="00670E97"/>
    <w:rsid w:val="00670F48"/>
    <w:rsid w:val="00671603"/>
    <w:rsid w:val="006731E2"/>
    <w:rsid w:val="0067415B"/>
    <w:rsid w:val="006744F8"/>
    <w:rsid w:val="00675DC1"/>
    <w:rsid w:val="006811F4"/>
    <w:rsid w:val="00681610"/>
    <w:rsid w:val="00681F76"/>
    <w:rsid w:val="00681FB1"/>
    <w:rsid w:val="00682FDA"/>
    <w:rsid w:val="006837D9"/>
    <w:rsid w:val="00683A5C"/>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2C8"/>
    <w:rsid w:val="006956D6"/>
    <w:rsid w:val="00695B1F"/>
    <w:rsid w:val="00695F84"/>
    <w:rsid w:val="00696172"/>
    <w:rsid w:val="006969AD"/>
    <w:rsid w:val="006972ED"/>
    <w:rsid w:val="006975C8"/>
    <w:rsid w:val="0069768D"/>
    <w:rsid w:val="00697E15"/>
    <w:rsid w:val="006A009A"/>
    <w:rsid w:val="006A0BAE"/>
    <w:rsid w:val="006A1099"/>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B59C0"/>
    <w:rsid w:val="006C0116"/>
    <w:rsid w:val="006C09C4"/>
    <w:rsid w:val="006C0D67"/>
    <w:rsid w:val="006C0F9E"/>
    <w:rsid w:val="006C45F9"/>
    <w:rsid w:val="006C5B91"/>
    <w:rsid w:val="006C70E2"/>
    <w:rsid w:val="006D1496"/>
    <w:rsid w:val="006D167E"/>
    <w:rsid w:val="006D18E5"/>
    <w:rsid w:val="006D2436"/>
    <w:rsid w:val="006D30C2"/>
    <w:rsid w:val="006D362F"/>
    <w:rsid w:val="006D39E6"/>
    <w:rsid w:val="006D3C17"/>
    <w:rsid w:val="006D3EA1"/>
    <w:rsid w:val="006D5736"/>
    <w:rsid w:val="006D5E6E"/>
    <w:rsid w:val="006D79B7"/>
    <w:rsid w:val="006D7A3E"/>
    <w:rsid w:val="006E13E3"/>
    <w:rsid w:val="006E196F"/>
    <w:rsid w:val="006E1DD9"/>
    <w:rsid w:val="006E1EBA"/>
    <w:rsid w:val="006E23CD"/>
    <w:rsid w:val="006E24E1"/>
    <w:rsid w:val="006E3951"/>
    <w:rsid w:val="006E3C75"/>
    <w:rsid w:val="006E4796"/>
    <w:rsid w:val="006E4820"/>
    <w:rsid w:val="006E5251"/>
    <w:rsid w:val="006E65C1"/>
    <w:rsid w:val="006E6CE2"/>
    <w:rsid w:val="006E6E62"/>
    <w:rsid w:val="006E7A6C"/>
    <w:rsid w:val="006E7E55"/>
    <w:rsid w:val="006F2D10"/>
    <w:rsid w:val="006F3EB0"/>
    <w:rsid w:val="006F3F15"/>
    <w:rsid w:val="006F4975"/>
    <w:rsid w:val="006F4E34"/>
    <w:rsid w:val="006F4EF5"/>
    <w:rsid w:val="006F538A"/>
    <w:rsid w:val="006F576D"/>
    <w:rsid w:val="006F736C"/>
    <w:rsid w:val="0070029F"/>
    <w:rsid w:val="00700F79"/>
    <w:rsid w:val="00700FE8"/>
    <w:rsid w:val="007012B3"/>
    <w:rsid w:val="007023A3"/>
    <w:rsid w:val="00702BB7"/>
    <w:rsid w:val="00703C5F"/>
    <w:rsid w:val="007051FF"/>
    <w:rsid w:val="0070524A"/>
    <w:rsid w:val="00705F08"/>
    <w:rsid w:val="00706531"/>
    <w:rsid w:val="0070663B"/>
    <w:rsid w:val="00706AA1"/>
    <w:rsid w:val="00706E7C"/>
    <w:rsid w:val="00707BDA"/>
    <w:rsid w:val="0071188A"/>
    <w:rsid w:val="00711EE1"/>
    <w:rsid w:val="00712521"/>
    <w:rsid w:val="0071254D"/>
    <w:rsid w:val="00712CEB"/>
    <w:rsid w:val="00713E7D"/>
    <w:rsid w:val="00714750"/>
    <w:rsid w:val="007153D6"/>
    <w:rsid w:val="00716394"/>
    <w:rsid w:val="0071790E"/>
    <w:rsid w:val="00717AA3"/>
    <w:rsid w:val="007206F2"/>
    <w:rsid w:val="0072114A"/>
    <w:rsid w:val="007216BB"/>
    <w:rsid w:val="007222F5"/>
    <w:rsid w:val="007222F9"/>
    <w:rsid w:val="007224C2"/>
    <w:rsid w:val="0072299B"/>
    <w:rsid w:val="0072353D"/>
    <w:rsid w:val="00723A1D"/>
    <w:rsid w:val="007240FE"/>
    <w:rsid w:val="00724315"/>
    <w:rsid w:val="0072481B"/>
    <w:rsid w:val="007248A7"/>
    <w:rsid w:val="007254A0"/>
    <w:rsid w:val="00725F97"/>
    <w:rsid w:val="00726057"/>
    <w:rsid w:val="00726653"/>
    <w:rsid w:val="00726CD6"/>
    <w:rsid w:val="00727095"/>
    <w:rsid w:val="0073053D"/>
    <w:rsid w:val="00730ADC"/>
    <w:rsid w:val="00730F5E"/>
    <w:rsid w:val="00731BD2"/>
    <w:rsid w:val="007337DC"/>
    <w:rsid w:val="0073444B"/>
    <w:rsid w:val="007347DE"/>
    <w:rsid w:val="00734818"/>
    <w:rsid w:val="00735259"/>
    <w:rsid w:val="007352C0"/>
    <w:rsid w:val="00735D1E"/>
    <w:rsid w:val="00736156"/>
    <w:rsid w:val="00736301"/>
    <w:rsid w:val="0073641B"/>
    <w:rsid w:val="00736743"/>
    <w:rsid w:val="00736F61"/>
    <w:rsid w:val="007374BC"/>
    <w:rsid w:val="007405DF"/>
    <w:rsid w:val="00741040"/>
    <w:rsid w:val="00741395"/>
    <w:rsid w:val="00741F61"/>
    <w:rsid w:val="007428FF"/>
    <w:rsid w:val="00743B8C"/>
    <w:rsid w:val="007440C2"/>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2F8"/>
    <w:rsid w:val="00754872"/>
    <w:rsid w:val="0075555E"/>
    <w:rsid w:val="00755DB0"/>
    <w:rsid w:val="00757019"/>
    <w:rsid w:val="00757CF4"/>
    <w:rsid w:val="00757E1A"/>
    <w:rsid w:val="0076002B"/>
    <w:rsid w:val="00760815"/>
    <w:rsid w:val="00760E00"/>
    <w:rsid w:val="00762287"/>
    <w:rsid w:val="00762762"/>
    <w:rsid w:val="00763422"/>
    <w:rsid w:val="00763B7C"/>
    <w:rsid w:val="00763BF1"/>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77B3F"/>
    <w:rsid w:val="0078022D"/>
    <w:rsid w:val="0078049A"/>
    <w:rsid w:val="00782355"/>
    <w:rsid w:val="007826AD"/>
    <w:rsid w:val="00783313"/>
    <w:rsid w:val="00783C52"/>
    <w:rsid w:val="00785158"/>
    <w:rsid w:val="007867E8"/>
    <w:rsid w:val="00786C14"/>
    <w:rsid w:val="00786E0E"/>
    <w:rsid w:val="007875DD"/>
    <w:rsid w:val="00790DE4"/>
    <w:rsid w:val="00790E3F"/>
    <w:rsid w:val="0079179D"/>
    <w:rsid w:val="00792185"/>
    <w:rsid w:val="007928AB"/>
    <w:rsid w:val="007929A8"/>
    <w:rsid w:val="00792D39"/>
    <w:rsid w:val="00793126"/>
    <w:rsid w:val="007932DD"/>
    <w:rsid w:val="00793DEC"/>
    <w:rsid w:val="00793F2F"/>
    <w:rsid w:val="00795201"/>
    <w:rsid w:val="00795E0C"/>
    <w:rsid w:val="00795EB8"/>
    <w:rsid w:val="007960FA"/>
    <w:rsid w:val="007967CF"/>
    <w:rsid w:val="007967DF"/>
    <w:rsid w:val="007A1223"/>
    <w:rsid w:val="007A1A8E"/>
    <w:rsid w:val="007A2228"/>
    <w:rsid w:val="007A32D9"/>
    <w:rsid w:val="007A3D6D"/>
    <w:rsid w:val="007A446D"/>
    <w:rsid w:val="007A4519"/>
    <w:rsid w:val="007A54EE"/>
    <w:rsid w:val="007A583D"/>
    <w:rsid w:val="007A5B28"/>
    <w:rsid w:val="007A6022"/>
    <w:rsid w:val="007A6203"/>
    <w:rsid w:val="007A6400"/>
    <w:rsid w:val="007A6461"/>
    <w:rsid w:val="007A6585"/>
    <w:rsid w:val="007A6D9C"/>
    <w:rsid w:val="007A73AC"/>
    <w:rsid w:val="007A752D"/>
    <w:rsid w:val="007A75A4"/>
    <w:rsid w:val="007A7819"/>
    <w:rsid w:val="007B040E"/>
    <w:rsid w:val="007B0E13"/>
    <w:rsid w:val="007B1548"/>
    <w:rsid w:val="007B1EB1"/>
    <w:rsid w:val="007B23B6"/>
    <w:rsid w:val="007B2608"/>
    <w:rsid w:val="007B45A6"/>
    <w:rsid w:val="007B4935"/>
    <w:rsid w:val="007B531A"/>
    <w:rsid w:val="007B586C"/>
    <w:rsid w:val="007B709A"/>
    <w:rsid w:val="007B7594"/>
    <w:rsid w:val="007C06ED"/>
    <w:rsid w:val="007C19C3"/>
    <w:rsid w:val="007C21CF"/>
    <w:rsid w:val="007C31F5"/>
    <w:rsid w:val="007C345B"/>
    <w:rsid w:val="007C38C9"/>
    <w:rsid w:val="007C39DF"/>
    <w:rsid w:val="007C3C47"/>
    <w:rsid w:val="007C3D3A"/>
    <w:rsid w:val="007C5B7B"/>
    <w:rsid w:val="007C5EC1"/>
    <w:rsid w:val="007C6066"/>
    <w:rsid w:val="007C67B3"/>
    <w:rsid w:val="007C68BD"/>
    <w:rsid w:val="007C7D81"/>
    <w:rsid w:val="007D07A0"/>
    <w:rsid w:val="007D124E"/>
    <w:rsid w:val="007D12B8"/>
    <w:rsid w:val="007D12F2"/>
    <w:rsid w:val="007D34CA"/>
    <w:rsid w:val="007D4016"/>
    <w:rsid w:val="007D4397"/>
    <w:rsid w:val="007D44A5"/>
    <w:rsid w:val="007D4786"/>
    <w:rsid w:val="007D4AC3"/>
    <w:rsid w:val="007D679D"/>
    <w:rsid w:val="007D6863"/>
    <w:rsid w:val="007D78E3"/>
    <w:rsid w:val="007E053E"/>
    <w:rsid w:val="007E0C0D"/>
    <w:rsid w:val="007E0EC6"/>
    <w:rsid w:val="007E0ED1"/>
    <w:rsid w:val="007E1C5A"/>
    <w:rsid w:val="007E20B7"/>
    <w:rsid w:val="007E28A0"/>
    <w:rsid w:val="007E3F4C"/>
    <w:rsid w:val="007E453F"/>
    <w:rsid w:val="007E4883"/>
    <w:rsid w:val="007E50B2"/>
    <w:rsid w:val="007E5806"/>
    <w:rsid w:val="007E6824"/>
    <w:rsid w:val="007E6D33"/>
    <w:rsid w:val="007E74CF"/>
    <w:rsid w:val="007E7DA7"/>
    <w:rsid w:val="007F142D"/>
    <w:rsid w:val="007F2154"/>
    <w:rsid w:val="007F2457"/>
    <w:rsid w:val="007F2C8B"/>
    <w:rsid w:val="007F30AB"/>
    <w:rsid w:val="007F3A04"/>
    <w:rsid w:val="007F491D"/>
    <w:rsid w:val="007F5FB0"/>
    <w:rsid w:val="007F6178"/>
    <w:rsid w:val="007F7A67"/>
    <w:rsid w:val="008002FF"/>
    <w:rsid w:val="00800FEF"/>
    <w:rsid w:val="00801694"/>
    <w:rsid w:val="00801FF2"/>
    <w:rsid w:val="008020DD"/>
    <w:rsid w:val="00802335"/>
    <w:rsid w:val="0080244C"/>
    <w:rsid w:val="00802616"/>
    <w:rsid w:val="00802901"/>
    <w:rsid w:val="00802B1A"/>
    <w:rsid w:val="00803009"/>
    <w:rsid w:val="00803291"/>
    <w:rsid w:val="008034A0"/>
    <w:rsid w:val="00804079"/>
    <w:rsid w:val="0080472B"/>
    <w:rsid w:val="0080567D"/>
    <w:rsid w:val="00806A8D"/>
    <w:rsid w:val="00806E01"/>
    <w:rsid w:val="00810770"/>
    <w:rsid w:val="00810C57"/>
    <w:rsid w:val="00812530"/>
    <w:rsid w:val="00813E21"/>
    <w:rsid w:val="00814089"/>
    <w:rsid w:val="008148EC"/>
    <w:rsid w:val="00814D01"/>
    <w:rsid w:val="00814E15"/>
    <w:rsid w:val="00815D36"/>
    <w:rsid w:val="00816291"/>
    <w:rsid w:val="00817689"/>
    <w:rsid w:val="008178D3"/>
    <w:rsid w:val="00817F36"/>
    <w:rsid w:val="008215F2"/>
    <w:rsid w:val="00821779"/>
    <w:rsid w:val="0082285D"/>
    <w:rsid w:val="0082331F"/>
    <w:rsid w:val="00823DAC"/>
    <w:rsid w:val="008245F5"/>
    <w:rsid w:val="0082493F"/>
    <w:rsid w:val="00824C78"/>
    <w:rsid w:val="008264FD"/>
    <w:rsid w:val="00826C9B"/>
    <w:rsid w:val="00827184"/>
    <w:rsid w:val="0082751E"/>
    <w:rsid w:val="00827A2B"/>
    <w:rsid w:val="00827B78"/>
    <w:rsid w:val="008302D0"/>
    <w:rsid w:val="00830977"/>
    <w:rsid w:val="00831027"/>
    <w:rsid w:val="00833A06"/>
    <w:rsid w:val="00834F62"/>
    <w:rsid w:val="00835298"/>
    <w:rsid w:val="00836205"/>
    <w:rsid w:val="00836272"/>
    <w:rsid w:val="008363F4"/>
    <w:rsid w:val="00836C67"/>
    <w:rsid w:val="00836E0E"/>
    <w:rsid w:val="00837BD8"/>
    <w:rsid w:val="00840031"/>
    <w:rsid w:val="008400A8"/>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2E"/>
    <w:rsid w:val="00846FED"/>
    <w:rsid w:val="00847954"/>
    <w:rsid w:val="008479D4"/>
    <w:rsid w:val="00847B3F"/>
    <w:rsid w:val="00847DD4"/>
    <w:rsid w:val="00850D31"/>
    <w:rsid w:val="0085161C"/>
    <w:rsid w:val="00851999"/>
    <w:rsid w:val="00851A7D"/>
    <w:rsid w:val="00851F67"/>
    <w:rsid w:val="00851FF5"/>
    <w:rsid w:val="00853D16"/>
    <w:rsid w:val="008543A1"/>
    <w:rsid w:val="00854F1C"/>
    <w:rsid w:val="00855433"/>
    <w:rsid w:val="00856DCD"/>
    <w:rsid w:val="00857A8E"/>
    <w:rsid w:val="0086069E"/>
    <w:rsid w:val="00861213"/>
    <w:rsid w:val="00861580"/>
    <w:rsid w:val="00862B70"/>
    <w:rsid w:val="00862C3D"/>
    <w:rsid w:val="0086454A"/>
    <w:rsid w:val="00864858"/>
    <w:rsid w:val="008653A5"/>
    <w:rsid w:val="00865690"/>
    <w:rsid w:val="00867D5D"/>
    <w:rsid w:val="00870343"/>
    <w:rsid w:val="00870BF4"/>
    <w:rsid w:val="00870C54"/>
    <w:rsid w:val="00872066"/>
    <w:rsid w:val="00872620"/>
    <w:rsid w:val="00873F21"/>
    <w:rsid w:val="00874618"/>
    <w:rsid w:val="008757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6703"/>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026F"/>
    <w:rsid w:val="008A0860"/>
    <w:rsid w:val="008A12AE"/>
    <w:rsid w:val="008A2915"/>
    <w:rsid w:val="008A2B9F"/>
    <w:rsid w:val="008A302A"/>
    <w:rsid w:val="008A32AC"/>
    <w:rsid w:val="008A5275"/>
    <w:rsid w:val="008A5750"/>
    <w:rsid w:val="008A6023"/>
    <w:rsid w:val="008A6943"/>
    <w:rsid w:val="008B046A"/>
    <w:rsid w:val="008B0B9D"/>
    <w:rsid w:val="008B1034"/>
    <w:rsid w:val="008B4EF3"/>
    <w:rsid w:val="008B54AA"/>
    <w:rsid w:val="008B54FE"/>
    <w:rsid w:val="008B5638"/>
    <w:rsid w:val="008B5E6E"/>
    <w:rsid w:val="008B769C"/>
    <w:rsid w:val="008B7A5D"/>
    <w:rsid w:val="008B7DF0"/>
    <w:rsid w:val="008B7EBB"/>
    <w:rsid w:val="008C08C9"/>
    <w:rsid w:val="008C14F3"/>
    <w:rsid w:val="008C2A0F"/>
    <w:rsid w:val="008C3274"/>
    <w:rsid w:val="008C3356"/>
    <w:rsid w:val="008C35AD"/>
    <w:rsid w:val="008C41CA"/>
    <w:rsid w:val="008C44A1"/>
    <w:rsid w:val="008C47AB"/>
    <w:rsid w:val="008C4BE2"/>
    <w:rsid w:val="008C4DFF"/>
    <w:rsid w:val="008C55B3"/>
    <w:rsid w:val="008C56D8"/>
    <w:rsid w:val="008C578D"/>
    <w:rsid w:val="008C780B"/>
    <w:rsid w:val="008C7B44"/>
    <w:rsid w:val="008D02E0"/>
    <w:rsid w:val="008D0349"/>
    <w:rsid w:val="008D0B42"/>
    <w:rsid w:val="008D0F82"/>
    <w:rsid w:val="008D1FA7"/>
    <w:rsid w:val="008D2C09"/>
    <w:rsid w:val="008D319B"/>
    <w:rsid w:val="008D35A3"/>
    <w:rsid w:val="008D3A2B"/>
    <w:rsid w:val="008D3BDC"/>
    <w:rsid w:val="008D4293"/>
    <w:rsid w:val="008D484D"/>
    <w:rsid w:val="008D59D5"/>
    <w:rsid w:val="008D5FB4"/>
    <w:rsid w:val="008D7A38"/>
    <w:rsid w:val="008E0605"/>
    <w:rsid w:val="008E1A59"/>
    <w:rsid w:val="008E3F36"/>
    <w:rsid w:val="008E4285"/>
    <w:rsid w:val="008E57BE"/>
    <w:rsid w:val="008E5973"/>
    <w:rsid w:val="008E5AD7"/>
    <w:rsid w:val="008E5C7F"/>
    <w:rsid w:val="008E5CFF"/>
    <w:rsid w:val="008E7213"/>
    <w:rsid w:val="008E7649"/>
    <w:rsid w:val="008F0327"/>
    <w:rsid w:val="008F0E3F"/>
    <w:rsid w:val="008F11E1"/>
    <w:rsid w:val="008F216B"/>
    <w:rsid w:val="008F2CA9"/>
    <w:rsid w:val="008F3866"/>
    <w:rsid w:val="008F41B8"/>
    <w:rsid w:val="008F494C"/>
    <w:rsid w:val="008F4AE5"/>
    <w:rsid w:val="008F4DE2"/>
    <w:rsid w:val="008F5642"/>
    <w:rsid w:val="008F5C89"/>
    <w:rsid w:val="008F5CC1"/>
    <w:rsid w:val="008F66A7"/>
    <w:rsid w:val="008F66F7"/>
    <w:rsid w:val="008F6BA2"/>
    <w:rsid w:val="008F7088"/>
    <w:rsid w:val="008F766D"/>
    <w:rsid w:val="00900079"/>
    <w:rsid w:val="00900654"/>
    <w:rsid w:val="00900E5D"/>
    <w:rsid w:val="009018CF"/>
    <w:rsid w:val="00902AA8"/>
    <w:rsid w:val="009035A7"/>
    <w:rsid w:val="00903729"/>
    <w:rsid w:val="00903B6D"/>
    <w:rsid w:val="009041CC"/>
    <w:rsid w:val="009050E8"/>
    <w:rsid w:val="00905DDB"/>
    <w:rsid w:val="0090615F"/>
    <w:rsid w:val="00907490"/>
    <w:rsid w:val="00907F7D"/>
    <w:rsid w:val="009124EB"/>
    <w:rsid w:val="00912550"/>
    <w:rsid w:val="00912F7B"/>
    <w:rsid w:val="00913A29"/>
    <w:rsid w:val="009145E2"/>
    <w:rsid w:val="00914FFD"/>
    <w:rsid w:val="009166E5"/>
    <w:rsid w:val="00916C89"/>
    <w:rsid w:val="00917019"/>
    <w:rsid w:val="0091747B"/>
    <w:rsid w:val="00917AF0"/>
    <w:rsid w:val="00920DCC"/>
    <w:rsid w:val="00921510"/>
    <w:rsid w:val="00921B99"/>
    <w:rsid w:val="00922324"/>
    <w:rsid w:val="009227B3"/>
    <w:rsid w:val="00923AE5"/>
    <w:rsid w:val="00924C8C"/>
    <w:rsid w:val="00925609"/>
    <w:rsid w:val="00925BCC"/>
    <w:rsid w:val="009267E3"/>
    <w:rsid w:val="00926E3E"/>
    <w:rsid w:val="00927BE1"/>
    <w:rsid w:val="00927DE8"/>
    <w:rsid w:val="00930A07"/>
    <w:rsid w:val="00930AFB"/>
    <w:rsid w:val="00930EE9"/>
    <w:rsid w:val="00931065"/>
    <w:rsid w:val="00931347"/>
    <w:rsid w:val="00931B0D"/>
    <w:rsid w:val="009320E8"/>
    <w:rsid w:val="00932CD9"/>
    <w:rsid w:val="0093337B"/>
    <w:rsid w:val="00934191"/>
    <w:rsid w:val="009342C2"/>
    <w:rsid w:val="00934753"/>
    <w:rsid w:val="00935698"/>
    <w:rsid w:val="00935E71"/>
    <w:rsid w:val="00935FCD"/>
    <w:rsid w:val="00936D91"/>
    <w:rsid w:val="00936F4F"/>
    <w:rsid w:val="0093721C"/>
    <w:rsid w:val="00937392"/>
    <w:rsid w:val="0093773C"/>
    <w:rsid w:val="00941251"/>
    <w:rsid w:val="009417A9"/>
    <w:rsid w:val="00942248"/>
    <w:rsid w:val="0094265C"/>
    <w:rsid w:val="00943260"/>
    <w:rsid w:val="00944AAB"/>
    <w:rsid w:val="00944C73"/>
    <w:rsid w:val="00946148"/>
    <w:rsid w:val="009464E1"/>
    <w:rsid w:val="00947216"/>
    <w:rsid w:val="00951235"/>
    <w:rsid w:val="00951F20"/>
    <w:rsid w:val="009522EB"/>
    <w:rsid w:val="0095275C"/>
    <w:rsid w:val="00954085"/>
    <w:rsid w:val="0095444F"/>
    <w:rsid w:val="00954BCC"/>
    <w:rsid w:val="00954E7D"/>
    <w:rsid w:val="00956AB6"/>
    <w:rsid w:val="009570F1"/>
    <w:rsid w:val="00957E9F"/>
    <w:rsid w:val="009606FC"/>
    <w:rsid w:val="00960781"/>
    <w:rsid w:val="00960B05"/>
    <w:rsid w:val="00960E25"/>
    <w:rsid w:val="00962149"/>
    <w:rsid w:val="0096290E"/>
    <w:rsid w:val="00962AEA"/>
    <w:rsid w:val="00962C78"/>
    <w:rsid w:val="0096420F"/>
    <w:rsid w:val="00964438"/>
    <w:rsid w:val="00965FEE"/>
    <w:rsid w:val="009666A9"/>
    <w:rsid w:val="0096689D"/>
    <w:rsid w:val="0096764F"/>
    <w:rsid w:val="00970694"/>
    <w:rsid w:val="00970A2C"/>
    <w:rsid w:val="00971F19"/>
    <w:rsid w:val="00972B2E"/>
    <w:rsid w:val="00972C56"/>
    <w:rsid w:val="00972C9A"/>
    <w:rsid w:val="00972E07"/>
    <w:rsid w:val="009732C0"/>
    <w:rsid w:val="009732D5"/>
    <w:rsid w:val="00973DE3"/>
    <w:rsid w:val="00974289"/>
    <w:rsid w:val="00974680"/>
    <w:rsid w:val="00974A38"/>
    <w:rsid w:val="00975F26"/>
    <w:rsid w:val="009769B8"/>
    <w:rsid w:val="00977365"/>
    <w:rsid w:val="00977476"/>
    <w:rsid w:val="0097778C"/>
    <w:rsid w:val="00977CCB"/>
    <w:rsid w:val="0098193A"/>
    <w:rsid w:val="0098299E"/>
    <w:rsid w:val="00983575"/>
    <w:rsid w:val="00984906"/>
    <w:rsid w:val="00985ADA"/>
    <w:rsid w:val="009863A5"/>
    <w:rsid w:val="00987842"/>
    <w:rsid w:val="0099090C"/>
    <w:rsid w:val="00991A13"/>
    <w:rsid w:val="00992C1D"/>
    <w:rsid w:val="0099382D"/>
    <w:rsid w:val="009956EE"/>
    <w:rsid w:val="00995905"/>
    <w:rsid w:val="00995F4A"/>
    <w:rsid w:val="00996727"/>
    <w:rsid w:val="009968F4"/>
    <w:rsid w:val="009969D8"/>
    <w:rsid w:val="00996A24"/>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42AF"/>
    <w:rsid w:val="009B52EC"/>
    <w:rsid w:val="009B5743"/>
    <w:rsid w:val="009B5FA5"/>
    <w:rsid w:val="009B62D3"/>
    <w:rsid w:val="009B69BB"/>
    <w:rsid w:val="009B7FCE"/>
    <w:rsid w:val="009C0CFD"/>
    <w:rsid w:val="009C1C4F"/>
    <w:rsid w:val="009C1D6F"/>
    <w:rsid w:val="009C27C2"/>
    <w:rsid w:val="009C300E"/>
    <w:rsid w:val="009C3318"/>
    <w:rsid w:val="009C3468"/>
    <w:rsid w:val="009C43A7"/>
    <w:rsid w:val="009C4A09"/>
    <w:rsid w:val="009C505E"/>
    <w:rsid w:val="009C5587"/>
    <w:rsid w:val="009C6240"/>
    <w:rsid w:val="009C66A3"/>
    <w:rsid w:val="009D0289"/>
    <w:rsid w:val="009D1929"/>
    <w:rsid w:val="009D1F6D"/>
    <w:rsid w:val="009D25A2"/>
    <w:rsid w:val="009D2718"/>
    <w:rsid w:val="009D3728"/>
    <w:rsid w:val="009D4988"/>
    <w:rsid w:val="009D5B81"/>
    <w:rsid w:val="009D5D26"/>
    <w:rsid w:val="009D68C2"/>
    <w:rsid w:val="009D72F4"/>
    <w:rsid w:val="009E0C8B"/>
    <w:rsid w:val="009E1E66"/>
    <w:rsid w:val="009E282B"/>
    <w:rsid w:val="009E3A70"/>
    <w:rsid w:val="009E4F2B"/>
    <w:rsid w:val="009E7A88"/>
    <w:rsid w:val="009F057F"/>
    <w:rsid w:val="009F14E8"/>
    <w:rsid w:val="009F1F21"/>
    <w:rsid w:val="009F2DE9"/>
    <w:rsid w:val="009F2F79"/>
    <w:rsid w:val="009F3094"/>
    <w:rsid w:val="009F384E"/>
    <w:rsid w:val="009F40F3"/>
    <w:rsid w:val="009F494E"/>
    <w:rsid w:val="009F5613"/>
    <w:rsid w:val="009F5982"/>
    <w:rsid w:val="009F5EB4"/>
    <w:rsid w:val="009F6261"/>
    <w:rsid w:val="009F6DF8"/>
    <w:rsid w:val="009F78F8"/>
    <w:rsid w:val="009F7A63"/>
    <w:rsid w:val="00A0085F"/>
    <w:rsid w:val="00A01D0D"/>
    <w:rsid w:val="00A027E6"/>
    <w:rsid w:val="00A02D54"/>
    <w:rsid w:val="00A03254"/>
    <w:rsid w:val="00A04962"/>
    <w:rsid w:val="00A04F5B"/>
    <w:rsid w:val="00A05126"/>
    <w:rsid w:val="00A05DCC"/>
    <w:rsid w:val="00A0619B"/>
    <w:rsid w:val="00A06743"/>
    <w:rsid w:val="00A06FA7"/>
    <w:rsid w:val="00A07BC4"/>
    <w:rsid w:val="00A07D16"/>
    <w:rsid w:val="00A105E9"/>
    <w:rsid w:val="00A109AD"/>
    <w:rsid w:val="00A10A7A"/>
    <w:rsid w:val="00A10BC1"/>
    <w:rsid w:val="00A115D1"/>
    <w:rsid w:val="00A118B6"/>
    <w:rsid w:val="00A120B2"/>
    <w:rsid w:val="00A12146"/>
    <w:rsid w:val="00A12A96"/>
    <w:rsid w:val="00A13ED0"/>
    <w:rsid w:val="00A14E37"/>
    <w:rsid w:val="00A1557C"/>
    <w:rsid w:val="00A155FA"/>
    <w:rsid w:val="00A15C8B"/>
    <w:rsid w:val="00A16886"/>
    <w:rsid w:val="00A178EA"/>
    <w:rsid w:val="00A202D0"/>
    <w:rsid w:val="00A20831"/>
    <w:rsid w:val="00A20FDE"/>
    <w:rsid w:val="00A21E48"/>
    <w:rsid w:val="00A2304C"/>
    <w:rsid w:val="00A23836"/>
    <w:rsid w:val="00A23E52"/>
    <w:rsid w:val="00A23F8D"/>
    <w:rsid w:val="00A24BAA"/>
    <w:rsid w:val="00A25767"/>
    <w:rsid w:val="00A25A37"/>
    <w:rsid w:val="00A266F4"/>
    <w:rsid w:val="00A26CD4"/>
    <w:rsid w:val="00A27360"/>
    <w:rsid w:val="00A27D0E"/>
    <w:rsid w:val="00A30308"/>
    <w:rsid w:val="00A30CE1"/>
    <w:rsid w:val="00A31184"/>
    <w:rsid w:val="00A31FEB"/>
    <w:rsid w:val="00A32067"/>
    <w:rsid w:val="00A32A4E"/>
    <w:rsid w:val="00A32D93"/>
    <w:rsid w:val="00A333B7"/>
    <w:rsid w:val="00A3346B"/>
    <w:rsid w:val="00A33AFD"/>
    <w:rsid w:val="00A33FEC"/>
    <w:rsid w:val="00A34743"/>
    <w:rsid w:val="00A34C5F"/>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874"/>
    <w:rsid w:val="00A50977"/>
    <w:rsid w:val="00A50FA4"/>
    <w:rsid w:val="00A51442"/>
    <w:rsid w:val="00A5152F"/>
    <w:rsid w:val="00A51D39"/>
    <w:rsid w:val="00A522B5"/>
    <w:rsid w:val="00A524DA"/>
    <w:rsid w:val="00A52CA1"/>
    <w:rsid w:val="00A5341D"/>
    <w:rsid w:val="00A53987"/>
    <w:rsid w:val="00A53BFA"/>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026"/>
    <w:rsid w:val="00A67595"/>
    <w:rsid w:val="00A677E6"/>
    <w:rsid w:val="00A67FC8"/>
    <w:rsid w:val="00A7010E"/>
    <w:rsid w:val="00A716A2"/>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27C6"/>
    <w:rsid w:val="00A83273"/>
    <w:rsid w:val="00A832CE"/>
    <w:rsid w:val="00A83F38"/>
    <w:rsid w:val="00A84008"/>
    <w:rsid w:val="00A84363"/>
    <w:rsid w:val="00A851E7"/>
    <w:rsid w:val="00A85D06"/>
    <w:rsid w:val="00A8651E"/>
    <w:rsid w:val="00A8673B"/>
    <w:rsid w:val="00A872BA"/>
    <w:rsid w:val="00A878EB"/>
    <w:rsid w:val="00A904D5"/>
    <w:rsid w:val="00A91AB3"/>
    <w:rsid w:val="00A9242D"/>
    <w:rsid w:val="00A927B4"/>
    <w:rsid w:val="00A94D04"/>
    <w:rsid w:val="00A954D4"/>
    <w:rsid w:val="00A95A2D"/>
    <w:rsid w:val="00A968B3"/>
    <w:rsid w:val="00A96FA3"/>
    <w:rsid w:val="00A97558"/>
    <w:rsid w:val="00AA0571"/>
    <w:rsid w:val="00AA077C"/>
    <w:rsid w:val="00AA08FD"/>
    <w:rsid w:val="00AA0C8B"/>
    <w:rsid w:val="00AA0F51"/>
    <w:rsid w:val="00AA1C1F"/>
    <w:rsid w:val="00AA417D"/>
    <w:rsid w:val="00AA7076"/>
    <w:rsid w:val="00AA783A"/>
    <w:rsid w:val="00AA7C3C"/>
    <w:rsid w:val="00AA7FA1"/>
    <w:rsid w:val="00AB1C08"/>
    <w:rsid w:val="00AB1C41"/>
    <w:rsid w:val="00AB1F70"/>
    <w:rsid w:val="00AB21D7"/>
    <w:rsid w:val="00AB246F"/>
    <w:rsid w:val="00AB2D12"/>
    <w:rsid w:val="00AB44C3"/>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598F"/>
    <w:rsid w:val="00AC6252"/>
    <w:rsid w:val="00AC6E43"/>
    <w:rsid w:val="00AC6EF6"/>
    <w:rsid w:val="00AC7D3F"/>
    <w:rsid w:val="00AD00CA"/>
    <w:rsid w:val="00AD0AE7"/>
    <w:rsid w:val="00AD105A"/>
    <w:rsid w:val="00AD1621"/>
    <w:rsid w:val="00AD2FC6"/>
    <w:rsid w:val="00AD3181"/>
    <w:rsid w:val="00AD3BB9"/>
    <w:rsid w:val="00AD4EA7"/>
    <w:rsid w:val="00AD5C9E"/>
    <w:rsid w:val="00AE06AA"/>
    <w:rsid w:val="00AE16FA"/>
    <w:rsid w:val="00AE1CC8"/>
    <w:rsid w:val="00AE2794"/>
    <w:rsid w:val="00AE2CB9"/>
    <w:rsid w:val="00AE408C"/>
    <w:rsid w:val="00AE499C"/>
    <w:rsid w:val="00AE539A"/>
    <w:rsid w:val="00AE66BF"/>
    <w:rsid w:val="00AE675E"/>
    <w:rsid w:val="00AE6D55"/>
    <w:rsid w:val="00AE7B92"/>
    <w:rsid w:val="00AF08BD"/>
    <w:rsid w:val="00AF1B7B"/>
    <w:rsid w:val="00AF30A5"/>
    <w:rsid w:val="00AF35E7"/>
    <w:rsid w:val="00AF4996"/>
    <w:rsid w:val="00AF6A69"/>
    <w:rsid w:val="00AF6BAA"/>
    <w:rsid w:val="00AF78D8"/>
    <w:rsid w:val="00B0026F"/>
    <w:rsid w:val="00B01D05"/>
    <w:rsid w:val="00B02A41"/>
    <w:rsid w:val="00B03DDE"/>
    <w:rsid w:val="00B0460F"/>
    <w:rsid w:val="00B0494F"/>
    <w:rsid w:val="00B0504C"/>
    <w:rsid w:val="00B053EF"/>
    <w:rsid w:val="00B054DF"/>
    <w:rsid w:val="00B0551E"/>
    <w:rsid w:val="00B055FA"/>
    <w:rsid w:val="00B05962"/>
    <w:rsid w:val="00B059A9"/>
    <w:rsid w:val="00B06260"/>
    <w:rsid w:val="00B07069"/>
    <w:rsid w:val="00B073D5"/>
    <w:rsid w:val="00B128E2"/>
    <w:rsid w:val="00B1303D"/>
    <w:rsid w:val="00B13326"/>
    <w:rsid w:val="00B15CA2"/>
    <w:rsid w:val="00B16313"/>
    <w:rsid w:val="00B16C63"/>
    <w:rsid w:val="00B20E02"/>
    <w:rsid w:val="00B21A7B"/>
    <w:rsid w:val="00B21DE1"/>
    <w:rsid w:val="00B2294C"/>
    <w:rsid w:val="00B22951"/>
    <w:rsid w:val="00B22E33"/>
    <w:rsid w:val="00B2384B"/>
    <w:rsid w:val="00B248AC"/>
    <w:rsid w:val="00B26448"/>
    <w:rsid w:val="00B26802"/>
    <w:rsid w:val="00B26E82"/>
    <w:rsid w:val="00B27A66"/>
    <w:rsid w:val="00B322DF"/>
    <w:rsid w:val="00B325D4"/>
    <w:rsid w:val="00B3463E"/>
    <w:rsid w:val="00B352D1"/>
    <w:rsid w:val="00B35D33"/>
    <w:rsid w:val="00B36727"/>
    <w:rsid w:val="00B36EF1"/>
    <w:rsid w:val="00B3700E"/>
    <w:rsid w:val="00B370EF"/>
    <w:rsid w:val="00B4085C"/>
    <w:rsid w:val="00B411A7"/>
    <w:rsid w:val="00B412F4"/>
    <w:rsid w:val="00B41977"/>
    <w:rsid w:val="00B430E7"/>
    <w:rsid w:val="00B43102"/>
    <w:rsid w:val="00B43360"/>
    <w:rsid w:val="00B44032"/>
    <w:rsid w:val="00B44DEE"/>
    <w:rsid w:val="00B45190"/>
    <w:rsid w:val="00B45283"/>
    <w:rsid w:val="00B45981"/>
    <w:rsid w:val="00B465BD"/>
    <w:rsid w:val="00B47E88"/>
    <w:rsid w:val="00B50641"/>
    <w:rsid w:val="00B52F38"/>
    <w:rsid w:val="00B55077"/>
    <w:rsid w:val="00B553C3"/>
    <w:rsid w:val="00B55824"/>
    <w:rsid w:val="00B56A7E"/>
    <w:rsid w:val="00B575AA"/>
    <w:rsid w:val="00B57DCF"/>
    <w:rsid w:val="00B57DDC"/>
    <w:rsid w:val="00B60085"/>
    <w:rsid w:val="00B62E11"/>
    <w:rsid w:val="00B636B6"/>
    <w:rsid w:val="00B63864"/>
    <w:rsid w:val="00B6426B"/>
    <w:rsid w:val="00B64865"/>
    <w:rsid w:val="00B65E77"/>
    <w:rsid w:val="00B674E1"/>
    <w:rsid w:val="00B67BE8"/>
    <w:rsid w:val="00B67DAF"/>
    <w:rsid w:val="00B67EF2"/>
    <w:rsid w:val="00B70FCC"/>
    <w:rsid w:val="00B7113B"/>
    <w:rsid w:val="00B71B88"/>
    <w:rsid w:val="00B71C8B"/>
    <w:rsid w:val="00B72629"/>
    <w:rsid w:val="00B726EB"/>
    <w:rsid w:val="00B736A3"/>
    <w:rsid w:val="00B7397A"/>
    <w:rsid w:val="00B73E12"/>
    <w:rsid w:val="00B748FC"/>
    <w:rsid w:val="00B74F98"/>
    <w:rsid w:val="00B75485"/>
    <w:rsid w:val="00B76F56"/>
    <w:rsid w:val="00B771F2"/>
    <w:rsid w:val="00B772DC"/>
    <w:rsid w:val="00B77495"/>
    <w:rsid w:val="00B77584"/>
    <w:rsid w:val="00B809ED"/>
    <w:rsid w:val="00B80A14"/>
    <w:rsid w:val="00B80D70"/>
    <w:rsid w:val="00B81433"/>
    <w:rsid w:val="00B81793"/>
    <w:rsid w:val="00B8196F"/>
    <w:rsid w:val="00B82220"/>
    <w:rsid w:val="00B8225E"/>
    <w:rsid w:val="00B82710"/>
    <w:rsid w:val="00B82766"/>
    <w:rsid w:val="00B82D23"/>
    <w:rsid w:val="00B84E21"/>
    <w:rsid w:val="00B8636E"/>
    <w:rsid w:val="00B863C1"/>
    <w:rsid w:val="00B8669F"/>
    <w:rsid w:val="00B866CD"/>
    <w:rsid w:val="00B86A26"/>
    <w:rsid w:val="00B86CE6"/>
    <w:rsid w:val="00B87008"/>
    <w:rsid w:val="00B876B5"/>
    <w:rsid w:val="00B876B6"/>
    <w:rsid w:val="00B877AC"/>
    <w:rsid w:val="00B877F7"/>
    <w:rsid w:val="00B91575"/>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67A5"/>
    <w:rsid w:val="00BA687D"/>
    <w:rsid w:val="00BA7EF2"/>
    <w:rsid w:val="00BB0619"/>
    <w:rsid w:val="00BB0899"/>
    <w:rsid w:val="00BB09F8"/>
    <w:rsid w:val="00BB0B91"/>
    <w:rsid w:val="00BB23E5"/>
    <w:rsid w:val="00BB2D18"/>
    <w:rsid w:val="00BB40D9"/>
    <w:rsid w:val="00BB4AE7"/>
    <w:rsid w:val="00BB4F39"/>
    <w:rsid w:val="00BB4FB7"/>
    <w:rsid w:val="00BB5179"/>
    <w:rsid w:val="00BB544F"/>
    <w:rsid w:val="00BB6CC4"/>
    <w:rsid w:val="00BB71FF"/>
    <w:rsid w:val="00BC10BF"/>
    <w:rsid w:val="00BC13DA"/>
    <w:rsid w:val="00BC4DBC"/>
    <w:rsid w:val="00BC59BD"/>
    <w:rsid w:val="00BC7181"/>
    <w:rsid w:val="00BC7ECA"/>
    <w:rsid w:val="00BD05EF"/>
    <w:rsid w:val="00BD07B0"/>
    <w:rsid w:val="00BD0B3B"/>
    <w:rsid w:val="00BD0D9C"/>
    <w:rsid w:val="00BD0FC2"/>
    <w:rsid w:val="00BD22FB"/>
    <w:rsid w:val="00BD3F02"/>
    <w:rsid w:val="00BD4638"/>
    <w:rsid w:val="00BD486A"/>
    <w:rsid w:val="00BD4DE7"/>
    <w:rsid w:val="00BD5A9C"/>
    <w:rsid w:val="00BD615A"/>
    <w:rsid w:val="00BD772E"/>
    <w:rsid w:val="00BE08E4"/>
    <w:rsid w:val="00BE0AF5"/>
    <w:rsid w:val="00BE0F3E"/>
    <w:rsid w:val="00BE2601"/>
    <w:rsid w:val="00BE304E"/>
    <w:rsid w:val="00BE36CD"/>
    <w:rsid w:val="00BE3C37"/>
    <w:rsid w:val="00BE3C45"/>
    <w:rsid w:val="00BE3C5B"/>
    <w:rsid w:val="00BE41F4"/>
    <w:rsid w:val="00BE4744"/>
    <w:rsid w:val="00BE47E9"/>
    <w:rsid w:val="00BE5DA7"/>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28D"/>
    <w:rsid w:val="00C04C75"/>
    <w:rsid w:val="00C04F9E"/>
    <w:rsid w:val="00C06468"/>
    <w:rsid w:val="00C067BD"/>
    <w:rsid w:val="00C076ED"/>
    <w:rsid w:val="00C10758"/>
    <w:rsid w:val="00C107FA"/>
    <w:rsid w:val="00C109B2"/>
    <w:rsid w:val="00C11251"/>
    <w:rsid w:val="00C11963"/>
    <w:rsid w:val="00C1263B"/>
    <w:rsid w:val="00C13671"/>
    <w:rsid w:val="00C139D5"/>
    <w:rsid w:val="00C13C02"/>
    <w:rsid w:val="00C13C48"/>
    <w:rsid w:val="00C1553E"/>
    <w:rsid w:val="00C16291"/>
    <w:rsid w:val="00C171B2"/>
    <w:rsid w:val="00C1765E"/>
    <w:rsid w:val="00C177F5"/>
    <w:rsid w:val="00C20625"/>
    <w:rsid w:val="00C20931"/>
    <w:rsid w:val="00C2097C"/>
    <w:rsid w:val="00C21A8A"/>
    <w:rsid w:val="00C21BAF"/>
    <w:rsid w:val="00C2283D"/>
    <w:rsid w:val="00C22B1A"/>
    <w:rsid w:val="00C22E02"/>
    <w:rsid w:val="00C23D27"/>
    <w:rsid w:val="00C23DEB"/>
    <w:rsid w:val="00C24137"/>
    <w:rsid w:val="00C244B1"/>
    <w:rsid w:val="00C244C8"/>
    <w:rsid w:val="00C25CCC"/>
    <w:rsid w:val="00C260B4"/>
    <w:rsid w:val="00C2682D"/>
    <w:rsid w:val="00C309F3"/>
    <w:rsid w:val="00C31011"/>
    <w:rsid w:val="00C33DD7"/>
    <w:rsid w:val="00C33FEA"/>
    <w:rsid w:val="00C3459A"/>
    <w:rsid w:val="00C3588D"/>
    <w:rsid w:val="00C3595F"/>
    <w:rsid w:val="00C36293"/>
    <w:rsid w:val="00C368A8"/>
    <w:rsid w:val="00C372DC"/>
    <w:rsid w:val="00C37CB0"/>
    <w:rsid w:val="00C414B5"/>
    <w:rsid w:val="00C423FE"/>
    <w:rsid w:val="00C43FD1"/>
    <w:rsid w:val="00C450B8"/>
    <w:rsid w:val="00C455EB"/>
    <w:rsid w:val="00C46539"/>
    <w:rsid w:val="00C46685"/>
    <w:rsid w:val="00C46D9E"/>
    <w:rsid w:val="00C507DD"/>
    <w:rsid w:val="00C50C84"/>
    <w:rsid w:val="00C51BC3"/>
    <w:rsid w:val="00C5200A"/>
    <w:rsid w:val="00C520F2"/>
    <w:rsid w:val="00C52B09"/>
    <w:rsid w:val="00C52BA4"/>
    <w:rsid w:val="00C53244"/>
    <w:rsid w:val="00C53A0A"/>
    <w:rsid w:val="00C5476B"/>
    <w:rsid w:val="00C54819"/>
    <w:rsid w:val="00C548E5"/>
    <w:rsid w:val="00C54F96"/>
    <w:rsid w:val="00C564BB"/>
    <w:rsid w:val="00C57261"/>
    <w:rsid w:val="00C5739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490"/>
    <w:rsid w:val="00C66A76"/>
    <w:rsid w:val="00C70E50"/>
    <w:rsid w:val="00C729B0"/>
    <w:rsid w:val="00C729E5"/>
    <w:rsid w:val="00C73A63"/>
    <w:rsid w:val="00C73C4C"/>
    <w:rsid w:val="00C7451C"/>
    <w:rsid w:val="00C75204"/>
    <w:rsid w:val="00C75D68"/>
    <w:rsid w:val="00C765DA"/>
    <w:rsid w:val="00C80AF3"/>
    <w:rsid w:val="00C8105A"/>
    <w:rsid w:val="00C82979"/>
    <w:rsid w:val="00C82DAF"/>
    <w:rsid w:val="00C83EB0"/>
    <w:rsid w:val="00C8431F"/>
    <w:rsid w:val="00C84366"/>
    <w:rsid w:val="00C84553"/>
    <w:rsid w:val="00C84995"/>
    <w:rsid w:val="00C84CCB"/>
    <w:rsid w:val="00C84EF4"/>
    <w:rsid w:val="00C8570D"/>
    <w:rsid w:val="00C862B7"/>
    <w:rsid w:val="00C86F83"/>
    <w:rsid w:val="00C8718C"/>
    <w:rsid w:val="00C87C3C"/>
    <w:rsid w:val="00C90067"/>
    <w:rsid w:val="00C90BEB"/>
    <w:rsid w:val="00C90C07"/>
    <w:rsid w:val="00C90DEF"/>
    <w:rsid w:val="00C91529"/>
    <w:rsid w:val="00C920FE"/>
    <w:rsid w:val="00C92A46"/>
    <w:rsid w:val="00C92FC0"/>
    <w:rsid w:val="00C93E00"/>
    <w:rsid w:val="00C94836"/>
    <w:rsid w:val="00C94A3B"/>
    <w:rsid w:val="00C9543D"/>
    <w:rsid w:val="00C957B2"/>
    <w:rsid w:val="00C9609D"/>
    <w:rsid w:val="00C9637C"/>
    <w:rsid w:val="00C96692"/>
    <w:rsid w:val="00C976AA"/>
    <w:rsid w:val="00C97BE9"/>
    <w:rsid w:val="00C97BED"/>
    <w:rsid w:val="00C97D3A"/>
    <w:rsid w:val="00CA23A9"/>
    <w:rsid w:val="00CA2A0D"/>
    <w:rsid w:val="00CA2D3C"/>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5FE5"/>
    <w:rsid w:val="00CB61FE"/>
    <w:rsid w:val="00CB6411"/>
    <w:rsid w:val="00CB6E24"/>
    <w:rsid w:val="00CB7433"/>
    <w:rsid w:val="00CB7459"/>
    <w:rsid w:val="00CB78EE"/>
    <w:rsid w:val="00CB7A3D"/>
    <w:rsid w:val="00CC0C35"/>
    <w:rsid w:val="00CC0F22"/>
    <w:rsid w:val="00CC1737"/>
    <w:rsid w:val="00CC1820"/>
    <w:rsid w:val="00CC2431"/>
    <w:rsid w:val="00CC26A9"/>
    <w:rsid w:val="00CC27D7"/>
    <w:rsid w:val="00CC2C4E"/>
    <w:rsid w:val="00CC3602"/>
    <w:rsid w:val="00CC3F1F"/>
    <w:rsid w:val="00CC3F34"/>
    <w:rsid w:val="00CC426E"/>
    <w:rsid w:val="00CC4B3B"/>
    <w:rsid w:val="00CC5DA3"/>
    <w:rsid w:val="00CC6206"/>
    <w:rsid w:val="00CC6B9F"/>
    <w:rsid w:val="00CC6BE9"/>
    <w:rsid w:val="00CC737F"/>
    <w:rsid w:val="00CC7753"/>
    <w:rsid w:val="00CD1201"/>
    <w:rsid w:val="00CD16D1"/>
    <w:rsid w:val="00CD19E2"/>
    <w:rsid w:val="00CD1E5A"/>
    <w:rsid w:val="00CD232F"/>
    <w:rsid w:val="00CD23CE"/>
    <w:rsid w:val="00CD2866"/>
    <w:rsid w:val="00CD3215"/>
    <w:rsid w:val="00CD3561"/>
    <w:rsid w:val="00CD3FF3"/>
    <w:rsid w:val="00CD469A"/>
    <w:rsid w:val="00CD4FE0"/>
    <w:rsid w:val="00CD5ACE"/>
    <w:rsid w:val="00CD6316"/>
    <w:rsid w:val="00CD63A1"/>
    <w:rsid w:val="00CD6A81"/>
    <w:rsid w:val="00CD74C0"/>
    <w:rsid w:val="00CD75E6"/>
    <w:rsid w:val="00CD77B5"/>
    <w:rsid w:val="00CD7EAF"/>
    <w:rsid w:val="00CE1E2A"/>
    <w:rsid w:val="00CE2152"/>
    <w:rsid w:val="00CE2189"/>
    <w:rsid w:val="00CE2315"/>
    <w:rsid w:val="00CE24FC"/>
    <w:rsid w:val="00CE2ADF"/>
    <w:rsid w:val="00CE2C57"/>
    <w:rsid w:val="00CE33A0"/>
    <w:rsid w:val="00CE3484"/>
    <w:rsid w:val="00CE41E3"/>
    <w:rsid w:val="00CE42D0"/>
    <w:rsid w:val="00CE6A0A"/>
    <w:rsid w:val="00CF0594"/>
    <w:rsid w:val="00CF1C61"/>
    <w:rsid w:val="00CF1E73"/>
    <w:rsid w:val="00CF269F"/>
    <w:rsid w:val="00CF2735"/>
    <w:rsid w:val="00CF28B5"/>
    <w:rsid w:val="00CF3309"/>
    <w:rsid w:val="00CF36CC"/>
    <w:rsid w:val="00CF3784"/>
    <w:rsid w:val="00CF5041"/>
    <w:rsid w:val="00CF6B92"/>
    <w:rsid w:val="00CF7667"/>
    <w:rsid w:val="00D00B45"/>
    <w:rsid w:val="00D010DB"/>
    <w:rsid w:val="00D01726"/>
    <w:rsid w:val="00D028EB"/>
    <w:rsid w:val="00D02C8B"/>
    <w:rsid w:val="00D02E65"/>
    <w:rsid w:val="00D03416"/>
    <w:rsid w:val="00D0355B"/>
    <w:rsid w:val="00D04279"/>
    <w:rsid w:val="00D042E4"/>
    <w:rsid w:val="00D04693"/>
    <w:rsid w:val="00D046F9"/>
    <w:rsid w:val="00D04B59"/>
    <w:rsid w:val="00D0515E"/>
    <w:rsid w:val="00D05419"/>
    <w:rsid w:val="00D05889"/>
    <w:rsid w:val="00D071CA"/>
    <w:rsid w:val="00D07F30"/>
    <w:rsid w:val="00D103F0"/>
    <w:rsid w:val="00D10F9C"/>
    <w:rsid w:val="00D11495"/>
    <w:rsid w:val="00D1170B"/>
    <w:rsid w:val="00D13089"/>
    <w:rsid w:val="00D142B7"/>
    <w:rsid w:val="00D14393"/>
    <w:rsid w:val="00D14E23"/>
    <w:rsid w:val="00D15497"/>
    <w:rsid w:val="00D154BF"/>
    <w:rsid w:val="00D15A96"/>
    <w:rsid w:val="00D15B43"/>
    <w:rsid w:val="00D16449"/>
    <w:rsid w:val="00D16590"/>
    <w:rsid w:val="00D2155A"/>
    <w:rsid w:val="00D22043"/>
    <w:rsid w:val="00D22300"/>
    <w:rsid w:val="00D2263A"/>
    <w:rsid w:val="00D23C32"/>
    <w:rsid w:val="00D23D35"/>
    <w:rsid w:val="00D2435A"/>
    <w:rsid w:val="00D24A5E"/>
    <w:rsid w:val="00D24C6A"/>
    <w:rsid w:val="00D2594A"/>
    <w:rsid w:val="00D27021"/>
    <w:rsid w:val="00D273F2"/>
    <w:rsid w:val="00D30B76"/>
    <w:rsid w:val="00D31076"/>
    <w:rsid w:val="00D31412"/>
    <w:rsid w:val="00D31414"/>
    <w:rsid w:val="00D31724"/>
    <w:rsid w:val="00D3199E"/>
    <w:rsid w:val="00D32A2D"/>
    <w:rsid w:val="00D33790"/>
    <w:rsid w:val="00D33CFE"/>
    <w:rsid w:val="00D3601A"/>
    <w:rsid w:val="00D3608D"/>
    <w:rsid w:val="00D36C25"/>
    <w:rsid w:val="00D3771F"/>
    <w:rsid w:val="00D379EF"/>
    <w:rsid w:val="00D37FAB"/>
    <w:rsid w:val="00D40546"/>
    <w:rsid w:val="00D40709"/>
    <w:rsid w:val="00D41FCE"/>
    <w:rsid w:val="00D422C4"/>
    <w:rsid w:val="00D4283C"/>
    <w:rsid w:val="00D435E5"/>
    <w:rsid w:val="00D448F8"/>
    <w:rsid w:val="00D45076"/>
    <w:rsid w:val="00D46F54"/>
    <w:rsid w:val="00D46FC3"/>
    <w:rsid w:val="00D47749"/>
    <w:rsid w:val="00D47AFA"/>
    <w:rsid w:val="00D51887"/>
    <w:rsid w:val="00D525A9"/>
    <w:rsid w:val="00D5262B"/>
    <w:rsid w:val="00D52B59"/>
    <w:rsid w:val="00D53368"/>
    <w:rsid w:val="00D535B9"/>
    <w:rsid w:val="00D53D55"/>
    <w:rsid w:val="00D551BB"/>
    <w:rsid w:val="00D551E3"/>
    <w:rsid w:val="00D55B36"/>
    <w:rsid w:val="00D566F5"/>
    <w:rsid w:val="00D567C4"/>
    <w:rsid w:val="00D611E2"/>
    <w:rsid w:val="00D6121A"/>
    <w:rsid w:val="00D635EB"/>
    <w:rsid w:val="00D6489B"/>
    <w:rsid w:val="00D65582"/>
    <w:rsid w:val="00D65737"/>
    <w:rsid w:val="00D658C0"/>
    <w:rsid w:val="00D65CE3"/>
    <w:rsid w:val="00D65EC3"/>
    <w:rsid w:val="00D66308"/>
    <w:rsid w:val="00D66349"/>
    <w:rsid w:val="00D66466"/>
    <w:rsid w:val="00D664D2"/>
    <w:rsid w:val="00D67922"/>
    <w:rsid w:val="00D7177C"/>
    <w:rsid w:val="00D717A8"/>
    <w:rsid w:val="00D71D79"/>
    <w:rsid w:val="00D71DD2"/>
    <w:rsid w:val="00D734A7"/>
    <w:rsid w:val="00D743C6"/>
    <w:rsid w:val="00D74E4E"/>
    <w:rsid w:val="00D75552"/>
    <w:rsid w:val="00D75FAC"/>
    <w:rsid w:val="00D76DF0"/>
    <w:rsid w:val="00D76F31"/>
    <w:rsid w:val="00D77782"/>
    <w:rsid w:val="00D802B6"/>
    <w:rsid w:val="00D80D2D"/>
    <w:rsid w:val="00D81C4E"/>
    <w:rsid w:val="00D82888"/>
    <w:rsid w:val="00D82EC0"/>
    <w:rsid w:val="00D8338C"/>
    <w:rsid w:val="00D83BC9"/>
    <w:rsid w:val="00D84092"/>
    <w:rsid w:val="00D84459"/>
    <w:rsid w:val="00D84C0F"/>
    <w:rsid w:val="00D855D9"/>
    <w:rsid w:val="00D8603E"/>
    <w:rsid w:val="00D86BCE"/>
    <w:rsid w:val="00D90F8C"/>
    <w:rsid w:val="00D90FBA"/>
    <w:rsid w:val="00D910C9"/>
    <w:rsid w:val="00D92CE8"/>
    <w:rsid w:val="00D92DEB"/>
    <w:rsid w:val="00D92E04"/>
    <w:rsid w:val="00D93F1D"/>
    <w:rsid w:val="00D956FB"/>
    <w:rsid w:val="00D96050"/>
    <w:rsid w:val="00D963A1"/>
    <w:rsid w:val="00D965DD"/>
    <w:rsid w:val="00D968EC"/>
    <w:rsid w:val="00D968FC"/>
    <w:rsid w:val="00D97234"/>
    <w:rsid w:val="00D97B43"/>
    <w:rsid w:val="00DA01B3"/>
    <w:rsid w:val="00DA0E28"/>
    <w:rsid w:val="00DA16B2"/>
    <w:rsid w:val="00DA1E29"/>
    <w:rsid w:val="00DA2F32"/>
    <w:rsid w:val="00DA325E"/>
    <w:rsid w:val="00DA3D2E"/>
    <w:rsid w:val="00DA3DAC"/>
    <w:rsid w:val="00DA57FC"/>
    <w:rsid w:val="00DA59CC"/>
    <w:rsid w:val="00DA5F54"/>
    <w:rsid w:val="00DA7EA2"/>
    <w:rsid w:val="00DB0999"/>
    <w:rsid w:val="00DB0FA2"/>
    <w:rsid w:val="00DB1771"/>
    <w:rsid w:val="00DB1D80"/>
    <w:rsid w:val="00DB1F56"/>
    <w:rsid w:val="00DB2204"/>
    <w:rsid w:val="00DB22EE"/>
    <w:rsid w:val="00DB272A"/>
    <w:rsid w:val="00DB3F2E"/>
    <w:rsid w:val="00DB429A"/>
    <w:rsid w:val="00DB50A4"/>
    <w:rsid w:val="00DB5713"/>
    <w:rsid w:val="00DB73F8"/>
    <w:rsid w:val="00DC0905"/>
    <w:rsid w:val="00DC2BAE"/>
    <w:rsid w:val="00DC2E5F"/>
    <w:rsid w:val="00DC3323"/>
    <w:rsid w:val="00DC34F0"/>
    <w:rsid w:val="00DC516A"/>
    <w:rsid w:val="00DC5A19"/>
    <w:rsid w:val="00DC7949"/>
    <w:rsid w:val="00DC7C4C"/>
    <w:rsid w:val="00DD04EC"/>
    <w:rsid w:val="00DD0508"/>
    <w:rsid w:val="00DD099C"/>
    <w:rsid w:val="00DD1068"/>
    <w:rsid w:val="00DD1444"/>
    <w:rsid w:val="00DD2240"/>
    <w:rsid w:val="00DD31ED"/>
    <w:rsid w:val="00DD3AAC"/>
    <w:rsid w:val="00DD446A"/>
    <w:rsid w:val="00DD45C1"/>
    <w:rsid w:val="00DD4734"/>
    <w:rsid w:val="00DD48A7"/>
    <w:rsid w:val="00DD4C5F"/>
    <w:rsid w:val="00DD6F66"/>
    <w:rsid w:val="00DE0279"/>
    <w:rsid w:val="00DE108A"/>
    <w:rsid w:val="00DE2175"/>
    <w:rsid w:val="00DE384C"/>
    <w:rsid w:val="00DE4720"/>
    <w:rsid w:val="00DE4E18"/>
    <w:rsid w:val="00DE5090"/>
    <w:rsid w:val="00DE57B7"/>
    <w:rsid w:val="00DE5A6D"/>
    <w:rsid w:val="00DE628B"/>
    <w:rsid w:val="00DE6322"/>
    <w:rsid w:val="00DE6D58"/>
    <w:rsid w:val="00DE7250"/>
    <w:rsid w:val="00DE7FBB"/>
    <w:rsid w:val="00DF013D"/>
    <w:rsid w:val="00DF0356"/>
    <w:rsid w:val="00DF05E9"/>
    <w:rsid w:val="00DF0F8D"/>
    <w:rsid w:val="00DF1093"/>
    <w:rsid w:val="00DF1252"/>
    <w:rsid w:val="00DF3540"/>
    <w:rsid w:val="00DF3A1D"/>
    <w:rsid w:val="00DF3D38"/>
    <w:rsid w:val="00DF580A"/>
    <w:rsid w:val="00DF59BE"/>
    <w:rsid w:val="00DF5E16"/>
    <w:rsid w:val="00DF5E88"/>
    <w:rsid w:val="00DF63B6"/>
    <w:rsid w:val="00DF6733"/>
    <w:rsid w:val="00DF7090"/>
    <w:rsid w:val="00DF752B"/>
    <w:rsid w:val="00E00466"/>
    <w:rsid w:val="00E00770"/>
    <w:rsid w:val="00E00850"/>
    <w:rsid w:val="00E00DB6"/>
    <w:rsid w:val="00E03677"/>
    <w:rsid w:val="00E03A2F"/>
    <w:rsid w:val="00E03F2E"/>
    <w:rsid w:val="00E0470C"/>
    <w:rsid w:val="00E04C10"/>
    <w:rsid w:val="00E0621C"/>
    <w:rsid w:val="00E07AA6"/>
    <w:rsid w:val="00E10B82"/>
    <w:rsid w:val="00E113C0"/>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71D"/>
    <w:rsid w:val="00E23843"/>
    <w:rsid w:val="00E239FF"/>
    <w:rsid w:val="00E23B66"/>
    <w:rsid w:val="00E23B69"/>
    <w:rsid w:val="00E243DC"/>
    <w:rsid w:val="00E24A75"/>
    <w:rsid w:val="00E24C21"/>
    <w:rsid w:val="00E24FAE"/>
    <w:rsid w:val="00E25241"/>
    <w:rsid w:val="00E25DE4"/>
    <w:rsid w:val="00E265A3"/>
    <w:rsid w:val="00E27B48"/>
    <w:rsid w:val="00E30B03"/>
    <w:rsid w:val="00E312C1"/>
    <w:rsid w:val="00E315D4"/>
    <w:rsid w:val="00E31DC1"/>
    <w:rsid w:val="00E322C5"/>
    <w:rsid w:val="00E33381"/>
    <w:rsid w:val="00E33A82"/>
    <w:rsid w:val="00E33EBC"/>
    <w:rsid w:val="00E33ECD"/>
    <w:rsid w:val="00E34760"/>
    <w:rsid w:val="00E34B39"/>
    <w:rsid w:val="00E35503"/>
    <w:rsid w:val="00E35849"/>
    <w:rsid w:val="00E358E9"/>
    <w:rsid w:val="00E3727D"/>
    <w:rsid w:val="00E40213"/>
    <w:rsid w:val="00E4185B"/>
    <w:rsid w:val="00E41934"/>
    <w:rsid w:val="00E41AC6"/>
    <w:rsid w:val="00E423AA"/>
    <w:rsid w:val="00E42755"/>
    <w:rsid w:val="00E43424"/>
    <w:rsid w:val="00E436DA"/>
    <w:rsid w:val="00E43CF8"/>
    <w:rsid w:val="00E43EED"/>
    <w:rsid w:val="00E442AA"/>
    <w:rsid w:val="00E44760"/>
    <w:rsid w:val="00E45BBE"/>
    <w:rsid w:val="00E46472"/>
    <w:rsid w:val="00E46641"/>
    <w:rsid w:val="00E466A2"/>
    <w:rsid w:val="00E47853"/>
    <w:rsid w:val="00E47EA0"/>
    <w:rsid w:val="00E516A1"/>
    <w:rsid w:val="00E51AB2"/>
    <w:rsid w:val="00E53724"/>
    <w:rsid w:val="00E53C8F"/>
    <w:rsid w:val="00E5438D"/>
    <w:rsid w:val="00E55A95"/>
    <w:rsid w:val="00E56110"/>
    <w:rsid w:val="00E5629F"/>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EE2"/>
    <w:rsid w:val="00E7283A"/>
    <w:rsid w:val="00E72992"/>
    <w:rsid w:val="00E72EF2"/>
    <w:rsid w:val="00E73428"/>
    <w:rsid w:val="00E735AC"/>
    <w:rsid w:val="00E74A06"/>
    <w:rsid w:val="00E74ACA"/>
    <w:rsid w:val="00E7619B"/>
    <w:rsid w:val="00E765D0"/>
    <w:rsid w:val="00E7674A"/>
    <w:rsid w:val="00E77AA8"/>
    <w:rsid w:val="00E8018E"/>
    <w:rsid w:val="00E8065F"/>
    <w:rsid w:val="00E813EC"/>
    <w:rsid w:val="00E81A9C"/>
    <w:rsid w:val="00E82420"/>
    <w:rsid w:val="00E8302D"/>
    <w:rsid w:val="00E83620"/>
    <w:rsid w:val="00E83ED5"/>
    <w:rsid w:val="00E843FD"/>
    <w:rsid w:val="00E84ACE"/>
    <w:rsid w:val="00E85277"/>
    <w:rsid w:val="00E86632"/>
    <w:rsid w:val="00E8691A"/>
    <w:rsid w:val="00E86AD9"/>
    <w:rsid w:val="00E87D9E"/>
    <w:rsid w:val="00E901D5"/>
    <w:rsid w:val="00E917F4"/>
    <w:rsid w:val="00E918D1"/>
    <w:rsid w:val="00E921AB"/>
    <w:rsid w:val="00E92447"/>
    <w:rsid w:val="00E92A05"/>
    <w:rsid w:val="00E9395F"/>
    <w:rsid w:val="00E93F0B"/>
    <w:rsid w:val="00E94E84"/>
    <w:rsid w:val="00E9502F"/>
    <w:rsid w:val="00E95439"/>
    <w:rsid w:val="00E96310"/>
    <w:rsid w:val="00E96582"/>
    <w:rsid w:val="00EA0374"/>
    <w:rsid w:val="00EA10C3"/>
    <w:rsid w:val="00EA1A62"/>
    <w:rsid w:val="00EA1F33"/>
    <w:rsid w:val="00EA2470"/>
    <w:rsid w:val="00EA3AF3"/>
    <w:rsid w:val="00EA3CE8"/>
    <w:rsid w:val="00EA4118"/>
    <w:rsid w:val="00EA4724"/>
    <w:rsid w:val="00EA479E"/>
    <w:rsid w:val="00EA71C2"/>
    <w:rsid w:val="00EA7517"/>
    <w:rsid w:val="00EB0137"/>
    <w:rsid w:val="00EB0205"/>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494B"/>
    <w:rsid w:val="00EC52CA"/>
    <w:rsid w:val="00EC5BEA"/>
    <w:rsid w:val="00EC5CDC"/>
    <w:rsid w:val="00EC5E09"/>
    <w:rsid w:val="00EC74E2"/>
    <w:rsid w:val="00ED0181"/>
    <w:rsid w:val="00ED0950"/>
    <w:rsid w:val="00ED099E"/>
    <w:rsid w:val="00ED0A7C"/>
    <w:rsid w:val="00ED11FC"/>
    <w:rsid w:val="00ED2F51"/>
    <w:rsid w:val="00ED3825"/>
    <w:rsid w:val="00ED3B38"/>
    <w:rsid w:val="00ED4537"/>
    <w:rsid w:val="00ED528B"/>
    <w:rsid w:val="00ED5292"/>
    <w:rsid w:val="00ED5322"/>
    <w:rsid w:val="00ED5679"/>
    <w:rsid w:val="00ED5F98"/>
    <w:rsid w:val="00ED60D6"/>
    <w:rsid w:val="00ED62BD"/>
    <w:rsid w:val="00ED6E4C"/>
    <w:rsid w:val="00ED7C85"/>
    <w:rsid w:val="00EE2057"/>
    <w:rsid w:val="00EE250F"/>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0E9"/>
    <w:rsid w:val="00EF04CD"/>
    <w:rsid w:val="00EF0A71"/>
    <w:rsid w:val="00EF1570"/>
    <w:rsid w:val="00EF2509"/>
    <w:rsid w:val="00EF259D"/>
    <w:rsid w:val="00EF25C2"/>
    <w:rsid w:val="00EF26F8"/>
    <w:rsid w:val="00EF2A6B"/>
    <w:rsid w:val="00EF34AA"/>
    <w:rsid w:val="00EF3649"/>
    <w:rsid w:val="00EF3FB5"/>
    <w:rsid w:val="00EF5A20"/>
    <w:rsid w:val="00EF5FD9"/>
    <w:rsid w:val="00EF656E"/>
    <w:rsid w:val="00EF6B4D"/>
    <w:rsid w:val="00EF6E28"/>
    <w:rsid w:val="00EF709E"/>
    <w:rsid w:val="00EF797C"/>
    <w:rsid w:val="00F00549"/>
    <w:rsid w:val="00F013AE"/>
    <w:rsid w:val="00F01FAA"/>
    <w:rsid w:val="00F01FD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7FB"/>
    <w:rsid w:val="00F129D2"/>
    <w:rsid w:val="00F129E8"/>
    <w:rsid w:val="00F12A2F"/>
    <w:rsid w:val="00F12EF3"/>
    <w:rsid w:val="00F13B2B"/>
    <w:rsid w:val="00F14358"/>
    <w:rsid w:val="00F1448B"/>
    <w:rsid w:val="00F1590C"/>
    <w:rsid w:val="00F15FF9"/>
    <w:rsid w:val="00F165E3"/>
    <w:rsid w:val="00F17D61"/>
    <w:rsid w:val="00F17EEC"/>
    <w:rsid w:val="00F212AD"/>
    <w:rsid w:val="00F21712"/>
    <w:rsid w:val="00F2184C"/>
    <w:rsid w:val="00F2389D"/>
    <w:rsid w:val="00F23BE7"/>
    <w:rsid w:val="00F23F5C"/>
    <w:rsid w:val="00F252BD"/>
    <w:rsid w:val="00F259B1"/>
    <w:rsid w:val="00F318CF"/>
    <w:rsid w:val="00F31D01"/>
    <w:rsid w:val="00F3212D"/>
    <w:rsid w:val="00F32C3F"/>
    <w:rsid w:val="00F32D89"/>
    <w:rsid w:val="00F32EE9"/>
    <w:rsid w:val="00F33694"/>
    <w:rsid w:val="00F33DDC"/>
    <w:rsid w:val="00F34FEF"/>
    <w:rsid w:val="00F3561D"/>
    <w:rsid w:val="00F356CC"/>
    <w:rsid w:val="00F36763"/>
    <w:rsid w:val="00F36D68"/>
    <w:rsid w:val="00F370F5"/>
    <w:rsid w:val="00F37A2E"/>
    <w:rsid w:val="00F400C8"/>
    <w:rsid w:val="00F405F5"/>
    <w:rsid w:val="00F4154F"/>
    <w:rsid w:val="00F41935"/>
    <w:rsid w:val="00F42B39"/>
    <w:rsid w:val="00F4315F"/>
    <w:rsid w:val="00F45029"/>
    <w:rsid w:val="00F45093"/>
    <w:rsid w:val="00F46411"/>
    <w:rsid w:val="00F46D01"/>
    <w:rsid w:val="00F46EC7"/>
    <w:rsid w:val="00F4770C"/>
    <w:rsid w:val="00F47BB4"/>
    <w:rsid w:val="00F47E16"/>
    <w:rsid w:val="00F51877"/>
    <w:rsid w:val="00F51D4A"/>
    <w:rsid w:val="00F51EBD"/>
    <w:rsid w:val="00F5211B"/>
    <w:rsid w:val="00F527DF"/>
    <w:rsid w:val="00F5299E"/>
    <w:rsid w:val="00F52C18"/>
    <w:rsid w:val="00F541B7"/>
    <w:rsid w:val="00F54582"/>
    <w:rsid w:val="00F55420"/>
    <w:rsid w:val="00F5686D"/>
    <w:rsid w:val="00F56F2E"/>
    <w:rsid w:val="00F577CB"/>
    <w:rsid w:val="00F57AD3"/>
    <w:rsid w:val="00F57F86"/>
    <w:rsid w:val="00F61699"/>
    <w:rsid w:val="00F61CD0"/>
    <w:rsid w:val="00F62810"/>
    <w:rsid w:val="00F63591"/>
    <w:rsid w:val="00F63EEB"/>
    <w:rsid w:val="00F64C0C"/>
    <w:rsid w:val="00F65362"/>
    <w:rsid w:val="00F65998"/>
    <w:rsid w:val="00F66A6C"/>
    <w:rsid w:val="00F66C02"/>
    <w:rsid w:val="00F6708C"/>
    <w:rsid w:val="00F67B7E"/>
    <w:rsid w:val="00F67CDD"/>
    <w:rsid w:val="00F7049A"/>
    <w:rsid w:val="00F706BE"/>
    <w:rsid w:val="00F7097A"/>
    <w:rsid w:val="00F71409"/>
    <w:rsid w:val="00F71451"/>
    <w:rsid w:val="00F71526"/>
    <w:rsid w:val="00F72477"/>
    <w:rsid w:val="00F73403"/>
    <w:rsid w:val="00F75937"/>
    <w:rsid w:val="00F761F5"/>
    <w:rsid w:val="00F773B5"/>
    <w:rsid w:val="00F778DA"/>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ECF"/>
    <w:rsid w:val="00F86FBB"/>
    <w:rsid w:val="00F87930"/>
    <w:rsid w:val="00F9038C"/>
    <w:rsid w:val="00F9087F"/>
    <w:rsid w:val="00F91184"/>
    <w:rsid w:val="00F916DB"/>
    <w:rsid w:val="00F91843"/>
    <w:rsid w:val="00F91B79"/>
    <w:rsid w:val="00F92B5B"/>
    <w:rsid w:val="00F92D84"/>
    <w:rsid w:val="00F9417B"/>
    <w:rsid w:val="00F942D1"/>
    <w:rsid w:val="00F94A47"/>
    <w:rsid w:val="00F94D75"/>
    <w:rsid w:val="00F953C6"/>
    <w:rsid w:val="00F9644C"/>
    <w:rsid w:val="00F96638"/>
    <w:rsid w:val="00F96C5B"/>
    <w:rsid w:val="00FA02B5"/>
    <w:rsid w:val="00FA1253"/>
    <w:rsid w:val="00FA174A"/>
    <w:rsid w:val="00FA181D"/>
    <w:rsid w:val="00FA18B1"/>
    <w:rsid w:val="00FA19E5"/>
    <w:rsid w:val="00FA2C7C"/>
    <w:rsid w:val="00FA2D8D"/>
    <w:rsid w:val="00FA4AD5"/>
    <w:rsid w:val="00FA5C30"/>
    <w:rsid w:val="00FA6485"/>
    <w:rsid w:val="00FA6A90"/>
    <w:rsid w:val="00FA70BC"/>
    <w:rsid w:val="00FA7945"/>
    <w:rsid w:val="00FB01F3"/>
    <w:rsid w:val="00FB179C"/>
    <w:rsid w:val="00FB2640"/>
    <w:rsid w:val="00FB38F8"/>
    <w:rsid w:val="00FB3BC3"/>
    <w:rsid w:val="00FB3D8D"/>
    <w:rsid w:val="00FB5898"/>
    <w:rsid w:val="00FB5A2E"/>
    <w:rsid w:val="00FB5C28"/>
    <w:rsid w:val="00FB702A"/>
    <w:rsid w:val="00FB732E"/>
    <w:rsid w:val="00FB7412"/>
    <w:rsid w:val="00FC0092"/>
    <w:rsid w:val="00FC0874"/>
    <w:rsid w:val="00FC0C0C"/>
    <w:rsid w:val="00FC0DC2"/>
    <w:rsid w:val="00FC3966"/>
    <w:rsid w:val="00FC3D1D"/>
    <w:rsid w:val="00FC3E5D"/>
    <w:rsid w:val="00FC49AB"/>
    <w:rsid w:val="00FC59D9"/>
    <w:rsid w:val="00FC6EE3"/>
    <w:rsid w:val="00FC7025"/>
    <w:rsid w:val="00FC7B08"/>
    <w:rsid w:val="00FD2BCD"/>
    <w:rsid w:val="00FD37C1"/>
    <w:rsid w:val="00FD430F"/>
    <w:rsid w:val="00FD590A"/>
    <w:rsid w:val="00FD5CEE"/>
    <w:rsid w:val="00FD6073"/>
    <w:rsid w:val="00FD62A1"/>
    <w:rsid w:val="00FE01F5"/>
    <w:rsid w:val="00FE051B"/>
    <w:rsid w:val="00FE1934"/>
    <w:rsid w:val="00FE2904"/>
    <w:rsid w:val="00FE2C11"/>
    <w:rsid w:val="00FE31FC"/>
    <w:rsid w:val="00FE4074"/>
    <w:rsid w:val="00FE428B"/>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21C1"/>
    <w:rsid w:val="00FF4695"/>
    <w:rsid w:val="00FF48B5"/>
    <w:rsid w:val="00FF5C92"/>
    <w:rsid w:val="00FF5EC7"/>
    <w:rsid w:val="07344D9F"/>
    <w:rsid w:val="11214436"/>
    <w:rsid w:val="163870B3"/>
    <w:rsid w:val="17437467"/>
    <w:rsid w:val="1F2C1D07"/>
    <w:rsid w:val="4D790506"/>
    <w:rsid w:val="78E21A64"/>
    <w:rsid w:val="7B451751"/>
    <w:rsid w:val="7BCD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A7A87"/>
  <w15:docId w15:val="{D7E7BB58-DC0E-4AFC-8A36-C7DD1E67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uiPriority w:val="99"/>
    <w:semiHidden/>
    <w:unhideWhenUsed/>
    <w:qFormat/>
    <w:rPr>
      <w:rFonts w:ascii="宋体"/>
      <w:sz w:val="18"/>
      <w:szCs w:val="18"/>
      <w:lang w:val="zh-CN"/>
    </w:rPr>
  </w:style>
  <w:style w:type="paragraph" w:styleId="a6">
    <w:name w:val="annotation text"/>
    <w:basedOn w:val="a"/>
    <w:link w:val="a7"/>
    <w:qFormat/>
    <w:pPr>
      <w:jc w:val="left"/>
    </w:pPr>
    <w:rPr>
      <w:lang w:val="zh-CN"/>
    </w:rPr>
  </w:style>
  <w:style w:type="paragraph" w:styleId="a8">
    <w:name w:val="Body Text"/>
    <w:basedOn w:val="a"/>
    <w:qFormat/>
    <w:pPr>
      <w:spacing w:after="120"/>
    </w:pPr>
  </w:style>
  <w:style w:type="paragraph" w:styleId="a9">
    <w:name w:val="Body Text Indent"/>
    <w:basedOn w:val="a"/>
    <w:qFormat/>
    <w:pPr>
      <w:widowControl/>
      <w:spacing w:line="360" w:lineRule="auto"/>
      <w:ind w:rightChars="-85" w:right="-85" w:firstLineChars="150" w:firstLine="360"/>
      <w:jc w:val="left"/>
    </w:pPr>
    <w:rPr>
      <w:rFonts w:ascii="宋体" w:hAnsi="宋体"/>
      <w:sz w:val="24"/>
    </w:rPr>
  </w:style>
  <w:style w:type="paragraph" w:styleId="aa">
    <w:name w:val="Plain Text"/>
    <w:basedOn w:val="a"/>
    <w:link w:val="ab"/>
    <w:uiPriority w:val="99"/>
    <w:qFormat/>
    <w:pPr>
      <w:widowControl/>
      <w:jc w:val="left"/>
    </w:pPr>
    <w:rPr>
      <w:rFonts w:ascii="Courier New" w:hAnsi="Courier New"/>
      <w:kern w:val="0"/>
      <w:sz w:val="20"/>
      <w:lang w:val="zh-CN"/>
    </w:rPr>
  </w:style>
  <w:style w:type="paragraph" w:styleId="ac">
    <w:name w:val="Date"/>
    <w:basedOn w:val="a"/>
    <w:next w:val="a"/>
    <w:link w:val="ad"/>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e">
    <w:name w:val="Balloon Text"/>
    <w:basedOn w:val="a"/>
    <w:qFormat/>
    <w:rPr>
      <w:sz w:val="18"/>
    </w:rPr>
  </w:style>
  <w:style w:type="paragraph" w:styleId="af">
    <w:name w:val="footer"/>
    <w:basedOn w:val="a"/>
    <w:link w:val="af0"/>
    <w:uiPriority w:val="99"/>
    <w:qFormat/>
    <w:pPr>
      <w:tabs>
        <w:tab w:val="center" w:pos="4153"/>
        <w:tab w:val="right" w:pos="8306"/>
      </w:tabs>
      <w:snapToGrid w:val="0"/>
      <w:jc w:val="left"/>
    </w:pPr>
    <w:rPr>
      <w:sz w:val="18"/>
      <w:lang w:val="zh-CN"/>
    </w:rPr>
  </w:style>
  <w:style w:type="paragraph" w:styleId="af1">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f2">
    <w:name w:val="Normal (Web)"/>
    <w:basedOn w:val="a"/>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3">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paragraph" w:styleId="af4">
    <w:name w:val="annotation subject"/>
    <w:basedOn w:val="a6"/>
    <w:next w:val="a6"/>
    <w:qFormat/>
    <w:rPr>
      <w:b/>
    </w:rPr>
  </w:style>
  <w:style w:type="paragraph" w:styleId="af5">
    <w:name w:val="Body Text First Indent"/>
    <w:basedOn w:val="a8"/>
    <w:qFormat/>
    <w:pPr>
      <w:spacing w:line="300" w:lineRule="auto"/>
      <w:ind w:firstLine="425"/>
    </w:pPr>
  </w:style>
  <w:style w:type="character" w:styleId="af6">
    <w:name w:val="page number"/>
    <w:basedOn w:val="a1"/>
    <w:qFormat/>
  </w:style>
  <w:style w:type="character" w:styleId="af7">
    <w:name w:val="Hyperlink"/>
    <w:uiPriority w:val="99"/>
    <w:qFormat/>
    <w:rPr>
      <w:color w:val="0000FF"/>
      <w:u w:val="single"/>
    </w:rPr>
  </w:style>
  <w:style w:type="character" w:styleId="af8">
    <w:name w:val="annotation reference"/>
    <w:qFormat/>
    <w:rPr>
      <w:sz w:val="21"/>
    </w:rPr>
  </w:style>
  <w:style w:type="character" w:customStyle="1" w:styleId="read">
    <w:name w:val="read"/>
    <w:basedOn w:val="a1"/>
    <w:qFormat/>
  </w:style>
  <w:style w:type="character" w:customStyle="1" w:styleId="11">
    <w:name w:val="已访问的超链接1"/>
    <w:qFormat/>
    <w:rPr>
      <w:color w:val="800080"/>
      <w:u w:val="single"/>
    </w:rPr>
  </w:style>
  <w:style w:type="character" w:customStyle="1" w:styleId="big1">
    <w:name w:val="big1"/>
    <w:qFormat/>
    <w:rPr>
      <w:sz w:val="22"/>
    </w:rPr>
  </w:style>
  <w:style w:type="character" w:customStyle="1" w:styleId="ab">
    <w:name w:val="纯文本 字符"/>
    <w:link w:val="aa"/>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9">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a">
    <w:name w:val="表格正文"/>
    <w:basedOn w:val="a0"/>
    <w:qFormat/>
    <w:pPr>
      <w:spacing w:beforeLines="50"/>
      <w:ind w:firstLineChars="0" w:firstLine="0"/>
      <w:jc w:val="center"/>
    </w:pPr>
    <w:rPr>
      <w:sz w:val="24"/>
    </w:rPr>
  </w:style>
  <w:style w:type="paragraph" w:customStyle="1" w:styleId="Char">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b">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f3"/>
    <w:qFormat/>
    <w:pPr>
      <w:tabs>
        <w:tab w:val="left" w:pos="1125"/>
      </w:tabs>
      <w:spacing w:line="360" w:lineRule="auto"/>
      <w:ind w:left="1125" w:hanging="1125"/>
    </w:pPr>
    <w:rPr>
      <w:rFonts w:ascii="宋体"/>
    </w:rPr>
  </w:style>
  <w:style w:type="paragraph" w:styleId="afc">
    <w:name w:val="List Paragraph"/>
    <w:basedOn w:val="a"/>
    <w:uiPriority w:val="34"/>
    <w:qFormat/>
    <w:pPr>
      <w:ind w:firstLineChars="200" w:firstLine="420"/>
    </w:pPr>
  </w:style>
  <w:style w:type="character" w:customStyle="1" w:styleId="a7">
    <w:name w:val="批注文字 字符"/>
    <w:link w:val="a6"/>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2">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qFormat/>
    <w:rPr>
      <w:kern w:val="2"/>
      <w:sz w:val="18"/>
    </w:rPr>
  </w:style>
  <w:style w:type="paragraph" w:customStyle="1" w:styleId="Char1">
    <w:name w:val="Char1"/>
    <w:basedOn w:val="a"/>
    <w:qFormat/>
  </w:style>
  <w:style w:type="character" w:customStyle="1" w:styleId="a5">
    <w:name w:val="文档结构图 字符"/>
    <w:link w:val="a4"/>
    <w:uiPriority w:val="99"/>
    <w:semiHidden/>
    <w:qFormat/>
    <w:rPr>
      <w:rFonts w:ascii="宋体"/>
      <w:kern w:val="2"/>
      <w:sz w:val="18"/>
      <w:szCs w:val="18"/>
    </w:rPr>
  </w:style>
  <w:style w:type="character" w:customStyle="1" w:styleId="13">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ad">
    <w:name w:val="日期 字符"/>
    <w:link w:val="ac"/>
    <w:uiPriority w:val="99"/>
    <w:semiHidden/>
    <w:qFormat/>
    <w:rPr>
      <w:kern w:val="2"/>
      <w:sz w:val="21"/>
    </w:rPr>
  </w:style>
  <w:style w:type="character" w:customStyle="1" w:styleId="14">
    <w:name w:val="批注文字 字符1"/>
    <w:qFormat/>
    <w:rPr>
      <w:kern w:val="2"/>
      <w:sz w:val="21"/>
    </w:rPr>
  </w:style>
  <w:style w:type="paragraph" w:customStyle="1" w:styleId="25">
    <w:name w:val="修订2"/>
    <w:hidden/>
    <w:uiPriority w:val="99"/>
    <w:semiHidden/>
    <w:qFormat/>
    <w:rPr>
      <w:kern w:val="2"/>
      <w:sz w:val="21"/>
    </w:rPr>
  </w:style>
  <w:style w:type="paragraph" w:styleId="afd">
    <w:name w:val="Revision"/>
    <w:hidden/>
    <w:uiPriority w:val="99"/>
    <w:semiHidden/>
    <w:rsid w:val="001A4CD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48FFC-E5AF-4365-9A42-D0E41898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14870</Words>
  <Characters>84759</Characters>
  <Application>Microsoft Office Word</Application>
  <DocSecurity>0</DocSecurity>
  <Lines>706</Lines>
  <Paragraphs>198</Paragraphs>
  <ScaleCrop>false</ScaleCrop>
  <Company>Microsoft</Company>
  <LinksUpToDate>false</LinksUpToDate>
  <CharactersWithSpaces>99431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张敏峻</dc:creator>
  <cp:lastModifiedBy>刘晨晨</cp:lastModifiedBy>
  <cp:revision>197</cp:revision>
  <cp:lastPrinted>2023-04-11T03:14:00Z</cp:lastPrinted>
  <dcterms:created xsi:type="dcterms:W3CDTF">2023-07-06T07:29:00Z</dcterms:created>
  <dcterms:modified xsi:type="dcterms:W3CDTF">2023-09-13T07:36:00Z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