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04D6D" w14:textId="77777777" w:rsidR="00C614F3" w:rsidRPr="00C06BB9" w:rsidRDefault="00C614F3">
      <w:pPr>
        <w:rPr>
          <w:sz w:val="32"/>
        </w:rPr>
      </w:pPr>
    </w:p>
    <w:p w14:paraId="6FF7230A" w14:textId="77777777" w:rsidR="00C614F3" w:rsidRPr="00EB07BC" w:rsidRDefault="00C614F3">
      <w:pPr>
        <w:rPr>
          <w:sz w:val="32"/>
        </w:rPr>
      </w:pPr>
    </w:p>
    <w:p w14:paraId="77082BAB" w14:textId="77777777" w:rsidR="00C614F3" w:rsidRPr="00EB07BC" w:rsidRDefault="00C614F3">
      <w:pPr>
        <w:rPr>
          <w:sz w:val="32"/>
        </w:rPr>
      </w:pPr>
    </w:p>
    <w:p w14:paraId="0F8034D6" w14:textId="0E702313" w:rsidR="00C614F3" w:rsidRPr="00EB07BC" w:rsidRDefault="009B79E7">
      <w:pPr>
        <w:jc w:val="center"/>
        <w:rPr>
          <w:sz w:val="32"/>
        </w:rPr>
      </w:pPr>
      <w:r>
        <w:rPr>
          <w:noProof/>
        </w:rPr>
        <w:pict w14:anchorId="001A5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1" style="width:342pt;height:45pt;visibility:visible;mso-wrap-style:square">
            <v:imagedata r:id="rId8" o:title="logo1"/>
          </v:shape>
        </w:pict>
      </w:r>
    </w:p>
    <w:p w14:paraId="4477B701" w14:textId="77777777" w:rsidR="00D0305B" w:rsidRDefault="00D0305B">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FB48338" w14:textId="77777777" w:rsidR="00D0305B" w:rsidRDefault="00D0305B">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0B1ADDBA" w14:textId="77777777" w:rsidR="00D0305B" w:rsidRDefault="00AE421E">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交银施罗德安心收益债券型证券投资基金</w:t>
      </w:r>
    </w:p>
    <w:p w14:paraId="20B8EF01" w14:textId="77777777" w:rsidR="00D0305B" w:rsidRDefault="00AE421E">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71B5C94F" w14:textId="77C588B2" w:rsidR="00D0305B" w:rsidRDefault="00AE421E">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年第</w:t>
      </w:r>
      <w:r w:rsidR="0096493B">
        <w:rPr>
          <w:rFonts w:ascii="Times New Roman" w:hAnsi="Times New Roman"/>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14:paraId="65F8D4A2" w14:textId="77777777" w:rsidR="00D0305B" w:rsidRDefault="00D0305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6022B4A" w14:textId="77777777" w:rsidR="00D0305B" w:rsidRDefault="00D0305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C436097" w14:textId="77777777" w:rsidR="00D0305B" w:rsidRDefault="00D0305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FDD6F39" w14:textId="77777777" w:rsidR="00D0305B" w:rsidRDefault="00D0305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D00CCFA" w14:textId="77777777" w:rsidR="00D0305B" w:rsidRDefault="00D0305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2C4629E" w14:textId="77777777" w:rsidR="00D0305B" w:rsidRDefault="00D0305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3083266" w14:textId="77777777" w:rsidR="00D0305B" w:rsidRDefault="00AE421E">
      <w:pPr>
        <w:autoSpaceDE w:val="0"/>
        <w:autoSpaceDN w:val="0"/>
        <w:adjustRightInd w:val="0"/>
        <w:snapToGrid w:val="0"/>
        <w:spacing w:line="360" w:lineRule="auto"/>
        <w:ind w:firstLineChars="500" w:firstLine="1397"/>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6C823537" w14:textId="77777777" w:rsidR="00D0305B" w:rsidRDefault="00AE421E">
      <w:pPr>
        <w:autoSpaceDE w:val="0"/>
        <w:autoSpaceDN w:val="0"/>
        <w:adjustRightInd w:val="0"/>
        <w:snapToGrid w:val="0"/>
        <w:spacing w:line="360" w:lineRule="auto"/>
        <w:ind w:firstLineChars="500" w:firstLine="1397"/>
        <w:rPr>
          <w:rFonts w:ascii="宋体" w:hAnsi="宋体"/>
          <w:b/>
          <w:w w:val="99"/>
          <w:kern w:val="0"/>
          <w:sz w:val="28"/>
          <w:szCs w:val="32"/>
        </w:rPr>
      </w:pPr>
      <w:r>
        <w:rPr>
          <w:rFonts w:ascii="宋体" w:hAnsi="宋体"/>
          <w:b/>
          <w:spacing w:val="2"/>
          <w:w w:val="99"/>
          <w:kern w:val="0"/>
          <w:sz w:val="28"/>
          <w:szCs w:val="32"/>
        </w:rPr>
        <w:t>基金托管人：中国民生银行股份有限公司</w:t>
      </w:r>
    </w:p>
    <w:p w14:paraId="5A4067BB" w14:textId="77777777" w:rsidR="00D0305B" w:rsidRDefault="00D0305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3D85F4D" w14:textId="77777777" w:rsidR="00D0305B" w:rsidRDefault="00D0305B">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ECCFC2A" w14:textId="701A0B20" w:rsidR="00D0305B" w:rsidRDefault="00D77802">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w:t>
      </w:r>
      <w:r w:rsidR="0096493B">
        <w:rPr>
          <w:rFonts w:ascii="Times New Roman" w:hAnsi="Times New Roman" w:hint="eastAsia"/>
          <w:b/>
          <w:spacing w:val="2"/>
          <w:w w:val="99"/>
          <w:kern w:val="0"/>
          <w:sz w:val="28"/>
          <w:szCs w:val="32"/>
        </w:rPr>
        <w:t>八</w:t>
      </w:r>
      <w:r>
        <w:rPr>
          <w:rFonts w:ascii="Times New Roman" w:hAnsi="Times New Roman"/>
          <w:b/>
          <w:spacing w:val="2"/>
          <w:w w:val="99"/>
          <w:kern w:val="0"/>
          <w:sz w:val="28"/>
          <w:szCs w:val="32"/>
        </w:rPr>
        <w:t>月</w:t>
      </w:r>
    </w:p>
    <w:p w14:paraId="28F2C661" w14:textId="77777777" w:rsidR="00D0305B" w:rsidRDefault="00D0305B">
      <w:pPr>
        <w:autoSpaceDE w:val="0"/>
        <w:autoSpaceDN w:val="0"/>
        <w:adjustRightInd w:val="0"/>
        <w:snapToGrid w:val="0"/>
        <w:spacing w:line="360" w:lineRule="auto"/>
        <w:ind w:left="1347" w:rightChars="6" w:right="13"/>
        <w:rPr>
          <w:rFonts w:ascii="宋体" w:hAnsi="宋体"/>
          <w:kern w:val="0"/>
          <w:sz w:val="32"/>
          <w:szCs w:val="32"/>
        </w:rPr>
        <w:sectPr w:rsidR="00D0305B">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04B13907" w14:textId="77777777" w:rsidR="00D0305B" w:rsidRDefault="00AE421E">
      <w:pPr>
        <w:pStyle w:val="1"/>
        <w:snapToGrid w:val="0"/>
        <w:spacing w:beforeLines="0" w:before="240" w:after="240"/>
        <w:rPr>
          <w:rFonts w:ascii="宋体" w:hAnsi="宋体"/>
          <w:kern w:val="0"/>
        </w:rPr>
      </w:pPr>
      <w:bookmarkStart w:id="0" w:name="_Toc324920538"/>
      <w:bookmarkStart w:id="1" w:name="_Toc496884613"/>
      <w:bookmarkStart w:id="2" w:name="_Toc135812800"/>
      <w:r>
        <w:rPr>
          <w:rFonts w:ascii="Times New Roman" w:hAnsi="Times New Roman"/>
          <w:kern w:val="0"/>
        </w:rPr>
        <w:lastRenderedPageBreak/>
        <w:t>重要提示</w:t>
      </w:r>
      <w:bookmarkEnd w:id="0"/>
      <w:bookmarkEnd w:id="1"/>
      <w:bookmarkEnd w:id="2"/>
    </w:p>
    <w:p w14:paraId="1DE58774" w14:textId="77777777" w:rsidR="00D0305B" w:rsidRDefault="00AE421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交银施罗德安心收益债券型证券投资基金（以下简称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）为根据《交银施罗德荣和保本混合型证券投资基金基金合同》的约定，由交银施罗德荣和保本混合型证券投资基金第一个保本周期到期后转型而来。</w:t>
      </w:r>
    </w:p>
    <w:p w14:paraId="098A32AD" w14:textId="77777777" w:rsidR="00D0305B" w:rsidRDefault="00AE421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交银施罗德荣和保本混合型证券投资基金经</w:t>
      </w:r>
      <w:r>
        <w:rPr>
          <w:rFonts w:ascii="Times New Roman" w:hAnsi="Times New Roman"/>
          <w:kern w:val="0"/>
          <w:sz w:val="24"/>
        </w:rPr>
        <w:t>2015</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11</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2015</w:t>
      </w:r>
      <w:r>
        <w:rPr>
          <w:rFonts w:ascii="Times New Roman" w:hAnsi="Times New Roman"/>
          <w:kern w:val="0"/>
          <w:sz w:val="24"/>
        </w:rPr>
        <w:t>】</w:t>
      </w:r>
      <w:r>
        <w:rPr>
          <w:rFonts w:ascii="Times New Roman" w:hAnsi="Times New Roman"/>
          <w:kern w:val="0"/>
          <w:sz w:val="24"/>
        </w:rPr>
        <w:t>879</w:t>
      </w:r>
      <w:r>
        <w:rPr>
          <w:rFonts w:ascii="Times New Roman" w:hAnsi="Times New Roman"/>
          <w:kern w:val="0"/>
          <w:sz w:val="24"/>
        </w:rPr>
        <w:t>号文准予募集注册，自</w:t>
      </w:r>
      <w:r>
        <w:rPr>
          <w:rFonts w:ascii="Times New Roman" w:hAnsi="Times New Roman"/>
          <w:kern w:val="0"/>
          <w:sz w:val="24"/>
        </w:rPr>
        <w:t>2015</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25</w:t>
      </w:r>
      <w:r>
        <w:rPr>
          <w:rFonts w:ascii="Times New Roman" w:hAnsi="Times New Roman"/>
          <w:kern w:val="0"/>
          <w:sz w:val="24"/>
        </w:rPr>
        <w:t>日至</w:t>
      </w:r>
      <w:r>
        <w:rPr>
          <w:rFonts w:ascii="Times New Roman" w:hAnsi="Times New Roman"/>
          <w:kern w:val="0"/>
          <w:sz w:val="24"/>
        </w:rPr>
        <w:t>2015</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26</w:t>
      </w:r>
      <w:r>
        <w:rPr>
          <w:rFonts w:ascii="Times New Roman" w:hAnsi="Times New Roman"/>
          <w:kern w:val="0"/>
          <w:sz w:val="24"/>
        </w:rPr>
        <w:t>日进行公开募集，募集结束后基金管理人向中国证监会办理基金备案手续。经中国证监会书面确认，《交银施罗德荣和保本混合型证券投资基金基金合同》于</w:t>
      </w:r>
      <w:r>
        <w:rPr>
          <w:rFonts w:ascii="Times New Roman" w:hAnsi="Times New Roman"/>
          <w:kern w:val="0"/>
          <w:sz w:val="24"/>
        </w:rPr>
        <w:t>2015</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29</w:t>
      </w:r>
      <w:r>
        <w:rPr>
          <w:rFonts w:ascii="Times New Roman" w:hAnsi="Times New Roman"/>
          <w:kern w:val="0"/>
          <w:sz w:val="24"/>
        </w:rPr>
        <w:t>日正式生效。</w:t>
      </w:r>
    </w:p>
    <w:p w14:paraId="15C6DFE8" w14:textId="77777777" w:rsidR="00D0305B" w:rsidRDefault="00AE421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交银施罗德荣和保本混合型证券投资基金第一个保本周期于</w:t>
      </w:r>
      <w:r>
        <w:rPr>
          <w:rFonts w:ascii="Times New Roman" w:hAnsi="Times New Roman"/>
          <w:kern w:val="0"/>
          <w:sz w:val="24"/>
        </w:rPr>
        <w:t>2018</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29</w:t>
      </w:r>
      <w:r>
        <w:rPr>
          <w:rFonts w:ascii="Times New Roman" w:hAnsi="Times New Roman"/>
          <w:kern w:val="0"/>
          <w:sz w:val="24"/>
        </w:rPr>
        <w:t>日到期。按照《交银施罗德荣和保本混合型证券投资基金基金合同》的约定，该基金保本周期到期后转型为非保本的债券型基金，名称相应变更为</w:t>
      </w:r>
      <w:r>
        <w:rPr>
          <w:rFonts w:ascii="Times New Roman" w:hAnsi="Times New Roman"/>
          <w:kern w:val="0"/>
          <w:sz w:val="24"/>
        </w:rPr>
        <w:t>“</w:t>
      </w:r>
      <w:r>
        <w:rPr>
          <w:rFonts w:ascii="Times New Roman" w:hAnsi="Times New Roman"/>
          <w:kern w:val="0"/>
          <w:sz w:val="24"/>
        </w:rPr>
        <w:t>交银施罗德安心收益债券型证券投资基金</w:t>
      </w:r>
      <w:r>
        <w:rPr>
          <w:rFonts w:ascii="Times New Roman" w:hAnsi="Times New Roman"/>
          <w:kern w:val="0"/>
          <w:sz w:val="24"/>
        </w:rPr>
        <w:t>”</w:t>
      </w:r>
      <w:r>
        <w:rPr>
          <w:rFonts w:ascii="Times New Roman" w:hAnsi="Times New Roman"/>
          <w:kern w:val="0"/>
          <w:sz w:val="24"/>
        </w:rPr>
        <w:t>。</w:t>
      </w:r>
    </w:p>
    <w:p w14:paraId="09887E95" w14:textId="77777777" w:rsidR="00D0305B" w:rsidRDefault="00AE421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根据本基金的基金合同编写，本基金的基金合同经中国证监会备案，但中国证监会对交银施罗德荣和保本混合型证券投资基金募集的注册以及其转型为本基金的备案，并不表明其对本基金的价值和收益作出实质性判断或保证，也不表明投资于本基金没有风险。中国证监会不对基金的投资价值及市场前景等作出实质性判断或者保证。</w:t>
      </w:r>
    </w:p>
    <w:p w14:paraId="546CCF8D" w14:textId="77777777" w:rsidR="00D0305B" w:rsidRDefault="00AE421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D63419E" w14:textId="77777777" w:rsidR="00D0305B" w:rsidRDefault="00AE421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w:t>
      </w:r>
      <w:r>
        <w:rPr>
          <w:rFonts w:ascii="Times New Roman" w:hAnsi="Times New Roman"/>
          <w:kern w:val="0"/>
          <w:sz w:val="24"/>
        </w:rPr>
        <w:lastRenderedPageBreak/>
        <w:t>定风险）；交易对手违约风险；本基金投资策略所特有的风险；投资资产支持证券的特定风险；投资科创板股票的特定风险等等。本基金为债券型证券投资基金，其长期平均的预期收益和风险高于货币市场基金，低于混合型基金和股票型基金。</w:t>
      </w:r>
    </w:p>
    <w:p w14:paraId="13D92BBC" w14:textId="77777777" w:rsidR="00D0305B" w:rsidRDefault="00AE421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做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0D6F7CFA" w14:textId="77777777" w:rsidR="00D0305B" w:rsidRDefault="00AE421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091A46B6" w14:textId="12AA0611" w:rsidR="00D0305B" w:rsidRDefault="00BC46AF">
      <w:pPr>
        <w:autoSpaceDE w:val="0"/>
        <w:autoSpaceDN w:val="0"/>
        <w:adjustRightInd w:val="0"/>
        <w:snapToGrid w:val="0"/>
        <w:spacing w:line="360" w:lineRule="auto"/>
        <w:ind w:leftChars="50" w:left="105" w:firstLineChars="200" w:firstLine="480"/>
        <w:rPr>
          <w:rFonts w:ascii="宋体" w:hAnsi="宋体"/>
          <w:kern w:val="0"/>
          <w:sz w:val="24"/>
        </w:rPr>
      </w:pPr>
      <w:r w:rsidRPr="00117536">
        <w:rPr>
          <w:rFonts w:ascii="Times New Roman" w:hAnsi="Times New Roman" w:hint="eastAsia"/>
          <w:kern w:val="0"/>
          <w:sz w:val="24"/>
        </w:rPr>
        <w:t>本次更新招募说明书主要对本基金增设</w:t>
      </w:r>
      <w:r w:rsidR="00A04E13">
        <w:rPr>
          <w:rFonts w:ascii="Times New Roman" w:hAnsi="Times New Roman" w:hint="eastAsia"/>
          <w:kern w:val="0"/>
          <w:sz w:val="24"/>
        </w:rPr>
        <w:t>E</w:t>
      </w:r>
      <w:r w:rsidR="00A04E13">
        <w:rPr>
          <w:rFonts w:ascii="Times New Roman" w:hAnsi="Times New Roman" w:hint="eastAsia"/>
          <w:kern w:val="0"/>
          <w:sz w:val="24"/>
        </w:rPr>
        <w:t>类</w:t>
      </w:r>
      <w:r w:rsidRPr="00117536">
        <w:rPr>
          <w:rFonts w:ascii="Times New Roman" w:hAnsi="Times New Roman" w:hint="eastAsia"/>
          <w:kern w:val="0"/>
          <w:sz w:val="24"/>
        </w:rPr>
        <w:t>基金份额等相关信息进行更新，前述内容更新截止日为</w:t>
      </w:r>
      <w:r w:rsidRPr="00117536">
        <w:rPr>
          <w:rFonts w:ascii="Times New Roman" w:hAnsi="Times New Roman" w:hint="eastAsia"/>
          <w:kern w:val="0"/>
          <w:sz w:val="24"/>
        </w:rPr>
        <w:t>202</w:t>
      </w:r>
      <w:r>
        <w:rPr>
          <w:rFonts w:ascii="Times New Roman" w:hAnsi="Times New Roman"/>
          <w:kern w:val="0"/>
          <w:sz w:val="24"/>
        </w:rPr>
        <w:t>3</w:t>
      </w:r>
      <w:r w:rsidRPr="00117536">
        <w:rPr>
          <w:rFonts w:ascii="Times New Roman" w:hAnsi="Times New Roman" w:hint="eastAsia"/>
          <w:kern w:val="0"/>
          <w:sz w:val="24"/>
        </w:rPr>
        <w:t>年</w:t>
      </w:r>
      <w:r w:rsidR="00294D46">
        <w:rPr>
          <w:rFonts w:ascii="Times New Roman" w:hAnsi="Times New Roman"/>
          <w:kern w:val="0"/>
          <w:sz w:val="24"/>
        </w:rPr>
        <w:t>8</w:t>
      </w:r>
      <w:r w:rsidRPr="00117536">
        <w:rPr>
          <w:rFonts w:ascii="Times New Roman" w:hAnsi="Times New Roman" w:hint="eastAsia"/>
          <w:kern w:val="0"/>
          <w:sz w:val="24"/>
        </w:rPr>
        <w:t>月</w:t>
      </w:r>
      <w:r w:rsidR="00294D46">
        <w:rPr>
          <w:rFonts w:ascii="Times New Roman" w:hAnsi="Times New Roman" w:hint="eastAsia"/>
          <w:kern w:val="0"/>
          <w:sz w:val="24"/>
        </w:rPr>
        <w:t>2</w:t>
      </w:r>
      <w:r w:rsidR="00294D46">
        <w:rPr>
          <w:rFonts w:ascii="Times New Roman" w:hAnsi="Times New Roman"/>
          <w:kern w:val="0"/>
          <w:sz w:val="24"/>
        </w:rPr>
        <w:t>4</w:t>
      </w:r>
      <w:r w:rsidRPr="00117536">
        <w:rPr>
          <w:rFonts w:ascii="Times New Roman" w:hAnsi="Times New Roman" w:hint="eastAsia"/>
          <w:kern w:val="0"/>
          <w:sz w:val="24"/>
        </w:rPr>
        <w:t>日，</w:t>
      </w:r>
      <w:r w:rsidRPr="00582B33">
        <w:rPr>
          <w:rFonts w:ascii="Times New Roman" w:hAnsi="Times New Roman" w:hint="eastAsia"/>
          <w:kern w:val="0"/>
          <w:sz w:val="24"/>
        </w:rPr>
        <w:t>除非另有说明，</w:t>
      </w:r>
      <w:r w:rsidR="00AE421E">
        <w:rPr>
          <w:rFonts w:ascii="Times New Roman" w:hAnsi="Times New Roman"/>
          <w:kern w:val="0"/>
          <w:sz w:val="24"/>
        </w:rPr>
        <w:t>本招募说明书</w:t>
      </w:r>
      <w:r>
        <w:rPr>
          <w:rFonts w:ascii="Times New Roman" w:hAnsi="Times New Roman" w:hint="eastAsia"/>
          <w:kern w:val="0"/>
          <w:sz w:val="24"/>
        </w:rPr>
        <w:t>其他</w:t>
      </w:r>
      <w:r w:rsidR="00AE421E">
        <w:rPr>
          <w:rFonts w:ascii="Times New Roman" w:hAnsi="Times New Roman"/>
          <w:kern w:val="0"/>
          <w:sz w:val="24"/>
        </w:rPr>
        <w:t>所载内容截止日为</w:t>
      </w:r>
      <w:r w:rsidR="00AE421E">
        <w:rPr>
          <w:rFonts w:ascii="Times New Roman" w:hAnsi="Times New Roman"/>
          <w:kern w:val="0"/>
          <w:sz w:val="24"/>
        </w:rPr>
        <w:t>2023</w:t>
      </w:r>
      <w:r w:rsidR="00AE421E">
        <w:rPr>
          <w:rFonts w:ascii="Times New Roman" w:hAnsi="Times New Roman"/>
          <w:kern w:val="0"/>
          <w:sz w:val="24"/>
        </w:rPr>
        <w:t>年</w:t>
      </w:r>
      <w:r w:rsidR="00AE421E">
        <w:rPr>
          <w:rFonts w:ascii="Times New Roman" w:hAnsi="Times New Roman"/>
          <w:kern w:val="0"/>
          <w:sz w:val="24"/>
        </w:rPr>
        <w:t>04</w:t>
      </w:r>
      <w:r w:rsidR="00AE421E">
        <w:rPr>
          <w:rFonts w:ascii="Times New Roman" w:hAnsi="Times New Roman"/>
          <w:kern w:val="0"/>
          <w:sz w:val="24"/>
        </w:rPr>
        <w:t>月</w:t>
      </w:r>
      <w:r w:rsidR="00AE421E">
        <w:rPr>
          <w:rFonts w:ascii="Times New Roman" w:hAnsi="Times New Roman"/>
          <w:kern w:val="0"/>
          <w:sz w:val="24"/>
        </w:rPr>
        <w:t>28</w:t>
      </w:r>
      <w:r w:rsidR="00AE421E">
        <w:rPr>
          <w:rFonts w:ascii="Times New Roman" w:hAnsi="Times New Roman"/>
          <w:kern w:val="0"/>
          <w:sz w:val="24"/>
        </w:rPr>
        <w:t>日，有关财务数据和净值表现截止日为</w:t>
      </w:r>
      <w:r w:rsidR="00AE421E">
        <w:rPr>
          <w:rFonts w:ascii="Times New Roman" w:hAnsi="Times New Roman"/>
          <w:kern w:val="0"/>
          <w:sz w:val="24"/>
        </w:rPr>
        <w:t>2023</w:t>
      </w:r>
      <w:r w:rsidR="00AE421E">
        <w:rPr>
          <w:rFonts w:ascii="Times New Roman" w:hAnsi="Times New Roman"/>
          <w:kern w:val="0"/>
          <w:sz w:val="24"/>
        </w:rPr>
        <w:t>年</w:t>
      </w:r>
      <w:r w:rsidR="00AE421E">
        <w:rPr>
          <w:rFonts w:ascii="Times New Roman" w:hAnsi="Times New Roman"/>
          <w:kern w:val="0"/>
          <w:sz w:val="24"/>
        </w:rPr>
        <w:t>03</w:t>
      </w:r>
      <w:r w:rsidR="00AE421E">
        <w:rPr>
          <w:rFonts w:ascii="Times New Roman" w:hAnsi="Times New Roman"/>
          <w:kern w:val="0"/>
          <w:sz w:val="24"/>
        </w:rPr>
        <w:t>月</w:t>
      </w:r>
      <w:r w:rsidR="00AE421E">
        <w:rPr>
          <w:rFonts w:ascii="Times New Roman" w:hAnsi="Times New Roman"/>
          <w:kern w:val="0"/>
          <w:sz w:val="24"/>
        </w:rPr>
        <w:t>31</w:t>
      </w:r>
      <w:r w:rsidR="00AE421E">
        <w:rPr>
          <w:rFonts w:ascii="Times New Roman" w:hAnsi="Times New Roman"/>
          <w:kern w:val="0"/>
          <w:sz w:val="24"/>
        </w:rPr>
        <w:t>日。本招募说明书所载的财务数据未经审计。</w:t>
      </w:r>
    </w:p>
    <w:p w14:paraId="501756F5" w14:textId="77777777" w:rsidR="00D0305B" w:rsidRDefault="00D0305B">
      <w:pPr>
        <w:autoSpaceDE w:val="0"/>
        <w:autoSpaceDN w:val="0"/>
        <w:adjustRightInd w:val="0"/>
        <w:snapToGrid w:val="0"/>
        <w:spacing w:before="51" w:line="360" w:lineRule="auto"/>
        <w:ind w:left="120" w:rightChars="6" w:right="13" w:firstLine="480"/>
        <w:rPr>
          <w:rFonts w:ascii="宋体" w:hAnsi="宋体"/>
          <w:kern w:val="0"/>
          <w:szCs w:val="24"/>
        </w:rPr>
        <w:sectPr w:rsidR="00D0305B">
          <w:headerReference w:type="default" r:id="rId12"/>
          <w:pgSz w:w="11920" w:h="16840"/>
          <w:pgMar w:top="1440" w:right="1680" w:bottom="280" w:left="1680" w:header="0" w:footer="1073" w:gutter="0"/>
          <w:pgNumType w:start="1"/>
          <w:cols w:space="720"/>
        </w:sectPr>
      </w:pPr>
    </w:p>
    <w:p w14:paraId="2A6FE09A" w14:textId="77777777" w:rsidR="00074781" w:rsidRPr="00074781" w:rsidRDefault="00AE421E" w:rsidP="00074781">
      <w:pPr>
        <w:pStyle w:val="af3"/>
        <w:snapToGrid w:val="0"/>
        <w:spacing w:after="240" w:line="360" w:lineRule="auto"/>
        <w:jc w:val="center"/>
        <w:rPr>
          <w:rFonts w:ascii="宋体" w:hAnsi="宋体"/>
          <w:noProof/>
          <w:sz w:val="24"/>
        </w:rPr>
      </w:pPr>
      <w:r w:rsidRPr="00074781">
        <w:rPr>
          <w:rFonts w:ascii="宋体" w:hAnsi="宋体"/>
          <w:color w:val="000000"/>
          <w:position w:val="-4"/>
          <w:sz w:val="24"/>
          <w:szCs w:val="30"/>
        </w:rPr>
        <w:lastRenderedPageBreak/>
        <w:t>目</w:t>
      </w:r>
      <w:r w:rsidRPr="00074781">
        <w:rPr>
          <w:rFonts w:ascii="宋体" w:hAnsi="宋体"/>
          <w:color w:val="000000"/>
          <w:position w:val="-4"/>
          <w:sz w:val="24"/>
          <w:szCs w:val="30"/>
        </w:rPr>
        <w:tab/>
        <w:t>录</w:t>
      </w:r>
      <w:r w:rsidR="00074781" w:rsidRPr="00074781">
        <w:rPr>
          <w:rFonts w:ascii="宋体" w:hAnsi="宋体"/>
          <w:color w:val="000000"/>
          <w:position w:val="-4"/>
          <w:sz w:val="24"/>
          <w:szCs w:val="30"/>
        </w:rPr>
        <w:fldChar w:fldCharType="begin"/>
      </w:r>
      <w:r w:rsidR="00074781" w:rsidRPr="00074781">
        <w:rPr>
          <w:rFonts w:ascii="宋体" w:hAnsi="宋体"/>
          <w:color w:val="000000"/>
          <w:position w:val="-4"/>
          <w:sz w:val="24"/>
          <w:szCs w:val="30"/>
        </w:rPr>
        <w:instrText xml:space="preserve"> TOC \o "1-3" \f - \h \t "-1" </w:instrText>
      </w:r>
      <w:r w:rsidR="00074781" w:rsidRPr="00074781">
        <w:rPr>
          <w:rFonts w:ascii="宋体" w:hAnsi="宋体"/>
          <w:color w:val="000000"/>
          <w:position w:val="-4"/>
          <w:sz w:val="24"/>
          <w:szCs w:val="30"/>
        </w:rPr>
        <w:fldChar w:fldCharType="separate"/>
      </w:r>
    </w:p>
    <w:p w14:paraId="2108477E" w14:textId="2F601F06" w:rsidR="00074781" w:rsidRPr="00B90DF9" w:rsidRDefault="00130854" w:rsidP="00074781">
      <w:pPr>
        <w:pStyle w:val="11"/>
        <w:tabs>
          <w:tab w:val="right" w:leader="dot" w:pos="8550"/>
        </w:tabs>
        <w:spacing w:line="360" w:lineRule="auto"/>
        <w:rPr>
          <w:rFonts w:ascii="宋体" w:hAnsi="宋体"/>
          <w:noProof/>
          <w:sz w:val="24"/>
        </w:rPr>
      </w:pPr>
      <w:hyperlink w:anchor="_Toc135812800" w:history="1">
        <w:r w:rsidR="00074781" w:rsidRPr="00074781">
          <w:rPr>
            <w:rStyle w:val="af0"/>
            <w:rFonts w:ascii="宋体" w:hAnsi="宋体" w:hint="eastAsia"/>
            <w:noProof/>
            <w:kern w:val="0"/>
            <w:sz w:val="24"/>
          </w:rPr>
          <w:t>重要提示</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_Toc135812800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1</w:t>
        </w:r>
        <w:r w:rsidR="00074781" w:rsidRPr="00074781">
          <w:rPr>
            <w:rFonts w:ascii="宋体" w:hAnsi="宋体"/>
            <w:noProof/>
            <w:sz w:val="24"/>
          </w:rPr>
          <w:fldChar w:fldCharType="end"/>
        </w:r>
      </w:hyperlink>
    </w:p>
    <w:p w14:paraId="55AB748E" w14:textId="36E7380F" w:rsidR="00074781" w:rsidRPr="00B90DF9" w:rsidRDefault="00130854" w:rsidP="00074781">
      <w:pPr>
        <w:pStyle w:val="11"/>
        <w:tabs>
          <w:tab w:val="right" w:leader="dot" w:pos="8550"/>
        </w:tabs>
        <w:spacing w:line="360" w:lineRule="auto"/>
        <w:rPr>
          <w:rFonts w:ascii="宋体" w:hAnsi="宋体"/>
          <w:noProof/>
          <w:sz w:val="24"/>
        </w:rPr>
      </w:pPr>
      <w:hyperlink w:anchor="_Toc135812801" w:history="1">
        <w:r w:rsidR="00074781" w:rsidRPr="00074781">
          <w:rPr>
            <w:rStyle w:val="af0"/>
            <w:rFonts w:ascii="宋体" w:hAnsi="宋体" w:hint="eastAsia"/>
            <w:noProof/>
            <w:sz w:val="24"/>
          </w:rPr>
          <w:t>一、绪言</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_Toc135812801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4</w:t>
        </w:r>
        <w:r w:rsidR="00074781" w:rsidRPr="00074781">
          <w:rPr>
            <w:rFonts w:ascii="宋体" w:hAnsi="宋体"/>
            <w:noProof/>
            <w:sz w:val="24"/>
          </w:rPr>
          <w:fldChar w:fldCharType="end"/>
        </w:r>
      </w:hyperlink>
    </w:p>
    <w:p w14:paraId="2DA345E0" w14:textId="2E12D090" w:rsidR="00074781" w:rsidRPr="00B90DF9" w:rsidRDefault="00130854" w:rsidP="00074781">
      <w:pPr>
        <w:pStyle w:val="11"/>
        <w:tabs>
          <w:tab w:val="right" w:leader="dot" w:pos="8550"/>
        </w:tabs>
        <w:spacing w:line="360" w:lineRule="auto"/>
        <w:rPr>
          <w:rFonts w:ascii="宋体" w:hAnsi="宋体"/>
          <w:noProof/>
          <w:sz w:val="24"/>
        </w:rPr>
      </w:pPr>
      <w:hyperlink w:anchor="_Toc135812802" w:history="1">
        <w:r w:rsidR="00074781" w:rsidRPr="00074781">
          <w:rPr>
            <w:rStyle w:val="af0"/>
            <w:rFonts w:ascii="宋体" w:hAnsi="宋体" w:hint="eastAsia"/>
            <w:noProof/>
            <w:sz w:val="24"/>
          </w:rPr>
          <w:t>二、释义</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_Toc135812802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5</w:t>
        </w:r>
        <w:r w:rsidR="00074781" w:rsidRPr="00074781">
          <w:rPr>
            <w:rFonts w:ascii="宋体" w:hAnsi="宋体"/>
            <w:noProof/>
            <w:sz w:val="24"/>
          </w:rPr>
          <w:fldChar w:fldCharType="end"/>
        </w:r>
      </w:hyperlink>
    </w:p>
    <w:p w14:paraId="6BBC777E" w14:textId="3960C06B" w:rsidR="00074781" w:rsidRPr="00B90DF9" w:rsidRDefault="00130854" w:rsidP="00074781">
      <w:pPr>
        <w:pStyle w:val="11"/>
        <w:tabs>
          <w:tab w:val="right" w:leader="dot" w:pos="8550"/>
        </w:tabs>
        <w:spacing w:line="360" w:lineRule="auto"/>
        <w:rPr>
          <w:rFonts w:ascii="宋体" w:hAnsi="宋体"/>
          <w:noProof/>
          <w:sz w:val="24"/>
        </w:rPr>
      </w:pPr>
      <w:hyperlink w:anchor="_Toc135812803" w:history="1">
        <w:r w:rsidR="00074781" w:rsidRPr="00074781">
          <w:rPr>
            <w:rStyle w:val="af0"/>
            <w:rFonts w:ascii="宋体" w:hAnsi="宋体" w:hint="eastAsia"/>
            <w:noProof/>
            <w:sz w:val="24"/>
          </w:rPr>
          <w:t>三、基金管理人</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_Toc135812803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10</w:t>
        </w:r>
        <w:r w:rsidR="00074781" w:rsidRPr="00074781">
          <w:rPr>
            <w:rFonts w:ascii="宋体" w:hAnsi="宋体"/>
            <w:noProof/>
            <w:sz w:val="24"/>
          </w:rPr>
          <w:fldChar w:fldCharType="end"/>
        </w:r>
      </w:hyperlink>
    </w:p>
    <w:p w14:paraId="384103CD" w14:textId="430FDA55" w:rsidR="00074781" w:rsidRPr="00B90DF9" w:rsidRDefault="00130854" w:rsidP="00074781">
      <w:pPr>
        <w:pStyle w:val="11"/>
        <w:tabs>
          <w:tab w:val="right" w:leader="dot" w:pos="8550"/>
        </w:tabs>
        <w:spacing w:line="360" w:lineRule="auto"/>
        <w:rPr>
          <w:rFonts w:ascii="宋体" w:hAnsi="宋体"/>
          <w:noProof/>
          <w:sz w:val="24"/>
        </w:rPr>
      </w:pPr>
      <w:hyperlink w:anchor="_Toc135812804" w:history="1">
        <w:r w:rsidR="00074781" w:rsidRPr="00074781">
          <w:rPr>
            <w:rStyle w:val="af0"/>
            <w:rFonts w:ascii="宋体" w:hAnsi="宋体" w:hint="eastAsia"/>
            <w:noProof/>
            <w:sz w:val="24"/>
          </w:rPr>
          <w:t>四、基金托管人</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_Toc135812804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18</w:t>
        </w:r>
        <w:r w:rsidR="00074781" w:rsidRPr="00074781">
          <w:rPr>
            <w:rFonts w:ascii="宋体" w:hAnsi="宋体"/>
            <w:noProof/>
            <w:sz w:val="24"/>
          </w:rPr>
          <w:fldChar w:fldCharType="end"/>
        </w:r>
      </w:hyperlink>
    </w:p>
    <w:p w14:paraId="313BA006" w14:textId="680CFB00" w:rsidR="00074781" w:rsidRPr="00B90DF9" w:rsidRDefault="00130854" w:rsidP="00074781">
      <w:pPr>
        <w:pStyle w:val="11"/>
        <w:tabs>
          <w:tab w:val="right" w:leader="dot" w:pos="8550"/>
        </w:tabs>
        <w:spacing w:line="360" w:lineRule="auto"/>
        <w:rPr>
          <w:rFonts w:ascii="宋体" w:hAnsi="宋体"/>
          <w:noProof/>
          <w:sz w:val="24"/>
        </w:rPr>
      </w:pPr>
      <w:hyperlink w:anchor="_Toc135812805" w:history="1">
        <w:r w:rsidR="00074781" w:rsidRPr="00074781">
          <w:rPr>
            <w:rStyle w:val="af0"/>
            <w:rFonts w:ascii="宋体" w:hAnsi="宋体" w:hint="eastAsia"/>
            <w:noProof/>
            <w:sz w:val="24"/>
          </w:rPr>
          <w:t>五、相关服务机构</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_Toc135812805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23</w:t>
        </w:r>
        <w:r w:rsidR="00074781" w:rsidRPr="00074781">
          <w:rPr>
            <w:rFonts w:ascii="宋体" w:hAnsi="宋体"/>
            <w:noProof/>
            <w:sz w:val="24"/>
          </w:rPr>
          <w:fldChar w:fldCharType="end"/>
        </w:r>
      </w:hyperlink>
    </w:p>
    <w:p w14:paraId="5776C3C5" w14:textId="7EA30FEB" w:rsidR="00074781" w:rsidRPr="00B90DF9" w:rsidRDefault="00130854" w:rsidP="00074781">
      <w:pPr>
        <w:pStyle w:val="11"/>
        <w:tabs>
          <w:tab w:val="right" w:leader="dot" w:pos="8550"/>
        </w:tabs>
        <w:spacing w:line="360" w:lineRule="auto"/>
        <w:rPr>
          <w:rFonts w:ascii="宋体" w:hAnsi="宋体"/>
          <w:noProof/>
          <w:sz w:val="24"/>
        </w:rPr>
      </w:pPr>
      <w:hyperlink w:anchor="_Toc135812806" w:history="1">
        <w:r w:rsidR="00074781" w:rsidRPr="00074781">
          <w:rPr>
            <w:rStyle w:val="af0"/>
            <w:rFonts w:ascii="宋体" w:hAnsi="宋体" w:hint="eastAsia"/>
            <w:noProof/>
            <w:sz w:val="24"/>
          </w:rPr>
          <w:t>六、基金的历史沿革与基金的存续</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_Toc135812806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48</w:t>
        </w:r>
        <w:r w:rsidR="00074781" w:rsidRPr="00074781">
          <w:rPr>
            <w:rFonts w:ascii="宋体" w:hAnsi="宋体"/>
            <w:noProof/>
            <w:sz w:val="24"/>
          </w:rPr>
          <w:fldChar w:fldCharType="end"/>
        </w:r>
      </w:hyperlink>
    </w:p>
    <w:p w14:paraId="02414240" w14:textId="4982304A" w:rsidR="00074781" w:rsidRPr="00B90DF9" w:rsidRDefault="00130854" w:rsidP="00074781">
      <w:pPr>
        <w:pStyle w:val="11"/>
        <w:tabs>
          <w:tab w:val="right" w:leader="dot" w:pos="8550"/>
        </w:tabs>
        <w:spacing w:line="360" w:lineRule="auto"/>
        <w:rPr>
          <w:rFonts w:ascii="宋体" w:hAnsi="宋体"/>
          <w:noProof/>
          <w:sz w:val="24"/>
        </w:rPr>
      </w:pPr>
      <w:hyperlink w:anchor="_Toc135812807" w:history="1">
        <w:r w:rsidR="00074781" w:rsidRPr="00074781">
          <w:rPr>
            <w:rStyle w:val="af0"/>
            <w:rFonts w:ascii="宋体" w:hAnsi="宋体" w:hint="eastAsia"/>
            <w:noProof/>
            <w:sz w:val="24"/>
          </w:rPr>
          <w:t>七、基金份额的申购与赎回</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_Toc135812807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49</w:t>
        </w:r>
        <w:r w:rsidR="00074781" w:rsidRPr="00074781">
          <w:rPr>
            <w:rFonts w:ascii="宋体" w:hAnsi="宋体"/>
            <w:noProof/>
            <w:sz w:val="24"/>
          </w:rPr>
          <w:fldChar w:fldCharType="end"/>
        </w:r>
      </w:hyperlink>
    </w:p>
    <w:p w14:paraId="1C973106" w14:textId="79A8C1B6" w:rsidR="00074781" w:rsidRPr="00B90DF9" w:rsidRDefault="00130854" w:rsidP="00074781">
      <w:pPr>
        <w:pStyle w:val="11"/>
        <w:tabs>
          <w:tab w:val="right" w:leader="dot" w:pos="8550"/>
        </w:tabs>
        <w:spacing w:line="360" w:lineRule="auto"/>
        <w:rPr>
          <w:rFonts w:ascii="宋体" w:hAnsi="宋体"/>
          <w:noProof/>
          <w:sz w:val="24"/>
        </w:rPr>
      </w:pPr>
      <w:hyperlink w:anchor="_Toc135812808" w:history="1">
        <w:r w:rsidR="00074781" w:rsidRPr="00074781">
          <w:rPr>
            <w:rStyle w:val="af0"/>
            <w:rFonts w:ascii="宋体" w:hAnsi="宋体" w:hint="eastAsia"/>
            <w:noProof/>
            <w:sz w:val="24"/>
          </w:rPr>
          <w:t>八、基金的转换</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_Toc135812808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63</w:t>
        </w:r>
        <w:r w:rsidR="00074781" w:rsidRPr="00074781">
          <w:rPr>
            <w:rFonts w:ascii="宋体" w:hAnsi="宋体"/>
            <w:noProof/>
            <w:sz w:val="24"/>
          </w:rPr>
          <w:fldChar w:fldCharType="end"/>
        </w:r>
      </w:hyperlink>
    </w:p>
    <w:p w14:paraId="6F406741" w14:textId="6EDFADEB" w:rsidR="00074781" w:rsidRPr="00B90DF9" w:rsidRDefault="00130854" w:rsidP="00074781">
      <w:pPr>
        <w:pStyle w:val="11"/>
        <w:tabs>
          <w:tab w:val="right" w:leader="dot" w:pos="8550"/>
        </w:tabs>
        <w:spacing w:line="360" w:lineRule="auto"/>
        <w:rPr>
          <w:rFonts w:ascii="宋体" w:hAnsi="宋体"/>
          <w:noProof/>
          <w:sz w:val="24"/>
        </w:rPr>
      </w:pPr>
      <w:hyperlink w:anchor="_Toc135812809" w:history="1">
        <w:r w:rsidR="00074781" w:rsidRPr="00074781">
          <w:rPr>
            <w:rStyle w:val="af0"/>
            <w:rFonts w:ascii="宋体" w:hAnsi="宋体" w:hint="eastAsia"/>
            <w:noProof/>
            <w:sz w:val="24"/>
          </w:rPr>
          <w:t>九、基金的投资</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_Toc135812809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70</w:t>
        </w:r>
        <w:r w:rsidR="00074781" w:rsidRPr="00074781">
          <w:rPr>
            <w:rFonts w:ascii="宋体" w:hAnsi="宋体"/>
            <w:noProof/>
            <w:sz w:val="24"/>
          </w:rPr>
          <w:fldChar w:fldCharType="end"/>
        </w:r>
      </w:hyperlink>
    </w:p>
    <w:p w14:paraId="14C622AD" w14:textId="632BA5BF" w:rsidR="00074781" w:rsidRPr="00B90DF9" w:rsidRDefault="00130854" w:rsidP="00074781">
      <w:pPr>
        <w:pStyle w:val="11"/>
        <w:tabs>
          <w:tab w:val="right" w:leader="dot" w:pos="8550"/>
        </w:tabs>
        <w:spacing w:line="360" w:lineRule="auto"/>
        <w:rPr>
          <w:rFonts w:ascii="宋体" w:hAnsi="宋体"/>
          <w:noProof/>
          <w:sz w:val="24"/>
        </w:rPr>
      </w:pPr>
      <w:hyperlink w:anchor="_Toc135812810" w:history="1">
        <w:r w:rsidR="00074781" w:rsidRPr="00074781">
          <w:rPr>
            <w:rStyle w:val="af0"/>
            <w:rFonts w:ascii="宋体" w:hAnsi="宋体" w:hint="eastAsia"/>
            <w:noProof/>
            <w:sz w:val="24"/>
          </w:rPr>
          <w:t>十、基金的业绩</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_Toc135812810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84</w:t>
        </w:r>
        <w:r w:rsidR="00074781" w:rsidRPr="00074781">
          <w:rPr>
            <w:rFonts w:ascii="宋体" w:hAnsi="宋体"/>
            <w:noProof/>
            <w:sz w:val="24"/>
          </w:rPr>
          <w:fldChar w:fldCharType="end"/>
        </w:r>
      </w:hyperlink>
    </w:p>
    <w:p w14:paraId="102CF648" w14:textId="6ED9AA5E" w:rsidR="00074781" w:rsidRPr="00B90DF9" w:rsidRDefault="00130854" w:rsidP="00074781">
      <w:pPr>
        <w:pStyle w:val="11"/>
        <w:tabs>
          <w:tab w:val="right" w:leader="dot" w:pos="8550"/>
        </w:tabs>
        <w:spacing w:line="360" w:lineRule="auto"/>
        <w:rPr>
          <w:rFonts w:ascii="宋体" w:hAnsi="宋体"/>
          <w:noProof/>
          <w:sz w:val="24"/>
        </w:rPr>
      </w:pPr>
      <w:hyperlink w:anchor="_Toc135812811" w:history="1">
        <w:r w:rsidR="00074781" w:rsidRPr="00074781">
          <w:rPr>
            <w:rStyle w:val="af0"/>
            <w:rFonts w:ascii="宋体" w:hAnsi="宋体" w:hint="eastAsia"/>
            <w:noProof/>
            <w:sz w:val="24"/>
          </w:rPr>
          <w:t>十一、基金的财产</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_Toc135812811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88</w:t>
        </w:r>
        <w:r w:rsidR="00074781" w:rsidRPr="00074781">
          <w:rPr>
            <w:rFonts w:ascii="宋体" w:hAnsi="宋体"/>
            <w:noProof/>
            <w:sz w:val="24"/>
          </w:rPr>
          <w:fldChar w:fldCharType="end"/>
        </w:r>
      </w:hyperlink>
    </w:p>
    <w:p w14:paraId="27F0DACF" w14:textId="13AB4C2B" w:rsidR="00074781" w:rsidRPr="00B90DF9" w:rsidRDefault="00130854" w:rsidP="00074781">
      <w:pPr>
        <w:pStyle w:val="11"/>
        <w:tabs>
          <w:tab w:val="right" w:leader="dot" w:pos="8550"/>
        </w:tabs>
        <w:spacing w:line="360" w:lineRule="auto"/>
        <w:rPr>
          <w:rFonts w:ascii="宋体" w:hAnsi="宋体"/>
          <w:noProof/>
          <w:sz w:val="24"/>
        </w:rPr>
      </w:pPr>
      <w:hyperlink w:anchor="_Toc135812812" w:history="1">
        <w:r w:rsidR="00074781" w:rsidRPr="00074781">
          <w:rPr>
            <w:rStyle w:val="af0"/>
            <w:rFonts w:ascii="宋体" w:hAnsi="宋体" w:hint="eastAsia"/>
            <w:noProof/>
            <w:sz w:val="24"/>
          </w:rPr>
          <w:t>十二、基金资产的估值</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_Toc135812812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89</w:t>
        </w:r>
        <w:r w:rsidR="00074781" w:rsidRPr="00074781">
          <w:rPr>
            <w:rFonts w:ascii="宋体" w:hAnsi="宋体"/>
            <w:noProof/>
            <w:sz w:val="24"/>
          </w:rPr>
          <w:fldChar w:fldCharType="end"/>
        </w:r>
      </w:hyperlink>
    </w:p>
    <w:p w14:paraId="5E0708F2" w14:textId="2695CAAB" w:rsidR="00074781" w:rsidRPr="00B90DF9" w:rsidRDefault="00130854" w:rsidP="00074781">
      <w:pPr>
        <w:pStyle w:val="11"/>
        <w:tabs>
          <w:tab w:val="right" w:leader="dot" w:pos="8550"/>
        </w:tabs>
        <w:spacing w:line="360" w:lineRule="auto"/>
        <w:rPr>
          <w:rFonts w:ascii="宋体" w:hAnsi="宋体"/>
          <w:noProof/>
          <w:sz w:val="24"/>
        </w:rPr>
      </w:pPr>
      <w:hyperlink w:anchor="_Toc135812813" w:history="1">
        <w:r w:rsidR="00074781" w:rsidRPr="00074781">
          <w:rPr>
            <w:rStyle w:val="af0"/>
            <w:rFonts w:ascii="宋体" w:hAnsi="宋体" w:hint="eastAsia"/>
            <w:noProof/>
            <w:sz w:val="24"/>
          </w:rPr>
          <w:t>十三、基金收益与分配</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_Toc135812813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94</w:t>
        </w:r>
        <w:r w:rsidR="00074781" w:rsidRPr="00074781">
          <w:rPr>
            <w:rFonts w:ascii="宋体" w:hAnsi="宋体"/>
            <w:noProof/>
            <w:sz w:val="24"/>
          </w:rPr>
          <w:fldChar w:fldCharType="end"/>
        </w:r>
      </w:hyperlink>
    </w:p>
    <w:p w14:paraId="4EEF0C45" w14:textId="49E10EC1" w:rsidR="00074781" w:rsidRPr="00B90DF9" w:rsidRDefault="00130854" w:rsidP="00074781">
      <w:pPr>
        <w:pStyle w:val="11"/>
        <w:tabs>
          <w:tab w:val="right" w:leader="dot" w:pos="8550"/>
        </w:tabs>
        <w:spacing w:line="360" w:lineRule="auto"/>
        <w:rPr>
          <w:rFonts w:ascii="宋体" w:hAnsi="宋体"/>
          <w:noProof/>
          <w:sz w:val="24"/>
        </w:rPr>
      </w:pPr>
      <w:hyperlink w:anchor="_Toc135812814" w:history="1">
        <w:r w:rsidR="00074781" w:rsidRPr="00074781">
          <w:rPr>
            <w:rStyle w:val="af0"/>
            <w:rFonts w:ascii="宋体" w:hAnsi="宋体" w:hint="eastAsia"/>
            <w:noProof/>
            <w:sz w:val="24"/>
          </w:rPr>
          <w:t>十四、基金的费用与税收</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_Toc135812814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96</w:t>
        </w:r>
        <w:r w:rsidR="00074781" w:rsidRPr="00074781">
          <w:rPr>
            <w:rFonts w:ascii="宋体" w:hAnsi="宋体"/>
            <w:noProof/>
            <w:sz w:val="24"/>
          </w:rPr>
          <w:fldChar w:fldCharType="end"/>
        </w:r>
      </w:hyperlink>
    </w:p>
    <w:p w14:paraId="43B6A389" w14:textId="5BF2FD12" w:rsidR="00074781" w:rsidRPr="00B90DF9" w:rsidRDefault="00130854" w:rsidP="00074781">
      <w:pPr>
        <w:pStyle w:val="11"/>
        <w:tabs>
          <w:tab w:val="right" w:leader="dot" w:pos="8550"/>
        </w:tabs>
        <w:spacing w:line="360" w:lineRule="auto"/>
        <w:rPr>
          <w:rFonts w:ascii="宋体" w:hAnsi="宋体"/>
          <w:noProof/>
          <w:sz w:val="24"/>
        </w:rPr>
      </w:pPr>
      <w:hyperlink w:anchor="_Toc135812815" w:history="1">
        <w:r w:rsidR="00074781" w:rsidRPr="00074781">
          <w:rPr>
            <w:rStyle w:val="af0"/>
            <w:rFonts w:ascii="宋体" w:hAnsi="宋体" w:hint="eastAsia"/>
            <w:noProof/>
            <w:sz w:val="24"/>
          </w:rPr>
          <w:t>十五、基金的会计与审计</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_Toc135812815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99</w:t>
        </w:r>
        <w:r w:rsidR="00074781" w:rsidRPr="00074781">
          <w:rPr>
            <w:rFonts w:ascii="宋体" w:hAnsi="宋体"/>
            <w:noProof/>
            <w:sz w:val="24"/>
          </w:rPr>
          <w:fldChar w:fldCharType="end"/>
        </w:r>
      </w:hyperlink>
    </w:p>
    <w:p w14:paraId="50AC8AE5" w14:textId="2572C621" w:rsidR="00074781" w:rsidRPr="00B90DF9" w:rsidRDefault="00130854" w:rsidP="00074781">
      <w:pPr>
        <w:pStyle w:val="11"/>
        <w:tabs>
          <w:tab w:val="right" w:leader="dot" w:pos="8550"/>
        </w:tabs>
        <w:spacing w:line="360" w:lineRule="auto"/>
        <w:rPr>
          <w:rFonts w:ascii="宋体" w:hAnsi="宋体"/>
          <w:noProof/>
          <w:sz w:val="24"/>
        </w:rPr>
      </w:pPr>
      <w:hyperlink w:anchor="_Toc135812816" w:history="1">
        <w:r w:rsidR="00074781" w:rsidRPr="00074781">
          <w:rPr>
            <w:rStyle w:val="af0"/>
            <w:rFonts w:ascii="宋体" w:hAnsi="宋体" w:hint="eastAsia"/>
            <w:noProof/>
            <w:sz w:val="24"/>
          </w:rPr>
          <w:t>十六、基金的信息披露</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_Toc135812816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100</w:t>
        </w:r>
        <w:r w:rsidR="00074781" w:rsidRPr="00074781">
          <w:rPr>
            <w:rFonts w:ascii="宋体" w:hAnsi="宋体"/>
            <w:noProof/>
            <w:sz w:val="24"/>
          </w:rPr>
          <w:fldChar w:fldCharType="end"/>
        </w:r>
      </w:hyperlink>
    </w:p>
    <w:p w14:paraId="06596204" w14:textId="0D6EFAAC" w:rsidR="00074781" w:rsidRPr="00B90DF9" w:rsidRDefault="00130854" w:rsidP="00074781">
      <w:pPr>
        <w:pStyle w:val="11"/>
        <w:tabs>
          <w:tab w:val="right" w:leader="dot" w:pos="8550"/>
        </w:tabs>
        <w:spacing w:line="360" w:lineRule="auto"/>
        <w:rPr>
          <w:rFonts w:ascii="宋体" w:hAnsi="宋体"/>
          <w:noProof/>
          <w:sz w:val="24"/>
        </w:rPr>
      </w:pPr>
      <w:hyperlink w:anchor="_Toc135812817" w:history="1">
        <w:r w:rsidR="00074781" w:rsidRPr="00074781">
          <w:rPr>
            <w:rStyle w:val="af0"/>
            <w:rFonts w:ascii="宋体" w:hAnsi="宋体" w:hint="eastAsia"/>
            <w:noProof/>
            <w:sz w:val="24"/>
          </w:rPr>
          <w:t>十七、侧袋机制</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_Toc135812817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106</w:t>
        </w:r>
        <w:r w:rsidR="00074781" w:rsidRPr="00074781">
          <w:rPr>
            <w:rFonts w:ascii="宋体" w:hAnsi="宋体"/>
            <w:noProof/>
            <w:sz w:val="24"/>
          </w:rPr>
          <w:fldChar w:fldCharType="end"/>
        </w:r>
      </w:hyperlink>
    </w:p>
    <w:p w14:paraId="2E11D95E" w14:textId="2ACDEFBD" w:rsidR="00074781" w:rsidRPr="00B90DF9" w:rsidRDefault="00130854" w:rsidP="00074781">
      <w:pPr>
        <w:pStyle w:val="11"/>
        <w:tabs>
          <w:tab w:val="right" w:leader="dot" w:pos="8550"/>
        </w:tabs>
        <w:spacing w:line="360" w:lineRule="auto"/>
        <w:rPr>
          <w:rFonts w:ascii="宋体" w:hAnsi="宋体"/>
          <w:noProof/>
          <w:sz w:val="24"/>
        </w:rPr>
      </w:pPr>
      <w:hyperlink w:anchor="_Toc135812818" w:history="1">
        <w:r w:rsidR="00074781" w:rsidRPr="00074781">
          <w:rPr>
            <w:rStyle w:val="af0"/>
            <w:rFonts w:ascii="宋体" w:hAnsi="宋体" w:hint="eastAsia"/>
            <w:noProof/>
            <w:sz w:val="24"/>
          </w:rPr>
          <w:t>十八、风险揭示</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_Toc135812818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108</w:t>
        </w:r>
        <w:r w:rsidR="00074781" w:rsidRPr="00074781">
          <w:rPr>
            <w:rFonts w:ascii="宋体" w:hAnsi="宋体"/>
            <w:noProof/>
            <w:sz w:val="24"/>
          </w:rPr>
          <w:fldChar w:fldCharType="end"/>
        </w:r>
      </w:hyperlink>
    </w:p>
    <w:p w14:paraId="7DCCC18A" w14:textId="3B7855CA" w:rsidR="00074781" w:rsidRPr="00B90DF9" w:rsidRDefault="00130854" w:rsidP="00074781">
      <w:pPr>
        <w:pStyle w:val="11"/>
        <w:tabs>
          <w:tab w:val="right" w:leader="dot" w:pos="8550"/>
        </w:tabs>
        <w:spacing w:line="360" w:lineRule="auto"/>
        <w:rPr>
          <w:rFonts w:ascii="宋体" w:hAnsi="宋体"/>
          <w:noProof/>
          <w:sz w:val="24"/>
        </w:rPr>
      </w:pPr>
      <w:hyperlink w:anchor="_Toc135812819" w:history="1">
        <w:r w:rsidR="00074781" w:rsidRPr="00074781">
          <w:rPr>
            <w:rStyle w:val="af0"/>
            <w:rFonts w:ascii="宋体" w:hAnsi="宋体" w:hint="eastAsia"/>
            <w:noProof/>
            <w:sz w:val="24"/>
          </w:rPr>
          <w:t>十九、基金合同的变更、终止与基金财产的清算</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_Toc135812819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115</w:t>
        </w:r>
        <w:r w:rsidR="00074781" w:rsidRPr="00074781">
          <w:rPr>
            <w:rFonts w:ascii="宋体" w:hAnsi="宋体"/>
            <w:noProof/>
            <w:sz w:val="24"/>
          </w:rPr>
          <w:fldChar w:fldCharType="end"/>
        </w:r>
      </w:hyperlink>
    </w:p>
    <w:p w14:paraId="3329B588" w14:textId="4921A4B2" w:rsidR="00074781" w:rsidRPr="00B90DF9" w:rsidRDefault="00130854" w:rsidP="00074781">
      <w:pPr>
        <w:pStyle w:val="11"/>
        <w:tabs>
          <w:tab w:val="right" w:leader="dot" w:pos="8550"/>
        </w:tabs>
        <w:spacing w:line="360" w:lineRule="auto"/>
        <w:rPr>
          <w:rFonts w:ascii="宋体" w:hAnsi="宋体"/>
          <w:noProof/>
          <w:sz w:val="24"/>
        </w:rPr>
      </w:pPr>
      <w:hyperlink w:anchor="_Toc135812820" w:history="1">
        <w:r w:rsidR="00074781" w:rsidRPr="00074781">
          <w:rPr>
            <w:rStyle w:val="af0"/>
            <w:rFonts w:ascii="宋体" w:hAnsi="宋体" w:hint="eastAsia"/>
            <w:noProof/>
            <w:sz w:val="24"/>
          </w:rPr>
          <w:t>二十、基金合同内容摘要</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_Toc135812820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117</w:t>
        </w:r>
        <w:r w:rsidR="00074781" w:rsidRPr="00074781">
          <w:rPr>
            <w:rFonts w:ascii="宋体" w:hAnsi="宋体"/>
            <w:noProof/>
            <w:sz w:val="24"/>
          </w:rPr>
          <w:fldChar w:fldCharType="end"/>
        </w:r>
      </w:hyperlink>
    </w:p>
    <w:p w14:paraId="6225F98C" w14:textId="7F46E26D" w:rsidR="00074781" w:rsidRPr="00B90DF9" w:rsidRDefault="00130854" w:rsidP="00074781">
      <w:pPr>
        <w:pStyle w:val="11"/>
        <w:tabs>
          <w:tab w:val="right" w:leader="dot" w:pos="8550"/>
        </w:tabs>
        <w:spacing w:line="360" w:lineRule="auto"/>
        <w:rPr>
          <w:rFonts w:ascii="宋体" w:hAnsi="宋体"/>
          <w:noProof/>
          <w:sz w:val="24"/>
        </w:rPr>
      </w:pPr>
      <w:hyperlink w:anchor="_Toc135812821" w:history="1">
        <w:r w:rsidR="00074781" w:rsidRPr="00074781">
          <w:rPr>
            <w:rStyle w:val="af0"/>
            <w:rFonts w:ascii="宋体" w:hAnsi="宋体" w:hint="eastAsia"/>
            <w:noProof/>
            <w:sz w:val="24"/>
          </w:rPr>
          <w:t>二十一、托管协议的内容摘要</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_Toc135812821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133</w:t>
        </w:r>
        <w:r w:rsidR="00074781" w:rsidRPr="00074781">
          <w:rPr>
            <w:rFonts w:ascii="宋体" w:hAnsi="宋体"/>
            <w:noProof/>
            <w:sz w:val="24"/>
          </w:rPr>
          <w:fldChar w:fldCharType="end"/>
        </w:r>
      </w:hyperlink>
    </w:p>
    <w:p w14:paraId="65E35336" w14:textId="039EEAC6" w:rsidR="00074781" w:rsidRPr="00B90DF9" w:rsidRDefault="00130854" w:rsidP="00074781">
      <w:pPr>
        <w:pStyle w:val="11"/>
        <w:tabs>
          <w:tab w:val="right" w:leader="dot" w:pos="8550"/>
        </w:tabs>
        <w:spacing w:line="360" w:lineRule="auto"/>
        <w:rPr>
          <w:rFonts w:ascii="宋体" w:hAnsi="宋体"/>
          <w:noProof/>
          <w:sz w:val="24"/>
        </w:rPr>
      </w:pPr>
      <w:hyperlink w:anchor="_Toc135812822" w:history="1">
        <w:r w:rsidR="00074781" w:rsidRPr="00074781">
          <w:rPr>
            <w:rStyle w:val="af0"/>
            <w:rFonts w:ascii="宋体" w:hAnsi="宋体" w:hint="eastAsia"/>
            <w:noProof/>
            <w:sz w:val="24"/>
          </w:rPr>
          <w:t>二十二、对基金份额持有人的服务</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_Toc135812822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146</w:t>
        </w:r>
        <w:r w:rsidR="00074781" w:rsidRPr="00074781">
          <w:rPr>
            <w:rFonts w:ascii="宋体" w:hAnsi="宋体"/>
            <w:noProof/>
            <w:sz w:val="24"/>
          </w:rPr>
          <w:fldChar w:fldCharType="end"/>
        </w:r>
      </w:hyperlink>
    </w:p>
    <w:p w14:paraId="5CFC3946" w14:textId="1EFBFBCF" w:rsidR="00074781" w:rsidRPr="00B90DF9" w:rsidRDefault="00130854" w:rsidP="00074781">
      <w:pPr>
        <w:pStyle w:val="11"/>
        <w:tabs>
          <w:tab w:val="right" w:leader="dot" w:pos="8550"/>
        </w:tabs>
        <w:spacing w:line="360" w:lineRule="auto"/>
        <w:rPr>
          <w:rFonts w:ascii="宋体" w:hAnsi="宋体"/>
          <w:noProof/>
          <w:sz w:val="24"/>
        </w:rPr>
      </w:pPr>
      <w:hyperlink w:anchor="_Toc135812823" w:history="1">
        <w:r w:rsidR="00074781" w:rsidRPr="00074781">
          <w:rPr>
            <w:rStyle w:val="af0"/>
            <w:rFonts w:ascii="宋体" w:hAnsi="宋体" w:hint="eastAsia"/>
            <w:noProof/>
            <w:sz w:val="24"/>
          </w:rPr>
          <w:t>二十三、其他应披露事项</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_Toc135812823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148</w:t>
        </w:r>
        <w:r w:rsidR="00074781" w:rsidRPr="00074781">
          <w:rPr>
            <w:rFonts w:ascii="宋体" w:hAnsi="宋体"/>
            <w:noProof/>
            <w:sz w:val="24"/>
          </w:rPr>
          <w:fldChar w:fldCharType="end"/>
        </w:r>
      </w:hyperlink>
    </w:p>
    <w:p w14:paraId="532E1988" w14:textId="5A204CC9" w:rsidR="00074781" w:rsidRPr="00B90DF9" w:rsidRDefault="00130854" w:rsidP="00074781">
      <w:pPr>
        <w:pStyle w:val="11"/>
        <w:tabs>
          <w:tab w:val="right" w:leader="dot" w:pos="8550"/>
        </w:tabs>
        <w:spacing w:line="360" w:lineRule="auto"/>
        <w:rPr>
          <w:rFonts w:ascii="宋体" w:hAnsi="宋体"/>
          <w:noProof/>
          <w:sz w:val="24"/>
        </w:rPr>
      </w:pPr>
      <w:hyperlink w:anchor="_Toc135812824" w:history="1">
        <w:r w:rsidR="00074781" w:rsidRPr="00074781">
          <w:rPr>
            <w:rStyle w:val="af0"/>
            <w:rFonts w:ascii="宋体" w:hAnsi="宋体" w:hint="eastAsia"/>
            <w:noProof/>
            <w:sz w:val="24"/>
          </w:rPr>
          <w:t>二十四、招募说明书的存放及查阅方式</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_Toc135812824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150</w:t>
        </w:r>
        <w:r w:rsidR="00074781" w:rsidRPr="00074781">
          <w:rPr>
            <w:rFonts w:ascii="宋体" w:hAnsi="宋体"/>
            <w:noProof/>
            <w:sz w:val="24"/>
          </w:rPr>
          <w:fldChar w:fldCharType="end"/>
        </w:r>
      </w:hyperlink>
    </w:p>
    <w:p w14:paraId="2A964DD9" w14:textId="49643463" w:rsidR="00074781" w:rsidRPr="00B90DF9" w:rsidRDefault="00130854" w:rsidP="00074781">
      <w:pPr>
        <w:pStyle w:val="11"/>
        <w:tabs>
          <w:tab w:val="right" w:leader="dot" w:pos="8550"/>
        </w:tabs>
        <w:spacing w:line="360" w:lineRule="auto"/>
        <w:rPr>
          <w:rFonts w:ascii="宋体" w:hAnsi="宋体"/>
          <w:noProof/>
          <w:sz w:val="24"/>
        </w:rPr>
      </w:pPr>
      <w:hyperlink w:anchor="_Toc135812825" w:history="1">
        <w:r w:rsidR="00074781" w:rsidRPr="00074781">
          <w:rPr>
            <w:rStyle w:val="af0"/>
            <w:rFonts w:ascii="宋体" w:hAnsi="宋体" w:hint="eastAsia"/>
            <w:noProof/>
            <w:sz w:val="24"/>
          </w:rPr>
          <w:t>二十五、备查文件</w:t>
        </w:r>
        <w:r w:rsidR="00074781" w:rsidRPr="00074781">
          <w:rPr>
            <w:rFonts w:ascii="宋体" w:hAnsi="宋体"/>
            <w:noProof/>
            <w:sz w:val="24"/>
          </w:rPr>
          <w:tab/>
        </w:r>
        <w:r w:rsidR="00074781" w:rsidRPr="00074781">
          <w:rPr>
            <w:rFonts w:ascii="宋体" w:hAnsi="宋体"/>
            <w:noProof/>
            <w:sz w:val="24"/>
          </w:rPr>
          <w:fldChar w:fldCharType="begin"/>
        </w:r>
        <w:r w:rsidR="00074781" w:rsidRPr="00074781">
          <w:rPr>
            <w:rFonts w:ascii="宋体" w:hAnsi="宋体"/>
            <w:noProof/>
            <w:sz w:val="24"/>
          </w:rPr>
          <w:instrText xml:space="preserve"> PAGEREF _Toc135812825 \h </w:instrText>
        </w:r>
        <w:r w:rsidR="00074781" w:rsidRPr="00074781">
          <w:rPr>
            <w:rFonts w:ascii="宋体" w:hAnsi="宋体"/>
            <w:noProof/>
            <w:sz w:val="24"/>
          </w:rPr>
        </w:r>
        <w:r w:rsidR="00074781" w:rsidRPr="00074781">
          <w:rPr>
            <w:rFonts w:ascii="宋体" w:hAnsi="宋体"/>
            <w:noProof/>
            <w:sz w:val="24"/>
          </w:rPr>
          <w:fldChar w:fldCharType="separate"/>
        </w:r>
        <w:r w:rsidR="00831735">
          <w:rPr>
            <w:rFonts w:ascii="宋体" w:hAnsi="宋体"/>
            <w:noProof/>
            <w:sz w:val="24"/>
          </w:rPr>
          <w:t>151</w:t>
        </w:r>
        <w:r w:rsidR="00074781" w:rsidRPr="00074781">
          <w:rPr>
            <w:rFonts w:ascii="宋体" w:hAnsi="宋体"/>
            <w:noProof/>
            <w:sz w:val="24"/>
          </w:rPr>
          <w:fldChar w:fldCharType="end"/>
        </w:r>
      </w:hyperlink>
    </w:p>
    <w:p w14:paraId="104BD4D7" w14:textId="44FC604B" w:rsidR="00D0305B" w:rsidRDefault="00074781" w:rsidP="00831735">
      <w:pPr>
        <w:pStyle w:val="af3"/>
        <w:snapToGrid w:val="0"/>
        <w:spacing w:after="240" w:line="360" w:lineRule="auto"/>
        <w:jc w:val="center"/>
        <w:rPr>
          <w:b w:val="0"/>
          <w:bCs w:val="0"/>
        </w:rPr>
        <w:sectPr w:rsidR="00D0305B">
          <w:pgSz w:w="11920" w:h="16840"/>
          <w:pgMar w:top="1480" w:right="1680" w:bottom="280" w:left="1680" w:header="0" w:footer="1073" w:gutter="0"/>
          <w:cols w:space="720"/>
        </w:sectPr>
      </w:pPr>
      <w:r w:rsidRPr="00074781">
        <w:rPr>
          <w:rFonts w:ascii="宋体" w:hAnsi="宋体"/>
          <w:b w:val="0"/>
          <w:bCs w:val="0"/>
          <w:color w:val="000000"/>
          <w:position w:val="-4"/>
          <w:sz w:val="24"/>
          <w:szCs w:val="30"/>
        </w:rPr>
        <w:fldChar w:fldCharType="end"/>
      </w:r>
    </w:p>
    <w:p w14:paraId="4830FE58" w14:textId="77777777" w:rsidR="00D0305B" w:rsidRDefault="00AE421E">
      <w:pPr>
        <w:pStyle w:val="1"/>
        <w:snapToGrid w:val="0"/>
        <w:spacing w:beforeLines="0" w:before="240" w:after="240"/>
        <w:rPr>
          <w:rFonts w:ascii="宋体" w:hAnsi="宋体"/>
          <w:szCs w:val="30"/>
        </w:rPr>
      </w:pPr>
      <w:bookmarkStart w:id="3" w:name="_Toc135812801"/>
      <w:r>
        <w:rPr>
          <w:rFonts w:ascii="Times New Roman" w:hAnsi="Times New Roman"/>
          <w:sz w:val="30"/>
        </w:rPr>
        <w:lastRenderedPageBreak/>
        <w:t>一、绪言</w:t>
      </w:r>
      <w:bookmarkEnd w:id="3"/>
    </w:p>
    <w:p w14:paraId="1A9A3F5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安心收益债券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安心收益债券型证券投资基金基金合同》（以下简称“基金合同”）编写。</w:t>
      </w:r>
    </w:p>
    <w:p w14:paraId="2A7C265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77D7097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备案。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F92960A"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592AA85" w14:textId="77777777" w:rsidR="00D0305B" w:rsidRDefault="00AE421E">
      <w:pPr>
        <w:pStyle w:val="1"/>
        <w:snapToGrid w:val="0"/>
        <w:spacing w:beforeLines="0" w:before="240" w:after="240"/>
        <w:rPr>
          <w:rFonts w:ascii="宋体" w:hAnsi="宋体"/>
          <w:szCs w:val="30"/>
        </w:rPr>
      </w:pPr>
      <w:bookmarkStart w:id="4" w:name="_Toc135812802"/>
      <w:r>
        <w:rPr>
          <w:rFonts w:ascii="Times New Roman" w:hAnsi="Times New Roman"/>
          <w:sz w:val="30"/>
        </w:rPr>
        <w:t>二、释义</w:t>
      </w:r>
      <w:bookmarkEnd w:id="4"/>
    </w:p>
    <w:p w14:paraId="66A45C3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4A72E17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1、基金或本基金：指交银施罗德安心收益债券型证券投资基金</w:t>
      </w:r>
    </w:p>
    <w:p w14:paraId="3440FF4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3C8F221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3、基金托管人或本基金托管人：指中国民生银行股份有限公司</w:t>
      </w:r>
    </w:p>
    <w:p w14:paraId="5A1B7C2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4、基金合同或《基金合同》：指《交银施罗德安心收益债券型证券投资基金基金合同》及对基金合同的任何有效修订和补充</w:t>
      </w:r>
    </w:p>
    <w:p w14:paraId="6B77066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5、托管协议：指基金管理人与基金托管人就本基金签订之《交银施罗德安心收益债券型证券投资基金托管协议》及对该托管协议的任何有效修订和补充</w:t>
      </w:r>
    </w:p>
    <w:p w14:paraId="503CE77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6、招募说明书或《招募说明书》或本招募说明书：指《交银施罗德安心收益债券型证券投资基金招募说明书》及其更新</w:t>
      </w:r>
    </w:p>
    <w:p w14:paraId="4B88C8D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7、基金产品资料概要：指《交银施罗德安心收益债券型证券投资基金基金产品资料概要》及其更新</w:t>
      </w:r>
    </w:p>
    <w:p w14:paraId="598D258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8、法律法规：指中国现行有效并公布实施的法律、行政法规、规范性文件、司法解释、行政规章以及其他对基金合同当事人有约束力的决定、决议、通知等</w:t>
      </w:r>
    </w:p>
    <w:p w14:paraId="16E4EAC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法》：指2003年10月28日经第十届全国人民代表大会常务委员会第五次会议通过，并经2012年12月28日第十一届全国人民代表大会常务委员会第三十次会议修订，自2013年6月1日起实施的《中华人民共和国证券投资基金法》及其后颁布机关对其不时做出的修订</w:t>
      </w:r>
    </w:p>
    <w:p w14:paraId="670FCC7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10、《销售办法》：指中国证监会2013年3月15日颁布、同年6月1日实施的《证券投资基金销售管理办法》及颁布机关对其不时做出的修订</w:t>
      </w:r>
    </w:p>
    <w:p w14:paraId="64244BA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11、《信息披露办法》：指中国证监会2019年7月26日颁布、同年9月1日实施的《公开募集证券投资基金信息披露管理办法》及颁布机关对其不时做出的修订</w:t>
      </w:r>
    </w:p>
    <w:p w14:paraId="5F76E54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12、《运作办法》：指中国证监会2014年7月7日颁布、同年8月8日实施的《公开募集证券投资基金运作管理办法》及颁布机关对其不时做出的修订</w:t>
      </w:r>
    </w:p>
    <w:p w14:paraId="6F47146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13、《流动性规定》：指中国证监会2017年8月31日颁布、同年10月1日实施的《公开募集开放式证券投资基金流动性风险管理规定》及颁布机关对其不时做出的修订</w:t>
      </w:r>
    </w:p>
    <w:p w14:paraId="14E5DEE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14、中国证监会：指中国证券监督管理委员会</w:t>
      </w:r>
    </w:p>
    <w:p w14:paraId="51A4FB9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15、银行业监督管理机构：指中国人民银行和/或中国银行业监督管理委员会</w:t>
      </w:r>
    </w:p>
    <w:p w14:paraId="4154A81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16、基金合同当事人：指受基金合同约束，根据基金合同享有权利并承担义务的法律主体，包括基金管理人、基金托管人和基金份额持有人</w:t>
      </w:r>
    </w:p>
    <w:p w14:paraId="67C2860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17、个人投资者：指依据有关法律法规规定可投资于证券投资基金的自然人</w:t>
      </w:r>
    </w:p>
    <w:p w14:paraId="2C9D83E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18、机构投资者：指依法可以投资证券投资基金的、在中华人民共和国境内合法登记并存续或经有关政府部门批准设立并存续的企业法人、事业法人、社会团体或其他组织</w:t>
      </w:r>
    </w:p>
    <w:p w14:paraId="31DB07D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19、合格境外机构投资者：指符合《合格境外机构投资者境内证券投资管理办法》及相关法律法规规定可以投资于在中国境内依法募集的证券投资基金的中国境外的机构投资者</w:t>
      </w:r>
    </w:p>
    <w:p w14:paraId="3AC7CC4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20、人民币合格境外机构投资者：指按照《人民币合格境外机构投资者境内证券投资试点办法》及相关法律法规规定，运用来自境外的人民币资金进行中国境内证券投资的境外机构投资者</w:t>
      </w:r>
    </w:p>
    <w:p w14:paraId="1DF449C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21、投资人或投资者：指个人投资者、机构投资者、合格境外机构投资者和人民币合格境外机构投资者以及法律法规或中国证监会允许购买证券投资基金的其他投资人的合称</w:t>
      </w:r>
    </w:p>
    <w:p w14:paraId="3FBE776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22、基金份额持有人：指依基金合同和招募说明书合法取得基金份额的投资人</w:t>
      </w:r>
    </w:p>
    <w:p w14:paraId="08F6D7A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23、基金销售业务：指基金管理人或销售机构宣传推介基金，销售基金份额，办理基金份额的申购、赎回、转换、转托管及定期定额投资等业务</w:t>
      </w:r>
    </w:p>
    <w:p w14:paraId="00BAD39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24、销售机构：指交银施罗德基金管理有限公司以及符合《销售办法》和中国证监会规定的其他条件，取得基金销售业务资格并与基金管理人签订了基金销售服务协议，办理基金销售业务的机构</w:t>
      </w:r>
    </w:p>
    <w:p w14:paraId="1A551A9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DEA8DB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26、登记机构：指办理登记业务的机构。基金的登记机构为交银施罗德基金管理有限公司或接受交银施罗德基金管理有限公司委托办理登记业务的机构</w:t>
      </w:r>
    </w:p>
    <w:p w14:paraId="3A4B8FE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27、基金账户：指登记机构为投资人开立的、记录其持有的、基金管理人所管理的基金份额余额及其变动情况的账户</w:t>
      </w:r>
    </w:p>
    <w:p w14:paraId="7FDCF1D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28、基金交易账户：指销售机构为投资人开立的、记录投资人通过该销售机构办理认购、申购、赎回、转换及转托管等业务而引起的基金份额变动及结余情况的账户</w:t>
      </w:r>
    </w:p>
    <w:p w14:paraId="5A371CF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29、基金合同生效日：指交银施罗德荣和保本混合型证券投资基金第一个保本周期到期期间截止日的次日，即“交银施罗德荣和保本混合型证券投资基金”转型为“交银施罗德安心收益债券型证券投资基金”之日</w:t>
      </w:r>
    </w:p>
    <w:p w14:paraId="0F5F622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30、基金合同终止日：指基金合同规定的基金合同终止事由出现后，基金财产清算完毕，清算结果报中国证监会备案并予以公告的日期</w:t>
      </w:r>
    </w:p>
    <w:p w14:paraId="59449ED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31、存续期：指基金合同生效至终止之间的不定期期限</w:t>
      </w:r>
    </w:p>
    <w:p w14:paraId="388EC54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32、工作日：指上海证券交易所、深圳证券交易所的正常交易日</w:t>
      </w:r>
    </w:p>
    <w:p w14:paraId="5832CB1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33、T日：指销售机构在规定时间受理投资人申购、赎回或其他业务申请的开放日</w:t>
      </w:r>
    </w:p>
    <w:p w14:paraId="2FA7430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34、T+n日：指自T日起第n个工作日(不包含T日)</w:t>
      </w:r>
    </w:p>
    <w:p w14:paraId="3EC3F49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35、开放日：指为投资人办理基金份额申购、赎回或其他业务的工作日</w:t>
      </w:r>
    </w:p>
    <w:p w14:paraId="7E8ACE1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36、开放时间：指开放日基金接受申购、赎回或其他交易的时间段</w:t>
      </w:r>
    </w:p>
    <w:p w14:paraId="2E106F7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791FE6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38、申购：指基金合同生效后，投资人根据基金合同和招募说明书的规定申请购买基金份额的行为</w:t>
      </w:r>
    </w:p>
    <w:p w14:paraId="46DA8AA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39、赎回：指基金合同生效后，基金份额持有人按基金合同和招募说明书规定的条件要求将基金份额兑换为现金的行为</w:t>
      </w:r>
    </w:p>
    <w:p w14:paraId="490596C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40、基金转换：指基金份额持有人按照基金合同和基金管理人届时有效公告规定的条件，申请将其持有基金管理人管理的、某一基金的基金份额转换为基金管理人管理的其他基金基金份额的行为</w:t>
      </w:r>
    </w:p>
    <w:p w14:paraId="767580D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41、转托管：指基金份额持有人在本基金的不同销售机构之间实施的变更所持基金份额销售机构的操作</w:t>
      </w:r>
    </w:p>
    <w:p w14:paraId="14DDB02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42、定期定额投资计划：指投资人通过有关销售机构提出申请，约定每期申购日、扣款金额及扣款方式，由指定的销售机构在投资人指定银行账户内自动完成扣</w:t>
      </w:r>
      <w:r>
        <w:rPr>
          <w:rFonts w:ascii="宋体" w:hAnsi="宋体"/>
          <w:sz w:val="24"/>
        </w:rPr>
        <w:lastRenderedPageBreak/>
        <w:t>款并于每期约定的申购日受理基金申购申请的一种投资方式</w:t>
      </w:r>
    </w:p>
    <w:p w14:paraId="17BC54A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2F07C41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44、元：指人民币元</w:t>
      </w:r>
    </w:p>
    <w:p w14:paraId="57FA55C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45、基金收益：指基金投资所得红利、股息、债券利息、买卖证券价差、银行存款利息、已实现的其他合法收入及因运用基金财产带来的成本和费用的节约</w:t>
      </w:r>
    </w:p>
    <w:p w14:paraId="39B9D90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46、基金资产总值：指基金拥有的各类有价证券、银行存款本息、基金应收申购款及其他资产的价值总和</w:t>
      </w:r>
    </w:p>
    <w:p w14:paraId="29C8000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47、基金资产净值：指基金资产总值减去基金负债后的价值</w:t>
      </w:r>
    </w:p>
    <w:p w14:paraId="78B579C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48、基金份额净值：指计算日基金资产净值除以计算日基金份额总数</w:t>
      </w:r>
    </w:p>
    <w:p w14:paraId="650EEAA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49、基金资产估值：指计算评估基金资产和负债的价值，以确定基金资产净值和基金份额净值的过程</w:t>
      </w:r>
    </w:p>
    <w:p w14:paraId="2BEAABAD" w14:textId="77777777" w:rsidR="00594A13" w:rsidRPr="00594A13" w:rsidRDefault="00AE421E" w:rsidP="00594A1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50、</w:t>
      </w:r>
      <w:r w:rsidR="00594A13" w:rsidRPr="00594A13">
        <w:rPr>
          <w:rFonts w:ascii="宋体" w:hAnsi="宋体" w:hint="eastAsia"/>
          <w:sz w:val="24"/>
        </w:rPr>
        <w:t>销售服务费：指从基金财产中计提的，用于本基金市场推广、销售以及基金份额持有人服务的费用</w:t>
      </w:r>
    </w:p>
    <w:p w14:paraId="64C8DB0C" w14:textId="77777777" w:rsidR="00594A13" w:rsidRPr="00594A13" w:rsidRDefault="00594A13" w:rsidP="00594A13">
      <w:pPr>
        <w:autoSpaceDE w:val="0"/>
        <w:autoSpaceDN w:val="0"/>
        <w:adjustRightInd w:val="0"/>
        <w:snapToGrid w:val="0"/>
        <w:spacing w:line="360" w:lineRule="auto"/>
        <w:ind w:firstLineChars="200" w:firstLine="480"/>
        <w:jc w:val="left"/>
        <w:rPr>
          <w:rFonts w:ascii="宋体" w:hAnsi="宋体"/>
          <w:sz w:val="24"/>
        </w:rPr>
      </w:pPr>
      <w:r w:rsidRPr="00594A13">
        <w:rPr>
          <w:rFonts w:ascii="宋体" w:hAnsi="宋体" w:hint="eastAsia"/>
          <w:sz w:val="24"/>
        </w:rPr>
        <w:t>51、A类基金份额：指在投资人申购时收取申购费用且不从本类别基金资产中计提销售服务费的基金份额</w:t>
      </w:r>
    </w:p>
    <w:p w14:paraId="088834FA" w14:textId="0A415B9E" w:rsidR="00594A13" w:rsidRPr="00594A13" w:rsidRDefault="00594A13" w:rsidP="00594A13">
      <w:pPr>
        <w:autoSpaceDE w:val="0"/>
        <w:autoSpaceDN w:val="0"/>
        <w:adjustRightInd w:val="0"/>
        <w:snapToGrid w:val="0"/>
        <w:spacing w:line="360" w:lineRule="auto"/>
        <w:ind w:firstLineChars="200" w:firstLine="480"/>
        <w:jc w:val="left"/>
        <w:rPr>
          <w:rFonts w:ascii="宋体" w:hAnsi="宋体"/>
          <w:sz w:val="24"/>
        </w:rPr>
      </w:pPr>
      <w:r w:rsidRPr="00594A13">
        <w:rPr>
          <w:rFonts w:ascii="宋体" w:hAnsi="宋体" w:hint="eastAsia"/>
          <w:sz w:val="24"/>
        </w:rPr>
        <w:t>52、</w:t>
      </w:r>
      <w:r w:rsidR="00A04E13">
        <w:rPr>
          <w:rFonts w:ascii="宋体" w:hAnsi="宋体" w:hint="eastAsia"/>
          <w:sz w:val="24"/>
        </w:rPr>
        <w:t>E类</w:t>
      </w:r>
      <w:r w:rsidRPr="00594A13">
        <w:rPr>
          <w:rFonts w:ascii="宋体" w:hAnsi="宋体" w:hint="eastAsia"/>
          <w:sz w:val="24"/>
        </w:rPr>
        <w:t>基金份额：指在投资人申购时不收取申购费用，并从本类别基金资产中计提销售服务费的基金份额</w:t>
      </w:r>
    </w:p>
    <w:p w14:paraId="084D6E54" w14:textId="6C651796" w:rsidR="00D0305B" w:rsidRDefault="00594A13" w:rsidP="00594A13">
      <w:pPr>
        <w:autoSpaceDE w:val="0"/>
        <w:autoSpaceDN w:val="0"/>
        <w:adjustRightInd w:val="0"/>
        <w:snapToGrid w:val="0"/>
        <w:spacing w:line="360" w:lineRule="auto"/>
        <w:ind w:firstLineChars="200" w:firstLine="480"/>
        <w:jc w:val="left"/>
        <w:rPr>
          <w:rFonts w:ascii="宋体" w:hAnsi="宋体"/>
          <w:szCs w:val="24"/>
        </w:rPr>
      </w:pPr>
      <w:r w:rsidRPr="00594A13">
        <w:rPr>
          <w:rFonts w:ascii="宋体" w:hAnsi="宋体" w:hint="eastAsia"/>
          <w:sz w:val="24"/>
        </w:rPr>
        <w:t>53、</w:t>
      </w:r>
      <w:r w:rsidR="00AE421E">
        <w:rPr>
          <w:rFonts w:ascii="宋体" w:hAnsi="宋体"/>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1D8E3594" w14:textId="08647499" w:rsidR="00D0305B" w:rsidRDefault="00594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w:t>
      </w:r>
      <w:r w:rsidR="00AE421E">
        <w:rPr>
          <w:rFonts w:ascii="宋体" w:hAnsi="宋体"/>
          <w:sz w:val="24"/>
        </w:rPr>
        <w:t>、指定媒介：指中国证监会指定的用以进行信息披露的全国性报刊及指定互联网网站（包括基金管理人网站、基金托管人网站、中国证监会基金电子披露网站）等媒介</w:t>
      </w:r>
    </w:p>
    <w:p w14:paraId="73AA36EB" w14:textId="10D9CDE7" w:rsidR="00D0305B" w:rsidRDefault="00594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w:t>
      </w:r>
      <w:r w:rsidR="00AE421E">
        <w:rPr>
          <w:rFonts w:ascii="宋体" w:hAnsi="宋体"/>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w:t>
      </w:r>
      <w:r w:rsidR="00AE421E">
        <w:rPr>
          <w:rFonts w:ascii="宋体" w:hAnsi="宋体"/>
          <w:sz w:val="24"/>
        </w:rPr>
        <w:lastRenderedPageBreak/>
        <w:t>侧袋账户</w:t>
      </w:r>
    </w:p>
    <w:p w14:paraId="6409D280" w14:textId="0EBCD2DD" w:rsidR="00D0305B" w:rsidRDefault="00594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w:t>
      </w:r>
      <w:r w:rsidR="00AE421E">
        <w:rPr>
          <w:rFonts w:ascii="宋体" w:hAnsi="宋体"/>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7DD5F86" w14:textId="7CF227BF" w:rsidR="00D0305B" w:rsidRDefault="00594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w:t>
      </w:r>
      <w:r w:rsidR="00AE421E">
        <w:rPr>
          <w:rFonts w:ascii="宋体" w:hAnsi="宋体"/>
          <w:sz w:val="24"/>
        </w:rPr>
        <w:t>、不可抗力：指基金合同当事人不能预见、不能避免且不能克服的客观事件</w:t>
      </w:r>
    </w:p>
    <w:p w14:paraId="32A68E84"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AB63AF1" w14:textId="77777777" w:rsidR="00D0305B" w:rsidRDefault="00AE421E">
      <w:pPr>
        <w:pStyle w:val="1"/>
        <w:snapToGrid w:val="0"/>
        <w:spacing w:beforeLines="0" w:before="240" w:after="240"/>
        <w:rPr>
          <w:rFonts w:ascii="宋体" w:hAnsi="宋体"/>
          <w:szCs w:val="30"/>
        </w:rPr>
      </w:pPr>
      <w:bookmarkStart w:id="5" w:name="_Toc135812803"/>
      <w:r>
        <w:rPr>
          <w:rFonts w:ascii="Times New Roman" w:hAnsi="Times New Roman"/>
          <w:sz w:val="30"/>
        </w:rPr>
        <w:t>三、基金管理人</w:t>
      </w:r>
      <w:bookmarkEnd w:id="5"/>
    </w:p>
    <w:p w14:paraId="7BFFF2F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251999A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229132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CD0BDC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4F0E13E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6A1E41C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25CD9C3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5BEE198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585566E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5F5A254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205501D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78336D6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67F9681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35"/>
        <w:gridCol w:w="4335"/>
      </w:tblGrid>
      <w:tr w:rsidR="00D0305B" w14:paraId="53E12AE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61AA8B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27C88D4A"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D0305B" w14:paraId="266B977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0386DD0"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FD98262"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D0305B" w14:paraId="325DF64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89E5202"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CBCCF00"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D0305B" w14:paraId="148626C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9BE2CB4"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6FC5DB97"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798A113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40C3F11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380474C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E01522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童洁萍女士，董事，硕士。现任交通银行总行个人金融业务部副总经理。历任交通银行南京分行个人金融业务部副高级经理、江苏省分行个人金融业务部副总经理、总经理、玄武支行行长。</w:t>
      </w:r>
    </w:p>
    <w:p w14:paraId="33B8B9A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王贤家先生，董事，学士。现任交通银行总行风险管理部/内控案防办 副总经理。历任交通银行总行国际业务部外汇资金处交易员、澳门分行资金部主管、总行金融市场部债券投资部副高级经理、外汇交易部高级经理。</w:t>
      </w:r>
    </w:p>
    <w:p w14:paraId="610798E9" w14:textId="77777777" w:rsidR="009B79E7" w:rsidRPr="00381A37" w:rsidRDefault="009B79E7" w:rsidP="009B79E7">
      <w:pPr>
        <w:autoSpaceDE w:val="0"/>
        <w:autoSpaceDN w:val="0"/>
        <w:adjustRightInd w:val="0"/>
        <w:snapToGrid w:val="0"/>
        <w:spacing w:line="360" w:lineRule="auto"/>
        <w:ind w:firstLineChars="200" w:firstLine="480"/>
        <w:jc w:val="left"/>
        <w:rPr>
          <w:rFonts w:ascii="宋体" w:hAnsi="宋体" w:hint="eastAsia"/>
          <w:sz w:val="24"/>
        </w:rPr>
      </w:pPr>
      <w:r w:rsidRPr="004E094C">
        <w:rPr>
          <w:rFonts w:ascii="宋体" w:hAnsi="宋体" w:hint="eastAsia"/>
          <w:sz w:val="24"/>
        </w:rPr>
        <w:t>谢卫先生，董事，总经理，</w:t>
      </w:r>
      <w:r w:rsidRPr="00381A37">
        <w:rPr>
          <w:rFonts w:ascii="宋体" w:hAnsi="宋体" w:hint="eastAsia"/>
          <w:sz w:val="24"/>
        </w:rPr>
        <w:t>博士，高级经济师，第十、十一、十二届民盟中央委员、第十一、十二、十三届全国政协委员。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D056C1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240F89A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03210F2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14:paraId="264F478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4A78B3C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1395DC0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77276A6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w:t>
      </w:r>
      <w:r>
        <w:rPr>
          <w:rFonts w:ascii="宋体" w:hAnsi="宋体"/>
          <w:sz w:val="24"/>
        </w:rPr>
        <w:lastRenderedPageBreak/>
        <w:t>主任。历任交通银行山西省分行个人金融业务部高级经理，交通银行山西省分行副行长，交通银行个人金融业务部副总经理、私人银行部总经理。</w:t>
      </w:r>
    </w:p>
    <w:p w14:paraId="3E2A24D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林凯珊女士，监事，硕士。现任施罗德投资管理（香港）有限公司中国内地及中国香港法律部主管。历任香港证券及期货事务监察委员会发牌科经理、的近律师行律师。</w:t>
      </w:r>
    </w:p>
    <w:p w14:paraId="71D55A0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20EC72C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29FCE07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653B0AD7" w14:textId="4F38AB4F"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14:paraId="251BD85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w:t>
      </w:r>
      <w:bookmarkStart w:id="6" w:name="_GoBack"/>
      <w:bookmarkEnd w:id="6"/>
      <w:r>
        <w:rPr>
          <w:rFonts w:ascii="宋体" w:hAnsi="宋体"/>
          <w:sz w:val="24"/>
        </w:rPr>
        <w:t>行公司业务部副高级经理、高级经理，交通银行机构业务部高级经理、总经理助理、副总经理，交银施罗德资产管理有限公司董事长。</w:t>
      </w:r>
    </w:p>
    <w:p w14:paraId="38481DB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41A986B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1FA311E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4DF1729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魏玉敏女士:基金经理。厦门大学金融学硕士、学士，11年证券投资行业从业经验。2012年至2013年任招商证券固定收益研究员，2013年至2016年任国信证券固定收益高级分析师。2016年加入交银施罗德基金管理有限公司，现任固定收益部基金经理。曾任交银施罗德丰晟收益债券型证券投资基金(2018年08月29日至2020年</w:t>
      </w:r>
      <w:r>
        <w:rPr>
          <w:rFonts w:ascii="宋体" w:hAnsi="宋体"/>
          <w:sz w:val="24"/>
        </w:rPr>
        <w:lastRenderedPageBreak/>
        <w:t>10月16日)、交银施罗德丰润收益债券型证券投资基金(2018年11月02日至2021年12月16日)、交银施罗德中债1-3年农发行债券指数证券投资基金(2019年01月23日至2021年12月16日)的基金经理。现任交银施罗德纯债债券型发起式证券投资基金(2018年08月29日至今)、交银施罗德增利债券证券投资基金(2018年08月29日至今)、交银施罗德裕如纯债债券型证券投资基金(2018年08月29日至今)、交银施罗德增利增强债券型证券投资基金(2018年11月02日至今)、交银施罗德可转债债券型证券投资基金(2019年07月11日至今)、交银施罗德裕泰两年定期开放债券型证券投资基金(2019年12月10日至今)、交银施罗德鑫选回报混合型证券投资基金(2021年04月29日至今)、交银施罗德安心收益债券型证券投资基金(2022年01月27日至今)、交银施罗德双利债券证券投资基金(2022年08月18日至今)、交银施罗德强化回报债券型证券投资基金(2023年04月15日至今)的基金经理。</w:t>
      </w:r>
    </w:p>
    <w:p w14:paraId="42C6489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4BDB05F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项廷锋先生(2015年05月29日至2015年10月06日)；</w:t>
      </w:r>
    </w:p>
    <w:p w14:paraId="2C7FE6E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唐赟先生(2015年11月07日至2019年12月14日)；</w:t>
      </w:r>
    </w:p>
    <w:p w14:paraId="41C9615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王少成先生(2015年11月07日至2018年05月15日)；</w:t>
      </w:r>
    </w:p>
    <w:p w14:paraId="65A910E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王艺伟女士(2019年11月28日至2022年01月26日)。</w:t>
      </w:r>
    </w:p>
    <w:p w14:paraId="21F9C81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067D8B8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195E488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511058E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7B2E654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3DF1830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753CA325" w14:textId="2E1EBC9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w:t>
      </w:r>
      <w:r w:rsidR="00222F5C">
        <w:rPr>
          <w:rFonts w:ascii="宋体" w:hAnsi="宋体"/>
          <w:sz w:val="24"/>
        </w:rPr>
        <w:t>2023年</w:t>
      </w:r>
      <w:r w:rsidR="001412F3">
        <w:rPr>
          <w:rFonts w:ascii="宋体" w:hAnsi="宋体" w:hint="eastAsia"/>
          <w:sz w:val="24"/>
        </w:rPr>
        <w:t>0</w:t>
      </w:r>
      <w:r w:rsidR="001412F3">
        <w:rPr>
          <w:rFonts w:ascii="宋体" w:hAnsi="宋体"/>
          <w:sz w:val="24"/>
        </w:rPr>
        <w:t>8</w:t>
      </w:r>
      <w:r>
        <w:rPr>
          <w:rFonts w:ascii="宋体" w:hAnsi="宋体"/>
          <w:sz w:val="24"/>
        </w:rPr>
        <w:t>月</w:t>
      </w:r>
      <w:r w:rsidR="001412F3">
        <w:rPr>
          <w:rFonts w:ascii="宋体" w:hAnsi="宋体"/>
          <w:sz w:val="24"/>
        </w:rPr>
        <w:t>24</w:t>
      </w:r>
      <w:r>
        <w:rPr>
          <w:rFonts w:ascii="宋体" w:hAnsi="宋体"/>
          <w:sz w:val="24"/>
        </w:rPr>
        <w:t>日，期后变动（如有）敬请关注基金管理人发布的相关公告。</w:t>
      </w:r>
    </w:p>
    <w:p w14:paraId="324BA91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1BA2D1D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1、依法募集资金，办理或者委托经中国证监会认定的其他机构办理基金份额的销售、申购、赎回和登记事宜；</w:t>
      </w:r>
    </w:p>
    <w:p w14:paraId="5059E47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239DEF7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7CF859F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w:t>
      </w:r>
      <w:r>
        <w:rPr>
          <w:rFonts w:ascii="宋体" w:hAnsi="宋体"/>
          <w:sz w:val="24"/>
        </w:rPr>
        <w:lastRenderedPageBreak/>
        <w:t>收益；</w:t>
      </w:r>
    </w:p>
    <w:p w14:paraId="5EA0E36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5D40AB9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1503195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32F010D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3EC414E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0363A0B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201A47E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2B46441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41ADE20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46C59DB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2640F1B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2484D63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171AB75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76F7BF9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197E1F4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1681F65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12D3B5B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5EEE954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01E1AB4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497548A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33719B9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286AEE0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293AA49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2、不利用职务之便为自己、受雇人或任何第三者谋取利益；</w:t>
      </w:r>
    </w:p>
    <w:p w14:paraId="49C9F09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63202E6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64A19CF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2710286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31EB658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2EA342B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4843295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5394E32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11DB9AD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30CF5EF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1E7A895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5DF47CA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075E80D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4F8162B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31B5D41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279536C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2262C59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4242D0C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185122F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7BB8079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w:t>
      </w:r>
      <w:r>
        <w:rPr>
          <w:rFonts w:ascii="宋体" w:hAnsi="宋体"/>
          <w:sz w:val="24"/>
        </w:rPr>
        <w:lastRenderedPageBreak/>
        <w:t>性审议；对公司资产与基金资产的经营进行评估。</w:t>
      </w:r>
    </w:p>
    <w:p w14:paraId="5E0746B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5830392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4D0CD41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0030A70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6583C3D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0AFD710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37E5811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7A972D7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4B9339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1FFBC74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91979F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0169AE6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4E54C14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248746B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74B0A6D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w:t>
      </w:r>
      <w:r>
        <w:rPr>
          <w:rFonts w:ascii="宋体" w:hAnsi="宋体"/>
          <w:sz w:val="24"/>
        </w:rPr>
        <w:lastRenderedPageBreak/>
        <w:t>备操作手册，并定期更新。</w:t>
      </w:r>
    </w:p>
    <w:p w14:paraId="37FD16B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035E371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50742C7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13D9E90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29CCB22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2CDBD73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08DB35C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5CAB48B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3210A4F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43964CF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7813450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164CA25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14FDD53B"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E9ED2E" w14:textId="77777777" w:rsidR="00D0305B" w:rsidRDefault="00AE421E">
      <w:pPr>
        <w:pStyle w:val="1"/>
        <w:snapToGrid w:val="0"/>
        <w:spacing w:beforeLines="0" w:before="240" w:after="240"/>
        <w:rPr>
          <w:rFonts w:ascii="宋体" w:hAnsi="宋体"/>
          <w:szCs w:val="30"/>
        </w:rPr>
      </w:pPr>
      <w:bookmarkStart w:id="7" w:name="_Toc135812804"/>
      <w:r>
        <w:rPr>
          <w:rFonts w:ascii="Times New Roman" w:hAnsi="Times New Roman"/>
          <w:sz w:val="30"/>
        </w:rPr>
        <w:t>四、基金托管人</w:t>
      </w:r>
      <w:bookmarkEnd w:id="7"/>
    </w:p>
    <w:p w14:paraId="713CF91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(一)基金托管人概况</w:t>
      </w:r>
    </w:p>
    <w:p w14:paraId="4B2DD3F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基本情况</w:t>
      </w:r>
    </w:p>
    <w:p w14:paraId="382932C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名称：中国民生银行股份有限公司（以下简称“中国民生银行”）</w:t>
      </w:r>
    </w:p>
    <w:p w14:paraId="1F8CB3F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14:paraId="73DFBCE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14:paraId="695EC50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法定代表人：高迎欣</w:t>
      </w:r>
    </w:p>
    <w:p w14:paraId="73B998F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成立日期：1996年2月7日</w:t>
      </w:r>
    </w:p>
    <w:p w14:paraId="322D825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基金托管业务批准文号：证监基金字［2004］101号</w:t>
      </w:r>
    </w:p>
    <w:p w14:paraId="16EDF1F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组织形式：其他股份有限公司（上市）</w:t>
      </w:r>
    </w:p>
    <w:p w14:paraId="41693B1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注册资本：43,782,418,502元人民币</w:t>
      </w:r>
    </w:p>
    <w:p w14:paraId="7D0CECC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14:paraId="73E5293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联系人：罗菲菲</w:t>
      </w:r>
    </w:p>
    <w:p w14:paraId="396B44C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中国民生银行成立于1996年，是中国第一家主要由民营企业发起设立的全国性股份制商业银行，也是严格按照中国《公司法》和《商业银行法》设立的一家现代金融企业。</w:t>
      </w:r>
    </w:p>
    <w:p w14:paraId="633959E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2000年12月19日，中国民生银行A 股股票（代码：600016）在上海证券交易所挂牌上市。2005年10月26日，中国民生银行完成股权分置改革，成为国内首家实施股权分置改革的商业银行。2009年11月26日，中国民生银行H股股票（代码：01988）在香港证券交易所挂牌上市。上市以来，中国民生银行不断完善公司治理，大力推进改革转型，持续创新商业模式和产品服务，致力于成为一家“让人信赖、受人尊敬”的上市公司。</w:t>
      </w:r>
    </w:p>
    <w:p w14:paraId="2A3A0EA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14:paraId="1051684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崔岩女士，中国民生银行资产托管部负责人，博士研究生，具有基金托管人高级管理人员任职资格，从事过全球托管业务、托管业务运作、银行信息管理等工作，具有多年金融从业经历，具备扎实的总部管理经历。曾任中国工商银行总行资产托管部营销专家。</w:t>
      </w:r>
    </w:p>
    <w:p w14:paraId="1E19269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14:paraId="45E9F8F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中国民生银行股份有限公司于2004年7月9日获得基金托管资格，成为《中华人民共和国证券投资基金法》颁布后首家获批从事基金托管业务的银行。为了更好地发挥后发优势，大力发展托管业务，中国民生银行股份有限公司资产托管部从成立伊始就本着充分保护基金持有人的利益、为客户提供高品质托管服务的原则，高起点地建立系统、完善制度、组织人员。资产托管部目前共有员工93人，平均年龄37岁，100%员工拥有大学本科以上学历，68%以上员工具有硕士以上学位。</w:t>
      </w:r>
    </w:p>
    <w:p w14:paraId="3C012FF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民生银行坚持以客户需求为导向，秉承“诚信、严谨、高效、务实”的经营理念，依托丰富的资产托管经验、专业的托管业务服务和先进的托管业务平台，为境内外客户提供安全、准确、及时、高效的专业托管服务。中国民生银行资产托管部于2018年2月6日发布了“爱托管”品牌，近百余家资管机构及合作客户的代表受邀参加了启动仪式。资产托管部始终坚持以客户为中心，致力于为客户提供全面的综合金融服务。对内大力整合行内资源，对外广泛搭建客户服务平台，向各类托管客户提供专业化、增值化的托管综合金融服务，得到各界的充分认可，也在市场上树立了良好品牌形象，成为市场上一家有特色的托管银行。自2010年至今，中国民生银行荣获《金融理财》杂志颁发的“最具潜力托管银行”、“最佳创新托管银行”、“金牌创新力托管银行”奖和“年度金牌托管银行”奖，荣获《21世纪经济报道》颁发的“最佳金融服务托管银行”奖，连续三年获评中央国债登记结算有限责任公司颁发的“优秀资产托管机构”奖项，尤其继2019年被《金融时报》评为年度唯一“最佳资产托管银行”之后，在2020年度再次被评为唯一“最具资产托管创新力银行”。</w:t>
      </w:r>
    </w:p>
    <w:p w14:paraId="1498EEF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截至2023年3月31日，中国民生银行托管建信稳定得利债券型证券投资基金、中银新趋势灵活配置混合型证券投资基金、长信利盈灵活配置混合型证券投资基金等共349只证券投资基金，基金托管规模10,947.53亿元。</w:t>
      </w:r>
    </w:p>
    <w:p w14:paraId="4A145F5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(二)基金托管人的内部控制制度</w:t>
      </w:r>
    </w:p>
    <w:p w14:paraId="0A9A256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1.内部风险控制目标</w:t>
      </w:r>
    </w:p>
    <w:p w14:paraId="5699E55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(1)建立完整、严密、高效的风险控制体系，形成科学的决策机制、执行机制和监督机制，防范和化解经营风险，保障资产托管业务的稳健运行和托管财产的安全完整。</w:t>
      </w:r>
    </w:p>
    <w:p w14:paraId="69001D4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(2)大力培育合规文化，自觉形成守法经营、规范运作的经营思想和经营理念，严格控制合规风险，保证资产托管业务符合国家有关法律法规和行业监管规</w:t>
      </w:r>
      <w:r>
        <w:rPr>
          <w:rFonts w:ascii="宋体" w:hAnsi="宋体"/>
          <w:sz w:val="24"/>
        </w:rPr>
        <w:lastRenderedPageBreak/>
        <w:t>则。</w:t>
      </w:r>
    </w:p>
    <w:p w14:paraId="44705BD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以相互制衡健全有效的风控组织结构为保障，以完善健全的制度为基础，以落实到位的过程控制为着眼点，以先进的信息技术手段为依托，建立全面、系统、动态、主动、有利于差错防弊、堵塞漏洞、消除隐患、保证业务稳健运行的风险控制制度，确保托管业务信息真实、准确、完整、及时。</w:t>
      </w:r>
    </w:p>
    <w:p w14:paraId="257F937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2.内部风险控制组织结构</w:t>
      </w:r>
    </w:p>
    <w:p w14:paraId="2A49A9C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总行高级管理层负责部署全行的风险管理工作。总行风险管理委员会是总行高级管理层下设的风险管理专业委员会，对高级管理层负责，支持高级管理层履行职责。资产托管业务风险控制工作在总行风险管理委员会的统一部署和指导下开展。</w:t>
      </w:r>
    </w:p>
    <w:p w14:paraId="6702234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总行各部门紧密配合，共同把控资产托管业务运行中的风险，具体职责与分工如下：总行风险管理部作为总行风险管理委员会秘书机构，是全行风险管理的统筹部门，对资产托管部的风险控制工作进行指导；总行法律合规部负责资产托管业务项下的相关合同、协议等法律性文件的审定，对业务开展进行合规检查并督导问题整改落实；总行审计部对全行托管业务进行内部审计，包括定期内部审计、现场和非现场检查等；总行办公室与资产托管部共同制定声誉风险应急预案。</w:t>
      </w:r>
    </w:p>
    <w:p w14:paraId="5811718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3.内部风险控制原则</w:t>
      </w:r>
    </w:p>
    <w:p w14:paraId="303C399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(1)合法合规原则。风险控制应符合和体现国家法律、法规、规章和各项政策。</w:t>
      </w:r>
    </w:p>
    <w:p w14:paraId="117ABDB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(2)全面性原则。风险控制覆盖托管部的各个业务中心、各个岗位和各级人员，并涵盖资产托管业务各环节。</w:t>
      </w:r>
    </w:p>
    <w:p w14:paraId="2CCBBC4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(3)有效性原则。资产托管业务从业人员应全力维护内部控制制度的有效执行，任何人都没有超越制度约束的权力。</w:t>
      </w:r>
    </w:p>
    <w:p w14:paraId="1F02407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(4)预防性原则。必须树立“预防为主”的管理理念，控制资产托管业务中风险发生的源头，防患于未然，尽量避免业务操作中各种问题的产生。</w:t>
      </w:r>
    </w:p>
    <w:p w14:paraId="346EEA5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及时性原则。资产托管业务风险控制制度的制定应当具有前瞻性，并且随着托管部经营战略、经营方针、经营理念等内部环境的变化和国家法律法规、政策制度等外部环境的改变进行及时的修改或完善。发现问题，要及时处理，堵塞漏洞。</w:t>
      </w:r>
    </w:p>
    <w:p w14:paraId="1E20194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(6)独立性原则。各业务中心、各岗位职能上保持相对独立性。风险合规管理中心是资产托管部下设的执行机构，不受其他业务中心和个人干涉。业务操作人员</w:t>
      </w:r>
      <w:r>
        <w:rPr>
          <w:rFonts w:ascii="宋体" w:hAnsi="宋体"/>
          <w:sz w:val="24"/>
        </w:rPr>
        <w:lastRenderedPageBreak/>
        <w:t>和检查人员严格分开，以保证风险控制机构的工作不受干扰。</w:t>
      </w:r>
    </w:p>
    <w:p w14:paraId="5076188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(7)相互制约原则。各业务中心、各岗位权责明确，相互牵制，通过切实可行的相互制衡措施来消除风险控制的盲点。</w:t>
      </w:r>
    </w:p>
    <w:p w14:paraId="5D96B55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(8)防火墙原则。托管银行自身财务与托管资产财务严格分开；托管业务日常操作部门与行政、研发和营销等部门隔离。</w:t>
      </w:r>
    </w:p>
    <w:p w14:paraId="79B70E4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4.内部风险控制制度和措施</w:t>
      </w:r>
    </w:p>
    <w:p w14:paraId="7EABFE4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(1)制度建设：建立了明确的岗位职责、科学的业务流程、详细的操作手册、严格的人员行为规范等一系列规章制度。</w:t>
      </w:r>
    </w:p>
    <w:p w14:paraId="2745E7A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(2)建立健全的组织管理结构：前后台分离，不同部门、岗位相互牵制。</w:t>
      </w:r>
    </w:p>
    <w:p w14:paraId="3FD46B4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(3)风险识别与评估：定期组织进行风险识别、评估，制定并实施风险控制措施。</w:t>
      </w:r>
    </w:p>
    <w:p w14:paraId="532531F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(4)相对独立的业务操作空间：业务操作区相对独立，实施门禁管理和音像监控。</w:t>
      </w:r>
    </w:p>
    <w:p w14:paraId="54FA345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(5)人员管理：进行定期的业务与职业道德培训，使员工树立风险防范与控制理念，并签订承诺书。</w:t>
      </w:r>
    </w:p>
    <w:p w14:paraId="1DB680C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(6)应急预案：制定完备的应急预案，并组织员工定期演练；建立异地灾备中心，保证业务不中断。</w:t>
      </w:r>
    </w:p>
    <w:p w14:paraId="7D778C0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5.资产托管部内部风险控制</w:t>
      </w:r>
    </w:p>
    <w:p w14:paraId="6E44407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中国民生银行股份有限公司从控制环境、风险评估、控制活动、信息沟通、监控等五个方面构建了托管业务风险控制体系。</w:t>
      </w:r>
    </w:p>
    <w:p w14:paraId="4B6AC1C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坚持风险管理与业务发展同等重要的理念。中国民生银行股份有限公司资产托管部从成立之日起就特别强调规范运作，一直将建立一个系统、高效的风险防范和控制体系作为工作重点。随着市场环境的变化和托管业务的快速发展，新问题新情况不断出现，我们始终将风险管理放在与业务发展同等重要的位置，视风险防范和控制为托管业务生存和发展的生命线。</w:t>
      </w:r>
    </w:p>
    <w:p w14:paraId="59986B9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(2)实施全员风险管理。将风险控制责任落实到具体业务中心和业务岗位，每位员工对自己岗位职责范围内的风险负责。</w:t>
      </w:r>
    </w:p>
    <w:p w14:paraId="4765906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(3)建立分工明确、相互牵制的风险控制组织结构。我们通过建立纵向双人制，横向多中心制的内部组织结构，形成不同中心、不同岗位相互制衡的组织结构。</w:t>
      </w:r>
    </w:p>
    <w:p w14:paraId="1E625B0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以制度建设作为风险管理的核心。我们十分重视内部控制制度的建设，已经建立了一整套内部风险控制制度，包括业务管理办法、内部控制制度、员工行为规范、岗位职责及涵括所有后台运作环节的操作手册。以上制度随着外部环境和业务的发展还会不断增加和完善。</w:t>
      </w:r>
    </w:p>
    <w:p w14:paraId="3E4ABC3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制度的执行和监督是风险控制的关键。制度落实检查是风险控制管理的有力保证。资产托管部内部设置风险合规管理中心，依照有关法律规章，定期对业务的运行进行检查。总行审计部不定期对托管业务进行审计。</w:t>
      </w:r>
    </w:p>
    <w:p w14:paraId="542344F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(6)将先进的技术手段运用于风险控制中。托管业务系统需求不仅从业务方面而且从风险控制方面都要经过多方论证，托管业务技术系统具有较强的自动风险控制功能。</w:t>
      </w:r>
    </w:p>
    <w:p w14:paraId="6818F63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(三)基金托管人对基金管理人运作基金进行监督的方法和程序</w:t>
      </w:r>
    </w:p>
    <w:p w14:paraId="20AB8BC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华人民共和国证券投资基金法》《公开募集证券投资基金运作管理办法》《公开募集证券投资基金信息披露管理办法》等有关法律法规的规定及基金合同、基金托管协议的约定，基金托管人对基金的投资范围、基金投资比例、基金资产的核算、基金资产净值的计算、基金管理人报酬的计提和支付、基金托管人报酬的计提和支付、基金申购及赎回的价格、基金申购资金的到账和赎回资金的划付、基金收益分配等进行监督和核查。</w:t>
      </w:r>
    </w:p>
    <w:p w14:paraId="701F2B2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违反《中华人民共和国证券投资基金法》等有关法律法规规定及基金合同、基金托管协议约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76C7AF1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基金托管人发现基金管理人有重大违规行为，应立即报告中国证监会，同时通知基金管理人限期纠正。</w:t>
      </w:r>
    </w:p>
    <w:p w14:paraId="6595E90A"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31A0810" w14:textId="77777777" w:rsidR="00D0305B" w:rsidRDefault="00AE421E">
      <w:pPr>
        <w:pStyle w:val="1"/>
        <w:snapToGrid w:val="0"/>
        <w:spacing w:beforeLines="0" w:before="240" w:after="240"/>
        <w:rPr>
          <w:rFonts w:ascii="宋体" w:hAnsi="宋体"/>
          <w:szCs w:val="30"/>
        </w:rPr>
      </w:pPr>
      <w:bookmarkStart w:id="8" w:name="_Toc135812805"/>
      <w:r>
        <w:rPr>
          <w:rFonts w:ascii="Times New Roman" w:hAnsi="Times New Roman"/>
          <w:sz w:val="30"/>
        </w:rPr>
        <w:t>五、相关服务机构</w:t>
      </w:r>
      <w:bookmarkEnd w:id="8"/>
    </w:p>
    <w:p w14:paraId="58B4291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1298A0E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0460D5E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本基金直销机构为基金管理人直销柜台以及基金管理人的网上直销交易平台（网站及手机APP，下同）。</w:t>
      </w:r>
    </w:p>
    <w:p w14:paraId="11FB6DB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75ACDB0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35C45D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05EFDA9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DA0AC8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7807147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42AA567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1BC385F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36F74F2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48A4D07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5DDD5F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14:paraId="5A657CA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026C077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1B58E367" w14:textId="77777777" w:rsidR="00B952F7" w:rsidRDefault="00B952F7" w:rsidP="00B952F7">
      <w:pPr>
        <w:autoSpaceDE w:val="0"/>
        <w:autoSpaceDN w:val="0"/>
        <w:adjustRightInd w:val="0"/>
        <w:snapToGrid w:val="0"/>
        <w:spacing w:line="360" w:lineRule="auto"/>
        <w:ind w:firstLineChars="200" w:firstLine="480"/>
        <w:jc w:val="left"/>
        <w:rPr>
          <w:rFonts w:ascii="宋体" w:hAnsi="宋体"/>
          <w:sz w:val="24"/>
        </w:rPr>
      </w:pPr>
      <w:r w:rsidRPr="00B86F8E">
        <w:rPr>
          <w:rFonts w:ascii="宋体" w:hAnsi="宋体" w:hint="eastAsia"/>
          <w:sz w:val="24"/>
        </w:rPr>
        <w:t>本基金A类基金份额除直销机构外的其他销售机构：</w:t>
      </w:r>
    </w:p>
    <w:p w14:paraId="0567DA5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7C30219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5D854A2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5D79AC0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1FC972C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0E459EF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1FEFBBE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4B0753E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732B4C8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网址：www.bankcomm.com</w:t>
      </w:r>
    </w:p>
    <w:p w14:paraId="5F233E3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（2）名称：北京银行股份有限公司</w:t>
      </w:r>
    </w:p>
    <w:p w14:paraId="6617A5B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住所：北京市西城区金融大街甲17号首层</w:t>
      </w:r>
    </w:p>
    <w:p w14:paraId="343D4B7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办公地址：北京市西城区金融大街甲17号首层</w:t>
      </w:r>
    </w:p>
    <w:p w14:paraId="2E8553A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法定代表人：张东宁</w:t>
      </w:r>
    </w:p>
    <w:p w14:paraId="4BE7CAD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传真：（010）66226045</w:t>
      </w:r>
    </w:p>
    <w:p w14:paraId="165DA6C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联系人：孔超</w:t>
      </w:r>
    </w:p>
    <w:p w14:paraId="21D2C4E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客户服务电话：95526</w:t>
      </w:r>
    </w:p>
    <w:p w14:paraId="2DD8B1C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网址：www.bankofbeijing.com.cn</w:t>
      </w:r>
    </w:p>
    <w:p w14:paraId="6D27F8C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（3）名称：中国民生银行股份有限公司</w:t>
      </w:r>
    </w:p>
    <w:p w14:paraId="3180B97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14:paraId="325736B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14:paraId="56D9C37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14:paraId="7B2CC20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14:paraId="7F1BCAB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14:paraId="683E03A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14:paraId="2E204BF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14:paraId="280FBC3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14:paraId="7EB56B1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（4）名称：中信银行股份有限公司</w:t>
      </w:r>
    </w:p>
    <w:p w14:paraId="10DB3A8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14:paraId="45607A8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14:paraId="214A273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14:paraId="34CF91C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14:paraId="1A18FBA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14:paraId="4B7B068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14:paraId="49B5CF6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14:paraId="5EE3111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14:paraId="481280C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（5）名称：招商银行股份有限公司</w:t>
      </w:r>
    </w:p>
    <w:p w14:paraId="08E4518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3A196B9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7C41196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法定代表人：缪建民</w:t>
      </w:r>
    </w:p>
    <w:p w14:paraId="6878824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722B7D7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09783E1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64F3549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660038C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319039E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（6）名称：江苏江南农村商业银行股份有限公司</w:t>
      </w:r>
    </w:p>
    <w:p w14:paraId="0509876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14:paraId="599BDD9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14:paraId="4B90068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14:paraId="6F563BE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14:paraId="5A442FB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14:paraId="04E70E1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14:paraId="2F14724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14:paraId="3E71EE0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14:paraId="33C57EA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（7）名称：宁波银行股份有限公司</w:t>
      </w:r>
    </w:p>
    <w:p w14:paraId="3A97922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63CF77D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2935C62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0F00A05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2613E3F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14:paraId="641DB46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629EB14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7D04C7A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（8）名称：光大证券股份有限公司</w:t>
      </w:r>
    </w:p>
    <w:p w14:paraId="3B6CA5C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14:paraId="522118E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14:paraId="5AC59D6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6A3359F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14:paraId="4F0E6C3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14:paraId="775B130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14:paraId="7BF626E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 10108998</w:t>
      </w:r>
    </w:p>
    <w:p w14:paraId="2D3FFFE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14:paraId="0B4833F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（9）名称：中国中金财富证券有限公司</w:t>
      </w:r>
    </w:p>
    <w:p w14:paraId="6BFEE47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14:paraId="2C8FC9F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14:paraId="234360F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14:paraId="6AEAEC7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14:paraId="517DA4A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14:paraId="5C22B9B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14:paraId="3B3C796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14:paraId="1A0A33E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（10）名称：中信建投证券股份有限公司</w:t>
      </w:r>
    </w:p>
    <w:p w14:paraId="14768D8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231F13C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7A46C6E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084997A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0A4BFF1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2086074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50D0D95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772E0C0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3C9088A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（11）名称：华龙证券股份有限公司</w:t>
      </w:r>
    </w:p>
    <w:p w14:paraId="0FD7C20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14:paraId="633BE32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14:paraId="0B855F9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14:paraId="16B15F0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14:paraId="2D975F5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14:paraId="2331779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14:paraId="3BC6377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14:paraId="3E4ADF5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14:paraId="59670A4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（12）名称：华宝证券股份有限公司</w:t>
      </w:r>
    </w:p>
    <w:p w14:paraId="6101774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住所：中国上海市陆家嘴环路166号未来资产大厦27楼</w:t>
      </w:r>
    </w:p>
    <w:p w14:paraId="10495E1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14:paraId="69AC8CB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14:paraId="1BA0722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14:paraId="7547F1D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14:paraId="6414F33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14:paraId="12C3241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14:paraId="634BD55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14:paraId="6F44BF7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（13）名称：国新证券股份有限公司</w:t>
      </w:r>
    </w:p>
    <w:p w14:paraId="3B7286B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14:paraId="33A7A4D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14:paraId="416C0EC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14:paraId="697F71A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14:paraId="59382EE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14:paraId="5B6CD4F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14:paraId="79341C7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14:paraId="5F35F02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14:paraId="334AF50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（14）名称：西南证券股份有限公司</w:t>
      </w:r>
    </w:p>
    <w:p w14:paraId="5DA7578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14:paraId="77D68AA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14:paraId="7C92C92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14:paraId="263B503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14:paraId="4C80CAE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14:paraId="03F5155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14:paraId="6C3FF25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14:paraId="6C40974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14:paraId="04F81D9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（15）名称：信达证券股份有限公司</w:t>
      </w:r>
    </w:p>
    <w:p w14:paraId="3D93F68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14:paraId="7064AC1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14:paraId="612B10E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14:paraId="4C333A7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电话：（010）63081000</w:t>
      </w:r>
    </w:p>
    <w:p w14:paraId="6456BFF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14:paraId="6F0E832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14:paraId="1ACA39A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14:paraId="5B125E0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14:paraId="6AAF4D9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（16）名称：国金证券股份有限公司</w:t>
      </w:r>
    </w:p>
    <w:p w14:paraId="6240D2D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6BE5E11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6CF91EC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2C1E6FA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26AEAF9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1692FDB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201CF2E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119E9CE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14:paraId="0CF6D4E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（17）名称：江海证券有限公司</w:t>
      </w:r>
    </w:p>
    <w:p w14:paraId="7451E96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14:paraId="0574AFB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14:paraId="68861DC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14:paraId="7C323A4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14:paraId="2DF1C85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14:paraId="2F9EE39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14:paraId="7D8E87C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14:paraId="5FFBA84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（18）名称：申万宏源西部证券有限公司</w:t>
      </w:r>
    </w:p>
    <w:p w14:paraId="54743EB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14:paraId="0A966A1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14:paraId="4770C10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14:paraId="4BA93C9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14:paraId="36868F6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14:paraId="63372EE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14:paraId="570EB29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14:paraId="69E591C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网址：www.hysec.com</w:t>
      </w:r>
    </w:p>
    <w:p w14:paraId="2715AFF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（19）名称：中国银河证券股份有限公司</w:t>
      </w:r>
    </w:p>
    <w:p w14:paraId="060BA30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14:paraId="077AA57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14:paraId="072A1F6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14:paraId="7604224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14:paraId="17A34EB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14:paraId="6F107FC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14:paraId="6703BED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14:paraId="15BC9F7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（20）名称：申万宏源证券有限公司</w:t>
      </w:r>
    </w:p>
    <w:p w14:paraId="003E408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14:paraId="6F3EE3B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14:paraId="5AB1FD4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14:paraId="794E7E4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14:paraId="53507DA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14:paraId="51F171A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14:paraId="36A28C9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14:paraId="14F7F35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（21）名称：国都证券股份有限公司</w:t>
      </w:r>
    </w:p>
    <w:p w14:paraId="073F27D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14:paraId="1CE78D9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14:paraId="7A30903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14:paraId="341928B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14:paraId="443C61E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14:paraId="5B85B2B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（22）名称：平安证券股份有限公司</w:t>
      </w:r>
    </w:p>
    <w:p w14:paraId="3324F1D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14:paraId="2B5F82A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14:paraId="0A24129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14:paraId="24E90C9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14:paraId="1B957E8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14:paraId="51241AA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14:paraId="711F13B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客户服务电话：95511-8</w:t>
      </w:r>
    </w:p>
    <w:p w14:paraId="5044434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14:paraId="65D5AE9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（23）名称：广发证券股份有限公司</w:t>
      </w:r>
    </w:p>
    <w:p w14:paraId="5196DE3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23D7F99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14:paraId="2F8FCBC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3A88B58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29A8028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2D751D9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14:paraId="00FD77C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16E82D0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6413964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（24）名称：深圳市新兰德证券投资咨询有限公司</w:t>
      </w:r>
    </w:p>
    <w:p w14:paraId="5E78B3A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14:paraId="579153C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14:paraId="7D47DD0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14:paraId="48F6FFF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14:paraId="46C6064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14:paraId="35EC05C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14:paraId="3AA63BF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14:paraId="1656838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14:paraId="100109B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（25）名称：珠海盈米财富管理有限公司</w:t>
      </w:r>
    </w:p>
    <w:p w14:paraId="12DDACD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5D3D3A6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10F764E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7DE5DA2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75F0441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1D7132D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1AB8787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31F31C1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56897F8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（26）名称：上海利得基金销售有限公司</w:t>
      </w:r>
    </w:p>
    <w:p w14:paraId="73EE9B2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 上海浦东新区峨山路91弄61号陆家嘴软件园10号楼12楼</w:t>
      </w:r>
    </w:p>
    <w:p w14:paraId="23C35F6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1930588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6EC0DF8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784CFA0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3C20448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3CF2614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398B10B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270D75E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（27）名称：上海凯石财富基金销售有限公司</w:t>
      </w:r>
    </w:p>
    <w:p w14:paraId="4A71F47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14:paraId="10BB69B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14:paraId="00D47DF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14:paraId="72F0007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14:paraId="7C4F538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14:paraId="0A44A6E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14:paraId="06C2E62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14:paraId="7E04F70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14:paraId="1F86C27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（28）名称：北京虹点基金销售有限公司</w:t>
      </w:r>
    </w:p>
    <w:p w14:paraId="0FDECB6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14:paraId="712E4AD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14:paraId="17FB0AA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14:paraId="14D57B9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14:paraId="5CF2590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14:paraId="584DEB8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14:paraId="4050BA2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14:paraId="7401975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14:paraId="7C18FC5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（29）名称：上海天天基金销售有限公司</w:t>
      </w:r>
    </w:p>
    <w:p w14:paraId="6596688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56340C4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25C803D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054744B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电话：（021）54509998</w:t>
      </w:r>
    </w:p>
    <w:p w14:paraId="1A23E78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6E756DE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2A06CEB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62348C7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14FD3FC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（30）名称：和讯信息科技有限公司</w:t>
      </w:r>
    </w:p>
    <w:p w14:paraId="5284252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14:paraId="329353E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14:paraId="5906272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14:paraId="5C19988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14:paraId="5CFE43B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14:paraId="2177E1C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14:paraId="0F1D482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14:paraId="716647E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14:paraId="7BE232A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（31）名称：深圳众禄基金销售有限公司</w:t>
      </w:r>
    </w:p>
    <w:p w14:paraId="2FBF002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14:paraId="4D74870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0A6D8C6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27B062B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14:paraId="34C73C9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5A6CB60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14:paraId="17906C2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1A92222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73353A6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（32）名称：蚂蚁（杭州）基金销售有限公司</w:t>
      </w:r>
    </w:p>
    <w:p w14:paraId="5C0DCA5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18187ED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7EC6D50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2CE715A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3835A23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7C9D2B4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349293C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（33）名称：天相投资顾问有限公司</w:t>
      </w:r>
    </w:p>
    <w:p w14:paraId="763BB6F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14:paraId="6BE7301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14:paraId="1F2CE70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14:paraId="18A8D1F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14:paraId="1F8AB37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14:paraId="2713967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14:paraId="357F98C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14:paraId="7B153D2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14:paraId="78D7A46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（34）名称：上海基煜基金销售有限公司</w:t>
      </w:r>
    </w:p>
    <w:p w14:paraId="03CA2BD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7E0030F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6863627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47C5A7C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04C265B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30C60BC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38BFB94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2E3296C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65D02C6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（35）名称：上海联泰基金销售有限公司</w:t>
      </w:r>
    </w:p>
    <w:p w14:paraId="7E448E3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271188B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66B5893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5D5D4B6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5F21D0F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2F5B19F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5500822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0F8D24E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34CE520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（36）名称：一路财富（北京）信息科技有限公司</w:t>
      </w:r>
    </w:p>
    <w:p w14:paraId="6A2D4CF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14:paraId="66EDFCE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办公地址：北京西城区阜成门大街2号万通新世界广场A座22层2208</w:t>
      </w:r>
    </w:p>
    <w:p w14:paraId="530B7EE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14:paraId="7B10807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14:paraId="431C5A0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14:paraId="31B766E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14:paraId="63F2D4D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14:paraId="75DC867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14:paraId="2820345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（37）名称：北京展恒基金销售股份有限公司</w:t>
      </w:r>
    </w:p>
    <w:p w14:paraId="7684B9A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14:paraId="5CD349E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14:paraId="30C633A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14:paraId="3EB84B4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14:paraId="3F2C08A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14:paraId="1754DB2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14:paraId="2D68B4B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14:paraId="24E8F3B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14:paraId="17DAB8A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（38）名称：诺亚正行(上海)基金销售投资顾问有限公司</w:t>
      </w:r>
    </w:p>
    <w:p w14:paraId="3CE9C9B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6FEC210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50BD236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0303F01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491DD19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17FE225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0B77381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77AFD32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2F4532C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（39）名称：上海长量基金销售投资顾问有限公司</w:t>
      </w:r>
    </w:p>
    <w:p w14:paraId="0CB8BBA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2603CF9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7B3F5FC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4949DDD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31D0297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传真：（021）20691861</w:t>
      </w:r>
    </w:p>
    <w:p w14:paraId="19D49CF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0C959F0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63034C8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109AACB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（40）名称：中信期货有限公司</w:t>
      </w:r>
    </w:p>
    <w:p w14:paraId="18E160C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14:paraId="194B23F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14:paraId="72AE800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14:paraId="2B71B40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14:paraId="4415432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14:paraId="7EBDB5E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14:paraId="4EF892D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14:paraId="312560C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14:paraId="01FE67A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（41）名称：上海陆金所资产管理有限公司</w:t>
      </w:r>
    </w:p>
    <w:p w14:paraId="17DAE50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43903CD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0F7A0C8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583F280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09F05D7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653EFA9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14:paraId="3C207AE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4518AA8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5E53652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（42）名称：北京钱景财富投资管理有限公司</w:t>
      </w:r>
    </w:p>
    <w:p w14:paraId="405D182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14:paraId="4E759CB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14:paraId="1108EF1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14:paraId="1EC844E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14:paraId="04092B9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14:paraId="6ED909A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 魏争</w:t>
      </w:r>
    </w:p>
    <w:p w14:paraId="175348E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14:paraId="71213AB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14:paraId="22D61BB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（43）名称：浙江同花顺基金销售有限公司</w:t>
      </w:r>
    </w:p>
    <w:p w14:paraId="0AF19C3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72038D7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14:paraId="0D5664F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14:paraId="466B6E9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227F103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7F9DFAF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6AB313D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730D7EE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67CAC65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（44）名称：上海好买基金销售有限公司</w:t>
      </w:r>
    </w:p>
    <w:p w14:paraId="6928418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4867129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3541F5D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3E80122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5245BAC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581B8F9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3460037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62710EB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（45）名称：北京中植基金销售有限公司</w:t>
      </w:r>
    </w:p>
    <w:p w14:paraId="264E8EA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2EC4308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378789C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65BDA17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36E8039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7DDF460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798F140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0100FA8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14:paraId="1D981C1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（46）名称：北京汇成基金销售有限公司</w:t>
      </w:r>
    </w:p>
    <w:p w14:paraId="6F7A21F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住所：北京市西城区宣武门外大街甲1号4层401-2</w:t>
      </w:r>
    </w:p>
    <w:p w14:paraId="3B75683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222AFA3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65CED93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4B6FF1C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209ABD6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6B61D48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2323991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27B4AAA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（47）名称：奕丰基金销售有限公司</w:t>
      </w:r>
    </w:p>
    <w:p w14:paraId="59036AF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732C26B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7FD69DF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6776D1E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545EE47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5770158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01F7BE6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184F684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395F575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（48）名称：北京创金启富基金销售有限公司</w:t>
      </w:r>
    </w:p>
    <w:p w14:paraId="19A75BC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4478EF0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6E77DF6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07C23AC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41568FE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30DC85E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170A1D6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7A17BA0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7B47CFA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（49）名称：上海云湾投资管理有限公司</w:t>
      </w:r>
    </w:p>
    <w:p w14:paraId="0CF5BC9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14:paraId="4A50C9F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14:paraId="1861E6A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法定代表人：戴新装</w:t>
      </w:r>
    </w:p>
    <w:p w14:paraId="7EDA2BD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14:paraId="12CFF60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14:paraId="4F1D284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14:paraId="2C9E1FA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14:paraId="4932166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14:paraId="219320A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（50）名称：中证金牛（北京）投资咨询有限公司</w:t>
      </w:r>
    </w:p>
    <w:p w14:paraId="2457697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14:paraId="48762E8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14:paraId="78E30C1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39549B0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14:paraId="7DCC94B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2C711DC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14:paraId="0A8FF5E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4FD9182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568142D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（51）名称：北京新浪仓石基金销售有限公司</w:t>
      </w:r>
    </w:p>
    <w:p w14:paraId="37EE6A2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506A520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19D9887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14:paraId="4954563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437BEC1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041D417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7164550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14:paraId="311EEA9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0A1ACF9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（52）名称：北京肯特瑞基金销售有限公司</w:t>
      </w:r>
    </w:p>
    <w:p w14:paraId="4199BB4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41B359B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18853B5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法定代表人：王苏宁</w:t>
      </w:r>
    </w:p>
    <w:p w14:paraId="4A42302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683D2C5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0DDA007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7F506AF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4B242CC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45D64D7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（53）名称：北京雪球基金销售有限公司</w:t>
      </w:r>
    </w:p>
    <w:p w14:paraId="4966CE8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080D29D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7C0BFEE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733F4BF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5E5257C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17FDB89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14:paraId="7BA06AF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5435C48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2DC14DA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（54）名称：凤凰金信（银川）投资管理有限公司</w:t>
      </w:r>
    </w:p>
    <w:p w14:paraId="6BCDCF7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14:paraId="519E195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14:paraId="393E451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14:paraId="24EC74B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14:paraId="1E458A2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14:paraId="6CD1206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14:paraId="2DD4F86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14:paraId="5E4A009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14:paraId="5805D97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（55）名称：深圳市金斧子基金销售有限公司</w:t>
      </w:r>
    </w:p>
    <w:p w14:paraId="73750CB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14:paraId="6C768C5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14:paraId="1AF201B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14:paraId="5139119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14:paraId="1565941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传真：（0755）66892399</w:t>
      </w:r>
    </w:p>
    <w:p w14:paraId="74EF314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14:paraId="1743A6A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14:paraId="195E01C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14:paraId="4678163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（56）名称：宜信普泽投资顾问（北京）有限公司</w:t>
      </w:r>
    </w:p>
    <w:p w14:paraId="07F87E9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14:paraId="631E2FF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14:paraId="1822016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14:paraId="6B9C7F8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14:paraId="6DD4E68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14:paraId="1B9BF74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14:paraId="496AF20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14:paraId="26D2F09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14:paraId="0563F39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（57）名称：格上富信投资顾问有限公司</w:t>
      </w:r>
    </w:p>
    <w:p w14:paraId="6683FC6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14:paraId="70770FD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14:paraId="22A7F18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14:paraId="1FE92E3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14:paraId="4F9DF47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14:paraId="79B7DA2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1D383BF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14:paraId="1160747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14:paraId="3C6143B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（58）名称：上海万得基金销售有限公司</w:t>
      </w:r>
    </w:p>
    <w:p w14:paraId="7A6E88D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7D8441A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55D84BB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65DD521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76A244E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4A3AD70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4E589B9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3855941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 www.520fund.com.cn</w:t>
      </w:r>
    </w:p>
    <w:p w14:paraId="46203FC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（59）名称：天津万家财富资产管理有限公司</w:t>
      </w:r>
    </w:p>
    <w:p w14:paraId="5E3C93C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14:paraId="54FF3B1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14:paraId="5E8B122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14:paraId="184588B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14:paraId="3E99AC3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14:paraId="286FAEF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14:paraId="5F98FBE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14:paraId="0B0568A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14:paraId="698D637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（60）名称：上海挖财金融信息服务有限公司</w:t>
      </w:r>
    </w:p>
    <w:p w14:paraId="702D323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10ECDA2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6979C00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7EC9307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075580E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763FDE6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0B43511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308A79A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4B69F28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（61）名称：嘉实财富管理有限公司</w:t>
      </w:r>
    </w:p>
    <w:p w14:paraId="3A891BD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14:paraId="38FE3DA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0C8F359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6D087FA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7A153B2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1B8AFDC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3E37184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62AA68B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3E7F9B3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（62）名称：南京苏宁基金销售有限公司</w:t>
      </w:r>
    </w:p>
    <w:p w14:paraId="4072F81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15A4FD3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办公地址：南京市玄武区苏宁大道1-5号</w:t>
      </w:r>
    </w:p>
    <w:p w14:paraId="75925BC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0AD6C6D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6C97FEB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1E1300E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5A15884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071A3C7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148ED3A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（63）名称：北京度小满基金销售有限公司</w:t>
      </w:r>
    </w:p>
    <w:p w14:paraId="4659DA5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001A62C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0F4C02A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720D6C8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080A167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060C12D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183CA75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69ED770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14:paraId="55FBEBA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（64）名称：北京唐鼎耀华投资咨询有限公司</w:t>
      </w:r>
    </w:p>
    <w:p w14:paraId="3C8C7B0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14:paraId="7457893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14:paraId="5D37D12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14:paraId="415ECA3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14:paraId="6C8050A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14:paraId="11A425F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14:paraId="615126D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14:paraId="014C8D4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14:paraId="70D3CD7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（65）名称：上海华夏财富投资管理有限公司</w:t>
      </w:r>
    </w:p>
    <w:p w14:paraId="087DC8F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14:paraId="5C945BD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14:paraId="429511D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14:paraId="6BDA35C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14:paraId="2D4EEB5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传真：010-63136184</w:t>
      </w:r>
    </w:p>
    <w:p w14:paraId="47A82C3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14:paraId="19B54D9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14:paraId="5B6E6D4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14:paraId="3662107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（66）名称：江苏汇林保大基金销售有限公司</w:t>
      </w:r>
    </w:p>
    <w:p w14:paraId="6B1E3B0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14:paraId="01CB9CA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14:paraId="7B45076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14:paraId="223B0E9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14:paraId="4EAB523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14:paraId="1D7D7A3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14:paraId="71C599D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14:paraId="44AAD5F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14:paraId="68DF6C6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（67）名称：上海大智慧基金销售有限公司</w:t>
      </w:r>
    </w:p>
    <w:p w14:paraId="5E4F699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14:paraId="27919C9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14:paraId="1831408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3485FFB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13B00CE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14:paraId="63EC230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14:paraId="7508C25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14:paraId="6C13AA8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14:paraId="498164F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（68）名称：玄元保险代理有限公司</w:t>
      </w:r>
    </w:p>
    <w:p w14:paraId="040C326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14:paraId="62F7446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14:paraId="430733B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14:paraId="06573A8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14:paraId="5B6D71C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14:paraId="10B3FC7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14:paraId="63E890F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14:paraId="6C0ED8C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（69）名称：阳光人寿保险股份有限公司</w:t>
      </w:r>
    </w:p>
    <w:p w14:paraId="109F443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14:paraId="490846B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14:paraId="5D8EEEA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14:paraId="4F6600F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14:paraId="173EDE9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14:paraId="61EE13C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14:paraId="057AB49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14:paraId="4F6E7D7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14:paraId="5CCF0C3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（70）名称：大连网金基金销售有限公司</w:t>
      </w:r>
    </w:p>
    <w:p w14:paraId="0E13EA8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2D19FDE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592DBF0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4B079B3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7DDB1F2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5A4699D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6187DCF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3433C04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406321A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（71）名称：泛华普益基金销售有限公司</w:t>
      </w:r>
    </w:p>
    <w:p w14:paraId="360EEBA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7573DD7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14:paraId="79039F4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14:paraId="1B02559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14:paraId="439B346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14:paraId="3435975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14:paraId="06FB316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14:paraId="6DA4207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4C7EC82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（72）名称：和耕传承基金销售有限公司</w:t>
      </w:r>
    </w:p>
    <w:p w14:paraId="36D1664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1A4E3B3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w:t>
      </w:r>
      <w:r>
        <w:rPr>
          <w:rFonts w:ascii="宋体" w:hAnsi="宋体"/>
          <w:sz w:val="24"/>
        </w:rPr>
        <w:lastRenderedPageBreak/>
        <w:t>503</w:t>
      </w:r>
    </w:p>
    <w:p w14:paraId="4641888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5B1EEEE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4CBF90D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6C249D8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14:paraId="53BB8BC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5CEDF50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2FDE266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（73）名称：北京植信基金销售有限公司</w:t>
      </w:r>
    </w:p>
    <w:p w14:paraId="7873DF8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14:paraId="105270D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14:paraId="45C0CB3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14:paraId="103FE8C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14:paraId="7ED1C2D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14:paraId="502C231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14:paraId="484C298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14:paraId="2CE16AD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14:paraId="5ECCBBA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（74）名称：上海钜派钰茂基金销售有限公司</w:t>
      </w:r>
    </w:p>
    <w:p w14:paraId="6F47F80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14:paraId="370399E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14:paraId="20353AD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14:paraId="352036B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14:paraId="2FDF925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14:paraId="2EFE3CF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14:paraId="6A74D6D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14:paraId="1F64036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（75）名称：中国人寿保险股份有限公司</w:t>
      </w:r>
    </w:p>
    <w:p w14:paraId="5AE255F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14:paraId="3808A14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14:paraId="3E1FCB4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14:paraId="64C63C4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14:paraId="2402852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14:paraId="0FBBB09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（76）名称：济安财富（北京）基金销售有限公司</w:t>
      </w:r>
    </w:p>
    <w:p w14:paraId="2E7369C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14:paraId="1CACC81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14:paraId="2B85C07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14:paraId="4534D34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14:paraId="169AC41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14:paraId="4A61195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14:paraId="0A15216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14:paraId="67AF324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14:paraId="6B7687B8" w14:textId="20D4FB94" w:rsidR="005778AF" w:rsidRDefault="005778AF" w:rsidP="005778AF">
      <w:pPr>
        <w:autoSpaceDE w:val="0"/>
        <w:autoSpaceDN w:val="0"/>
        <w:adjustRightInd w:val="0"/>
        <w:snapToGrid w:val="0"/>
        <w:spacing w:line="360" w:lineRule="auto"/>
        <w:ind w:firstLineChars="200" w:firstLine="480"/>
        <w:jc w:val="left"/>
        <w:rPr>
          <w:rFonts w:ascii="宋体" w:hAnsi="宋体"/>
          <w:sz w:val="24"/>
        </w:rPr>
      </w:pPr>
      <w:r w:rsidRPr="001B36AC">
        <w:rPr>
          <w:rFonts w:ascii="宋体" w:hAnsi="宋体" w:hint="eastAsia"/>
          <w:sz w:val="24"/>
        </w:rPr>
        <w:t>本基金</w:t>
      </w:r>
      <w:r>
        <w:rPr>
          <w:rFonts w:ascii="宋体" w:hAnsi="宋体"/>
          <w:sz w:val="24"/>
        </w:rPr>
        <w:t>E</w:t>
      </w:r>
      <w:r>
        <w:rPr>
          <w:rFonts w:ascii="宋体" w:hAnsi="宋体" w:hint="eastAsia"/>
          <w:sz w:val="24"/>
        </w:rPr>
        <w:t>类基金份额暂仅</w:t>
      </w:r>
      <w:r w:rsidRPr="001B36AC">
        <w:rPr>
          <w:rFonts w:ascii="宋体" w:hAnsi="宋体" w:hint="eastAsia"/>
          <w:sz w:val="24"/>
        </w:rPr>
        <w:t>通过直销机构销售。</w:t>
      </w:r>
    </w:p>
    <w:p w14:paraId="4727A62E" w14:textId="71898AA6"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14:paraId="571EFFE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5B4B84C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7B30990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126CB01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6EAC1B8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5BA8D43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76E261F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65D49FE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2907989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2374D43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53FEC84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70572F4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5BBC9F1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6E2F098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1D8E067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6C99FB1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6A42534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0D80E3E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24B4792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名称：普华永道中天会计师事务所（特殊普通合伙）</w:t>
      </w:r>
    </w:p>
    <w:p w14:paraId="3A988B4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14:paraId="0924394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14:paraId="4DB51BE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37FC239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5EEF2EC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18E3567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64793E4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14:paraId="1A579106"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C635B7D" w14:textId="77777777" w:rsidR="00D0305B" w:rsidRDefault="00AE421E">
      <w:pPr>
        <w:pStyle w:val="1"/>
        <w:snapToGrid w:val="0"/>
        <w:spacing w:beforeLines="0" w:before="240" w:after="240"/>
        <w:rPr>
          <w:rFonts w:ascii="宋体" w:hAnsi="宋体"/>
          <w:szCs w:val="30"/>
        </w:rPr>
      </w:pPr>
      <w:bookmarkStart w:id="9" w:name="_Toc135812806"/>
      <w:r>
        <w:rPr>
          <w:rFonts w:ascii="Times New Roman" w:hAnsi="Times New Roman"/>
          <w:sz w:val="30"/>
        </w:rPr>
        <w:t>六、基金的历史沿革与基金的存续</w:t>
      </w:r>
      <w:bookmarkEnd w:id="9"/>
    </w:p>
    <w:p w14:paraId="7AB988B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本基金由交银施罗德荣和保本混合型证券投资基金转型而来。</w:t>
      </w:r>
    </w:p>
    <w:p w14:paraId="3AC00C6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荣和保本混合型证券投资基金经中国证监会《关于准予交银施罗德荣和保本混合型证券投资基金注册的批复》（证监许可[2015]879号）准予募集注册，基金管理人为交银施罗德基金管理有限公司，基金托管人为中国民生银行股份有限公司。</w:t>
      </w:r>
    </w:p>
    <w:p w14:paraId="74A7F55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荣和保本混合型证券投资基金自2015年5月25日至2015年5月26日进行公开募集，该基金募集期间基金份额净值为人民币1.00元，按初始面值发售。募集期间募集及利息结转的基金份额共计1,971,186,670.30份基金份额，有效认购户数为10,596户。募集结束后基金管理人向中国证监会办理基金备案手续。经中国证监会书面确认，《交银施罗德荣和保本混合型证券投资基金基金合同》于2015年5月29日生效。</w:t>
      </w:r>
    </w:p>
    <w:p w14:paraId="6A7B564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荣和保本混合型证券投资基金于2018年5月29日第一个保本周期到期，由于不符合保本基金存续条件，按照《交银施罗德荣和保本混合型证券投资基金基金合同》的约定，该基金保本周期到期后转型为非保本的债券型基金，名称相应变更为“交银施罗德安心收益债券型证券投资基金”。</w:t>
      </w:r>
    </w:p>
    <w:p w14:paraId="18AAD09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荣和保本混合型证券投资基金的第一个保本周期到期期间为保本周期到期日及之后3个工作日（含第3个工作日），即2018年5月29日至2018年6月1日。自2018年6月2日起交银施罗德荣和保本混合型证券投资基金正式转型为交银施罗德安心收益债券型证券投资基金，转型后的《交银施罗德安心收益债券型证券投资基金基金合同》自该日起生效。</w:t>
      </w:r>
    </w:p>
    <w:p w14:paraId="6C10298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当向中国证监会报告并提出解决方案，并召开基金份额持有人大会进行表决。</w:t>
      </w:r>
    </w:p>
    <w:p w14:paraId="431644F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14:paraId="48606343"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4CCEFA3" w14:textId="77777777" w:rsidR="00D0305B" w:rsidRDefault="00AE421E">
      <w:pPr>
        <w:pStyle w:val="1"/>
        <w:snapToGrid w:val="0"/>
        <w:spacing w:beforeLines="0" w:before="240" w:after="240"/>
        <w:rPr>
          <w:rFonts w:ascii="宋体" w:hAnsi="宋体"/>
          <w:szCs w:val="30"/>
        </w:rPr>
      </w:pPr>
      <w:bookmarkStart w:id="10" w:name="_Toc135812807"/>
      <w:r>
        <w:rPr>
          <w:rFonts w:ascii="Times New Roman" w:hAnsi="Times New Roman"/>
          <w:sz w:val="30"/>
        </w:rPr>
        <w:t>七、基金份额的申购与赎回</w:t>
      </w:r>
      <w:bookmarkEnd w:id="10"/>
    </w:p>
    <w:p w14:paraId="3512021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0EE6862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3CB4FAD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06086CF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0C4A000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0DF0B9E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718C22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3BDE7B2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6127B7E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4BC7C56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49EC029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7E2D1BD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2392335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AC9676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14:paraId="5B90B47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5968B94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21980C5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611F417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07208CB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06C216D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5EF2832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189E5B9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w:t>
      </w:r>
      <w:r>
        <w:rPr>
          <w:rFonts w:ascii="宋体" w:hAnsi="宋体"/>
          <w:sz w:val="24"/>
        </w:rPr>
        <w:lastRenderedPageBreak/>
        <w:t>所、深圳证券交易所的正常交易日的交易时间，但基金管理人根据法律法规、中国证监会的要求或基金合同的规定公告暂停申购、赎回时除外。</w:t>
      </w:r>
    </w:p>
    <w:p w14:paraId="0E2C835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5CB6EE5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49C7C779" w14:textId="77777777" w:rsidR="005C5B95" w:rsidRDefault="00AE421E" w:rsidP="005C5B9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w:t>
      </w:r>
      <w:r w:rsidR="005C5B95" w:rsidRPr="00EE4B4B">
        <w:rPr>
          <w:rFonts w:ascii="宋体" w:hAnsi="宋体" w:hint="eastAsia"/>
          <w:sz w:val="24"/>
        </w:rPr>
        <w:t>A类基金份额</w:t>
      </w:r>
      <w:r>
        <w:rPr>
          <w:rFonts w:ascii="宋体" w:hAnsi="宋体"/>
          <w:sz w:val="24"/>
        </w:rPr>
        <w:t>已于2018年6月6日起开放申购、赎回业务。</w:t>
      </w:r>
    </w:p>
    <w:p w14:paraId="70E1EAEC" w14:textId="3CD1293F" w:rsidR="00D0305B" w:rsidRDefault="005C5B95" w:rsidP="005C5B95">
      <w:pPr>
        <w:autoSpaceDE w:val="0"/>
        <w:autoSpaceDN w:val="0"/>
        <w:adjustRightInd w:val="0"/>
        <w:snapToGrid w:val="0"/>
        <w:spacing w:line="360" w:lineRule="auto"/>
        <w:ind w:firstLineChars="200" w:firstLine="480"/>
        <w:jc w:val="left"/>
        <w:rPr>
          <w:rFonts w:ascii="宋体" w:hAnsi="宋体"/>
          <w:szCs w:val="24"/>
        </w:rPr>
      </w:pPr>
      <w:r w:rsidRPr="001E52E1">
        <w:rPr>
          <w:rFonts w:ascii="宋体" w:hAnsi="宋体" w:hint="eastAsia"/>
          <w:sz w:val="24"/>
        </w:rPr>
        <w:t>本基金</w:t>
      </w:r>
      <w:r w:rsidR="00A04E13">
        <w:rPr>
          <w:rFonts w:ascii="宋体" w:hAnsi="宋体" w:hint="eastAsia"/>
          <w:sz w:val="24"/>
        </w:rPr>
        <w:t>E类</w:t>
      </w:r>
      <w:r w:rsidRPr="001E52E1">
        <w:rPr>
          <w:rFonts w:ascii="宋体" w:hAnsi="宋体" w:hint="eastAsia"/>
          <w:sz w:val="24"/>
        </w:rPr>
        <w:t>基金份额于</w:t>
      </w:r>
      <w:r>
        <w:rPr>
          <w:rFonts w:ascii="宋体" w:hAnsi="宋体" w:hint="eastAsia"/>
          <w:sz w:val="24"/>
        </w:rPr>
        <w:t>202</w:t>
      </w:r>
      <w:r>
        <w:rPr>
          <w:rFonts w:ascii="宋体" w:hAnsi="宋体"/>
          <w:sz w:val="24"/>
        </w:rPr>
        <w:t>3</w:t>
      </w:r>
      <w:r w:rsidRPr="001E52E1">
        <w:rPr>
          <w:rFonts w:ascii="宋体" w:hAnsi="宋体" w:hint="eastAsia"/>
          <w:sz w:val="24"/>
        </w:rPr>
        <w:t>年</w:t>
      </w:r>
      <w:r w:rsidR="006A04AC">
        <w:rPr>
          <w:rFonts w:ascii="宋体" w:hAnsi="宋体"/>
          <w:sz w:val="24"/>
        </w:rPr>
        <w:t>8</w:t>
      </w:r>
      <w:r w:rsidRPr="001E52E1">
        <w:rPr>
          <w:rFonts w:ascii="宋体" w:hAnsi="宋体" w:hint="eastAsia"/>
          <w:sz w:val="24"/>
        </w:rPr>
        <w:t>月</w:t>
      </w:r>
      <w:r w:rsidR="006A04AC">
        <w:rPr>
          <w:rFonts w:ascii="宋体" w:hAnsi="宋体"/>
          <w:sz w:val="24"/>
        </w:rPr>
        <w:t>25</w:t>
      </w:r>
      <w:r w:rsidRPr="001E52E1">
        <w:rPr>
          <w:rFonts w:ascii="宋体" w:hAnsi="宋体" w:hint="eastAsia"/>
          <w:sz w:val="24"/>
        </w:rPr>
        <w:t>日起开放申购、赎回业务。</w:t>
      </w:r>
    </w:p>
    <w:p w14:paraId="25FE5AD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9EFD4B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14:paraId="70C0CF9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2FE9B76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342D4CD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48E8F7C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对于由转型前基金转入变更后基金的基金份额，其持有期将从原份额取得之日起连续计算。</w:t>
      </w:r>
    </w:p>
    <w:p w14:paraId="2C7708F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14:paraId="6DA03DA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376B146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21FA855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w:t>
      </w:r>
      <w:r>
        <w:rPr>
          <w:rFonts w:ascii="宋体" w:hAnsi="宋体"/>
          <w:sz w:val="24"/>
        </w:rPr>
        <w:lastRenderedPageBreak/>
        <w:t>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22D93C5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02ED574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663A586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675E027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p>
    <w:p w14:paraId="1C91960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8355B9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p>
    <w:p w14:paraId="5208846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2BCC529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588A19C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450C428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026147A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6907A3B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w:t>
      </w:r>
      <w:r>
        <w:rPr>
          <w:rFonts w:ascii="宋体" w:hAnsi="宋体"/>
          <w:sz w:val="24"/>
        </w:rPr>
        <w:lastRenderedPageBreak/>
        <w:t>赎回以及基金合同载明的其他暂停赎回或延缓支付赎回款项的情形时，款项的支付办法参照基金合同有关条款处理。</w:t>
      </w:r>
    </w:p>
    <w:p w14:paraId="65219F7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55EEA6B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14:paraId="3F7E8D3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14:paraId="74FBCBB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AC43FA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55CA6E1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51EE376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3AD05C7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14:paraId="6677DFE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1FD4796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6A0E72D0" w14:textId="31ADFCB0" w:rsidR="005C5B95" w:rsidRDefault="005C5B95" w:rsidP="005C5B95">
      <w:pPr>
        <w:autoSpaceDE w:val="0"/>
        <w:autoSpaceDN w:val="0"/>
        <w:adjustRightInd w:val="0"/>
        <w:snapToGrid w:val="0"/>
        <w:spacing w:line="360" w:lineRule="auto"/>
        <w:ind w:firstLineChars="200" w:firstLine="480"/>
        <w:jc w:val="left"/>
        <w:rPr>
          <w:rFonts w:ascii="宋体" w:hAnsi="宋体"/>
          <w:sz w:val="24"/>
        </w:rPr>
      </w:pPr>
      <w:r w:rsidRPr="00B82234">
        <w:rPr>
          <w:rFonts w:ascii="宋体" w:hAnsi="宋体" w:hint="eastAsia"/>
          <w:sz w:val="24"/>
        </w:rPr>
        <w:t>本基金基金份额分为A类基金份额和</w:t>
      </w:r>
      <w:r w:rsidR="00A04E13">
        <w:rPr>
          <w:rFonts w:ascii="宋体" w:hAnsi="宋体" w:hint="eastAsia"/>
          <w:sz w:val="24"/>
        </w:rPr>
        <w:t>E类</w:t>
      </w:r>
      <w:r w:rsidRPr="00B82234">
        <w:rPr>
          <w:rFonts w:ascii="宋体" w:hAnsi="宋体" w:hint="eastAsia"/>
          <w:sz w:val="24"/>
        </w:rPr>
        <w:t>基金份额。投资人申购A类基金份额在申购时支付申购费用；申购</w:t>
      </w:r>
      <w:r w:rsidR="00A04E13">
        <w:rPr>
          <w:rFonts w:ascii="宋体" w:hAnsi="宋体" w:hint="eastAsia"/>
          <w:sz w:val="24"/>
        </w:rPr>
        <w:t>E类</w:t>
      </w:r>
      <w:r w:rsidRPr="00B82234">
        <w:rPr>
          <w:rFonts w:ascii="宋体" w:hAnsi="宋体" w:hint="eastAsia"/>
          <w:sz w:val="24"/>
        </w:rPr>
        <w:t>基金份额不支付申购费用，并从该类别基金资产中计提销售服务费。</w:t>
      </w:r>
    </w:p>
    <w:p w14:paraId="35415262" w14:textId="7AC3AA20"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5C5B95" w:rsidRPr="008B5060">
        <w:rPr>
          <w:rFonts w:ascii="宋体" w:hAnsi="宋体" w:hint="eastAsia"/>
          <w:sz w:val="24"/>
        </w:rPr>
        <w:t>A类基金份额</w:t>
      </w:r>
      <w:r>
        <w:rPr>
          <w:rFonts w:ascii="宋体" w:hAnsi="宋体"/>
          <w:sz w:val="24"/>
        </w:rPr>
        <w:t>的申购费用由</w:t>
      </w:r>
      <w:r w:rsidR="005C5B95" w:rsidRPr="00D43832">
        <w:rPr>
          <w:rFonts w:ascii="宋体" w:hAnsi="宋体" w:hint="eastAsia"/>
          <w:sz w:val="24"/>
        </w:rPr>
        <w:t>申购A类基金份额的</w:t>
      </w:r>
      <w:r>
        <w:rPr>
          <w:rFonts w:ascii="宋体" w:hAnsi="宋体"/>
          <w:sz w:val="24"/>
        </w:rPr>
        <w:t>申购人承担，不列入基金财产，主要用于本基金的市场推广、销售、登记等各项费用。</w:t>
      </w:r>
    </w:p>
    <w:p w14:paraId="260252C5" w14:textId="78DDA19D"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投资人可以多次申购本基金，</w:t>
      </w:r>
      <w:r w:rsidR="00182A11" w:rsidRPr="00182A11">
        <w:rPr>
          <w:rFonts w:ascii="宋体" w:hAnsi="宋体" w:hint="eastAsia"/>
          <w:sz w:val="24"/>
        </w:rPr>
        <w:t>A类基金份额的</w:t>
      </w:r>
      <w:r>
        <w:rPr>
          <w:rFonts w:ascii="宋体" w:hAnsi="宋体"/>
          <w:sz w:val="24"/>
        </w:rPr>
        <w:t>申购费用按每笔</w:t>
      </w:r>
      <w:r w:rsidR="00C05C75" w:rsidRPr="00C05C75">
        <w:rPr>
          <w:rFonts w:ascii="宋体" w:hAnsi="宋体" w:hint="eastAsia"/>
          <w:sz w:val="24"/>
        </w:rPr>
        <w:t>A类基金份额的</w:t>
      </w:r>
      <w:r>
        <w:rPr>
          <w:rFonts w:ascii="宋体" w:hAnsi="宋体"/>
          <w:sz w:val="24"/>
        </w:rPr>
        <w:t>申购申请单独计算。</w:t>
      </w:r>
    </w:p>
    <w:p w14:paraId="422E08E3" w14:textId="4C6D5DEF"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5C5B95" w:rsidRPr="00B82234">
        <w:rPr>
          <w:rFonts w:ascii="宋体" w:hAnsi="宋体" w:hint="eastAsia"/>
          <w:sz w:val="24"/>
        </w:rPr>
        <w:t>A类基金份额（非养老金客户）</w:t>
      </w:r>
      <w:r>
        <w:rPr>
          <w:rFonts w:ascii="宋体" w:hAnsi="宋体"/>
          <w:sz w:val="24"/>
        </w:rPr>
        <w:t>的申购费率如下：</w:t>
      </w:r>
    </w:p>
    <w:tbl>
      <w:tblPr>
        <w:tblW w:w="5000" w:type="pct"/>
        <w:tblCellMar>
          <w:left w:w="0" w:type="dxa"/>
          <w:right w:w="0" w:type="dxa"/>
        </w:tblCellMar>
        <w:tblLook w:val="0000" w:firstRow="0" w:lastRow="0" w:firstColumn="0" w:lastColumn="0" w:noHBand="0" w:noVBand="0"/>
      </w:tblPr>
      <w:tblGrid>
        <w:gridCol w:w="2273"/>
        <w:gridCol w:w="3402"/>
        <w:gridCol w:w="2995"/>
      </w:tblGrid>
      <w:tr w:rsidR="00D0305B" w14:paraId="1F02B655" w14:textId="77777777" w:rsidTr="00831735">
        <w:trPr>
          <w:cantSplit/>
          <w:trHeight w:val="375"/>
        </w:trPr>
        <w:tc>
          <w:tcPr>
            <w:tcW w:w="1311" w:type="pct"/>
            <w:vMerge w:val="restart"/>
            <w:tcBorders>
              <w:top w:val="single" w:sz="4" w:space="0" w:color="auto"/>
              <w:left w:val="single" w:sz="4" w:space="0" w:color="auto"/>
              <w:bottom w:val="single" w:sz="4" w:space="0" w:color="auto"/>
              <w:right w:val="single" w:sz="4" w:space="0" w:color="auto"/>
            </w:tcBorders>
            <w:vAlign w:val="center"/>
          </w:tcPr>
          <w:p w14:paraId="7B17C494" w14:textId="15F99721" w:rsidR="00D0305B" w:rsidRDefault="005C5B95">
            <w:pPr>
              <w:widowControl/>
              <w:snapToGrid w:val="0"/>
              <w:jc w:val="center"/>
              <w:rPr>
                <w:rFonts w:ascii="宋体" w:hAnsi="宋体"/>
                <w:color w:val="000000"/>
                <w:kern w:val="0"/>
                <w:sz w:val="25"/>
                <w:szCs w:val="24"/>
              </w:rPr>
            </w:pPr>
            <w:r w:rsidRPr="00BC0912">
              <w:rPr>
                <w:rFonts w:ascii="Times New Roman" w:hAnsi="Times New Roman" w:hint="eastAsia"/>
                <w:color w:val="000000"/>
                <w:kern w:val="0"/>
                <w:sz w:val="25"/>
                <w:szCs w:val="24"/>
              </w:rPr>
              <w:t>A</w:t>
            </w:r>
            <w:r w:rsidRPr="00BC0912">
              <w:rPr>
                <w:rFonts w:ascii="Times New Roman" w:hAnsi="Times New Roman" w:hint="eastAsia"/>
                <w:color w:val="000000"/>
                <w:kern w:val="0"/>
                <w:sz w:val="25"/>
                <w:szCs w:val="24"/>
              </w:rPr>
              <w:t>类基金份额</w:t>
            </w:r>
            <w:r>
              <w:rPr>
                <w:rFonts w:ascii="Times New Roman" w:hAnsi="Times New Roman" w:hint="eastAsia"/>
                <w:color w:val="000000"/>
                <w:kern w:val="0"/>
                <w:sz w:val="25"/>
                <w:szCs w:val="24"/>
              </w:rPr>
              <w:t>的</w:t>
            </w:r>
            <w:r w:rsidR="00AE421E">
              <w:rPr>
                <w:rFonts w:ascii="Times New Roman" w:hAnsi="Times New Roman"/>
                <w:color w:val="000000"/>
                <w:kern w:val="0"/>
                <w:sz w:val="25"/>
                <w:szCs w:val="24"/>
              </w:rPr>
              <w:t>申购费率</w:t>
            </w:r>
          </w:p>
        </w:tc>
        <w:tc>
          <w:tcPr>
            <w:tcW w:w="1962" w:type="pct"/>
            <w:tcBorders>
              <w:top w:val="single" w:sz="4" w:space="0" w:color="auto"/>
              <w:left w:val="single" w:sz="4" w:space="0" w:color="auto"/>
              <w:bottom w:val="single" w:sz="4" w:space="0" w:color="auto"/>
              <w:right w:val="single" w:sz="4" w:space="0" w:color="auto"/>
            </w:tcBorders>
            <w:vAlign w:val="center"/>
          </w:tcPr>
          <w:p w14:paraId="59DD52F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1727" w:type="pct"/>
            <w:tcBorders>
              <w:top w:val="single" w:sz="4" w:space="0" w:color="auto"/>
              <w:left w:val="single" w:sz="4" w:space="0" w:color="auto"/>
              <w:bottom w:val="single" w:sz="4" w:space="0" w:color="auto"/>
              <w:right w:val="single" w:sz="4" w:space="0" w:color="auto"/>
            </w:tcBorders>
            <w:vAlign w:val="center"/>
          </w:tcPr>
          <w:p w14:paraId="1AC552B5" w14:textId="4A697041" w:rsidR="00D0305B" w:rsidRDefault="005C5B95">
            <w:pPr>
              <w:widowControl/>
              <w:snapToGrid w:val="0"/>
              <w:jc w:val="center"/>
              <w:rPr>
                <w:rFonts w:ascii="宋体" w:hAnsi="宋体"/>
                <w:color w:val="000000"/>
                <w:kern w:val="0"/>
                <w:sz w:val="25"/>
                <w:szCs w:val="24"/>
              </w:rPr>
            </w:pPr>
            <w:r w:rsidRPr="00BC0912">
              <w:rPr>
                <w:rFonts w:ascii="Times New Roman" w:hAnsi="Times New Roman" w:hint="eastAsia"/>
                <w:color w:val="000000"/>
                <w:kern w:val="0"/>
                <w:sz w:val="25"/>
                <w:szCs w:val="24"/>
              </w:rPr>
              <w:t>A</w:t>
            </w:r>
            <w:r w:rsidRPr="00BC0912">
              <w:rPr>
                <w:rFonts w:ascii="Times New Roman" w:hAnsi="Times New Roman" w:hint="eastAsia"/>
                <w:color w:val="000000"/>
                <w:kern w:val="0"/>
                <w:sz w:val="25"/>
                <w:szCs w:val="24"/>
              </w:rPr>
              <w:t>类基金份额</w:t>
            </w:r>
            <w:r w:rsidR="00C614F3">
              <w:rPr>
                <w:rFonts w:ascii="Times New Roman" w:hAnsi="Times New Roman" w:hint="eastAsia"/>
                <w:color w:val="000000"/>
                <w:kern w:val="0"/>
                <w:sz w:val="25"/>
                <w:szCs w:val="24"/>
              </w:rPr>
              <w:t>的</w:t>
            </w:r>
            <w:r w:rsidR="00AE421E">
              <w:rPr>
                <w:rFonts w:ascii="Times New Roman" w:hAnsi="Times New Roman"/>
                <w:color w:val="000000"/>
                <w:kern w:val="0"/>
                <w:sz w:val="25"/>
                <w:szCs w:val="24"/>
              </w:rPr>
              <w:t>申购费率</w:t>
            </w:r>
          </w:p>
        </w:tc>
      </w:tr>
      <w:tr w:rsidR="00D0305B" w14:paraId="78133D7A" w14:textId="77777777" w:rsidTr="00831735">
        <w:trPr>
          <w:cantSplit/>
          <w:trHeight w:val="375"/>
        </w:trPr>
        <w:tc>
          <w:tcPr>
            <w:tcW w:w="1311" w:type="pct"/>
            <w:vMerge/>
            <w:tcBorders>
              <w:top w:val="single" w:sz="4" w:space="0" w:color="auto"/>
              <w:left w:val="single" w:sz="4" w:space="0" w:color="auto"/>
              <w:bottom w:val="single" w:sz="4" w:space="0" w:color="auto"/>
              <w:right w:val="single" w:sz="4" w:space="0" w:color="auto"/>
            </w:tcBorders>
            <w:vAlign w:val="center"/>
          </w:tcPr>
          <w:p w14:paraId="4619A6C8" w14:textId="77777777" w:rsidR="00D0305B" w:rsidRDefault="00D0305B">
            <w:pPr>
              <w:widowControl/>
              <w:snapToGrid w:val="0"/>
              <w:jc w:val="center"/>
              <w:rPr>
                <w:rFonts w:ascii="宋体" w:hAnsi="宋体"/>
                <w:color w:val="000000"/>
                <w:kern w:val="0"/>
                <w:sz w:val="25"/>
                <w:szCs w:val="24"/>
              </w:rPr>
            </w:pPr>
          </w:p>
        </w:tc>
        <w:tc>
          <w:tcPr>
            <w:tcW w:w="1962" w:type="pct"/>
            <w:tcBorders>
              <w:top w:val="single" w:sz="4" w:space="0" w:color="auto"/>
              <w:left w:val="single" w:sz="4" w:space="0" w:color="auto"/>
              <w:bottom w:val="single" w:sz="4" w:space="0" w:color="auto"/>
              <w:right w:val="single" w:sz="4" w:space="0" w:color="auto"/>
            </w:tcBorders>
            <w:vAlign w:val="center"/>
          </w:tcPr>
          <w:p w14:paraId="61202092"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1727" w:type="pct"/>
            <w:tcBorders>
              <w:top w:val="single" w:sz="4" w:space="0" w:color="auto"/>
              <w:left w:val="single" w:sz="4" w:space="0" w:color="auto"/>
              <w:bottom w:val="single" w:sz="4" w:space="0" w:color="auto"/>
              <w:right w:val="single" w:sz="4" w:space="0" w:color="auto"/>
            </w:tcBorders>
            <w:vAlign w:val="center"/>
          </w:tcPr>
          <w:p w14:paraId="288E59A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D0305B" w14:paraId="41B38EB1" w14:textId="77777777" w:rsidTr="00831735">
        <w:trPr>
          <w:cantSplit/>
          <w:trHeight w:val="375"/>
        </w:trPr>
        <w:tc>
          <w:tcPr>
            <w:tcW w:w="1311" w:type="pct"/>
            <w:vMerge/>
            <w:tcBorders>
              <w:top w:val="single" w:sz="4" w:space="0" w:color="auto"/>
              <w:left w:val="single" w:sz="4" w:space="0" w:color="auto"/>
              <w:bottom w:val="single" w:sz="4" w:space="0" w:color="auto"/>
              <w:right w:val="single" w:sz="4" w:space="0" w:color="auto"/>
            </w:tcBorders>
            <w:vAlign w:val="center"/>
          </w:tcPr>
          <w:p w14:paraId="152A6649" w14:textId="77777777" w:rsidR="00D0305B" w:rsidRDefault="00D0305B">
            <w:pPr>
              <w:widowControl/>
              <w:snapToGrid w:val="0"/>
              <w:jc w:val="center"/>
              <w:rPr>
                <w:rFonts w:ascii="宋体" w:hAnsi="宋体"/>
                <w:color w:val="000000"/>
                <w:kern w:val="0"/>
                <w:sz w:val="25"/>
                <w:szCs w:val="24"/>
              </w:rPr>
            </w:pPr>
          </w:p>
        </w:tc>
        <w:tc>
          <w:tcPr>
            <w:tcW w:w="1962" w:type="pct"/>
            <w:tcBorders>
              <w:top w:val="single" w:sz="4" w:space="0" w:color="auto"/>
              <w:left w:val="single" w:sz="4" w:space="0" w:color="auto"/>
              <w:bottom w:val="single" w:sz="4" w:space="0" w:color="auto"/>
              <w:right w:val="single" w:sz="4" w:space="0" w:color="auto"/>
            </w:tcBorders>
            <w:vAlign w:val="center"/>
          </w:tcPr>
          <w:p w14:paraId="16A2C6D4"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1727" w:type="pct"/>
            <w:tcBorders>
              <w:top w:val="single" w:sz="4" w:space="0" w:color="auto"/>
              <w:left w:val="single" w:sz="4" w:space="0" w:color="auto"/>
              <w:bottom w:val="single" w:sz="4" w:space="0" w:color="auto"/>
              <w:right w:val="single" w:sz="4" w:space="0" w:color="auto"/>
            </w:tcBorders>
            <w:vAlign w:val="center"/>
          </w:tcPr>
          <w:p w14:paraId="7DB2715A"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D0305B" w14:paraId="6BA5955D" w14:textId="77777777" w:rsidTr="00831735">
        <w:trPr>
          <w:cantSplit/>
          <w:trHeight w:val="375"/>
        </w:trPr>
        <w:tc>
          <w:tcPr>
            <w:tcW w:w="1311" w:type="pct"/>
            <w:vMerge/>
            <w:tcBorders>
              <w:top w:val="single" w:sz="4" w:space="0" w:color="auto"/>
              <w:left w:val="single" w:sz="4" w:space="0" w:color="auto"/>
              <w:bottom w:val="single" w:sz="4" w:space="0" w:color="auto"/>
              <w:right w:val="single" w:sz="4" w:space="0" w:color="auto"/>
            </w:tcBorders>
            <w:vAlign w:val="center"/>
          </w:tcPr>
          <w:p w14:paraId="20760607" w14:textId="77777777" w:rsidR="00D0305B" w:rsidRDefault="00D0305B">
            <w:pPr>
              <w:widowControl/>
              <w:snapToGrid w:val="0"/>
              <w:jc w:val="center"/>
              <w:rPr>
                <w:rFonts w:ascii="宋体" w:hAnsi="宋体"/>
                <w:color w:val="000000"/>
                <w:kern w:val="0"/>
                <w:sz w:val="25"/>
                <w:szCs w:val="24"/>
              </w:rPr>
            </w:pPr>
          </w:p>
        </w:tc>
        <w:tc>
          <w:tcPr>
            <w:tcW w:w="1962" w:type="pct"/>
            <w:tcBorders>
              <w:top w:val="single" w:sz="4" w:space="0" w:color="auto"/>
              <w:left w:val="single" w:sz="4" w:space="0" w:color="auto"/>
              <w:bottom w:val="single" w:sz="4" w:space="0" w:color="auto"/>
              <w:right w:val="single" w:sz="4" w:space="0" w:color="auto"/>
            </w:tcBorders>
            <w:vAlign w:val="center"/>
          </w:tcPr>
          <w:p w14:paraId="6AD1F955"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1727" w:type="pct"/>
            <w:tcBorders>
              <w:top w:val="single" w:sz="4" w:space="0" w:color="auto"/>
              <w:left w:val="single" w:sz="4" w:space="0" w:color="auto"/>
              <w:bottom w:val="single" w:sz="4" w:space="0" w:color="auto"/>
              <w:right w:val="single" w:sz="4" w:space="0" w:color="auto"/>
            </w:tcBorders>
            <w:vAlign w:val="center"/>
          </w:tcPr>
          <w:p w14:paraId="145713F7"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D0305B" w14:paraId="702E856C" w14:textId="77777777" w:rsidTr="00831735">
        <w:trPr>
          <w:cantSplit/>
          <w:trHeight w:val="375"/>
        </w:trPr>
        <w:tc>
          <w:tcPr>
            <w:tcW w:w="1311" w:type="pct"/>
            <w:vMerge/>
            <w:tcBorders>
              <w:top w:val="single" w:sz="4" w:space="0" w:color="auto"/>
              <w:left w:val="single" w:sz="4" w:space="0" w:color="auto"/>
              <w:bottom w:val="single" w:sz="4" w:space="0" w:color="auto"/>
              <w:right w:val="single" w:sz="4" w:space="0" w:color="auto"/>
            </w:tcBorders>
            <w:vAlign w:val="center"/>
          </w:tcPr>
          <w:p w14:paraId="4A5FF830" w14:textId="77777777" w:rsidR="00D0305B" w:rsidRDefault="00D0305B">
            <w:pPr>
              <w:widowControl/>
              <w:snapToGrid w:val="0"/>
              <w:jc w:val="center"/>
              <w:rPr>
                <w:rFonts w:ascii="宋体" w:hAnsi="宋体"/>
                <w:color w:val="000000"/>
                <w:kern w:val="0"/>
                <w:sz w:val="25"/>
                <w:szCs w:val="24"/>
              </w:rPr>
            </w:pPr>
          </w:p>
        </w:tc>
        <w:tc>
          <w:tcPr>
            <w:tcW w:w="1962" w:type="pct"/>
            <w:tcBorders>
              <w:top w:val="single" w:sz="4" w:space="0" w:color="auto"/>
              <w:left w:val="single" w:sz="4" w:space="0" w:color="auto"/>
              <w:bottom w:val="single" w:sz="4" w:space="0" w:color="auto"/>
              <w:right w:val="single" w:sz="4" w:space="0" w:color="auto"/>
            </w:tcBorders>
            <w:vAlign w:val="center"/>
          </w:tcPr>
          <w:p w14:paraId="5EC11663"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1727" w:type="pct"/>
            <w:tcBorders>
              <w:top w:val="single" w:sz="4" w:space="0" w:color="auto"/>
              <w:left w:val="single" w:sz="4" w:space="0" w:color="auto"/>
              <w:bottom w:val="single" w:sz="4" w:space="0" w:color="auto"/>
              <w:right w:val="single" w:sz="4" w:space="0" w:color="auto"/>
            </w:tcBorders>
            <w:vAlign w:val="center"/>
          </w:tcPr>
          <w:p w14:paraId="3084C2B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D0305B" w14:paraId="0F4B0FC4" w14:textId="77777777" w:rsidTr="00831735">
        <w:trPr>
          <w:cantSplit/>
          <w:trHeight w:val="375"/>
        </w:trPr>
        <w:tc>
          <w:tcPr>
            <w:tcW w:w="1311" w:type="pct"/>
            <w:vMerge/>
            <w:tcBorders>
              <w:top w:val="single" w:sz="4" w:space="0" w:color="auto"/>
              <w:left w:val="single" w:sz="4" w:space="0" w:color="auto"/>
              <w:bottom w:val="single" w:sz="4" w:space="0" w:color="auto"/>
              <w:right w:val="single" w:sz="4" w:space="0" w:color="auto"/>
            </w:tcBorders>
            <w:vAlign w:val="center"/>
          </w:tcPr>
          <w:p w14:paraId="43C1811C" w14:textId="77777777" w:rsidR="00D0305B" w:rsidRDefault="00D0305B">
            <w:pPr>
              <w:widowControl/>
              <w:snapToGrid w:val="0"/>
              <w:jc w:val="center"/>
              <w:rPr>
                <w:rFonts w:ascii="宋体" w:hAnsi="宋体"/>
                <w:color w:val="000000"/>
                <w:kern w:val="0"/>
                <w:sz w:val="25"/>
                <w:szCs w:val="24"/>
              </w:rPr>
            </w:pPr>
          </w:p>
        </w:tc>
        <w:tc>
          <w:tcPr>
            <w:tcW w:w="1962" w:type="pct"/>
            <w:tcBorders>
              <w:top w:val="single" w:sz="4" w:space="0" w:color="auto"/>
              <w:left w:val="single" w:sz="4" w:space="0" w:color="auto"/>
              <w:bottom w:val="single" w:sz="4" w:space="0" w:color="auto"/>
              <w:right w:val="single" w:sz="4" w:space="0" w:color="auto"/>
            </w:tcBorders>
            <w:vAlign w:val="center"/>
          </w:tcPr>
          <w:p w14:paraId="7182F931"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1727" w:type="pct"/>
            <w:tcBorders>
              <w:top w:val="single" w:sz="4" w:space="0" w:color="auto"/>
              <w:left w:val="single" w:sz="4" w:space="0" w:color="auto"/>
              <w:bottom w:val="single" w:sz="4" w:space="0" w:color="auto"/>
              <w:right w:val="single" w:sz="4" w:space="0" w:color="auto"/>
            </w:tcBorders>
            <w:vAlign w:val="center"/>
          </w:tcPr>
          <w:p w14:paraId="489ECDD4"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4DA88C32" w14:textId="01AC19BF" w:rsidR="00D0305B" w:rsidRDefault="00C05C75">
      <w:pPr>
        <w:autoSpaceDE w:val="0"/>
        <w:autoSpaceDN w:val="0"/>
        <w:adjustRightInd w:val="0"/>
        <w:snapToGrid w:val="0"/>
        <w:spacing w:line="360" w:lineRule="auto"/>
        <w:ind w:firstLineChars="200" w:firstLine="480"/>
        <w:jc w:val="left"/>
        <w:rPr>
          <w:rFonts w:ascii="宋体" w:hAnsi="宋体"/>
          <w:szCs w:val="24"/>
        </w:rPr>
      </w:pPr>
      <w:r w:rsidRPr="00C05C75">
        <w:rPr>
          <w:rFonts w:ascii="宋体" w:hAnsi="宋体" w:hint="eastAsia"/>
          <w:sz w:val="24"/>
        </w:rPr>
        <w:t>持有A类基金份额的投资人</w:t>
      </w:r>
      <w:r w:rsidR="00AE421E">
        <w:rPr>
          <w:rFonts w:ascii="宋体" w:hAnsi="宋体"/>
          <w:sz w:val="24"/>
        </w:rPr>
        <w:t>因红利自动再投资而产生的</w:t>
      </w:r>
      <w:r w:rsidRPr="00C05C75">
        <w:rPr>
          <w:rFonts w:ascii="宋体" w:hAnsi="宋体" w:hint="eastAsia"/>
          <w:sz w:val="24"/>
        </w:rPr>
        <w:t>A类</w:t>
      </w:r>
      <w:r w:rsidR="00AE421E">
        <w:rPr>
          <w:rFonts w:ascii="宋体" w:hAnsi="宋体"/>
          <w:sz w:val="24"/>
        </w:rPr>
        <w:t>基金份额，不收取相应的申购费用。</w:t>
      </w:r>
    </w:p>
    <w:p w14:paraId="56174AA1" w14:textId="570E1DF1"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本基金对通过基金管理人直销柜台申购本基金</w:t>
      </w:r>
      <w:r w:rsidR="00C22A11">
        <w:rPr>
          <w:rFonts w:ascii="宋体" w:hAnsi="宋体" w:hint="eastAsia"/>
          <w:sz w:val="24"/>
        </w:rPr>
        <w:t>A类</w:t>
      </w:r>
      <w:r>
        <w:rPr>
          <w:rFonts w:ascii="宋体" w:hAnsi="宋体"/>
          <w:sz w:val="24"/>
        </w:rPr>
        <w:t>基金份额的养老金客户实施特定申购费率。</w:t>
      </w:r>
    </w:p>
    <w:p w14:paraId="5696F4F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企业年金理事会委托的特定客户资产管理计划、企业年金养老金产品。如将来出现经养老基金监管部门认可的新的养老基金类型，基金管理人可在招募说明书更新或发布临时公告将其纳入养老金客户范围，并按规定向中国证监会备案。</w:t>
      </w:r>
    </w:p>
    <w:p w14:paraId="784109A3" w14:textId="584122E5"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w:t>
      </w:r>
      <w:r w:rsidR="00F60A44">
        <w:rPr>
          <w:rFonts w:ascii="宋体" w:hAnsi="宋体" w:hint="eastAsia"/>
          <w:sz w:val="24"/>
        </w:rPr>
        <w:t>A类</w:t>
      </w:r>
      <w:r>
        <w:rPr>
          <w:rFonts w:ascii="宋体" w:hAnsi="宋体"/>
          <w:sz w:val="24"/>
        </w:rPr>
        <w:t>基金份额的养老金客户特定申购费率如下表：</w:t>
      </w:r>
    </w:p>
    <w:tbl>
      <w:tblPr>
        <w:tblW w:w="5000" w:type="pct"/>
        <w:tblCellMar>
          <w:left w:w="0" w:type="dxa"/>
          <w:right w:w="0" w:type="dxa"/>
        </w:tblCellMar>
        <w:tblLook w:val="0000" w:firstRow="0" w:lastRow="0" w:firstColumn="0" w:lastColumn="0" w:noHBand="0" w:noVBand="0"/>
      </w:tblPr>
      <w:tblGrid>
        <w:gridCol w:w="2274"/>
        <w:gridCol w:w="3544"/>
        <w:gridCol w:w="2852"/>
      </w:tblGrid>
      <w:tr w:rsidR="00D0305B" w14:paraId="4DE74EA4" w14:textId="77777777" w:rsidTr="00831735">
        <w:trPr>
          <w:cantSplit/>
          <w:trHeight w:val="375"/>
        </w:trPr>
        <w:tc>
          <w:tcPr>
            <w:tcW w:w="1311" w:type="pct"/>
            <w:vMerge w:val="restart"/>
            <w:tcBorders>
              <w:top w:val="single" w:sz="4" w:space="0" w:color="auto"/>
              <w:left w:val="single" w:sz="4" w:space="0" w:color="auto"/>
              <w:bottom w:val="single" w:sz="4" w:space="0" w:color="auto"/>
              <w:right w:val="single" w:sz="4" w:space="0" w:color="auto"/>
            </w:tcBorders>
            <w:vAlign w:val="center"/>
          </w:tcPr>
          <w:p w14:paraId="721BA4DA" w14:textId="2B59C139" w:rsidR="00D0305B" w:rsidRDefault="00F60A44" w:rsidP="00831735">
            <w:pPr>
              <w:widowControl/>
              <w:snapToGrid w:val="0"/>
              <w:jc w:val="center"/>
              <w:rPr>
                <w:rFonts w:ascii="宋体" w:hAnsi="宋体"/>
                <w:color w:val="000000"/>
                <w:kern w:val="0"/>
                <w:sz w:val="25"/>
                <w:szCs w:val="24"/>
              </w:rPr>
            </w:pPr>
            <w:r w:rsidRPr="0015294E">
              <w:rPr>
                <w:rFonts w:ascii="Times New Roman" w:hAnsi="Times New Roman" w:hint="eastAsia"/>
                <w:color w:val="000000"/>
                <w:kern w:val="0"/>
                <w:sz w:val="25"/>
                <w:szCs w:val="24"/>
              </w:rPr>
              <w:t>A</w:t>
            </w:r>
            <w:r w:rsidRPr="0015294E">
              <w:rPr>
                <w:rFonts w:ascii="Times New Roman" w:hAnsi="Times New Roman" w:hint="eastAsia"/>
                <w:color w:val="000000"/>
                <w:kern w:val="0"/>
                <w:sz w:val="25"/>
                <w:szCs w:val="24"/>
              </w:rPr>
              <w:t>类基金份额</w:t>
            </w:r>
            <w:r>
              <w:rPr>
                <w:rFonts w:ascii="Times New Roman" w:hAnsi="Times New Roman" w:hint="eastAsia"/>
                <w:color w:val="000000"/>
                <w:kern w:val="0"/>
                <w:sz w:val="25"/>
                <w:szCs w:val="24"/>
              </w:rPr>
              <w:t>的特定</w:t>
            </w:r>
            <w:r w:rsidR="00AE421E">
              <w:rPr>
                <w:rFonts w:ascii="Times New Roman" w:hAnsi="Times New Roman"/>
                <w:color w:val="000000"/>
                <w:kern w:val="0"/>
                <w:sz w:val="25"/>
                <w:szCs w:val="24"/>
              </w:rPr>
              <w:t>申购费率</w:t>
            </w:r>
          </w:p>
        </w:tc>
        <w:tc>
          <w:tcPr>
            <w:tcW w:w="2044" w:type="pct"/>
            <w:tcBorders>
              <w:top w:val="single" w:sz="4" w:space="0" w:color="auto"/>
              <w:left w:val="single" w:sz="4" w:space="0" w:color="auto"/>
              <w:bottom w:val="single" w:sz="4" w:space="0" w:color="auto"/>
              <w:right w:val="single" w:sz="4" w:space="0" w:color="auto"/>
            </w:tcBorders>
            <w:vAlign w:val="center"/>
          </w:tcPr>
          <w:p w14:paraId="29903C1A" w14:textId="77777777" w:rsidR="00D0305B" w:rsidRDefault="00AE421E" w:rsidP="00831735">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1645" w:type="pct"/>
            <w:tcBorders>
              <w:top w:val="single" w:sz="4" w:space="0" w:color="auto"/>
              <w:left w:val="single" w:sz="4" w:space="0" w:color="auto"/>
              <w:bottom w:val="single" w:sz="4" w:space="0" w:color="auto"/>
              <w:right w:val="single" w:sz="4" w:space="0" w:color="auto"/>
            </w:tcBorders>
            <w:vAlign w:val="center"/>
          </w:tcPr>
          <w:p w14:paraId="1D5E837F" w14:textId="5A1010D2" w:rsidR="00D0305B" w:rsidRDefault="00F60A44" w:rsidP="00831735">
            <w:pPr>
              <w:widowControl/>
              <w:snapToGrid w:val="0"/>
              <w:jc w:val="center"/>
              <w:rPr>
                <w:rFonts w:ascii="宋体" w:hAnsi="宋体"/>
                <w:color w:val="000000"/>
                <w:kern w:val="0"/>
                <w:sz w:val="25"/>
                <w:szCs w:val="24"/>
              </w:rPr>
            </w:pPr>
            <w:r w:rsidRPr="0015294E">
              <w:rPr>
                <w:rFonts w:ascii="Times New Roman" w:hAnsi="Times New Roman" w:hint="eastAsia"/>
                <w:color w:val="000000"/>
                <w:kern w:val="0"/>
                <w:sz w:val="25"/>
                <w:szCs w:val="24"/>
              </w:rPr>
              <w:t>A</w:t>
            </w:r>
            <w:r w:rsidRPr="0015294E">
              <w:rPr>
                <w:rFonts w:ascii="Times New Roman" w:hAnsi="Times New Roman" w:hint="eastAsia"/>
                <w:color w:val="000000"/>
                <w:kern w:val="0"/>
                <w:sz w:val="25"/>
                <w:szCs w:val="24"/>
              </w:rPr>
              <w:t>类基金份额</w:t>
            </w:r>
            <w:r>
              <w:rPr>
                <w:rFonts w:ascii="Times New Roman" w:hAnsi="Times New Roman" w:hint="eastAsia"/>
                <w:color w:val="000000"/>
                <w:kern w:val="0"/>
                <w:sz w:val="25"/>
                <w:szCs w:val="24"/>
              </w:rPr>
              <w:t>的</w:t>
            </w:r>
            <w:r w:rsidR="00AE421E">
              <w:rPr>
                <w:rFonts w:ascii="Times New Roman" w:hAnsi="Times New Roman"/>
                <w:color w:val="000000"/>
                <w:kern w:val="0"/>
                <w:sz w:val="25"/>
                <w:szCs w:val="24"/>
              </w:rPr>
              <w:t>特定申购费率</w:t>
            </w:r>
          </w:p>
        </w:tc>
      </w:tr>
      <w:tr w:rsidR="00D0305B" w14:paraId="473F5551" w14:textId="77777777" w:rsidTr="00831735">
        <w:trPr>
          <w:cantSplit/>
          <w:trHeight w:val="375"/>
        </w:trPr>
        <w:tc>
          <w:tcPr>
            <w:tcW w:w="1311" w:type="pct"/>
            <w:vMerge/>
            <w:tcBorders>
              <w:top w:val="single" w:sz="4" w:space="0" w:color="auto"/>
              <w:left w:val="single" w:sz="4" w:space="0" w:color="auto"/>
              <w:bottom w:val="single" w:sz="4" w:space="0" w:color="auto"/>
              <w:right w:val="single" w:sz="4" w:space="0" w:color="auto"/>
            </w:tcBorders>
            <w:vAlign w:val="center"/>
          </w:tcPr>
          <w:p w14:paraId="3DC0C990" w14:textId="77777777" w:rsidR="00D0305B" w:rsidRDefault="00D0305B">
            <w:pPr>
              <w:widowControl/>
              <w:snapToGrid w:val="0"/>
              <w:jc w:val="left"/>
              <w:rPr>
                <w:rFonts w:ascii="宋体" w:hAnsi="宋体"/>
                <w:color w:val="000000"/>
                <w:kern w:val="0"/>
                <w:sz w:val="25"/>
                <w:szCs w:val="24"/>
              </w:rPr>
            </w:pPr>
          </w:p>
        </w:tc>
        <w:tc>
          <w:tcPr>
            <w:tcW w:w="2044" w:type="pct"/>
            <w:tcBorders>
              <w:top w:val="single" w:sz="4" w:space="0" w:color="auto"/>
              <w:left w:val="single" w:sz="4" w:space="0" w:color="auto"/>
              <w:bottom w:val="single" w:sz="4" w:space="0" w:color="auto"/>
              <w:right w:val="single" w:sz="4" w:space="0" w:color="auto"/>
            </w:tcBorders>
            <w:vAlign w:val="center"/>
          </w:tcPr>
          <w:p w14:paraId="280166F1"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1645" w:type="pct"/>
            <w:tcBorders>
              <w:top w:val="single" w:sz="4" w:space="0" w:color="auto"/>
              <w:left w:val="single" w:sz="4" w:space="0" w:color="auto"/>
              <w:bottom w:val="single" w:sz="4" w:space="0" w:color="auto"/>
              <w:right w:val="single" w:sz="4" w:space="0" w:color="auto"/>
            </w:tcBorders>
            <w:vAlign w:val="center"/>
          </w:tcPr>
          <w:p w14:paraId="58D6E5E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D0305B" w14:paraId="4A939DE1" w14:textId="77777777" w:rsidTr="00831735">
        <w:trPr>
          <w:cantSplit/>
          <w:trHeight w:val="375"/>
        </w:trPr>
        <w:tc>
          <w:tcPr>
            <w:tcW w:w="1311" w:type="pct"/>
            <w:vMerge/>
            <w:tcBorders>
              <w:top w:val="single" w:sz="4" w:space="0" w:color="auto"/>
              <w:left w:val="single" w:sz="4" w:space="0" w:color="auto"/>
              <w:bottom w:val="single" w:sz="4" w:space="0" w:color="auto"/>
              <w:right w:val="single" w:sz="4" w:space="0" w:color="auto"/>
            </w:tcBorders>
            <w:vAlign w:val="center"/>
          </w:tcPr>
          <w:p w14:paraId="63B8E24F" w14:textId="77777777" w:rsidR="00D0305B" w:rsidRDefault="00D0305B">
            <w:pPr>
              <w:widowControl/>
              <w:snapToGrid w:val="0"/>
              <w:jc w:val="left"/>
              <w:rPr>
                <w:rFonts w:ascii="宋体" w:hAnsi="宋体"/>
                <w:color w:val="000000"/>
                <w:kern w:val="0"/>
                <w:sz w:val="25"/>
                <w:szCs w:val="24"/>
              </w:rPr>
            </w:pPr>
          </w:p>
        </w:tc>
        <w:tc>
          <w:tcPr>
            <w:tcW w:w="2044" w:type="pct"/>
            <w:tcBorders>
              <w:top w:val="single" w:sz="4" w:space="0" w:color="auto"/>
              <w:left w:val="single" w:sz="4" w:space="0" w:color="auto"/>
              <w:bottom w:val="single" w:sz="4" w:space="0" w:color="auto"/>
              <w:right w:val="single" w:sz="4" w:space="0" w:color="auto"/>
            </w:tcBorders>
            <w:vAlign w:val="center"/>
          </w:tcPr>
          <w:p w14:paraId="46CEE164"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1645" w:type="pct"/>
            <w:tcBorders>
              <w:top w:val="single" w:sz="4" w:space="0" w:color="auto"/>
              <w:left w:val="single" w:sz="4" w:space="0" w:color="auto"/>
              <w:bottom w:val="single" w:sz="4" w:space="0" w:color="auto"/>
              <w:right w:val="single" w:sz="4" w:space="0" w:color="auto"/>
            </w:tcBorders>
            <w:vAlign w:val="center"/>
          </w:tcPr>
          <w:p w14:paraId="09A99A5D"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D0305B" w14:paraId="6FFFDED4" w14:textId="77777777" w:rsidTr="00831735">
        <w:trPr>
          <w:cantSplit/>
          <w:trHeight w:val="375"/>
        </w:trPr>
        <w:tc>
          <w:tcPr>
            <w:tcW w:w="1311" w:type="pct"/>
            <w:vMerge/>
            <w:tcBorders>
              <w:top w:val="single" w:sz="4" w:space="0" w:color="auto"/>
              <w:left w:val="single" w:sz="4" w:space="0" w:color="auto"/>
              <w:bottom w:val="single" w:sz="4" w:space="0" w:color="auto"/>
              <w:right w:val="single" w:sz="4" w:space="0" w:color="auto"/>
            </w:tcBorders>
            <w:vAlign w:val="center"/>
          </w:tcPr>
          <w:p w14:paraId="1C1C8E24" w14:textId="77777777" w:rsidR="00D0305B" w:rsidRDefault="00D0305B">
            <w:pPr>
              <w:widowControl/>
              <w:snapToGrid w:val="0"/>
              <w:jc w:val="left"/>
              <w:rPr>
                <w:rFonts w:ascii="宋体" w:hAnsi="宋体"/>
                <w:color w:val="000000"/>
                <w:kern w:val="0"/>
                <w:sz w:val="25"/>
                <w:szCs w:val="24"/>
              </w:rPr>
            </w:pPr>
          </w:p>
        </w:tc>
        <w:tc>
          <w:tcPr>
            <w:tcW w:w="2044" w:type="pct"/>
            <w:tcBorders>
              <w:top w:val="single" w:sz="4" w:space="0" w:color="auto"/>
              <w:left w:val="single" w:sz="4" w:space="0" w:color="auto"/>
              <w:bottom w:val="single" w:sz="4" w:space="0" w:color="auto"/>
              <w:right w:val="single" w:sz="4" w:space="0" w:color="auto"/>
            </w:tcBorders>
            <w:vAlign w:val="center"/>
          </w:tcPr>
          <w:p w14:paraId="0E85C6E9"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1645" w:type="pct"/>
            <w:tcBorders>
              <w:top w:val="single" w:sz="4" w:space="0" w:color="auto"/>
              <w:left w:val="single" w:sz="4" w:space="0" w:color="auto"/>
              <w:bottom w:val="single" w:sz="4" w:space="0" w:color="auto"/>
              <w:right w:val="single" w:sz="4" w:space="0" w:color="auto"/>
            </w:tcBorders>
            <w:vAlign w:val="center"/>
          </w:tcPr>
          <w:p w14:paraId="3D2C853A"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D0305B" w14:paraId="3C18D034" w14:textId="77777777" w:rsidTr="00831735">
        <w:trPr>
          <w:cantSplit/>
          <w:trHeight w:val="375"/>
        </w:trPr>
        <w:tc>
          <w:tcPr>
            <w:tcW w:w="1311" w:type="pct"/>
            <w:vMerge/>
            <w:tcBorders>
              <w:top w:val="single" w:sz="4" w:space="0" w:color="auto"/>
              <w:left w:val="single" w:sz="4" w:space="0" w:color="auto"/>
              <w:bottom w:val="single" w:sz="4" w:space="0" w:color="auto"/>
              <w:right w:val="single" w:sz="4" w:space="0" w:color="auto"/>
            </w:tcBorders>
            <w:vAlign w:val="center"/>
          </w:tcPr>
          <w:p w14:paraId="46146646" w14:textId="77777777" w:rsidR="00D0305B" w:rsidRDefault="00D0305B">
            <w:pPr>
              <w:widowControl/>
              <w:snapToGrid w:val="0"/>
              <w:jc w:val="left"/>
              <w:rPr>
                <w:rFonts w:ascii="宋体" w:hAnsi="宋体"/>
                <w:color w:val="000000"/>
                <w:kern w:val="0"/>
                <w:sz w:val="25"/>
                <w:szCs w:val="24"/>
              </w:rPr>
            </w:pPr>
          </w:p>
        </w:tc>
        <w:tc>
          <w:tcPr>
            <w:tcW w:w="2044" w:type="pct"/>
            <w:tcBorders>
              <w:top w:val="single" w:sz="4" w:space="0" w:color="auto"/>
              <w:left w:val="single" w:sz="4" w:space="0" w:color="auto"/>
              <w:bottom w:val="single" w:sz="4" w:space="0" w:color="auto"/>
              <w:right w:val="single" w:sz="4" w:space="0" w:color="auto"/>
            </w:tcBorders>
            <w:vAlign w:val="center"/>
          </w:tcPr>
          <w:p w14:paraId="17A45DA1"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1645" w:type="pct"/>
            <w:tcBorders>
              <w:top w:val="single" w:sz="4" w:space="0" w:color="auto"/>
              <w:left w:val="single" w:sz="4" w:space="0" w:color="auto"/>
              <w:bottom w:val="single" w:sz="4" w:space="0" w:color="auto"/>
              <w:right w:val="single" w:sz="4" w:space="0" w:color="auto"/>
            </w:tcBorders>
            <w:vAlign w:val="center"/>
          </w:tcPr>
          <w:p w14:paraId="17A8A6E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D0305B" w14:paraId="1BBD6C3B" w14:textId="77777777" w:rsidTr="00831735">
        <w:trPr>
          <w:cantSplit/>
          <w:trHeight w:val="375"/>
        </w:trPr>
        <w:tc>
          <w:tcPr>
            <w:tcW w:w="1311" w:type="pct"/>
            <w:vMerge/>
            <w:tcBorders>
              <w:top w:val="single" w:sz="4" w:space="0" w:color="auto"/>
              <w:left w:val="single" w:sz="4" w:space="0" w:color="auto"/>
              <w:bottom w:val="single" w:sz="4" w:space="0" w:color="auto"/>
              <w:right w:val="single" w:sz="4" w:space="0" w:color="auto"/>
            </w:tcBorders>
            <w:vAlign w:val="center"/>
          </w:tcPr>
          <w:p w14:paraId="1EF82945" w14:textId="77777777" w:rsidR="00D0305B" w:rsidRDefault="00D0305B">
            <w:pPr>
              <w:widowControl/>
              <w:snapToGrid w:val="0"/>
              <w:jc w:val="left"/>
              <w:rPr>
                <w:rFonts w:ascii="宋体" w:hAnsi="宋体"/>
                <w:color w:val="000000"/>
                <w:kern w:val="0"/>
                <w:sz w:val="25"/>
                <w:szCs w:val="24"/>
              </w:rPr>
            </w:pPr>
          </w:p>
        </w:tc>
        <w:tc>
          <w:tcPr>
            <w:tcW w:w="2044" w:type="pct"/>
            <w:tcBorders>
              <w:top w:val="single" w:sz="4" w:space="0" w:color="auto"/>
              <w:left w:val="single" w:sz="4" w:space="0" w:color="auto"/>
              <w:bottom w:val="single" w:sz="4" w:space="0" w:color="auto"/>
              <w:right w:val="single" w:sz="4" w:space="0" w:color="auto"/>
            </w:tcBorders>
            <w:vAlign w:val="center"/>
          </w:tcPr>
          <w:p w14:paraId="3153EF65"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1645" w:type="pct"/>
            <w:tcBorders>
              <w:top w:val="single" w:sz="4" w:space="0" w:color="auto"/>
              <w:left w:val="single" w:sz="4" w:space="0" w:color="auto"/>
              <w:bottom w:val="single" w:sz="4" w:space="0" w:color="auto"/>
              <w:right w:val="single" w:sz="4" w:space="0" w:color="auto"/>
            </w:tcBorders>
            <w:vAlign w:val="center"/>
          </w:tcPr>
          <w:p w14:paraId="7C13B96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4CEDE0F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5CDCFD4F" w14:textId="3B20B8F5"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w:t>
      </w:r>
      <w:r w:rsidR="004415AC">
        <w:rPr>
          <w:rFonts w:ascii="宋体" w:hAnsi="宋体" w:hint="eastAsia"/>
          <w:sz w:val="24"/>
        </w:rPr>
        <w:t>A类</w:t>
      </w:r>
      <w:r>
        <w:rPr>
          <w:rFonts w:ascii="宋体" w:hAnsi="宋体"/>
          <w:sz w:val="24"/>
        </w:rPr>
        <w:t>基金份额申购业务的投资者，享</w:t>
      </w:r>
      <w:r>
        <w:rPr>
          <w:rFonts w:ascii="宋体" w:hAnsi="宋体"/>
          <w:sz w:val="24"/>
        </w:rPr>
        <w:lastRenderedPageBreak/>
        <w:t>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4EEB0C5" w14:textId="23E23DE9"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w:t>
      </w:r>
      <w:r w:rsidR="009C0C19">
        <w:rPr>
          <w:rFonts w:ascii="宋体" w:hAnsi="宋体" w:hint="eastAsia"/>
          <w:sz w:val="24"/>
        </w:rPr>
        <w:t>A类</w:t>
      </w:r>
      <w:r>
        <w:rPr>
          <w:rFonts w:ascii="宋体" w:hAnsi="宋体"/>
          <w:sz w:val="24"/>
        </w:rPr>
        <w:t>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74002CB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45C0365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14:paraId="79F12A3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32C4417F" w14:textId="77777777" w:rsidR="00484480" w:rsidRPr="00912723" w:rsidRDefault="00484480" w:rsidP="00484480">
      <w:pPr>
        <w:autoSpaceDE w:val="0"/>
        <w:autoSpaceDN w:val="0"/>
        <w:adjustRightInd w:val="0"/>
        <w:snapToGrid w:val="0"/>
        <w:spacing w:line="360" w:lineRule="auto"/>
        <w:ind w:firstLineChars="200" w:firstLine="480"/>
        <w:jc w:val="left"/>
        <w:rPr>
          <w:rFonts w:ascii="宋体" w:hAnsi="宋体"/>
          <w:sz w:val="24"/>
        </w:rPr>
      </w:pPr>
      <w:r w:rsidRPr="00912723">
        <w:rPr>
          <w:rFonts w:ascii="宋体" w:hAnsi="宋体" w:hint="eastAsia"/>
          <w:sz w:val="24"/>
        </w:rPr>
        <w:t>（1）本基金A类基金份额的赎回费率</w:t>
      </w:r>
    </w:p>
    <w:p w14:paraId="33EDDA9F" w14:textId="0F403D50" w:rsidR="00D0305B" w:rsidRDefault="00484480" w:rsidP="00484480">
      <w:pPr>
        <w:autoSpaceDE w:val="0"/>
        <w:autoSpaceDN w:val="0"/>
        <w:adjustRightInd w:val="0"/>
        <w:snapToGrid w:val="0"/>
        <w:spacing w:line="360" w:lineRule="auto"/>
        <w:ind w:firstLineChars="200" w:firstLine="480"/>
        <w:jc w:val="left"/>
        <w:rPr>
          <w:rFonts w:ascii="宋体" w:hAnsi="宋体"/>
          <w:szCs w:val="24"/>
        </w:rPr>
      </w:pPr>
      <w:r w:rsidRPr="00912723">
        <w:rPr>
          <w:rFonts w:ascii="宋体" w:hAnsi="宋体" w:hint="eastAsia"/>
          <w:sz w:val="24"/>
        </w:rPr>
        <w:t>本基金A类基金份额的</w:t>
      </w:r>
      <w:r w:rsidR="00AE421E">
        <w:rPr>
          <w:rFonts w:ascii="宋体" w:hAnsi="宋体"/>
          <w:sz w:val="24"/>
        </w:rPr>
        <w:t>赎回费用由赎回</w:t>
      </w:r>
      <w:r w:rsidR="00080E3F">
        <w:rPr>
          <w:rFonts w:ascii="宋体" w:hAnsi="宋体" w:hint="eastAsia"/>
          <w:sz w:val="24"/>
        </w:rPr>
        <w:t>A类</w:t>
      </w:r>
      <w:r w:rsidR="00AE421E">
        <w:rPr>
          <w:rFonts w:ascii="宋体" w:hAnsi="宋体"/>
          <w:sz w:val="24"/>
        </w:rPr>
        <w:t>基金份额的基金份额持有人承担，在基金份额持有人赎回</w:t>
      </w:r>
      <w:r w:rsidR="00080E3F">
        <w:rPr>
          <w:rFonts w:ascii="宋体" w:hAnsi="宋体" w:hint="eastAsia"/>
          <w:sz w:val="24"/>
        </w:rPr>
        <w:t>A类</w:t>
      </w:r>
      <w:r w:rsidR="00AE421E">
        <w:rPr>
          <w:rFonts w:ascii="宋体" w:hAnsi="宋体"/>
          <w:sz w:val="24"/>
        </w:rPr>
        <w:t>基金份额时收取，赎回费总额的25%应归基金财产，未归入基金财产的部分用于支付登记费和其他必要的手续费。其中，对持续持有期少于7日的基金份额持有人收取不低于1.5%的赎回费并全额计入基金财产。赎回费率随基金份额的持有时间递减，本基金</w:t>
      </w:r>
      <w:r w:rsidR="00080E3F">
        <w:rPr>
          <w:rFonts w:ascii="宋体" w:hAnsi="宋体" w:hint="eastAsia"/>
          <w:sz w:val="24"/>
        </w:rPr>
        <w:t>A类基金份额</w:t>
      </w:r>
      <w:r w:rsidR="00AE421E">
        <w:rPr>
          <w:rFonts w:ascii="宋体" w:hAnsi="宋体"/>
          <w:sz w:val="24"/>
        </w:rPr>
        <w:t>的赎回费率如下：</w:t>
      </w:r>
    </w:p>
    <w:tbl>
      <w:tblPr>
        <w:tblW w:w="5000" w:type="pct"/>
        <w:tblCellMar>
          <w:left w:w="0" w:type="dxa"/>
          <w:right w:w="0" w:type="dxa"/>
        </w:tblCellMar>
        <w:tblLook w:val="0000" w:firstRow="0" w:lastRow="0" w:firstColumn="0" w:lastColumn="0" w:noHBand="0" w:noVBand="0"/>
      </w:tblPr>
      <w:tblGrid>
        <w:gridCol w:w="2273"/>
        <w:gridCol w:w="3260"/>
        <w:gridCol w:w="3137"/>
      </w:tblGrid>
      <w:tr w:rsidR="00D0305B" w14:paraId="601CECED" w14:textId="77777777" w:rsidTr="00831735">
        <w:trPr>
          <w:cantSplit/>
          <w:trHeight w:val="375"/>
        </w:trPr>
        <w:tc>
          <w:tcPr>
            <w:tcW w:w="1311" w:type="pct"/>
            <w:vMerge w:val="restart"/>
            <w:tcBorders>
              <w:top w:val="single" w:sz="4" w:space="0" w:color="auto"/>
              <w:left w:val="single" w:sz="4" w:space="0" w:color="auto"/>
              <w:bottom w:val="single" w:sz="4" w:space="0" w:color="auto"/>
              <w:right w:val="single" w:sz="4" w:space="0" w:color="auto"/>
            </w:tcBorders>
            <w:vAlign w:val="center"/>
          </w:tcPr>
          <w:p w14:paraId="46E8E0CD" w14:textId="443AF639" w:rsidR="00D0305B" w:rsidRDefault="003D2036">
            <w:pPr>
              <w:widowControl/>
              <w:snapToGrid w:val="0"/>
              <w:jc w:val="center"/>
              <w:rPr>
                <w:rFonts w:ascii="宋体" w:hAnsi="宋体"/>
                <w:color w:val="000000"/>
                <w:kern w:val="0"/>
                <w:sz w:val="25"/>
                <w:szCs w:val="24"/>
              </w:rPr>
            </w:pPr>
            <w:r w:rsidRPr="003D2036">
              <w:rPr>
                <w:rFonts w:ascii="Times New Roman" w:hAnsi="Times New Roman" w:hint="eastAsia"/>
                <w:color w:val="000000"/>
                <w:kern w:val="0"/>
                <w:sz w:val="25"/>
                <w:szCs w:val="24"/>
              </w:rPr>
              <w:t>A</w:t>
            </w:r>
            <w:r w:rsidRPr="003D2036">
              <w:rPr>
                <w:rFonts w:ascii="Times New Roman" w:hAnsi="Times New Roman" w:hint="eastAsia"/>
                <w:color w:val="000000"/>
                <w:kern w:val="0"/>
                <w:sz w:val="25"/>
                <w:szCs w:val="24"/>
              </w:rPr>
              <w:t>类基金份额</w:t>
            </w:r>
            <w:r>
              <w:rPr>
                <w:rFonts w:ascii="Times New Roman" w:hAnsi="Times New Roman" w:hint="eastAsia"/>
                <w:color w:val="000000"/>
                <w:kern w:val="0"/>
                <w:sz w:val="25"/>
                <w:szCs w:val="24"/>
              </w:rPr>
              <w:t>的</w:t>
            </w:r>
            <w:r w:rsidR="00AE421E">
              <w:rPr>
                <w:rFonts w:ascii="Times New Roman" w:hAnsi="Times New Roman"/>
                <w:color w:val="000000"/>
                <w:kern w:val="0"/>
                <w:sz w:val="25"/>
                <w:szCs w:val="24"/>
              </w:rPr>
              <w:t>赎回费率</w:t>
            </w:r>
          </w:p>
        </w:tc>
        <w:tc>
          <w:tcPr>
            <w:tcW w:w="1880" w:type="pct"/>
            <w:tcBorders>
              <w:top w:val="single" w:sz="4" w:space="0" w:color="auto"/>
              <w:left w:val="single" w:sz="4" w:space="0" w:color="auto"/>
              <w:bottom w:val="single" w:sz="4" w:space="0" w:color="auto"/>
              <w:right w:val="single" w:sz="4" w:space="0" w:color="auto"/>
            </w:tcBorders>
            <w:vAlign w:val="center"/>
          </w:tcPr>
          <w:p w14:paraId="6F04E68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1809" w:type="pct"/>
            <w:tcBorders>
              <w:top w:val="single" w:sz="4" w:space="0" w:color="auto"/>
              <w:left w:val="single" w:sz="4" w:space="0" w:color="auto"/>
              <w:bottom w:val="single" w:sz="4" w:space="0" w:color="auto"/>
              <w:right w:val="single" w:sz="4" w:space="0" w:color="auto"/>
            </w:tcBorders>
            <w:vAlign w:val="center"/>
          </w:tcPr>
          <w:p w14:paraId="2A0D6D0A" w14:textId="2413F292" w:rsidR="00D0305B" w:rsidRDefault="003D2036">
            <w:pPr>
              <w:widowControl/>
              <w:snapToGrid w:val="0"/>
              <w:jc w:val="center"/>
              <w:rPr>
                <w:rFonts w:ascii="宋体" w:hAnsi="宋体"/>
                <w:color w:val="000000"/>
                <w:kern w:val="0"/>
                <w:sz w:val="25"/>
                <w:szCs w:val="24"/>
              </w:rPr>
            </w:pPr>
            <w:r w:rsidRPr="003D2036">
              <w:rPr>
                <w:rFonts w:ascii="Times New Roman" w:hAnsi="Times New Roman" w:hint="eastAsia"/>
                <w:color w:val="000000"/>
                <w:kern w:val="0"/>
                <w:sz w:val="25"/>
                <w:szCs w:val="24"/>
              </w:rPr>
              <w:t>A</w:t>
            </w:r>
            <w:r w:rsidRPr="003D2036">
              <w:rPr>
                <w:rFonts w:ascii="Times New Roman" w:hAnsi="Times New Roman" w:hint="eastAsia"/>
                <w:color w:val="000000"/>
                <w:kern w:val="0"/>
                <w:sz w:val="25"/>
                <w:szCs w:val="24"/>
              </w:rPr>
              <w:t>类基金份额</w:t>
            </w:r>
            <w:r w:rsidR="00C614F3">
              <w:rPr>
                <w:rFonts w:ascii="Times New Roman" w:hAnsi="Times New Roman" w:hint="eastAsia"/>
                <w:color w:val="000000"/>
                <w:kern w:val="0"/>
                <w:sz w:val="25"/>
                <w:szCs w:val="24"/>
              </w:rPr>
              <w:t>的</w:t>
            </w:r>
            <w:r w:rsidR="00AE421E">
              <w:rPr>
                <w:rFonts w:ascii="Times New Roman" w:hAnsi="Times New Roman"/>
                <w:color w:val="000000"/>
                <w:kern w:val="0"/>
                <w:sz w:val="25"/>
                <w:szCs w:val="24"/>
              </w:rPr>
              <w:t>赎回费率</w:t>
            </w:r>
          </w:p>
        </w:tc>
      </w:tr>
      <w:tr w:rsidR="00D0305B" w14:paraId="36A6B12E" w14:textId="77777777" w:rsidTr="00831735">
        <w:trPr>
          <w:cantSplit/>
          <w:trHeight w:val="375"/>
        </w:trPr>
        <w:tc>
          <w:tcPr>
            <w:tcW w:w="1311" w:type="pct"/>
            <w:vMerge/>
            <w:tcBorders>
              <w:top w:val="single" w:sz="4" w:space="0" w:color="auto"/>
              <w:left w:val="single" w:sz="4" w:space="0" w:color="auto"/>
              <w:bottom w:val="single" w:sz="4" w:space="0" w:color="auto"/>
              <w:right w:val="single" w:sz="4" w:space="0" w:color="auto"/>
            </w:tcBorders>
            <w:vAlign w:val="center"/>
          </w:tcPr>
          <w:p w14:paraId="50BA2733" w14:textId="77777777" w:rsidR="00D0305B" w:rsidRDefault="00D0305B">
            <w:pPr>
              <w:widowControl/>
              <w:snapToGrid w:val="0"/>
              <w:jc w:val="center"/>
              <w:rPr>
                <w:rFonts w:ascii="宋体" w:hAnsi="宋体"/>
                <w:color w:val="000000"/>
                <w:kern w:val="0"/>
                <w:sz w:val="25"/>
                <w:szCs w:val="24"/>
              </w:rPr>
            </w:pPr>
          </w:p>
        </w:tc>
        <w:tc>
          <w:tcPr>
            <w:tcW w:w="1880" w:type="pct"/>
            <w:tcBorders>
              <w:top w:val="single" w:sz="4" w:space="0" w:color="auto"/>
              <w:left w:val="single" w:sz="4" w:space="0" w:color="auto"/>
              <w:bottom w:val="single" w:sz="4" w:space="0" w:color="auto"/>
              <w:right w:val="single" w:sz="4" w:space="0" w:color="auto"/>
            </w:tcBorders>
            <w:vAlign w:val="center"/>
          </w:tcPr>
          <w:p w14:paraId="107EA6F9"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1809" w:type="pct"/>
            <w:tcBorders>
              <w:top w:val="single" w:sz="4" w:space="0" w:color="auto"/>
              <w:left w:val="single" w:sz="4" w:space="0" w:color="auto"/>
              <w:bottom w:val="single" w:sz="4" w:space="0" w:color="auto"/>
              <w:right w:val="single" w:sz="4" w:space="0" w:color="auto"/>
            </w:tcBorders>
            <w:vAlign w:val="center"/>
          </w:tcPr>
          <w:p w14:paraId="65D850F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D0305B" w14:paraId="350BED7C" w14:textId="77777777" w:rsidTr="00831735">
        <w:trPr>
          <w:cantSplit/>
          <w:trHeight w:val="375"/>
        </w:trPr>
        <w:tc>
          <w:tcPr>
            <w:tcW w:w="1311" w:type="pct"/>
            <w:vMerge/>
            <w:tcBorders>
              <w:top w:val="single" w:sz="4" w:space="0" w:color="auto"/>
              <w:left w:val="single" w:sz="4" w:space="0" w:color="auto"/>
              <w:bottom w:val="single" w:sz="4" w:space="0" w:color="auto"/>
              <w:right w:val="single" w:sz="4" w:space="0" w:color="auto"/>
            </w:tcBorders>
            <w:vAlign w:val="center"/>
          </w:tcPr>
          <w:p w14:paraId="33E7F3F3" w14:textId="77777777" w:rsidR="00D0305B" w:rsidRDefault="00D0305B">
            <w:pPr>
              <w:widowControl/>
              <w:snapToGrid w:val="0"/>
              <w:jc w:val="center"/>
              <w:rPr>
                <w:rFonts w:ascii="宋体" w:hAnsi="宋体"/>
                <w:color w:val="000000"/>
                <w:kern w:val="0"/>
                <w:sz w:val="25"/>
                <w:szCs w:val="24"/>
              </w:rPr>
            </w:pPr>
          </w:p>
        </w:tc>
        <w:tc>
          <w:tcPr>
            <w:tcW w:w="1880" w:type="pct"/>
            <w:tcBorders>
              <w:top w:val="single" w:sz="4" w:space="0" w:color="auto"/>
              <w:left w:val="single" w:sz="4" w:space="0" w:color="auto"/>
              <w:bottom w:val="single" w:sz="4" w:space="0" w:color="auto"/>
              <w:right w:val="single" w:sz="4" w:space="0" w:color="auto"/>
            </w:tcBorders>
            <w:vAlign w:val="center"/>
          </w:tcPr>
          <w:p w14:paraId="64867AA1"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1809" w:type="pct"/>
            <w:tcBorders>
              <w:top w:val="single" w:sz="4" w:space="0" w:color="auto"/>
              <w:left w:val="single" w:sz="4" w:space="0" w:color="auto"/>
              <w:bottom w:val="single" w:sz="4" w:space="0" w:color="auto"/>
              <w:right w:val="single" w:sz="4" w:space="0" w:color="auto"/>
            </w:tcBorders>
            <w:vAlign w:val="center"/>
          </w:tcPr>
          <w:p w14:paraId="161B6C0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D0305B" w14:paraId="36BFDC32" w14:textId="77777777" w:rsidTr="00831735">
        <w:trPr>
          <w:cantSplit/>
          <w:trHeight w:val="375"/>
        </w:trPr>
        <w:tc>
          <w:tcPr>
            <w:tcW w:w="1311" w:type="pct"/>
            <w:vMerge/>
            <w:tcBorders>
              <w:top w:val="single" w:sz="4" w:space="0" w:color="auto"/>
              <w:left w:val="single" w:sz="4" w:space="0" w:color="auto"/>
              <w:bottom w:val="single" w:sz="4" w:space="0" w:color="auto"/>
              <w:right w:val="single" w:sz="4" w:space="0" w:color="auto"/>
            </w:tcBorders>
            <w:vAlign w:val="center"/>
          </w:tcPr>
          <w:p w14:paraId="25A27694" w14:textId="77777777" w:rsidR="00D0305B" w:rsidRDefault="00D0305B">
            <w:pPr>
              <w:widowControl/>
              <w:snapToGrid w:val="0"/>
              <w:jc w:val="center"/>
              <w:rPr>
                <w:rFonts w:ascii="宋体" w:hAnsi="宋体"/>
                <w:color w:val="000000"/>
                <w:kern w:val="0"/>
                <w:sz w:val="25"/>
                <w:szCs w:val="24"/>
              </w:rPr>
            </w:pPr>
          </w:p>
        </w:tc>
        <w:tc>
          <w:tcPr>
            <w:tcW w:w="1880" w:type="pct"/>
            <w:tcBorders>
              <w:top w:val="single" w:sz="4" w:space="0" w:color="auto"/>
              <w:left w:val="single" w:sz="4" w:space="0" w:color="auto"/>
              <w:bottom w:val="single" w:sz="4" w:space="0" w:color="auto"/>
              <w:right w:val="single" w:sz="4" w:space="0" w:color="auto"/>
            </w:tcBorders>
            <w:vAlign w:val="center"/>
          </w:tcPr>
          <w:p w14:paraId="64ABDF02"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1809" w:type="pct"/>
            <w:tcBorders>
              <w:top w:val="single" w:sz="4" w:space="0" w:color="auto"/>
              <w:left w:val="single" w:sz="4" w:space="0" w:color="auto"/>
              <w:bottom w:val="single" w:sz="4" w:space="0" w:color="auto"/>
              <w:right w:val="single" w:sz="4" w:space="0" w:color="auto"/>
            </w:tcBorders>
            <w:vAlign w:val="center"/>
          </w:tcPr>
          <w:p w14:paraId="3097485D"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r>
      <w:tr w:rsidR="00D0305B" w14:paraId="299236AA" w14:textId="77777777" w:rsidTr="00831735">
        <w:trPr>
          <w:cantSplit/>
          <w:trHeight w:val="375"/>
        </w:trPr>
        <w:tc>
          <w:tcPr>
            <w:tcW w:w="1311" w:type="pct"/>
            <w:vMerge/>
            <w:tcBorders>
              <w:top w:val="single" w:sz="4" w:space="0" w:color="auto"/>
              <w:left w:val="single" w:sz="4" w:space="0" w:color="auto"/>
              <w:bottom w:val="single" w:sz="4" w:space="0" w:color="auto"/>
              <w:right w:val="single" w:sz="4" w:space="0" w:color="auto"/>
            </w:tcBorders>
            <w:vAlign w:val="center"/>
          </w:tcPr>
          <w:p w14:paraId="796F3DC8" w14:textId="77777777" w:rsidR="00D0305B" w:rsidRDefault="00D0305B">
            <w:pPr>
              <w:widowControl/>
              <w:snapToGrid w:val="0"/>
              <w:jc w:val="center"/>
              <w:rPr>
                <w:rFonts w:ascii="宋体" w:hAnsi="宋体"/>
                <w:color w:val="000000"/>
                <w:kern w:val="0"/>
                <w:sz w:val="25"/>
                <w:szCs w:val="24"/>
              </w:rPr>
            </w:pPr>
          </w:p>
        </w:tc>
        <w:tc>
          <w:tcPr>
            <w:tcW w:w="1880" w:type="pct"/>
            <w:tcBorders>
              <w:top w:val="single" w:sz="4" w:space="0" w:color="auto"/>
              <w:left w:val="single" w:sz="4" w:space="0" w:color="auto"/>
              <w:bottom w:val="single" w:sz="4" w:space="0" w:color="auto"/>
              <w:right w:val="single" w:sz="4" w:space="0" w:color="auto"/>
            </w:tcBorders>
            <w:vAlign w:val="center"/>
          </w:tcPr>
          <w:p w14:paraId="3BA216C5"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1809" w:type="pct"/>
            <w:tcBorders>
              <w:top w:val="single" w:sz="4" w:space="0" w:color="auto"/>
              <w:left w:val="single" w:sz="4" w:space="0" w:color="auto"/>
              <w:bottom w:val="single" w:sz="4" w:space="0" w:color="auto"/>
              <w:right w:val="single" w:sz="4" w:space="0" w:color="auto"/>
            </w:tcBorders>
            <w:vAlign w:val="center"/>
          </w:tcPr>
          <w:p w14:paraId="545059C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6947D0C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14:paraId="39A542C8" w14:textId="41891F8A" w:rsidR="00FC5639" w:rsidRDefault="00FC5639" w:rsidP="00FC563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995A43">
        <w:rPr>
          <w:rFonts w:ascii="宋体" w:hAnsi="宋体" w:hint="eastAsia"/>
          <w:sz w:val="24"/>
        </w:rPr>
        <w:t>本基金</w:t>
      </w:r>
      <w:r w:rsidR="00A04E13">
        <w:rPr>
          <w:rFonts w:ascii="宋体" w:hAnsi="宋体"/>
          <w:sz w:val="24"/>
        </w:rPr>
        <w:t>E类</w:t>
      </w:r>
      <w:r w:rsidRPr="00995A43">
        <w:rPr>
          <w:rFonts w:ascii="宋体" w:hAnsi="宋体" w:hint="eastAsia"/>
          <w:sz w:val="24"/>
        </w:rPr>
        <w:t>基金份额的赎回费率</w:t>
      </w:r>
    </w:p>
    <w:p w14:paraId="57777441" w14:textId="413B69CF" w:rsidR="00FC5639" w:rsidRDefault="00FC5639" w:rsidP="00FC5639">
      <w:pPr>
        <w:autoSpaceDE w:val="0"/>
        <w:autoSpaceDN w:val="0"/>
        <w:adjustRightInd w:val="0"/>
        <w:snapToGrid w:val="0"/>
        <w:spacing w:line="360" w:lineRule="auto"/>
        <w:ind w:firstLineChars="200" w:firstLine="480"/>
        <w:jc w:val="left"/>
        <w:rPr>
          <w:rFonts w:ascii="宋体" w:hAnsi="宋体"/>
          <w:sz w:val="24"/>
        </w:rPr>
      </w:pPr>
      <w:r w:rsidRPr="00092E27">
        <w:rPr>
          <w:rFonts w:ascii="宋体" w:hAnsi="宋体" w:hint="eastAsia"/>
          <w:sz w:val="24"/>
        </w:rPr>
        <w:t>本基金</w:t>
      </w:r>
      <w:r w:rsidR="00A04E13">
        <w:rPr>
          <w:rFonts w:ascii="宋体" w:hAnsi="宋体" w:hint="eastAsia"/>
          <w:sz w:val="24"/>
        </w:rPr>
        <w:t>E类</w:t>
      </w:r>
      <w:r w:rsidRPr="00092E27">
        <w:rPr>
          <w:rFonts w:ascii="宋体" w:hAnsi="宋体" w:hint="eastAsia"/>
          <w:sz w:val="24"/>
        </w:rPr>
        <w:t>基金份额的赎回费用由赎回</w:t>
      </w:r>
      <w:r w:rsidR="00A04E13">
        <w:rPr>
          <w:rFonts w:ascii="宋体" w:hAnsi="宋体" w:hint="eastAsia"/>
          <w:sz w:val="24"/>
        </w:rPr>
        <w:t>E类</w:t>
      </w:r>
      <w:r w:rsidRPr="00092E27">
        <w:rPr>
          <w:rFonts w:ascii="宋体" w:hAnsi="宋体" w:hint="eastAsia"/>
          <w:sz w:val="24"/>
        </w:rPr>
        <w:t>基金份额的基金份额持有人承担，在基金份额持有人赎回</w:t>
      </w:r>
      <w:r w:rsidR="00A04E13">
        <w:rPr>
          <w:rFonts w:ascii="宋体" w:hAnsi="宋体" w:hint="eastAsia"/>
          <w:sz w:val="24"/>
        </w:rPr>
        <w:t>E类</w:t>
      </w:r>
      <w:r w:rsidRPr="00092E27">
        <w:rPr>
          <w:rFonts w:ascii="宋体" w:hAnsi="宋体" w:hint="eastAsia"/>
          <w:sz w:val="24"/>
        </w:rPr>
        <w:t>基金份额时收取，</w:t>
      </w:r>
      <w:r w:rsidR="00106C77" w:rsidRPr="00106C77">
        <w:rPr>
          <w:rFonts w:ascii="宋体" w:hAnsi="宋体" w:hint="eastAsia"/>
          <w:sz w:val="24"/>
        </w:rPr>
        <w:t>赎回费总额的25%应归基金财产，未归入基金财产的部分用于支付登记费和其他必要的手续费。其中，对持续持有期少于7日的基金份额持有人收取1.5%的赎回费并全额计入基金财产。赎回费率随基金份额的持有时间递减，</w:t>
      </w:r>
      <w:r w:rsidRPr="00995A43">
        <w:rPr>
          <w:rFonts w:ascii="宋体" w:hAnsi="宋体" w:hint="eastAsia"/>
          <w:sz w:val="24"/>
        </w:rPr>
        <w:t>本基金</w:t>
      </w:r>
      <w:r w:rsidR="00A04E13">
        <w:rPr>
          <w:rFonts w:ascii="宋体" w:hAnsi="宋体"/>
          <w:sz w:val="24"/>
        </w:rPr>
        <w:t>E类</w:t>
      </w:r>
      <w:r w:rsidRPr="00995A43">
        <w:rPr>
          <w:rFonts w:ascii="宋体" w:hAnsi="宋体" w:hint="eastAsia"/>
          <w:sz w:val="24"/>
        </w:rPr>
        <w:t>基金份额的赎回费率如下：</w:t>
      </w:r>
    </w:p>
    <w:tbl>
      <w:tblPr>
        <w:tblW w:w="4987" w:type="pct"/>
        <w:tblInd w:w="5" w:type="dxa"/>
        <w:tblCellMar>
          <w:left w:w="0" w:type="dxa"/>
          <w:right w:w="0" w:type="dxa"/>
        </w:tblCellMar>
        <w:tblLook w:val="0000" w:firstRow="0" w:lastRow="0" w:firstColumn="0" w:lastColumn="0" w:noHBand="0" w:noVBand="0"/>
      </w:tblPr>
      <w:tblGrid>
        <w:gridCol w:w="2273"/>
        <w:gridCol w:w="3545"/>
        <w:gridCol w:w="2829"/>
      </w:tblGrid>
      <w:tr w:rsidR="00FC5639" w14:paraId="5D76AD74" w14:textId="77777777" w:rsidTr="00831735">
        <w:trPr>
          <w:cantSplit/>
          <w:trHeight w:val="375"/>
        </w:trPr>
        <w:tc>
          <w:tcPr>
            <w:tcW w:w="1314" w:type="pct"/>
            <w:vMerge w:val="restart"/>
            <w:tcBorders>
              <w:top w:val="single" w:sz="4" w:space="0" w:color="auto"/>
              <w:left w:val="single" w:sz="4" w:space="0" w:color="auto"/>
              <w:bottom w:val="single" w:sz="4" w:space="0" w:color="auto"/>
              <w:right w:val="single" w:sz="4" w:space="0" w:color="auto"/>
            </w:tcBorders>
            <w:vAlign w:val="center"/>
          </w:tcPr>
          <w:p w14:paraId="1CB3D647" w14:textId="67AA6C28" w:rsidR="00FC5639" w:rsidRDefault="00A04E13" w:rsidP="00C614F3">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r>
              <w:rPr>
                <w:rFonts w:ascii="Times New Roman" w:hAnsi="Times New Roman"/>
                <w:color w:val="000000"/>
                <w:kern w:val="0"/>
                <w:sz w:val="25"/>
                <w:szCs w:val="24"/>
              </w:rPr>
              <w:t>类</w:t>
            </w:r>
            <w:r w:rsidR="00FC5639" w:rsidRPr="00F51638">
              <w:rPr>
                <w:rFonts w:ascii="Times New Roman" w:hAnsi="Times New Roman" w:hint="eastAsia"/>
                <w:color w:val="000000"/>
                <w:kern w:val="0"/>
                <w:sz w:val="25"/>
                <w:szCs w:val="24"/>
              </w:rPr>
              <w:t>基金份额的</w:t>
            </w:r>
            <w:r w:rsidR="00FC5639" w:rsidRPr="00F51638">
              <w:rPr>
                <w:rFonts w:ascii="Times New Roman" w:hAnsi="Times New Roman"/>
                <w:color w:val="000000"/>
                <w:kern w:val="0"/>
                <w:sz w:val="25"/>
                <w:szCs w:val="24"/>
              </w:rPr>
              <w:t>赎回</w:t>
            </w:r>
            <w:r w:rsidR="00FC5639" w:rsidRPr="00F51638">
              <w:rPr>
                <w:rFonts w:ascii="Times New Roman" w:hAnsi="Times New Roman"/>
                <w:color w:val="000000"/>
                <w:kern w:val="0"/>
                <w:sz w:val="25"/>
                <w:szCs w:val="24"/>
              </w:rPr>
              <w:lastRenderedPageBreak/>
              <w:t>费率</w:t>
            </w:r>
          </w:p>
        </w:tc>
        <w:tc>
          <w:tcPr>
            <w:tcW w:w="2050" w:type="pct"/>
            <w:tcBorders>
              <w:top w:val="single" w:sz="4" w:space="0" w:color="auto"/>
              <w:left w:val="single" w:sz="4" w:space="0" w:color="auto"/>
              <w:bottom w:val="single" w:sz="4" w:space="0" w:color="auto"/>
              <w:right w:val="single" w:sz="4" w:space="0" w:color="auto"/>
            </w:tcBorders>
            <w:vAlign w:val="center"/>
          </w:tcPr>
          <w:p w14:paraId="3A303484" w14:textId="77777777" w:rsidR="00FC5639" w:rsidRDefault="00FC5639" w:rsidP="00C614F3">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持有期限</w:t>
            </w:r>
          </w:p>
        </w:tc>
        <w:tc>
          <w:tcPr>
            <w:tcW w:w="1636" w:type="pct"/>
            <w:tcBorders>
              <w:top w:val="single" w:sz="4" w:space="0" w:color="auto"/>
              <w:left w:val="single" w:sz="4" w:space="0" w:color="auto"/>
              <w:bottom w:val="single" w:sz="4" w:space="0" w:color="auto"/>
              <w:right w:val="single" w:sz="4" w:space="0" w:color="auto"/>
            </w:tcBorders>
            <w:vAlign w:val="center"/>
          </w:tcPr>
          <w:p w14:paraId="665B73CF" w14:textId="0B79850D" w:rsidR="00FC5639" w:rsidRDefault="00A04E13" w:rsidP="00C614F3">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r>
              <w:rPr>
                <w:rFonts w:ascii="Times New Roman" w:hAnsi="Times New Roman"/>
                <w:color w:val="000000"/>
                <w:kern w:val="0"/>
                <w:sz w:val="25"/>
                <w:szCs w:val="24"/>
              </w:rPr>
              <w:t>类</w:t>
            </w:r>
            <w:r w:rsidR="00FC5639" w:rsidRPr="0086502A">
              <w:rPr>
                <w:rFonts w:ascii="Times New Roman" w:hAnsi="Times New Roman" w:hint="eastAsia"/>
                <w:color w:val="000000"/>
                <w:kern w:val="0"/>
                <w:sz w:val="25"/>
                <w:szCs w:val="24"/>
              </w:rPr>
              <w:t>基金份额</w:t>
            </w:r>
            <w:r w:rsidR="001C6BF9">
              <w:rPr>
                <w:rFonts w:ascii="Times New Roman" w:hAnsi="Times New Roman" w:hint="eastAsia"/>
                <w:color w:val="000000"/>
                <w:kern w:val="0"/>
                <w:sz w:val="25"/>
                <w:szCs w:val="24"/>
              </w:rPr>
              <w:t>的</w:t>
            </w:r>
            <w:r w:rsidR="00FC5639">
              <w:rPr>
                <w:rFonts w:ascii="Times New Roman" w:hAnsi="Times New Roman"/>
                <w:color w:val="000000"/>
                <w:kern w:val="0"/>
                <w:sz w:val="25"/>
                <w:szCs w:val="24"/>
              </w:rPr>
              <w:t>赎回费率</w:t>
            </w:r>
          </w:p>
        </w:tc>
      </w:tr>
      <w:tr w:rsidR="00FC5639" w14:paraId="71732C64" w14:textId="77777777" w:rsidTr="00831735">
        <w:trPr>
          <w:cantSplit/>
          <w:trHeight w:val="375"/>
        </w:trPr>
        <w:tc>
          <w:tcPr>
            <w:tcW w:w="1314" w:type="pct"/>
            <w:vMerge/>
            <w:tcBorders>
              <w:top w:val="single" w:sz="4" w:space="0" w:color="auto"/>
              <w:left w:val="single" w:sz="4" w:space="0" w:color="auto"/>
              <w:bottom w:val="single" w:sz="4" w:space="0" w:color="auto"/>
              <w:right w:val="single" w:sz="4" w:space="0" w:color="auto"/>
            </w:tcBorders>
            <w:vAlign w:val="center"/>
          </w:tcPr>
          <w:p w14:paraId="2CE93281" w14:textId="77777777" w:rsidR="00FC5639" w:rsidRDefault="00FC5639" w:rsidP="00C614F3">
            <w:pPr>
              <w:widowControl/>
              <w:snapToGrid w:val="0"/>
              <w:jc w:val="center"/>
              <w:rPr>
                <w:rFonts w:ascii="宋体" w:hAnsi="宋体"/>
                <w:color w:val="000000"/>
                <w:kern w:val="0"/>
                <w:sz w:val="25"/>
                <w:szCs w:val="24"/>
              </w:rPr>
            </w:pPr>
          </w:p>
        </w:tc>
        <w:tc>
          <w:tcPr>
            <w:tcW w:w="2050" w:type="pct"/>
            <w:tcBorders>
              <w:top w:val="single" w:sz="4" w:space="0" w:color="auto"/>
              <w:left w:val="single" w:sz="4" w:space="0" w:color="auto"/>
              <w:bottom w:val="single" w:sz="4" w:space="0" w:color="auto"/>
              <w:right w:val="single" w:sz="4" w:space="0" w:color="auto"/>
            </w:tcBorders>
            <w:vAlign w:val="center"/>
          </w:tcPr>
          <w:p w14:paraId="09433FE8" w14:textId="77777777" w:rsidR="00FC5639" w:rsidRDefault="00FC5639" w:rsidP="00C614F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1636" w:type="pct"/>
            <w:tcBorders>
              <w:top w:val="single" w:sz="4" w:space="0" w:color="auto"/>
              <w:left w:val="single" w:sz="4" w:space="0" w:color="auto"/>
              <w:bottom w:val="single" w:sz="4" w:space="0" w:color="auto"/>
              <w:right w:val="single" w:sz="4" w:space="0" w:color="auto"/>
            </w:tcBorders>
            <w:vAlign w:val="center"/>
          </w:tcPr>
          <w:p w14:paraId="73F74DDE" w14:textId="77777777" w:rsidR="00FC5639" w:rsidRDefault="00FC5639" w:rsidP="00C614F3">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026756" w14:paraId="70DBC77B" w14:textId="77777777" w:rsidTr="00831735">
        <w:trPr>
          <w:cantSplit/>
          <w:trHeight w:val="375"/>
        </w:trPr>
        <w:tc>
          <w:tcPr>
            <w:tcW w:w="1314" w:type="pct"/>
            <w:vMerge/>
            <w:tcBorders>
              <w:top w:val="single" w:sz="4" w:space="0" w:color="auto"/>
              <w:left w:val="single" w:sz="4" w:space="0" w:color="auto"/>
              <w:bottom w:val="single" w:sz="4" w:space="0" w:color="auto"/>
              <w:right w:val="single" w:sz="4" w:space="0" w:color="auto"/>
            </w:tcBorders>
            <w:vAlign w:val="center"/>
          </w:tcPr>
          <w:p w14:paraId="372A4D63" w14:textId="77777777" w:rsidR="00026756" w:rsidRDefault="00026756" w:rsidP="00026756">
            <w:pPr>
              <w:widowControl/>
              <w:snapToGrid w:val="0"/>
              <w:jc w:val="center"/>
              <w:rPr>
                <w:rFonts w:ascii="宋体" w:hAnsi="宋体"/>
                <w:color w:val="000000"/>
                <w:kern w:val="0"/>
                <w:sz w:val="25"/>
                <w:szCs w:val="24"/>
              </w:rPr>
            </w:pPr>
          </w:p>
        </w:tc>
        <w:tc>
          <w:tcPr>
            <w:tcW w:w="2050" w:type="pct"/>
            <w:tcBorders>
              <w:top w:val="single" w:sz="4" w:space="0" w:color="auto"/>
              <w:left w:val="single" w:sz="4" w:space="0" w:color="auto"/>
              <w:bottom w:val="single" w:sz="4" w:space="0" w:color="auto"/>
              <w:right w:val="single" w:sz="4" w:space="0" w:color="auto"/>
            </w:tcBorders>
            <w:vAlign w:val="center"/>
          </w:tcPr>
          <w:p w14:paraId="6CE7A009" w14:textId="4865A753" w:rsidR="00026756" w:rsidRDefault="00026756" w:rsidP="00D916FE">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hint="eastAsia"/>
                <w:color w:val="000000"/>
                <w:kern w:val="0"/>
                <w:sz w:val="25"/>
                <w:szCs w:val="24"/>
              </w:rPr>
              <w:t>天</w:t>
            </w:r>
            <w:r w:rsidR="00006613">
              <w:rPr>
                <w:rFonts w:ascii="Times New Roman" w:hAnsi="Times New Roman"/>
                <w:color w:val="000000"/>
                <w:kern w:val="0"/>
                <w:sz w:val="25"/>
                <w:szCs w:val="24"/>
              </w:rPr>
              <w:t>（含）</w:t>
            </w:r>
          </w:p>
        </w:tc>
        <w:tc>
          <w:tcPr>
            <w:tcW w:w="1636" w:type="pct"/>
            <w:tcBorders>
              <w:top w:val="single" w:sz="4" w:space="0" w:color="auto"/>
              <w:left w:val="single" w:sz="4" w:space="0" w:color="auto"/>
              <w:bottom w:val="single" w:sz="4" w:space="0" w:color="auto"/>
              <w:right w:val="single" w:sz="4" w:space="0" w:color="auto"/>
            </w:tcBorders>
            <w:vAlign w:val="center"/>
          </w:tcPr>
          <w:p w14:paraId="0CF367A4" w14:textId="686D0058" w:rsidR="00026756" w:rsidRDefault="00026756" w:rsidP="00C9006D">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0.</w:t>
            </w:r>
            <w:r w:rsidR="00C9006D">
              <w:rPr>
                <w:rFonts w:ascii="Times New Roman" w:hAnsi="Times New Roman"/>
                <w:color w:val="000000"/>
                <w:kern w:val="0"/>
                <w:sz w:val="25"/>
                <w:szCs w:val="24"/>
              </w:rPr>
              <w:t>5</w:t>
            </w:r>
            <w:r>
              <w:rPr>
                <w:rFonts w:ascii="Times New Roman" w:hAnsi="Times New Roman"/>
                <w:color w:val="000000"/>
                <w:kern w:val="0"/>
                <w:sz w:val="25"/>
                <w:szCs w:val="24"/>
              </w:rPr>
              <w:t>%</w:t>
            </w:r>
          </w:p>
        </w:tc>
      </w:tr>
      <w:tr w:rsidR="00026756" w14:paraId="25CB295E" w14:textId="77777777" w:rsidTr="00831735">
        <w:trPr>
          <w:cantSplit/>
          <w:trHeight w:val="375"/>
        </w:trPr>
        <w:tc>
          <w:tcPr>
            <w:tcW w:w="1314" w:type="pct"/>
            <w:vMerge/>
            <w:tcBorders>
              <w:top w:val="single" w:sz="4" w:space="0" w:color="auto"/>
              <w:left w:val="single" w:sz="4" w:space="0" w:color="auto"/>
              <w:bottom w:val="single" w:sz="4" w:space="0" w:color="auto"/>
              <w:right w:val="single" w:sz="4" w:space="0" w:color="auto"/>
            </w:tcBorders>
            <w:vAlign w:val="center"/>
          </w:tcPr>
          <w:p w14:paraId="32625F24" w14:textId="77777777" w:rsidR="00026756" w:rsidRDefault="00026756" w:rsidP="00026756">
            <w:pPr>
              <w:widowControl/>
              <w:snapToGrid w:val="0"/>
              <w:jc w:val="center"/>
              <w:rPr>
                <w:rFonts w:ascii="宋体" w:hAnsi="宋体"/>
                <w:color w:val="000000"/>
                <w:kern w:val="0"/>
                <w:sz w:val="25"/>
                <w:szCs w:val="24"/>
              </w:rPr>
            </w:pPr>
          </w:p>
        </w:tc>
        <w:tc>
          <w:tcPr>
            <w:tcW w:w="2050" w:type="pct"/>
            <w:tcBorders>
              <w:top w:val="single" w:sz="4" w:space="0" w:color="auto"/>
              <w:left w:val="single" w:sz="4" w:space="0" w:color="auto"/>
              <w:bottom w:val="single" w:sz="4" w:space="0" w:color="auto"/>
              <w:right w:val="single" w:sz="4" w:space="0" w:color="auto"/>
            </w:tcBorders>
            <w:vAlign w:val="center"/>
          </w:tcPr>
          <w:p w14:paraId="02E8B2DC" w14:textId="5A7D7A82" w:rsidR="00026756" w:rsidRDefault="00026756" w:rsidP="00006613">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30</w:t>
            </w:r>
            <w:r>
              <w:rPr>
                <w:rFonts w:ascii="Times New Roman" w:hAnsi="Times New Roman" w:hint="eastAsia"/>
                <w:color w:val="000000"/>
                <w:kern w:val="0"/>
                <w:sz w:val="25"/>
                <w:szCs w:val="24"/>
              </w:rPr>
              <w:t>天</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1636" w:type="pct"/>
            <w:tcBorders>
              <w:top w:val="single" w:sz="4" w:space="0" w:color="auto"/>
              <w:left w:val="single" w:sz="4" w:space="0" w:color="auto"/>
              <w:bottom w:val="single" w:sz="4" w:space="0" w:color="auto"/>
              <w:right w:val="single" w:sz="4" w:space="0" w:color="auto"/>
            </w:tcBorders>
            <w:vAlign w:val="center"/>
          </w:tcPr>
          <w:p w14:paraId="3422600A" w14:textId="3508FB58" w:rsidR="00026756" w:rsidRDefault="00026756" w:rsidP="00C9006D">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0.</w:t>
            </w:r>
            <w:r w:rsidR="00C9006D">
              <w:rPr>
                <w:rFonts w:ascii="Times New Roman" w:hAnsi="Times New Roman"/>
                <w:color w:val="000000"/>
                <w:kern w:val="0"/>
                <w:sz w:val="25"/>
                <w:szCs w:val="24"/>
              </w:rPr>
              <w:t>1</w:t>
            </w:r>
            <w:r>
              <w:rPr>
                <w:rFonts w:ascii="Times New Roman" w:hAnsi="Times New Roman"/>
                <w:color w:val="000000"/>
                <w:kern w:val="0"/>
                <w:sz w:val="25"/>
                <w:szCs w:val="24"/>
              </w:rPr>
              <w:t>%</w:t>
            </w:r>
          </w:p>
        </w:tc>
      </w:tr>
      <w:tr w:rsidR="00026756" w14:paraId="5C0ED44A" w14:textId="77777777" w:rsidTr="00831735">
        <w:trPr>
          <w:cantSplit/>
          <w:trHeight w:val="375"/>
        </w:trPr>
        <w:tc>
          <w:tcPr>
            <w:tcW w:w="1314" w:type="pct"/>
            <w:vMerge/>
            <w:tcBorders>
              <w:top w:val="single" w:sz="4" w:space="0" w:color="auto"/>
              <w:left w:val="single" w:sz="4" w:space="0" w:color="auto"/>
              <w:bottom w:val="single" w:sz="4" w:space="0" w:color="auto"/>
              <w:right w:val="single" w:sz="4" w:space="0" w:color="auto"/>
            </w:tcBorders>
            <w:vAlign w:val="center"/>
          </w:tcPr>
          <w:p w14:paraId="631CBD48" w14:textId="77777777" w:rsidR="00026756" w:rsidRDefault="00026756" w:rsidP="00026756">
            <w:pPr>
              <w:widowControl/>
              <w:snapToGrid w:val="0"/>
              <w:jc w:val="center"/>
              <w:rPr>
                <w:rFonts w:ascii="宋体" w:hAnsi="宋体"/>
                <w:color w:val="000000"/>
                <w:kern w:val="0"/>
                <w:sz w:val="25"/>
                <w:szCs w:val="24"/>
              </w:rPr>
            </w:pPr>
          </w:p>
        </w:tc>
        <w:tc>
          <w:tcPr>
            <w:tcW w:w="2050" w:type="pct"/>
            <w:tcBorders>
              <w:top w:val="single" w:sz="4" w:space="0" w:color="auto"/>
              <w:left w:val="single" w:sz="4" w:space="0" w:color="auto"/>
              <w:bottom w:val="single" w:sz="4" w:space="0" w:color="auto"/>
              <w:right w:val="single" w:sz="4" w:space="0" w:color="auto"/>
            </w:tcBorders>
            <w:vAlign w:val="center"/>
          </w:tcPr>
          <w:p w14:paraId="60966844" w14:textId="6CCEE41E" w:rsidR="00026756" w:rsidRDefault="00026756" w:rsidP="00026756">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1636" w:type="pct"/>
            <w:tcBorders>
              <w:top w:val="single" w:sz="4" w:space="0" w:color="auto"/>
              <w:left w:val="single" w:sz="4" w:space="0" w:color="auto"/>
              <w:bottom w:val="single" w:sz="4" w:space="0" w:color="auto"/>
              <w:right w:val="single" w:sz="4" w:space="0" w:color="auto"/>
            </w:tcBorders>
            <w:vAlign w:val="center"/>
          </w:tcPr>
          <w:p w14:paraId="052AF53D" w14:textId="581234E7" w:rsidR="00026756" w:rsidRDefault="00026756" w:rsidP="00026756">
            <w:pPr>
              <w:widowControl/>
              <w:snapToGrid w:val="0"/>
              <w:jc w:val="center"/>
              <w:rPr>
                <w:rFonts w:ascii="Times New Roman" w:hAnsi="Times New Roman"/>
                <w:color w:val="000000"/>
                <w:kern w:val="0"/>
                <w:sz w:val="25"/>
                <w:szCs w:val="24"/>
              </w:rPr>
            </w:pPr>
            <w:r>
              <w:rPr>
                <w:rFonts w:ascii="Times New Roman" w:hAnsi="Times New Roman"/>
                <w:color w:val="000000"/>
                <w:kern w:val="0"/>
                <w:sz w:val="25"/>
                <w:szCs w:val="24"/>
              </w:rPr>
              <w:t>0.05%</w:t>
            </w:r>
          </w:p>
        </w:tc>
      </w:tr>
      <w:tr w:rsidR="00026756" w14:paraId="220788FF" w14:textId="77777777" w:rsidTr="00831735">
        <w:trPr>
          <w:cantSplit/>
          <w:trHeight w:val="375"/>
        </w:trPr>
        <w:tc>
          <w:tcPr>
            <w:tcW w:w="1314" w:type="pct"/>
            <w:vMerge/>
            <w:tcBorders>
              <w:top w:val="single" w:sz="4" w:space="0" w:color="auto"/>
              <w:left w:val="single" w:sz="4" w:space="0" w:color="auto"/>
              <w:bottom w:val="single" w:sz="4" w:space="0" w:color="auto"/>
              <w:right w:val="single" w:sz="4" w:space="0" w:color="auto"/>
            </w:tcBorders>
            <w:vAlign w:val="center"/>
          </w:tcPr>
          <w:p w14:paraId="6A7AE426" w14:textId="77777777" w:rsidR="00026756" w:rsidRDefault="00026756" w:rsidP="00026756">
            <w:pPr>
              <w:widowControl/>
              <w:snapToGrid w:val="0"/>
              <w:jc w:val="center"/>
              <w:rPr>
                <w:rFonts w:ascii="宋体" w:hAnsi="宋体"/>
                <w:color w:val="000000"/>
                <w:kern w:val="0"/>
                <w:sz w:val="25"/>
                <w:szCs w:val="24"/>
              </w:rPr>
            </w:pPr>
          </w:p>
        </w:tc>
        <w:tc>
          <w:tcPr>
            <w:tcW w:w="2050" w:type="pct"/>
            <w:tcBorders>
              <w:top w:val="single" w:sz="4" w:space="0" w:color="auto"/>
              <w:left w:val="single" w:sz="4" w:space="0" w:color="auto"/>
              <w:bottom w:val="single" w:sz="4" w:space="0" w:color="auto"/>
              <w:right w:val="single" w:sz="4" w:space="0" w:color="auto"/>
            </w:tcBorders>
            <w:vAlign w:val="center"/>
          </w:tcPr>
          <w:p w14:paraId="078F6E55" w14:textId="13823039" w:rsidR="00026756" w:rsidRDefault="00A128E0" w:rsidP="00714455">
            <w:pPr>
              <w:widowControl/>
              <w:snapToGrid w:val="0"/>
              <w:jc w:val="left"/>
              <w:rPr>
                <w:rFonts w:ascii="宋体" w:hAnsi="宋体"/>
                <w:color w:val="000000"/>
                <w:kern w:val="0"/>
                <w:sz w:val="25"/>
                <w:szCs w:val="24"/>
              </w:rPr>
            </w:pPr>
            <w:r>
              <w:rPr>
                <w:rFonts w:ascii="Times New Roman" w:hAnsi="Times New Roman" w:hint="eastAsia"/>
                <w:color w:val="000000"/>
                <w:kern w:val="0"/>
                <w:sz w:val="25"/>
                <w:szCs w:val="24"/>
              </w:rPr>
              <w:t>2</w:t>
            </w:r>
            <w:r>
              <w:rPr>
                <w:rFonts w:ascii="Times New Roman" w:hAnsi="Times New Roman" w:hint="eastAsia"/>
                <w:color w:val="000000"/>
                <w:kern w:val="0"/>
                <w:sz w:val="25"/>
                <w:szCs w:val="24"/>
              </w:rPr>
              <w:t>年</w:t>
            </w:r>
            <w:r w:rsidR="00026756">
              <w:rPr>
                <w:rFonts w:ascii="Times New Roman" w:hAnsi="Times New Roman"/>
                <w:color w:val="000000"/>
                <w:kern w:val="0"/>
                <w:sz w:val="25"/>
                <w:szCs w:val="24"/>
              </w:rPr>
              <w:t>以上</w:t>
            </w:r>
          </w:p>
        </w:tc>
        <w:tc>
          <w:tcPr>
            <w:tcW w:w="1636" w:type="pct"/>
            <w:tcBorders>
              <w:top w:val="single" w:sz="4" w:space="0" w:color="auto"/>
              <w:left w:val="single" w:sz="4" w:space="0" w:color="auto"/>
              <w:bottom w:val="single" w:sz="4" w:space="0" w:color="auto"/>
              <w:right w:val="single" w:sz="4" w:space="0" w:color="auto"/>
            </w:tcBorders>
            <w:vAlign w:val="center"/>
          </w:tcPr>
          <w:p w14:paraId="24887544" w14:textId="77777777" w:rsidR="00026756" w:rsidRDefault="00026756" w:rsidP="00026756">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249016B9" w14:textId="46C48F8C" w:rsidR="004A3A9A" w:rsidRDefault="004A3A9A">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上表中的“年”指的是365个自然日。</w:t>
      </w:r>
    </w:p>
    <w:p w14:paraId="032144E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14:paraId="2E5D06E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41DE42C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06B4B6F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5DDCFAEC" w14:textId="5B13CB4D"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w:t>
      </w:r>
      <w:r w:rsidR="005A38D1" w:rsidRPr="008F5E80">
        <w:rPr>
          <w:rFonts w:ascii="宋体" w:hAnsi="宋体" w:hint="eastAsia"/>
          <w:sz w:val="24"/>
        </w:rPr>
        <w:t>A类基金份额或</w:t>
      </w:r>
      <w:r w:rsidR="00A04E13">
        <w:rPr>
          <w:rFonts w:ascii="宋体" w:hAnsi="宋体" w:hint="eastAsia"/>
          <w:sz w:val="24"/>
        </w:rPr>
        <w:t>E类</w:t>
      </w:r>
      <w:r w:rsidR="005A38D1" w:rsidRPr="008F5E80">
        <w:rPr>
          <w:rFonts w:ascii="宋体" w:hAnsi="宋体" w:hint="eastAsia"/>
          <w:sz w:val="24"/>
        </w:rPr>
        <w:t>基金份额</w:t>
      </w:r>
      <w:r>
        <w:rPr>
          <w:rFonts w:ascii="宋体" w:hAnsi="宋体"/>
          <w:sz w:val="24"/>
        </w:rPr>
        <w:t>的有效份额为净申购金额除以当日</w:t>
      </w:r>
      <w:r w:rsidR="005A38D1" w:rsidRPr="00C73423">
        <w:rPr>
          <w:rFonts w:ascii="宋体" w:hAnsi="宋体" w:hint="eastAsia"/>
          <w:sz w:val="24"/>
        </w:rPr>
        <w:t>该类基金份额</w:t>
      </w:r>
      <w:r>
        <w:rPr>
          <w:rFonts w:ascii="宋体" w:hAnsi="宋体"/>
          <w:sz w:val="24"/>
        </w:rPr>
        <w:t>的基金份额净值，有效份额单位为份，申购份额计算结果按四舍五入方法，保留到小数点后2位，由此产生的收益或损失由基金财产承担。</w:t>
      </w:r>
    </w:p>
    <w:p w14:paraId="019328F9" w14:textId="276DE85D"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w:t>
      </w:r>
      <w:r w:rsidR="005A38D1" w:rsidRPr="00B7341F">
        <w:rPr>
          <w:rFonts w:ascii="宋体" w:hAnsi="宋体" w:hint="eastAsia"/>
          <w:sz w:val="24"/>
        </w:rPr>
        <w:t>A类基金份额或</w:t>
      </w:r>
      <w:r w:rsidR="00A04E13">
        <w:rPr>
          <w:rFonts w:ascii="宋体" w:hAnsi="宋体" w:hint="eastAsia"/>
          <w:sz w:val="24"/>
        </w:rPr>
        <w:t>E类</w:t>
      </w:r>
      <w:r w:rsidR="005A38D1" w:rsidRPr="00B7341F">
        <w:rPr>
          <w:rFonts w:ascii="宋体" w:hAnsi="宋体" w:hint="eastAsia"/>
          <w:sz w:val="24"/>
        </w:rPr>
        <w:t>基金份额</w:t>
      </w:r>
      <w:r>
        <w:rPr>
          <w:rFonts w:ascii="宋体" w:hAnsi="宋体"/>
          <w:sz w:val="24"/>
        </w:rPr>
        <w:t>有效赎回份额乘以当日</w:t>
      </w:r>
      <w:r w:rsidR="005A38D1" w:rsidRPr="00B7341F">
        <w:rPr>
          <w:rFonts w:ascii="宋体" w:hAnsi="宋体" w:hint="eastAsia"/>
          <w:sz w:val="24"/>
        </w:rPr>
        <w:t>该类基金份额的</w:t>
      </w:r>
      <w:r>
        <w:rPr>
          <w:rFonts w:ascii="宋体" w:hAnsi="宋体"/>
          <w:sz w:val="24"/>
        </w:rPr>
        <w:t>基金份额净值并扣除相应的费用（如有），赎回金额单位为元。赎回金额计算结果按四舍五入方法，保留到小数点后2位，由此产生的收益或损失由基金财产承担。</w:t>
      </w:r>
    </w:p>
    <w:p w14:paraId="059787E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5D811A1D" w14:textId="77777777" w:rsidR="005A38D1" w:rsidRDefault="005A38D1" w:rsidP="005A38D1">
      <w:pPr>
        <w:autoSpaceDE w:val="0"/>
        <w:autoSpaceDN w:val="0"/>
        <w:adjustRightInd w:val="0"/>
        <w:snapToGrid w:val="0"/>
        <w:spacing w:line="360" w:lineRule="auto"/>
        <w:ind w:firstLineChars="200" w:firstLine="480"/>
        <w:jc w:val="left"/>
        <w:rPr>
          <w:rFonts w:ascii="宋体" w:hAnsi="宋体"/>
          <w:sz w:val="24"/>
        </w:rPr>
      </w:pPr>
      <w:r w:rsidRPr="00974818">
        <w:rPr>
          <w:rFonts w:ascii="宋体" w:hAnsi="宋体" w:hint="eastAsia"/>
          <w:sz w:val="24"/>
        </w:rPr>
        <w:t>（1）A类基金份额的申购</w:t>
      </w:r>
    </w:p>
    <w:p w14:paraId="2144E87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6B9793E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3112D27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3A20D58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18AD768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51A855D5" w14:textId="12DB02F9"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w:t>
      </w:r>
      <w:r w:rsidR="00355087" w:rsidRPr="00974818">
        <w:rPr>
          <w:rFonts w:ascii="宋体" w:hAnsi="宋体" w:hint="eastAsia"/>
          <w:sz w:val="24"/>
        </w:rPr>
        <w:t>A类</w:t>
      </w:r>
      <w:r>
        <w:rPr>
          <w:rFonts w:ascii="宋体" w:hAnsi="宋体"/>
          <w:sz w:val="24"/>
        </w:rPr>
        <w:t>基金份额净值</w:t>
      </w:r>
    </w:p>
    <w:p w14:paraId="41F1A8D7" w14:textId="63830CF3"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例一：某投资者（非养老金客户）投资100,000元申购本基金</w:t>
      </w:r>
      <w:r w:rsidR="00355087" w:rsidRPr="00974818">
        <w:rPr>
          <w:rFonts w:ascii="宋体" w:hAnsi="宋体" w:hint="eastAsia"/>
          <w:sz w:val="24"/>
        </w:rPr>
        <w:t>A类基金份额</w:t>
      </w:r>
      <w:r>
        <w:rPr>
          <w:rFonts w:ascii="宋体" w:hAnsi="宋体"/>
          <w:sz w:val="24"/>
        </w:rPr>
        <w:t>，假设申购当日</w:t>
      </w:r>
      <w:r w:rsidR="00355087" w:rsidRPr="00974818">
        <w:rPr>
          <w:rFonts w:ascii="宋体" w:hAnsi="宋体" w:hint="eastAsia"/>
          <w:sz w:val="24"/>
        </w:rPr>
        <w:t>A类</w:t>
      </w:r>
      <w:r>
        <w:rPr>
          <w:rFonts w:ascii="宋体" w:hAnsi="宋体"/>
          <w:sz w:val="24"/>
        </w:rPr>
        <w:t>基金份额净值为1.0400元，申购费率为0.8%，则其可得到的申购份额为：</w:t>
      </w:r>
    </w:p>
    <w:p w14:paraId="6EE71F7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33AFE10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7D5831C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14:paraId="3B7AFC5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申购份额=（100,000-793.65）/1.0400=95,390.72份</w:t>
      </w:r>
    </w:p>
    <w:p w14:paraId="782F1CB8" w14:textId="290C22E2"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sidR="00C87116" w:rsidRPr="00974818">
        <w:rPr>
          <w:rFonts w:ascii="宋体" w:hAnsi="宋体" w:hint="eastAsia"/>
          <w:sz w:val="24"/>
        </w:rPr>
        <w:t>A类基金份额</w:t>
      </w:r>
      <w:r>
        <w:rPr>
          <w:rFonts w:ascii="宋体" w:hAnsi="宋体"/>
          <w:sz w:val="24"/>
        </w:rPr>
        <w:t>，假设申购当日</w:t>
      </w:r>
      <w:r w:rsidR="00C87116">
        <w:rPr>
          <w:rFonts w:ascii="宋体" w:hAnsi="宋体" w:hint="eastAsia"/>
          <w:sz w:val="24"/>
        </w:rPr>
        <w:t>A类</w:t>
      </w:r>
      <w:r>
        <w:rPr>
          <w:rFonts w:ascii="宋体" w:hAnsi="宋体"/>
          <w:sz w:val="24"/>
        </w:rPr>
        <w:t>基金份额净值为1.0400元，则其可得到95,390.72份</w:t>
      </w:r>
      <w:r w:rsidR="00C87116">
        <w:rPr>
          <w:rFonts w:ascii="宋体" w:hAnsi="宋体" w:hint="eastAsia"/>
          <w:sz w:val="24"/>
        </w:rPr>
        <w:t>A类</w:t>
      </w:r>
      <w:r>
        <w:rPr>
          <w:rFonts w:ascii="宋体" w:hAnsi="宋体"/>
          <w:sz w:val="24"/>
        </w:rPr>
        <w:t>基金份额。</w:t>
      </w:r>
    </w:p>
    <w:p w14:paraId="426DC8DD" w14:textId="7DA8ED75"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例二：某养老金客户投资100,000元通过基金管理人的直销柜台申购本基金</w:t>
      </w:r>
      <w:r w:rsidR="00C87116" w:rsidRPr="001F6CE6">
        <w:rPr>
          <w:rFonts w:ascii="宋体" w:hAnsi="宋体" w:hint="eastAsia"/>
          <w:sz w:val="24"/>
        </w:rPr>
        <w:t>A类基金份额</w:t>
      </w:r>
      <w:r>
        <w:rPr>
          <w:rFonts w:ascii="宋体" w:hAnsi="宋体"/>
          <w:sz w:val="24"/>
        </w:rPr>
        <w:t>，假设申购当日</w:t>
      </w:r>
      <w:r w:rsidR="00C87116">
        <w:rPr>
          <w:rFonts w:ascii="宋体" w:hAnsi="宋体" w:hint="eastAsia"/>
          <w:sz w:val="24"/>
        </w:rPr>
        <w:t>A类</w:t>
      </w:r>
      <w:r>
        <w:rPr>
          <w:rFonts w:ascii="宋体" w:hAnsi="宋体"/>
          <w:sz w:val="24"/>
        </w:rPr>
        <w:t>基金份额净值为1.0400元，申购费率为0.32%，则其可得到的申购份额为：</w:t>
      </w:r>
    </w:p>
    <w:p w14:paraId="08BF903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380D58B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净申购金额=100,000/（1+0.32%）=99,681.02元</w:t>
      </w:r>
    </w:p>
    <w:p w14:paraId="7311352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申购费用=100,000-99,681.02=318.98元</w:t>
      </w:r>
    </w:p>
    <w:p w14:paraId="7631F13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申购份额=（100,000-318.98）/1.0400=95,847.13份</w:t>
      </w:r>
    </w:p>
    <w:p w14:paraId="75008E98" w14:textId="48AC7BDF"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w:t>
      </w:r>
      <w:r w:rsidR="001F005A" w:rsidRPr="001F6CE6">
        <w:rPr>
          <w:rFonts w:ascii="宋体" w:hAnsi="宋体" w:hint="eastAsia"/>
          <w:sz w:val="24"/>
        </w:rPr>
        <w:t>A类</w:t>
      </w:r>
      <w:r w:rsidR="001F005A">
        <w:rPr>
          <w:rFonts w:ascii="宋体" w:hAnsi="宋体" w:hint="eastAsia"/>
          <w:sz w:val="24"/>
        </w:rPr>
        <w:t>基基金份额</w:t>
      </w:r>
      <w:r>
        <w:rPr>
          <w:rFonts w:ascii="宋体" w:hAnsi="宋体"/>
          <w:sz w:val="24"/>
        </w:rPr>
        <w:t>，假设申购当日</w:t>
      </w:r>
      <w:r w:rsidR="001F005A" w:rsidRPr="001F6CE6">
        <w:rPr>
          <w:rFonts w:ascii="宋体" w:hAnsi="宋体" w:hint="eastAsia"/>
          <w:sz w:val="24"/>
        </w:rPr>
        <w:t>A类</w:t>
      </w:r>
      <w:r>
        <w:rPr>
          <w:rFonts w:ascii="宋体" w:hAnsi="宋体"/>
          <w:sz w:val="24"/>
        </w:rPr>
        <w:t>基金份额净值为1.0400元，则其可得到95,847.13份</w:t>
      </w:r>
      <w:r w:rsidR="001F005A" w:rsidRPr="001F6CE6">
        <w:rPr>
          <w:rFonts w:ascii="宋体" w:hAnsi="宋体" w:hint="eastAsia"/>
          <w:sz w:val="24"/>
        </w:rPr>
        <w:t>A类</w:t>
      </w:r>
      <w:r>
        <w:rPr>
          <w:rFonts w:ascii="宋体" w:hAnsi="宋体"/>
          <w:sz w:val="24"/>
        </w:rPr>
        <w:t>基金份额。</w:t>
      </w:r>
    </w:p>
    <w:p w14:paraId="6C74B2B7" w14:textId="1D2F70FC" w:rsidR="001F005A" w:rsidRPr="001F005A" w:rsidRDefault="001F005A" w:rsidP="001F005A">
      <w:pPr>
        <w:autoSpaceDE w:val="0"/>
        <w:autoSpaceDN w:val="0"/>
        <w:adjustRightInd w:val="0"/>
        <w:snapToGrid w:val="0"/>
        <w:spacing w:line="360" w:lineRule="auto"/>
        <w:ind w:firstLineChars="200" w:firstLine="480"/>
        <w:jc w:val="left"/>
        <w:rPr>
          <w:rFonts w:ascii="宋体" w:hAnsi="宋体"/>
          <w:sz w:val="24"/>
        </w:rPr>
      </w:pPr>
      <w:r w:rsidRPr="001F005A">
        <w:rPr>
          <w:rFonts w:ascii="宋体" w:hAnsi="宋体" w:hint="eastAsia"/>
          <w:sz w:val="24"/>
        </w:rPr>
        <w:t>（2）</w:t>
      </w:r>
      <w:r w:rsidR="00A04E13">
        <w:rPr>
          <w:rFonts w:ascii="宋体" w:hAnsi="宋体" w:hint="eastAsia"/>
          <w:sz w:val="24"/>
        </w:rPr>
        <w:t>E类</w:t>
      </w:r>
      <w:r w:rsidRPr="001F005A">
        <w:rPr>
          <w:rFonts w:ascii="宋体" w:hAnsi="宋体" w:hint="eastAsia"/>
          <w:sz w:val="24"/>
        </w:rPr>
        <w:t>基金份额的申购</w:t>
      </w:r>
    </w:p>
    <w:p w14:paraId="53F8F710" w14:textId="7A6BFDCE" w:rsidR="001F005A" w:rsidRPr="001F005A" w:rsidRDefault="001F005A" w:rsidP="001F005A">
      <w:pPr>
        <w:autoSpaceDE w:val="0"/>
        <w:autoSpaceDN w:val="0"/>
        <w:adjustRightInd w:val="0"/>
        <w:snapToGrid w:val="0"/>
        <w:spacing w:line="360" w:lineRule="auto"/>
        <w:ind w:firstLineChars="200" w:firstLine="480"/>
        <w:jc w:val="left"/>
        <w:rPr>
          <w:rFonts w:ascii="宋体" w:hAnsi="宋体"/>
          <w:sz w:val="24"/>
        </w:rPr>
      </w:pPr>
      <w:r w:rsidRPr="001F005A">
        <w:rPr>
          <w:rFonts w:ascii="宋体" w:hAnsi="宋体" w:hint="eastAsia"/>
          <w:sz w:val="24"/>
        </w:rPr>
        <w:t>如果投资者选择申购</w:t>
      </w:r>
      <w:r w:rsidR="00A04E13">
        <w:rPr>
          <w:rFonts w:ascii="宋体" w:hAnsi="宋体" w:hint="eastAsia"/>
          <w:sz w:val="24"/>
        </w:rPr>
        <w:t>E类</w:t>
      </w:r>
      <w:r w:rsidRPr="001F005A">
        <w:rPr>
          <w:rFonts w:ascii="宋体" w:hAnsi="宋体" w:hint="eastAsia"/>
          <w:sz w:val="24"/>
        </w:rPr>
        <w:t>基金份额，则申购份额的计算方法如下：</w:t>
      </w:r>
    </w:p>
    <w:p w14:paraId="112AFFE6" w14:textId="77777777" w:rsidR="001F005A" w:rsidRPr="001F005A" w:rsidRDefault="001F005A" w:rsidP="001F005A">
      <w:pPr>
        <w:autoSpaceDE w:val="0"/>
        <w:autoSpaceDN w:val="0"/>
        <w:adjustRightInd w:val="0"/>
        <w:snapToGrid w:val="0"/>
        <w:spacing w:line="360" w:lineRule="auto"/>
        <w:ind w:firstLineChars="200" w:firstLine="480"/>
        <w:jc w:val="left"/>
        <w:rPr>
          <w:rFonts w:ascii="宋体" w:hAnsi="宋体"/>
          <w:sz w:val="24"/>
        </w:rPr>
      </w:pPr>
      <w:r w:rsidRPr="001F005A">
        <w:rPr>
          <w:rFonts w:ascii="宋体" w:hAnsi="宋体" w:hint="eastAsia"/>
          <w:sz w:val="24"/>
        </w:rPr>
        <w:t>申购总金额=申请总金额</w:t>
      </w:r>
    </w:p>
    <w:p w14:paraId="39A7E14A" w14:textId="1782E6A1" w:rsidR="001F005A" w:rsidRPr="001F005A" w:rsidRDefault="001F005A" w:rsidP="001F005A">
      <w:pPr>
        <w:autoSpaceDE w:val="0"/>
        <w:autoSpaceDN w:val="0"/>
        <w:adjustRightInd w:val="0"/>
        <w:snapToGrid w:val="0"/>
        <w:spacing w:line="360" w:lineRule="auto"/>
        <w:ind w:firstLineChars="200" w:firstLine="480"/>
        <w:jc w:val="left"/>
        <w:rPr>
          <w:rFonts w:ascii="宋体" w:hAnsi="宋体"/>
          <w:sz w:val="24"/>
        </w:rPr>
      </w:pPr>
      <w:r w:rsidRPr="001F005A">
        <w:rPr>
          <w:rFonts w:ascii="宋体" w:hAnsi="宋体" w:hint="eastAsia"/>
          <w:sz w:val="24"/>
        </w:rPr>
        <w:t>申购份额=申购总金额/T日</w:t>
      </w:r>
      <w:r w:rsidR="00A04E13">
        <w:rPr>
          <w:rFonts w:ascii="宋体" w:hAnsi="宋体" w:hint="eastAsia"/>
          <w:sz w:val="24"/>
        </w:rPr>
        <w:t>E类</w:t>
      </w:r>
      <w:r w:rsidRPr="001F005A">
        <w:rPr>
          <w:rFonts w:ascii="宋体" w:hAnsi="宋体" w:hint="eastAsia"/>
          <w:sz w:val="24"/>
        </w:rPr>
        <w:t>基金份额净值</w:t>
      </w:r>
    </w:p>
    <w:p w14:paraId="787A9957" w14:textId="618792E6" w:rsidR="001F005A" w:rsidRPr="001F005A" w:rsidRDefault="001F005A" w:rsidP="001F005A">
      <w:pPr>
        <w:autoSpaceDE w:val="0"/>
        <w:autoSpaceDN w:val="0"/>
        <w:adjustRightInd w:val="0"/>
        <w:snapToGrid w:val="0"/>
        <w:spacing w:line="360" w:lineRule="auto"/>
        <w:ind w:firstLineChars="200" w:firstLine="480"/>
        <w:jc w:val="left"/>
        <w:rPr>
          <w:rFonts w:ascii="宋体" w:hAnsi="宋体"/>
          <w:sz w:val="24"/>
        </w:rPr>
      </w:pPr>
      <w:r w:rsidRPr="001F005A">
        <w:rPr>
          <w:rFonts w:ascii="宋体" w:hAnsi="宋体" w:hint="eastAsia"/>
          <w:sz w:val="24"/>
        </w:rPr>
        <w:t>例三：某投资者投资100,000元申购本基金的</w:t>
      </w:r>
      <w:r w:rsidR="00A04E13">
        <w:rPr>
          <w:rFonts w:ascii="宋体" w:hAnsi="宋体" w:hint="eastAsia"/>
          <w:sz w:val="24"/>
        </w:rPr>
        <w:t>E类</w:t>
      </w:r>
      <w:r w:rsidRPr="001F005A">
        <w:rPr>
          <w:rFonts w:ascii="宋体" w:hAnsi="宋体" w:hint="eastAsia"/>
          <w:sz w:val="24"/>
        </w:rPr>
        <w:t>基金份额，假设申购当日</w:t>
      </w:r>
      <w:r w:rsidR="00A04E13">
        <w:rPr>
          <w:rFonts w:ascii="宋体" w:hAnsi="宋体" w:hint="eastAsia"/>
          <w:sz w:val="24"/>
        </w:rPr>
        <w:t>E类</w:t>
      </w:r>
      <w:r w:rsidRPr="001F005A">
        <w:rPr>
          <w:rFonts w:ascii="宋体" w:hAnsi="宋体" w:hint="eastAsia"/>
          <w:sz w:val="24"/>
        </w:rPr>
        <w:t>基金份额净值为1.0400元，则其可得到的申购份额为：</w:t>
      </w:r>
    </w:p>
    <w:p w14:paraId="3B9D3F6D" w14:textId="77777777" w:rsidR="00D50AE9" w:rsidRDefault="00D50AE9" w:rsidP="00D50AE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申购总金额=</w:t>
      </w:r>
      <w:r w:rsidRPr="0031023D">
        <w:rPr>
          <w:rFonts w:ascii="宋体" w:hAnsi="宋体" w:hint="eastAsia"/>
          <w:sz w:val="24"/>
        </w:rPr>
        <w:t>100,000元</w:t>
      </w:r>
    </w:p>
    <w:p w14:paraId="1259870F" w14:textId="77777777" w:rsidR="001F005A" w:rsidRPr="001F005A" w:rsidRDefault="001F005A" w:rsidP="001F005A">
      <w:pPr>
        <w:autoSpaceDE w:val="0"/>
        <w:autoSpaceDN w:val="0"/>
        <w:adjustRightInd w:val="0"/>
        <w:snapToGrid w:val="0"/>
        <w:spacing w:line="360" w:lineRule="auto"/>
        <w:ind w:firstLineChars="200" w:firstLine="480"/>
        <w:jc w:val="left"/>
        <w:rPr>
          <w:rFonts w:ascii="宋体" w:hAnsi="宋体"/>
          <w:sz w:val="24"/>
        </w:rPr>
      </w:pPr>
      <w:r w:rsidRPr="001F005A">
        <w:rPr>
          <w:rFonts w:ascii="宋体" w:hAnsi="宋体" w:hint="eastAsia"/>
          <w:sz w:val="24"/>
        </w:rPr>
        <w:t>申购份额＝100,000/1.0400＝96,153.85份</w:t>
      </w:r>
    </w:p>
    <w:p w14:paraId="07043EBC" w14:textId="1E0542FE" w:rsidR="001F005A" w:rsidRDefault="001F005A" w:rsidP="001F005A">
      <w:pPr>
        <w:autoSpaceDE w:val="0"/>
        <w:autoSpaceDN w:val="0"/>
        <w:adjustRightInd w:val="0"/>
        <w:snapToGrid w:val="0"/>
        <w:spacing w:line="360" w:lineRule="auto"/>
        <w:ind w:firstLineChars="200" w:firstLine="480"/>
        <w:jc w:val="left"/>
        <w:rPr>
          <w:rFonts w:ascii="宋体" w:hAnsi="宋体"/>
          <w:sz w:val="24"/>
        </w:rPr>
      </w:pPr>
      <w:r w:rsidRPr="001F005A">
        <w:rPr>
          <w:rFonts w:ascii="宋体" w:hAnsi="宋体" w:hint="eastAsia"/>
          <w:sz w:val="24"/>
        </w:rPr>
        <w:t>即：投资者投资100,000元申购本基金的</w:t>
      </w:r>
      <w:r w:rsidR="00A04E13">
        <w:rPr>
          <w:rFonts w:ascii="宋体" w:hAnsi="宋体" w:hint="eastAsia"/>
          <w:sz w:val="24"/>
        </w:rPr>
        <w:t>E类</w:t>
      </w:r>
      <w:r w:rsidRPr="001F005A">
        <w:rPr>
          <w:rFonts w:ascii="宋体" w:hAnsi="宋体" w:hint="eastAsia"/>
          <w:sz w:val="24"/>
        </w:rPr>
        <w:t>基金份额，假设申购当日</w:t>
      </w:r>
      <w:r w:rsidR="00A04E13">
        <w:rPr>
          <w:rFonts w:ascii="宋体" w:hAnsi="宋体" w:hint="eastAsia"/>
          <w:sz w:val="24"/>
        </w:rPr>
        <w:t>E类</w:t>
      </w:r>
      <w:r w:rsidRPr="001F005A">
        <w:rPr>
          <w:rFonts w:ascii="宋体" w:hAnsi="宋体" w:hint="eastAsia"/>
          <w:sz w:val="24"/>
        </w:rPr>
        <w:t>基金份额净值为1.0400元，则其可得到96,153.85份</w:t>
      </w:r>
      <w:r w:rsidR="00A04E13">
        <w:rPr>
          <w:rFonts w:ascii="宋体" w:hAnsi="宋体" w:hint="eastAsia"/>
          <w:sz w:val="24"/>
        </w:rPr>
        <w:t>E类</w:t>
      </w:r>
      <w:r w:rsidRPr="001F005A">
        <w:rPr>
          <w:rFonts w:ascii="宋体" w:hAnsi="宋体" w:hint="eastAsia"/>
          <w:sz w:val="24"/>
        </w:rPr>
        <w:t>基金份额。</w:t>
      </w:r>
    </w:p>
    <w:p w14:paraId="316B4A8A" w14:textId="3D4123B9" w:rsidR="00D0305B" w:rsidRDefault="00AE421E" w:rsidP="001F00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399585FF" w14:textId="69C53857" w:rsidR="001F005A" w:rsidRPr="001F005A" w:rsidRDefault="00AE421E" w:rsidP="001F005A">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lastRenderedPageBreak/>
        <w:t>赎回金额为按实际确认的</w:t>
      </w:r>
      <w:r w:rsidR="001F005A" w:rsidRPr="00104530">
        <w:rPr>
          <w:rFonts w:ascii="宋体" w:hAnsi="宋体" w:hint="eastAsia"/>
          <w:sz w:val="24"/>
        </w:rPr>
        <w:t>A类基金份额或</w:t>
      </w:r>
      <w:r w:rsidR="00A04E13">
        <w:rPr>
          <w:rFonts w:ascii="宋体" w:hAnsi="宋体" w:hint="eastAsia"/>
          <w:sz w:val="24"/>
        </w:rPr>
        <w:t>E类</w:t>
      </w:r>
      <w:r w:rsidR="001F005A" w:rsidRPr="00104530">
        <w:rPr>
          <w:rFonts w:ascii="宋体" w:hAnsi="宋体" w:hint="eastAsia"/>
          <w:sz w:val="24"/>
        </w:rPr>
        <w:t>基金份额</w:t>
      </w:r>
      <w:r>
        <w:rPr>
          <w:rFonts w:ascii="宋体" w:hAnsi="宋体"/>
          <w:sz w:val="24"/>
        </w:rPr>
        <w:t>有效赎回份额乘以当日</w:t>
      </w:r>
      <w:r w:rsidR="001F005A" w:rsidRPr="00974818">
        <w:rPr>
          <w:rFonts w:ascii="宋体" w:hAnsi="宋体" w:hint="eastAsia"/>
          <w:sz w:val="24"/>
        </w:rPr>
        <w:t>该类基金份额的</w:t>
      </w:r>
      <w:r>
        <w:rPr>
          <w:rFonts w:ascii="宋体" w:hAnsi="宋体"/>
          <w:sz w:val="24"/>
        </w:rPr>
        <w:t>基金份额净值并扣除相应的费用（如有），赎回金额单位为元，计算结果保留到小数点后两位，第三位四舍五入。</w:t>
      </w:r>
    </w:p>
    <w:p w14:paraId="38424EE5" w14:textId="77777777" w:rsidR="001F005A" w:rsidRPr="001F005A" w:rsidRDefault="001F005A" w:rsidP="001F005A">
      <w:pPr>
        <w:autoSpaceDE w:val="0"/>
        <w:autoSpaceDN w:val="0"/>
        <w:adjustRightInd w:val="0"/>
        <w:snapToGrid w:val="0"/>
        <w:spacing w:line="360" w:lineRule="auto"/>
        <w:ind w:firstLineChars="200" w:firstLine="480"/>
        <w:jc w:val="left"/>
        <w:rPr>
          <w:rFonts w:ascii="宋体" w:hAnsi="宋体"/>
          <w:sz w:val="24"/>
        </w:rPr>
      </w:pPr>
      <w:r w:rsidRPr="001F005A">
        <w:rPr>
          <w:rFonts w:ascii="宋体" w:hAnsi="宋体" w:hint="eastAsia"/>
          <w:sz w:val="24"/>
        </w:rPr>
        <w:t>（1）A类基金份额的赎回</w:t>
      </w:r>
    </w:p>
    <w:p w14:paraId="7D667D29" w14:textId="77777777" w:rsidR="001F005A" w:rsidRDefault="001F005A" w:rsidP="001F005A">
      <w:pPr>
        <w:autoSpaceDE w:val="0"/>
        <w:autoSpaceDN w:val="0"/>
        <w:adjustRightInd w:val="0"/>
        <w:snapToGrid w:val="0"/>
        <w:spacing w:line="360" w:lineRule="auto"/>
        <w:ind w:firstLineChars="200" w:firstLine="480"/>
        <w:jc w:val="left"/>
        <w:rPr>
          <w:rFonts w:ascii="宋体" w:hAnsi="宋体"/>
          <w:sz w:val="24"/>
        </w:rPr>
      </w:pPr>
      <w:r w:rsidRPr="001F005A">
        <w:rPr>
          <w:rFonts w:ascii="宋体" w:hAnsi="宋体" w:hint="eastAsia"/>
          <w:sz w:val="24"/>
        </w:rPr>
        <w:t>投资者赎回A类基金份额，赎回金额的计算方法如下：</w:t>
      </w:r>
    </w:p>
    <w:p w14:paraId="29604619" w14:textId="772054C8" w:rsidR="00D0305B" w:rsidRDefault="00AE421E" w:rsidP="001F00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w:t>
      </w:r>
      <w:r w:rsidR="001F005A" w:rsidRPr="001F005A">
        <w:rPr>
          <w:rFonts w:ascii="宋体" w:hAnsi="宋体" w:hint="eastAsia"/>
          <w:sz w:val="24"/>
        </w:rPr>
        <w:t>A类</w:t>
      </w:r>
      <w:r>
        <w:rPr>
          <w:rFonts w:ascii="宋体" w:hAnsi="宋体"/>
          <w:sz w:val="24"/>
        </w:rPr>
        <w:t>基金份额净值×赎回费率</w:t>
      </w:r>
    </w:p>
    <w:p w14:paraId="6D6DE5A7" w14:textId="564FF60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w:t>
      </w:r>
      <w:r w:rsidR="001F005A" w:rsidRPr="001F005A">
        <w:rPr>
          <w:rFonts w:ascii="宋体" w:hAnsi="宋体" w:hint="eastAsia"/>
          <w:sz w:val="24"/>
        </w:rPr>
        <w:t>A类</w:t>
      </w:r>
      <w:r>
        <w:rPr>
          <w:rFonts w:ascii="宋体" w:hAnsi="宋体"/>
          <w:sz w:val="24"/>
        </w:rPr>
        <w:t>基金份额净值-赎回费用</w:t>
      </w:r>
    </w:p>
    <w:p w14:paraId="2C1016D4" w14:textId="4E0F4975"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1F005A">
        <w:rPr>
          <w:rFonts w:ascii="宋体" w:hAnsi="宋体" w:hint="eastAsia"/>
          <w:sz w:val="24"/>
        </w:rPr>
        <w:t>四</w:t>
      </w:r>
      <w:r>
        <w:rPr>
          <w:rFonts w:ascii="宋体" w:hAnsi="宋体"/>
          <w:sz w:val="24"/>
        </w:rPr>
        <w:t>：某投资者赎回100,000份</w:t>
      </w:r>
      <w:r w:rsidR="001F005A" w:rsidRPr="001F005A">
        <w:rPr>
          <w:rFonts w:ascii="宋体" w:hAnsi="宋体" w:hint="eastAsia"/>
          <w:sz w:val="24"/>
        </w:rPr>
        <w:t>A类</w:t>
      </w:r>
      <w:r>
        <w:rPr>
          <w:rFonts w:ascii="宋体" w:hAnsi="宋体"/>
          <w:sz w:val="24"/>
        </w:rPr>
        <w:t>基金份额，持有期限为半年，对应的赎回费率为0.1%，假设赎回当日</w:t>
      </w:r>
      <w:r w:rsidR="001F005A" w:rsidRPr="001F005A">
        <w:rPr>
          <w:rFonts w:ascii="宋体" w:hAnsi="宋体" w:hint="eastAsia"/>
          <w:sz w:val="24"/>
        </w:rPr>
        <w:t>A类</w:t>
      </w:r>
      <w:r>
        <w:rPr>
          <w:rFonts w:ascii="宋体" w:hAnsi="宋体"/>
          <w:sz w:val="24"/>
        </w:rPr>
        <w:t>基金份额净值是1.0160元，则其可得到的赎回金额为：</w:t>
      </w:r>
    </w:p>
    <w:p w14:paraId="004890D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7AEA63E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0D083552" w14:textId="309DE50D"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即：投资者在持有期限为半年时赎回100,000份</w:t>
      </w:r>
      <w:r w:rsidR="00FE15AE" w:rsidRPr="001F005A">
        <w:rPr>
          <w:rFonts w:ascii="宋体" w:hAnsi="宋体" w:hint="eastAsia"/>
          <w:sz w:val="24"/>
        </w:rPr>
        <w:t>A类</w:t>
      </w:r>
      <w:r>
        <w:rPr>
          <w:rFonts w:ascii="宋体" w:hAnsi="宋体"/>
          <w:sz w:val="24"/>
        </w:rPr>
        <w:t>基金份额，对应的赎回费率为0.1%，假设赎回当日</w:t>
      </w:r>
      <w:r w:rsidR="00FE15AE" w:rsidRPr="001F005A">
        <w:rPr>
          <w:rFonts w:ascii="宋体" w:hAnsi="宋体" w:hint="eastAsia"/>
          <w:sz w:val="24"/>
        </w:rPr>
        <w:t>A类</w:t>
      </w:r>
      <w:r>
        <w:rPr>
          <w:rFonts w:ascii="宋体" w:hAnsi="宋体"/>
          <w:sz w:val="24"/>
        </w:rPr>
        <w:t>基金份额净值是1.0160元，则其可得到的赎回金额为101,498.40元。</w:t>
      </w:r>
    </w:p>
    <w:p w14:paraId="53E045AD" w14:textId="002ABCF1" w:rsidR="00034572" w:rsidRPr="00E5147E" w:rsidRDefault="00034572" w:rsidP="00034572">
      <w:pPr>
        <w:autoSpaceDE w:val="0"/>
        <w:autoSpaceDN w:val="0"/>
        <w:adjustRightInd w:val="0"/>
        <w:snapToGrid w:val="0"/>
        <w:spacing w:line="360" w:lineRule="auto"/>
        <w:ind w:firstLineChars="200" w:firstLine="480"/>
        <w:jc w:val="left"/>
        <w:rPr>
          <w:rFonts w:ascii="宋体" w:hAnsi="宋体"/>
          <w:sz w:val="24"/>
        </w:rPr>
      </w:pPr>
      <w:r w:rsidRPr="00E5147E">
        <w:rPr>
          <w:rFonts w:ascii="宋体" w:hAnsi="宋体" w:hint="eastAsia"/>
          <w:sz w:val="24"/>
        </w:rPr>
        <w:t>（2）</w:t>
      </w:r>
      <w:r w:rsidR="00A04E13">
        <w:rPr>
          <w:rFonts w:ascii="宋体" w:hAnsi="宋体" w:hint="eastAsia"/>
          <w:sz w:val="24"/>
        </w:rPr>
        <w:t>E类</w:t>
      </w:r>
      <w:r w:rsidRPr="00E5147E">
        <w:rPr>
          <w:rFonts w:ascii="宋体" w:hAnsi="宋体" w:hint="eastAsia"/>
          <w:sz w:val="24"/>
        </w:rPr>
        <w:t>基金份额的赎回</w:t>
      </w:r>
    </w:p>
    <w:p w14:paraId="5DDDF116" w14:textId="2A6C06C6" w:rsidR="00034572" w:rsidRPr="00E5147E" w:rsidRDefault="00034572" w:rsidP="00034572">
      <w:pPr>
        <w:autoSpaceDE w:val="0"/>
        <w:autoSpaceDN w:val="0"/>
        <w:adjustRightInd w:val="0"/>
        <w:snapToGrid w:val="0"/>
        <w:spacing w:line="360" w:lineRule="auto"/>
        <w:ind w:firstLineChars="200" w:firstLine="480"/>
        <w:jc w:val="left"/>
        <w:rPr>
          <w:rFonts w:ascii="宋体" w:hAnsi="宋体"/>
          <w:sz w:val="24"/>
        </w:rPr>
      </w:pPr>
      <w:r w:rsidRPr="00E5147E">
        <w:rPr>
          <w:rFonts w:ascii="宋体" w:hAnsi="宋体" w:hint="eastAsia"/>
          <w:sz w:val="24"/>
        </w:rPr>
        <w:t>投资者赎回</w:t>
      </w:r>
      <w:r w:rsidR="00A04E13">
        <w:rPr>
          <w:rFonts w:ascii="宋体" w:hAnsi="宋体" w:hint="eastAsia"/>
          <w:sz w:val="24"/>
        </w:rPr>
        <w:t>E类</w:t>
      </w:r>
      <w:r w:rsidRPr="00E5147E">
        <w:rPr>
          <w:rFonts w:ascii="宋体" w:hAnsi="宋体" w:hint="eastAsia"/>
          <w:sz w:val="24"/>
        </w:rPr>
        <w:t>基金份额，赎回金额的计算方法如下：</w:t>
      </w:r>
    </w:p>
    <w:p w14:paraId="2676C0C5" w14:textId="50264774" w:rsidR="00034572" w:rsidRPr="00E5147E" w:rsidRDefault="00034572" w:rsidP="00034572">
      <w:pPr>
        <w:autoSpaceDE w:val="0"/>
        <w:autoSpaceDN w:val="0"/>
        <w:adjustRightInd w:val="0"/>
        <w:snapToGrid w:val="0"/>
        <w:spacing w:line="360" w:lineRule="auto"/>
        <w:ind w:firstLineChars="200" w:firstLine="480"/>
        <w:jc w:val="left"/>
        <w:rPr>
          <w:rFonts w:ascii="宋体" w:hAnsi="宋体"/>
          <w:sz w:val="24"/>
        </w:rPr>
      </w:pPr>
      <w:r w:rsidRPr="00E5147E">
        <w:rPr>
          <w:rFonts w:ascii="宋体" w:hAnsi="宋体" w:hint="eastAsia"/>
          <w:sz w:val="24"/>
        </w:rPr>
        <w:t>赎回费用=赎回份额×T日</w:t>
      </w:r>
      <w:r w:rsidR="00A04E13">
        <w:rPr>
          <w:rFonts w:ascii="宋体" w:hAnsi="宋体" w:hint="eastAsia"/>
          <w:sz w:val="24"/>
        </w:rPr>
        <w:t>E类</w:t>
      </w:r>
      <w:r w:rsidRPr="00E5147E">
        <w:rPr>
          <w:rFonts w:ascii="宋体" w:hAnsi="宋体" w:hint="eastAsia"/>
          <w:sz w:val="24"/>
        </w:rPr>
        <w:t>基金份额净值×赎回费率</w:t>
      </w:r>
    </w:p>
    <w:p w14:paraId="34CE0EFF" w14:textId="1C6FA110" w:rsidR="00034572" w:rsidRPr="00E5147E" w:rsidRDefault="00034572" w:rsidP="00034572">
      <w:pPr>
        <w:autoSpaceDE w:val="0"/>
        <w:autoSpaceDN w:val="0"/>
        <w:adjustRightInd w:val="0"/>
        <w:snapToGrid w:val="0"/>
        <w:spacing w:line="360" w:lineRule="auto"/>
        <w:ind w:firstLineChars="200" w:firstLine="480"/>
        <w:jc w:val="left"/>
        <w:rPr>
          <w:rFonts w:ascii="宋体" w:hAnsi="宋体"/>
          <w:sz w:val="24"/>
        </w:rPr>
      </w:pPr>
      <w:r w:rsidRPr="00E5147E">
        <w:rPr>
          <w:rFonts w:ascii="宋体" w:hAnsi="宋体" w:hint="eastAsia"/>
          <w:sz w:val="24"/>
        </w:rPr>
        <w:t>赎回金额=赎回份额×T日</w:t>
      </w:r>
      <w:r w:rsidR="00A04E13">
        <w:rPr>
          <w:rFonts w:ascii="宋体" w:hAnsi="宋体" w:hint="eastAsia"/>
          <w:sz w:val="24"/>
        </w:rPr>
        <w:t>E类</w:t>
      </w:r>
      <w:r w:rsidRPr="00E5147E">
        <w:rPr>
          <w:rFonts w:ascii="宋体" w:hAnsi="宋体" w:hint="eastAsia"/>
          <w:sz w:val="24"/>
        </w:rPr>
        <w:t>基金份额净值-赎回费用</w:t>
      </w:r>
    </w:p>
    <w:p w14:paraId="602226C6" w14:textId="604A2080" w:rsidR="00034572" w:rsidRPr="00E5147E" w:rsidRDefault="00034572" w:rsidP="00034572">
      <w:pPr>
        <w:autoSpaceDE w:val="0"/>
        <w:autoSpaceDN w:val="0"/>
        <w:adjustRightInd w:val="0"/>
        <w:snapToGrid w:val="0"/>
        <w:spacing w:line="360" w:lineRule="auto"/>
        <w:ind w:firstLineChars="200" w:firstLine="480"/>
        <w:jc w:val="left"/>
        <w:rPr>
          <w:rFonts w:ascii="宋体" w:hAnsi="宋体"/>
          <w:sz w:val="24"/>
        </w:rPr>
      </w:pPr>
      <w:r w:rsidRPr="00E5147E">
        <w:rPr>
          <w:rFonts w:ascii="宋体" w:hAnsi="宋体" w:hint="eastAsia"/>
          <w:sz w:val="24"/>
        </w:rPr>
        <w:t>例五：某投资者赎回10,000份</w:t>
      </w:r>
      <w:r w:rsidR="00A04E13">
        <w:rPr>
          <w:rFonts w:ascii="宋体" w:hAnsi="宋体" w:hint="eastAsia"/>
          <w:sz w:val="24"/>
        </w:rPr>
        <w:t>E类</w:t>
      </w:r>
      <w:r w:rsidRPr="00E5147E">
        <w:rPr>
          <w:rFonts w:ascii="宋体" w:hAnsi="宋体" w:hint="eastAsia"/>
          <w:sz w:val="24"/>
        </w:rPr>
        <w:t>基金份额，持有期限为20日，对应的赎回费率为0</w:t>
      </w:r>
      <w:r w:rsidR="006E5CE6">
        <w:rPr>
          <w:rFonts w:ascii="宋体" w:hAnsi="宋体" w:hint="eastAsia"/>
          <w:sz w:val="24"/>
        </w:rPr>
        <w:t>.</w:t>
      </w:r>
      <w:r w:rsidR="006E5CE6">
        <w:rPr>
          <w:rFonts w:ascii="宋体" w:hAnsi="宋体"/>
          <w:sz w:val="24"/>
        </w:rPr>
        <w:t>5</w:t>
      </w:r>
      <w:r w:rsidRPr="00E5147E">
        <w:rPr>
          <w:rFonts w:ascii="宋体" w:hAnsi="宋体" w:hint="eastAsia"/>
          <w:sz w:val="24"/>
        </w:rPr>
        <w:t>%，假设赎回当日</w:t>
      </w:r>
      <w:r w:rsidR="00A04E13">
        <w:rPr>
          <w:rFonts w:ascii="宋体" w:hAnsi="宋体" w:hint="eastAsia"/>
          <w:sz w:val="24"/>
        </w:rPr>
        <w:t>E类</w:t>
      </w:r>
      <w:r w:rsidRPr="00E5147E">
        <w:rPr>
          <w:rFonts w:ascii="宋体" w:hAnsi="宋体" w:hint="eastAsia"/>
          <w:sz w:val="24"/>
        </w:rPr>
        <w:t>基金份额净值是1.2500元，则其可得到的赎回金额为：</w:t>
      </w:r>
    </w:p>
    <w:p w14:paraId="1936677A" w14:textId="6C4561CA" w:rsidR="00034572" w:rsidRPr="00E5147E" w:rsidRDefault="00034572" w:rsidP="00034572">
      <w:pPr>
        <w:autoSpaceDE w:val="0"/>
        <w:autoSpaceDN w:val="0"/>
        <w:adjustRightInd w:val="0"/>
        <w:snapToGrid w:val="0"/>
        <w:spacing w:line="360" w:lineRule="auto"/>
        <w:ind w:firstLineChars="200" w:firstLine="480"/>
        <w:jc w:val="left"/>
        <w:rPr>
          <w:rFonts w:ascii="宋体" w:hAnsi="宋体"/>
          <w:sz w:val="24"/>
        </w:rPr>
      </w:pPr>
      <w:r w:rsidRPr="00E5147E">
        <w:rPr>
          <w:rFonts w:ascii="宋体" w:hAnsi="宋体" w:hint="eastAsia"/>
          <w:sz w:val="24"/>
        </w:rPr>
        <w:t>赎回费用=10,000×1.2500×0</w:t>
      </w:r>
      <w:r w:rsidR="006E5CE6">
        <w:rPr>
          <w:rFonts w:ascii="宋体" w:hAnsi="宋体"/>
          <w:sz w:val="24"/>
        </w:rPr>
        <w:t>.5</w:t>
      </w:r>
      <w:r w:rsidRPr="00E5147E">
        <w:rPr>
          <w:rFonts w:ascii="宋体" w:hAnsi="宋体" w:hint="eastAsia"/>
          <w:sz w:val="24"/>
        </w:rPr>
        <w:t>%＝</w:t>
      </w:r>
      <w:r w:rsidR="006E5CE6">
        <w:rPr>
          <w:rFonts w:ascii="宋体" w:hAnsi="宋体"/>
          <w:sz w:val="24"/>
        </w:rPr>
        <w:t>62.50</w:t>
      </w:r>
      <w:r w:rsidRPr="00E5147E">
        <w:rPr>
          <w:rFonts w:ascii="宋体" w:hAnsi="宋体" w:hint="eastAsia"/>
          <w:sz w:val="24"/>
        </w:rPr>
        <w:t>元</w:t>
      </w:r>
    </w:p>
    <w:p w14:paraId="572C7C39" w14:textId="4739F118" w:rsidR="00034572" w:rsidRPr="00E5147E" w:rsidRDefault="00034572" w:rsidP="00034572">
      <w:pPr>
        <w:autoSpaceDE w:val="0"/>
        <w:autoSpaceDN w:val="0"/>
        <w:adjustRightInd w:val="0"/>
        <w:snapToGrid w:val="0"/>
        <w:spacing w:line="360" w:lineRule="auto"/>
        <w:ind w:firstLineChars="200" w:firstLine="480"/>
        <w:jc w:val="left"/>
        <w:rPr>
          <w:rFonts w:ascii="宋体" w:hAnsi="宋体"/>
          <w:sz w:val="24"/>
        </w:rPr>
      </w:pPr>
      <w:r w:rsidRPr="00E5147E">
        <w:rPr>
          <w:rFonts w:ascii="宋体" w:hAnsi="宋体" w:hint="eastAsia"/>
          <w:sz w:val="24"/>
        </w:rPr>
        <w:t>赎回金额=10,000×1.2500-</w:t>
      </w:r>
      <w:r w:rsidR="006E5CE6">
        <w:rPr>
          <w:rFonts w:ascii="宋体" w:hAnsi="宋体"/>
          <w:sz w:val="24"/>
        </w:rPr>
        <w:t>62.50</w:t>
      </w:r>
      <w:r w:rsidRPr="00E5147E">
        <w:rPr>
          <w:rFonts w:ascii="宋体" w:hAnsi="宋体" w:hint="eastAsia"/>
          <w:sz w:val="24"/>
        </w:rPr>
        <w:t>＝12,</w:t>
      </w:r>
      <w:r w:rsidR="006E5CE6">
        <w:rPr>
          <w:rFonts w:ascii="宋体" w:hAnsi="宋体"/>
          <w:sz w:val="24"/>
        </w:rPr>
        <w:t>437</w:t>
      </w:r>
      <w:r w:rsidRPr="00E5147E">
        <w:rPr>
          <w:rFonts w:ascii="宋体" w:hAnsi="宋体" w:hint="eastAsia"/>
          <w:sz w:val="24"/>
        </w:rPr>
        <w:t>.</w:t>
      </w:r>
      <w:r w:rsidR="006E5CE6">
        <w:rPr>
          <w:rFonts w:ascii="宋体" w:hAnsi="宋体"/>
          <w:sz w:val="24"/>
        </w:rPr>
        <w:t>5</w:t>
      </w:r>
      <w:r w:rsidRPr="00E5147E">
        <w:rPr>
          <w:rFonts w:ascii="宋体" w:hAnsi="宋体" w:hint="eastAsia"/>
          <w:sz w:val="24"/>
        </w:rPr>
        <w:t>0元</w:t>
      </w:r>
    </w:p>
    <w:p w14:paraId="60A68CCB" w14:textId="7FE7A0E6" w:rsidR="00034572" w:rsidRDefault="00034572" w:rsidP="00034572">
      <w:pPr>
        <w:autoSpaceDE w:val="0"/>
        <w:autoSpaceDN w:val="0"/>
        <w:adjustRightInd w:val="0"/>
        <w:snapToGrid w:val="0"/>
        <w:spacing w:line="360" w:lineRule="auto"/>
        <w:ind w:firstLineChars="200" w:firstLine="480"/>
        <w:jc w:val="left"/>
        <w:rPr>
          <w:rFonts w:ascii="宋体" w:hAnsi="宋体"/>
          <w:sz w:val="24"/>
        </w:rPr>
      </w:pPr>
      <w:r w:rsidRPr="00E5147E">
        <w:rPr>
          <w:rFonts w:ascii="宋体" w:hAnsi="宋体" w:hint="eastAsia"/>
          <w:sz w:val="24"/>
        </w:rPr>
        <w:t>即：投资者赎回10,000份</w:t>
      </w:r>
      <w:r w:rsidR="00A04E13">
        <w:rPr>
          <w:rFonts w:ascii="宋体" w:hAnsi="宋体" w:hint="eastAsia"/>
          <w:sz w:val="24"/>
        </w:rPr>
        <w:t>E类</w:t>
      </w:r>
      <w:r w:rsidRPr="00E5147E">
        <w:rPr>
          <w:rFonts w:ascii="宋体" w:hAnsi="宋体" w:hint="eastAsia"/>
          <w:sz w:val="24"/>
        </w:rPr>
        <w:t>基金份额，持有期限为20日，对应的赎回费率为0</w:t>
      </w:r>
      <w:r w:rsidR="006E5CE6">
        <w:rPr>
          <w:rFonts w:ascii="宋体" w:hAnsi="宋体"/>
          <w:sz w:val="24"/>
        </w:rPr>
        <w:t>.5</w:t>
      </w:r>
      <w:r w:rsidRPr="00E5147E">
        <w:rPr>
          <w:rFonts w:ascii="宋体" w:hAnsi="宋体" w:hint="eastAsia"/>
          <w:sz w:val="24"/>
        </w:rPr>
        <w:t>%，假设赎回当日</w:t>
      </w:r>
      <w:r w:rsidR="00A04E13">
        <w:rPr>
          <w:rFonts w:ascii="宋体" w:hAnsi="宋体" w:hint="eastAsia"/>
          <w:sz w:val="24"/>
        </w:rPr>
        <w:t>E类</w:t>
      </w:r>
      <w:r w:rsidRPr="00E5147E">
        <w:rPr>
          <w:rFonts w:ascii="宋体" w:hAnsi="宋体" w:hint="eastAsia"/>
          <w:sz w:val="24"/>
        </w:rPr>
        <w:t>基金份额净值是1.2500元，则其可得到的赎回金额为</w:t>
      </w:r>
      <w:r w:rsidR="006E5CE6" w:rsidRPr="006E5CE6">
        <w:rPr>
          <w:rFonts w:ascii="宋体" w:hAnsi="宋体"/>
          <w:sz w:val="24"/>
        </w:rPr>
        <w:t>12,437.50</w:t>
      </w:r>
      <w:r w:rsidRPr="00E5147E">
        <w:rPr>
          <w:rFonts w:ascii="宋体" w:hAnsi="宋体" w:hint="eastAsia"/>
          <w:sz w:val="24"/>
        </w:rPr>
        <w:t>元。</w:t>
      </w:r>
    </w:p>
    <w:p w14:paraId="0EF251E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013CA67F" w14:textId="3351E760" w:rsidR="00D0305B" w:rsidRDefault="00E844D8">
      <w:pPr>
        <w:autoSpaceDE w:val="0"/>
        <w:autoSpaceDN w:val="0"/>
        <w:adjustRightInd w:val="0"/>
        <w:snapToGrid w:val="0"/>
        <w:spacing w:line="360" w:lineRule="auto"/>
        <w:ind w:firstLineChars="200" w:firstLine="480"/>
        <w:jc w:val="left"/>
        <w:rPr>
          <w:rFonts w:ascii="宋体" w:hAnsi="宋体"/>
          <w:szCs w:val="24"/>
        </w:rPr>
      </w:pPr>
      <w:r w:rsidRPr="00C41F2A">
        <w:rPr>
          <w:rFonts w:ascii="宋体" w:hAnsi="宋体" w:hint="eastAsia"/>
          <w:sz w:val="24"/>
        </w:rPr>
        <w:t>A类</w:t>
      </w:r>
      <w:r w:rsidR="00AE421E">
        <w:rPr>
          <w:rFonts w:ascii="宋体" w:hAnsi="宋体"/>
          <w:sz w:val="24"/>
        </w:rPr>
        <w:t>基金份额净值＝</w:t>
      </w:r>
      <w:r w:rsidRPr="00C41F2A">
        <w:rPr>
          <w:rFonts w:ascii="宋体" w:hAnsi="宋体" w:hint="eastAsia"/>
          <w:sz w:val="24"/>
        </w:rPr>
        <w:t>A类基金份额的</w:t>
      </w:r>
      <w:r w:rsidR="00AE421E">
        <w:rPr>
          <w:rFonts w:ascii="宋体" w:hAnsi="宋体"/>
          <w:sz w:val="24"/>
        </w:rPr>
        <w:t>基金资产净值总额/发行在外的</w:t>
      </w:r>
      <w:r w:rsidRPr="00C41F2A">
        <w:rPr>
          <w:rFonts w:ascii="宋体" w:hAnsi="宋体" w:hint="eastAsia"/>
          <w:sz w:val="24"/>
        </w:rPr>
        <w:t>A类</w:t>
      </w:r>
      <w:r w:rsidR="00AE421E">
        <w:rPr>
          <w:rFonts w:ascii="宋体" w:hAnsi="宋体"/>
          <w:sz w:val="24"/>
        </w:rPr>
        <w:t>基金份额总数</w:t>
      </w:r>
    </w:p>
    <w:p w14:paraId="6EB94754" w14:textId="1A629C52" w:rsidR="00E844D8" w:rsidRDefault="00A04E13" w:rsidP="00E844D8">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E类</w:t>
      </w:r>
      <w:r w:rsidR="00E844D8" w:rsidRPr="00F73E6B">
        <w:rPr>
          <w:rFonts w:ascii="宋体" w:hAnsi="宋体" w:hint="eastAsia"/>
          <w:sz w:val="24"/>
        </w:rPr>
        <w:t>基金份额净值＝</w:t>
      </w:r>
      <w:r>
        <w:rPr>
          <w:rFonts w:ascii="宋体" w:hAnsi="宋体" w:hint="eastAsia"/>
          <w:sz w:val="24"/>
        </w:rPr>
        <w:t>E类</w:t>
      </w:r>
      <w:r w:rsidR="00E844D8" w:rsidRPr="00F73E6B">
        <w:rPr>
          <w:rFonts w:ascii="宋体" w:hAnsi="宋体" w:hint="eastAsia"/>
          <w:sz w:val="24"/>
        </w:rPr>
        <w:t>基金份额的基金资产净值总额/发行在外的</w:t>
      </w:r>
      <w:r>
        <w:rPr>
          <w:rFonts w:ascii="宋体" w:hAnsi="宋体" w:hint="eastAsia"/>
          <w:sz w:val="24"/>
        </w:rPr>
        <w:t>E类</w:t>
      </w:r>
      <w:r w:rsidR="00E844D8" w:rsidRPr="00F73E6B">
        <w:rPr>
          <w:rFonts w:ascii="宋体" w:hAnsi="宋体" w:hint="eastAsia"/>
          <w:sz w:val="24"/>
        </w:rPr>
        <w:t>基金份额总数</w:t>
      </w:r>
    </w:p>
    <w:p w14:paraId="0ECC039F" w14:textId="15C69409"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本基金T日的基金份额净值在当天收市后计算，并在T＋1日（包括该日）内公告。遇特殊情况，经中国证监会同意，可以适当延迟计算或公告。本基金</w:t>
      </w:r>
      <w:r w:rsidR="005F3278" w:rsidRPr="00F73E6B">
        <w:rPr>
          <w:rFonts w:ascii="宋体" w:hAnsi="宋体" w:hint="eastAsia"/>
          <w:sz w:val="24"/>
        </w:rPr>
        <w:t>A类基金份额和</w:t>
      </w:r>
      <w:r w:rsidR="00A04E13">
        <w:rPr>
          <w:rFonts w:ascii="宋体" w:hAnsi="宋体" w:hint="eastAsia"/>
          <w:sz w:val="24"/>
        </w:rPr>
        <w:t>E类</w:t>
      </w:r>
      <w:r w:rsidR="005F3278" w:rsidRPr="00F73E6B">
        <w:rPr>
          <w:rFonts w:ascii="宋体" w:hAnsi="宋体" w:hint="eastAsia"/>
          <w:sz w:val="24"/>
        </w:rPr>
        <w:t>基金份额的</w:t>
      </w:r>
      <w:r>
        <w:rPr>
          <w:rFonts w:ascii="宋体" w:hAnsi="宋体"/>
          <w:sz w:val="24"/>
        </w:rPr>
        <w:t>基金份额净值的计算，</w:t>
      </w:r>
      <w:r w:rsidR="0094714B">
        <w:rPr>
          <w:rFonts w:ascii="宋体" w:hAnsi="宋体" w:hint="eastAsia"/>
          <w:sz w:val="24"/>
        </w:rPr>
        <w:t>均</w:t>
      </w:r>
      <w:r>
        <w:rPr>
          <w:rFonts w:ascii="宋体" w:hAnsi="宋体"/>
          <w:sz w:val="24"/>
        </w:rPr>
        <w:t>保留到小数点后4位，小数点后第5位四舍五入，由此误差产生的收益或损失由基金财产承担。</w:t>
      </w:r>
    </w:p>
    <w:p w14:paraId="43B3A80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14:paraId="5E42F66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49F33FA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13DCF38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1E768AE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44BBC77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4、基金管理人认为接受某笔或某些申购申请可能会影响或损害现有基金份额持有人利益时。</w:t>
      </w:r>
    </w:p>
    <w:p w14:paraId="72DFEA4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5、基金资产规模过大，使基金管理人无法找到合适的投资品种，或其他可能对基金业绩产生负面影响，或基金管理人认定的其他损害现有基金份额持有人利益的情形。</w:t>
      </w:r>
    </w:p>
    <w:p w14:paraId="132AD18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6CB3E82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14:paraId="4CDDF30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8、基金管理人接受某笔或者某些申购申请有可能导致单一投资者持有基金份额的比例超过50%，或者变相规避50%集中度的情形。出现上述情形时，基金管理人有权将上述申购申请全部或部分确认失败。</w:t>
      </w:r>
    </w:p>
    <w:p w14:paraId="79C19C9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14:paraId="13A09A5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发生上述第1、2、3、5、6、7、9项暂停申购情形之一且基金管理人决定暂停接受投资人的申购申请时，基金管理人应当根据有关规定在指定媒介上刊登暂停申</w:t>
      </w:r>
      <w:r>
        <w:rPr>
          <w:rFonts w:ascii="宋体" w:hAnsi="宋体"/>
          <w:sz w:val="24"/>
        </w:rPr>
        <w:lastRenderedPageBreak/>
        <w:t>购公告。如果投资人的申购申请被拒绝，被拒绝的申购款项将退还给投资人。在暂停申购的情况消除时，基金管理人应及时恢复申购业务的办理。</w:t>
      </w:r>
    </w:p>
    <w:p w14:paraId="134E5EB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14:paraId="40945B2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167A151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64876A4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3A05AAC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0675142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54929B5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5、基金管理人、基金托管人、基金销售机构、基金销售支付结算机构或登记机构的异常情况导致基金销售系统、基金销售支付结算系统、基金注册登记系统或基金会计系统无法正常运行。</w:t>
      </w:r>
    </w:p>
    <w:p w14:paraId="175E58E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6、继续接受赎回申请将损害现有基金份额持有人利益的情形时，可暂停接受投资人的赎回申请。</w:t>
      </w:r>
    </w:p>
    <w:p w14:paraId="1984AEB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1230844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8、基金合同约定、法律法规规定或中国证监会认定的其他情形。</w:t>
      </w:r>
    </w:p>
    <w:p w14:paraId="6A4FFFD8" w14:textId="4621FD8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w:t>
      </w:r>
      <w:r w:rsidR="00FF372E">
        <w:rPr>
          <w:rFonts w:ascii="宋体" w:hAnsi="宋体" w:hint="eastAsia"/>
          <w:sz w:val="24"/>
        </w:rPr>
        <w:t>该类</w:t>
      </w:r>
      <w:r>
        <w:rPr>
          <w:rFonts w:ascii="宋体" w:hAnsi="宋体"/>
          <w:sz w:val="24"/>
        </w:rPr>
        <w:t>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1A16F01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7D04738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2ED1A49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BA5047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44A8EC2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1F783A0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62562E26" w14:textId="3BF3A102"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FF372E">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1F355654" w14:textId="1F69D8C8"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5C3D84E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3F21123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72C5E3C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w:t>
      </w:r>
      <w:r>
        <w:rPr>
          <w:rFonts w:ascii="宋体" w:hAnsi="宋体"/>
          <w:sz w:val="24"/>
        </w:rPr>
        <w:lastRenderedPageBreak/>
        <w:t>告或者通知销售机构代为告知等方式在3个交易日内通知基金份额持有人，说明有关处理方法，并在2日内在指定媒介上刊登公告。</w:t>
      </w:r>
    </w:p>
    <w:p w14:paraId="2CC07B4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14:paraId="6F45090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46778BDC" w14:textId="533BF310"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w:t>
      </w:r>
      <w:r w:rsidR="00031AEA" w:rsidRPr="00F73E6B">
        <w:rPr>
          <w:rFonts w:ascii="宋体" w:hAnsi="宋体" w:hint="eastAsia"/>
          <w:sz w:val="24"/>
        </w:rPr>
        <w:t>各类基金份额</w:t>
      </w:r>
      <w:r>
        <w:rPr>
          <w:rFonts w:ascii="宋体" w:hAnsi="宋体"/>
          <w:sz w:val="24"/>
        </w:rPr>
        <w:t>的基金份额净值。</w:t>
      </w:r>
    </w:p>
    <w:p w14:paraId="733D53C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（十二）基金的非交易过户</w:t>
      </w:r>
    </w:p>
    <w:p w14:paraId="12C3155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11678C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6236F4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（十三）基金的转托管</w:t>
      </w:r>
    </w:p>
    <w:p w14:paraId="08702D7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528C023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（十四）定期定额投资计划</w:t>
      </w:r>
    </w:p>
    <w:p w14:paraId="603D103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受理基金的申购申请。定期定额投资计划并不构成对基金日常申购、赎回等业务的影响，投资人在办理相关基金定期定额投资计划的同时，仍然可以进行日常申购、赎回业务。</w:t>
      </w:r>
    </w:p>
    <w:p w14:paraId="21A38524" w14:textId="488ECD4C"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本基金2018年6月4日刊登公告自2018年6月6日起开通</w:t>
      </w:r>
      <w:r w:rsidR="006C4CC5" w:rsidRPr="00FF0EDE">
        <w:rPr>
          <w:rFonts w:ascii="宋体" w:hAnsi="宋体" w:hint="eastAsia"/>
          <w:sz w:val="24"/>
        </w:rPr>
        <w:t>A类基金份额的</w:t>
      </w:r>
      <w:r>
        <w:rPr>
          <w:rFonts w:ascii="宋体" w:hAnsi="宋体"/>
          <w:sz w:val="24"/>
        </w:rPr>
        <w:t>定期定额投资计划业务，</w:t>
      </w:r>
      <w:r w:rsidR="006C4CC5" w:rsidRPr="00C73F71">
        <w:rPr>
          <w:rFonts w:ascii="宋体" w:hAnsi="宋体" w:hint="eastAsia"/>
          <w:sz w:val="24"/>
        </w:rPr>
        <w:t>本基金</w:t>
      </w:r>
      <w:r w:rsidR="006C4CC5">
        <w:rPr>
          <w:rFonts w:ascii="宋体" w:hAnsi="宋体" w:hint="eastAsia"/>
          <w:sz w:val="24"/>
        </w:rPr>
        <w:t>202</w:t>
      </w:r>
      <w:r w:rsidR="006C4CC5">
        <w:rPr>
          <w:rFonts w:ascii="宋体" w:hAnsi="宋体"/>
          <w:sz w:val="24"/>
        </w:rPr>
        <w:t>3</w:t>
      </w:r>
      <w:r w:rsidR="006C4CC5" w:rsidRPr="00C73F71">
        <w:rPr>
          <w:rFonts w:ascii="宋体" w:hAnsi="宋体" w:hint="eastAsia"/>
          <w:sz w:val="24"/>
        </w:rPr>
        <w:t>年</w:t>
      </w:r>
      <w:r w:rsidR="001E5533">
        <w:rPr>
          <w:rFonts w:ascii="宋体" w:hAnsi="宋体"/>
          <w:sz w:val="24"/>
        </w:rPr>
        <w:t>8</w:t>
      </w:r>
      <w:r w:rsidR="006C4CC5" w:rsidRPr="00C73F71">
        <w:rPr>
          <w:rFonts w:ascii="宋体" w:hAnsi="宋体" w:hint="eastAsia"/>
          <w:sz w:val="24"/>
        </w:rPr>
        <w:t>月</w:t>
      </w:r>
      <w:r w:rsidR="001E5533">
        <w:rPr>
          <w:rFonts w:ascii="宋体" w:hAnsi="宋体"/>
          <w:sz w:val="24"/>
        </w:rPr>
        <w:t>24</w:t>
      </w:r>
      <w:r w:rsidR="006C4CC5" w:rsidRPr="00C73F71">
        <w:rPr>
          <w:rFonts w:ascii="宋体" w:hAnsi="宋体" w:hint="eastAsia"/>
          <w:sz w:val="24"/>
        </w:rPr>
        <w:t>日刊登公告自202</w:t>
      </w:r>
      <w:r w:rsidR="006C4CC5">
        <w:rPr>
          <w:rFonts w:ascii="宋体" w:hAnsi="宋体"/>
          <w:sz w:val="24"/>
        </w:rPr>
        <w:t>3</w:t>
      </w:r>
      <w:r w:rsidR="006C4CC5" w:rsidRPr="00C73F71">
        <w:rPr>
          <w:rFonts w:ascii="宋体" w:hAnsi="宋体" w:hint="eastAsia"/>
          <w:sz w:val="24"/>
        </w:rPr>
        <w:t>年</w:t>
      </w:r>
      <w:r w:rsidR="001E5533">
        <w:rPr>
          <w:rFonts w:ascii="宋体" w:hAnsi="宋体" w:hint="eastAsia"/>
          <w:sz w:val="24"/>
        </w:rPr>
        <w:t>8</w:t>
      </w:r>
      <w:r w:rsidR="006C4CC5" w:rsidRPr="00C73F71">
        <w:rPr>
          <w:rFonts w:ascii="宋体" w:hAnsi="宋体" w:hint="eastAsia"/>
          <w:sz w:val="24"/>
        </w:rPr>
        <w:t>月</w:t>
      </w:r>
      <w:r w:rsidR="001E5533">
        <w:rPr>
          <w:rFonts w:ascii="宋体" w:hAnsi="宋体" w:hint="eastAsia"/>
          <w:sz w:val="24"/>
        </w:rPr>
        <w:t>2</w:t>
      </w:r>
      <w:r w:rsidR="001E5533">
        <w:rPr>
          <w:rFonts w:ascii="宋体" w:hAnsi="宋体"/>
          <w:sz w:val="24"/>
        </w:rPr>
        <w:t>5</w:t>
      </w:r>
      <w:r w:rsidR="006C4CC5" w:rsidRPr="00C73F71">
        <w:rPr>
          <w:rFonts w:ascii="宋体" w:hAnsi="宋体" w:hint="eastAsia"/>
          <w:sz w:val="24"/>
        </w:rPr>
        <w:t>日起增设</w:t>
      </w:r>
      <w:r w:rsidR="00A04E13">
        <w:rPr>
          <w:rFonts w:ascii="宋体" w:hAnsi="宋体" w:hint="eastAsia"/>
          <w:sz w:val="24"/>
        </w:rPr>
        <w:t>E类</w:t>
      </w:r>
      <w:r w:rsidR="006C4CC5" w:rsidRPr="00C73F71">
        <w:rPr>
          <w:rFonts w:ascii="宋体" w:hAnsi="宋体" w:hint="eastAsia"/>
          <w:sz w:val="24"/>
        </w:rPr>
        <w:t>基金份额并开通</w:t>
      </w:r>
      <w:r w:rsidR="00A04E13">
        <w:rPr>
          <w:rFonts w:ascii="宋体" w:hAnsi="宋体" w:hint="eastAsia"/>
          <w:sz w:val="24"/>
        </w:rPr>
        <w:t>E类</w:t>
      </w:r>
      <w:r w:rsidR="006C4CC5" w:rsidRPr="00C73F71">
        <w:rPr>
          <w:rFonts w:ascii="宋体" w:hAnsi="宋体" w:hint="eastAsia"/>
          <w:sz w:val="24"/>
        </w:rPr>
        <w:t>基金份额的定期定额投资计划业务，</w:t>
      </w:r>
      <w:r>
        <w:rPr>
          <w:rFonts w:ascii="宋体" w:hAnsi="宋体"/>
          <w:sz w:val="24"/>
        </w:rPr>
        <w:t>具体开通销售机构名单和业务规</w:t>
      </w:r>
      <w:r>
        <w:rPr>
          <w:rFonts w:ascii="宋体" w:hAnsi="宋体"/>
          <w:sz w:val="24"/>
        </w:rPr>
        <w:lastRenderedPageBreak/>
        <w:t>则参见相关公告。</w:t>
      </w:r>
    </w:p>
    <w:p w14:paraId="19377F4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（十五）基金份额的冻结和解冻</w:t>
      </w:r>
    </w:p>
    <w:p w14:paraId="011AD8C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14:paraId="7DFA37A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（十六）基金上市交易和场内申购赎回业务</w:t>
      </w:r>
    </w:p>
    <w:p w14:paraId="0336162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未来系统条件允许的情况下，基金管理人可以根据相关证券交易所上市交易规则安排本基金上市交易和/或开通场内申购赎回业务事宜。具体上市交易和/或开通场内申购赎回的安排由基金管理人届时提前发布公告，并告知基金托管人与相关机构。场内申购赎回业务按照证券交易所及登记机构的相关业务规则办理。</w:t>
      </w:r>
    </w:p>
    <w:p w14:paraId="4CFDA22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（十七）基金份额的转让</w:t>
      </w:r>
    </w:p>
    <w:p w14:paraId="39436C6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AA32E1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（十八）实施侧袋机制期间本基金的申购与赎回</w:t>
      </w:r>
    </w:p>
    <w:p w14:paraId="112B434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43C0D35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（十九）其他业务</w:t>
      </w:r>
    </w:p>
    <w:p w14:paraId="57793EB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16811ED"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0849F51" w14:textId="77777777" w:rsidR="00D0305B" w:rsidRDefault="00AE421E">
      <w:pPr>
        <w:pStyle w:val="1"/>
        <w:snapToGrid w:val="0"/>
        <w:spacing w:beforeLines="0" w:before="240" w:after="240"/>
        <w:rPr>
          <w:rFonts w:ascii="宋体" w:hAnsi="宋体"/>
          <w:szCs w:val="30"/>
        </w:rPr>
      </w:pPr>
      <w:bookmarkStart w:id="11" w:name="_Toc135812808"/>
      <w:r>
        <w:rPr>
          <w:rFonts w:ascii="Times New Roman" w:hAnsi="Times New Roman"/>
          <w:sz w:val="30"/>
        </w:rPr>
        <w:t>八、基金的转换</w:t>
      </w:r>
      <w:bookmarkEnd w:id="11"/>
    </w:p>
    <w:p w14:paraId="2AE0C7A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（一）基金转换</w:t>
      </w:r>
    </w:p>
    <w:p w14:paraId="0C5955B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5A3A692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（二）转换业务办理时间</w:t>
      </w:r>
    </w:p>
    <w:p w14:paraId="0DE1F4C9" w14:textId="2BCDF40D"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本基金2022年8月10日刊登公告自2022年8月15日起开放</w:t>
      </w:r>
      <w:r w:rsidR="006C4CC5">
        <w:rPr>
          <w:rFonts w:ascii="宋体" w:hAnsi="宋体" w:hint="eastAsia"/>
          <w:sz w:val="24"/>
        </w:rPr>
        <w:t>A类基金份额的</w:t>
      </w:r>
      <w:r>
        <w:rPr>
          <w:rFonts w:ascii="宋体" w:hAnsi="宋体"/>
          <w:sz w:val="24"/>
        </w:rPr>
        <w:t>日常转换业务。</w:t>
      </w:r>
      <w:r w:rsidR="006C4CC5" w:rsidRPr="00974806">
        <w:rPr>
          <w:rFonts w:ascii="宋体" w:hAnsi="宋体" w:hint="eastAsia"/>
          <w:sz w:val="24"/>
        </w:rPr>
        <w:t>本基金</w:t>
      </w:r>
      <w:r w:rsidR="006C4CC5">
        <w:rPr>
          <w:rFonts w:ascii="宋体" w:hAnsi="宋体" w:hint="eastAsia"/>
          <w:sz w:val="24"/>
        </w:rPr>
        <w:t>202</w:t>
      </w:r>
      <w:r w:rsidR="006C4CC5">
        <w:rPr>
          <w:rFonts w:ascii="宋体" w:hAnsi="宋体"/>
          <w:sz w:val="24"/>
        </w:rPr>
        <w:t>3</w:t>
      </w:r>
      <w:r w:rsidR="006C4CC5" w:rsidRPr="00974806">
        <w:rPr>
          <w:rFonts w:ascii="宋体" w:hAnsi="宋体" w:hint="eastAsia"/>
          <w:sz w:val="24"/>
        </w:rPr>
        <w:t>年</w:t>
      </w:r>
      <w:r w:rsidR="001E5533">
        <w:rPr>
          <w:rFonts w:ascii="宋体" w:hAnsi="宋体"/>
          <w:sz w:val="24"/>
        </w:rPr>
        <w:t>8</w:t>
      </w:r>
      <w:r w:rsidR="006C4CC5" w:rsidRPr="00974806">
        <w:rPr>
          <w:rFonts w:ascii="宋体" w:hAnsi="宋体" w:hint="eastAsia"/>
          <w:sz w:val="24"/>
        </w:rPr>
        <w:t>月</w:t>
      </w:r>
      <w:r w:rsidR="001E5533">
        <w:rPr>
          <w:rFonts w:ascii="宋体" w:hAnsi="宋体"/>
          <w:sz w:val="24"/>
        </w:rPr>
        <w:t>24</w:t>
      </w:r>
      <w:r w:rsidR="006C4CC5" w:rsidRPr="00974806">
        <w:rPr>
          <w:rFonts w:ascii="宋体" w:hAnsi="宋体" w:hint="eastAsia"/>
          <w:sz w:val="24"/>
        </w:rPr>
        <w:t>日刊登公告自</w:t>
      </w:r>
      <w:r w:rsidR="006C4CC5">
        <w:rPr>
          <w:rFonts w:ascii="宋体" w:hAnsi="宋体" w:hint="eastAsia"/>
          <w:sz w:val="24"/>
        </w:rPr>
        <w:t>202</w:t>
      </w:r>
      <w:r w:rsidR="006C4CC5">
        <w:rPr>
          <w:rFonts w:ascii="宋体" w:hAnsi="宋体"/>
          <w:sz w:val="24"/>
        </w:rPr>
        <w:t>3</w:t>
      </w:r>
      <w:r w:rsidR="006C4CC5" w:rsidRPr="00974806">
        <w:rPr>
          <w:rFonts w:ascii="宋体" w:hAnsi="宋体" w:hint="eastAsia"/>
          <w:sz w:val="24"/>
        </w:rPr>
        <w:t>年</w:t>
      </w:r>
      <w:r w:rsidR="001E5533">
        <w:rPr>
          <w:rFonts w:ascii="宋体" w:hAnsi="宋体"/>
          <w:sz w:val="24"/>
        </w:rPr>
        <w:t>8</w:t>
      </w:r>
      <w:r w:rsidR="006C4CC5" w:rsidRPr="00974806">
        <w:rPr>
          <w:rFonts w:ascii="宋体" w:hAnsi="宋体" w:hint="eastAsia"/>
          <w:sz w:val="24"/>
        </w:rPr>
        <w:t>月</w:t>
      </w:r>
      <w:r w:rsidR="001E5533">
        <w:rPr>
          <w:rFonts w:ascii="宋体" w:hAnsi="宋体"/>
          <w:sz w:val="24"/>
        </w:rPr>
        <w:t>25</w:t>
      </w:r>
      <w:r w:rsidR="006C4CC5" w:rsidRPr="00974806">
        <w:rPr>
          <w:rFonts w:ascii="宋体" w:hAnsi="宋体" w:hint="eastAsia"/>
          <w:sz w:val="24"/>
        </w:rPr>
        <w:t>日起增设</w:t>
      </w:r>
      <w:r w:rsidR="00A04E13">
        <w:rPr>
          <w:rFonts w:ascii="宋体" w:hAnsi="宋体" w:hint="eastAsia"/>
          <w:sz w:val="24"/>
        </w:rPr>
        <w:t>E类</w:t>
      </w:r>
      <w:r w:rsidR="006C4CC5" w:rsidRPr="00974806">
        <w:rPr>
          <w:rFonts w:ascii="宋体" w:hAnsi="宋体" w:hint="eastAsia"/>
          <w:sz w:val="24"/>
        </w:rPr>
        <w:t>基金份额并开通</w:t>
      </w:r>
      <w:r w:rsidR="00A04E13">
        <w:rPr>
          <w:rFonts w:ascii="宋体" w:hAnsi="宋体" w:hint="eastAsia"/>
          <w:sz w:val="24"/>
        </w:rPr>
        <w:t>E类</w:t>
      </w:r>
      <w:r w:rsidR="006C4CC5" w:rsidRPr="00974806">
        <w:rPr>
          <w:rFonts w:ascii="宋体" w:hAnsi="宋体" w:hint="eastAsia"/>
          <w:sz w:val="24"/>
        </w:rPr>
        <w:t>基金份额的日常转换业务。</w:t>
      </w:r>
    </w:p>
    <w:p w14:paraId="30788C2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1BA5727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523E3F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3CEE4EA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（三）基金转换的程序</w:t>
      </w:r>
    </w:p>
    <w:p w14:paraId="1D4D470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38AA748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7E45B74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53954D9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21CEDDF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w:t>
      </w:r>
      <w:r>
        <w:rPr>
          <w:rFonts w:ascii="宋体" w:hAnsi="宋体"/>
          <w:sz w:val="24"/>
        </w:rPr>
        <w:lastRenderedPageBreak/>
        <w:t>份额。</w:t>
      </w:r>
    </w:p>
    <w:p w14:paraId="18254DF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（四）基金转换的数额限制</w:t>
      </w:r>
    </w:p>
    <w:p w14:paraId="6A2C569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14:paraId="4202CD9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0096524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21DE622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（五）基金转换费用</w:t>
      </w:r>
    </w:p>
    <w:p w14:paraId="6B674FA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7567797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1DABD0E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63790AF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35A5E37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14:paraId="3815431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22BBE64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1D7D331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671DCD4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D58E10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6、本基金管理人可以根据法律法规及基金合同的规定对上述转换费用收费方式和费率进行调整，并应于调整后的收费方式和费率实施前依照《信息披露办法》的有关规定在中国证监会规定媒介上公告。</w:t>
      </w:r>
    </w:p>
    <w:p w14:paraId="55BE9BC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（六）基金转换份额的计算公式</w:t>
      </w:r>
    </w:p>
    <w:p w14:paraId="0C6AABB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734A221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7E0B607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15809C6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01FD204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66CBAC6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2EA244F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223B814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5FDB75A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013E7BD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w:t>
      </w:r>
      <w:r>
        <w:rPr>
          <w:rFonts w:ascii="宋体" w:hAnsi="宋体"/>
          <w:sz w:val="24"/>
        </w:rPr>
        <w:lastRenderedPageBreak/>
        <w:t>限转出基金为货币市场基金的情形，否则A为0）。</w:t>
      </w:r>
    </w:p>
    <w:p w14:paraId="5521A29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0667A9F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14:paraId="51F03AA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0805FA6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6864C31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7C9D62F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3CEA38C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00911A2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14:paraId="59A5780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3BF9816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6DE7075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53117F2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6147E06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1D786BBE" w14:textId="72652368"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2FCA24D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78F3937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336CE36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735D59B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5F476CC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52255AE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14:paraId="7E1DEBE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5CEF9A1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6EF64AF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79A739A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1F5AA30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732D907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360C43A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0F8B510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6EB055B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7DD4C44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667A318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78CA02B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78D82DE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1865F2E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1A25394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14:paraId="21122D3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515D25B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7D7DBB8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5B90B55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5988949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转入基金确认份额=（124,750-0）/2.2700=54,955.95份</w:t>
      </w:r>
    </w:p>
    <w:p w14:paraId="67B9D04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14:paraId="5E78290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42CBE23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22B13F0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04CCB9F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3D07870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64D333B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1574B59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3967838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532E915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3C8982C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026AE88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5A6773E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4DD5941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159E67C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78FF428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73A953E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420554D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61944FF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（七）业务规则</w:t>
      </w:r>
    </w:p>
    <w:p w14:paraId="11CC6F6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w:t>
      </w:r>
      <w:r>
        <w:rPr>
          <w:rFonts w:ascii="宋体" w:hAnsi="宋体"/>
          <w:sz w:val="24"/>
        </w:rPr>
        <w:lastRenderedPageBreak/>
        <w:t>销售的同一基金管理人管理的、在同一注册登记机构处注册登记的基金。投资人办理基金转换业务时，转出方的基金必须处于可赎回状态，转入方的基金必须处于可申购状态。</w:t>
      </w:r>
    </w:p>
    <w:p w14:paraId="6AD99C00" w14:textId="4C6030B8"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39429BF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4B6554C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0972232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7ABC106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（八）暂停基金转换</w:t>
      </w:r>
    </w:p>
    <w:p w14:paraId="1BCDE27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4476893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1279BD9F"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36C45AA" w14:textId="77777777" w:rsidR="00D0305B" w:rsidRDefault="00AE421E">
      <w:pPr>
        <w:pStyle w:val="1"/>
        <w:snapToGrid w:val="0"/>
        <w:spacing w:beforeLines="0" w:before="240" w:after="240"/>
        <w:rPr>
          <w:rFonts w:ascii="宋体" w:hAnsi="宋体"/>
          <w:szCs w:val="30"/>
        </w:rPr>
      </w:pPr>
      <w:bookmarkStart w:id="12" w:name="_Toc135812809"/>
      <w:r>
        <w:rPr>
          <w:rFonts w:ascii="Times New Roman" w:hAnsi="Times New Roman"/>
          <w:sz w:val="30"/>
        </w:rPr>
        <w:t>九、基金的投资</w:t>
      </w:r>
      <w:bookmarkEnd w:id="12"/>
    </w:p>
    <w:p w14:paraId="4BB980D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（一）投资目标</w:t>
      </w:r>
    </w:p>
    <w:p w14:paraId="2690C28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在严格控制投资风险和保持资产流动性的基础上，力争实现基金资产的长期稳定增值。</w:t>
      </w:r>
    </w:p>
    <w:p w14:paraId="1A826EC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（二）投资范围</w:t>
      </w:r>
    </w:p>
    <w:p w14:paraId="18E0D70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交易的国债、金融债、央行票据、地方政府债、企业债、公司债、短期融资券、中期票据、可转换债券及可分离转债、次级债、资产支持证券、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w:t>
      </w:r>
    </w:p>
    <w:p w14:paraId="04A628B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7574FA6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的比例不低于基金资产的80%；对股票、权证等权益类资产的投资比例不高于基金资产净值的20%；现金或到期日在一年以内的政府债券的投资比例合计不低于基金资产净值的5%，其中现金不包括结算备付金、存出保证金和应收申购款等。</w:t>
      </w:r>
    </w:p>
    <w:p w14:paraId="23B6256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1DC64D1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（三）投资策略</w:t>
      </w:r>
    </w:p>
    <w:p w14:paraId="5B894A2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p w14:paraId="3CEF3E6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（1）资产配置策略</w:t>
      </w:r>
    </w:p>
    <w:p w14:paraId="41397C5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分析和判断国内外宏观经济形势的基础上，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14:paraId="5562D7D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（2）债券投资策略</w:t>
      </w:r>
    </w:p>
    <w:p w14:paraId="4BFE1CB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6EA1076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1）久期管理策略</w:t>
      </w:r>
    </w:p>
    <w:p w14:paraId="32A6C41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通过合理的久期控制实现对利率风险的有效管理。</w:t>
      </w:r>
    </w:p>
    <w:p w14:paraId="42BDFBA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2）期限结构配置策略</w:t>
      </w:r>
    </w:p>
    <w:p w14:paraId="0D6CFAB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预期收益率曲线形态变化来调整投资组合的期限结构配置。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8DAC9F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3）债券的类属配置策略</w:t>
      </w:r>
    </w:p>
    <w:p w14:paraId="6C821AB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不同类属债券类资产的信用风险、流动性风险、市场风险等因素及其经风险调整后的收益率水平或盈利能力，通过比较并合理预期不同类属债券类资产的风险与收益率变化，确定并动态地调整不同类属债券类资产间的配置。</w:t>
      </w:r>
    </w:p>
    <w:p w14:paraId="5648859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4）杠杆放大策略</w:t>
      </w:r>
    </w:p>
    <w:p w14:paraId="373B112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700F0B8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5）信用债券投资策略</w:t>
      </w:r>
    </w:p>
    <w:p w14:paraId="0C3ABAA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441836F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①信用债券研究</w:t>
      </w:r>
    </w:p>
    <w:p w14:paraId="7001A3C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09F5FC4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②信用债券筛选</w:t>
      </w:r>
    </w:p>
    <w:p w14:paraId="3CDB7BD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本基金从信用债券池中精选债券构建信用债券投资组合，债券筛选主要考虑以下因素：</w:t>
      </w:r>
    </w:p>
    <w:p w14:paraId="4B2BD23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a）信用债券信用评级的变化。</w:t>
      </w:r>
    </w:p>
    <w:p w14:paraId="6B2C1DE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16853C2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6）资产支持证券（含资产收益计划）投资策略</w:t>
      </w:r>
    </w:p>
    <w:p w14:paraId="1060A3D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6795CF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7）可转换债券投资策略</w:t>
      </w:r>
    </w:p>
    <w:p w14:paraId="58F174D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可转换债券是兼具股性和债性双重特征的投资品种。本基金对于可转换债券股性的研究将依托于公司投研团队对标的股票的研究，在此基础上量化投资部利用可转换债券定价模型，充分考虑转债发行后目标转债标的股票股价波动率可能出现的变化，对目标转债的股性进行合理定价。对于可转换债券债性的研究，本基金将引</w:t>
      </w:r>
      <w:r>
        <w:rPr>
          <w:rFonts w:ascii="宋体" w:hAnsi="宋体"/>
          <w:sz w:val="24"/>
        </w:rPr>
        <w:lastRenderedPageBreak/>
        <w:t>进公司信用债券信用评级指标体系，对可转换债券的发行主体及标的债券进行信用评级，并在信用评级的基础上对其进行合理定价。通过对标的转债股性与债性的合理定价，力求寻找出被市场低估的品种，构建本基金可转换债券的投资组合。</w:t>
      </w:r>
    </w:p>
    <w:p w14:paraId="421BF32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（3）股票投资策略</w:t>
      </w:r>
    </w:p>
    <w:p w14:paraId="454D29D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14:paraId="3C4A054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（4）权证投资策略</w:t>
      </w:r>
    </w:p>
    <w:p w14:paraId="7EBA34A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权证的市场价值分析为基础，配以权证定价模型寻求其合理估值水平，以主动的科学投资管理为手段，充分考虑权证资产的收益性、流动性及风险收益特征，通过资产配置、品种与类属选择，追求当期稳定的基金资产收益</w:t>
      </w:r>
    </w:p>
    <w:p w14:paraId="4883217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（四）投资限制</w:t>
      </w:r>
    </w:p>
    <w:p w14:paraId="69A8C06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09EA234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76576DC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1）投资于债券的比例不低于基金资产的80%；对股票、权证等权益类资产的投资比例不高于基金资产净值的20%；</w:t>
      </w:r>
    </w:p>
    <w:p w14:paraId="131B13C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2）保持不低于基金资产净值5％的现金或者到期日在一年以内的政府债券，其中现金不包括结算备付金、存出保证金和应收申购款等；</w:t>
      </w:r>
    </w:p>
    <w:p w14:paraId="10D1B04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5763589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14:paraId="194BAFA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14:paraId="079E054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6）本基金管理人管理的全部基金持有的同一权证，不得超过该权证的10%；</w:t>
      </w:r>
    </w:p>
    <w:p w14:paraId="543DB22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14:paraId="5DE7C2C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14:paraId="1F2832D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14:paraId="6434620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14:paraId="48A1E8F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11）本基金管理人管理的全部基金投资于同一原始权益人的各类资产支持证券，不得超过其各类资产支持证券合计规模的10%；</w:t>
      </w:r>
    </w:p>
    <w:p w14:paraId="0673CCB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14:paraId="2382233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14:paraId="528CA89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14）本基金进入全国银行间同业市场进行债券回购的资金余额不得超过基金资产净值的40%；债券回购最长期限为1年，债券回购到期后不得展期；</w:t>
      </w:r>
    </w:p>
    <w:p w14:paraId="792BFBD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15）本基金的基金资产总值不得超过基金资产净值的140%；</w:t>
      </w:r>
    </w:p>
    <w:p w14:paraId="2768A12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投资流通受限证券，基金管理人应事先根据中国证监会相关规定，与基金托管人签订风险补充协议，协议应包括基金托管人对于基金管理公司是否遵守相关制度、流动性风险处置预案以及相关投资额度和比例的情况进行监督等内容。基金管理人应制订严格的投资决策流程和风险控制制度，防范流动性风险、法律风险和操作风险等各种风险；</w:t>
      </w:r>
    </w:p>
    <w:p w14:paraId="73FA099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A4EABD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72323C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19）本基金与私募类证券资管产品及中国证监会认定的其他主体为交易对手开展逆回购交易的，可接受质押品的资质要求应当与基金合同约定的投资范围保持一致；</w:t>
      </w:r>
    </w:p>
    <w:p w14:paraId="3A1F9C5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20）法律法规及中国证监会规定的和《基金合同》约定的其他投资限制。</w:t>
      </w:r>
    </w:p>
    <w:p w14:paraId="69BDD81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变更之日起不超过3个月的时间区间内为其投资转型期，投资转型期的具体起止日期由基金管理人确定并届时公告。基金管理人应当自投资转型期结束日起次个工作日使本基金的投资组合比例符合基金合同的有关约定。</w:t>
      </w:r>
    </w:p>
    <w:p w14:paraId="33191CA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除上述第2）、12）、18）、19）项以外，因证券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656C915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110FFD8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2D7D54B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3C26FCC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3EBCC03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6A26572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5BEAE30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5D13D47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5CCB968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095B829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16AD3C1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如法律、行政法规或监管部门取消上述禁止性规定，如适用于本基金，则履行适当程序后本基金投资不再受相关限制。</w:t>
      </w:r>
    </w:p>
    <w:p w14:paraId="0EE5F28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696E2A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（五）业绩比较基准</w:t>
      </w:r>
    </w:p>
    <w:p w14:paraId="05826CA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本基金的整体业绩比较基准采用：</w:t>
      </w:r>
    </w:p>
    <w:p w14:paraId="778DF9E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w:t>
      </w:r>
    </w:p>
    <w:p w14:paraId="1CBA2E6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中债综合全价指数由中央国债登记结算有限责任公司编制并发布，其指数样本涵盖国债、政策性银行债、商业银行债、地方企业债、中期票据以及证券公司短期</w:t>
      </w:r>
      <w:r>
        <w:rPr>
          <w:rFonts w:ascii="宋体" w:hAnsi="宋体"/>
          <w:sz w:val="24"/>
        </w:rPr>
        <w:lastRenderedPageBreak/>
        <w:t>融资券等各类券种，综合反映了债券市场整体价格和回报情况，是目前市场上较为权威的反映债券市场整体走势的基准指数之一。该指数合理、透明、公开，具有较好的市场接受度，作为衡量本基金业绩的比较基准，较为合适。</w:t>
      </w:r>
    </w:p>
    <w:p w14:paraId="2D93D4F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B5D67D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（六）风险收益特征</w:t>
      </w:r>
    </w:p>
    <w:p w14:paraId="696461D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本基金为债券型证券投资基金，其长期平均的预期收益和风险高于货币市场基金，低于混合型基金和股票型基金</w:t>
      </w:r>
    </w:p>
    <w:p w14:paraId="4B0B4A2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（七）基金管理人代表基金行使股东及债权人权利的处理原则及方法</w:t>
      </w:r>
    </w:p>
    <w:p w14:paraId="0B2999F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1、基金管理人按照国家有关规定代表基金独立行使股东及债权人权利，保护基金份额持有人的利益；</w:t>
      </w:r>
    </w:p>
    <w:p w14:paraId="56041E4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14:paraId="770A4E3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14:paraId="6166F48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14:paraId="45BF145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（八）侧袋机制的实施和投资运作安排</w:t>
      </w:r>
    </w:p>
    <w:p w14:paraId="4E7C23C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B75386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2B026AB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16C5B6E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（九）投资决策依据和投资流程</w:t>
      </w:r>
    </w:p>
    <w:p w14:paraId="3A0627B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192D632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7D40BAC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374B7E8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（3）宏观经济发展态势、证券市场运行环境和走势，以及上市公司的基本面；</w:t>
      </w:r>
    </w:p>
    <w:p w14:paraId="6641C71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048003E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3E230F2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620A5C7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428AD5C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633890E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0C1CDF8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4AB88C3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24E921E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1EC7878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67A6CDE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0536404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14:paraId="0D4BEAF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3480AD3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（7）风险管理部定期完成有关投资风险监控报告，量化投资部定期完成基金业绩评估报告。</w:t>
      </w:r>
    </w:p>
    <w:p w14:paraId="4780E68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14:paraId="3718859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（十）基金投资组合报告</w:t>
      </w:r>
    </w:p>
    <w:p w14:paraId="42C99C5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4B7F8F1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本基金托管人中国民生银行股份有限公司根据本基金合同规定，于2023年04月20日复核了本报告中的财务指标、净值表现和投资组合报告等内容，保证复核内容不存在虚假记载、误导性陈述或者重大遗漏。</w:t>
      </w:r>
    </w:p>
    <w:p w14:paraId="77A07AB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本报告期为2023年01月01日起至03月31日。本报告财务资料未经审计师审计。</w:t>
      </w:r>
    </w:p>
    <w:p w14:paraId="629145E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8"/>
        <w:gridCol w:w="3025"/>
        <w:gridCol w:w="3024"/>
        <w:gridCol w:w="1613"/>
      </w:tblGrid>
      <w:tr w:rsidR="00D0305B" w14:paraId="48E9931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A3487C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C4B13E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7482B2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6ACA95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0305B" w14:paraId="0BE00D5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BC0E47"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07C937C"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6632BFC8"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11,817,999.44</w:t>
            </w:r>
          </w:p>
        </w:tc>
        <w:tc>
          <w:tcPr>
            <w:tcW w:w="400" w:type="pct"/>
            <w:tcBorders>
              <w:top w:val="single" w:sz="4" w:space="0" w:color="auto"/>
              <w:left w:val="single" w:sz="4" w:space="0" w:color="auto"/>
              <w:bottom w:val="single" w:sz="4" w:space="0" w:color="auto"/>
              <w:right w:val="single" w:sz="4" w:space="0" w:color="auto"/>
            </w:tcBorders>
            <w:vAlign w:val="center"/>
          </w:tcPr>
          <w:p w14:paraId="43F43D4A"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16.09</w:t>
            </w:r>
          </w:p>
        </w:tc>
      </w:tr>
      <w:tr w:rsidR="00D0305B" w14:paraId="398C81B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6D553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66B142B"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64F192C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11,817,999.44</w:t>
            </w:r>
          </w:p>
        </w:tc>
        <w:tc>
          <w:tcPr>
            <w:tcW w:w="400" w:type="pct"/>
            <w:tcBorders>
              <w:top w:val="single" w:sz="4" w:space="0" w:color="auto"/>
              <w:left w:val="single" w:sz="4" w:space="0" w:color="auto"/>
              <w:bottom w:val="single" w:sz="4" w:space="0" w:color="auto"/>
              <w:right w:val="single" w:sz="4" w:space="0" w:color="auto"/>
            </w:tcBorders>
            <w:vAlign w:val="center"/>
          </w:tcPr>
          <w:p w14:paraId="2297EDDA"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16.09</w:t>
            </w:r>
          </w:p>
        </w:tc>
      </w:tr>
      <w:tr w:rsidR="00D0305B" w14:paraId="34B814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5901D3"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7A7EC46"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201FED22"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3D8F192"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53D93B3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FF0CB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7989637"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53C7708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59,896,959.71</w:t>
            </w:r>
          </w:p>
        </w:tc>
        <w:tc>
          <w:tcPr>
            <w:tcW w:w="400" w:type="pct"/>
            <w:tcBorders>
              <w:top w:val="single" w:sz="4" w:space="0" w:color="auto"/>
              <w:left w:val="single" w:sz="4" w:space="0" w:color="auto"/>
              <w:bottom w:val="single" w:sz="4" w:space="0" w:color="auto"/>
              <w:right w:val="single" w:sz="4" w:space="0" w:color="auto"/>
            </w:tcBorders>
            <w:vAlign w:val="center"/>
          </w:tcPr>
          <w:p w14:paraId="2533EB5E"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81.57</w:t>
            </w:r>
          </w:p>
        </w:tc>
      </w:tr>
      <w:tr w:rsidR="00D0305B" w14:paraId="570CE1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C133B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1EA2762"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4EF5B903"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59,896,959.71</w:t>
            </w:r>
          </w:p>
        </w:tc>
        <w:tc>
          <w:tcPr>
            <w:tcW w:w="400" w:type="pct"/>
            <w:tcBorders>
              <w:top w:val="single" w:sz="4" w:space="0" w:color="auto"/>
              <w:left w:val="single" w:sz="4" w:space="0" w:color="auto"/>
              <w:bottom w:val="single" w:sz="4" w:space="0" w:color="auto"/>
              <w:right w:val="single" w:sz="4" w:space="0" w:color="auto"/>
            </w:tcBorders>
            <w:vAlign w:val="center"/>
          </w:tcPr>
          <w:p w14:paraId="43C77CD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81.57</w:t>
            </w:r>
          </w:p>
        </w:tc>
      </w:tr>
      <w:tr w:rsidR="00D0305B" w14:paraId="5B030E2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44262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5796775"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7D82EEE8"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31440B4"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334450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4218E7"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5C214A2"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419E65F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4BA89C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57CD395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E3CEA7"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47BC737"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7B966E0E"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5091090"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5A3AD2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1E381D"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D5BAB7E"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20CEDD76"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B12C5CB"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78323A5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BD1060"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7929EBE4"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584B92CC"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64B7772"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0531504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F5D57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70BA57A"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04D8125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1,679,443.16</w:t>
            </w:r>
          </w:p>
        </w:tc>
        <w:tc>
          <w:tcPr>
            <w:tcW w:w="400" w:type="pct"/>
            <w:tcBorders>
              <w:top w:val="single" w:sz="4" w:space="0" w:color="auto"/>
              <w:left w:val="single" w:sz="4" w:space="0" w:color="auto"/>
              <w:bottom w:val="single" w:sz="4" w:space="0" w:color="auto"/>
              <w:right w:val="single" w:sz="4" w:space="0" w:color="auto"/>
            </w:tcBorders>
            <w:vAlign w:val="center"/>
          </w:tcPr>
          <w:p w14:paraId="70443EFD"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2.29</w:t>
            </w:r>
          </w:p>
        </w:tc>
      </w:tr>
      <w:tr w:rsidR="00D0305B" w14:paraId="66A8A7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E13152"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0D2DF0DB"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367DC1C6"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38,287.27</w:t>
            </w:r>
          </w:p>
        </w:tc>
        <w:tc>
          <w:tcPr>
            <w:tcW w:w="400" w:type="pct"/>
            <w:tcBorders>
              <w:top w:val="single" w:sz="4" w:space="0" w:color="auto"/>
              <w:left w:val="single" w:sz="4" w:space="0" w:color="auto"/>
              <w:bottom w:val="single" w:sz="4" w:space="0" w:color="auto"/>
              <w:right w:val="single" w:sz="4" w:space="0" w:color="auto"/>
            </w:tcBorders>
            <w:vAlign w:val="center"/>
          </w:tcPr>
          <w:p w14:paraId="117F95F6"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r>
      <w:tr w:rsidR="00D0305B" w14:paraId="594D0CF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290F3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153ABEC7"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09B59883"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73,432,689.58</w:t>
            </w:r>
          </w:p>
        </w:tc>
        <w:tc>
          <w:tcPr>
            <w:tcW w:w="400" w:type="pct"/>
            <w:tcBorders>
              <w:top w:val="single" w:sz="4" w:space="0" w:color="auto"/>
              <w:left w:val="single" w:sz="4" w:space="0" w:color="auto"/>
              <w:bottom w:val="single" w:sz="4" w:space="0" w:color="auto"/>
              <w:right w:val="single" w:sz="4" w:space="0" w:color="auto"/>
            </w:tcBorders>
            <w:vAlign w:val="center"/>
          </w:tcPr>
          <w:p w14:paraId="16A8804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7BF720E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52B6B24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8"/>
        <w:gridCol w:w="3025"/>
        <w:gridCol w:w="3024"/>
        <w:gridCol w:w="1613"/>
      </w:tblGrid>
      <w:tr w:rsidR="00D0305B" w14:paraId="3F910B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5E1748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541389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225AE62"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5A9FCD3A"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0305B" w14:paraId="4997A6B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83657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5DD8E61D"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6500DCD8"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D25436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6045FB6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E30A9A"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761A8D29"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73A6483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D2D5C9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4EFFCBD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C968A4"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C</w:t>
            </w:r>
          </w:p>
        </w:tc>
        <w:tc>
          <w:tcPr>
            <w:tcW w:w="750" w:type="pct"/>
            <w:tcBorders>
              <w:top w:val="single" w:sz="4" w:space="0" w:color="auto"/>
              <w:left w:val="single" w:sz="4" w:space="0" w:color="auto"/>
              <w:bottom w:val="single" w:sz="4" w:space="0" w:color="auto"/>
              <w:right w:val="single" w:sz="4" w:space="0" w:color="auto"/>
            </w:tcBorders>
            <w:vAlign w:val="center"/>
          </w:tcPr>
          <w:p w14:paraId="04C04275"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5EC2451D"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8,209,970.28</w:t>
            </w:r>
          </w:p>
        </w:tc>
        <w:tc>
          <w:tcPr>
            <w:tcW w:w="400" w:type="pct"/>
            <w:tcBorders>
              <w:top w:val="single" w:sz="4" w:space="0" w:color="auto"/>
              <w:left w:val="single" w:sz="4" w:space="0" w:color="auto"/>
              <w:bottom w:val="single" w:sz="4" w:space="0" w:color="auto"/>
              <w:right w:val="single" w:sz="4" w:space="0" w:color="auto"/>
            </w:tcBorders>
            <w:vAlign w:val="center"/>
          </w:tcPr>
          <w:p w14:paraId="5DE255BB"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11.46</w:t>
            </w:r>
          </w:p>
        </w:tc>
      </w:tr>
      <w:tr w:rsidR="00D0305B" w14:paraId="7965827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3CAA7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20644E28"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43170D7A"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879,131.00</w:t>
            </w:r>
          </w:p>
        </w:tc>
        <w:tc>
          <w:tcPr>
            <w:tcW w:w="400" w:type="pct"/>
            <w:tcBorders>
              <w:top w:val="single" w:sz="4" w:space="0" w:color="auto"/>
              <w:left w:val="single" w:sz="4" w:space="0" w:color="auto"/>
              <w:bottom w:val="single" w:sz="4" w:space="0" w:color="auto"/>
              <w:right w:val="single" w:sz="4" w:space="0" w:color="auto"/>
            </w:tcBorders>
            <w:vAlign w:val="center"/>
          </w:tcPr>
          <w:p w14:paraId="666CDCF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1.23</w:t>
            </w:r>
          </w:p>
        </w:tc>
      </w:tr>
      <w:tr w:rsidR="00D0305B" w14:paraId="341113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4AD27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3F781058"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7C17CAE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526,578.00</w:t>
            </w:r>
          </w:p>
        </w:tc>
        <w:tc>
          <w:tcPr>
            <w:tcW w:w="400" w:type="pct"/>
            <w:tcBorders>
              <w:top w:val="single" w:sz="4" w:space="0" w:color="auto"/>
              <w:left w:val="single" w:sz="4" w:space="0" w:color="auto"/>
              <w:bottom w:val="single" w:sz="4" w:space="0" w:color="auto"/>
              <w:right w:val="single" w:sz="4" w:space="0" w:color="auto"/>
            </w:tcBorders>
            <w:vAlign w:val="center"/>
          </w:tcPr>
          <w:p w14:paraId="37CFA59C"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0.74</w:t>
            </w:r>
          </w:p>
        </w:tc>
      </w:tr>
      <w:tr w:rsidR="00D0305B" w14:paraId="61D2C39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E1BBC2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590E6927"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18E4EB7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507,261.00</w:t>
            </w:r>
          </w:p>
        </w:tc>
        <w:tc>
          <w:tcPr>
            <w:tcW w:w="400" w:type="pct"/>
            <w:tcBorders>
              <w:top w:val="single" w:sz="4" w:space="0" w:color="auto"/>
              <w:left w:val="single" w:sz="4" w:space="0" w:color="auto"/>
              <w:bottom w:val="single" w:sz="4" w:space="0" w:color="auto"/>
              <w:right w:val="single" w:sz="4" w:space="0" w:color="auto"/>
            </w:tcBorders>
            <w:vAlign w:val="center"/>
          </w:tcPr>
          <w:p w14:paraId="2129F618"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0.71</w:t>
            </w:r>
          </w:p>
        </w:tc>
      </w:tr>
      <w:tr w:rsidR="00D0305B" w14:paraId="61C6D69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A685F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286F5111"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5185D350"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210,444.00</w:t>
            </w:r>
          </w:p>
        </w:tc>
        <w:tc>
          <w:tcPr>
            <w:tcW w:w="400" w:type="pct"/>
            <w:tcBorders>
              <w:top w:val="single" w:sz="4" w:space="0" w:color="auto"/>
              <w:left w:val="single" w:sz="4" w:space="0" w:color="auto"/>
              <w:bottom w:val="single" w:sz="4" w:space="0" w:color="auto"/>
              <w:right w:val="single" w:sz="4" w:space="0" w:color="auto"/>
            </w:tcBorders>
            <w:vAlign w:val="center"/>
          </w:tcPr>
          <w:p w14:paraId="1608919C"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0.29</w:t>
            </w:r>
          </w:p>
        </w:tc>
      </w:tr>
      <w:tr w:rsidR="00D0305B" w14:paraId="28476C6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22BB7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637F8E70"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2F884B56"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ABEE442"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446D052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17712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395BEF88"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1701078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1,350,501.16</w:t>
            </w:r>
          </w:p>
        </w:tc>
        <w:tc>
          <w:tcPr>
            <w:tcW w:w="400" w:type="pct"/>
            <w:tcBorders>
              <w:top w:val="single" w:sz="4" w:space="0" w:color="auto"/>
              <w:left w:val="single" w:sz="4" w:space="0" w:color="auto"/>
              <w:bottom w:val="single" w:sz="4" w:space="0" w:color="auto"/>
              <w:right w:val="single" w:sz="4" w:space="0" w:color="auto"/>
            </w:tcBorders>
            <w:vAlign w:val="center"/>
          </w:tcPr>
          <w:p w14:paraId="1D89A433"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1.89</w:t>
            </w:r>
          </w:p>
        </w:tc>
      </w:tr>
      <w:tr w:rsidR="00D0305B" w14:paraId="6368FE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6C889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4FC091EC"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29AAE3C0"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BF00E80"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1C51DC5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F8183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41C6CEA7"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02F2A52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1B588E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7DDBB4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7DC41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72D8E785"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0636BD80"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126,850.00</w:t>
            </w:r>
          </w:p>
        </w:tc>
        <w:tc>
          <w:tcPr>
            <w:tcW w:w="400" w:type="pct"/>
            <w:tcBorders>
              <w:top w:val="single" w:sz="4" w:space="0" w:color="auto"/>
              <w:left w:val="single" w:sz="4" w:space="0" w:color="auto"/>
              <w:bottom w:val="single" w:sz="4" w:space="0" w:color="auto"/>
              <w:right w:val="single" w:sz="4" w:space="0" w:color="auto"/>
            </w:tcBorders>
            <w:vAlign w:val="center"/>
          </w:tcPr>
          <w:p w14:paraId="7D10856D"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0.18</w:t>
            </w:r>
          </w:p>
        </w:tc>
      </w:tr>
      <w:tr w:rsidR="00D0305B" w14:paraId="1CD0E9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97A140"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0412138F"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4484F970"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C622923"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0DB468B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93E52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65CBC8E3"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55E688A0"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7,264.00</w:t>
            </w:r>
          </w:p>
        </w:tc>
        <w:tc>
          <w:tcPr>
            <w:tcW w:w="400" w:type="pct"/>
            <w:tcBorders>
              <w:top w:val="single" w:sz="4" w:space="0" w:color="auto"/>
              <w:left w:val="single" w:sz="4" w:space="0" w:color="auto"/>
              <w:bottom w:val="single" w:sz="4" w:space="0" w:color="auto"/>
              <w:right w:val="single" w:sz="4" w:space="0" w:color="auto"/>
            </w:tcBorders>
            <w:vAlign w:val="center"/>
          </w:tcPr>
          <w:p w14:paraId="08144C0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D0305B" w14:paraId="453134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22816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0FCB6AD2"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09CDAD52"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27ECAA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2410DCF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B4DF37"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34E3FB80"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2934320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26FBF7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21739B2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F909E7"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2DFDC287"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7B1C8630"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054D4C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625B187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13FE3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790D202E"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0798839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0FC1916"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260DD12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C56A6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3F902EC3"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195EC8E8"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44E2C7E"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2160303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1E079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A16ACDC"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62F24EF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11,817,999.44</w:t>
            </w:r>
          </w:p>
        </w:tc>
        <w:tc>
          <w:tcPr>
            <w:tcW w:w="400" w:type="pct"/>
            <w:tcBorders>
              <w:top w:val="single" w:sz="4" w:space="0" w:color="auto"/>
              <w:left w:val="single" w:sz="4" w:space="0" w:color="auto"/>
              <w:bottom w:val="single" w:sz="4" w:space="0" w:color="auto"/>
              <w:right w:val="single" w:sz="4" w:space="0" w:color="auto"/>
            </w:tcBorders>
            <w:vAlign w:val="center"/>
          </w:tcPr>
          <w:p w14:paraId="04CC0172"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16.50</w:t>
            </w:r>
          </w:p>
        </w:tc>
      </w:tr>
    </w:tbl>
    <w:p w14:paraId="02271BA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315CB5C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CB7550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304629C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2"/>
        <w:gridCol w:w="1625"/>
        <w:gridCol w:w="1625"/>
        <w:gridCol w:w="1626"/>
        <w:gridCol w:w="1626"/>
        <w:gridCol w:w="1626"/>
      </w:tblGrid>
      <w:tr w:rsidR="00D0305B" w14:paraId="3696AE7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EBD027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4148D44"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37C0AC0"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8B51F32"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77AAAE4"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7FAAB9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0305B" w14:paraId="75D4F0F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B0759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59C9BB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600970</w:t>
            </w:r>
          </w:p>
        </w:tc>
        <w:tc>
          <w:tcPr>
            <w:tcW w:w="750" w:type="pct"/>
            <w:tcBorders>
              <w:top w:val="single" w:sz="4" w:space="0" w:color="auto"/>
              <w:left w:val="single" w:sz="4" w:space="0" w:color="auto"/>
              <w:bottom w:val="single" w:sz="4" w:space="0" w:color="auto"/>
              <w:right w:val="single" w:sz="4" w:space="0" w:color="auto"/>
            </w:tcBorders>
            <w:vAlign w:val="center"/>
          </w:tcPr>
          <w:p w14:paraId="640F991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中材国际</w:t>
            </w:r>
          </w:p>
        </w:tc>
        <w:tc>
          <w:tcPr>
            <w:tcW w:w="750" w:type="pct"/>
            <w:tcBorders>
              <w:top w:val="single" w:sz="4" w:space="0" w:color="auto"/>
              <w:left w:val="single" w:sz="4" w:space="0" w:color="auto"/>
              <w:bottom w:val="single" w:sz="4" w:space="0" w:color="auto"/>
              <w:right w:val="single" w:sz="4" w:space="0" w:color="auto"/>
            </w:tcBorders>
            <w:vAlign w:val="center"/>
          </w:tcPr>
          <w:p w14:paraId="45711C1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47,100</w:t>
            </w:r>
          </w:p>
        </w:tc>
        <w:tc>
          <w:tcPr>
            <w:tcW w:w="750" w:type="pct"/>
            <w:tcBorders>
              <w:top w:val="single" w:sz="4" w:space="0" w:color="auto"/>
              <w:left w:val="single" w:sz="4" w:space="0" w:color="auto"/>
              <w:bottom w:val="single" w:sz="4" w:space="0" w:color="auto"/>
              <w:right w:val="single" w:sz="4" w:space="0" w:color="auto"/>
            </w:tcBorders>
            <w:vAlign w:val="center"/>
          </w:tcPr>
          <w:p w14:paraId="1F4F6730"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526,578.00</w:t>
            </w:r>
          </w:p>
        </w:tc>
        <w:tc>
          <w:tcPr>
            <w:tcW w:w="750" w:type="pct"/>
            <w:tcBorders>
              <w:top w:val="single" w:sz="4" w:space="0" w:color="auto"/>
              <w:left w:val="single" w:sz="4" w:space="0" w:color="auto"/>
              <w:bottom w:val="single" w:sz="4" w:space="0" w:color="auto"/>
              <w:right w:val="single" w:sz="4" w:space="0" w:color="auto"/>
            </w:tcBorders>
            <w:vAlign w:val="center"/>
          </w:tcPr>
          <w:p w14:paraId="4436653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0.74</w:t>
            </w:r>
          </w:p>
        </w:tc>
      </w:tr>
      <w:tr w:rsidR="00D0305B" w14:paraId="156FA81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2C868D"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83294D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002304</w:t>
            </w:r>
          </w:p>
        </w:tc>
        <w:tc>
          <w:tcPr>
            <w:tcW w:w="750" w:type="pct"/>
            <w:tcBorders>
              <w:top w:val="single" w:sz="4" w:space="0" w:color="auto"/>
              <w:left w:val="single" w:sz="4" w:space="0" w:color="auto"/>
              <w:bottom w:val="single" w:sz="4" w:space="0" w:color="auto"/>
              <w:right w:val="single" w:sz="4" w:space="0" w:color="auto"/>
            </w:tcBorders>
            <w:vAlign w:val="center"/>
          </w:tcPr>
          <w:p w14:paraId="67847F6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洋河股份</w:t>
            </w:r>
          </w:p>
        </w:tc>
        <w:tc>
          <w:tcPr>
            <w:tcW w:w="750" w:type="pct"/>
            <w:tcBorders>
              <w:top w:val="single" w:sz="4" w:space="0" w:color="auto"/>
              <w:left w:val="single" w:sz="4" w:space="0" w:color="auto"/>
              <w:bottom w:val="single" w:sz="4" w:space="0" w:color="auto"/>
              <w:right w:val="single" w:sz="4" w:space="0" w:color="auto"/>
            </w:tcBorders>
            <w:vAlign w:val="center"/>
          </w:tcPr>
          <w:p w14:paraId="61186BF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2,400</w:t>
            </w:r>
          </w:p>
        </w:tc>
        <w:tc>
          <w:tcPr>
            <w:tcW w:w="750" w:type="pct"/>
            <w:tcBorders>
              <w:top w:val="single" w:sz="4" w:space="0" w:color="auto"/>
              <w:left w:val="single" w:sz="4" w:space="0" w:color="auto"/>
              <w:bottom w:val="single" w:sz="4" w:space="0" w:color="auto"/>
              <w:right w:val="single" w:sz="4" w:space="0" w:color="auto"/>
            </w:tcBorders>
            <w:vAlign w:val="center"/>
          </w:tcPr>
          <w:p w14:paraId="00F2722B"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397,104.00</w:t>
            </w:r>
          </w:p>
        </w:tc>
        <w:tc>
          <w:tcPr>
            <w:tcW w:w="750" w:type="pct"/>
            <w:tcBorders>
              <w:top w:val="single" w:sz="4" w:space="0" w:color="auto"/>
              <w:left w:val="single" w:sz="4" w:space="0" w:color="auto"/>
              <w:bottom w:val="single" w:sz="4" w:space="0" w:color="auto"/>
              <w:right w:val="single" w:sz="4" w:space="0" w:color="auto"/>
            </w:tcBorders>
            <w:vAlign w:val="center"/>
          </w:tcPr>
          <w:p w14:paraId="70129F2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0.55</w:t>
            </w:r>
          </w:p>
        </w:tc>
      </w:tr>
      <w:tr w:rsidR="00D0305B" w14:paraId="41488BA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8FECA4"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7764690"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002555</w:t>
            </w:r>
          </w:p>
        </w:tc>
        <w:tc>
          <w:tcPr>
            <w:tcW w:w="750" w:type="pct"/>
            <w:tcBorders>
              <w:top w:val="single" w:sz="4" w:space="0" w:color="auto"/>
              <w:left w:val="single" w:sz="4" w:space="0" w:color="auto"/>
              <w:bottom w:val="single" w:sz="4" w:space="0" w:color="auto"/>
              <w:right w:val="single" w:sz="4" w:space="0" w:color="auto"/>
            </w:tcBorders>
            <w:vAlign w:val="center"/>
          </w:tcPr>
          <w:p w14:paraId="3F7DED3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三七互娱</w:t>
            </w:r>
          </w:p>
        </w:tc>
        <w:tc>
          <w:tcPr>
            <w:tcW w:w="750" w:type="pct"/>
            <w:tcBorders>
              <w:top w:val="single" w:sz="4" w:space="0" w:color="auto"/>
              <w:left w:val="single" w:sz="4" w:space="0" w:color="auto"/>
              <w:bottom w:val="single" w:sz="4" w:space="0" w:color="auto"/>
              <w:right w:val="single" w:sz="4" w:space="0" w:color="auto"/>
            </w:tcBorders>
            <w:vAlign w:val="center"/>
          </w:tcPr>
          <w:p w14:paraId="5D02F85A"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13,700</w:t>
            </w:r>
          </w:p>
        </w:tc>
        <w:tc>
          <w:tcPr>
            <w:tcW w:w="750" w:type="pct"/>
            <w:tcBorders>
              <w:top w:val="single" w:sz="4" w:space="0" w:color="auto"/>
              <w:left w:val="single" w:sz="4" w:space="0" w:color="auto"/>
              <w:bottom w:val="single" w:sz="4" w:space="0" w:color="auto"/>
              <w:right w:val="single" w:sz="4" w:space="0" w:color="auto"/>
            </w:tcBorders>
            <w:vAlign w:val="center"/>
          </w:tcPr>
          <w:p w14:paraId="55FE819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389,765.00</w:t>
            </w:r>
          </w:p>
        </w:tc>
        <w:tc>
          <w:tcPr>
            <w:tcW w:w="750" w:type="pct"/>
            <w:tcBorders>
              <w:top w:val="single" w:sz="4" w:space="0" w:color="auto"/>
              <w:left w:val="single" w:sz="4" w:space="0" w:color="auto"/>
              <w:bottom w:val="single" w:sz="4" w:space="0" w:color="auto"/>
              <w:right w:val="single" w:sz="4" w:space="0" w:color="auto"/>
            </w:tcBorders>
            <w:vAlign w:val="center"/>
          </w:tcPr>
          <w:p w14:paraId="1FBD6E98"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0.54</w:t>
            </w:r>
          </w:p>
        </w:tc>
      </w:tr>
      <w:tr w:rsidR="00D0305B" w14:paraId="78B39D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22FFC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4BB5B4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600079</w:t>
            </w:r>
          </w:p>
        </w:tc>
        <w:tc>
          <w:tcPr>
            <w:tcW w:w="750" w:type="pct"/>
            <w:tcBorders>
              <w:top w:val="single" w:sz="4" w:space="0" w:color="auto"/>
              <w:left w:val="single" w:sz="4" w:space="0" w:color="auto"/>
              <w:bottom w:val="single" w:sz="4" w:space="0" w:color="auto"/>
              <w:right w:val="single" w:sz="4" w:space="0" w:color="auto"/>
            </w:tcBorders>
            <w:vAlign w:val="center"/>
          </w:tcPr>
          <w:p w14:paraId="12A94813"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人福医药</w:t>
            </w:r>
          </w:p>
        </w:tc>
        <w:tc>
          <w:tcPr>
            <w:tcW w:w="750" w:type="pct"/>
            <w:tcBorders>
              <w:top w:val="single" w:sz="4" w:space="0" w:color="auto"/>
              <w:left w:val="single" w:sz="4" w:space="0" w:color="auto"/>
              <w:bottom w:val="single" w:sz="4" w:space="0" w:color="auto"/>
              <w:right w:val="single" w:sz="4" w:space="0" w:color="auto"/>
            </w:tcBorders>
            <w:vAlign w:val="center"/>
          </w:tcPr>
          <w:p w14:paraId="033ECADC"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13,900</w:t>
            </w:r>
          </w:p>
        </w:tc>
        <w:tc>
          <w:tcPr>
            <w:tcW w:w="750" w:type="pct"/>
            <w:tcBorders>
              <w:top w:val="single" w:sz="4" w:space="0" w:color="auto"/>
              <w:left w:val="single" w:sz="4" w:space="0" w:color="auto"/>
              <w:bottom w:val="single" w:sz="4" w:space="0" w:color="auto"/>
              <w:right w:val="single" w:sz="4" w:space="0" w:color="auto"/>
            </w:tcBorders>
            <w:vAlign w:val="center"/>
          </w:tcPr>
          <w:p w14:paraId="1AF9181D"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372,242.00</w:t>
            </w:r>
          </w:p>
        </w:tc>
        <w:tc>
          <w:tcPr>
            <w:tcW w:w="750" w:type="pct"/>
            <w:tcBorders>
              <w:top w:val="single" w:sz="4" w:space="0" w:color="auto"/>
              <w:left w:val="single" w:sz="4" w:space="0" w:color="auto"/>
              <w:bottom w:val="single" w:sz="4" w:space="0" w:color="auto"/>
              <w:right w:val="single" w:sz="4" w:space="0" w:color="auto"/>
            </w:tcBorders>
            <w:vAlign w:val="center"/>
          </w:tcPr>
          <w:p w14:paraId="611EE13C"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0.52</w:t>
            </w:r>
          </w:p>
        </w:tc>
      </w:tr>
      <w:tr w:rsidR="00D0305B" w14:paraId="2BF08C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A773E3"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C159352"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600027</w:t>
            </w:r>
          </w:p>
        </w:tc>
        <w:tc>
          <w:tcPr>
            <w:tcW w:w="750" w:type="pct"/>
            <w:tcBorders>
              <w:top w:val="single" w:sz="4" w:space="0" w:color="auto"/>
              <w:left w:val="single" w:sz="4" w:space="0" w:color="auto"/>
              <w:bottom w:val="single" w:sz="4" w:space="0" w:color="auto"/>
              <w:right w:val="single" w:sz="4" w:space="0" w:color="auto"/>
            </w:tcBorders>
            <w:vAlign w:val="center"/>
          </w:tcPr>
          <w:p w14:paraId="22C1920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华电国际</w:t>
            </w:r>
          </w:p>
        </w:tc>
        <w:tc>
          <w:tcPr>
            <w:tcW w:w="750" w:type="pct"/>
            <w:tcBorders>
              <w:top w:val="single" w:sz="4" w:space="0" w:color="auto"/>
              <w:left w:val="single" w:sz="4" w:space="0" w:color="auto"/>
              <w:bottom w:val="single" w:sz="4" w:space="0" w:color="auto"/>
              <w:right w:val="single" w:sz="4" w:space="0" w:color="auto"/>
            </w:tcBorders>
            <w:vAlign w:val="center"/>
          </w:tcPr>
          <w:p w14:paraId="770CA75B"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64,000</w:t>
            </w:r>
          </w:p>
        </w:tc>
        <w:tc>
          <w:tcPr>
            <w:tcW w:w="750" w:type="pct"/>
            <w:tcBorders>
              <w:top w:val="single" w:sz="4" w:space="0" w:color="auto"/>
              <w:left w:val="single" w:sz="4" w:space="0" w:color="auto"/>
              <w:bottom w:val="single" w:sz="4" w:space="0" w:color="auto"/>
              <w:right w:val="single" w:sz="4" w:space="0" w:color="auto"/>
            </w:tcBorders>
            <w:vAlign w:val="center"/>
          </w:tcPr>
          <w:p w14:paraId="3B7D3576"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370,560.00</w:t>
            </w:r>
          </w:p>
        </w:tc>
        <w:tc>
          <w:tcPr>
            <w:tcW w:w="750" w:type="pct"/>
            <w:tcBorders>
              <w:top w:val="single" w:sz="4" w:space="0" w:color="auto"/>
              <w:left w:val="single" w:sz="4" w:space="0" w:color="auto"/>
              <w:bottom w:val="single" w:sz="4" w:space="0" w:color="auto"/>
              <w:right w:val="single" w:sz="4" w:space="0" w:color="auto"/>
            </w:tcBorders>
            <w:vAlign w:val="center"/>
          </w:tcPr>
          <w:p w14:paraId="4D78BCD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0.52</w:t>
            </w:r>
          </w:p>
        </w:tc>
      </w:tr>
      <w:tr w:rsidR="00D0305B" w14:paraId="3DB4F20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5167C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C07B143"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300986</w:t>
            </w:r>
          </w:p>
        </w:tc>
        <w:tc>
          <w:tcPr>
            <w:tcW w:w="750" w:type="pct"/>
            <w:tcBorders>
              <w:top w:val="single" w:sz="4" w:space="0" w:color="auto"/>
              <w:left w:val="single" w:sz="4" w:space="0" w:color="auto"/>
              <w:bottom w:val="single" w:sz="4" w:space="0" w:color="auto"/>
              <w:right w:val="single" w:sz="4" w:space="0" w:color="auto"/>
            </w:tcBorders>
            <w:vAlign w:val="center"/>
          </w:tcPr>
          <w:p w14:paraId="0E281B0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志特新材</w:t>
            </w:r>
          </w:p>
        </w:tc>
        <w:tc>
          <w:tcPr>
            <w:tcW w:w="750" w:type="pct"/>
            <w:tcBorders>
              <w:top w:val="single" w:sz="4" w:space="0" w:color="auto"/>
              <w:left w:val="single" w:sz="4" w:space="0" w:color="auto"/>
              <w:bottom w:val="single" w:sz="4" w:space="0" w:color="auto"/>
              <w:right w:val="single" w:sz="4" w:space="0" w:color="auto"/>
            </w:tcBorders>
            <w:vAlign w:val="center"/>
          </w:tcPr>
          <w:p w14:paraId="33A0A9AA"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8,900</w:t>
            </w:r>
          </w:p>
        </w:tc>
        <w:tc>
          <w:tcPr>
            <w:tcW w:w="750" w:type="pct"/>
            <w:tcBorders>
              <w:top w:val="single" w:sz="4" w:space="0" w:color="auto"/>
              <w:left w:val="single" w:sz="4" w:space="0" w:color="auto"/>
              <w:bottom w:val="single" w:sz="4" w:space="0" w:color="auto"/>
              <w:right w:val="single" w:sz="4" w:space="0" w:color="auto"/>
            </w:tcBorders>
            <w:vAlign w:val="center"/>
          </w:tcPr>
          <w:p w14:paraId="3599B05B"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349,592.00</w:t>
            </w:r>
          </w:p>
        </w:tc>
        <w:tc>
          <w:tcPr>
            <w:tcW w:w="750" w:type="pct"/>
            <w:tcBorders>
              <w:top w:val="single" w:sz="4" w:space="0" w:color="auto"/>
              <w:left w:val="single" w:sz="4" w:space="0" w:color="auto"/>
              <w:bottom w:val="single" w:sz="4" w:space="0" w:color="auto"/>
              <w:right w:val="single" w:sz="4" w:space="0" w:color="auto"/>
            </w:tcBorders>
            <w:vAlign w:val="center"/>
          </w:tcPr>
          <w:p w14:paraId="640F657A"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0.49</w:t>
            </w:r>
          </w:p>
        </w:tc>
      </w:tr>
      <w:tr w:rsidR="00D0305B" w14:paraId="29A973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B5E84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A9D080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688677</w:t>
            </w:r>
          </w:p>
        </w:tc>
        <w:tc>
          <w:tcPr>
            <w:tcW w:w="750" w:type="pct"/>
            <w:tcBorders>
              <w:top w:val="single" w:sz="4" w:space="0" w:color="auto"/>
              <w:left w:val="single" w:sz="4" w:space="0" w:color="auto"/>
              <w:bottom w:val="single" w:sz="4" w:space="0" w:color="auto"/>
              <w:right w:val="single" w:sz="4" w:space="0" w:color="auto"/>
            </w:tcBorders>
            <w:vAlign w:val="center"/>
          </w:tcPr>
          <w:p w14:paraId="154976F2"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海泰新光</w:t>
            </w:r>
          </w:p>
        </w:tc>
        <w:tc>
          <w:tcPr>
            <w:tcW w:w="750" w:type="pct"/>
            <w:tcBorders>
              <w:top w:val="single" w:sz="4" w:space="0" w:color="auto"/>
              <w:left w:val="single" w:sz="4" w:space="0" w:color="auto"/>
              <w:bottom w:val="single" w:sz="4" w:space="0" w:color="auto"/>
              <w:right w:val="single" w:sz="4" w:space="0" w:color="auto"/>
            </w:tcBorders>
            <w:vAlign w:val="center"/>
          </w:tcPr>
          <w:p w14:paraId="3E64CE32"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3,472</w:t>
            </w:r>
          </w:p>
        </w:tc>
        <w:tc>
          <w:tcPr>
            <w:tcW w:w="750" w:type="pct"/>
            <w:tcBorders>
              <w:top w:val="single" w:sz="4" w:space="0" w:color="auto"/>
              <w:left w:val="single" w:sz="4" w:space="0" w:color="auto"/>
              <w:bottom w:val="single" w:sz="4" w:space="0" w:color="auto"/>
              <w:right w:val="single" w:sz="4" w:space="0" w:color="auto"/>
            </w:tcBorders>
            <w:vAlign w:val="center"/>
          </w:tcPr>
          <w:p w14:paraId="3C473B6A"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349,560.96</w:t>
            </w:r>
          </w:p>
        </w:tc>
        <w:tc>
          <w:tcPr>
            <w:tcW w:w="750" w:type="pct"/>
            <w:tcBorders>
              <w:top w:val="single" w:sz="4" w:space="0" w:color="auto"/>
              <w:left w:val="single" w:sz="4" w:space="0" w:color="auto"/>
              <w:bottom w:val="single" w:sz="4" w:space="0" w:color="auto"/>
              <w:right w:val="single" w:sz="4" w:space="0" w:color="auto"/>
            </w:tcBorders>
            <w:vAlign w:val="center"/>
          </w:tcPr>
          <w:p w14:paraId="13BF36E4"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0.49</w:t>
            </w:r>
          </w:p>
        </w:tc>
      </w:tr>
      <w:tr w:rsidR="00D0305B" w14:paraId="29F7AC7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B0FDEA"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509DB90"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300837</w:t>
            </w:r>
          </w:p>
        </w:tc>
        <w:tc>
          <w:tcPr>
            <w:tcW w:w="750" w:type="pct"/>
            <w:tcBorders>
              <w:top w:val="single" w:sz="4" w:space="0" w:color="auto"/>
              <w:left w:val="single" w:sz="4" w:space="0" w:color="auto"/>
              <w:bottom w:val="single" w:sz="4" w:space="0" w:color="auto"/>
              <w:right w:val="single" w:sz="4" w:space="0" w:color="auto"/>
            </w:tcBorders>
            <w:vAlign w:val="center"/>
          </w:tcPr>
          <w:p w14:paraId="16391030"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浙矿股份</w:t>
            </w:r>
          </w:p>
        </w:tc>
        <w:tc>
          <w:tcPr>
            <w:tcW w:w="750" w:type="pct"/>
            <w:tcBorders>
              <w:top w:val="single" w:sz="4" w:space="0" w:color="auto"/>
              <w:left w:val="single" w:sz="4" w:space="0" w:color="auto"/>
              <w:bottom w:val="single" w:sz="4" w:space="0" w:color="auto"/>
              <w:right w:val="single" w:sz="4" w:space="0" w:color="auto"/>
            </w:tcBorders>
            <w:vAlign w:val="center"/>
          </w:tcPr>
          <w:p w14:paraId="262EB21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7,300</w:t>
            </w:r>
          </w:p>
        </w:tc>
        <w:tc>
          <w:tcPr>
            <w:tcW w:w="750" w:type="pct"/>
            <w:tcBorders>
              <w:top w:val="single" w:sz="4" w:space="0" w:color="auto"/>
              <w:left w:val="single" w:sz="4" w:space="0" w:color="auto"/>
              <w:bottom w:val="single" w:sz="4" w:space="0" w:color="auto"/>
              <w:right w:val="single" w:sz="4" w:space="0" w:color="auto"/>
            </w:tcBorders>
            <w:vAlign w:val="center"/>
          </w:tcPr>
          <w:p w14:paraId="68720B98"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340,180.00</w:t>
            </w:r>
          </w:p>
        </w:tc>
        <w:tc>
          <w:tcPr>
            <w:tcW w:w="750" w:type="pct"/>
            <w:tcBorders>
              <w:top w:val="single" w:sz="4" w:space="0" w:color="auto"/>
              <w:left w:val="single" w:sz="4" w:space="0" w:color="auto"/>
              <w:bottom w:val="single" w:sz="4" w:space="0" w:color="auto"/>
              <w:right w:val="single" w:sz="4" w:space="0" w:color="auto"/>
            </w:tcBorders>
            <w:vAlign w:val="center"/>
          </w:tcPr>
          <w:p w14:paraId="7A33A2C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0.47</w:t>
            </w:r>
          </w:p>
        </w:tc>
      </w:tr>
      <w:tr w:rsidR="00D0305B" w14:paraId="30FFE6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A02FD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5591AF0"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600011</w:t>
            </w:r>
          </w:p>
        </w:tc>
        <w:tc>
          <w:tcPr>
            <w:tcW w:w="750" w:type="pct"/>
            <w:tcBorders>
              <w:top w:val="single" w:sz="4" w:space="0" w:color="auto"/>
              <w:left w:val="single" w:sz="4" w:space="0" w:color="auto"/>
              <w:bottom w:val="single" w:sz="4" w:space="0" w:color="auto"/>
              <w:right w:val="single" w:sz="4" w:space="0" w:color="auto"/>
            </w:tcBorders>
            <w:vAlign w:val="center"/>
          </w:tcPr>
          <w:p w14:paraId="666B2102"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华能国际</w:t>
            </w:r>
          </w:p>
        </w:tc>
        <w:tc>
          <w:tcPr>
            <w:tcW w:w="750" w:type="pct"/>
            <w:tcBorders>
              <w:top w:val="single" w:sz="4" w:space="0" w:color="auto"/>
              <w:left w:val="single" w:sz="4" w:space="0" w:color="auto"/>
              <w:bottom w:val="single" w:sz="4" w:space="0" w:color="auto"/>
              <w:right w:val="single" w:sz="4" w:space="0" w:color="auto"/>
            </w:tcBorders>
            <w:vAlign w:val="center"/>
          </w:tcPr>
          <w:p w14:paraId="36DE2FEE"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38,800</w:t>
            </w:r>
          </w:p>
        </w:tc>
        <w:tc>
          <w:tcPr>
            <w:tcW w:w="750" w:type="pct"/>
            <w:tcBorders>
              <w:top w:val="single" w:sz="4" w:space="0" w:color="auto"/>
              <w:left w:val="single" w:sz="4" w:space="0" w:color="auto"/>
              <w:bottom w:val="single" w:sz="4" w:space="0" w:color="auto"/>
              <w:right w:val="single" w:sz="4" w:space="0" w:color="auto"/>
            </w:tcBorders>
            <w:vAlign w:val="center"/>
          </w:tcPr>
          <w:p w14:paraId="04E18E03"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332,516.00</w:t>
            </w:r>
          </w:p>
        </w:tc>
        <w:tc>
          <w:tcPr>
            <w:tcW w:w="750" w:type="pct"/>
            <w:tcBorders>
              <w:top w:val="single" w:sz="4" w:space="0" w:color="auto"/>
              <w:left w:val="single" w:sz="4" w:space="0" w:color="auto"/>
              <w:bottom w:val="single" w:sz="4" w:space="0" w:color="auto"/>
              <w:right w:val="single" w:sz="4" w:space="0" w:color="auto"/>
            </w:tcBorders>
            <w:vAlign w:val="center"/>
          </w:tcPr>
          <w:p w14:paraId="5C11C6AE"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0.46</w:t>
            </w:r>
          </w:p>
        </w:tc>
      </w:tr>
      <w:tr w:rsidR="00D0305B" w14:paraId="494B82C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497EF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72987DC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603995</w:t>
            </w:r>
          </w:p>
        </w:tc>
        <w:tc>
          <w:tcPr>
            <w:tcW w:w="750" w:type="pct"/>
            <w:tcBorders>
              <w:top w:val="single" w:sz="4" w:space="0" w:color="auto"/>
              <w:left w:val="single" w:sz="4" w:space="0" w:color="auto"/>
              <w:bottom w:val="single" w:sz="4" w:space="0" w:color="auto"/>
              <w:right w:val="single" w:sz="4" w:space="0" w:color="auto"/>
            </w:tcBorders>
            <w:vAlign w:val="center"/>
          </w:tcPr>
          <w:p w14:paraId="5F1F2AE4"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甬金股份</w:t>
            </w:r>
          </w:p>
        </w:tc>
        <w:tc>
          <w:tcPr>
            <w:tcW w:w="750" w:type="pct"/>
            <w:tcBorders>
              <w:top w:val="single" w:sz="4" w:space="0" w:color="auto"/>
              <w:left w:val="single" w:sz="4" w:space="0" w:color="auto"/>
              <w:bottom w:val="single" w:sz="4" w:space="0" w:color="auto"/>
              <w:right w:val="single" w:sz="4" w:space="0" w:color="auto"/>
            </w:tcBorders>
            <w:vAlign w:val="center"/>
          </w:tcPr>
          <w:p w14:paraId="49BD4BC3"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10,900</w:t>
            </w:r>
          </w:p>
        </w:tc>
        <w:tc>
          <w:tcPr>
            <w:tcW w:w="750" w:type="pct"/>
            <w:tcBorders>
              <w:top w:val="single" w:sz="4" w:space="0" w:color="auto"/>
              <w:left w:val="single" w:sz="4" w:space="0" w:color="auto"/>
              <w:bottom w:val="single" w:sz="4" w:space="0" w:color="auto"/>
              <w:right w:val="single" w:sz="4" w:space="0" w:color="auto"/>
            </w:tcBorders>
            <w:vAlign w:val="center"/>
          </w:tcPr>
          <w:p w14:paraId="7E1056FF"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320,351.00</w:t>
            </w:r>
          </w:p>
        </w:tc>
        <w:tc>
          <w:tcPr>
            <w:tcW w:w="750" w:type="pct"/>
            <w:tcBorders>
              <w:top w:val="single" w:sz="4" w:space="0" w:color="auto"/>
              <w:left w:val="single" w:sz="4" w:space="0" w:color="auto"/>
              <w:bottom w:val="single" w:sz="4" w:space="0" w:color="auto"/>
              <w:right w:val="single" w:sz="4" w:space="0" w:color="auto"/>
            </w:tcBorders>
            <w:vAlign w:val="center"/>
          </w:tcPr>
          <w:p w14:paraId="53E668B3"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0.45</w:t>
            </w:r>
          </w:p>
        </w:tc>
      </w:tr>
    </w:tbl>
    <w:p w14:paraId="70E5E24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8"/>
        <w:gridCol w:w="3025"/>
        <w:gridCol w:w="3024"/>
        <w:gridCol w:w="1613"/>
      </w:tblGrid>
      <w:tr w:rsidR="00D0305B" w14:paraId="32DBBE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E2624D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86039B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E93647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77813503"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0305B" w14:paraId="107CE68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38A0A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E77171C"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59BE3FBF"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25,494,645.15</w:t>
            </w:r>
          </w:p>
        </w:tc>
        <w:tc>
          <w:tcPr>
            <w:tcW w:w="400" w:type="pct"/>
            <w:tcBorders>
              <w:top w:val="single" w:sz="4" w:space="0" w:color="auto"/>
              <w:left w:val="single" w:sz="4" w:space="0" w:color="auto"/>
              <w:bottom w:val="single" w:sz="4" w:space="0" w:color="auto"/>
              <w:right w:val="single" w:sz="4" w:space="0" w:color="auto"/>
            </w:tcBorders>
            <w:vAlign w:val="center"/>
          </w:tcPr>
          <w:p w14:paraId="72A0738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35.59</w:t>
            </w:r>
          </w:p>
        </w:tc>
      </w:tr>
      <w:tr w:rsidR="00D0305B" w14:paraId="5763715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A46C7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8E2A7AB"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4A46FDB3"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07F86CF"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231DEB9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FEFA2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CCFA02D"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4440E1C6"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20,716,479.46</w:t>
            </w:r>
          </w:p>
        </w:tc>
        <w:tc>
          <w:tcPr>
            <w:tcW w:w="400" w:type="pct"/>
            <w:tcBorders>
              <w:top w:val="single" w:sz="4" w:space="0" w:color="auto"/>
              <w:left w:val="single" w:sz="4" w:space="0" w:color="auto"/>
              <w:bottom w:val="single" w:sz="4" w:space="0" w:color="auto"/>
              <w:right w:val="single" w:sz="4" w:space="0" w:color="auto"/>
            </w:tcBorders>
            <w:vAlign w:val="center"/>
          </w:tcPr>
          <w:p w14:paraId="0822337D"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28.92</w:t>
            </w:r>
          </w:p>
        </w:tc>
      </w:tr>
      <w:tr w:rsidR="00D0305B" w14:paraId="653B7E1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E508D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6918815"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781E7540"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20,716,479.46</w:t>
            </w:r>
          </w:p>
        </w:tc>
        <w:tc>
          <w:tcPr>
            <w:tcW w:w="400" w:type="pct"/>
            <w:tcBorders>
              <w:top w:val="single" w:sz="4" w:space="0" w:color="auto"/>
              <w:left w:val="single" w:sz="4" w:space="0" w:color="auto"/>
              <w:bottom w:val="single" w:sz="4" w:space="0" w:color="auto"/>
              <w:right w:val="single" w:sz="4" w:space="0" w:color="auto"/>
            </w:tcBorders>
            <w:vAlign w:val="center"/>
          </w:tcPr>
          <w:p w14:paraId="43852078"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28.92</w:t>
            </w:r>
          </w:p>
        </w:tc>
      </w:tr>
      <w:tr w:rsidR="00D0305B" w14:paraId="0E6D81E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6265F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7EFAF57"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4126964A"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0606E20"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011450F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1DC202"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2A879F6"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145B96FC"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8BC0B90"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64F6A63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72BB8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638FEA22"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23160092"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E20A214"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73ECA5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537AB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E97F6E1"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36E6F04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13,685,835.10</w:t>
            </w:r>
          </w:p>
        </w:tc>
        <w:tc>
          <w:tcPr>
            <w:tcW w:w="400" w:type="pct"/>
            <w:tcBorders>
              <w:top w:val="single" w:sz="4" w:space="0" w:color="auto"/>
              <w:left w:val="single" w:sz="4" w:space="0" w:color="auto"/>
              <w:bottom w:val="single" w:sz="4" w:space="0" w:color="auto"/>
              <w:right w:val="single" w:sz="4" w:space="0" w:color="auto"/>
            </w:tcBorders>
            <w:vAlign w:val="center"/>
          </w:tcPr>
          <w:p w14:paraId="549BB146"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19.10</w:t>
            </w:r>
          </w:p>
        </w:tc>
      </w:tr>
      <w:tr w:rsidR="00D0305B" w14:paraId="43A9E5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865B5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56A04EC"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3F4BAB0D"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4EDD8FA"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2C29E32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C53C0D"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149DA321"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7E87EBBF"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F6BF88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53E84E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FC2B07"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2E0B9FE8"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0F02647F"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59,896,959.71</w:t>
            </w:r>
          </w:p>
        </w:tc>
        <w:tc>
          <w:tcPr>
            <w:tcW w:w="400" w:type="pct"/>
            <w:tcBorders>
              <w:top w:val="single" w:sz="4" w:space="0" w:color="auto"/>
              <w:left w:val="single" w:sz="4" w:space="0" w:color="auto"/>
              <w:bottom w:val="single" w:sz="4" w:space="0" w:color="auto"/>
              <w:right w:val="single" w:sz="4" w:space="0" w:color="auto"/>
            </w:tcBorders>
            <w:vAlign w:val="center"/>
          </w:tcPr>
          <w:p w14:paraId="69D60E1D"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83.61</w:t>
            </w:r>
          </w:p>
        </w:tc>
      </w:tr>
    </w:tbl>
    <w:p w14:paraId="1210725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2"/>
        <w:gridCol w:w="1625"/>
        <w:gridCol w:w="1625"/>
        <w:gridCol w:w="1626"/>
        <w:gridCol w:w="1626"/>
        <w:gridCol w:w="1626"/>
      </w:tblGrid>
      <w:tr w:rsidR="00D0305B" w14:paraId="7E3C32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BFEED9D"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DEE657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DB87B3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95C1B7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D9765D3"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42A1A3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0305B" w14:paraId="4CBE50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76C51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57491C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200212</w:t>
            </w:r>
          </w:p>
        </w:tc>
        <w:tc>
          <w:tcPr>
            <w:tcW w:w="750" w:type="pct"/>
            <w:tcBorders>
              <w:top w:val="single" w:sz="4" w:space="0" w:color="auto"/>
              <w:left w:val="single" w:sz="4" w:space="0" w:color="auto"/>
              <w:bottom w:val="single" w:sz="4" w:space="0" w:color="auto"/>
              <w:right w:val="single" w:sz="4" w:space="0" w:color="auto"/>
            </w:tcBorders>
            <w:vAlign w:val="center"/>
          </w:tcPr>
          <w:p w14:paraId="1409212A"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国开</w:t>
            </w: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3D49FFA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5AE0A63E"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10,401,832.88</w:t>
            </w:r>
          </w:p>
        </w:tc>
        <w:tc>
          <w:tcPr>
            <w:tcW w:w="750" w:type="pct"/>
            <w:tcBorders>
              <w:top w:val="single" w:sz="4" w:space="0" w:color="auto"/>
              <w:left w:val="single" w:sz="4" w:space="0" w:color="auto"/>
              <w:bottom w:val="single" w:sz="4" w:space="0" w:color="auto"/>
              <w:right w:val="single" w:sz="4" w:space="0" w:color="auto"/>
            </w:tcBorders>
            <w:vAlign w:val="center"/>
          </w:tcPr>
          <w:p w14:paraId="775681CB"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14.52</w:t>
            </w:r>
          </w:p>
        </w:tc>
      </w:tr>
      <w:tr w:rsidR="00D0305B" w14:paraId="0F49637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2F365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A45A92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018008</w:t>
            </w:r>
          </w:p>
        </w:tc>
        <w:tc>
          <w:tcPr>
            <w:tcW w:w="750" w:type="pct"/>
            <w:tcBorders>
              <w:top w:val="single" w:sz="4" w:space="0" w:color="auto"/>
              <w:left w:val="single" w:sz="4" w:space="0" w:color="auto"/>
              <w:bottom w:val="single" w:sz="4" w:space="0" w:color="auto"/>
              <w:right w:val="single" w:sz="4" w:space="0" w:color="auto"/>
            </w:tcBorders>
            <w:vAlign w:val="center"/>
          </w:tcPr>
          <w:p w14:paraId="5D7865A3"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国开</w:t>
            </w:r>
            <w:r>
              <w:rPr>
                <w:rFonts w:ascii="Times New Roman" w:hAnsi="Times New Roman"/>
                <w:color w:val="000000"/>
                <w:kern w:val="0"/>
                <w:sz w:val="25"/>
                <w:szCs w:val="24"/>
              </w:rPr>
              <w:t>1802</w:t>
            </w:r>
          </w:p>
        </w:tc>
        <w:tc>
          <w:tcPr>
            <w:tcW w:w="750" w:type="pct"/>
            <w:tcBorders>
              <w:top w:val="single" w:sz="4" w:space="0" w:color="auto"/>
              <w:left w:val="single" w:sz="4" w:space="0" w:color="auto"/>
              <w:bottom w:val="single" w:sz="4" w:space="0" w:color="auto"/>
              <w:right w:val="single" w:sz="4" w:space="0" w:color="auto"/>
            </w:tcBorders>
            <w:vAlign w:val="center"/>
          </w:tcPr>
          <w:p w14:paraId="6EDFF7E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2136430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10,314,646.58</w:t>
            </w:r>
          </w:p>
        </w:tc>
        <w:tc>
          <w:tcPr>
            <w:tcW w:w="750" w:type="pct"/>
            <w:tcBorders>
              <w:top w:val="single" w:sz="4" w:space="0" w:color="auto"/>
              <w:left w:val="single" w:sz="4" w:space="0" w:color="auto"/>
              <w:bottom w:val="single" w:sz="4" w:space="0" w:color="auto"/>
              <w:right w:val="single" w:sz="4" w:space="0" w:color="auto"/>
            </w:tcBorders>
            <w:vAlign w:val="center"/>
          </w:tcPr>
          <w:p w14:paraId="39B5D216"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14.40</w:t>
            </w:r>
          </w:p>
        </w:tc>
      </w:tr>
      <w:tr w:rsidR="00D0305B" w14:paraId="6ADEA0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79C56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3965C2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019688</w:t>
            </w:r>
          </w:p>
        </w:tc>
        <w:tc>
          <w:tcPr>
            <w:tcW w:w="750" w:type="pct"/>
            <w:tcBorders>
              <w:top w:val="single" w:sz="4" w:space="0" w:color="auto"/>
              <w:left w:val="single" w:sz="4" w:space="0" w:color="auto"/>
              <w:bottom w:val="single" w:sz="4" w:space="0" w:color="auto"/>
              <w:right w:val="single" w:sz="4" w:space="0" w:color="auto"/>
            </w:tcBorders>
            <w:vAlign w:val="center"/>
          </w:tcPr>
          <w:p w14:paraId="0A5A214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国债</w:t>
            </w: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3EBC7EB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6055C9A2"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10,047,290.41</w:t>
            </w:r>
          </w:p>
        </w:tc>
        <w:tc>
          <w:tcPr>
            <w:tcW w:w="750" w:type="pct"/>
            <w:tcBorders>
              <w:top w:val="single" w:sz="4" w:space="0" w:color="auto"/>
              <w:left w:val="single" w:sz="4" w:space="0" w:color="auto"/>
              <w:bottom w:val="single" w:sz="4" w:space="0" w:color="auto"/>
              <w:right w:val="single" w:sz="4" w:space="0" w:color="auto"/>
            </w:tcBorders>
            <w:vAlign w:val="center"/>
          </w:tcPr>
          <w:p w14:paraId="56252A8F"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14.03</w:t>
            </w:r>
          </w:p>
        </w:tc>
      </w:tr>
      <w:tr w:rsidR="00D0305B" w14:paraId="43C186C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C2B4BD"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D9C9D63"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019674</w:t>
            </w:r>
          </w:p>
        </w:tc>
        <w:tc>
          <w:tcPr>
            <w:tcW w:w="750" w:type="pct"/>
            <w:tcBorders>
              <w:top w:val="single" w:sz="4" w:space="0" w:color="auto"/>
              <w:left w:val="single" w:sz="4" w:space="0" w:color="auto"/>
              <w:bottom w:val="single" w:sz="4" w:space="0" w:color="auto"/>
              <w:right w:val="single" w:sz="4" w:space="0" w:color="auto"/>
            </w:tcBorders>
            <w:vAlign w:val="center"/>
          </w:tcPr>
          <w:p w14:paraId="3C4EBA0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国债</w:t>
            </w:r>
            <w:r>
              <w:rPr>
                <w:rFonts w:ascii="Times New Roman" w:hAnsi="Times New Roman"/>
                <w:color w:val="000000"/>
                <w:kern w:val="0"/>
                <w:sz w:val="25"/>
                <w:szCs w:val="24"/>
              </w:rPr>
              <w:t>09</w:t>
            </w:r>
          </w:p>
        </w:tc>
        <w:tc>
          <w:tcPr>
            <w:tcW w:w="750" w:type="pct"/>
            <w:tcBorders>
              <w:top w:val="single" w:sz="4" w:space="0" w:color="auto"/>
              <w:left w:val="single" w:sz="4" w:space="0" w:color="auto"/>
              <w:bottom w:val="single" w:sz="4" w:space="0" w:color="auto"/>
              <w:right w:val="single" w:sz="4" w:space="0" w:color="auto"/>
            </w:tcBorders>
            <w:vAlign w:val="center"/>
          </w:tcPr>
          <w:p w14:paraId="3342867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92,000</w:t>
            </w:r>
          </w:p>
        </w:tc>
        <w:tc>
          <w:tcPr>
            <w:tcW w:w="750" w:type="pct"/>
            <w:tcBorders>
              <w:top w:val="single" w:sz="4" w:space="0" w:color="auto"/>
              <w:left w:val="single" w:sz="4" w:space="0" w:color="auto"/>
              <w:bottom w:val="single" w:sz="4" w:space="0" w:color="auto"/>
              <w:right w:val="single" w:sz="4" w:space="0" w:color="auto"/>
            </w:tcBorders>
            <w:vAlign w:val="center"/>
          </w:tcPr>
          <w:p w14:paraId="1A2C5ADF"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9,366,744.33</w:t>
            </w:r>
          </w:p>
        </w:tc>
        <w:tc>
          <w:tcPr>
            <w:tcW w:w="750" w:type="pct"/>
            <w:tcBorders>
              <w:top w:val="single" w:sz="4" w:space="0" w:color="auto"/>
              <w:left w:val="single" w:sz="4" w:space="0" w:color="auto"/>
              <w:bottom w:val="single" w:sz="4" w:space="0" w:color="auto"/>
              <w:right w:val="single" w:sz="4" w:space="0" w:color="auto"/>
            </w:tcBorders>
            <w:vAlign w:val="center"/>
          </w:tcPr>
          <w:p w14:paraId="32A6CADE"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13.08</w:t>
            </w:r>
          </w:p>
        </w:tc>
      </w:tr>
      <w:tr w:rsidR="00D0305B" w14:paraId="0ABEBF8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5C8237"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1FC76D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019679</w:t>
            </w:r>
          </w:p>
        </w:tc>
        <w:tc>
          <w:tcPr>
            <w:tcW w:w="750" w:type="pct"/>
            <w:tcBorders>
              <w:top w:val="single" w:sz="4" w:space="0" w:color="auto"/>
              <w:left w:val="single" w:sz="4" w:space="0" w:color="auto"/>
              <w:bottom w:val="single" w:sz="4" w:space="0" w:color="auto"/>
              <w:right w:val="single" w:sz="4" w:space="0" w:color="auto"/>
            </w:tcBorders>
            <w:vAlign w:val="center"/>
          </w:tcPr>
          <w:p w14:paraId="2D67B72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国债</w:t>
            </w: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7EEA0A9D"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w:t>
            </w:r>
          </w:p>
        </w:tc>
        <w:tc>
          <w:tcPr>
            <w:tcW w:w="750" w:type="pct"/>
            <w:tcBorders>
              <w:top w:val="single" w:sz="4" w:space="0" w:color="auto"/>
              <w:left w:val="single" w:sz="4" w:space="0" w:color="auto"/>
              <w:bottom w:val="single" w:sz="4" w:space="0" w:color="auto"/>
              <w:right w:val="single" w:sz="4" w:space="0" w:color="auto"/>
            </w:tcBorders>
            <w:vAlign w:val="center"/>
          </w:tcPr>
          <w:p w14:paraId="73A612C2"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5,062,458.90</w:t>
            </w:r>
          </w:p>
        </w:tc>
        <w:tc>
          <w:tcPr>
            <w:tcW w:w="750" w:type="pct"/>
            <w:tcBorders>
              <w:top w:val="single" w:sz="4" w:space="0" w:color="auto"/>
              <w:left w:val="single" w:sz="4" w:space="0" w:color="auto"/>
              <w:bottom w:val="single" w:sz="4" w:space="0" w:color="auto"/>
              <w:right w:val="single" w:sz="4" w:space="0" w:color="auto"/>
            </w:tcBorders>
            <w:vAlign w:val="center"/>
          </w:tcPr>
          <w:p w14:paraId="452A81B4"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7.07</w:t>
            </w:r>
          </w:p>
        </w:tc>
      </w:tr>
    </w:tbl>
    <w:p w14:paraId="52C5FEB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10C9DBE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B05AE1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13F58B2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DE7C08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4ED24D8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4F4A38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14:paraId="6833804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14:paraId="1ACD5A8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317612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9.2 报告期末本基金投资的国债期货持仓和损益明细</w:t>
      </w:r>
    </w:p>
    <w:p w14:paraId="42F7337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07F3B3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4C0EBF8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CD5CFF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14:paraId="61982C9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25F3926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14:paraId="0C44EC7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2022年中国银行保险监督管理委员会分别公示银保监罚决字〔2022〕41号及50号行政处罚决定书，分别给予兴业银行股份有限公司150万元以及450万元人民币罚款的行政处罚。</w:t>
      </w:r>
    </w:p>
    <w:p w14:paraId="4B31342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本基金管理人对证券投资决策程序的说明如下：本基金管理人对证券投资特别是重仓证券的投资有严格的投资决策流程控制，对上述主体发行证券的投资决策程序符合公司投资制度的规定。</w:t>
      </w:r>
    </w:p>
    <w:p w14:paraId="39AB881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除上述主体外，本基金投资的前十名证券的其他发行主体本期没有出现被监管部门立案调查，或在报告编制日前一年内受到公开谴责、处罚的情形。</w:t>
      </w:r>
    </w:p>
    <w:p w14:paraId="04911A8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4DB4432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14:paraId="1781F8C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7"/>
        <w:gridCol w:w="4645"/>
        <w:gridCol w:w="2478"/>
      </w:tblGrid>
      <w:tr w:rsidR="00D0305B" w14:paraId="671373F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031C58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074BB9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594C819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D0305B" w14:paraId="47219A6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55825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B76C7E9"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36DFEA0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19,155.84</w:t>
            </w:r>
          </w:p>
        </w:tc>
      </w:tr>
      <w:tr w:rsidR="00D0305B" w14:paraId="50B6AD9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2C6FE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6CDC3A4"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6ED7326F"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18,983.55</w:t>
            </w:r>
          </w:p>
        </w:tc>
      </w:tr>
      <w:tr w:rsidR="00D0305B" w14:paraId="6358C6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2DFE4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E80B8C4"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2B3D224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3063C40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D7103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896A157"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25B874C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53A0AA2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6488B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1DF14C6"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162CE6D8"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147.88</w:t>
            </w:r>
          </w:p>
        </w:tc>
      </w:tr>
      <w:tr w:rsidR="00D0305B" w14:paraId="3383AB7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ABC6F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9FE0D03"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624606E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677FA01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554B5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C375BE3"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62CCD7CC"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D0305B" w14:paraId="41B7EC1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2EBE7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6A4EE3ED"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6F8AFA79"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38,287.27</w:t>
            </w:r>
          </w:p>
        </w:tc>
      </w:tr>
    </w:tbl>
    <w:p w14:paraId="47E8289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tbl>
      <w:tblPr>
        <w:tblW w:w="5000" w:type="pct"/>
        <w:tblCellMar>
          <w:left w:w="0" w:type="dxa"/>
          <w:right w:w="0" w:type="dxa"/>
        </w:tblCellMar>
        <w:tblLook w:val="0000" w:firstRow="0" w:lastRow="0" w:firstColumn="0" w:lastColumn="0" w:noHBand="0" w:noVBand="0"/>
      </w:tblPr>
      <w:tblGrid>
        <w:gridCol w:w="667"/>
        <w:gridCol w:w="2000"/>
        <w:gridCol w:w="2001"/>
        <w:gridCol w:w="2001"/>
        <w:gridCol w:w="2001"/>
      </w:tblGrid>
      <w:tr w:rsidR="00D0305B" w14:paraId="785A88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06AB9B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9649C6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3D0978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451B870"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E1D628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D0305B" w14:paraId="218019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240F02"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660972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113052</w:t>
            </w:r>
          </w:p>
        </w:tc>
        <w:tc>
          <w:tcPr>
            <w:tcW w:w="750" w:type="pct"/>
            <w:tcBorders>
              <w:top w:val="single" w:sz="4" w:space="0" w:color="auto"/>
              <w:left w:val="single" w:sz="4" w:space="0" w:color="auto"/>
              <w:bottom w:val="single" w:sz="4" w:space="0" w:color="auto"/>
              <w:right w:val="single" w:sz="4" w:space="0" w:color="auto"/>
            </w:tcBorders>
            <w:vAlign w:val="center"/>
          </w:tcPr>
          <w:p w14:paraId="3294257D"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兴业转债</w:t>
            </w:r>
          </w:p>
        </w:tc>
        <w:tc>
          <w:tcPr>
            <w:tcW w:w="750" w:type="pct"/>
            <w:tcBorders>
              <w:top w:val="single" w:sz="4" w:space="0" w:color="auto"/>
              <w:left w:val="single" w:sz="4" w:space="0" w:color="auto"/>
              <w:bottom w:val="single" w:sz="4" w:space="0" w:color="auto"/>
              <w:right w:val="single" w:sz="4" w:space="0" w:color="auto"/>
            </w:tcBorders>
            <w:vAlign w:val="center"/>
          </w:tcPr>
          <w:p w14:paraId="786EF038"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863,530.01</w:t>
            </w:r>
          </w:p>
        </w:tc>
        <w:tc>
          <w:tcPr>
            <w:tcW w:w="750" w:type="pct"/>
            <w:tcBorders>
              <w:top w:val="single" w:sz="4" w:space="0" w:color="auto"/>
              <w:left w:val="single" w:sz="4" w:space="0" w:color="auto"/>
              <w:bottom w:val="single" w:sz="4" w:space="0" w:color="auto"/>
              <w:right w:val="single" w:sz="4" w:space="0" w:color="auto"/>
            </w:tcBorders>
            <w:vAlign w:val="center"/>
          </w:tcPr>
          <w:p w14:paraId="53027CF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1.21</w:t>
            </w:r>
          </w:p>
        </w:tc>
      </w:tr>
      <w:tr w:rsidR="00D0305B" w14:paraId="4AB3CA1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563F3D"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9C4D27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113044</w:t>
            </w:r>
          </w:p>
        </w:tc>
        <w:tc>
          <w:tcPr>
            <w:tcW w:w="750" w:type="pct"/>
            <w:tcBorders>
              <w:top w:val="single" w:sz="4" w:space="0" w:color="auto"/>
              <w:left w:val="single" w:sz="4" w:space="0" w:color="auto"/>
              <w:bottom w:val="single" w:sz="4" w:space="0" w:color="auto"/>
              <w:right w:val="single" w:sz="4" w:space="0" w:color="auto"/>
            </w:tcBorders>
            <w:vAlign w:val="center"/>
          </w:tcPr>
          <w:p w14:paraId="3ECAE7C3"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大秦转债</w:t>
            </w:r>
          </w:p>
        </w:tc>
        <w:tc>
          <w:tcPr>
            <w:tcW w:w="750" w:type="pct"/>
            <w:tcBorders>
              <w:top w:val="single" w:sz="4" w:space="0" w:color="auto"/>
              <w:left w:val="single" w:sz="4" w:space="0" w:color="auto"/>
              <w:bottom w:val="single" w:sz="4" w:space="0" w:color="auto"/>
              <w:right w:val="single" w:sz="4" w:space="0" w:color="auto"/>
            </w:tcBorders>
            <w:vAlign w:val="center"/>
          </w:tcPr>
          <w:p w14:paraId="0929F71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852,521.18</w:t>
            </w:r>
          </w:p>
        </w:tc>
        <w:tc>
          <w:tcPr>
            <w:tcW w:w="750" w:type="pct"/>
            <w:tcBorders>
              <w:top w:val="single" w:sz="4" w:space="0" w:color="auto"/>
              <w:left w:val="single" w:sz="4" w:space="0" w:color="auto"/>
              <w:bottom w:val="single" w:sz="4" w:space="0" w:color="auto"/>
              <w:right w:val="single" w:sz="4" w:space="0" w:color="auto"/>
            </w:tcBorders>
            <w:vAlign w:val="center"/>
          </w:tcPr>
          <w:p w14:paraId="29F8D944"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1.19</w:t>
            </w:r>
          </w:p>
        </w:tc>
      </w:tr>
      <w:tr w:rsidR="00D0305B" w14:paraId="065970D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5D8E27"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623634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110068</w:t>
            </w:r>
          </w:p>
        </w:tc>
        <w:tc>
          <w:tcPr>
            <w:tcW w:w="750" w:type="pct"/>
            <w:tcBorders>
              <w:top w:val="single" w:sz="4" w:space="0" w:color="auto"/>
              <w:left w:val="single" w:sz="4" w:space="0" w:color="auto"/>
              <w:bottom w:val="single" w:sz="4" w:space="0" w:color="auto"/>
              <w:right w:val="single" w:sz="4" w:space="0" w:color="auto"/>
            </w:tcBorders>
            <w:vAlign w:val="center"/>
          </w:tcPr>
          <w:p w14:paraId="66A4976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龙净转债</w:t>
            </w:r>
          </w:p>
        </w:tc>
        <w:tc>
          <w:tcPr>
            <w:tcW w:w="750" w:type="pct"/>
            <w:tcBorders>
              <w:top w:val="single" w:sz="4" w:space="0" w:color="auto"/>
              <w:left w:val="single" w:sz="4" w:space="0" w:color="auto"/>
              <w:bottom w:val="single" w:sz="4" w:space="0" w:color="auto"/>
              <w:right w:val="single" w:sz="4" w:space="0" w:color="auto"/>
            </w:tcBorders>
            <w:vAlign w:val="center"/>
          </w:tcPr>
          <w:p w14:paraId="53510084"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731,272.18</w:t>
            </w:r>
          </w:p>
        </w:tc>
        <w:tc>
          <w:tcPr>
            <w:tcW w:w="750" w:type="pct"/>
            <w:tcBorders>
              <w:top w:val="single" w:sz="4" w:space="0" w:color="auto"/>
              <w:left w:val="single" w:sz="4" w:space="0" w:color="auto"/>
              <w:bottom w:val="single" w:sz="4" w:space="0" w:color="auto"/>
              <w:right w:val="single" w:sz="4" w:space="0" w:color="auto"/>
            </w:tcBorders>
            <w:vAlign w:val="center"/>
          </w:tcPr>
          <w:p w14:paraId="658DA756"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1.02</w:t>
            </w:r>
          </w:p>
        </w:tc>
      </w:tr>
      <w:tr w:rsidR="00D0305B" w14:paraId="7E84145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4B102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AB82B92"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132018</w:t>
            </w:r>
          </w:p>
        </w:tc>
        <w:tc>
          <w:tcPr>
            <w:tcW w:w="750" w:type="pct"/>
            <w:tcBorders>
              <w:top w:val="single" w:sz="4" w:space="0" w:color="auto"/>
              <w:left w:val="single" w:sz="4" w:space="0" w:color="auto"/>
              <w:bottom w:val="single" w:sz="4" w:space="0" w:color="auto"/>
              <w:right w:val="single" w:sz="4" w:space="0" w:color="auto"/>
            </w:tcBorders>
            <w:vAlign w:val="center"/>
          </w:tcPr>
          <w:p w14:paraId="166C53BD"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r>
              <w:rPr>
                <w:rFonts w:ascii="Times New Roman" w:hAnsi="Times New Roman"/>
                <w:color w:val="000000"/>
                <w:kern w:val="0"/>
                <w:sz w:val="25"/>
                <w:szCs w:val="24"/>
              </w:rPr>
              <w:t>三峡</w:t>
            </w:r>
            <w:r>
              <w:rPr>
                <w:rFonts w:ascii="Times New Roman" w:hAnsi="Times New Roman"/>
                <w:color w:val="000000"/>
                <w:kern w:val="0"/>
                <w:sz w:val="25"/>
                <w:szCs w:val="24"/>
              </w:rPr>
              <w:t>EB1</w:t>
            </w:r>
          </w:p>
        </w:tc>
        <w:tc>
          <w:tcPr>
            <w:tcW w:w="750" w:type="pct"/>
            <w:tcBorders>
              <w:top w:val="single" w:sz="4" w:space="0" w:color="auto"/>
              <w:left w:val="single" w:sz="4" w:space="0" w:color="auto"/>
              <w:bottom w:val="single" w:sz="4" w:space="0" w:color="auto"/>
              <w:right w:val="single" w:sz="4" w:space="0" w:color="auto"/>
            </w:tcBorders>
            <w:vAlign w:val="center"/>
          </w:tcPr>
          <w:p w14:paraId="54D52904"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546,284.93</w:t>
            </w:r>
          </w:p>
        </w:tc>
        <w:tc>
          <w:tcPr>
            <w:tcW w:w="750" w:type="pct"/>
            <w:tcBorders>
              <w:top w:val="single" w:sz="4" w:space="0" w:color="auto"/>
              <w:left w:val="single" w:sz="4" w:space="0" w:color="auto"/>
              <w:bottom w:val="single" w:sz="4" w:space="0" w:color="auto"/>
              <w:right w:val="single" w:sz="4" w:space="0" w:color="auto"/>
            </w:tcBorders>
            <w:vAlign w:val="center"/>
          </w:tcPr>
          <w:p w14:paraId="1093508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0.76</w:t>
            </w:r>
          </w:p>
        </w:tc>
      </w:tr>
      <w:tr w:rsidR="00D0305B" w14:paraId="5F0B07D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0E3A22"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8D8F80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113050</w:t>
            </w:r>
          </w:p>
        </w:tc>
        <w:tc>
          <w:tcPr>
            <w:tcW w:w="750" w:type="pct"/>
            <w:tcBorders>
              <w:top w:val="single" w:sz="4" w:space="0" w:color="auto"/>
              <w:left w:val="single" w:sz="4" w:space="0" w:color="auto"/>
              <w:bottom w:val="single" w:sz="4" w:space="0" w:color="auto"/>
              <w:right w:val="single" w:sz="4" w:space="0" w:color="auto"/>
            </w:tcBorders>
            <w:vAlign w:val="center"/>
          </w:tcPr>
          <w:p w14:paraId="76B0F26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南银转债</w:t>
            </w:r>
          </w:p>
        </w:tc>
        <w:tc>
          <w:tcPr>
            <w:tcW w:w="750" w:type="pct"/>
            <w:tcBorders>
              <w:top w:val="single" w:sz="4" w:space="0" w:color="auto"/>
              <w:left w:val="single" w:sz="4" w:space="0" w:color="auto"/>
              <w:bottom w:val="single" w:sz="4" w:space="0" w:color="auto"/>
              <w:right w:val="single" w:sz="4" w:space="0" w:color="auto"/>
            </w:tcBorders>
            <w:vAlign w:val="center"/>
          </w:tcPr>
          <w:p w14:paraId="7D51020E"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542,898.21</w:t>
            </w:r>
          </w:p>
        </w:tc>
        <w:tc>
          <w:tcPr>
            <w:tcW w:w="750" w:type="pct"/>
            <w:tcBorders>
              <w:top w:val="single" w:sz="4" w:space="0" w:color="auto"/>
              <w:left w:val="single" w:sz="4" w:space="0" w:color="auto"/>
              <w:bottom w:val="single" w:sz="4" w:space="0" w:color="auto"/>
              <w:right w:val="single" w:sz="4" w:space="0" w:color="auto"/>
            </w:tcBorders>
            <w:vAlign w:val="center"/>
          </w:tcPr>
          <w:p w14:paraId="27C8D7C9"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0.76</w:t>
            </w:r>
          </w:p>
        </w:tc>
      </w:tr>
      <w:tr w:rsidR="00D0305B" w14:paraId="28617F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39C54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452621A"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128108</w:t>
            </w:r>
          </w:p>
        </w:tc>
        <w:tc>
          <w:tcPr>
            <w:tcW w:w="750" w:type="pct"/>
            <w:tcBorders>
              <w:top w:val="single" w:sz="4" w:space="0" w:color="auto"/>
              <w:left w:val="single" w:sz="4" w:space="0" w:color="auto"/>
              <w:bottom w:val="single" w:sz="4" w:space="0" w:color="auto"/>
              <w:right w:val="single" w:sz="4" w:space="0" w:color="auto"/>
            </w:tcBorders>
            <w:vAlign w:val="center"/>
          </w:tcPr>
          <w:p w14:paraId="778A5E74"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蓝帆转债</w:t>
            </w:r>
          </w:p>
        </w:tc>
        <w:tc>
          <w:tcPr>
            <w:tcW w:w="750" w:type="pct"/>
            <w:tcBorders>
              <w:top w:val="single" w:sz="4" w:space="0" w:color="auto"/>
              <w:left w:val="single" w:sz="4" w:space="0" w:color="auto"/>
              <w:bottom w:val="single" w:sz="4" w:space="0" w:color="auto"/>
              <w:right w:val="single" w:sz="4" w:space="0" w:color="auto"/>
            </w:tcBorders>
            <w:vAlign w:val="center"/>
          </w:tcPr>
          <w:p w14:paraId="12566E4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535,511.41</w:t>
            </w:r>
          </w:p>
        </w:tc>
        <w:tc>
          <w:tcPr>
            <w:tcW w:w="750" w:type="pct"/>
            <w:tcBorders>
              <w:top w:val="single" w:sz="4" w:space="0" w:color="auto"/>
              <w:left w:val="single" w:sz="4" w:space="0" w:color="auto"/>
              <w:bottom w:val="single" w:sz="4" w:space="0" w:color="auto"/>
              <w:right w:val="single" w:sz="4" w:space="0" w:color="auto"/>
            </w:tcBorders>
            <w:vAlign w:val="center"/>
          </w:tcPr>
          <w:p w14:paraId="18D116B9"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0.75</w:t>
            </w:r>
          </w:p>
        </w:tc>
      </w:tr>
      <w:tr w:rsidR="00D0305B" w14:paraId="34E0260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7408A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17C925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113043</w:t>
            </w:r>
          </w:p>
        </w:tc>
        <w:tc>
          <w:tcPr>
            <w:tcW w:w="750" w:type="pct"/>
            <w:tcBorders>
              <w:top w:val="single" w:sz="4" w:space="0" w:color="auto"/>
              <w:left w:val="single" w:sz="4" w:space="0" w:color="auto"/>
              <w:bottom w:val="single" w:sz="4" w:space="0" w:color="auto"/>
              <w:right w:val="single" w:sz="4" w:space="0" w:color="auto"/>
            </w:tcBorders>
            <w:vAlign w:val="center"/>
          </w:tcPr>
          <w:p w14:paraId="0306B26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财通转债</w:t>
            </w:r>
          </w:p>
        </w:tc>
        <w:tc>
          <w:tcPr>
            <w:tcW w:w="750" w:type="pct"/>
            <w:tcBorders>
              <w:top w:val="single" w:sz="4" w:space="0" w:color="auto"/>
              <w:left w:val="single" w:sz="4" w:space="0" w:color="auto"/>
              <w:bottom w:val="single" w:sz="4" w:space="0" w:color="auto"/>
              <w:right w:val="single" w:sz="4" w:space="0" w:color="auto"/>
            </w:tcBorders>
            <w:vAlign w:val="center"/>
          </w:tcPr>
          <w:p w14:paraId="32F6E5FF"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529,804.29</w:t>
            </w:r>
          </w:p>
        </w:tc>
        <w:tc>
          <w:tcPr>
            <w:tcW w:w="750" w:type="pct"/>
            <w:tcBorders>
              <w:top w:val="single" w:sz="4" w:space="0" w:color="auto"/>
              <w:left w:val="single" w:sz="4" w:space="0" w:color="auto"/>
              <w:bottom w:val="single" w:sz="4" w:space="0" w:color="auto"/>
              <w:right w:val="single" w:sz="4" w:space="0" w:color="auto"/>
            </w:tcBorders>
            <w:vAlign w:val="center"/>
          </w:tcPr>
          <w:p w14:paraId="44E2338B"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0.74</w:t>
            </w:r>
          </w:p>
        </w:tc>
      </w:tr>
      <w:tr w:rsidR="00D0305B" w14:paraId="2A32FE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20904D"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A4C89B3"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113039</w:t>
            </w:r>
          </w:p>
        </w:tc>
        <w:tc>
          <w:tcPr>
            <w:tcW w:w="750" w:type="pct"/>
            <w:tcBorders>
              <w:top w:val="single" w:sz="4" w:space="0" w:color="auto"/>
              <w:left w:val="single" w:sz="4" w:space="0" w:color="auto"/>
              <w:bottom w:val="single" w:sz="4" w:space="0" w:color="auto"/>
              <w:right w:val="single" w:sz="4" w:space="0" w:color="auto"/>
            </w:tcBorders>
            <w:vAlign w:val="center"/>
          </w:tcPr>
          <w:p w14:paraId="654B8CEA"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嘉泽转债</w:t>
            </w:r>
          </w:p>
        </w:tc>
        <w:tc>
          <w:tcPr>
            <w:tcW w:w="750" w:type="pct"/>
            <w:tcBorders>
              <w:top w:val="single" w:sz="4" w:space="0" w:color="auto"/>
              <w:left w:val="single" w:sz="4" w:space="0" w:color="auto"/>
              <w:bottom w:val="single" w:sz="4" w:space="0" w:color="auto"/>
              <w:right w:val="single" w:sz="4" w:space="0" w:color="auto"/>
            </w:tcBorders>
            <w:vAlign w:val="center"/>
          </w:tcPr>
          <w:p w14:paraId="1E69D4A3"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523,644.56</w:t>
            </w:r>
          </w:p>
        </w:tc>
        <w:tc>
          <w:tcPr>
            <w:tcW w:w="750" w:type="pct"/>
            <w:tcBorders>
              <w:top w:val="single" w:sz="4" w:space="0" w:color="auto"/>
              <w:left w:val="single" w:sz="4" w:space="0" w:color="auto"/>
              <w:bottom w:val="single" w:sz="4" w:space="0" w:color="auto"/>
              <w:right w:val="single" w:sz="4" w:space="0" w:color="auto"/>
            </w:tcBorders>
            <w:vAlign w:val="center"/>
          </w:tcPr>
          <w:p w14:paraId="5D0F2CB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0.73</w:t>
            </w:r>
          </w:p>
        </w:tc>
      </w:tr>
      <w:tr w:rsidR="00D0305B" w14:paraId="21A91EB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4C4B27"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6EBC0C0"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110079</w:t>
            </w:r>
          </w:p>
        </w:tc>
        <w:tc>
          <w:tcPr>
            <w:tcW w:w="750" w:type="pct"/>
            <w:tcBorders>
              <w:top w:val="single" w:sz="4" w:space="0" w:color="auto"/>
              <w:left w:val="single" w:sz="4" w:space="0" w:color="auto"/>
              <w:bottom w:val="single" w:sz="4" w:space="0" w:color="auto"/>
              <w:right w:val="single" w:sz="4" w:space="0" w:color="auto"/>
            </w:tcBorders>
            <w:vAlign w:val="center"/>
          </w:tcPr>
          <w:p w14:paraId="7D4E7EA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杭银转债</w:t>
            </w:r>
          </w:p>
        </w:tc>
        <w:tc>
          <w:tcPr>
            <w:tcW w:w="750" w:type="pct"/>
            <w:tcBorders>
              <w:top w:val="single" w:sz="4" w:space="0" w:color="auto"/>
              <w:left w:val="single" w:sz="4" w:space="0" w:color="auto"/>
              <w:bottom w:val="single" w:sz="4" w:space="0" w:color="auto"/>
              <w:right w:val="single" w:sz="4" w:space="0" w:color="auto"/>
            </w:tcBorders>
            <w:vAlign w:val="center"/>
          </w:tcPr>
          <w:p w14:paraId="475EEB52"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482,030.75</w:t>
            </w:r>
          </w:p>
        </w:tc>
        <w:tc>
          <w:tcPr>
            <w:tcW w:w="750" w:type="pct"/>
            <w:tcBorders>
              <w:top w:val="single" w:sz="4" w:space="0" w:color="auto"/>
              <w:left w:val="single" w:sz="4" w:space="0" w:color="auto"/>
              <w:bottom w:val="single" w:sz="4" w:space="0" w:color="auto"/>
              <w:right w:val="single" w:sz="4" w:space="0" w:color="auto"/>
            </w:tcBorders>
            <w:vAlign w:val="center"/>
          </w:tcPr>
          <w:p w14:paraId="1F768A6C"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0.67</w:t>
            </w:r>
          </w:p>
        </w:tc>
      </w:tr>
      <w:tr w:rsidR="00D0305B" w14:paraId="18DC935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0BFEE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73F25D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127047</w:t>
            </w:r>
          </w:p>
        </w:tc>
        <w:tc>
          <w:tcPr>
            <w:tcW w:w="750" w:type="pct"/>
            <w:tcBorders>
              <w:top w:val="single" w:sz="4" w:space="0" w:color="auto"/>
              <w:left w:val="single" w:sz="4" w:space="0" w:color="auto"/>
              <w:bottom w:val="single" w:sz="4" w:space="0" w:color="auto"/>
              <w:right w:val="single" w:sz="4" w:space="0" w:color="auto"/>
            </w:tcBorders>
            <w:vAlign w:val="center"/>
          </w:tcPr>
          <w:p w14:paraId="6C9B3983"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帝欧转债</w:t>
            </w:r>
          </w:p>
        </w:tc>
        <w:tc>
          <w:tcPr>
            <w:tcW w:w="750" w:type="pct"/>
            <w:tcBorders>
              <w:top w:val="single" w:sz="4" w:space="0" w:color="auto"/>
              <w:left w:val="single" w:sz="4" w:space="0" w:color="auto"/>
              <w:bottom w:val="single" w:sz="4" w:space="0" w:color="auto"/>
              <w:right w:val="single" w:sz="4" w:space="0" w:color="auto"/>
            </w:tcBorders>
            <w:vAlign w:val="center"/>
          </w:tcPr>
          <w:p w14:paraId="19FA4E54"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462,398.75</w:t>
            </w:r>
          </w:p>
        </w:tc>
        <w:tc>
          <w:tcPr>
            <w:tcW w:w="750" w:type="pct"/>
            <w:tcBorders>
              <w:top w:val="single" w:sz="4" w:space="0" w:color="auto"/>
              <w:left w:val="single" w:sz="4" w:space="0" w:color="auto"/>
              <w:bottom w:val="single" w:sz="4" w:space="0" w:color="auto"/>
              <w:right w:val="single" w:sz="4" w:space="0" w:color="auto"/>
            </w:tcBorders>
            <w:vAlign w:val="center"/>
          </w:tcPr>
          <w:p w14:paraId="329BAA2F"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0.65</w:t>
            </w:r>
          </w:p>
        </w:tc>
      </w:tr>
      <w:tr w:rsidR="00D0305B" w14:paraId="02ADF6A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0DF26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6F1A6722"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128048</w:t>
            </w:r>
          </w:p>
        </w:tc>
        <w:tc>
          <w:tcPr>
            <w:tcW w:w="750" w:type="pct"/>
            <w:tcBorders>
              <w:top w:val="single" w:sz="4" w:space="0" w:color="auto"/>
              <w:left w:val="single" w:sz="4" w:space="0" w:color="auto"/>
              <w:bottom w:val="single" w:sz="4" w:space="0" w:color="auto"/>
              <w:right w:val="single" w:sz="4" w:space="0" w:color="auto"/>
            </w:tcBorders>
            <w:vAlign w:val="center"/>
          </w:tcPr>
          <w:p w14:paraId="62F3893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张行转债</w:t>
            </w:r>
          </w:p>
        </w:tc>
        <w:tc>
          <w:tcPr>
            <w:tcW w:w="750" w:type="pct"/>
            <w:tcBorders>
              <w:top w:val="single" w:sz="4" w:space="0" w:color="auto"/>
              <w:left w:val="single" w:sz="4" w:space="0" w:color="auto"/>
              <w:bottom w:val="single" w:sz="4" w:space="0" w:color="auto"/>
              <w:right w:val="single" w:sz="4" w:space="0" w:color="auto"/>
            </w:tcBorders>
            <w:vAlign w:val="center"/>
          </w:tcPr>
          <w:p w14:paraId="33E5268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391,680.54</w:t>
            </w:r>
          </w:p>
        </w:tc>
        <w:tc>
          <w:tcPr>
            <w:tcW w:w="750" w:type="pct"/>
            <w:tcBorders>
              <w:top w:val="single" w:sz="4" w:space="0" w:color="auto"/>
              <w:left w:val="single" w:sz="4" w:space="0" w:color="auto"/>
              <w:bottom w:val="single" w:sz="4" w:space="0" w:color="auto"/>
              <w:right w:val="single" w:sz="4" w:space="0" w:color="auto"/>
            </w:tcBorders>
            <w:vAlign w:val="center"/>
          </w:tcPr>
          <w:p w14:paraId="7902FCED"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0.55</w:t>
            </w:r>
          </w:p>
        </w:tc>
      </w:tr>
      <w:tr w:rsidR="00D0305B" w14:paraId="7F46CC0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DD17F2"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4AEC9B9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128121</w:t>
            </w:r>
          </w:p>
        </w:tc>
        <w:tc>
          <w:tcPr>
            <w:tcW w:w="750" w:type="pct"/>
            <w:tcBorders>
              <w:top w:val="single" w:sz="4" w:space="0" w:color="auto"/>
              <w:left w:val="single" w:sz="4" w:space="0" w:color="auto"/>
              <w:bottom w:val="single" w:sz="4" w:space="0" w:color="auto"/>
              <w:right w:val="single" w:sz="4" w:space="0" w:color="auto"/>
            </w:tcBorders>
            <w:vAlign w:val="center"/>
          </w:tcPr>
          <w:p w14:paraId="721A10A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宏川转债</w:t>
            </w:r>
          </w:p>
        </w:tc>
        <w:tc>
          <w:tcPr>
            <w:tcW w:w="750" w:type="pct"/>
            <w:tcBorders>
              <w:top w:val="single" w:sz="4" w:space="0" w:color="auto"/>
              <w:left w:val="single" w:sz="4" w:space="0" w:color="auto"/>
              <w:bottom w:val="single" w:sz="4" w:space="0" w:color="auto"/>
              <w:right w:val="single" w:sz="4" w:space="0" w:color="auto"/>
            </w:tcBorders>
            <w:vAlign w:val="center"/>
          </w:tcPr>
          <w:p w14:paraId="6CFDA8DD"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376,550.35</w:t>
            </w:r>
          </w:p>
        </w:tc>
        <w:tc>
          <w:tcPr>
            <w:tcW w:w="750" w:type="pct"/>
            <w:tcBorders>
              <w:top w:val="single" w:sz="4" w:space="0" w:color="auto"/>
              <w:left w:val="single" w:sz="4" w:space="0" w:color="auto"/>
              <w:bottom w:val="single" w:sz="4" w:space="0" w:color="auto"/>
              <w:right w:val="single" w:sz="4" w:space="0" w:color="auto"/>
            </w:tcBorders>
            <w:vAlign w:val="center"/>
          </w:tcPr>
          <w:p w14:paraId="5A440A2A"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0.53</w:t>
            </w:r>
          </w:p>
        </w:tc>
      </w:tr>
      <w:tr w:rsidR="00D0305B" w14:paraId="0F6427A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0E933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7C32A14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127065</w:t>
            </w:r>
          </w:p>
        </w:tc>
        <w:tc>
          <w:tcPr>
            <w:tcW w:w="750" w:type="pct"/>
            <w:tcBorders>
              <w:top w:val="single" w:sz="4" w:space="0" w:color="auto"/>
              <w:left w:val="single" w:sz="4" w:space="0" w:color="auto"/>
              <w:bottom w:val="single" w:sz="4" w:space="0" w:color="auto"/>
              <w:right w:val="single" w:sz="4" w:space="0" w:color="auto"/>
            </w:tcBorders>
            <w:vAlign w:val="center"/>
          </w:tcPr>
          <w:p w14:paraId="3D62547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瑞鹄转债</w:t>
            </w:r>
          </w:p>
        </w:tc>
        <w:tc>
          <w:tcPr>
            <w:tcW w:w="750" w:type="pct"/>
            <w:tcBorders>
              <w:top w:val="single" w:sz="4" w:space="0" w:color="auto"/>
              <w:left w:val="single" w:sz="4" w:space="0" w:color="auto"/>
              <w:bottom w:val="single" w:sz="4" w:space="0" w:color="auto"/>
              <w:right w:val="single" w:sz="4" w:space="0" w:color="auto"/>
            </w:tcBorders>
            <w:vAlign w:val="center"/>
          </w:tcPr>
          <w:p w14:paraId="004F6F9E"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362,515.99</w:t>
            </w:r>
          </w:p>
        </w:tc>
        <w:tc>
          <w:tcPr>
            <w:tcW w:w="750" w:type="pct"/>
            <w:tcBorders>
              <w:top w:val="single" w:sz="4" w:space="0" w:color="auto"/>
              <w:left w:val="single" w:sz="4" w:space="0" w:color="auto"/>
              <w:bottom w:val="single" w:sz="4" w:space="0" w:color="auto"/>
              <w:right w:val="single" w:sz="4" w:space="0" w:color="auto"/>
            </w:tcBorders>
            <w:vAlign w:val="center"/>
          </w:tcPr>
          <w:p w14:paraId="0279A2B8"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0.51</w:t>
            </w:r>
          </w:p>
        </w:tc>
      </w:tr>
      <w:tr w:rsidR="00D0305B" w14:paraId="21DC64C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0527D2A"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479874B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113055</w:t>
            </w:r>
          </w:p>
        </w:tc>
        <w:tc>
          <w:tcPr>
            <w:tcW w:w="750" w:type="pct"/>
            <w:tcBorders>
              <w:top w:val="single" w:sz="4" w:space="0" w:color="auto"/>
              <w:left w:val="single" w:sz="4" w:space="0" w:color="auto"/>
              <w:bottom w:val="single" w:sz="4" w:space="0" w:color="auto"/>
              <w:right w:val="single" w:sz="4" w:space="0" w:color="auto"/>
            </w:tcBorders>
            <w:vAlign w:val="center"/>
          </w:tcPr>
          <w:p w14:paraId="3EC3228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成银转债</w:t>
            </w:r>
          </w:p>
        </w:tc>
        <w:tc>
          <w:tcPr>
            <w:tcW w:w="750" w:type="pct"/>
            <w:tcBorders>
              <w:top w:val="single" w:sz="4" w:space="0" w:color="auto"/>
              <w:left w:val="single" w:sz="4" w:space="0" w:color="auto"/>
              <w:bottom w:val="single" w:sz="4" w:space="0" w:color="auto"/>
              <w:right w:val="single" w:sz="4" w:space="0" w:color="auto"/>
            </w:tcBorders>
            <w:vAlign w:val="center"/>
          </w:tcPr>
          <w:p w14:paraId="5F108F79"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354,496.27</w:t>
            </w:r>
          </w:p>
        </w:tc>
        <w:tc>
          <w:tcPr>
            <w:tcW w:w="750" w:type="pct"/>
            <w:tcBorders>
              <w:top w:val="single" w:sz="4" w:space="0" w:color="auto"/>
              <w:left w:val="single" w:sz="4" w:space="0" w:color="auto"/>
              <w:bottom w:val="single" w:sz="4" w:space="0" w:color="auto"/>
              <w:right w:val="single" w:sz="4" w:space="0" w:color="auto"/>
            </w:tcBorders>
            <w:vAlign w:val="center"/>
          </w:tcPr>
          <w:p w14:paraId="195D0D8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0.49</w:t>
            </w:r>
          </w:p>
        </w:tc>
      </w:tr>
      <w:tr w:rsidR="00D0305B" w14:paraId="655BAA9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123E3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9E9B8B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110048</w:t>
            </w:r>
          </w:p>
        </w:tc>
        <w:tc>
          <w:tcPr>
            <w:tcW w:w="750" w:type="pct"/>
            <w:tcBorders>
              <w:top w:val="single" w:sz="4" w:space="0" w:color="auto"/>
              <w:left w:val="single" w:sz="4" w:space="0" w:color="auto"/>
              <w:bottom w:val="single" w:sz="4" w:space="0" w:color="auto"/>
              <w:right w:val="single" w:sz="4" w:space="0" w:color="auto"/>
            </w:tcBorders>
            <w:vAlign w:val="center"/>
          </w:tcPr>
          <w:p w14:paraId="3660448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福能转债</w:t>
            </w:r>
          </w:p>
        </w:tc>
        <w:tc>
          <w:tcPr>
            <w:tcW w:w="750" w:type="pct"/>
            <w:tcBorders>
              <w:top w:val="single" w:sz="4" w:space="0" w:color="auto"/>
              <w:left w:val="single" w:sz="4" w:space="0" w:color="auto"/>
              <w:bottom w:val="single" w:sz="4" w:space="0" w:color="auto"/>
              <w:right w:val="single" w:sz="4" w:space="0" w:color="auto"/>
            </w:tcBorders>
            <w:vAlign w:val="center"/>
          </w:tcPr>
          <w:p w14:paraId="2631FF82"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344,610.52</w:t>
            </w:r>
          </w:p>
        </w:tc>
        <w:tc>
          <w:tcPr>
            <w:tcW w:w="750" w:type="pct"/>
            <w:tcBorders>
              <w:top w:val="single" w:sz="4" w:space="0" w:color="auto"/>
              <w:left w:val="single" w:sz="4" w:space="0" w:color="auto"/>
              <w:bottom w:val="single" w:sz="4" w:space="0" w:color="auto"/>
              <w:right w:val="single" w:sz="4" w:space="0" w:color="auto"/>
            </w:tcBorders>
            <w:vAlign w:val="center"/>
          </w:tcPr>
          <w:p w14:paraId="6723D97E"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0.48</w:t>
            </w:r>
          </w:p>
        </w:tc>
      </w:tr>
      <w:tr w:rsidR="00D0305B" w14:paraId="783B97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AD1BD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74118933"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123131</w:t>
            </w:r>
          </w:p>
        </w:tc>
        <w:tc>
          <w:tcPr>
            <w:tcW w:w="750" w:type="pct"/>
            <w:tcBorders>
              <w:top w:val="single" w:sz="4" w:space="0" w:color="auto"/>
              <w:left w:val="single" w:sz="4" w:space="0" w:color="auto"/>
              <w:bottom w:val="single" w:sz="4" w:space="0" w:color="auto"/>
              <w:right w:val="single" w:sz="4" w:space="0" w:color="auto"/>
            </w:tcBorders>
            <w:vAlign w:val="center"/>
          </w:tcPr>
          <w:p w14:paraId="5FC96D0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奥飞转债</w:t>
            </w:r>
          </w:p>
        </w:tc>
        <w:tc>
          <w:tcPr>
            <w:tcW w:w="750" w:type="pct"/>
            <w:tcBorders>
              <w:top w:val="single" w:sz="4" w:space="0" w:color="auto"/>
              <w:left w:val="single" w:sz="4" w:space="0" w:color="auto"/>
              <w:bottom w:val="single" w:sz="4" w:space="0" w:color="auto"/>
              <w:right w:val="single" w:sz="4" w:space="0" w:color="auto"/>
            </w:tcBorders>
            <w:vAlign w:val="center"/>
          </w:tcPr>
          <w:p w14:paraId="4D6876FD"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305,105.56</w:t>
            </w:r>
          </w:p>
        </w:tc>
        <w:tc>
          <w:tcPr>
            <w:tcW w:w="750" w:type="pct"/>
            <w:tcBorders>
              <w:top w:val="single" w:sz="4" w:space="0" w:color="auto"/>
              <w:left w:val="single" w:sz="4" w:space="0" w:color="auto"/>
              <w:bottom w:val="single" w:sz="4" w:space="0" w:color="auto"/>
              <w:right w:val="single" w:sz="4" w:space="0" w:color="auto"/>
            </w:tcBorders>
            <w:vAlign w:val="center"/>
          </w:tcPr>
          <w:p w14:paraId="3BA9B2C2"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0.43</w:t>
            </w:r>
          </w:p>
        </w:tc>
      </w:tr>
      <w:tr w:rsidR="00D0305B" w14:paraId="46AB07B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1F31C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44C6826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127056</w:t>
            </w:r>
          </w:p>
        </w:tc>
        <w:tc>
          <w:tcPr>
            <w:tcW w:w="750" w:type="pct"/>
            <w:tcBorders>
              <w:top w:val="single" w:sz="4" w:space="0" w:color="auto"/>
              <w:left w:val="single" w:sz="4" w:space="0" w:color="auto"/>
              <w:bottom w:val="single" w:sz="4" w:space="0" w:color="auto"/>
              <w:right w:val="single" w:sz="4" w:space="0" w:color="auto"/>
            </w:tcBorders>
            <w:vAlign w:val="center"/>
          </w:tcPr>
          <w:p w14:paraId="0E849537"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中特转债</w:t>
            </w:r>
          </w:p>
        </w:tc>
        <w:tc>
          <w:tcPr>
            <w:tcW w:w="750" w:type="pct"/>
            <w:tcBorders>
              <w:top w:val="single" w:sz="4" w:space="0" w:color="auto"/>
              <w:left w:val="single" w:sz="4" w:space="0" w:color="auto"/>
              <w:bottom w:val="single" w:sz="4" w:space="0" w:color="auto"/>
              <w:right w:val="single" w:sz="4" w:space="0" w:color="auto"/>
            </w:tcBorders>
            <w:vAlign w:val="center"/>
          </w:tcPr>
          <w:p w14:paraId="0F5D078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304,334.86</w:t>
            </w:r>
          </w:p>
        </w:tc>
        <w:tc>
          <w:tcPr>
            <w:tcW w:w="750" w:type="pct"/>
            <w:tcBorders>
              <w:top w:val="single" w:sz="4" w:space="0" w:color="auto"/>
              <w:left w:val="single" w:sz="4" w:space="0" w:color="auto"/>
              <w:bottom w:val="single" w:sz="4" w:space="0" w:color="auto"/>
              <w:right w:val="single" w:sz="4" w:space="0" w:color="auto"/>
            </w:tcBorders>
            <w:vAlign w:val="center"/>
          </w:tcPr>
          <w:p w14:paraId="7EF6370E"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0.42</w:t>
            </w:r>
          </w:p>
        </w:tc>
      </w:tr>
      <w:tr w:rsidR="00D0305B" w14:paraId="183E4C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53425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57257F37"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127058</w:t>
            </w:r>
          </w:p>
        </w:tc>
        <w:tc>
          <w:tcPr>
            <w:tcW w:w="750" w:type="pct"/>
            <w:tcBorders>
              <w:top w:val="single" w:sz="4" w:space="0" w:color="auto"/>
              <w:left w:val="single" w:sz="4" w:space="0" w:color="auto"/>
              <w:bottom w:val="single" w:sz="4" w:space="0" w:color="auto"/>
              <w:right w:val="single" w:sz="4" w:space="0" w:color="auto"/>
            </w:tcBorders>
            <w:vAlign w:val="center"/>
          </w:tcPr>
          <w:p w14:paraId="548E38D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科伦转债</w:t>
            </w:r>
          </w:p>
        </w:tc>
        <w:tc>
          <w:tcPr>
            <w:tcW w:w="750" w:type="pct"/>
            <w:tcBorders>
              <w:top w:val="single" w:sz="4" w:space="0" w:color="auto"/>
              <w:left w:val="single" w:sz="4" w:space="0" w:color="auto"/>
              <w:bottom w:val="single" w:sz="4" w:space="0" w:color="auto"/>
              <w:right w:val="single" w:sz="4" w:space="0" w:color="auto"/>
            </w:tcBorders>
            <w:vAlign w:val="center"/>
          </w:tcPr>
          <w:p w14:paraId="6F289F52"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293,894.84</w:t>
            </w:r>
          </w:p>
        </w:tc>
        <w:tc>
          <w:tcPr>
            <w:tcW w:w="750" w:type="pct"/>
            <w:tcBorders>
              <w:top w:val="single" w:sz="4" w:space="0" w:color="auto"/>
              <w:left w:val="single" w:sz="4" w:space="0" w:color="auto"/>
              <w:bottom w:val="single" w:sz="4" w:space="0" w:color="auto"/>
              <w:right w:val="single" w:sz="4" w:space="0" w:color="auto"/>
            </w:tcBorders>
            <w:vAlign w:val="center"/>
          </w:tcPr>
          <w:p w14:paraId="0475049A"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0.41</w:t>
            </w:r>
          </w:p>
        </w:tc>
      </w:tr>
      <w:tr w:rsidR="00D0305B" w14:paraId="27C5B90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09D26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78DA3FBD"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113033</w:t>
            </w:r>
          </w:p>
        </w:tc>
        <w:tc>
          <w:tcPr>
            <w:tcW w:w="750" w:type="pct"/>
            <w:tcBorders>
              <w:top w:val="single" w:sz="4" w:space="0" w:color="auto"/>
              <w:left w:val="single" w:sz="4" w:space="0" w:color="auto"/>
              <w:bottom w:val="single" w:sz="4" w:space="0" w:color="auto"/>
              <w:right w:val="single" w:sz="4" w:space="0" w:color="auto"/>
            </w:tcBorders>
            <w:vAlign w:val="center"/>
          </w:tcPr>
          <w:p w14:paraId="67CC32F0"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利群转债</w:t>
            </w:r>
          </w:p>
        </w:tc>
        <w:tc>
          <w:tcPr>
            <w:tcW w:w="750" w:type="pct"/>
            <w:tcBorders>
              <w:top w:val="single" w:sz="4" w:space="0" w:color="auto"/>
              <w:left w:val="single" w:sz="4" w:space="0" w:color="auto"/>
              <w:bottom w:val="single" w:sz="4" w:space="0" w:color="auto"/>
              <w:right w:val="single" w:sz="4" w:space="0" w:color="auto"/>
            </w:tcBorders>
            <w:vAlign w:val="center"/>
          </w:tcPr>
          <w:p w14:paraId="1FCB160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272,646.00</w:t>
            </w:r>
          </w:p>
        </w:tc>
        <w:tc>
          <w:tcPr>
            <w:tcW w:w="750" w:type="pct"/>
            <w:tcBorders>
              <w:top w:val="single" w:sz="4" w:space="0" w:color="auto"/>
              <w:left w:val="single" w:sz="4" w:space="0" w:color="auto"/>
              <w:bottom w:val="single" w:sz="4" w:space="0" w:color="auto"/>
              <w:right w:val="single" w:sz="4" w:space="0" w:color="auto"/>
            </w:tcBorders>
            <w:vAlign w:val="center"/>
          </w:tcPr>
          <w:p w14:paraId="4D17DEA8"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0.38</w:t>
            </w:r>
          </w:p>
        </w:tc>
      </w:tr>
      <w:tr w:rsidR="00D0305B" w14:paraId="1192B30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5763B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1E99ED4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127006</w:t>
            </w:r>
          </w:p>
        </w:tc>
        <w:tc>
          <w:tcPr>
            <w:tcW w:w="750" w:type="pct"/>
            <w:tcBorders>
              <w:top w:val="single" w:sz="4" w:space="0" w:color="auto"/>
              <w:left w:val="single" w:sz="4" w:space="0" w:color="auto"/>
              <w:bottom w:val="single" w:sz="4" w:space="0" w:color="auto"/>
              <w:right w:val="single" w:sz="4" w:space="0" w:color="auto"/>
            </w:tcBorders>
            <w:vAlign w:val="center"/>
          </w:tcPr>
          <w:p w14:paraId="122F94C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敖东转债</w:t>
            </w:r>
          </w:p>
        </w:tc>
        <w:tc>
          <w:tcPr>
            <w:tcW w:w="750" w:type="pct"/>
            <w:tcBorders>
              <w:top w:val="single" w:sz="4" w:space="0" w:color="auto"/>
              <w:left w:val="single" w:sz="4" w:space="0" w:color="auto"/>
              <w:bottom w:val="single" w:sz="4" w:space="0" w:color="auto"/>
              <w:right w:val="single" w:sz="4" w:space="0" w:color="auto"/>
            </w:tcBorders>
            <w:vAlign w:val="center"/>
          </w:tcPr>
          <w:p w14:paraId="466C7389"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227,873.25</w:t>
            </w:r>
          </w:p>
        </w:tc>
        <w:tc>
          <w:tcPr>
            <w:tcW w:w="750" w:type="pct"/>
            <w:tcBorders>
              <w:top w:val="single" w:sz="4" w:space="0" w:color="auto"/>
              <w:left w:val="single" w:sz="4" w:space="0" w:color="auto"/>
              <w:bottom w:val="single" w:sz="4" w:space="0" w:color="auto"/>
              <w:right w:val="single" w:sz="4" w:space="0" w:color="auto"/>
            </w:tcBorders>
            <w:vAlign w:val="center"/>
          </w:tcPr>
          <w:p w14:paraId="49991A4C"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0.32</w:t>
            </w:r>
          </w:p>
        </w:tc>
      </w:tr>
      <w:tr w:rsidR="00D0305B" w14:paraId="7056A1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EB9A3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40890FE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111005</w:t>
            </w:r>
          </w:p>
        </w:tc>
        <w:tc>
          <w:tcPr>
            <w:tcW w:w="750" w:type="pct"/>
            <w:tcBorders>
              <w:top w:val="single" w:sz="4" w:space="0" w:color="auto"/>
              <w:left w:val="single" w:sz="4" w:space="0" w:color="auto"/>
              <w:bottom w:val="single" w:sz="4" w:space="0" w:color="auto"/>
              <w:right w:val="single" w:sz="4" w:space="0" w:color="auto"/>
            </w:tcBorders>
            <w:vAlign w:val="center"/>
          </w:tcPr>
          <w:p w14:paraId="65348A94"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富春转债</w:t>
            </w:r>
          </w:p>
        </w:tc>
        <w:tc>
          <w:tcPr>
            <w:tcW w:w="750" w:type="pct"/>
            <w:tcBorders>
              <w:top w:val="single" w:sz="4" w:space="0" w:color="auto"/>
              <w:left w:val="single" w:sz="4" w:space="0" w:color="auto"/>
              <w:bottom w:val="single" w:sz="4" w:space="0" w:color="auto"/>
              <w:right w:val="single" w:sz="4" w:space="0" w:color="auto"/>
            </w:tcBorders>
            <w:vAlign w:val="center"/>
          </w:tcPr>
          <w:p w14:paraId="2BB5324C"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227,253.44</w:t>
            </w:r>
          </w:p>
        </w:tc>
        <w:tc>
          <w:tcPr>
            <w:tcW w:w="750" w:type="pct"/>
            <w:tcBorders>
              <w:top w:val="single" w:sz="4" w:space="0" w:color="auto"/>
              <w:left w:val="single" w:sz="4" w:space="0" w:color="auto"/>
              <w:bottom w:val="single" w:sz="4" w:space="0" w:color="auto"/>
              <w:right w:val="single" w:sz="4" w:space="0" w:color="auto"/>
            </w:tcBorders>
            <w:vAlign w:val="center"/>
          </w:tcPr>
          <w:p w14:paraId="615761FA"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0.32</w:t>
            </w:r>
          </w:p>
        </w:tc>
      </w:tr>
      <w:tr w:rsidR="00D0305B" w14:paraId="0C0FD77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8D7B2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3CBA3A0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113654</w:t>
            </w:r>
          </w:p>
        </w:tc>
        <w:tc>
          <w:tcPr>
            <w:tcW w:w="750" w:type="pct"/>
            <w:tcBorders>
              <w:top w:val="single" w:sz="4" w:space="0" w:color="auto"/>
              <w:left w:val="single" w:sz="4" w:space="0" w:color="auto"/>
              <w:bottom w:val="single" w:sz="4" w:space="0" w:color="auto"/>
              <w:right w:val="single" w:sz="4" w:space="0" w:color="auto"/>
            </w:tcBorders>
            <w:vAlign w:val="center"/>
          </w:tcPr>
          <w:p w14:paraId="4F519EA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永</w:t>
            </w:r>
            <w:r>
              <w:rPr>
                <w:rFonts w:ascii="Times New Roman" w:hAnsi="Times New Roman"/>
                <w:color w:val="000000"/>
                <w:kern w:val="0"/>
                <w:sz w:val="25"/>
                <w:szCs w:val="24"/>
              </w:rPr>
              <w:t>02</w:t>
            </w:r>
            <w:r>
              <w:rPr>
                <w:rFonts w:ascii="Times New Roman" w:hAnsi="Times New Roman"/>
                <w:color w:val="000000"/>
                <w:kern w:val="0"/>
                <w:sz w:val="25"/>
                <w:szCs w:val="24"/>
              </w:rPr>
              <w:t>转债</w:t>
            </w:r>
          </w:p>
        </w:tc>
        <w:tc>
          <w:tcPr>
            <w:tcW w:w="750" w:type="pct"/>
            <w:tcBorders>
              <w:top w:val="single" w:sz="4" w:space="0" w:color="auto"/>
              <w:left w:val="single" w:sz="4" w:space="0" w:color="auto"/>
              <w:bottom w:val="single" w:sz="4" w:space="0" w:color="auto"/>
              <w:right w:val="single" w:sz="4" w:space="0" w:color="auto"/>
            </w:tcBorders>
            <w:vAlign w:val="center"/>
          </w:tcPr>
          <w:p w14:paraId="09401A4E"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225,340.05</w:t>
            </w:r>
          </w:p>
        </w:tc>
        <w:tc>
          <w:tcPr>
            <w:tcW w:w="750" w:type="pct"/>
            <w:tcBorders>
              <w:top w:val="single" w:sz="4" w:space="0" w:color="auto"/>
              <w:left w:val="single" w:sz="4" w:space="0" w:color="auto"/>
              <w:bottom w:val="single" w:sz="4" w:space="0" w:color="auto"/>
              <w:right w:val="single" w:sz="4" w:space="0" w:color="auto"/>
            </w:tcBorders>
            <w:vAlign w:val="center"/>
          </w:tcPr>
          <w:p w14:paraId="7B3DC733"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0.31</w:t>
            </w:r>
          </w:p>
        </w:tc>
      </w:tr>
      <w:tr w:rsidR="00D0305B" w14:paraId="5E73725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C9549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04BEB0F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132020</w:t>
            </w:r>
          </w:p>
        </w:tc>
        <w:tc>
          <w:tcPr>
            <w:tcW w:w="750" w:type="pct"/>
            <w:tcBorders>
              <w:top w:val="single" w:sz="4" w:space="0" w:color="auto"/>
              <w:left w:val="single" w:sz="4" w:space="0" w:color="auto"/>
              <w:bottom w:val="single" w:sz="4" w:space="0" w:color="auto"/>
              <w:right w:val="single" w:sz="4" w:space="0" w:color="auto"/>
            </w:tcBorders>
            <w:vAlign w:val="center"/>
          </w:tcPr>
          <w:p w14:paraId="2298EA73"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蓝星</w:t>
            </w:r>
            <w:r>
              <w:rPr>
                <w:rFonts w:ascii="Times New Roman" w:hAnsi="Times New Roman"/>
                <w:color w:val="000000"/>
                <w:kern w:val="0"/>
                <w:sz w:val="25"/>
                <w:szCs w:val="24"/>
              </w:rPr>
              <w:t>EB</w:t>
            </w:r>
          </w:p>
        </w:tc>
        <w:tc>
          <w:tcPr>
            <w:tcW w:w="750" w:type="pct"/>
            <w:tcBorders>
              <w:top w:val="single" w:sz="4" w:space="0" w:color="auto"/>
              <w:left w:val="single" w:sz="4" w:space="0" w:color="auto"/>
              <w:bottom w:val="single" w:sz="4" w:space="0" w:color="auto"/>
              <w:right w:val="single" w:sz="4" w:space="0" w:color="auto"/>
            </w:tcBorders>
            <w:vAlign w:val="center"/>
          </w:tcPr>
          <w:p w14:paraId="5F670003"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216,073.62</w:t>
            </w:r>
          </w:p>
        </w:tc>
        <w:tc>
          <w:tcPr>
            <w:tcW w:w="750" w:type="pct"/>
            <w:tcBorders>
              <w:top w:val="single" w:sz="4" w:space="0" w:color="auto"/>
              <w:left w:val="single" w:sz="4" w:space="0" w:color="auto"/>
              <w:bottom w:val="single" w:sz="4" w:space="0" w:color="auto"/>
              <w:right w:val="single" w:sz="4" w:space="0" w:color="auto"/>
            </w:tcBorders>
            <w:vAlign w:val="center"/>
          </w:tcPr>
          <w:p w14:paraId="0D7862D0"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0.30</w:t>
            </w:r>
          </w:p>
        </w:tc>
      </w:tr>
      <w:tr w:rsidR="00D0305B" w14:paraId="4772EC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F771D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68D62774"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110045</w:t>
            </w:r>
          </w:p>
        </w:tc>
        <w:tc>
          <w:tcPr>
            <w:tcW w:w="750" w:type="pct"/>
            <w:tcBorders>
              <w:top w:val="single" w:sz="4" w:space="0" w:color="auto"/>
              <w:left w:val="single" w:sz="4" w:space="0" w:color="auto"/>
              <w:bottom w:val="single" w:sz="4" w:space="0" w:color="auto"/>
              <w:right w:val="single" w:sz="4" w:space="0" w:color="auto"/>
            </w:tcBorders>
            <w:vAlign w:val="center"/>
          </w:tcPr>
          <w:p w14:paraId="7AB486B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海澜转债</w:t>
            </w:r>
          </w:p>
        </w:tc>
        <w:tc>
          <w:tcPr>
            <w:tcW w:w="750" w:type="pct"/>
            <w:tcBorders>
              <w:top w:val="single" w:sz="4" w:space="0" w:color="auto"/>
              <w:left w:val="single" w:sz="4" w:space="0" w:color="auto"/>
              <w:bottom w:val="single" w:sz="4" w:space="0" w:color="auto"/>
              <w:right w:val="single" w:sz="4" w:space="0" w:color="auto"/>
            </w:tcBorders>
            <w:vAlign w:val="center"/>
          </w:tcPr>
          <w:p w14:paraId="7AA2460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214,793.77</w:t>
            </w:r>
          </w:p>
        </w:tc>
        <w:tc>
          <w:tcPr>
            <w:tcW w:w="750" w:type="pct"/>
            <w:tcBorders>
              <w:top w:val="single" w:sz="4" w:space="0" w:color="auto"/>
              <w:left w:val="single" w:sz="4" w:space="0" w:color="auto"/>
              <w:bottom w:val="single" w:sz="4" w:space="0" w:color="auto"/>
              <w:right w:val="single" w:sz="4" w:space="0" w:color="auto"/>
            </w:tcBorders>
            <w:vAlign w:val="center"/>
          </w:tcPr>
          <w:p w14:paraId="3E6518BD"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0.30</w:t>
            </w:r>
          </w:p>
        </w:tc>
      </w:tr>
      <w:tr w:rsidR="00D0305B" w14:paraId="36A168C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DFC6B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09D77A02"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128140</w:t>
            </w:r>
          </w:p>
        </w:tc>
        <w:tc>
          <w:tcPr>
            <w:tcW w:w="750" w:type="pct"/>
            <w:tcBorders>
              <w:top w:val="single" w:sz="4" w:space="0" w:color="auto"/>
              <w:left w:val="single" w:sz="4" w:space="0" w:color="auto"/>
              <w:bottom w:val="single" w:sz="4" w:space="0" w:color="auto"/>
              <w:right w:val="single" w:sz="4" w:space="0" w:color="auto"/>
            </w:tcBorders>
            <w:vAlign w:val="center"/>
          </w:tcPr>
          <w:p w14:paraId="2A70473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润建转债</w:t>
            </w:r>
          </w:p>
        </w:tc>
        <w:tc>
          <w:tcPr>
            <w:tcW w:w="750" w:type="pct"/>
            <w:tcBorders>
              <w:top w:val="single" w:sz="4" w:space="0" w:color="auto"/>
              <w:left w:val="single" w:sz="4" w:space="0" w:color="auto"/>
              <w:bottom w:val="single" w:sz="4" w:space="0" w:color="auto"/>
              <w:right w:val="single" w:sz="4" w:space="0" w:color="auto"/>
            </w:tcBorders>
            <w:vAlign w:val="center"/>
          </w:tcPr>
          <w:p w14:paraId="3067D993"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211,862.03</w:t>
            </w:r>
          </w:p>
        </w:tc>
        <w:tc>
          <w:tcPr>
            <w:tcW w:w="750" w:type="pct"/>
            <w:tcBorders>
              <w:top w:val="single" w:sz="4" w:space="0" w:color="auto"/>
              <w:left w:val="single" w:sz="4" w:space="0" w:color="auto"/>
              <w:bottom w:val="single" w:sz="4" w:space="0" w:color="auto"/>
              <w:right w:val="single" w:sz="4" w:space="0" w:color="auto"/>
            </w:tcBorders>
            <w:vAlign w:val="center"/>
          </w:tcPr>
          <w:p w14:paraId="1B12ADC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0.30</w:t>
            </w:r>
          </w:p>
        </w:tc>
      </w:tr>
      <w:tr w:rsidR="00D0305B" w14:paraId="43CAEE2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3EABE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2455D3E7"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113504</w:t>
            </w:r>
          </w:p>
        </w:tc>
        <w:tc>
          <w:tcPr>
            <w:tcW w:w="750" w:type="pct"/>
            <w:tcBorders>
              <w:top w:val="single" w:sz="4" w:space="0" w:color="auto"/>
              <w:left w:val="single" w:sz="4" w:space="0" w:color="auto"/>
              <w:bottom w:val="single" w:sz="4" w:space="0" w:color="auto"/>
              <w:right w:val="single" w:sz="4" w:space="0" w:color="auto"/>
            </w:tcBorders>
            <w:vAlign w:val="center"/>
          </w:tcPr>
          <w:p w14:paraId="0BAEF89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艾华转债</w:t>
            </w:r>
          </w:p>
        </w:tc>
        <w:tc>
          <w:tcPr>
            <w:tcW w:w="750" w:type="pct"/>
            <w:tcBorders>
              <w:top w:val="single" w:sz="4" w:space="0" w:color="auto"/>
              <w:left w:val="single" w:sz="4" w:space="0" w:color="auto"/>
              <w:bottom w:val="single" w:sz="4" w:space="0" w:color="auto"/>
              <w:right w:val="single" w:sz="4" w:space="0" w:color="auto"/>
            </w:tcBorders>
            <w:vAlign w:val="center"/>
          </w:tcPr>
          <w:p w14:paraId="5284ABF9"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189,241.48</w:t>
            </w:r>
          </w:p>
        </w:tc>
        <w:tc>
          <w:tcPr>
            <w:tcW w:w="750" w:type="pct"/>
            <w:tcBorders>
              <w:top w:val="single" w:sz="4" w:space="0" w:color="auto"/>
              <w:left w:val="single" w:sz="4" w:space="0" w:color="auto"/>
              <w:bottom w:val="single" w:sz="4" w:space="0" w:color="auto"/>
              <w:right w:val="single" w:sz="4" w:space="0" w:color="auto"/>
            </w:tcBorders>
            <w:vAlign w:val="center"/>
          </w:tcPr>
          <w:p w14:paraId="46C662D9"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0.26</w:t>
            </w:r>
          </w:p>
        </w:tc>
      </w:tr>
      <w:tr w:rsidR="00D0305B" w14:paraId="26B6DB4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204243"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14:paraId="7F9ADF3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110077</w:t>
            </w:r>
          </w:p>
        </w:tc>
        <w:tc>
          <w:tcPr>
            <w:tcW w:w="750" w:type="pct"/>
            <w:tcBorders>
              <w:top w:val="single" w:sz="4" w:space="0" w:color="auto"/>
              <w:left w:val="single" w:sz="4" w:space="0" w:color="auto"/>
              <w:bottom w:val="single" w:sz="4" w:space="0" w:color="auto"/>
              <w:right w:val="single" w:sz="4" w:space="0" w:color="auto"/>
            </w:tcBorders>
            <w:vAlign w:val="center"/>
          </w:tcPr>
          <w:p w14:paraId="73729A92"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洪城转债</w:t>
            </w:r>
          </w:p>
        </w:tc>
        <w:tc>
          <w:tcPr>
            <w:tcW w:w="750" w:type="pct"/>
            <w:tcBorders>
              <w:top w:val="single" w:sz="4" w:space="0" w:color="auto"/>
              <w:left w:val="single" w:sz="4" w:space="0" w:color="auto"/>
              <w:bottom w:val="single" w:sz="4" w:space="0" w:color="auto"/>
              <w:right w:val="single" w:sz="4" w:space="0" w:color="auto"/>
            </w:tcBorders>
            <w:vAlign w:val="center"/>
          </w:tcPr>
          <w:p w14:paraId="0EA0BF7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178,313.66</w:t>
            </w:r>
          </w:p>
        </w:tc>
        <w:tc>
          <w:tcPr>
            <w:tcW w:w="750" w:type="pct"/>
            <w:tcBorders>
              <w:top w:val="single" w:sz="4" w:space="0" w:color="auto"/>
              <w:left w:val="single" w:sz="4" w:space="0" w:color="auto"/>
              <w:bottom w:val="single" w:sz="4" w:space="0" w:color="auto"/>
              <w:right w:val="single" w:sz="4" w:space="0" w:color="auto"/>
            </w:tcBorders>
            <w:vAlign w:val="center"/>
          </w:tcPr>
          <w:p w14:paraId="47DDE569"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0.25</w:t>
            </w:r>
          </w:p>
        </w:tc>
      </w:tr>
      <w:tr w:rsidR="00D0305B" w14:paraId="713CA0B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07802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14:paraId="4ACCED1A"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123107</w:t>
            </w:r>
          </w:p>
        </w:tc>
        <w:tc>
          <w:tcPr>
            <w:tcW w:w="750" w:type="pct"/>
            <w:tcBorders>
              <w:top w:val="single" w:sz="4" w:space="0" w:color="auto"/>
              <w:left w:val="single" w:sz="4" w:space="0" w:color="auto"/>
              <w:bottom w:val="single" w:sz="4" w:space="0" w:color="auto"/>
              <w:right w:val="single" w:sz="4" w:space="0" w:color="auto"/>
            </w:tcBorders>
            <w:vAlign w:val="center"/>
          </w:tcPr>
          <w:p w14:paraId="32B0E57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温氏转债</w:t>
            </w:r>
          </w:p>
        </w:tc>
        <w:tc>
          <w:tcPr>
            <w:tcW w:w="750" w:type="pct"/>
            <w:tcBorders>
              <w:top w:val="single" w:sz="4" w:space="0" w:color="auto"/>
              <w:left w:val="single" w:sz="4" w:space="0" w:color="auto"/>
              <w:bottom w:val="single" w:sz="4" w:space="0" w:color="auto"/>
              <w:right w:val="single" w:sz="4" w:space="0" w:color="auto"/>
            </w:tcBorders>
            <w:vAlign w:val="center"/>
          </w:tcPr>
          <w:p w14:paraId="4760236E"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170,700.95</w:t>
            </w:r>
          </w:p>
        </w:tc>
        <w:tc>
          <w:tcPr>
            <w:tcW w:w="750" w:type="pct"/>
            <w:tcBorders>
              <w:top w:val="single" w:sz="4" w:space="0" w:color="auto"/>
              <w:left w:val="single" w:sz="4" w:space="0" w:color="auto"/>
              <w:bottom w:val="single" w:sz="4" w:space="0" w:color="auto"/>
              <w:right w:val="single" w:sz="4" w:space="0" w:color="auto"/>
            </w:tcBorders>
            <w:vAlign w:val="center"/>
          </w:tcPr>
          <w:p w14:paraId="4E3C0FF2"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0.24</w:t>
            </w:r>
          </w:p>
        </w:tc>
      </w:tr>
      <w:tr w:rsidR="00D0305B" w14:paraId="3C1367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EE523D"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14:paraId="7AD5CC3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110086</w:t>
            </w:r>
          </w:p>
        </w:tc>
        <w:tc>
          <w:tcPr>
            <w:tcW w:w="750" w:type="pct"/>
            <w:tcBorders>
              <w:top w:val="single" w:sz="4" w:space="0" w:color="auto"/>
              <w:left w:val="single" w:sz="4" w:space="0" w:color="auto"/>
              <w:bottom w:val="single" w:sz="4" w:space="0" w:color="auto"/>
              <w:right w:val="single" w:sz="4" w:space="0" w:color="auto"/>
            </w:tcBorders>
            <w:vAlign w:val="center"/>
          </w:tcPr>
          <w:p w14:paraId="7707726D"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精工转债</w:t>
            </w:r>
          </w:p>
        </w:tc>
        <w:tc>
          <w:tcPr>
            <w:tcW w:w="750" w:type="pct"/>
            <w:tcBorders>
              <w:top w:val="single" w:sz="4" w:space="0" w:color="auto"/>
              <w:left w:val="single" w:sz="4" w:space="0" w:color="auto"/>
              <w:bottom w:val="single" w:sz="4" w:space="0" w:color="auto"/>
              <w:right w:val="single" w:sz="4" w:space="0" w:color="auto"/>
            </w:tcBorders>
            <w:vAlign w:val="center"/>
          </w:tcPr>
          <w:p w14:paraId="73BDBEE6"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153,343.94</w:t>
            </w:r>
          </w:p>
        </w:tc>
        <w:tc>
          <w:tcPr>
            <w:tcW w:w="750" w:type="pct"/>
            <w:tcBorders>
              <w:top w:val="single" w:sz="4" w:space="0" w:color="auto"/>
              <w:left w:val="single" w:sz="4" w:space="0" w:color="auto"/>
              <w:bottom w:val="single" w:sz="4" w:space="0" w:color="auto"/>
              <w:right w:val="single" w:sz="4" w:space="0" w:color="auto"/>
            </w:tcBorders>
            <w:vAlign w:val="center"/>
          </w:tcPr>
          <w:p w14:paraId="51516EC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0.21</w:t>
            </w:r>
          </w:p>
        </w:tc>
      </w:tr>
      <w:tr w:rsidR="00D0305B" w14:paraId="7546E3B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66A9E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sz="4" w:space="0" w:color="auto"/>
              <w:left w:val="single" w:sz="4" w:space="0" w:color="auto"/>
              <w:bottom w:val="single" w:sz="4" w:space="0" w:color="auto"/>
              <w:right w:val="single" w:sz="4" w:space="0" w:color="auto"/>
            </w:tcBorders>
            <w:vAlign w:val="center"/>
          </w:tcPr>
          <w:p w14:paraId="309201BA"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118016</w:t>
            </w:r>
          </w:p>
        </w:tc>
        <w:tc>
          <w:tcPr>
            <w:tcW w:w="750" w:type="pct"/>
            <w:tcBorders>
              <w:top w:val="single" w:sz="4" w:space="0" w:color="auto"/>
              <w:left w:val="single" w:sz="4" w:space="0" w:color="auto"/>
              <w:bottom w:val="single" w:sz="4" w:space="0" w:color="auto"/>
              <w:right w:val="single" w:sz="4" w:space="0" w:color="auto"/>
            </w:tcBorders>
            <w:vAlign w:val="center"/>
          </w:tcPr>
          <w:p w14:paraId="6C59167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京源转债</w:t>
            </w:r>
          </w:p>
        </w:tc>
        <w:tc>
          <w:tcPr>
            <w:tcW w:w="750" w:type="pct"/>
            <w:tcBorders>
              <w:top w:val="single" w:sz="4" w:space="0" w:color="auto"/>
              <w:left w:val="single" w:sz="4" w:space="0" w:color="auto"/>
              <w:bottom w:val="single" w:sz="4" w:space="0" w:color="auto"/>
              <w:right w:val="single" w:sz="4" w:space="0" w:color="auto"/>
            </w:tcBorders>
            <w:vAlign w:val="center"/>
          </w:tcPr>
          <w:p w14:paraId="30C06BB0"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149,735.44</w:t>
            </w:r>
          </w:p>
        </w:tc>
        <w:tc>
          <w:tcPr>
            <w:tcW w:w="750" w:type="pct"/>
            <w:tcBorders>
              <w:top w:val="single" w:sz="4" w:space="0" w:color="auto"/>
              <w:left w:val="single" w:sz="4" w:space="0" w:color="auto"/>
              <w:bottom w:val="single" w:sz="4" w:space="0" w:color="auto"/>
              <w:right w:val="single" w:sz="4" w:space="0" w:color="auto"/>
            </w:tcBorders>
            <w:vAlign w:val="center"/>
          </w:tcPr>
          <w:p w14:paraId="60F0144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0.21</w:t>
            </w:r>
          </w:p>
        </w:tc>
      </w:tr>
      <w:tr w:rsidR="00D0305B" w14:paraId="16BECE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9B1AA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14:paraId="485B636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110080</w:t>
            </w:r>
          </w:p>
        </w:tc>
        <w:tc>
          <w:tcPr>
            <w:tcW w:w="750" w:type="pct"/>
            <w:tcBorders>
              <w:top w:val="single" w:sz="4" w:space="0" w:color="auto"/>
              <w:left w:val="single" w:sz="4" w:space="0" w:color="auto"/>
              <w:bottom w:val="single" w:sz="4" w:space="0" w:color="auto"/>
              <w:right w:val="single" w:sz="4" w:space="0" w:color="auto"/>
            </w:tcBorders>
            <w:vAlign w:val="center"/>
          </w:tcPr>
          <w:p w14:paraId="7500FFE4"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东湖转债</w:t>
            </w:r>
          </w:p>
        </w:tc>
        <w:tc>
          <w:tcPr>
            <w:tcW w:w="750" w:type="pct"/>
            <w:tcBorders>
              <w:top w:val="single" w:sz="4" w:space="0" w:color="auto"/>
              <w:left w:val="single" w:sz="4" w:space="0" w:color="auto"/>
              <w:bottom w:val="single" w:sz="4" w:space="0" w:color="auto"/>
              <w:right w:val="single" w:sz="4" w:space="0" w:color="auto"/>
            </w:tcBorders>
            <w:vAlign w:val="center"/>
          </w:tcPr>
          <w:p w14:paraId="4265C4BD"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136,595.10</w:t>
            </w:r>
          </w:p>
        </w:tc>
        <w:tc>
          <w:tcPr>
            <w:tcW w:w="750" w:type="pct"/>
            <w:tcBorders>
              <w:top w:val="single" w:sz="4" w:space="0" w:color="auto"/>
              <w:left w:val="single" w:sz="4" w:space="0" w:color="auto"/>
              <w:bottom w:val="single" w:sz="4" w:space="0" w:color="auto"/>
              <w:right w:val="single" w:sz="4" w:space="0" w:color="auto"/>
            </w:tcBorders>
            <w:vAlign w:val="center"/>
          </w:tcPr>
          <w:p w14:paraId="55396AB0"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0.19</w:t>
            </w:r>
          </w:p>
        </w:tc>
      </w:tr>
      <w:tr w:rsidR="00D0305B" w14:paraId="2CC0758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08128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sz="4" w:space="0" w:color="auto"/>
              <w:left w:val="single" w:sz="4" w:space="0" w:color="auto"/>
              <w:bottom w:val="single" w:sz="4" w:space="0" w:color="auto"/>
              <w:right w:val="single" w:sz="4" w:space="0" w:color="auto"/>
            </w:tcBorders>
            <w:vAlign w:val="center"/>
          </w:tcPr>
          <w:p w14:paraId="1DBAB9A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123099</w:t>
            </w:r>
          </w:p>
        </w:tc>
        <w:tc>
          <w:tcPr>
            <w:tcW w:w="750" w:type="pct"/>
            <w:tcBorders>
              <w:top w:val="single" w:sz="4" w:space="0" w:color="auto"/>
              <w:left w:val="single" w:sz="4" w:space="0" w:color="auto"/>
              <w:bottom w:val="single" w:sz="4" w:space="0" w:color="auto"/>
              <w:right w:val="single" w:sz="4" w:space="0" w:color="auto"/>
            </w:tcBorders>
            <w:vAlign w:val="center"/>
          </w:tcPr>
          <w:p w14:paraId="1F720162"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普利转债</w:t>
            </w:r>
          </w:p>
        </w:tc>
        <w:tc>
          <w:tcPr>
            <w:tcW w:w="750" w:type="pct"/>
            <w:tcBorders>
              <w:top w:val="single" w:sz="4" w:space="0" w:color="auto"/>
              <w:left w:val="single" w:sz="4" w:space="0" w:color="auto"/>
              <w:bottom w:val="single" w:sz="4" w:space="0" w:color="auto"/>
              <w:right w:val="single" w:sz="4" w:space="0" w:color="auto"/>
            </w:tcBorders>
            <w:vAlign w:val="center"/>
          </w:tcPr>
          <w:p w14:paraId="73ABD6C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133,761.37</w:t>
            </w:r>
          </w:p>
        </w:tc>
        <w:tc>
          <w:tcPr>
            <w:tcW w:w="750" w:type="pct"/>
            <w:tcBorders>
              <w:top w:val="single" w:sz="4" w:space="0" w:color="auto"/>
              <w:left w:val="single" w:sz="4" w:space="0" w:color="auto"/>
              <w:bottom w:val="single" w:sz="4" w:space="0" w:color="auto"/>
              <w:right w:val="single" w:sz="4" w:space="0" w:color="auto"/>
            </w:tcBorders>
            <w:vAlign w:val="center"/>
          </w:tcPr>
          <w:p w14:paraId="225B89C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0.19</w:t>
            </w:r>
          </w:p>
        </w:tc>
      </w:tr>
      <w:tr w:rsidR="00D0305B" w14:paraId="1E687E2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69694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33</w:t>
            </w:r>
          </w:p>
        </w:tc>
        <w:tc>
          <w:tcPr>
            <w:tcW w:w="750" w:type="pct"/>
            <w:tcBorders>
              <w:top w:val="single" w:sz="4" w:space="0" w:color="auto"/>
              <w:left w:val="single" w:sz="4" w:space="0" w:color="auto"/>
              <w:bottom w:val="single" w:sz="4" w:space="0" w:color="auto"/>
              <w:right w:val="single" w:sz="4" w:space="0" w:color="auto"/>
            </w:tcBorders>
            <w:vAlign w:val="center"/>
          </w:tcPr>
          <w:p w14:paraId="5CF97DB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128133</w:t>
            </w:r>
          </w:p>
        </w:tc>
        <w:tc>
          <w:tcPr>
            <w:tcW w:w="750" w:type="pct"/>
            <w:tcBorders>
              <w:top w:val="single" w:sz="4" w:space="0" w:color="auto"/>
              <w:left w:val="single" w:sz="4" w:space="0" w:color="auto"/>
              <w:bottom w:val="single" w:sz="4" w:space="0" w:color="auto"/>
              <w:right w:val="single" w:sz="4" w:space="0" w:color="auto"/>
            </w:tcBorders>
            <w:vAlign w:val="center"/>
          </w:tcPr>
          <w:p w14:paraId="6A58F872"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奇正转债</w:t>
            </w:r>
          </w:p>
        </w:tc>
        <w:tc>
          <w:tcPr>
            <w:tcW w:w="750" w:type="pct"/>
            <w:tcBorders>
              <w:top w:val="single" w:sz="4" w:space="0" w:color="auto"/>
              <w:left w:val="single" w:sz="4" w:space="0" w:color="auto"/>
              <w:bottom w:val="single" w:sz="4" w:space="0" w:color="auto"/>
              <w:right w:val="single" w:sz="4" w:space="0" w:color="auto"/>
            </w:tcBorders>
            <w:vAlign w:val="center"/>
          </w:tcPr>
          <w:p w14:paraId="7240303C"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126,164.24</w:t>
            </w:r>
          </w:p>
        </w:tc>
        <w:tc>
          <w:tcPr>
            <w:tcW w:w="750" w:type="pct"/>
            <w:tcBorders>
              <w:top w:val="single" w:sz="4" w:space="0" w:color="auto"/>
              <w:left w:val="single" w:sz="4" w:space="0" w:color="auto"/>
              <w:bottom w:val="single" w:sz="4" w:space="0" w:color="auto"/>
              <w:right w:val="single" w:sz="4" w:space="0" w:color="auto"/>
            </w:tcBorders>
            <w:vAlign w:val="center"/>
          </w:tcPr>
          <w:p w14:paraId="2387738C"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0.18</w:t>
            </w:r>
          </w:p>
        </w:tc>
      </w:tr>
      <w:tr w:rsidR="00D0305B" w14:paraId="3C9AEF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BD66A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34</w:t>
            </w:r>
          </w:p>
        </w:tc>
        <w:tc>
          <w:tcPr>
            <w:tcW w:w="750" w:type="pct"/>
            <w:tcBorders>
              <w:top w:val="single" w:sz="4" w:space="0" w:color="auto"/>
              <w:left w:val="single" w:sz="4" w:space="0" w:color="auto"/>
              <w:bottom w:val="single" w:sz="4" w:space="0" w:color="auto"/>
              <w:right w:val="single" w:sz="4" w:space="0" w:color="auto"/>
            </w:tcBorders>
            <w:vAlign w:val="center"/>
          </w:tcPr>
          <w:p w14:paraId="6217FA7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123151</w:t>
            </w:r>
          </w:p>
        </w:tc>
        <w:tc>
          <w:tcPr>
            <w:tcW w:w="750" w:type="pct"/>
            <w:tcBorders>
              <w:top w:val="single" w:sz="4" w:space="0" w:color="auto"/>
              <w:left w:val="single" w:sz="4" w:space="0" w:color="auto"/>
              <w:bottom w:val="single" w:sz="4" w:space="0" w:color="auto"/>
              <w:right w:val="single" w:sz="4" w:space="0" w:color="auto"/>
            </w:tcBorders>
            <w:vAlign w:val="center"/>
          </w:tcPr>
          <w:p w14:paraId="4CF1AE3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康医转债</w:t>
            </w:r>
          </w:p>
        </w:tc>
        <w:tc>
          <w:tcPr>
            <w:tcW w:w="750" w:type="pct"/>
            <w:tcBorders>
              <w:top w:val="single" w:sz="4" w:space="0" w:color="auto"/>
              <w:left w:val="single" w:sz="4" w:space="0" w:color="auto"/>
              <w:bottom w:val="single" w:sz="4" w:space="0" w:color="auto"/>
              <w:right w:val="single" w:sz="4" w:space="0" w:color="auto"/>
            </w:tcBorders>
            <w:vAlign w:val="center"/>
          </w:tcPr>
          <w:p w14:paraId="6EB4F973"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122,564.23</w:t>
            </w:r>
          </w:p>
        </w:tc>
        <w:tc>
          <w:tcPr>
            <w:tcW w:w="750" w:type="pct"/>
            <w:tcBorders>
              <w:top w:val="single" w:sz="4" w:space="0" w:color="auto"/>
              <w:left w:val="single" w:sz="4" w:space="0" w:color="auto"/>
              <w:bottom w:val="single" w:sz="4" w:space="0" w:color="auto"/>
              <w:right w:val="single" w:sz="4" w:space="0" w:color="auto"/>
            </w:tcBorders>
            <w:vAlign w:val="center"/>
          </w:tcPr>
          <w:p w14:paraId="2FD2949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0.17</w:t>
            </w:r>
          </w:p>
        </w:tc>
      </w:tr>
      <w:tr w:rsidR="00D0305B" w14:paraId="5B2125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F10C64"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35</w:t>
            </w:r>
          </w:p>
        </w:tc>
        <w:tc>
          <w:tcPr>
            <w:tcW w:w="750" w:type="pct"/>
            <w:tcBorders>
              <w:top w:val="single" w:sz="4" w:space="0" w:color="auto"/>
              <w:left w:val="single" w:sz="4" w:space="0" w:color="auto"/>
              <w:bottom w:val="single" w:sz="4" w:space="0" w:color="auto"/>
              <w:right w:val="single" w:sz="4" w:space="0" w:color="auto"/>
            </w:tcBorders>
            <w:vAlign w:val="center"/>
          </w:tcPr>
          <w:p w14:paraId="20750BA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128033</w:t>
            </w:r>
          </w:p>
        </w:tc>
        <w:tc>
          <w:tcPr>
            <w:tcW w:w="750" w:type="pct"/>
            <w:tcBorders>
              <w:top w:val="single" w:sz="4" w:space="0" w:color="auto"/>
              <w:left w:val="single" w:sz="4" w:space="0" w:color="auto"/>
              <w:bottom w:val="single" w:sz="4" w:space="0" w:color="auto"/>
              <w:right w:val="single" w:sz="4" w:space="0" w:color="auto"/>
            </w:tcBorders>
            <w:vAlign w:val="center"/>
          </w:tcPr>
          <w:p w14:paraId="454CEFC4"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迪龙转债</w:t>
            </w:r>
          </w:p>
        </w:tc>
        <w:tc>
          <w:tcPr>
            <w:tcW w:w="750" w:type="pct"/>
            <w:tcBorders>
              <w:top w:val="single" w:sz="4" w:space="0" w:color="auto"/>
              <w:left w:val="single" w:sz="4" w:space="0" w:color="auto"/>
              <w:bottom w:val="single" w:sz="4" w:space="0" w:color="auto"/>
              <w:right w:val="single" w:sz="4" w:space="0" w:color="auto"/>
            </w:tcBorders>
            <w:vAlign w:val="center"/>
          </w:tcPr>
          <w:p w14:paraId="339713D6"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120,417.05</w:t>
            </w:r>
          </w:p>
        </w:tc>
        <w:tc>
          <w:tcPr>
            <w:tcW w:w="750" w:type="pct"/>
            <w:tcBorders>
              <w:top w:val="single" w:sz="4" w:space="0" w:color="auto"/>
              <w:left w:val="single" w:sz="4" w:space="0" w:color="auto"/>
              <w:bottom w:val="single" w:sz="4" w:space="0" w:color="auto"/>
              <w:right w:val="single" w:sz="4" w:space="0" w:color="auto"/>
            </w:tcBorders>
            <w:vAlign w:val="center"/>
          </w:tcPr>
          <w:p w14:paraId="45E0C638"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0.17</w:t>
            </w:r>
          </w:p>
        </w:tc>
      </w:tr>
      <w:tr w:rsidR="00D0305B" w14:paraId="3CC5DA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9AA4E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36</w:t>
            </w:r>
          </w:p>
        </w:tc>
        <w:tc>
          <w:tcPr>
            <w:tcW w:w="750" w:type="pct"/>
            <w:tcBorders>
              <w:top w:val="single" w:sz="4" w:space="0" w:color="auto"/>
              <w:left w:val="single" w:sz="4" w:space="0" w:color="auto"/>
              <w:bottom w:val="single" w:sz="4" w:space="0" w:color="auto"/>
              <w:right w:val="single" w:sz="4" w:space="0" w:color="auto"/>
            </w:tcBorders>
            <w:vAlign w:val="center"/>
          </w:tcPr>
          <w:p w14:paraId="44B50F0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128106</w:t>
            </w:r>
          </w:p>
        </w:tc>
        <w:tc>
          <w:tcPr>
            <w:tcW w:w="750" w:type="pct"/>
            <w:tcBorders>
              <w:top w:val="single" w:sz="4" w:space="0" w:color="auto"/>
              <w:left w:val="single" w:sz="4" w:space="0" w:color="auto"/>
              <w:bottom w:val="single" w:sz="4" w:space="0" w:color="auto"/>
              <w:right w:val="single" w:sz="4" w:space="0" w:color="auto"/>
            </w:tcBorders>
            <w:vAlign w:val="center"/>
          </w:tcPr>
          <w:p w14:paraId="710F5D7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华统转债</w:t>
            </w:r>
          </w:p>
        </w:tc>
        <w:tc>
          <w:tcPr>
            <w:tcW w:w="750" w:type="pct"/>
            <w:tcBorders>
              <w:top w:val="single" w:sz="4" w:space="0" w:color="auto"/>
              <w:left w:val="single" w:sz="4" w:space="0" w:color="auto"/>
              <w:bottom w:val="single" w:sz="4" w:space="0" w:color="auto"/>
              <w:right w:val="single" w:sz="4" w:space="0" w:color="auto"/>
            </w:tcBorders>
            <w:vAlign w:val="center"/>
          </w:tcPr>
          <w:p w14:paraId="75813561"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116,123.15</w:t>
            </w:r>
          </w:p>
        </w:tc>
        <w:tc>
          <w:tcPr>
            <w:tcW w:w="750" w:type="pct"/>
            <w:tcBorders>
              <w:top w:val="single" w:sz="4" w:space="0" w:color="auto"/>
              <w:left w:val="single" w:sz="4" w:space="0" w:color="auto"/>
              <w:bottom w:val="single" w:sz="4" w:space="0" w:color="auto"/>
              <w:right w:val="single" w:sz="4" w:space="0" w:color="auto"/>
            </w:tcBorders>
            <w:vAlign w:val="center"/>
          </w:tcPr>
          <w:p w14:paraId="78E9CF62"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0.16</w:t>
            </w:r>
          </w:p>
        </w:tc>
      </w:tr>
      <w:tr w:rsidR="00D0305B" w14:paraId="599C3FB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531954"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37</w:t>
            </w:r>
          </w:p>
        </w:tc>
        <w:tc>
          <w:tcPr>
            <w:tcW w:w="750" w:type="pct"/>
            <w:tcBorders>
              <w:top w:val="single" w:sz="4" w:space="0" w:color="auto"/>
              <w:left w:val="single" w:sz="4" w:space="0" w:color="auto"/>
              <w:bottom w:val="single" w:sz="4" w:space="0" w:color="auto"/>
              <w:right w:val="single" w:sz="4" w:space="0" w:color="auto"/>
            </w:tcBorders>
            <w:vAlign w:val="center"/>
          </w:tcPr>
          <w:p w14:paraId="47FF6EF3"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123115</w:t>
            </w:r>
          </w:p>
        </w:tc>
        <w:tc>
          <w:tcPr>
            <w:tcW w:w="750" w:type="pct"/>
            <w:tcBorders>
              <w:top w:val="single" w:sz="4" w:space="0" w:color="auto"/>
              <w:left w:val="single" w:sz="4" w:space="0" w:color="auto"/>
              <w:bottom w:val="single" w:sz="4" w:space="0" w:color="auto"/>
              <w:right w:val="single" w:sz="4" w:space="0" w:color="auto"/>
            </w:tcBorders>
            <w:vAlign w:val="center"/>
          </w:tcPr>
          <w:p w14:paraId="2D504C6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捷捷转债</w:t>
            </w:r>
          </w:p>
        </w:tc>
        <w:tc>
          <w:tcPr>
            <w:tcW w:w="750" w:type="pct"/>
            <w:tcBorders>
              <w:top w:val="single" w:sz="4" w:space="0" w:color="auto"/>
              <w:left w:val="single" w:sz="4" w:space="0" w:color="auto"/>
              <w:bottom w:val="single" w:sz="4" w:space="0" w:color="auto"/>
              <w:right w:val="single" w:sz="4" w:space="0" w:color="auto"/>
            </w:tcBorders>
            <w:vAlign w:val="center"/>
          </w:tcPr>
          <w:p w14:paraId="7C8FC303"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109,080.52</w:t>
            </w:r>
          </w:p>
        </w:tc>
        <w:tc>
          <w:tcPr>
            <w:tcW w:w="750" w:type="pct"/>
            <w:tcBorders>
              <w:top w:val="single" w:sz="4" w:space="0" w:color="auto"/>
              <w:left w:val="single" w:sz="4" w:space="0" w:color="auto"/>
              <w:bottom w:val="single" w:sz="4" w:space="0" w:color="auto"/>
              <w:right w:val="single" w:sz="4" w:space="0" w:color="auto"/>
            </w:tcBorders>
            <w:vAlign w:val="center"/>
          </w:tcPr>
          <w:p w14:paraId="323941C0"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0.15</w:t>
            </w:r>
          </w:p>
        </w:tc>
      </w:tr>
      <w:tr w:rsidR="00D0305B" w14:paraId="5D2A297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45F91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38</w:t>
            </w:r>
          </w:p>
        </w:tc>
        <w:tc>
          <w:tcPr>
            <w:tcW w:w="750" w:type="pct"/>
            <w:tcBorders>
              <w:top w:val="single" w:sz="4" w:space="0" w:color="auto"/>
              <w:left w:val="single" w:sz="4" w:space="0" w:color="auto"/>
              <w:bottom w:val="single" w:sz="4" w:space="0" w:color="auto"/>
              <w:right w:val="single" w:sz="4" w:space="0" w:color="auto"/>
            </w:tcBorders>
            <w:vAlign w:val="center"/>
          </w:tcPr>
          <w:p w14:paraId="4971F9D7"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113532</w:t>
            </w:r>
          </w:p>
        </w:tc>
        <w:tc>
          <w:tcPr>
            <w:tcW w:w="750" w:type="pct"/>
            <w:tcBorders>
              <w:top w:val="single" w:sz="4" w:space="0" w:color="auto"/>
              <w:left w:val="single" w:sz="4" w:space="0" w:color="auto"/>
              <w:bottom w:val="single" w:sz="4" w:space="0" w:color="auto"/>
              <w:right w:val="single" w:sz="4" w:space="0" w:color="auto"/>
            </w:tcBorders>
            <w:vAlign w:val="center"/>
          </w:tcPr>
          <w:p w14:paraId="348A8B1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海环转债</w:t>
            </w:r>
          </w:p>
        </w:tc>
        <w:tc>
          <w:tcPr>
            <w:tcW w:w="750" w:type="pct"/>
            <w:tcBorders>
              <w:top w:val="single" w:sz="4" w:space="0" w:color="auto"/>
              <w:left w:val="single" w:sz="4" w:space="0" w:color="auto"/>
              <w:bottom w:val="single" w:sz="4" w:space="0" w:color="auto"/>
              <w:right w:val="single" w:sz="4" w:space="0" w:color="auto"/>
            </w:tcBorders>
            <w:vAlign w:val="center"/>
          </w:tcPr>
          <w:p w14:paraId="4205DC79"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107,194.88</w:t>
            </w:r>
          </w:p>
        </w:tc>
        <w:tc>
          <w:tcPr>
            <w:tcW w:w="750" w:type="pct"/>
            <w:tcBorders>
              <w:top w:val="single" w:sz="4" w:space="0" w:color="auto"/>
              <w:left w:val="single" w:sz="4" w:space="0" w:color="auto"/>
              <w:bottom w:val="single" w:sz="4" w:space="0" w:color="auto"/>
              <w:right w:val="single" w:sz="4" w:space="0" w:color="auto"/>
            </w:tcBorders>
            <w:vAlign w:val="center"/>
          </w:tcPr>
          <w:p w14:paraId="75E7EADD"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0.15</w:t>
            </w:r>
          </w:p>
        </w:tc>
      </w:tr>
      <w:tr w:rsidR="00D0305B" w14:paraId="64AD83C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861DA4"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39</w:t>
            </w:r>
          </w:p>
        </w:tc>
        <w:tc>
          <w:tcPr>
            <w:tcW w:w="750" w:type="pct"/>
            <w:tcBorders>
              <w:top w:val="single" w:sz="4" w:space="0" w:color="auto"/>
              <w:left w:val="single" w:sz="4" w:space="0" w:color="auto"/>
              <w:bottom w:val="single" w:sz="4" w:space="0" w:color="auto"/>
              <w:right w:val="single" w:sz="4" w:space="0" w:color="auto"/>
            </w:tcBorders>
            <w:vAlign w:val="center"/>
          </w:tcPr>
          <w:p w14:paraId="752BDAC4"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127054</w:t>
            </w:r>
          </w:p>
        </w:tc>
        <w:tc>
          <w:tcPr>
            <w:tcW w:w="750" w:type="pct"/>
            <w:tcBorders>
              <w:top w:val="single" w:sz="4" w:space="0" w:color="auto"/>
              <w:left w:val="single" w:sz="4" w:space="0" w:color="auto"/>
              <w:bottom w:val="single" w:sz="4" w:space="0" w:color="auto"/>
              <w:right w:val="single" w:sz="4" w:space="0" w:color="auto"/>
            </w:tcBorders>
            <w:vAlign w:val="center"/>
          </w:tcPr>
          <w:p w14:paraId="2E748844"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双箭转债</w:t>
            </w:r>
          </w:p>
        </w:tc>
        <w:tc>
          <w:tcPr>
            <w:tcW w:w="750" w:type="pct"/>
            <w:tcBorders>
              <w:top w:val="single" w:sz="4" w:space="0" w:color="auto"/>
              <w:left w:val="single" w:sz="4" w:space="0" w:color="auto"/>
              <w:bottom w:val="single" w:sz="4" w:space="0" w:color="auto"/>
              <w:right w:val="single" w:sz="4" w:space="0" w:color="auto"/>
            </w:tcBorders>
            <w:vAlign w:val="center"/>
          </w:tcPr>
          <w:p w14:paraId="479C644E"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104,740.85</w:t>
            </w:r>
          </w:p>
        </w:tc>
        <w:tc>
          <w:tcPr>
            <w:tcW w:w="750" w:type="pct"/>
            <w:tcBorders>
              <w:top w:val="single" w:sz="4" w:space="0" w:color="auto"/>
              <w:left w:val="single" w:sz="4" w:space="0" w:color="auto"/>
              <w:bottom w:val="single" w:sz="4" w:space="0" w:color="auto"/>
              <w:right w:val="single" w:sz="4" w:space="0" w:color="auto"/>
            </w:tcBorders>
            <w:vAlign w:val="center"/>
          </w:tcPr>
          <w:p w14:paraId="55C0E8BD"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0.15</w:t>
            </w:r>
          </w:p>
        </w:tc>
      </w:tr>
      <w:tr w:rsidR="00D0305B" w14:paraId="0DC0D87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A589C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40</w:t>
            </w:r>
          </w:p>
        </w:tc>
        <w:tc>
          <w:tcPr>
            <w:tcW w:w="750" w:type="pct"/>
            <w:tcBorders>
              <w:top w:val="single" w:sz="4" w:space="0" w:color="auto"/>
              <w:left w:val="single" w:sz="4" w:space="0" w:color="auto"/>
              <w:bottom w:val="single" w:sz="4" w:space="0" w:color="auto"/>
              <w:right w:val="single" w:sz="4" w:space="0" w:color="auto"/>
            </w:tcBorders>
            <w:vAlign w:val="center"/>
          </w:tcPr>
          <w:p w14:paraId="3CA3E712"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128081</w:t>
            </w:r>
          </w:p>
        </w:tc>
        <w:tc>
          <w:tcPr>
            <w:tcW w:w="750" w:type="pct"/>
            <w:tcBorders>
              <w:top w:val="single" w:sz="4" w:space="0" w:color="auto"/>
              <w:left w:val="single" w:sz="4" w:space="0" w:color="auto"/>
              <w:bottom w:val="single" w:sz="4" w:space="0" w:color="auto"/>
              <w:right w:val="single" w:sz="4" w:space="0" w:color="auto"/>
            </w:tcBorders>
            <w:vAlign w:val="center"/>
          </w:tcPr>
          <w:p w14:paraId="76E46B8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海亮转债</w:t>
            </w:r>
          </w:p>
        </w:tc>
        <w:tc>
          <w:tcPr>
            <w:tcW w:w="750" w:type="pct"/>
            <w:tcBorders>
              <w:top w:val="single" w:sz="4" w:space="0" w:color="auto"/>
              <w:left w:val="single" w:sz="4" w:space="0" w:color="auto"/>
              <w:bottom w:val="single" w:sz="4" w:space="0" w:color="auto"/>
              <w:right w:val="single" w:sz="4" w:space="0" w:color="auto"/>
            </w:tcBorders>
            <w:vAlign w:val="center"/>
          </w:tcPr>
          <w:p w14:paraId="33FE6A58"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98,904.53</w:t>
            </w:r>
          </w:p>
        </w:tc>
        <w:tc>
          <w:tcPr>
            <w:tcW w:w="750" w:type="pct"/>
            <w:tcBorders>
              <w:top w:val="single" w:sz="4" w:space="0" w:color="auto"/>
              <w:left w:val="single" w:sz="4" w:space="0" w:color="auto"/>
              <w:bottom w:val="single" w:sz="4" w:space="0" w:color="auto"/>
              <w:right w:val="single" w:sz="4" w:space="0" w:color="auto"/>
            </w:tcBorders>
            <w:vAlign w:val="center"/>
          </w:tcPr>
          <w:p w14:paraId="42428A4F"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0.14</w:t>
            </w:r>
          </w:p>
        </w:tc>
      </w:tr>
      <w:tr w:rsidR="00D0305B" w14:paraId="03D103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3CDF97"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41</w:t>
            </w:r>
          </w:p>
        </w:tc>
        <w:tc>
          <w:tcPr>
            <w:tcW w:w="750" w:type="pct"/>
            <w:tcBorders>
              <w:top w:val="single" w:sz="4" w:space="0" w:color="auto"/>
              <w:left w:val="single" w:sz="4" w:space="0" w:color="auto"/>
              <w:bottom w:val="single" w:sz="4" w:space="0" w:color="auto"/>
              <w:right w:val="single" w:sz="4" w:space="0" w:color="auto"/>
            </w:tcBorders>
            <w:vAlign w:val="center"/>
          </w:tcPr>
          <w:p w14:paraId="4C5A6A9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132014</w:t>
            </w:r>
          </w:p>
        </w:tc>
        <w:tc>
          <w:tcPr>
            <w:tcW w:w="750" w:type="pct"/>
            <w:tcBorders>
              <w:top w:val="single" w:sz="4" w:space="0" w:color="auto"/>
              <w:left w:val="single" w:sz="4" w:space="0" w:color="auto"/>
              <w:bottom w:val="single" w:sz="4" w:space="0" w:color="auto"/>
              <w:right w:val="single" w:sz="4" w:space="0" w:color="auto"/>
            </w:tcBorders>
            <w:vAlign w:val="center"/>
          </w:tcPr>
          <w:p w14:paraId="43B7E850"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r>
              <w:rPr>
                <w:rFonts w:ascii="Times New Roman" w:hAnsi="Times New Roman"/>
                <w:color w:val="000000"/>
                <w:kern w:val="0"/>
                <w:sz w:val="25"/>
                <w:szCs w:val="24"/>
              </w:rPr>
              <w:t>中化</w:t>
            </w:r>
            <w:r>
              <w:rPr>
                <w:rFonts w:ascii="Times New Roman" w:hAnsi="Times New Roman"/>
                <w:color w:val="000000"/>
                <w:kern w:val="0"/>
                <w:sz w:val="25"/>
                <w:szCs w:val="24"/>
              </w:rPr>
              <w:t>EB</w:t>
            </w:r>
          </w:p>
        </w:tc>
        <w:tc>
          <w:tcPr>
            <w:tcW w:w="750" w:type="pct"/>
            <w:tcBorders>
              <w:top w:val="single" w:sz="4" w:space="0" w:color="auto"/>
              <w:left w:val="single" w:sz="4" w:space="0" w:color="auto"/>
              <w:bottom w:val="single" w:sz="4" w:space="0" w:color="auto"/>
              <w:right w:val="single" w:sz="4" w:space="0" w:color="auto"/>
            </w:tcBorders>
            <w:vAlign w:val="center"/>
          </w:tcPr>
          <w:p w14:paraId="01582D84"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93,365.73</w:t>
            </w:r>
          </w:p>
        </w:tc>
        <w:tc>
          <w:tcPr>
            <w:tcW w:w="750" w:type="pct"/>
            <w:tcBorders>
              <w:top w:val="single" w:sz="4" w:space="0" w:color="auto"/>
              <w:left w:val="single" w:sz="4" w:space="0" w:color="auto"/>
              <w:bottom w:val="single" w:sz="4" w:space="0" w:color="auto"/>
              <w:right w:val="single" w:sz="4" w:space="0" w:color="auto"/>
            </w:tcBorders>
            <w:vAlign w:val="center"/>
          </w:tcPr>
          <w:p w14:paraId="2ED6DC5F"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0.13</w:t>
            </w:r>
          </w:p>
        </w:tc>
      </w:tr>
      <w:tr w:rsidR="00D0305B" w14:paraId="4FEAD47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90712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42</w:t>
            </w:r>
          </w:p>
        </w:tc>
        <w:tc>
          <w:tcPr>
            <w:tcW w:w="750" w:type="pct"/>
            <w:tcBorders>
              <w:top w:val="single" w:sz="4" w:space="0" w:color="auto"/>
              <w:left w:val="single" w:sz="4" w:space="0" w:color="auto"/>
              <w:bottom w:val="single" w:sz="4" w:space="0" w:color="auto"/>
              <w:right w:val="single" w:sz="4" w:space="0" w:color="auto"/>
            </w:tcBorders>
            <w:vAlign w:val="center"/>
          </w:tcPr>
          <w:p w14:paraId="3451C364"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128142</w:t>
            </w:r>
          </w:p>
        </w:tc>
        <w:tc>
          <w:tcPr>
            <w:tcW w:w="750" w:type="pct"/>
            <w:tcBorders>
              <w:top w:val="single" w:sz="4" w:space="0" w:color="auto"/>
              <w:left w:val="single" w:sz="4" w:space="0" w:color="auto"/>
              <w:bottom w:val="single" w:sz="4" w:space="0" w:color="auto"/>
              <w:right w:val="single" w:sz="4" w:space="0" w:color="auto"/>
            </w:tcBorders>
            <w:vAlign w:val="center"/>
          </w:tcPr>
          <w:p w14:paraId="3FC1A9D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新乳转债</w:t>
            </w:r>
          </w:p>
        </w:tc>
        <w:tc>
          <w:tcPr>
            <w:tcW w:w="750" w:type="pct"/>
            <w:tcBorders>
              <w:top w:val="single" w:sz="4" w:space="0" w:color="auto"/>
              <w:left w:val="single" w:sz="4" w:space="0" w:color="auto"/>
              <w:bottom w:val="single" w:sz="4" w:space="0" w:color="auto"/>
              <w:right w:val="single" w:sz="4" w:space="0" w:color="auto"/>
            </w:tcBorders>
            <w:vAlign w:val="center"/>
          </w:tcPr>
          <w:p w14:paraId="039D320D"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91,078.46</w:t>
            </w:r>
          </w:p>
        </w:tc>
        <w:tc>
          <w:tcPr>
            <w:tcW w:w="750" w:type="pct"/>
            <w:tcBorders>
              <w:top w:val="single" w:sz="4" w:space="0" w:color="auto"/>
              <w:left w:val="single" w:sz="4" w:space="0" w:color="auto"/>
              <w:bottom w:val="single" w:sz="4" w:space="0" w:color="auto"/>
              <w:right w:val="single" w:sz="4" w:space="0" w:color="auto"/>
            </w:tcBorders>
            <w:vAlign w:val="center"/>
          </w:tcPr>
          <w:p w14:paraId="4095DA7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0.13</w:t>
            </w:r>
          </w:p>
        </w:tc>
      </w:tr>
      <w:tr w:rsidR="00D0305B" w14:paraId="54A9D94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E656E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43</w:t>
            </w:r>
          </w:p>
        </w:tc>
        <w:tc>
          <w:tcPr>
            <w:tcW w:w="750" w:type="pct"/>
            <w:tcBorders>
              <w:top w:val="single" w:sz="4" w:space="0" w:color="auto"/>
              <w:left w:val="single" w:sz="4" w:space="0" w:color="auto"/>
              <w:bottom w:val="single" w:sz="4" w:space="0" w:color="auto"/>
              <w:right w:val="single" w:sz="4" w:space="0" w:color="auto"/>
            </w:tcBorders>
            <w:vAlign w:val="center"/>
          </w:tcPr>
          <w:p w14:paraId="65A21060"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113545</w:t>
            </w:r>
          </w:p>
        </w:tc>
        <w:tc>
          <w:tcPr>
            <w:tcW w:w="750" w:type="pct"/>
            <w:tcBorders>
              <w:top w:val="single" w:sz="4" w:space="0" w:color="auto"/>
              <w:left w:val="single" w:sz="4" w:space="0" w:color="auto"/>
              <w:bottom w:val="single" w:sz="4" w:space="0" w:color="auto"/>
              <w:right w:val="single" w:sz="4" w:space="0" w:color="auto"/>
            </w:tcBorders>
            <w:vAlign w:val="center"/>
          </w:tcPr>
          <w:p w14:paraId="155B0EF7"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金能转债</w:t>
            </w:r>
          </w:p>
        </w:tc>
        <w:tc>
          <w:tcPr>
            <w:tcW w:w="750" w:type="pct"/>
            <w:tcBorders>
              <w:top w:val="single" w:sz="4" w:space="0" w:color="auto"/>
              <w:left w:val="single" w:sz="4" w:space="0" w:color="auto"/>
              <w:bottom w:val="single" w:sz="4" w:space="0" w:color="auto"/>
              <w:right w:val="single" w:sz="4" w:space="0" w:color="auto"/>
            </w:tcBorders>
            <w:vAlign w:val="center"/>
          </w:tcPr>
          <w:p w14:paraId="6159D645"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74,379.37</w:t>
            </w:r>
          </w:p>
        </w:tc>
        <w:tc>
          <w:tcPr>
            <w:tcW w:w="750" w:type="pct"/>
            <w:tcBorders>
              <w:top w:val="single" w:sz="4" w:space="0" w:color="auto"/>
              <w:left w:val="single" w:sz="4" w:space="0" w:color="auto"/>
              <w:bottom w:val="single" w:sz="4" w:space="0" w:color="auto"/>
              <w:right w:val="single" w:sz="4" w:space="0" w:color="auto"/>
            </w:tcBorders>
            <w:vAlign w:val="center"/>
          </w:tcPr>
          <w:p w14:paraId="4E7E0C47"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0.10</w:t>
            </w:r>
          </w:p>
        </w:tc>
      </w:tr>
      <w:tr w:rsidR="00D0305B" w14:paraId="32FF28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008E2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44</w:t>
            </w:r>
          </w:p>
        </w:tc>
        <w:tc>
          <w:tcPr>
            <w:tcW w:w="750" w:type="pct"/>
            <w:tcBorders>
              <w:top w:val="single" w:sz="4" w:space="0" w:color="auto"/>
              <w:left w:val="single" w:sz="4" w:space="0" w:color="auto"/>
              <w:bottom w:val="single" w:sz="4" w:space="0" w:color="auto"/>
              <w:right w:val="single" w:sz="4" w:space="0" w:color="auto"/>
            </w:tcBorders>
            <w:vAlign w:val="center"/>
          </w:tcPr>
          <w:p w14:paraId="175AF59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123150</w:t>
            </w:r>
          </w:p>
        </w:tc>
        <w:tc>
          <w:tcPr>
            <w:tcW w:w="750" w:type="pct"/>
            <w:tcBorders>
              <w:top w:val="single" w:sz="4" w:space="0" w:color="auto"/>
              <w:left w:val="single" w:sz="4" w:space="0" w:color="auto"/>
              <w:bottom w:val="single" w:sz="4" w:space="0" w:color="auto"/>
              <w:right w:val="single" w:sz="4" w:space="0" w:color="auto"/>
            </w:tcBorders>
            <w:vAlign w:val="center"/>
          </w:tcPr>
          <w:p w14:paraId="178D7AC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九强转债</w:t>
            </w:r>
          </w:p>
        </w:tc>
        <w:tc>
          <w:tcPr>
            <w:tcW w:w="750" w:type="pct"/>
            <w:tcBorders>
              <w:top w:val="single" w:sz="4" w:space="0" w:color="auto"/>
              <w:left w:val="single" w:sz="4" w:space="0" w:color="auto"/>
              <w:bottom w:val="single" w:sz="4" w:space="0" w:color="auto"/>
              <w:right w:val="single" w:sz="4" w:space="0" w:color="auto"/>
            </w:tcBorders>
            <w:vAlign w:val="center"/>
          </w:tcPr>
          <w:p w14:paraId="29AAF51D"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67,105.90</w:t>
            </w:r>
          </w:p>
        </w:tc>
        <w:tc>
          <w:tcPr>
            <w:tcW w:w="750" w:type="pct"/>
            <w:tcBorders>
              <w:top w:val="single" w:sz="4" w:space="0" w:color="auto"/>
              <w:left w:val="single" w:sz="4" w:space="0" w:color="auto"/>
              <w:bottom w:val="single" w:sz="4" w:space="0" w:color="auto"/>
              <w:right w:val="single" w:sz="4" w:space="0" w:color="auto"/>
            </w:tcBorders>
            <w:vAlign w:val="center"/>
          </w:tcPr>
          <w:p w14:paraId="1E8A1974"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0.09</w:t>
            </w:r>
          </w:p>
        </w:tc>
      </w:tr>
      <w:tr w:rsidR="00D0305B" w14:paraId="5C6249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B9A51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45</w:t>
            </w:r>
          </w:p>
        </w:tc>
        <w:tc>
          <w:tcPr>
            <w:tcW w:w="750" w:type="pct"/>
            <w:tcBorders>
              <w:top w:val="single" w:sz="4" w:space="0" w:color="auto"/>
              <w:left w:val="single" w:sz="4" w:space="0" w:color="auto"/>
              <w:bottom w:val="single" w:sz="4" w:space="0" w:color="auto"/>
              <w:right w:val="single" w:sz="4" w:space="0" w:color="auto"/>
            </w:tcBorders>
            <w:vAlign w:val="center"/>
          </w:tcPr>
          <w:p w14:paraId="49FED651"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123146</w:t>
            </w:r>
          </w:p>
        </w:tc>
        <w:tc>
          <w:tcPr>
            <w:tcW w:w="750" w:type="pct"/>
            <w:tcBorders>
              <w:top w:val="single" w:sz="4" w:space="0" w:color="auto"/>
              <w:left w:val="single" w:sz="4" w:space="0" w:color="auto"/>
              <w:bottom w:val="single" w:sz="4" w:space="0" w:color="auto"/>
              <w:right w:val="single" w:sz="4" w:space="0" w:color="auto"/>
            </w:tcBorders>
            <w:vAlign w:val="center"/>
          </w:tcPr>
          <w:p w14:paraId="5070CA67"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中环转</w:t>
            </w: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211AE42"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53,004.67</w:t>
            </w:r>
          </w:p>
        </w:tc>
        <w:tc>
          <w:tcPr>
            <w:tcW w:w="750" w:type="pct"/>
            <w:tcBorders>
              <w:top w:val="single" w:sz="4" w:space="0" w:color="auto"/>
              <w:left w:val="single" w:sz="4" w:space="0" w:color="auto"/>
              <w:bottom w:val="single" w:sz="4" w:space="0" w:color="auto"/>
              <w:right w:val="single" w:sz="4" w:space="0" w:color="auto"/>
            </w:tcBorders>
            <w:vAlign w:val="center"/>
          </w:tcPr>
          <w:p w14:paraId="4B56CF7A" w14:textId="77777777" w:rsidR="00D0305B" w:rsidRDefault="00AE421E">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r>
    </w:tbl>
    <w:p w14:paraId="41A3AC0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报告期末前十名股票中存在流通受限情况的说明</w:t>
      </w:r>
    </w:p>
    <w:p w14:paraId="3F0A545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A526D5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14:paraId="173A67D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36AF9CBF"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A1D10D9" w14:textId="77777777" w:rsidR="00D0305B" w:rsidRDefault="00AE421E">
      <w:pPr>
        <w:pStyle w:val="1"/>
        <w:snapToGrid w:val="0"/>
        <w:spacing w:beforeLines="0" w:before="240" w:after="240"/>
        <w:rPr>
          <w:rFonts w:ascii="宋体" w:hAnsi="宋体"/>
          <w:szCs w:val="30"/>
        </w:rPr>
      </w:pPr>
      <w:bookmarkStart w:id="13" w:name="_Toc135812810"/>
      <w:r>
        <w:rPr>
          <w:rFonts w:ascii="Times New Roman" w:hAnsi="Times New Roman"/>
          <w:sz w:val="30"/>
        </w:rPr>
        <w:t>十、基金的业绩</w:t>
      </w:r>
      <w:bookmarkEnd w:id="13"/>
    </w:p>
    <w:p w14:paraId="181C16E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14:paraId="08A8172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38D0E9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14:paraId="457534A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14:paraId="3C72ED2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交银施罗德安心收益债券型证券投资基金</w:t>
      </w:r>
    </w:p>
    <w:tbl>
      <w:tblPr>
        <w:tblW w:w="5000" w:type="pct"/>
        <w:tblCellMar>
          <w:left w:w="0" w:type="dxa"/>
          <w:right w:w="0" w:type="dxa"/>
        </w:tblCellMar>
        <w:tblLook w:val="0000" w:firstRow="0" w:lastRow="0" w:firstColumn="0" w:lastColumn="0" w:noHBand="0" w:noVBand="0"/>
      </w:tblPr>
      <w:tblGrid>
        <w:gridCol w:w="1300"/>
        <w:gridCol w:w="1300"/>
        <w:gridCol w:w="1300"/>
        <w:gridCol w:w="1301"/>
        <w:gridCol w:w="1301"/>
        <w:gridCol w:w="1301"/>
        <w:gridCol w:w="867"/>
      </w:tblGrid>
      <w:tr w:rsidR="00D0305B" w14:paraId="49D5743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000A0E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53296614"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763DF4E3"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41E8B0A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16CF0C1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20103C2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29E1786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D0305B" w14:paraId="688A73F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CD7550B"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0BE6474A"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2.01%</w:t>
            </w:r>
          </w:p>
        </w:tc>
        <w:tc>
          <w:tcPr>
            <w:tcW w:w="750" w:type="pct"/>
            <w:tcBorders>
              <w:top w:val="single" w:sz="4" w:space="0" w:color="auto"/>
              <w:left w:val="single" w:sz="4" w:space="0" w:color="auto"/>
              <w:bottom w:val="single" w:sz="4" w:space="0" w:color="auto"/>
              <w:right w:val="single" w:sz="4" w:space="0" w:color="auto"/>
            </w:tcBorders>
            <w:vAlign w:val="center"/>
          </w:tcPr>
          <w:p w14:paraId="1C498F84"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c>
          <w:tcPr>
            <w:tcW w:w="750" w:type="pct"/>
            <w:tcBorders>
              <w:top w:val="single" w:sz="4" w:space="0" w:color="auto"/>
              <w:left w:val="single" w:sz="4" w:space="0" w:color="auto"/>
              <w:bottom w:val="single" w:sz="4" w:space="0" w:color="auto"/>
              <w:right w:val="single" w:sz="4" w:space="0" w:color="auto"/>
            </w:tcBorders>
            <w:vAlign w:val="center"/>
          </w:tcPr>
          <w:p w14:paraId="4D13862E"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0.28%</w:t>
            </w:r>
          </w:p>
        </w:tc>
        <w:tc>
          <w:tcPr>
            <w:tcW w:w="750" w:type="pct"/>
            <w:tcBorders>
              <w:top w:val="single" w:sz="4" w:space="0" w:color="auto"/>
              <w:left w:val="single" w:sz="4" w:space="0" w:color="auto"/>
              <w:bottom w:val="single" w:sz="4" w:space="0" w:color="auto"/>
              <w:right w:val="single" w:sz="4" w:space="0" w:color="auto"/>
            </w:tcBorders>
            <w:vAlign w:val="center"/>
          </w:tcPr>
          <w:p w14:paraId="010F7AA4"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49E09695"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1.73%</w:t>
            </w:r>
          </w:p>
        </w:tc>
        <w:tc>
          <w:tcPr>
            <w:tcW w:w="750" w:type="pct"/>
            <w:tcBorders>
              <w:top w:val="single" w:sz="4" w:space="0" w:color="auto"/>
              <w:left w:val="single" w:sz="4" w:space="0" w:color="auto"/>
              <w:bottom w:val="single" w:sz="4" w:space="0" w:color="auto"/>
              <w:right w:val="single" w:sz="4" w:space="0" w:color="auto"/>
            </w:tcBorders>
            <w:vAlign w:val="center"/>
          </w:tcPr>
          <w:p w14:paraId="47FDA407"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r>
      <w:tr w:rsidR="00D0305B" w14:paraId="428D89A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28E9E66"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45F6B39"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BA13E13"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0.24%</w:t>
            </w:r>
          </w:p>
        </w:tc>
        <w:tc>
          <w:tcPr>
            <w:tcW w:w="750" w:type="pct"/>
            <w:tcBorders>
              <w:top w:val="single" w:sz="4" w:space="0" w:color="auto"/>
              <w:left w:val="single" w:sz="4" w:space="0" w:color="auto"/>
              <w:bottom w:val="single" w:sz="4" w:space="0" w:color="auto"/>
              <w:right w:val="single" w:sz="4" w:space="0" w:color="auto"/>
            </w:tcBorders>
            <w:vAlign w:val="center"/>
          </w:tcPr>
          <w:p w14:paraId="23D74CF9"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15B0BFDB"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38BCEE67"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-0.46%</w:t>
            </w:r>
          </w:p>
        </w:tc>
        <w:tc>
          <w:tcPr>
            <w:tcW w:w="750" w:type="pct"/>
            <w:tcBorders>
              <w:top w:val="single" w:sz="4" w:space="0" w:color="auto"/>
              <w:left w:val="single" w:sz="4" w:space="0" w:color="auto"/>
              <w:bottom w:val="single" w:sz="4" w:space="0" w:color="auto"/>
              <w:right w:val="single" w:sz="4" w:space="0" w:color="auto"/>
            </w:tcBorders>
            <w:vAlign w:val="center"/>
          </w:tcPr>
          <w:p w14:paraId="4312C7F3"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0.18%</w:t>
            </w:r>
          </w:p>
        </w:tc>
      </w:tr>
      <w:tr w:rsidR="00D0305B" w14:paraId="2AC38F0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AE66D03"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4F0DF6A"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7.21%</w:t>
            </w:r>
          </w:p>
        </w:tc>
        <w:tc>
          <w:tcPr>
            <w:tcW w:w="750" w:type="pct"/>
            <w:tcBorders>
              <w:top w:val="single" w:sz="4" w:space="0" w:color="auto"/>
              <w:left w:val="single" w:sz="4" w:space="0" w:color="auto"/>
              <w:bottom w:val="single" w:sz="4" w:space="0" w:color="auto"/>
              <w:right w:val="single" w:sz="4" w:space="0" w:color="auto"/>
            </w:tcBorders>
            <w:vAlign w:val="center"/>
          </w:tcPr>
          <w:p w14:paraId="27B79863"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c>
          <w:tcPr>
            <w:tcW w:w="750" w:type="pct"/>
            <w:tcBorders>
              <w:top w:val="single" w:sz="4" w:space="0" w:color="auto"/>
              <w:left w:val="single" w:sz="4" w:space="0" w:color="auto"/>
              <w:bottom w:val="single" w:sz="4" w:space="0" w:color="auto"/>
              <w:right w:val="single" w:sz="4" w:space="0" w:color="auto"/>
            </w:tcBorders>
            <w:vAlign w:val="center"/>
          </w:tcPr>
          <w:p w14:paraId="495DCE41"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2EBE679C"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99996E6"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5.11%</w:t>
            </w:r>
          </w:p>
        </w:tc>
        <w:tc>
          <w:tcPr>
            <w:tcW w:w="750" w:type="pct"/>
            <w:tcBorders>
              <w:top w:val="single" w:sz="4" w:space="0" w:color="auto"/>
              <w:left w:val="single" w:sz="4" w:space="0" w:color="auto"/>
              <w:bottom w:val="single" w:sz="4" w:space="0" w:color="auto"/>
              <w:right w:val="single" w:sz="4" w:space="0" w:color="auto"/>
            </w:tcBorders>
            <w:vAlign w:val="center"/>
          </w:tcPr>
          <w:p w14:paraId="743EDD7A"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0.18%</w:t>
            </w:r>
          </w:p>
        </w:tc>
      </w:tr>
      <w:tr w:rsidR="00D0305B" w14:paraId="198E143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B53B7C5"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5BDD66F"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1ED8404F"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c>
          <w:tcPr>
            <w:tcW w:w="750" w:type="pct"/>
            <w:tcBorders>
              <w:top w:val="single" w:sz="4" w:space="0" w:color="auto"/>
              <w:left w:val="single" w:sz="4" w:space="0" w:color="auto"/>
              <w:bottom w:val="single" w:sz="4" w:space="0" w:color="auto"/>
              <w:right w:val="single" w:sz="4" w:space="0" w:color="auto"/>
            </w:tcBorders>
            <w:vAlign w:val="center"/>
          </w:tcPr>
          <w:p w14:paraId="6927E453"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3A6F24E3"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54E6DF0C"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4.86%</w:t>
            </w:r>
          </w:p>
        </w:tc>
        <w:tc>
          <w:tcPr>
            <w:tcW w:w="750" w:type="pct"/>
            <w:tcBorders>
              <w:top w:val="single" w:sz="4" w:space="0" w:color="auto"/>
              <w:left w:val="single" w:sz="4" w:space="0" w:color="auto"/>
              <w:bottom w:val="single" w:sz="4" w:space="0" w:color="auto"/>
              <w:right w:val="single" w:sz="4" w:space="0" w:color="auto"/>
            </w:tcBorders>
            <w:vAlign w:val="center"/>
          </w:tcPr>
          <w:p w14:paraId="3807AD3F"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0.16%</w:t>
            </w:r>
          </w:p>
        </w:tc>
      </w:tr>
      <w:tr w:rsidR="00D0305B" w14:paraId="448DB96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AAA6302"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5A54C8B"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3.33%</w:t>
            </w:r>
          </w:p>
        </w:tc>
        <w:tc>
          <w:tcPr>
            <w:tcW w:w="750" w:type="pct"/>
            <w:tcBorders>
              <w:top w:val="single" w:sz="4" w:space="0" w:color="auto"/>
              <w:left w:val="single" w:sz="4" w:space="0" w:color="auto"/>
              <w:bottom w:val="single" w:sz="4" w:space="0" w:color="auto"/>
              <w:right w:val="single" w:sz="4" w:space="0" w:color="auto"/>
            </w:tcBorders>
            <w:vAlign w:val="center"/>
          </w:tcPr>
          <w:p w14:paraId="61766469"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c>
          <w:tcPr>
            <w:tcW w:w="750" w:type="pct"/>
            <w:tcBorders>
              <w:top w:val="single" w:sz="4" w:space="0" w:color="auto"/>
              <w:left w:val="single" w:sz="4" w:space="0" w:color="auto"/>
              <w:bottom w:val="single" w:sz="4" w:space="0" w:color="auto"/>
              <w:right w:val="single" w:sz="4" w:space="0" w:color="auto"/>
            </w:tcBorders>
            <w:vAlign w:val="center"/>
          </w:tcPr>
          <w:p w14:paraId="15F6E9FD"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3C7B3A38"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E754FBB"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2.02%</w:t>
            </w:r>
          </w:p>
        </w:tc>
        <w:tc>
          <w:tcPr>
            <w:tcW w:w="750" w:type="pct"/>
            <w:tcBorders>
              <w:top w:val="single" w:sz="4" w:space="0" w:color="auto"/>
              <w:left w:val="single" w:sz="4" w:space="0" w:color="auto"/>
              <w:bottom w:val="single" w:sz="4" w:space="0" w:color="auto"/>
              <w:right w:val="single" w:sz="4" w:space="0" w:color="auto"/>
            </w:tcBorders>
            <w:vAlign w:val="center"/>
          </w:tcPr>
          <w:p w14:paraId="5580AD85"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0.15%</w:t>
            </w:r>
          </w:p>
        </w:tc>
      </w:tr>
      <w:tr w:rsidR="00D0305B" w14:paraId="1C1E88D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C0FA34E"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年度（自基金转型日起至</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4EF8A1DB"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0.39%</w:t>
            </w:r>
          </w:p>
        </w:tc>
        <w:tc>
          <w:tcPr>
            <w:tcW w:w="750" w:type="pct"/>
            <w:tcBorders>
              <w:top w:val="single" w:sz="4" w:space="0" w:color="auto"/>
              <w:left w:val="single" w:sz="4" w:space="0" w:color="auto"/>
              <w:bottom w:val="single" w:sz="4" w:space="0" w:color="auto"/>
              <w:right w:val="single" w:sz="4" w:space="0" w:color="auto"/>
            </w:tcBorders>
            <w:vAlign w:val="center"/>
          </w:tcPr>
          <w:p w14:paraId="33662314"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705C8BE8"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2.96%</w:t>
            </w:r>
          </w:p>
        </w:tc>
        <w:tc>
          <w:tcPr>
            <w:tcW w:w="750" w:type="pct"/>
            <w:tcBorders>
              <w:top w:val="single" w:sz="4" w:space="0" w:color="auto"/>
              <w:left w:val="single" w:sz="4" w:space="0" w:color="auto"/>
              <w:bottom w:val="single" w:sz="4" w:space="0" w:color="auto"/>
              <w:right w:val="single" w:sz="4" w:space="0" w:color="auto"/>
            </w:tcBorders>
            <w:vAlign w:val="center"/>
          </w:tcPr>
          <w:p w14:paraId="297034B9"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50A37758"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-2.57%</w:t>
            </w:r>
          </w:p>
        </w:tc>
        <w:tc>
          <w:tcPr>
            <w:tcW w:w="750" w:type="pct"/>
            <w:tcBorders>
              <w:top w:val="single" w:sz="4" w:space="0" w:color="auto"/>
              <w:left w:val="single" w:sz="4" w:space="0" w:color="auto"/>
              <w:bottom w:val="single" w:sz="4" w:space="0" w:color="auto"/>
              <w:right w:val="single" w:sz="4" w:space="0" w:color="auto"/>
            </w:tcBorders>
            <w:vAlign w:val="center"/>
          </w:tcPr>
          <w:p w14:paraId="2A265884"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r>
    </w:tbl>
    <w:p w14:paraId="5A752FA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交银施罗德荣和保本混合型证券投资基金从2018年6月2日起正式转型为交银施罗德安心收益债券型证券投资基金，本表列示的是本报告期基金转型后的基金净值表现，转型后基金的业绩比较基准为中债综合全价指数。</w:t>
      </w:r>
    </w:p>
    <w:p w14:paraId="5CB1B0F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交银施罗德荣和保本混合型证券投资基金</w:t>
      </w:r>
    </w:p>
    <w:tbl>
      <w:tblPr>
        <w:tblW w:w="5000" w:type="pct"/>
        <w:tblCellMar>
          <w:left w:w="0" w:type="dxa"/>
          <w:right w:w="0" w:type="dxa"/>
        </w:tblCellMar>
        <w:tblLook w:val="0000" w:firstRow="0" w:lastRow="0" w:firstColumn="0" w:lastColumn="0" w:noHBand="0" w:noVBand="0"/>
      </w:tblPr>
      <w:tblGrid>
        <w:gridCol w:w="1300"/>
        <w:gridCol w:w="1300"/>
        <w:gridCol w:w="1300"/>
        <w:gridCol w:w="1301"/>
        <w:gridCol w:w="1301"/>
        <w:gridCol w:w="1301"/>
        <w:gridCol w:w="867"/>
      </w:tblGrid>
      <w:tr w:rsidR="00D0305B" w14:paraId="435F7CB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7DF06B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3212690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07545916"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49EA5A2A"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3E91C770"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799CE6C8"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134E715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D0305B" w14:paraId="77DEE1D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14024FD"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日至</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54D7D3B4"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c>
          <w:tcPr>
            <w:tcW w:w="750" w:type="pct"/>
            <w:tcBorders>
              <w:top w:val="single" w:sz="4" w:space="0" w:color="auto"/>
              <w:left w:val="single" w:sz="4" w:space="0" w:color="auto"/>
              <w:bottom w:val="single" w:sz="4" w:space="0" w:color="auto"/>
              <w:right w:val="single" w:sz="4" w:space="0" w:color="auto"/>
            </w:tcBorders>
            <w:vAlign w:val="center"/>
          </w:tcPr>
          <w:p w14:paraId="76E17967"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c>
          <w:tcPr>
            <w:tcW w:w="750" w:type="pct"/>
            <w:tcBorders>
              <w:top w:val="single" w:sz="4" w:space="0" w:color="auto"/>
              <w:left w:val="single" w:sz="4" w:space="0" w:color="auto"/>
              <w:bottom w:val="single" w:sz="4" w:space="0" w:color="auto"/>
              <w:right w:val="single" w:sz="4" w:space="0" w:color="auto"/>
            </w:tcBorders>
            <w:vAlign w:val="center"/>
          </w:tcPr>
          <w:p w14:paraId="42FB5C87"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4019877A"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c>
          <w:tcPr>
            <w:tcW w:w="750" w:type="pct"/>
            <w:tcBorders>
              <w:top w:val="single" w:sz="4" w:space="0" w:color="auto"/>
              <w:left w:val="single" w:sz="4" w:space="0" w:color="auto"/>
              <w:bottom w:val="single" w:sz="4" w:space="0" w:color="auto"/>
              <w:right w:val="single" w:sz="4" w:space="0" w:color="auto"/>
            </w:tcBorders>
            <w:vAlign w:val="center"/>
          </w:tcPr>
          <w:p w14:paraId="2E6F2465"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78D3FEB2"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D0305B" w14:paraId="200FCE3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C8B7DAE"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2018</w:t>
            </w:r>
            <w:r>
              <w:rPr>
                <w:rFonts w:ascii="Times New Roman" w:hAnsi="Times New Roman"/>
                <w:color w:val="000000"/>
                <w:kern w:val="0"/>
                <w:sz w:val="25"/>
                <w:szCs w:val="24"/>
              </w:rPr>
              <w:t>年</w:t>
            </w:r>
            <w:r>
              <w:rPr>
                <w:rFonts w:ascii="Times New Roman" w:hAnsi="Times New Roman"/>
                <w:color w:val="000000"/>
                <w:kern w:val="0"/>
                <w:sz w:val="25"/>
                <w:szCs w:val="24"/>
              </w:rPr>
              <w:t>4</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日至</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4E613E13"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0.59%</w:t>
            </w:r>
          </w:p>
        </w:tc>
        <w:tc>
          <w:tcPr>
            <w:tcW w:w="750" w:type="pct"/>
            <w:tcBorders>
              <w:top w:val="single" w:sz="4" w:space="0" w:color="auto"/>
              <w:left w:val="single" w:sz="4" w:space="0" w:color="auto"/>
              <w:bottom w:val="single" w:sz="4" w:space="0" w:color="auto"/>
              <w:right w:val="single" w:sz="4" w:space="0" w:color="auto"/>
            </w:tcBorders>
            <w:vAlign w:val="center"/>
          </w:tcPr>
          <w:p w14:paraId="03972BC8"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59775911"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0.47%</w:t>
            </w:r>
          </w:p>
        </w:tc>
        <w:tc>
          <w:tcPr>
            <w:tcW w:w="750" w:type="pct"/>
            <w:tcBorders>
              <w:top w:val="single" w:sz="4" w:space="0" w:color="auto"/>
              <w:left w:val="single" w:sz="4" w:space="0" w:color="auto"/>
              <w:bottom w:val="single" w:sz="4" w:space="0" w:color="auto"/>
              <w:right w:val="single" w:sz="4" w:space="0" w:color="auto"/>
            </w:tcBorders>
            <w:vAlign w:val="center"/>
          </w:tcPr>
          <w:p w14:paraId="52A0D0F8"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7E7D943B"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32AC88FB"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D0305B" w14:paraId="6E02E45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967D7D3"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1</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日至</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FCF6F14"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2.01%</w:t>
            </w:r>
          </w:p>
        </w:tc>
        <w:tc>
          <w:tcPr>
            <w:tcW w:w="750" w:type="pct"/>
            <w:tcBorders>
              <w:top w:val="single" w:sz="4" w:space="0" w:color="auto"/>
              <w:left w:val="single" w:sz="4" w:space="0" w:color="auto"/>
              <w:bottom w:val="single" w:sz="4" w:space="0" w:color="auto"/>
              <w:right w:val="single" w:sz="4" w:space="0" w:color="auto"/>
            </w:tcBorders>
            <w:vAlign w:val="center"/>
          </w:tcPr>
          <w:p w14:paraId="13E5194D"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570859F1"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1.16%</w:t>
            </w:r>
          </w:p>
        </w:tc>
        <w:tc>
          <w:tcPr>
            <w:tcW w:w="750" w:type="pct"/>
            <w:tcBorders>
              <w:top w:val="single" w:sz="4" w:space="0" w:color="auto"/>
              <w:left w:val="single" w:sz="4" w:space="0" w:color="auto"/>
              <w:bottom w:val="single" w:sz="4" w:space="0" w:color="auto"/>
              <w:right w:val="single" w:sz="4" w:space="0" w:color="auto"/>
            </w:tcBorders>
            <w:vAlign w:val="center"/>
          </w:tcPr>
          <w:p w14:paraId="766F4A83"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268A8D3C"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14:paraId="2C590433"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D0305B" w14:paraId="40C49C1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FFF4A00"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日至</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7FC6E532"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3.14%</w:t>
            </w:r>
          </w:p>
        </w:tc>
        <w:tc>
          <w:tcPr>
            <w:tcW w:w="750" w:type="pct"/>
            <w:tcBorders>
              <w:top w:val="single" w:sz="4" w:space="0" w:color="auto"/>
              <w:left w:val="single" w:sz="4" w:space="0" w:color="auto"/>
              <w:bottom w:val="single" w:sz="4" w:space="0" w:color="auto"/>
              <w:right w:val="single" w:sz="4" w:space="0" w:color="auto"/>
            </w:tcBorders>
            <w:vAlign w:val="center"/>
          </w:tcPr>
          <w:p w14:paraId="0C53B178"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01CBF747"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2.57%</w:t>
            </w:r>
          </w:p>
        </w:tc>
        <w:tc>
          <w:tcPr>
            <w:tcW w:w="750" w:type="pct"/>
            <w:tcBorders>
              <w:top w:val="single" w:sz="4" w:space="0" w:color="auto"/>
              <w:left w:val="single" w:sz="4" w:space="0" w:color="auto"/>
              <w:bottom w:val="single" w:sz="4" w:space="0" w:color="auto"/>
              <w:right w:val="single" w:sz="4" w:space="0" w:color="auto"/>
            </w:tcBorders>
            <w:vAlign w:val="center"/>
          </w:tcPr>
          <w:p w14:paraId="08DA187E"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31EA4802"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0.57%</w:t>
            </w:r>
          </w:p>
        </w:tc>
        <w:tc>
          <w:tcPr>
            <w:tcW w:w="750" w:type="pct"/>
            <w:tcBorders>
              <w:top w:val="single" w:sz="4" w:space="0" w:color="auto"/>
              <w:left w:val="single" w:sz="4" w:space="0" w:color="auto"/>
              <w:bottom w:val="single" w:sz="4" w:space="0" w:color="auto"/>
              <w:right w:val="single" w:sz="4" w:space="0" w:color="auto"/>
            </w:tcBorders>
            <w:vAlign w:val="center"/>
          </w:tcPr>
          <w:p w14:paraId="03D941F9"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D0305B" w14:paraId="1B3AFD1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1A55AD6"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日至</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4F9AAD8A"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3.78%</w:t>
            </w:r>
          </w:p>
        </w:tc>
        <w:tc>
          <w:tcPr>
            <w:tcW w:w="750" w:type="pct"/>
            <w:tcBorders>
              <w:top w:val="single" w:sz="4" w:space="0" w:color="auto"/>
              <w:left w:val="single" w:sz="4" w:space="0" w:color="auto"/>
              <w:bottom w:val="single" w:sz="4" w:space="0" w:color="auto"/>
              <w:right w:val="single" w:sz="4" w:space="0" w:color="auto"/>
            </w:tcBorders>
            <w:vAlign w:val="center"/>
          </w:tcPr>
          <w:p w14:paraId="7C007340"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0.17%</w:t>
            </w:r>
          </w:p>
        </w:tc>
        <w:tc>
          <w:tcPr>
            <w:tcW w:w="750" w:type="pct"/>
            <w:tcBorders>
              <w:top w:val="single" w:sz="4" w:space="0" w:color="auto"/>
              <w:left w:val="single" w:sz="4" w:space="0" w:color="auto"/>
              <w:bottom w:val="single" w:sz="4" w:space="0" w:color="auto"/>
              <w:right w:val="single" w:sz="4" w:space="0" w:color="auto"/>
            </w:tcBorders>
            <w:vAlign w:val="center"/>
          </w:tcPr>
          <w:p w14:paraId="38526293"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8.27%</w:t>
            </w:r>
          </w:p>
        </w:tc>
        <w:tc>
          <w:tcPr>
            <w:tcW w:w="750" w:type="pct"/>
            <w:tcBorders>
              <w:top w:val="single" w:sz="4" w:space="0" w:color="auto"/>
              <w:left w:val="single" w:sz="4" w:space="0" w:color="auto"/>
              <w:bottom w:val="single" w:sz="4" w:space="0" w:color="auto"/>
              <w:right w:val="single" w:sz="4" w:space="0" w:color="auto"/>
            </w:tcBorders>
            <w:vAlign w:val="center"/>
          </w:tcPr>
          <w:p w14:paraId="4B9C72D9"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4BEED9AE"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-4.49%</w:t>
            </w:r>
          </w:p>
        </w:tc>
        <w:tc>
          <w:tcPr>
            <w:tcW w:w="750" w:type="pct"/>
            <w:tcBorders>
              <w:top w:val="single" w:sz="4" w:space="0" w:color="auto"/>
              <w:left w:val="single" w:sz="4" w:space="0" w:color="auto"/>
              <w:bottom w:val="single" w:sz="4" w:space="0" w:color="auto"/>
              <w:right w:val="single" w:sz="4" w:space="0" w:color="auto"/>
            </w:tcBorders>
            <w:vAlign w:val="center"/>
          </w:tcPr>
          <w:p w14:paraId="2521C2CD"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0.16%</w:t>
            </w:r>
          </w:p>
        </w:tc>
      </w:tr>
      <w:tr w:rsidR="00D0305B" w14:paraId="06B6C9C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10CA4FD"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自基金合同生效起至</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1D224FE2"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1.70%</w:t>
            </w:r>
          </w:p>
        </w:tc>
        <w:tc>
          <w:tcPr>
            <w:tcW w:w="750" w:type="pct"/>
            <w:tcBorders>
              <w:top w:val="single" w:sz="4" w:space="0" w:color="auto"/>
              <w:left w:val="single" w:sz="4" w:space="0" w:color="auto"/>
              <w:bottom w:val="single" w:sz="4" w:space="0" w:color="auto"/>
              <w:right w:val="single" w:sz="4" w:space="0" w:color="auto"/>
            </w:tcBorders>
            <w:vAlign w:val="center"/>
          </w:tcPr>
          <w:p w14:paraId="485F6000"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0.17%</w:t>
            </w:r>
          </w:p>
        </w:tc>
        <w:tc>
          <w:tcPr>
            <w:tcW w:w="750" w:type="pct"/>
            <w:tcBorders>
              <w:top w:val="single" w:sz="4" w:space="0" w:color="auto"/>
              <w:left w:val="single" w:sz="4" w:space="0" w:color="auto"/>
              <w:bottom w:val="single" w:sz="4" w:space="0" w:color="auto"/>
              <w:right w:val="single" w:sz="4" w:space="0" w:color="auto"/>
            </w:tcBorders>
            <w:vAlign w:val="center"/>
          </w:tcPr>
          <w:p w14:paraId="0DF2C41C"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8.59%</w:t>
            </w:r>
          </w:p>
        </w:tc>
        <w:tc>
          <w:tcPr>
            <w:tcW w:w="750" w:type="pct"/>
            <w:tcBorders>
              <w:top w:val="single" w:sz="4" w:space="0" w:color="auto"/>
              <w:left w:val="single" w:sz="4" w:space="0" w:color="auto"/>
              <w:bottom w:val="single" w:sz="4" w:space="0" w:color="auto"/>
              <w:right w:val="single" w:sz="4" w:space="0" w:color="auto"/>
            </w:tcBorders>
            <w:vAlign w:val="center"/>
          </w:tcPr>
          <w:p w14:paraId="355A0D10"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5AB3DCB4"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-6.89%</w:t>
            </w:r>
          </w:p>
        </w:tc>
        <w:tc>
          <w:tcPr>
            <w:tcW w:w="750" w:type="pct"/>
            <w:tcBorders>
              <w:top w:val="single" w:sz="4" w:space="0" w:color="auto"/>
              <w:left w:val="single" w:sz="4" w:space="0" w:color="auto"/>
              <w:bottom w:val="single" w:sz="4" w:space="0" w:color="auto"/>
              <w:right w:val="single" w:sz="4" w:space="0" w:color="auto"/>
            </w:tcBorders>
            <w:vAlign w:val="center"/>
          </w:tcPr>
          <w:p w14:paraId="4126C094"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0.16%</w:t>
            </w:r>
          </w:p>
        </w:tc>
      </w:tr>
    </w:tbl>
    <w:p w14:paraId="2D67B33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交银施罗德荣和保本混合型证券投资基金从2018年6月2日起正式转型为交银施罗德安心收益债券型证券投资基金，本表列示的是本报告期基金转型前的基金净值表现，转型前基金的业绩比较基准为三年期银行定期存款税后收益率。</w:t>
      </w:r>
    </w:p>
    <w:p w14:paraId="7E53B36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6C164F8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（1）自基金转型以来基金份额累计净值增长率变动及其与同期业绩比较基准收益率变动的比较</w:t>
      </w:r>
    </w:p>
    <w:p w14:paraId="2EF50705" w14:textId="77777777" w:rsidR="00D0305B" w:rsidRDefault="00AE421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交银施罗德安心收益债券型证券投资基金</w:t>
      </w:r>
    </w:p>
    <w:p w14:paraId="091B07BD" w14:textId="77777777" w:rsidR="00D0305B" w:rsidRDefault="00AE421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14:paraId="6D04849F" w14:textId="77777777" w:rsidR="00D0305B" w:rsidRDefault="00AE421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（2018年6月2日至2023年03月31日）</w:t>
      </w:r>
    </w:p>
    <w:p w14:paraId="6160B2FB" w14:textId="77777777" w:rsidR="00D0305B" w:rsidRDefault="009B79E7">
      <w:pPr>
        <w:autoSpaceDE w:val="0"/>
        <w:autoSpaceDN w:val="0"/>
        <w:adjustRightInd w:val="0"/>
        <w:snapToGrid w:val="0"/>
        <w:spacing w:line="360" w:lineRule="auto"/>
        <w:ind w:firstLineChars="200" w:firstLine="480"/>
        <w:jc w:val="left"/>
        <w:rPr>
          <w:rFonts w:ascii="宋体" w:hAnsi="宋体"/>
          <w:szCs w:val="24"/>
        </w:rPr>
      </w:pPr>
      <w:r>
        <w:rPr>
          <w:rFonts w:ascii="宋体" w:hAnsi="宋体"/>
          <w:kern w:val="0"/>
          <w:sz w:val="24"/>
        </w:rPr>
        <w:lastRenderedPageBreak/>
        <w:pict w14:anchorId="6050EB36">
          <v:shape id="_x0000_i1026" type="#_x0000_t75" style="width:439.5pt;height:357.5pt">
            <v:imagedata r:id="rId13" o:title="1521256610242020828"/>
          </v:shape>
        </w:pict>
      </w:r>
    </w:p>
    <w:p w14:paraId="55BF44B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由交银施罗德荣和保本混合型证券投资基金转型而来。本基金转型日为2018年6月2日。本基金的投资转型期为交银施罗德荣和保本混合型证券投资基金保本周期到期期间截止日的次日（即2018年6月2日）起的3个月。截至投资转型期结束，本基金各项资产配置比例符合基金合同及招募说明书有关投资比例的约定。</w:t>
      </w:r>
    </w:p>
    <w:p w14:paraId="25BAF74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10ADCC8B" w14:textId="77777777" w:rsidR="00D0305B" w:rsidRDefault="00AE421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交银施罗德荣和保本混合型证券投资基金</w:t>
      </w:r>
    </w:p>
    <w:p w14:paraId="768CB13B" w14:textId="77777777" w:rsidR="00D0305B" w:rsidRDefault="00AE421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14:paraId="0E78223E" w14:textId="77777777" w:rsidR="00D0305B" w:rsidRDefault="00AE421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（2015年5月29日至2018年6月1日）</w:t>
      </w:r>
    </w:p>
    <w:p w14:paraId="31C6571A" w14:textId="77777777" w:rsidR="00D0305B" w:rsidRDefault="009B79E7">
      <w:pPr>
        <w:autoSpaceDE w:val="0"/>
        <w:autoSpaceDN w:val="0"/>
        <w:adjustRightInd w:val="0"/>
        <w:snapToGrid w:val="0"/>
        <w:spacing w:line="360" w:lineRule="auto"/>
        <w:ind w:firstLineChars="200" w:firstLine="480"/>
        <w:jc w:val="left"/>
        <w:rPr>
          <w:rFonts w:ascii="宋体" w:hAnsi="宋体"/>
          <w:szCs w:val="24"/>
        </w:rPr>
      </w:pPr>
      <w:r>
        <w:rPr>
          <w:rFonts w:ascii="宋体" w:hAnsi="宋体"/>
          <w:kern w:val="0"/>
          <w:sz w:val="24"/>
        </w:rPr>
        <w:lastRenderedPageBreak/>
        <w:pict w14:anchorId="1B5C581A">
          <v:shape id="_x0000_i1027" type="#_x0000_t75" style="width:439.5pt;height:345pt">
            <v:imagedata r:id="rId14" o:title="1521256610242020828"/>
          </v:shape>
        </w:pict>
      </w:r>
    </w:p>
    <w:p w14:paraId="21084B3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563AAE2F"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439312B" w14:textId="77777777" w:rsidR="00D0305B" w:rsidRDefault="00AE421E">
      <w:pPr>
        <w:pStyle w:val="1"/>
        <w:snapToGrid w:val="0"/>
        <w:spacing w:beforeLines="0" w:before="240" w:after="240"/>
        <w:rPr>
          <w:rFonts w:ascii="宋体" w:hAnsi="宋体"/>
          <w:szCs w:val="30"/>
        </w:rPr>
      </w:pPr>
      <w:bookmarkStart w:id="14" w:name="_Toc135812811"/>
      <w:r>
        <w:rPr>
          <w:rFonts w:ascii="Times New Roman" w:hAnsi="Times New Roman"/>
          <w:sz w:val="30"/>
        </w:rPr>
        <w:t>十一、基金的财产</w:t>
      </w:r>
      <w:bookmarkEnd w:id="14"/>
    </w:p>
    <w:p w14:paraId="41200E4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05D04A2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14:paraId="22B89E6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1FA14A5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09AD56D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59E9B6F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61D36C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59CABB8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189A22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81DB5A4"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6CE0C67" w14:textId="77777777" w:rsidR="00D0305B" w:rsidRDefault="00AE421E">
      <w:pPr>
        <w:pStyle w:val="1"/>
        <w:snapToGrid w:val="0"/>
        <w:spacing w:beforeLines="0" w:before="240" w:after="240"/>
        <w:rPr>
          <w:rFonts w:ascii="宋体" w:hAnsi="宋体"/>
          <w:szCs w:val="30"/>
        </w:rPr>
      </w:pPr>
      <w:bookmarkStart w:id="15" w:name="_Toc135812812"/>
      <w:r>
        <w:rPr>
          <w:rFonts w:ascii="Times New Roman" w:hAnsi="Times New Roman"/>
          <w:sz w:val="30"/>
        </w:rPr>
        <w:t>十二、基金资产的估值</w:t>
      </w:r>
      <w:bookmarkEnd w:id="15"/>
    </w:p>
    <w:p w14:paraId="79BE8B4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1DF1338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49527FB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7CFA2F6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基金所拥有的股票、债券、衍生工具和其它投资等持续以公允价值计量的金融资产及负债。</w:t>
      </w:r>
    </w:p>
    <w:p w14:paraId="24F9446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（三）估值方法</w:t>
      </w:r>
    </w:p>
    <w:p w14:paraId="09C30AD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本基金所持有的投资品种，按如下原则进行估值 ：</w:t>
      </w:r>
    </w:p>
    <w:p w14:paraId="1A840D5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5700624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44C7F77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3、当投资品种不存在活跃市场，采用市场参与者普遍认同，且被以往市场实际交易价格验证具有可靠性的估值技术，确定投资品种的公允价值。</w:t>
      </w:r>
    </w:p>
    <w:p w14:paraId="466C913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4、如有充足理由认为按原有方法进行估值不能客观反映上述资产或负债公允价值的，基金管理人可根据具体情况与基金托管人商定后，按最能反映公允价值的方法估值。</w:t>
      </w:r>
    </w:p>
    <w:p w14:paraId="4E0C3C7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5、存在相关法律法规以及监管部门有相关规范的，从其规定。如有新增事项，按监管部门最新规定估值。</w:t>
      </w:r>
    </w:p>
    <w:p w14:paraId="46790F6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D51B32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w:t>
      </w:r>
      <w:r>
        <w:rPr>
          <w:rFonts w:ascii="宋体" w:hAnsi="宋体"/>
          <w:sz w:val="24"/>
        </w:rPr>
        <w:lastRenderedPageBreak/>
        <w:t>理人对基金资产净值的计算结果对外予以公布。</w:t>
      </w:r>
    </w:p>
    <w:p w14:paraId="3252778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（四）估值程序</w:t>
      </w:r>
    </w:p>
    <w:p w14:paraId="20C0046E" w14:textId="29120AC4"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5527D8" w:rsidRPr="005527D8">
        <w:rPr>
          <w:rFonts w:ascii="宋体" w:hAnsi="宋体" w:hint="eastAsia"/>
          <w:sz w:val="24"/>
        </w:rPr>
        <w:t>各类基金份额的</w:t>
      </w:r>
      <w:r>
        <w:rPr>
          <w:rFonts w:ascii="宋体" w:hAnsi="宋体"/>
          <w:sz w:val="24"/>
        </w:rPr>
        <w:t>基金份额净值是按照每个工作日闭市后，</w:t>
      </w:r>
      <w:r w:rsidR="005527D8" w:rsidRPr="00B35535">
        <w:rPr>
          <w:rFonts w:ascii="宋体" w:hAnsi="宋体" w:hint="eastAsia"/>
          <w:sz w:val="24"/>
        </w:rPr>
        <w:t>该类基金份额的</w:t>
      </w:r>
      <w:r>
        <w:rPr>
          <w:rFonts w:ascii="宋体" w:hAnsi="宋体"/>
          <w:sz w:val="24"/>
        </w:rPr>
        <w:t>基金资产净值除以当日</w:t>
      </w:r>
      <w:r w:rsidR="005527D8" w:rsidRPr="00B35535">
        <w:rPr>
          <w:rFonts w:ascii="宋体" w:hAnsi="宋体" w:hint="eastAsia"/>
          <w:sz w:val="24"/>
        </w:rPr>
        <w:t>该类</w:t>
      </w:r>
      <w:r>
        <w:rPr>
          <w:rFonts w:ascii="宋体" w:hAnsi="宋体"/>
          <w:sz w:val="24"/>
        </w:rPr>
        <w:t>基金份额的余额数量计算，精确到0.0001元，小数点后第五位四舍五入。国家另有规定的，从其规定。</w:t>
      </w:r>
    </w:p>
    <w:p w14:paraId="0176C502" w14:textId="13956876"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w:t>
      </w:r>
      <w:r w:rsidR="005527D8" w:rsidRPr="00E95ACC">
        <w:rPr>
          <w:rFonts w:ascii="宋体" w:hAnsi="宋体" w:hint="eastAsia"/>
          <w:sz w:val="24"/>
        </w:rPr>
        <w:t>各类基金份额的</w:t>
      </w:r>
      <w:r>
        <w:rPr>
          <w:rFonts w:ascii="宋体" w:hAnsi="宋体"/>
          <w:sz w:val="24"/>
        </w:rPr>
        <w:t>基金资产净值及基金份额净值，并按规定公告。如遇特殊情况，经中国证监会同意，可以适当延迟计算或公告。</w:t>
      </w:r>
    </w:p>
    <w:p w14:paraId="4470976C" w14:textId="247E70BE"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w:t>
      </w:r>
      <w:r w:rsidR="005527D8" w:rsidRPr="00C5032A">
        <w:rPr>
          <w:rFonts w:ascii="Times New Roman" w:hAnsi="Times New Roman" w:hint="eastAsia"/>
          <w:sz w:val="24"/>
        </w:rPr>
        <w:t>各类</w:t>
      </w:r>
      <w:r>
        <w:rPr>
          <w:rFonts w:ascii="宋体" w:hAnsi="宋体"/>
          <w:sz w:val="24"/>
        </w:rPr>
        <w:t>基金份额净值结果发送基金托管人，经基金托管人复核无误后，由基金管理人依据基金合同和相关法律法规的规定对外公布。</w:t>
      </w:r>
    </w:p>
    <w:p w14:paraId="2E6DDED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（五）估值错误的处理</w:t>
      </w:r>
    </w:p>
    <w:p w14:paraId="480A531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基金管理人和基金托管人将采取必要、适当、合理的措施确保基金资产估值的准确性、及时性。当基金份额净值小数点后第4位以内（含第4位) 发生估值错误时，视为基金份额净值错误。</w:t>
      </w:r>
    </w:p>
    <w:p w14:paraId="4F227EA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961E30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3B50326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0EAA7AC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3D33EFB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0C8022C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2AC2602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w:t>
      </w:r>
      <w:r>
        <w:rPr>
          <w:rFonts w:ascii="宋体" w:hAnsi="宋体"/>
          <w:sz w:val="24"/>
        </w:rPr>
        <w:lastRenderedPageBreak/>
        <w:t>等，因不可抗力原因出现估值错误的当事人不对其他当事人承担赔偿责任，但因该估值错误取得不当得利的当事人仍应负有返还不当得利的义务。</w:t>
      </w:r>
    </w:p>
    <w:p w14:paraId="7DF0167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7E9B43B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582F94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2CA24BF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948685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19D8B5B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29C0FA7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6B5562C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45BC157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5B90125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411BFEC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6A09DF1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17C0B4E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4、基金份额净值估值错误处理的方法如下：</w:t>
      </w:r>
    </w:p>
    <w:p w14:paraId="56E7B35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11D7F2C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w:t>
      </w:r>
    </w:p>
    <w:p w14:paraId="2488FAB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3607B43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（六）暂停估值的情形</w:t>
      </w:r>
    </w:p>
    <w:p w14:paraId="609AA65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27EBF5B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223EBB2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3、占基金相当比例的投资品种的估值出现重大转变，而基金管理人为保障基金份额持有人的利益，决定延迟估值；</w:t>
      </w:r>
    </w:p>
    <w:p w14:paraId="5B9EDE8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4、当特定资产占前一估值日基金资产净值50%以上的，经与基金托管人协商确认后，基金管理人应当暂停估值；</w:t>
      </w:r>
    </w:p>
    <w:p w14:paraId="78CB913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5、中国证监会和基金合同认定的其它情形。</w:t>
      </w:r>
    </w:p>
    <w:p w14:paraId="348F09A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（七）基金净值的确认</w:t>
      </w:r>
    </w:p>
    <w:p w14:paraId="6E732742" w14:textId="3E5E330D"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w:t>
      </w:r>
      <w:r w:rsidR="005527D8" w:rsidRPr="00D0195B">
        <w:rPr>
          <w:rFonts w:hint="eastAsia"/>
          <w:bCs/>
          <w:sz w:val="24"/>
        </w:rPr>
        <w:t>各类基金份额的</w:t>
      </w:r>
      <w:r>
        <w:rPr>
          <w:rFonts w:ascii="宋体" w:hAnsi="宋体"/>
          <w:sz w:val="24"/>
        </w:rPr>
        <w:t>基金资产净值和基金份额净值由基金管理人负责计算，基金托管人负责进行复核。基金管理人应于每个开放日交易结束后计算当日</w:t>
      </w:r>
      <w:r w:rsidR="005527D8" w:rsidRPr="00D0195B">
        <w:rPr>
          <w:rFonts w:hint="eastAsia"/>
          <w:bCs/>
          <w:sz w:val="24"/>
        </w:rPr>
        <w:t>各类基金份额</w:t>
      </w:r>
      <w:r>
        <w:rPr>
          <w:rFonts w:ascii="宋体" w:hAnsi="宋体"/>
          <w:sz w:val="24"/>
        </w:rPr>
        <w:t>的基金资产净值和基金份额净值并发送给基金托管人。基金托管人对净值计算结果复核确认后发送给基金管理人，由基金管理人依据基金合同和相关法律法规的规定对基金净值予以公布。</w:t>
      </w:r>
    </w:p>
    <w:p w14:paraId="52B6010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（八）特殊情形的处理</w:t>
      </w:r>
    </w:p>
    <w:p w14:paraId="2B51E1F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1、基金管理人或基金托管人按估值方法的第4项进行估值时，所造成的误差不作为基金资产估值错误处理。</w:t>
      </w:r>
    </w:p>
    <w:p w14:paraId="7F57006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47B714F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（九）实施侧袋机制期间的基金资产估值</w:t>
      </w:r>
    </w:p>
    <w:p w14:paraId="55ABD4F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本基金实施侧袋机制的，应根据本部分的约定对主袋账户资产进行估值并披露主袋账户的基金净值信息，暂停披露侧袋账户份额净值。</w:t>
      </w:r>
    </w:p>
    <w:p w14:paraId="3C16F3E2"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796F63F" w14:textId="77777777" w:rsidR="00D0305B" w:rsidRDefault="00AE421E">
      <w:pPr>
        <w:pStyle w:val="1"/>
        <w:snapToGrid w:val="0"/>
        <w:spacing w:beforeLines="0" w:before="240" w:after="240"/>
        <w:rPr>
          <w:rFonts w:ascii="宋体" w:hAnsi="宋体"/>
          <w:szCs w:val="30"/>
        </w:rPr>
      </w:pPr>
      <w:bookmarkStart w:id="16" w:name="_Toc135812813"/>
      <w:r>
        <w:rPr>
          <w:rFonts w:ascii="Times New Roman" w:hAnsi="Times New Roman"/>
          <w:sz w:val="30"/>
        </w:rPr>
        <w:t>十三、基金收益与分配</w:t>
      </w:r>
      <w:bookmarkEnd w:id="16"/>
    </w:p>
    <w:p w14:paraId="5571C43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0881A9C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715B26C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50EBD1A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01D6A50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22868BB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1、在符合有关基金分红条件的前提下，基金每年收益分配次数最多为12次，每份基金份额每次分配比例不得低于收益分配基准日每份基金份额可供分配利润的10%；</w:t>
      </w:r>
    </w:p>
    <w:p w14:paraId="1EAB84FE" w14:textId="1D027440"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2、基金收益分配方式分为现金分红与红利再投资，投资人可选择现金红利或将现金红利按除权日的单位净值自动转为</w:t>
      </w:r>
      <w:r w:rsidR="00AF74FE" w:rsidRPr="007C2C1A">
        <w:rPr>
          <w:rFonts w:hAnsi="宋体" w:hint="eastAsia"/>
          <w:sz w:val="24"/>
        </w:rPr>
        <w:t>相应类别的</w:t>
      </w:r>
      <w:r>
        <w:rPr>
          <w:rFonts w:ascii="宋体" w:hAnsi="宋体"/>
          <w:sz w:val="24"/>
        </w:rPr>
        <w:t>基金份额进行再投资；若投资人不选择，本基金默认的收益分配方式是现金分红；</w:t>
      </w:r>
      <w:r w:rsidR="00AF74FE" w:rsidRPr="00E95ACC">
        <w:rPr>
          <w:rFonts w:ascii="宋体" w:hAnsi="宋体" w:hint="eastAsia"/>
          <w:sz w:val="24"/>
        </w:rPr>
        <w:t>基金份额持有人可对其持有的A类基金份额和</w:t>
      </w:r>
      <w:r w:rsidR="00A04E13">
        <w:rPr>
          <w:rFonts w:ascii="宋体" w:hAnsi="宋体" w:hint="eastAsia"/>
          <w:sz w:val="24"/>
        </w:rPr>
        <w:t>E类</w:t>
      </w:r>
      <w:r w:rsidR="00AF74FE" w:rsidRPr="00E95ACC">
        <w:rPr>
          <w:rFonts w:ascii="宋体" w:hAnsi="宋体" w:hint="eastAsia"/>
          <w:sz w:val="24"/>
        </w:rPr>
        <w:t>基金份额分别选择不同的收益分配方式；</w:t>
      </w:r>
    </w:p>
    <w:p w14:paraId="3519B8A6" w14:textId="3DD4782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w:t>
      </w:r>
      <w:r w:rsidR="00AF74FE">
        <w:rPr>
          <w:rFonts w:hint="eastAsia"/>
          <w:bCs/>
          <w:sz w:val="24"/>
        </w:rPr>
        <w:t>任一类</w:t>
      </w:r>
      <w:r>
        <w:rPr>
          <w:rFonts w:ascii="宋体" w:hAnsi="宋体"/>
          <w:sz w:val="24"/>
        </w:rPr>
        <w:t>基金份额净值不能低于面值，即基金收益分配基准日的</w:t>
      </w:r>
      <w:r w:rsidR="00AF74FE">
        <w:rPr>
          <w:rFonts w:hint="eastAsia"/>
          <w:bCs/>
          <w:sz w:val="24"/>
        </w:rPr>
        <w:t>任一类</w:t>
      </w:r>
      <w:r>
        <w:rPr>
          <w:rFonts w:ascii="宋体" w:hAnsi="宋体"/>
          <w:sz w:val="24"/>
        </w:rPr>
        <w:t>基金份额净值减去每单位</w:t>
      </w:r>
      <w:r w:rsidR="00AF74FE">
        <w:rPr>
          <w:rFonts w:hint="eastAsia"/>
          <w:bCs/>
          <w:sz w:val="24"/>
        </w:rPr>
        <w:t>该类</w:t>
      </w:r>
      <w:r>
        <w:rPr>
          <w:rFonts w:ascii="宋体" w:hAnsi="宋体"/>
          <w:sz w:val="24"/>
        </w:rPr>
        <w:t>基金份额收益分配金额后不能低于面值；</w:t>
      </w:r>
    </w:p>
    <w:p w14:paraId="36CD90DF" w14:textId="64869EF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AF74FE" w:rsidRPr="00E95ACC">
        <w:rPr>
          <w:rFonts w:ascii="宋体" w:hAnsi="宋体" w:hint="eastAsia"/>
          <w:sz w:val="24"/>
        </w:rPr>
        <w:t>由于本基金A类基金份额不收取销售服务费，</w:t>
      </w:r>
      <w:r w:rsidR="00A04E13">
        <w:rPr>
          <w:rFonts w:ascii="宋体" w:hAnsi="宋体" w:hint="eastAsia"/>
          <w:sz w:val="24"/>
        </w:rPr>
        <w:t>E类</w:t>
      </w:r>
      <w:r w:rsidR="00AF74FE" w:rsidRPr="00E95ACC">
        <w:rPr>
          <w:rFonts w:ascii="宋体" w:hAnsi="宋体" w:hint="eastAsia"/>
          <w:sz w:val="24"/>
        </w:rPr>
        <w:t>基金份额收取销售服务费，各基金份额类别对应的可供分配利润将有所不同；本基金同一基金份额类别的</w:t>
      </w:r>
      <w:r>
        <w:rPr>
          <w:rFonts w:ascii="宋体" w:hAnsi="宋体"/>
          <w:sz w:val="24"/>
        </w:rPr>
        <w:t>每一基金份额享有同等收益分配权；</w:t>
      </w:r>
    </w:p>
    <w:p w14:paraId="073B895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14:paraId="120F94C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7ACBAAD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726734A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7C5AFBF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14:paraId="49825B0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w:t>
      </w:r>
      <w:r>
        <w:rPr>
          <w:rFonts w:ascii="宋体" w:hAnsi="宋体"/>
          <w:sz w:val="24"/>
        </w:rPr>
        <w:lastRenderedPageBreak/>
        <w:t>得超过15个工作日。</w:t>
      </w:r>
    </w:p>
    <w:p w14:paraId="28EBCD7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79368D4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3CD77D7E" w14:textId="535E12BF"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基金收益分配时所发生的银行转账或其他手续费用由投资者自行承担。当投资人的现金红利小于一定金额，不足以支付银行转账或其他手续费用时，登记机构可将基金份额持有人的现金红利自动转为</w:t>
      </w:r>
      <w:r w:rsidR="00AF74FE" w:rsidRPr="00E95ACC">
        <w:rPr>
          <w:rFonts w:ascii="宋体" w:hAnsi="宋体" w:hint="eastAsia"/>
          <w:sz w:val="24"/>
        </w:rPr>
        <w:t>相应类别的</w:t>
      </w:r>
      <w:r>
        <w:rPr>
          <w:rFonts w:ascii="宋体" w:hAnsi="宋体"/>
          <w:sz w:val="24"/>
        </w:rPr>
        <w:t>基金份额，红利再投资的计算方法，依照《业务规则》执行。</w:t>
      </w:r>
    </w:p>
    <w:p w14:paraId="31F61F5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4A1E35C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040140C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3F1FAC7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（八）实施侧袋机制期间的收益分配</w:t>
      </w:r>
    </w:p>
    <w:p w14:paraId="3D287A0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54DEDAE7"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480A0C5" w14:textId="77777777" w:rsidR="00D0305B" w:rsidRDefault="00AE421E">
      <w:pPr>
        <w:pStyle w:val="1"/>
        <w:snapToGrid w:val="0"/>
        <w:spacing w:beforeLines="0" w:before="240" w:after="240"/>
        <w:rPr>
          <w:rFonts w:ascii="宋体" w:hAnsi="宋体"/>
          <w:szCs w:val="30"/>
        </w:rPr>
      </w:pPr>
      <w:bookmarkStart w:id="17" w:name="_Toc135812814"/>
      <w:r>
        <w:rPr>
          <w:rFonts w:ascii="Times New Roman" w:hAnsi="Times New Roman"/>
          <w:sz w:val="30"/>
        </w:rPr>
        <w:t>十四、基金的费用与税收</w:t>
      </w:r>
      <w:bookmarkEnd w:id="17"/>
    </w:p>
    <w:p w14:paraId="55A458A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1CEA6D5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6870840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3F86FFC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391038D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4、《基金合同》生效后与基金相关的会计师费、律师费和诉讼费；</w:t>
      </w:r>
    </w:p>
    <w:p w14:paraId="3E6129A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3087E98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69177FB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458A8F5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48E6C39F" w14:textId="160CD937" w:rsidR="00613E26" w:rsidRPr="00613E26" w:rsidRDefault="00AE421E" w:rsidP="00613E2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sidR="00613E26" w:rsidRPr="00613E26">
        <w:rPr>
          <w:rFonts w:ascii="宋体" w:hAnsi="宋体" w:hint="eastAsia"/>
          <w:sz w:val="24"/>
        </w:rPr>
        <w:t>本基金从</w:t>
      </w:r>
      <w:r w:rsidR="00A04E13">
        <w:rPr>
          <w:rFonts w:ascii="宋体" w:hAnsi="宋体" w:hint="eastAsia"/>
          <w:sz w:val="24"/>
        </w:rPr>
        <w:t>E类</w:t>
      </w:r>
      <w:r w:rsidR="00613E26" w:rsidRPr="00613E26">
        <w:rPr>
          <w:rFonts w:ascii="宋体" w:hAnsi="宋体" w:hint="eastAsia"/>
          <w:sz w:val="24"/>
        </w:rPr>
        <w:t>基金份额的基金财产中计提的销售服务费；</w:t>
      </w:r>
    </w:p>
    <w:p w14:paraId="6FAA58AB" w14:textId="57EB7AEF" w:rsidR="00D0305B" w:rsidRDefault="00613E26" w:rsidP="00613E26">
      <w:pPr>
        <w:autoSpaceDE w:val="0"/>
        <w:autoSpaceDN w:val="0"/>
        <w:adjustRightInd w:val="0"/>
        <w:snapToGrid w:val="0"/>
        <w:spacing w:line="360" w:lineRule="auto"/>
        <w:ind w:firstLineChars="200" w:firstLine="480"/>
        <w:jc w:val="left"/>
        <w:rPr>
          <w:rFonts w:ascii="宋体" w:hAnsi="宋体"/>
          <w:szCs w:val="24"/>
        </w:rPr>
      </w:pPr>
      <w:r w:rsidRPr="00613E26">
        <w:rPr>
          <w:rFonts w:ascii="宋体" w:hAnsi="宋体" w:hint="eastAsia"/>
          <w:sz w:val="24"/>
        </w:rPr>
        <w:t>10、</w:t>
      </w:r>
      <w:r w:rsidR="00AE421E">
        <w:rPr>
          <w:rFonts w:ascii="宋体" w:hAnsi="宋体"/>
          <w:sz w:val="24"/>
        </w:rPr>
        <w:t>按照国家有关规定和《基金合同》约定，可以在基金财产中列支的其他费用。</w:t>
      </w:r>
    </w:p>
    <w:p w14:paraId="7518845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4898FC5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3015FC5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67D46F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基金管理费按前一日基金资产净值的0.7%年费率计提。管理费的计算方法如下：</w:t>
      </w:r>
    </w:p>
    <w:p w14:paraId="1F17D9D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H＝E×0.7%÷当年天数</w:t>
      </w:r>
    </w:p>
    <w:p w14:paraId="710C760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0618C67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7F8331B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于次月首日起3个工作日内向基金托管人发送基金管理费划付指令，经基金托管人复核后于3个工作日内从基金财产中一次性支付给基金管理人。若遇法定节假日、休息日或不可抗力致使无法按时支付的，顺延至最近可支付日支付。</w:t>
      </w:r>
    </w:p>
    <w:p w14:paraId="67178CA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0D7AD13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基金托管费按前一日基金资产净值的0.2%的年费率计提。托管费的计算方法如下：</w:t>
      </w:r>
    </w:p>
    <w:p w14:paraId="3BB9AEF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H＝E×0.2%÷当年天数</w:t>
      </w:r>
    </w:p>
    <w:p w14:paraId="5D7AB84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47FBBD7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1F9FE03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于次月首日起3个工作日内向基金托管人发送基金托管费划付指令，经基金托管人复核后于3个工作日内从基金财产中一次性支付给基金托管人。若遇法定节假日、休息日或不可抗力致使无法按时支付的，顺延至最近可支付日支付。</w:t>
      </w:r>
    </w:p>
    <w:p w14:paraId="1B07EC0E" w14:textId="43CAC5A5" w:rsidR="00613E26" w:rsidRPr="00613E26" w:rsidRDefault="00AE421E" w:rsidP="00613E2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A04E13">
        <w:rPr>
          <w:rFonts w:ascii="宋体" w:hAnsi="宋体" w:hint="eastAsia"/>
          <w:sz w:val="24"/>
        </w:rPr>
        <w:t>E类</w:t>
      </w:r>
      <w:r w:rsidR="00613E26" w:rsidRPr="00613E26">
        <w:rPr>
          <w:rFonts w:ascii="宋体" w:hAnsi="宋体" w:hint="eastAsia"/>
          <w:sz w:val="24"/>
        </w:rPr>
        <w:t>基金份额的销售服务费</w:t>
      </w:r>
    </w:p>
    <w:p w14:paraId="19F79A53" w14:textId="7AD0637D" w:rsidR="00613E26" w:rsidRPr="00613E26" w:rsidRDefault="00613E26" w:rsidP="00613E26">
      <w:pPr>
        <w:autoSpaceDE w:val="0"/>
        <w:autoSpaceDN w:val="0"/>
        <w:adjustRightInd w:val="0"/>
        <w:snapToGrid w:val="0"/>
        <w:spacing w:line="360" w:lineRule="auto"/>
        <w:ind w:firstLineChars="200" w:firstLine="480"/>
        <w:jc w:val="left"/>
        <w:rPr>
          <w:rFonts w:ascii="宋体" w:hAnsi="宋体"/>
          <w:sz w:val="24"/>
        </w:rPr>
      </w:pPr>
      <w:r w:rsidRPr="00613E26">
        <w:rPr>
          <w:rFonts w:ascii="宋体" w:hAnsi="宋体" w:hint="eastAsia"/>
          <w:sz w:val="24"/>
        </w:rPr>
        <w:t>本基金A类基金份额不收取销售服务费，</w:t>
      </w:r>
      <w:r w:rsidR="00A04E13">
        <w:rPr>
          <w:rFonts w:ascii="宋体" w:hAnsi="宋体" w:hint="eastAsia"/>
          <w:sz w:val="24"/>
        </w:rPr>
        <w:t>E类</w:t>
      </w:r>
      <w:r w:rsidRPr="00613E26">
        <w:rPr>
          <w:rFonts w:ascii="宋体" w:hAnsi="宋体" w:hint="eastAsia"/>
          <w:sz w:val="24"/>
        </w:rPr>
        <w:t>基金份额的销售服务费按前一日</w:t>
      </w:r>
      <w:r w:rsidR="00A04E13">
        <w:rPr>
          <w:rFonts w:ascii="宋体" w:hAnsi="宋体" w:hint="eastAsia"/>
          <w:sz w:val="24"/>
        </w:rPr>
        <w:t>E类</w:t>
      </w:r>
      <w:r w:rsidRPr="00613E26">
        <w:rPr>
          <w:rFonts w:ascii="宋体" w:hAnsi="宋体" w:hint="eastAsia"/>
          <w:sz w:val="24"/>
        </w:rPr>
        <w:t>基金资产净值的0.4%年费率计提。计算方法如下：</w:t>
      </w:r>
    </w:p>
    <w:p w14:paraId="4AE80F55" w14:textId="77777777" w:rsidR="00613E26" w:rsidRPr="00613E26" w:rsidRDefault="00613E26" w:rsidP="00613E26">
      <w:pPr>
        <w:autoSpaceDE w:val="0"/>
        <w:autoSpaceDN w:val="0"/>
        <w:adjustRightInd w:val="0"/>
        <w:snapToGrid w:val="0"/>
        <w:spacing w:line="360" w:lineRule="auto"/>
        <w:ind w:firstLineChars="200" w:firstLine="480"/>
        <w:jc w:val="left"/>
        <w:rPr>
          <w:rFonts w:ascii="宋体" w:hAnsi="宋体"/>
          <w:sz w:val="24"/>
        </w:rPr>
      </w:pPr>
      <w:r w:rsidRPr="00613E26">
        <w:rPr>
          <w:rFonts w:ascii="宋体" w:hAnsi="宋体" w:hint="eastAsia"/>
          <w:sz w:val="24"/>
        </w:rPr>
        <w:t>H＝E×0.4%÷当年天数</w:t>
      </w:r>
    </w:p>
    <w:p w14:paraId="43A11E06" w14:textId="4CBDBE67" w:rsidR="00613E26" w:rsidRPr="00613E26" w:rsidRDefault="00613E26" w:rsidP="00613E26">
      <w:pPr>
        <w:autoSpaceDE w:val="0"/>
        <w:autoSpaceDN w:val="0"/>
        <w:adjustRightInd w:val="0"/>
        <w:snapToGrid w:val="0"/>
        <w:spacing w:line="360" w:lineRule="auto"/>
        <w:ind w:firstLineChars="200" w:firstLine="480"/>
        <w:jc w:val="left"/>
        <w:rPr>
          <w:rFonts w:ascii="宋体" w:hAnsi="宋体"/>
          <w:sz w:val="24"/>
        </w:rPr>
      </w:pPr>
      <w:r w:rsidRPr="00613E26">
        <w:rPr>
          <w:rFonts w:ascii="宋体" w:hAnsi="宋体" w:hint="eastAsia"/>
          <w:sz w:val="24"/>
        </w:rPr>
        <w:t>H为</w:t>
      </w:r>
      <w:r w:rsidR="00A04E13">
        <w:rPr>
          <w:rFonts w:ascii="宋体" w:hAnsi="宋体" w:hint="eastAsia"/>
          <w:sz w:val="24"/>
        </w:rPr>
        <w:t>E类</w:t>
      </w:r>
      <w:r w:rsidRPr="00613E26">
        <w:rPr>
          <w:rFonts w:ascii="宋体" w:hAnsi="宋体" w:hint="eastAsia"/>
          <w:sz w:val="24"/>
        </w:rPr>
        <w:t>基金份额每日应计提的销售服务费</w:t>
      </w:r>
    </w:p>
    <w:p w14:paraId="1709A679" w14:textId="40C97942" w:rsidR="00613E26" w:rsidRPr="00613E26" w:rsidRDefault="00613E26" w:rsidP="00613E26">
      <w:pPr>
        <w:autoSpaceDE w:val="0"/>
        <w:autoSpaceDN w:val="0"/>
        <w:adjustRightInd w:val="0"/>
        <w:snapToGrid w:val="0"/>
        <w:spacing w:line="360" w:lineRule="auto"/>
        <w:ind w:firstLineChars="200" w:firstLine="480"/>
        <w:jc w:val="left"/>
        <w:rPr>
          <w:rFonts w:ascii="宋体" w:hAnsi="宋体"/>
          <w:sz w:val="24"/>
        </w:rPr>
      </w:pPr>
      <w:r w:rsidRPr="00613E26">
        <w:rPr>
          <w:rFonts w:ascii="宋体" w:hAnsi="宋体" w:hint="eastAsia"/>
          <w:sz w:val="24"/>
        </w:rPr>
        <w:t>E为</w:t>
      </w:r>
      <w:r w:rsidR="00A04E13">
        <w:rPr>
          <w:rFonts w:ascii="宋体" w:hAnsi="宋体" w:hint="eastAsia"/>
          <w:sz w:val="24"/>
        </w:rPr>
        <w:t>E类</w:t>
      </w:r>
      <w:r w:rsidRPr="00613E26">
        <w:rPr>
          <w:rFonts w:ascii="宋体" w:hAnsi="宋体" w:hint="eastAsia"/>
          <w:sz w:val="24"/>
        </w:rPr>
        <w:t>基金份额前一日基金资产净值</w:t>
      </w:r>
    </w:p>
    <w:p w14:paraId="68441EB6" w14:textId="372FA005" w:rsidR="00613E26" w:rsidRPr="00613E26" w:rsidRDefault="00A04E13" w:rsidP="00613E2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E类</w:t>
      </w:r>
      <w:r w:rsidR="00613E26" w:rsidRPr="00613E26">
        <w:rPr>
          <w:rFonts w:ascii="宋体" w:hAnsi="宋体" w:hint="eastAsia"/>
          <w:sz w:val="24"/>
        </w:rPr>
        <w:t>基金份额销售服务费每日计提，按月支付。由基金管理人向基金托管人发送销售服务费划付指令，基金托管人复核后于次月首日起5个工作日内从基金资产中一次性支付给基金管理人，由基金管理人代付给销售机构。若遇法定节假日、休息日或不可抗力致使无法按时支付的，顺延至最近可支付日支付。</w:t>
      </w:r>
    </w:p>
    <w:p w14:paraId="5A5FD104" w14:textId="4FA4E6F9" w:rsidR="00613E26" w:rsidRDefault="00A04E13" w:rsidP="00613E26">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E类</w:t>
      </w:r>
      <w:r w:rsidR="00613E26" w:rsidRPr="00613E26">
        <w:rPr>
          <w:rFonts w:ascii="宋体" w:hAnsi="宋体" w:hint="eastAsia"/>
          <w:sz w:val="24"/>
        </w:rPr>
        <w:t>基金份额的销售服务费将专门用于本基金的推广、销售与基金份额持有人服务。</w:t>
      </w:r>
    </w:p>
    <w:p w14:paraId="53684B22" w14:textId="043DB813" w:rsidR="00D0305B" w:rsidRDefault="00613E26" w:rsidP="00613E2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Pr>
          <w:rFonts w:ascii="宋体" w:hAnsi="宋体" w:hint="eastAsia"/>
          <w:sz w:val="24"/>
        </w:rPr>
        <w:t>4</w:t>
      </w:r>
      <w:r>
        <w:rPr>
          <w:rFonts w:ascii="宋体" w:hAnsi="宋体"/>
          <w:sz w:val="24"/>
        </w:rPr>
        <w:t>）</w:t>
      </w:r>
      <w:r w:rsidR="00AE421E">
        <w:rPr>
          <w:rFonts w:ascii="宋体" w:hAnsi="宋体"/>
          <w:sz w:val="24"/>
        </w:rPr>
        <w:t>上述“（一）基金费用的种类”中第3－</w:t>
      </w:r>
      <w:r>
        <w:rPr>
          <w:rFonts w:ascii="宋体" w:hAnsi="宋体"/>
          <w:sz w:val="24"/>
        </w:rPr>
        <w:t>8</w:t>
      </w:r>
      <w:r w:rsidR="00AE421E">
        <w:rPr>
          <w:rFonts w:ascii="宋体" w:hAnsi="宋体"/>
          <w:sz w:val="24"/>
        </w:rPr>
        <w:t>项</w:t>
      </w:r>
      <w:r>
        <w:rPr>
          <w:rFonts w:ascii="宋体" w:hAnsi="宋体" w:hint="eastAsia"/>
          <w:sz w:val="24"/>
        </w:rPr>
        <w:t>、第1</w:t>
      </w:r>
      <w:r>
        <w:rPr>
          <w:rFonts w:ascii="宋体" w:hAnsi="宋体"/>
          <w:sz w:val="24"/>
        </w:rPr>
        <w:t>0</w:t>
      </w:r>
      <w:r>
        <w:rPr>
          <w:rFonts w:ascii="宋体" w:hAnsi="宋体" w:hint="eastAsia"/>
          <w:sz w:val="24"/>
        </w:rPr>
        <w:t>项</w:t>
      </w:r>
      <w:r w:rsidR="00AE421E">
        <w:rPr>
          <w:rFonts w:ascii="宋体" w:hAnsi="宋体"/>
          <w:sz w:val="24"/>
        </w:rPr>
        <w:t>费用，根据有关法律法规及相应协议规定，按费用实际支出金额列入当期费用，由基金托管人从基金财产中支付。</w:t>
      </w:r>
    </w:p>
    <w:p w14:paraId="63172BF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0AFDBF8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43A9650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54948B5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61B34AD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364C2FE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23D71B3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下列费用不列入基金费用：</w:t>
      </w:r>
    </w:p>
    <w:p w14:paraId="0E3C0CD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30C4366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7267885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08E5A48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6CE4C64C" w14:textId="491C8F83"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（四）基金管理人和基金托管人可根据基金发展情况调整基金管理费率、基金托管费率</w:t>
      </w:r>
      <w:r w:rsidR="00F97513">
        <w:rPr>
          <w:rFonts w:ascii="宋体" w:hAnsi="宋体" w:hint="eastAsia"/>
          <w:sz w:val="24"/>
        </w:rPr>
        <w:t>、销售服务费率</w:t>
      </w:r>
      <w:r>
        <w:rPr>
          <w:rFonts w:ascii="宋体" w:hAnsi="宋体"/>
          <w:sz w:val="24"/>
        </w:rPr>
        <w:t>等相关费率。降低基金管理费率、基金托管费率</w:t>
      </w:r>
      <w:r w:rsidR="00F97513">
        <w:rPr>
          <w:rFonts w:ascii="宋体" w:hAnsi="宋体" w:hint="eastAsia"/>
          <w:sz w:val="24"/>
        </w:rPr>
        <w:t>、销售服务费率</w:t>
      </w:r>
      <w:r>
        <w:rPr>
          <w:rFonts w:ascii="宋体" w:hAnsi="宋体"/>
          <w:sz w:val="24"/>
        </w:rPr>
        <w:t>，无须召开基金份额持有人大会。基金管理人必须依照有关规定于新的费率实施日前在指定媒介上刊登公告。</w:t>
      </w:r>
    </w:p>
    <w:p w14:paraId="1F983ED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（五）实施侧袋机制期间的基金费用</w:t>
      </w:r>
    </w:p>
    <w:p w14:paraId="2EB02B1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3772729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14:paraId="3CA2E52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503D918F"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50601F9" w14:textId="77777777" w:rsidR="00D0305B" w:rsidRDefault="00AE421E">
      <w:pPr>
        <w:pStyle w:val="1"/>
        <w:snapToGrid w:val="0"/>
        <w:spacing w:beforeLines="0" w:before="240" w:after="240"/>
        <w:rPr>
          <w:rFonts w:ascii="宋体" w:hAnsi="宋体"/>
          <w:szCs w:val="30"/>
        </w:rPr>
      </w:pPr>
      <w:bookmarkStart w:id="18" w:name="_Toc135812815"/>
      <w:r>
        <w:rPr>
          <w:rFonts w:ascii="Times New Roman" w:hAnsi="Times New Roman"/>
          <w:sz w:val="30"/>
        </w:rPr>
        <w:t>十五、基金的会计与审计</w:t>
      </w:r>
      <w:bookmarkEnd w:id="18"/>
    </w:p>
    <w:p w14:paraId="3286A44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7259AE3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757DF73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14:paraId="7C827E8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353DEB9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23850B1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4207C43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3EFEDDF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5296868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73B4BB0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14:paraId="77787D7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6471605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14:paraId="6C89F964"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43160FA" w14:textId="77777777" w:rsidR="00D0305B" w:rsidRDefault="00AE421E">
      <w:pPr>
        <w:pStyle w:val="1"/>
        <w:snapToGrid w:val="0"/>
        <w:spacing w:beforeLines="0" w:before="240" w:after="240"/>
        <w:rPr>
          <w:rFonts w:ascii="宋体" w:hAnsi="宋体"/>
          <w:szCs w:val="30"/>
        </w:rPr>
      </w:pPr>
      <w:bookmarkStart w:id="19" w:name="_Toc135812816"/>
      <w:r>
        <w:rPr>
          <w:rFonts w:ascii="Times New Roman" w:hAnsi="Times New Roman"/>
          <w:sz w:val="30"/>
        </w:rPr>
        <w:t>十六、基金的信息披露</w:t>
      </w:r>
      <w:bookmarkEnd w:id="19"/>
    </w:p>
    <w:p w14:paraId="7561FCC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（一）本基金的信息披露应符合《基金法》、《运作办法》、《信息披露办法》、《流动性规定》、《基金合同》及其他有关规定。</w:t>
      </w:r>
    </w:p>
    <w:p w14:paraId="4B2C6E8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029A4A6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74242A5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2A78B01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308F99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3A5CD4E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166065E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0B3138E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7A612A1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7C99BB2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30AEBE5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3AC8AF0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3FEE70F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39705EA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26EC7CA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59778EF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1、基金招募说明书、《基金合同》、基金托管协议、基金产品资料概要</w:t>
      </w:r>
    </w:p>
    <w:p w14:paraId="5AB3F08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14:paraId="441EFBE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73B2A1B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26F39AD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A86FE9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57E1EFAC" w14:textId="6D3B1EDF"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w:t>
      </w:r>
      <w:r w:rsidR="003B42CF">
        <w:rPr>
          <w:rFonts w:hint="eastAsia"/>
          <w:bCs/>
          <w:sz w:val="24"/>
        </w:rPr>
        <w:t>分别</w:t>
      </w:r>
      <w:r>
        <w:rPr>
          <w:rFonts w:ascii="宋体" w:hAnsi="宋体"/>
          <w:sz w:val="24"/>
        </w:rPr>
        <w:t>披露一次</w:t>
      </w:r>
      <w:r w:rsidR="003B42CF" w:rsidRPr="00855CCD">
        <w:rPr>
          <w:rFonts w:ascii="宋体" w:hAnsi="宋体" w:hint="eastAsia"/>
          <w:sz w:val="24"/>
        </w:rPr>
        <w:t>A类基金份额和</w:t>
      </w:r>
      <w:r w:rsidR="00A04E13">
        <w:rPr>
          <w:rFonts w:ascii="宋体" w:hAnsi="宋体" w:hint="eastAsia"/>
          <w:sz w:val="24"/>
        </w:rPr>
        <w:t>E类</w:t>
      </w:r>
      <w:r w:rsidR="003B42CF" w:rsidRPr="00855CCD">
        <w:rPr>
          <w:rFonts w:ascii="宋体" w:hAnsi="宋体" w:hint="eastAsia"/>
          <w:sz w:val="24"/>
        </w:rPr>
        <w:t>基金份额所对应的</w:t>
      </w:r>
      <w:r>
        <w:rPr>
          <w:rFonts w:ascii="宋体" w:hAnsi="宋体"/>
          <w:sz w:val="24"/>
        </w:rPr>
        <w:t>基金份额净值和基金份额累计净值。</w:t>
      </w:r>
    </w:p>
    <w:p w14:paraId="11B48D40" w14:textId="277BD2B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在开始办理基金份额申购或者赎回后，基金管理人应当在不晚于每个开放日的次日，通过指定网站、基金销售机构网站或者营业网点</w:t>
      </w:r>
      <w:r w:rsidR="003B42CF" w:rsidRPr="00225924">
        <w:rPr>
          <w:rFonts w:ascii="宋体" w:hAnsi="宋体" w:hint="eastAsia"/>
          <w:sz w:val="24"/>
        </w:rPr>
        <w:t>分别</w:t>
      </w:r>
      <w:r>
        <w:rPr>
          <w:rFonts w:ascii="宋体" w:hAnsi="宋体"/>
          <w:sz w:val="24"/>
        </w:rPr>
        <w:t>披露开放日</w:t>
      </w:r>
      <w:r w:rsidR="003B42CF" w:rsidRPr="00855CCD">
        <w:rPr>
          <w:rFonts w:ascii="宋体" w:hAnsi="宋体" w:hint="eastAsia"/>
          <w:sz w:val="24"/>
        </w:rPr>
        <w:t>A类基金份额和</w:t>
      </w:r>
      <w:r w:rsidR="00A04E13">
        <w:rPr>
          <w:rFonts w:ascii="宋体" w:hAnsi="宋体" w:hint="eastAsia"/>
          <w:sz w:val="24"/>
        </w:rPr>
        <w:t>E类</w:t>
      </w:r>
      <w:r w:rsidR="003B42CF" w:rsidRPr="00855CCD">
        <w:rPr>
          <w:rFonts w:ascii="宋体" w:hAnsi="宋体" w:hint="eastAsia"/>
          <w:sz w:val="24"/>
        </w:rPr>
        <w:t>基金份额所对应</w:t>
      </w:r>
      <w:r>
        <w:rPr>
          <w:rFonts w:ascii="宋体" w:hAnsi="宋体"/>
          <w:sz w:val="24"/>
        </w:rPr>
        <w:t>的基金份额净值和基金份额累计净值。</w:t>
      </w:r>
    </w:p>
    <w:p w14:paraId="569B9C14" w14:textId="081BF119"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w:t>
      </w:r>
      <w:r w:rsidR="00F46FBE" w:rsidRPr="00855CCD">
        <w:rPr>
          <w:rFonts w:ascii="宋体" w:hAnsi="宋体" w:hint="eastAsia"/>
          <w:sz w:val="24"/>
        </w:rPr>
        <w:t>A类基金份额和</w:t>
      </w:r>
      <w:r w:rsidR="00A04E13">
        <w:rPr>
          <w:rFonts w:ascii="宋体" w:hAnsi="宋体" w:hint="eastAsia"/>
          <w:sz w:val="24"/>
        </w:rPr>
        <w:t>E类</w:t>
      </w:r>
      <w:r w:rsidR="00F46FBE" w:rsidRPr="00855CCD">
        <w:rPr>
          <w:rFonts w:ascii="宋体" w:hAnsi="宋体" w:hint="eastAsia"/>
          <w:sz w:val="24"/>
        </w:rPr>
        <w:t>基金份额所对应</w:t>
      </w:r>
      <w:r>
        <w:rPr>
          <w:rFonts w:ascii="宋体" w:hAnsi="宋体"/>
          <w:sz w:val="24"/>
        </w:rPr>
        <w:t>的基金份额净值和基金份额累计净值。</w:t>
      </w:r>
    </w:p>
    <w:p w14:paraId="2ABF7E3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3、基金份额申购、赎回价格</w:t>
      </w:r>
    </w:p>
    <w:p w14:paraId="0F59BA6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w:t>
      </w:r>
      <w:r>
        <w:rPr>
          <w:rFonts w:ascii="宋体" w:hAnsi="宋体"/>
          <w:sz w:val="24"/>
        </w:rPr>
        <w:lastRenderedPageBreak/>
        <w:t>申购、赎回价格的计算方式及有关申购、赎回费率，并保证投资者能够在基金销售机构网站或营业网点查阅或者复制前述信息资料。</w:t>
      </w:r>
    </w:p>
    <w:p w14:paraId="004FF02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4、基金定期报告，包括基金年度报告、基金中期报告和基金季度报告</w:t>
      </w:r>
    </w:p>
    <w:p w14:paraId="15BC1A7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C5070C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650405F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666618F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5D8B11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150DC44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5、临时报告</w:t>
      </w:r>
    </w:p>
    <w:p w14:paraId="4C2E947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14:paraId="320211B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146F533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0DD7E00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2DBA938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69BBAA1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5F78353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219DDC5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401BB8C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w:t>
      </w:r>
      <w:r>
        <w:rPr>
          <w:rFonts w:ascii="宋体" w:hAnsi="宋体"/>
          <w:sz w:val="24"/>
        </w:rPr>
        <w:lastRenderedPageBreak/>
        <w:t>人变更；</w:t>
      </w:r>
    </w:p>
    <w:p w14:paraId="028C475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（8）基金管理人的高级管理人员、基金经理和基金托管人专门基金托管部门负责人发生变动；</w:t>
      </w:r>
    </w:p>
    <w:p w14:paraId="5A9AA6E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（9）基金管理人的董事在最近12个月内变更超过百分之五十，基金管理人、基金托管人专门基金托管部门的主要业务人员在最近12个月内变动超过百分之三十；</w:t>
      </w:r>
    </w:p>
    <w:p w14:paraId="7A01F03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（10）涉及基金财产、基金管理业务、基金托管业务的诉讼或仲裁；</w:t>
      </w:r>
    </w:p>
    <w:p w14:paraId="376A62D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（11）基金管理人或其高级管理人员、基金经理因基金管理业务相关行为受到重大行政处罚、刑事处罚，基金托管人或其专门基金托管部门负责人因基金托管业务相关行为受到重大行政处罚、刑事处罚；</w:t>
      </w:r>
    </w:p>
    <w:p w14:paraId="075E0C8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E1247C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（13）基金收益分配事项；</w:t>
      </w:r>
    </w:p>
    <w:p w14:paraId="5E59008D" w14:textId="57FF505E"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（14）管理费、托管费、</w:t>
      </w:r>
      <w:r w:rsidR="00E75586" w:rsidRPr="00655779">
        <w:rPr>
          <w:rFonts w:hint="eastAsia"/>
          <w:bCs/>
          <w:sz w:val="24"/>
        </w:rPr>
        <w:t>销售服务费、</w:t>
      </w:r>
      <w:r>
        <w:rPr>
          <w:rFonts w:ascii="宋体" w:hAnsi="宋体"/>
          <w:sz w:val="24"/>
        </w:rPr>
        <w:t>申购费、赎回费等费用计提标准、计提方式和费率发生变更；</w:t>
      </w:r>
    </w:p>
    <w:p w14:paraId="1776F7D8" w14:textId="5C7C5B12"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w:t>
      </w:r>
      <w:r w:rsidR="00E75586">
        <w:rPr>
          <w:rFonts w:hint="eastAsia"/>
          <w:bCs/>
          <w:sz w:val="24"/>
        </w:rPr>
        <w:t>任一类</w:t>
      </w:r>
      <w:r>
        <w:rPr>
          <w:rFonts w:ascii="宋体" w:hAnsi="宋体"/>
          <w:sz w:val="24"/>
        </w:rPr>
        <w:t>基金份额净值计价错误达</w:t>
      </w:r>
      <w:r w:rsidR="00E75586">
        <w:rPr>
          <w:rFonts w:hint="eastAsia"/>
          <w:bCs/>
          <w:sz w:val="24"/>
        </w:rPr>
        <w:t>该类</w:t>
      </w:r>
      <w:r>
        <w:rPr>
          <w:rFonts w:ascii="宋体" w:hAnsi="宋体"/>
          <w:sz w:val="24"/>
        </w:rPr>
        <w:t>基金份额净值百分之零点五；</w:t>
      </w:r>
    </w:p>
    <w:p w14:paraId="4A0ECC0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（16）本基金开始办理申购、赎回；</w:t>
      </w:r>
    </w:p>
    <w:p w14:paraId="34B6B32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（17）本基金发生巨额赎回并延期办理；</w:t>
      </w:r>
    </w:p>
    <w:p w14:paraId="60032A3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（18）本基金连续发生巨额赎回并暂停接受赎回申请或延缓支付赎回款项；</w:t>
      </w:r>
    </w:p>
    <w:p w14:paraId="747689E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（19）本基金暂停接受申购、赎回申请或重新接受申购、赎回申请；</w:t>
      </w:r>
    </w:p>
    <w:p w14:paraId="0294E5D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（20）发生涉及基金申购、赎回事项调整或潜在影响投资者赎回等重大事项时；</w:t>
      </w:r>
    </w:p>
    <w:p w14:paraId="2F638B23" w14:textId="77777777" w:rsidR="00E75586" w:rsidRPr="00E75586" w:rsidRDefault="00AE421E" w:rsidP="00E7558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（21）</w:t>
      </w:r>
      <w:r w:rsidR="00E75586" w:rsidRPr="00E75586">
        <w:rPr>
          <w:rFonts w:ascii="宋体" w:hAnsi="宋体" w:hint="eastAsia"/>
          <w:sz w:val="24"/>
        </w:rPr>
        <w:t>本基金增加或调整基金份额类别；</w:t>
      </w:r>
    </w:p>
    <w:p w14:paraId="2542463E" w14:textId="39016E0C" w:rsidR="00D0305B" w:rsidRDefault="00E75586" w:rsidP="00E75586">
      <w:pPr>
        <w:autoSpaceDE w:val="0"/>
        <w:autoSpaceDN w:val="0"/>
        <w:adjustRightInd w:val="0"/>
        <w:snapToGrid w:val="0"/>
        <w:spacing w:line="360" w:lineRule="auto"/>
        <w:ind w:firstLineChars="200" w:firstLine="480"/>
        <w:jc w:val="left"/>
        <w:rPr>
          <w:rFonts w:ascii="宋体" w:hAnsi="宋体"/>
          <w:szCs w:val="24"/>
        </w:rPr>
      </w:pPr>
      <w:r w:rsidRPr="00E75586">
        <w:rPr>
          <w:rFonts w:ascii="宋体" w:hAnsi="宋体" w:hint="eastAsia"/>
          <w:sz w:val="24"/>
        </w:rPr>
        <w:t>（2</w:t>
      </w:r>
      <w:r>
        <w:rPr>
          <w:rFonts w:ascii="宋体" w:hAnsi="宋体"/>
          <w:sz w:val="24"/>
        </w:rPr>
        <w:t>2</w:t>
      </w:r>
      <w:r w:rsidRPr="00E75586">
        <w:rPr>
          <w:rFonts w:ascii="宋体" w:hAnsi="宋体" w:hint="eastAsia"/>
          <w:sz w:val="24"/>
        </w:rPr>
        <w:t>）</w:t>
      </w:r>
      <w:r w:rsidR="00AE421E">
        <w:rPr>
          <w:rFonts w:ascii="宋体" w:hAnsi="宋体"/>
          <w:sz w:val="24"/>
        </w:rPr>
        <w:t>基金信息披露义务人认为可能对基金份额持有人权益或者基金份额的价格产生重大影响的其他事项或中国证监会规定的其他事项。</w:t>
      </w:r>
    </w:p>
    <w:p w14:paraId="7A8D89E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6、澄清公告</w:t>
      </w:r>
    </w:p>
    <w:p w14:paraId="22F0111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w:t>
      </w:r>
      <w:r>
        <w:rPr>
          <w:rFonts w:ascii="宋体" w:hAnsi="宋体"/>
          <w:sz w:val="24"/>
        </w:rPr>
        <w:lastRenderedPageBreak/>
        <w:t>关情况立即报告中国证监会。</w:t>
      </w:r>
    </w:p>
    <w:p w14:paraId="6ECBDB8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7、基金份额持有人大会决议</w:t>
      </w:r>
    </w:p>
    <w:p w14:paraId="1DB254F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5D71555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5FE33EB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8、清算报告</w:t>
      </w:r>
    </w:p>
    <w:p w14:paraId="2BE921E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29C79D8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69F3E7E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10、实施侧袋机制期间的信息披露</w:t>
      </w:r>
    </w:p>
    <w:p w14:paraId="4D13DC1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0DF0068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11、中国证监会规定的其他信息。</w:t>
      </w:r>
    </w:p>
    <w:p w14:paraId="4C3803A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1BF1BD0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23ED32F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14:paraId="5DCA33BB" w14:textId="2267353E"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sidR="00AA794C">
        <w:rPr>
          <w:rFonts w:hint="eastAsia"/>
          <w:bCs/>
          <w:sz w:val="24"/>
        </w:rPr>
        <w:t>各类</w:t>
      </w:r>
      <w:r>
        <w:rPr>
          <w:rFonts w:ascii="宋体" w:hAnsi="宋体"/>
          <w:sz w:val="24"/>
        </w:rPr>
        <w:t>基金份额净值、基金份额申购赎回价格、基金定期报告、更新的招募说明书、基金产品资料概要、基金清算报告等公开披露的相关基金信息进行复核、审查，并向基金管理人进行书面或电子确认。</w:t>
      </w:r>
    </w:p>
    <w:p w14:paraId="312F77A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w:t>
      </w:r>
      <w:r>
        <w:rPr>
          <w:rFonts w:ascii="宋体" w:hAnsi="宋体"/>
          <w:sz w:val="24"/>
        </w:rPr>
        <w:lastRenderedPageBreak/>
        <w:t>金管理人、基金托管人应当向中国证监会基金电子披露网站报送拟披露的基金信息，并保证相关报送信息的真实、准确、完整、及时。</w:t>
      </w:r>
    </w:p>
    <w:p w14:paraId="050D4E8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A897DB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37A96B1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97E2A5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782C504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570FD46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（八）本基金信息披露事项以法律法规规定及本章节约定的内容为准。</w:t>
      </w:r>
    </w:p>
    <w:p w14:paraId="1554914B"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56B938" w14:textId="77777777" w:rsidR="00D0305B" w:rsidRDefault="00AE421E">
      <w:pPr>
        <w:pStyle w:val="1"/>
        <w:snapToGrid w:val="0"/>
        <w:spacing w:beforeLines="0" w:before="240" w:after="240"/>
        <w:rPr>
          <w:rFonts w:ascii="宋体" w:hAnsi="宋体"/>
          <w:szCs w:val="30"/>
        </w:rPr>
      </w:pPr>
      <w:bookmarkStart w:id="20" w:name="_Toc135812817"/>
      <w:r>
        <w:rPr>
          <w:rFonts w:ascii="Times New Roman" w:hAnsi="Times New Roman"/>
          <w:sz w:val="30"/>
        </w:rPr>
        <w:t>十七、侧袋机制</w:t>
      </w:r>
      <w:bookmarkEnd w:id="20"/>
    </w:p>
    <w:p w14:paraId="620C846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（一）侧袋机制的实施条件</w:t>
      </w:r>
    </w:p>
    <w:p w14:paraId="1540C60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0F8D2A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14B5422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（二）实施侧袋机制期间基金份额的申购与赎回</w:t>
      </w:r>
    </w:p>
    <w:p w14:paraId="08B7C01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0C50F7B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193CEF2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51AF1DF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（三）实施侧袋机制期间的基金投资</w:t>
      </w:r>
    </w:p>
    <w:p w14:paraId="461E013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0821B5C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10479DD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267EEEF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（四）实施侧袋机制期间的基金估值</w:t>
      </w:r>
    </w:p>
    <w:p w14:paraId="6EA2337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本基金实施侧袋机制的，基金管理人和基金托管人应对主袋账户资产进行估值并披露主袋账户的基金净值信息，暂停披露侧袋账户份额净值。侧袋账户的会计核算应符合《企业会计准则》的相关要求。</w:t>
      </w:r>
    </w:p>
    <w:p w14:paraId="5F9E911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（五）实施侧袋账户期间的基金费用</w:t>
      </w:r>
    </w:p>
    <w:p w14:paraId="612FEB73" w14:textId="7C2213F8"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w:t>
      </w:r>
      <w:r w:rsidR="00F818F2">
        <w:rPr>
          <w:rFonts w:ascii="宋体" w:hAnsi="宋体" w:hint="eastAsia"/>
          <w:sz w:val="24"/>
        </w:rPr>
        <w:t>等</w:t>
      </w:r>
      <w:r>
        <w:rPr>
          <w:rFonts w:ascii="宋体" w:hAnsi="宋体"/>
          <w:sz w:val="24"/>
        </w:rPr>
        <w:t>按主袋账户基金资产净值作为基数计提。</w:t>
      </w:r>
    </w:p>
    <w:p w14:paraId="0668966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755F08B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（六）侧袋账户中特定资产的处置变现和支付</w:t>
      </w:r>
    </w:p>
    <w:p w14:paraId="59DF4F9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66FE3E2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42A2811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6F3FD21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b/>
          <w:kern w:val="0"/>
          <w:sz w:val="24"/>
        </w:rPr>
        <w:t>（七）侧袋机制的信息披露</w:t>
      </w:r>
    </w:p>
    <w:p w14:paraId="7E6B515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761C24A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30B842B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27E3302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51BC312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00C6ACC2" w14:textId="3051F233" w:rsidR="00C614F3" w:rsidRDefault="00AE421E" w:rsidP="0083173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w:t>
      </w:r>
      <w:r>
        <w:rPr>
          <w:rFonts w:ascii="宋体" w:hAnsi="宋体"/>
          <w:sz w:val="24"/>
        </w:rPr>
        <w:lastRenderedPageBreak/>
        <w:t>和年度报告披露等发表审计意见。</w:t>
      </w:r>
    </w:p>
    <w:p w14:paraId="60DE4373" w14:textId="77777777" w:rsidR="00D0305B" w:rsidRDefault="00AE421E">
      <w:pPr>
        <w:pStyle w:val="1"/>
        <w:snapToGrid w:val="0"/>
        <w:spacing w:beforeLines="0" w:before="240" w:after="240"/>
        <w:rPr>
          <w:rFonts w:ascii="宋体" w:hAnsi="宋体"/>
          <w:szCs w:val="30"/>
        </w:rPr>
      </w:pPr>
      <w:bookmarkStart w:id="21" w:name="_Toc135812818"/>
      <w:r>
        <w:rPr>
          <w:rFonts w:ascii="Times New Roman" w:hAnsi="Times New Roman"/>
          <w:sz w:val="30"/>
        </w:rPr>
        <w:t>十八、风险揭示</w:t>
      </w:r>
      <w:bookmarkEnd w:id="21"/>
    </w:p>
    <w:p w14:paraId="49CE7CB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1193CAB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6DD535A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27776F8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2BFF5D0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EA1739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12DD619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w:t>
      </w:r>
      <w:r>
        <w:rPr>
          <w:rFonts w:ascii="宋体" w:hAnsi="宋体"/>
          <w:sz w:val="24"/>
        </w:rPr>
        <w:lastRenderedPageBreak/>
        <w:t>本基金业绩表现的保证。基金管理人提醒投资人基金投资的“买者自负”原则，在做出投资决策后，基金运营状况与基金净值变化引致的投资风险，由投资人自行负担。</w:t>
      </w:r>
    </w:p>
    <w:p w14:paraId="51F4EA8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3BD69B6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3315A8F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610116E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01D874B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680226F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359D71B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7420CC8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2954313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1DF0C55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38CFD44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180F85A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26882E8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516E452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0E603EB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1D52BFE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0A980CE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634D96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3485478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816746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2、投资市场、行业及资产的流动性风险评估</w:t>
      </w:r>
    </w:p>
    <w:p w14:paraId="107BF27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市的股票、债券和货币市场工具等），同时本基金基于分散投资的原则在行业和个券方面未有高集中度的特征，综合评估在正常市场环境下本基金的流动性风险适中。</w:t>
      </w:r>
    </w:p>
    <w:p w14:paraId="7E11029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6D9E1CE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65C771B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2F61F19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5B7EEB1A" w14:textId="26DEBE92"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B80FF0">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2F0E20D5" w14:textId="578BEAEE"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w:t>
      </w:r>
      <w:r>
        <w:rPr>
          <w:rFonts w:ascii="宋体" w:hAnsi="宋体"/>
          <w:sz w:val="24"/>
        </w:rPr>
        <w:lastRenderedPageBreak/>
        <w:t>选择取消赎回，则其当日未获受理的部分赎回申请将被撤销。</w:t>
      </w:r>
    </w:p>
    <w:p w14:paraId="4C0E63C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5F17497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1B6A81E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600701D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7DE7D6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7D7DD29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F0627C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0A30ED9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12185E3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4BE3A7C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交易对手违约风险是指当债券、票据或债券回购等交易对手违约时，将直接导致基金资产的损失，或导致基金不能及时抓住市场机会，对投资收益产生影响。</w:t>
      </w:r>
    </w:p>
    <w:p w14:paraId="77A7FC1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（五）本基金投资策略所特有的风险</w:t>
      </w:r>
    </w:p>
    <w:p w14:paraId="027F022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1、本基金是债券型基金，投资于债券的比例不低于基金资产的80%，因投资债券类资产而面临债券类资产市场的系统性风险和个券风险；</w:t>
      </w:r>
    </w:p>
    <w:p w14:paraId="5D827F7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7261B8C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3、本基金在主要投资于债券类资产的同时也积极关注股票、权证市场的投资机会，会因投资权益类资产而面临的权益类资产市场的系统性风险和个券风险；</w:t>
      </w:r>
    </w:p>
    <w:p w14:paraId="29FA770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4、本基金可投资创业板股票，创业板个股上市后的前五个交易日不设价格涨跌幅限制，第六个交易日开始涨跌幅限制比例为20%。</w:t>
      </w:r>
    </w:p>
    <w:p w14:paraId="08B4D4A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（六）投资资产支持证券的特定风险</w:t>
      </w:r>
    </w:p>
    <w:p w14:paraId="1C4F02B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1E278CC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（七）投资科创板股票的特定风险</w:t>
      </w:r>
    </w:p>
    <w:p w14:paraId="6E50A2E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268583D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14:paraId="6B20349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4D8F2C8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14:paraId="08ABE13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14:paraId="44EC520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14:paraId="391395D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14:paraId="3F68DF0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541F68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14:paraId="3E9B55B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14:paraId="6834EC1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14:paraId="5151B2D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14:paraId="46472B2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14:paraId="334EC4A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14:paraId="6FDB9DA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（八）其他风险</w:t>
      </w:r>
    </w:p>
    <w:p w14:paraId="573AE43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095294D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4025853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7A73E81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4B9BB02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2EC1439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474B1B5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27650C36"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A923627" w14:textId="77777777" w:rsidR="00D0305B" w:rsidRDefault="00AE421E">
      <w:pPr>
        <w:pStyle w:val="1"/>
        <w:snapToGrid w:val="0"/>
        <w:spacing w:beforeLines="0" w:before="240" w:after="240"/>
        <w:rPr>
          <w:rFonts w:ascii="宋体" w:hAnsi="宋体"/>
          <w:szCs w:val="30"/>
        </w:rPr>
      </w:pPr>
      <w:bookmarkStart w:id="22" w:name="_Toc135812819"/>
      <w:r>
        <w:rPr>
          <w:rFonts w:ascii="Times New Roman" w:hAnsi="Times New Roman"/>
          <w:sz w:val="30"/>
        </w:rPr>
        <w:t>十九、基金合同的变更、终止与基金财产的清算</w:t>
      </w:r>
      <w:bookmarkEnd w:id="22"/>
    </w:p>
    <w:p w14:paraId="06345B6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21A31AB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945B7D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14:paraId="52A9FA7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5DFA4E6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669F38A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054C8FE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653A07E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14:paraId="7E4D36F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14:paraId="7341FDE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45B6DAB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12F271A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A00051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6DCF236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E8D481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4D13339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74AFA35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1119246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（4）制作清算报告；</w:t>
      </w:r>
    </w:p>
    <w:p w14:paraId="0C9581D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5EA3F95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53A05FD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4A894C3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103CB72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044B850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603BFF7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78C362F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7AB8CAE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1E4C5DF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72BE0ED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004D4CB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3083E776"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F536672" w14:textId="77777777" w:rsidR="00D0305B" w:rsidRDefault="00AE421E">
      <w:pPr>
        <w:pStyle w:val="1"/>
        <w:snapToGrid w:val="0"/>
        <w:spacing w:beforeLines="0" w:before="240" w:after="240"/>
        <w:rPr>
          <w:rFonts w:ascii="宋体" w:hAnsi="宋体"/>
          <w:szCs w:val="30"/>
        </w:rPr>
      </w:pPr>
      <w:bookmarkStart w:id="23" w:name="_Toc135812820"/>
      <w:r>
        <w:rPr>
          <w:rFonts w:ascii="Times New Roman" w:hAnsi="Times New Roman"/>
          <w:sz w:val="30"/>
        </w:rPr>
        <w:t>二十、基金合同内容摘要</w:t>
      </w:r>
      <w:bookmarkEnd w:id="23"/>
    </w:p>
    <w:p w14:paraId="4D8DFDB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5B4AB78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5C6EDD4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242AD71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1A8A43F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455EB79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5DB7148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539B104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7ECC451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7D83604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3410F38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095B98B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19FED5C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605B6A8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2E12FBA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14:paraId="294D5FD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1862354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0AA21EB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0881F28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16）在符合有关法律、法规的前提下，制定和调整有关基金申购、赎回、转换等的业务规则；</w:t>
      </w:r>
    </w:p>
    <w:p w14:paraId="7C41216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14:paraId="69AAF40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5E61D1A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1）依法募集资金，办理或者委托经中国证监会认定的其他机构办理基金份额的销售、申购、赎回和登记事宜；</w:t>
      </w:r>
    </w:p>
    <w:p w14:paraId="69B56E6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7058503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070AF53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4A6D727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63CDA11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62A8CE7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0106459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8）采取适当合理的措施使计算基金份额申购、赎回和注销价格的方法符合《基金合同》等法律文件的规定，按有关规定计算并公告基金净值信息，确定基金份额申购、赎回的价格；</w:t>
      </w:r>
    </w:p>
    <w:p w14:paraId="68A768F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7972F31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49E5C95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0F693FB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53BDD25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343AB69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14）按规定受理申购与赎回申请，及时、足额支付赎回款项；</w:t>
      </w:r>
    </w:p>
    <w:p w14:paraId="4B7C4D3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14:paraId="7AAA5EC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14:paraId="75034D3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AB6FFB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797BFDB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24C2571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4E92D02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71489C7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09A69C4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57C71C8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24）执行生效的基金份额持有人大会的决议；</w:t>
      </w:r>
    </w:p>
    <w:p w14:paraId="0C9F1A4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25）建立并保存基金份额持有人名册；</w:t>
      </w:r>
    </w:p>
    <w:p w14:paraId="4EBED89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26）法律法规及中国证监会规定的和《基金合同》约定的其他义务。</w:t>
      </w:r>
    </w:p>
    <w:p w14:paraId="0A884D2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2A03EC3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738AC6A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2DF42DD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w:t>
      </w:r>
      <w:r>
        <w:rPr>
          <w:rFonts w:ascii="宋体" w:hAnsi="宋体"/>
          <w:sz w:val="24"/>
        </w:rPr>
        <w:lastRenderedPageBreak/>
        <w:t>其他费用；</w:t>
      </w:r>
    </w:p>
    <w:p w14:paraId="0B8E7E7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496AFB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53E0BFF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7030A27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14D5C39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67BD443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62EE829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7315A74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20C07F9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3EB309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40B443A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5E9386D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5CA838D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3C99C1C3" w14:textId="6A909815"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w:t>
      </w:r>
      <w:r w:rsidR="00D41DC5">
        <w:rPr>
          <w:rFonts w:ascii="Times New Roman" w:hAnsi="Times New Roman" w:hint="eastAsia"/>
          <w:sz w:val="24"/>
        </w:rPr>
        <w:t>各类</w:t>
      </w:r>
      <w:r>
        <w:rPr>
          <w:rFonts w:ascii="宋体" w:hAnsi="宋体"/>
          <w:sz w:val="24"/>
        </w:rPr>
        <w:t>基金份额净值、基金份额申购、赎回价格；</w:t>
      </w:r>
    </w:p>
    <w:p w14:paraId="71AB230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4D6B2DB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w:t>
      </w:r>
      <w:r>
        <w:rPr>
          <w:rFonts w:ascii="宋体" w:hAnsi="宋体"/>
          <w:sz w:val="24"/>
        </w:rPr>
        <w:lastRenderedPageBreak/>
        <w:t>理人有未执行《基金合同》规定的行为，还应当说明基金托管人是否采取了适当的措施；</w:t>
      </w:r>
    </w:p>
    <w:p w14:paraId="23C68B0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12D1079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14:paraId="781D7A4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1DE9061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0F9C0DA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70C4A35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42BA70F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058C3DB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7027B59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3E6D8F0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0C16176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468BB16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78220CC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4D51A70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0829FB9" w14:textId="6A902039" w:rsidR="00D0305B" w:rsidRDefault="0028781F">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同一类别的</w:t>
      </w:r>
      <w:r w:rsidR="00AE421E">
        <w:rPr>
          <w:rFonts w:ascii="宋体" w:hAnsi="宋体"/>
          <w:sz w:val="24"/>
        </w:rPr>
        <w:t>每份基金份额具有同等的合法权益。</w:t>
      </w:r>
    </w:p>
    <w:p w14:paraId="3E365BA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4667725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0999FE1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2）参与分配清算后的剩余基金财产；</w:t>
      </w:r>
    </w:p>
    <w:p w14:paraId="73B5C90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14:paraId="1FEE7B2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1AF8084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38613AB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05176D6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6ECCF53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47E80EE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2C91931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67C55A0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191CD6D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026A53A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44177F2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4）缴纳基金申购款项及法律法规和《基金合同》所规定的费用；</w:t>
      </w:r>
    </w:p>
    <w:p w14:paraId="5475434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31A2B1F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4991386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632D96B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66FAE4E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422B911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1C6AC54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471FE48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14:paraId="2D8FDD4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w:t>
      </w:r>
      <w:r>
        <w:rPr>
          <w:rFonts w:ascii="宋体" w:hAnsi="宋体"/>
          <w:sz w:val="24"/>
        </w:rPr>
        <w:lastRenderedPageBreak/>
        <w:t>有权代表基金份额持有人出席会议并表决。基金份额持有人持有的每一基金份额拥有平等的投票权。</w:t>
      </w:r>
    </w:p>
    <w:p w14:paraId="032991E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6CCF87A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70944D7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w:t>
      </w:r>
    </w:p>
    <w:p w14:paraId="046BB9F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1）终止《基金合同》，法律法规、基金合同和中国证监会另有规定的除外；</w:t>
      </w:r>
    </w:p>
    <w:p w14:paraId="33C9674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508C245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2B5B597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4）转换基金运作方式，法律法规、基金合同和中国证监会另有规定的除外；</w:t>
      </w:r>
    </w:p>
    <w:p w14:paraId="6A8378ED" w14:textId="3CDDD1D5"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w:t>
      </w:r>
      <w:r w:rsidR="005E212B" w:rsidRPr="005E212B">
        <w:rPr>
          <w:rFonts w:ascii="宋体" w:hAnsi="宋体" w:hint="eastAsia"/>
          <w:sz w:val="24"/>
        </w:rPr>
        <w:t>或提高销售服务费率</w:t>
      </w:r>
      <w:r>
        <w:rPr>
          <w:rFonts w:ascii="宋体" w:hAnsi="宋体"/>
          <w:sz w:val="24"/>
        </w:rPr>
        <w:t>，但法律法规要求提高该等报酬标准的除外；</w:t>
      </w:r>
    </w:p>
    <w:p w14:paraId="50C3085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6524EA0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5433976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8）变更基金投资目标、范围或策略，法律法规、基金合同和中国证监会另有规定的除外；</w:t>
      </w:r>
    </w:p>
    <w:p w14:paraId="5A449B2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9）变更基金份额持有人大会程序，法律法规、基金合同和中国证监会另有规定的除外；</w:t>
      </w:r>
    </w:p>
    <w:p w14:paraId="15019C6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79DA2F2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4250B2A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2CE3954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31E1A28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14:paraId="3823D1B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1）调低基金管理费、基金托管费和其他应由本基金或基金份额持有人承担的费用；</w:t>
      </w:r>
    </w:p>
    <w:p w14:paraId="5130D1F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58F4AA74" w14:textId="2F692D04"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3）在法律法规和《基金合同》规定的范围内，且在对现有基金份额持有人利</w:t>
      </w:r>
      <w:r>
        <w:rPr>
          <w:rFonts w:ascii="宋体" w:hAnsi="宋体"/>
          <w:sz w:val="24"/>
        </w:rPr>
        <w:lastRenderedPageBreak/>
        <w:t>益无实质性不利影响的前提下调整本基金的申购费率、调低赎回费率</w:t>
      </w:r>
      <w:r w:rsidR="005E212B" w:rsidRPr="005E212B">
        <w:rPr>
          <w:rFonts w:ascii="宋体" w:hAnsi="宋体" w:hint="eastAsia"/>
          <w:sz w:val="24"/>
        </w:rPr>
        <w:t>及销售服务费率</w:t>
      </w:r>
      <w:r>
        <w:rPr>
          <w:rFonts w:ascii="宋体" w:hAnsi="宋体"/>
          <w:sz w:val="24"/>
        </w:rPr>
        <w:t>、变更或增加收费方式；</w:t>
      </w:r>
    </w:p>
    <w:p w14:paraId="22BC50CF" w14:textId="77777777" w:rsidR="005E212B" w:rsidRPr="005E212B" w:rsidRDefault="00AE421E" w:rsidP="005E212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5E212B" w:rsidRPr="005E212B">
        <w:rPr>
          <w:rFonts w:ascii="宋体" w:hAnsi="宋体" w:hint="eastAsia"/>
          <w:sz w:val="24"/>
        </w:rPr>
        <w:t>在符合法律法规及本基金合同规定、并且对基金份额持有人利益无实质不利影响的前提下，调整基金份额类别设置、对基金份额分类办法及规则进行调整；</w:t>
      </w:r>
    </w:p>
    <w:p w14:paraId="3D3C1249" w14:textId="2D74E047" w:rsidR="00D0305B" w:rsidRDefault="005E212B" w:rsidP="005E212B">
      <w:pPr>
        <w:autoSpaceDE w:val="0"/>
        <w:autoSpaceDN w:val="0"/>
        <w:adjustRightInd w:val="0"/>
        <w:snapToGrid w:val="0"/>
        <w:spacing w:line="360" w:lineRule="auto"/>
        <w:ind w:firstLineChars="200" w:firstLine="480"/>
        <w:jc w:val="left"/>
        <w:rPr>
          <w:rFonts w:ascii="宋体" w:hAnsi="宋体"/>
          <w:szCs w:val="24"/>
        </w:rPr>
      </w:pPr>
      <w:r w:rsidRPr="005E212B">
        <w:rPr>
          <w:rFonts w:ascii="宋体" w:hAnsi="宋体" w:hint="eastAsia"/>
          <w:sz w:val="24"/>
        </w:rPr>
        <w:t>5）</w:t>
      </w:r>
      <w:r w:rsidR="00AE421E">
        <w:rPr>
          <w:rFonts w:ascii="宋体" w:hAnsi="宋体"/>
          <w:sz w:val="24"/>
        </w:rPr>
        <w:t>因相应的法律法规或登记机构的相关业务规则发生变动而应当对《基金合同》进行修改；</w:t>
      </w:r>
    </w:p>
    <w:p w14:paraId="449654CF" w14:textId="2DC0A313" w:rsidR="00D0305B" w:rsidRDefault="005E21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AE421E">
        <w:rPr>
          <w:rFonts w:ascii="宋体" w:hAnsi="宋体"/>
          <w:sz w:val="24"/>
        </w:rPr>
        <w:t>）对《基金合同》的修改对基金份额持有人利益无实质性不利影响或修改不涉及《基金合同》当事人权利义务关系发生重大变化；</w:t>
      </w:r>
    </w:p>
    <w:p w14:paraId="56405E51" w14:textId="523CD7FC" w:rsidR="00D0305B" w:rsidRDefault="005E21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AE421E">
        <w:rPr>
          <w:rFonts w:ascii="宋体" w:hAnsi="宋体"/>
          <w:sz w:val="24"/>
        </w:rPr>
        <w:t>）在法律法规和《基金合同》规定的范围内，且在对现有基金份额持有人利益无实质性不利影响的前提下，基金推出新业务或服务；</w:t>
      </w:r>
    </w:p>
    <w:p w14:paraId="7E6F3073" w14:textId="0336AE59" w:rsidR="00D0305B" w:rsidRDefault="005E212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AE421E">
        <w:rPr>
          <w:rFonts w:ascii="宋体" w:hAnsi="宋体"/>
          <w:sz w:val="24"/>
        </w:rPr>
        <w:t>）按照法律法规和《基金合同》规定不需召开基金份额持有人大会的以外的其他情形。</w:t>
      </w:r>
    </w:p>
    <w:p w14:paraId="0AA2A29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的存续期内，若基金份额持有人数量连续60个工作日达不到200人或基金资产净值连续60个工作日低于5000万元，本基金管理人将向中国证监会报告并提出解决方案，并召开基金份额持有人大会进行表决。</w:t>
      </w:r>
    </w:p>
    <w:p w14:paraId="1C453E2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276EEF5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65E159F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11442AE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7F2E83C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w:t>
      </w:r>
      <w:r>
        <w:rPr>
          <w:rFonts w:ascii="宋体" w:hAnsi="宋体"/>
          <w:sz w:val="24"/>
        </w:rPr>
        <w:lastRenderedPageBreak/>
        <w:t>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3683764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C5CCF1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3F809A2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43A61E5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14:paraId="56E6991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678CDF8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226715E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67C0280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51CD01C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40C998E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10FB30C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0F8A325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3BAA98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w:t>
      </w:r>
      <w:r>
        <w:rPr>
          <w:rFonts w:ascii="宋体" w:hAnsi="宋体"/>
          <w:sz w:val="24"/>
        </w:rPr>
        <w:lastRenderedPageBreak/>
        <w:t>力。</w:t>
      </w:r>
    </w:p>
    <w:p w14:paraId="6B0632B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67D3DFA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14:paraId="4637253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C9A8C6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00885A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41FC7A1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（2）通讯开会。通讯开会系指基金份额持有人将其对表决事项的投票以书面形式在表决截至日以前送达至召集人指定的地址。通讯开会应以书面方式进行表决。</w:t>
      </w:r>
    </w:p>
    <w:p w14:paraId="0DE57C9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37E935F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08C957A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F333C6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3）本人直接出具书面意见或授权他人代表出具书面意见的，基金份额持有人</w:t>
      </w:r>
      <w:r>
        <w:rPr>
          <w:rFonts w:ascii="宋体" w:hAnsi="宋体"/>
          <w:sz w:val="24"/>
        </w:rPr>
        <w:lastRenderedPageBreak/>
        <w:t>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5BA082B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7C2D39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83CE58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633F694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12B6A9D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49DE61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38918D9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42F10C3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346F066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2254940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w:t>
      </w:r>
      <w:r>
        <w:rPr>
          <w:rFonts w:ascii="宋体" w:hAnsi="宋体"/>
          <w:sz w:val="24"/>
        </w:rPr>
        <w:lastRenderedPageBreak/>
        <w:t>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21BE98E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27FC5B5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747E8E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3CBE9B6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775D25D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4B82B93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7108980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1BDE41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CE5322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1FC1171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D9FDE4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091EBBC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7B16C2C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（1）现场开会</w:t>
      </w:r>
    </w:p>
    <w:p w14:paraId="333AD49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2FB44C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2C8B6E6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C1717B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1CF4DCE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78CC8B9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A135C9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33D322A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基金份额持有人大会决定的事项自表决通过之日起生效，召集人应当自通过之日起5日内报中国证监会备案。</w:t>
      </w:r>
    </w:p>
    <w:p w14:paraId="45E65EA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14:paraId="31CA06A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2E6E3AA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14:paraId="55CC76B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FF38C8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5D639B9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5153F92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1D8ACB4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0A42DE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658257C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546E4B2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2646EE0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0A26D6A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F061A3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78287D6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445EE46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76E22E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14:paraId="273DFB0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0FD4A9E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6C8661F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7A68841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6A1287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14:paraId="3F9A7F0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14:paraId="2507030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190D2B0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2939219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FCB24A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7F490ED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0CB9D4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0E5DB62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3C21348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60E91AB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69B40D5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3B6FC6E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4A2E43A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7）对基金剩余财产进行分配。</w:t>
      </w:r>
    </w:p>
    <w:p w14:paraId="6BE6AFF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0BFA77F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22D83C4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5C8D66E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37B28AF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5789B25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588ABB0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5D368B3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1088486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574E557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733152A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463BBE4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14:paraId="7CFEC6C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（五）基金合同存放及投资者取得基金合同的方式</w:t>
      </w:r>
    </w:p>
    <w:p w14:paraId="551DF56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14:paraId="795D24B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05579E8A"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D69BE05" w14:textId="77777777" w:rsidR="00D0305B" w:rsidRDefault="00AE421E">
      <w:pPr>
        <w:pStyle w:val="1"/>
        <w:snapToGrid w:val="0"/>
        <w:spacing w:beforeLines="0" w:before="240" w:after="240"/>
        <w:rPr>
          <w:rFonts w:ascii="宋体" w:hAnsi="宋体"/>
          <w:szCs w:val="30"/>
        </w:rPr>
      </w:pPr>
      <w:bookmarkStart w:id="24" w:name="_Toc135812821"/>
      <w:r>
        <w:rPr>
          <w:rFonts w:ascii="Times New Roman" w:hAnsi="Times New Roman"/>
          <w:sz w:val="30"/>
        </w:rPr>
        <w:t>二十一、托管协议的内容摘要</w:t>
      </w:r>
      <w:bookmarkEnd w:id="24"/>
    </w:p>
    <w:p w14:paraId="2CAB8DE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4C6F805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6C9BE7B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341459D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注册地址：中国（上海）自由贸易试验区银城中路188号交通银行大楼二层（裙）</w:t>
      </w:r>
    </w:p>
    <w:p w14:paraId="0BC6DC7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办公地址：上海浦东新区世纪大道8号国金中心二期21-22楼</w:t>
      </w:r>
    </w:p>
    <w:p w14:paraId="6705129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48A6A4F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3C12579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14:paraId="26B8065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14:paraId="7CD8FFF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2BDF987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3BE8037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ED8B81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6B1BA42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1E7606F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名称：中国民生银行股份有限公司</w:t>
      </w:r>
    </w:p>
    <w:p w14:paraId="30F55F8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注册地址：北京市西城区复兴门内大街2号</w:t>
      </w:r>
    </w:p>
    <w:p w14:paraId="505EDAA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14:paraId="61F6B78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邮政编码：100031</w:t>
      </w:r>
    </w:p>
    <w:p w14:paraId="50EC33E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法定代表人：高迎欣</w:t>
      </w:r>
    </w:p>
    <w:p w14:paraId="108FE7A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成立日期：1996年2月7日</w:t>
      </w:r>
    </w:p>
    <w:p w14:paraId="7BB7D1F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基金托管业务批准文号：证监基金字[2004]101号</w:t>
      </w:r>
    </w:p>
    <w:p w14:paraId="55FF66D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组织形式：其他股份有限公司（上市）</w:t>
      </w:r>
    </w:p>
    <w:p w14:paraId="421A4703" w14:textId="63CB50F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w:t>
      </w:r>
      <w:r w:rsidR="009425BE" w:rsidRPr="009425BE">
        <w:rPr>
          <w:rFonts w:ascii="宋体" w:hAnsi="宋体"/>
          <w:sz w:val="24"/>
        </w:rPr>
        <w:t>43,782,418,502</w:t>
      </w:r>
      <w:r>
        <w:rPr>
          <w:rFonts w:ascii="宋体" w:hAnsi="宋体"/>
          <w:sz w:val="24"/>
        </w:rPr>
        <w:t>元人民币</w:t>
      </w:r>
    </w:p>
    <w:p w14:paraId="05231B4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存续期间：1996年02月07日至长期</w:t>
      </w:r>
    </w:p>
    <w:p w14:paraId="246BE2F6" w14:textId="77777777" w:rsidR="000A24D9" w:rsidRDefault="000A24D9">
      <w:pPr>
        <w:autoSpaceDE w:val="0"/>
        <w:autoSpaceDN w:val="0"/>
        <w:adjustRightInd w:val="0"/>
        <w:snapToGrid w:val="0"/>
        <w:spacing w:line="360" w:lineRule="auto"/>
        <w:ind w:firstLineChars="200" w:firstLine="480"/>
        <w:jc w:val="left"/>
        <w:rPr>
          <w:rFonts w:ascii="宋体" w:hAnsi="宋体"/>
          <w:sz w:val="24"/>
        </w:rPr>
      </w:pPr>
      <w:r w:rsidRPr="000A24D9">
        <w:rPr>
          <w:rFonts w:ascii="宋体" w:hAnsi="宋体" w:hint="eastAsia"/>
          <w:sz w:val="24"/>
        </w:rPr>
        <w:t>经营范围：吸收公众存款；发放短期、中期和长期贷款；办理国内外结算；办理票据承兑与贴现、发行金融债券；代理发行、代理兑付、承销政府债券；买卖政</w:t>
      </w:r>
      <w:r w:rsidRPr="000A24D9">
        <w:rPr>
          <w:rFonts w:ascii="宋体" w:hAnsi="宋体" w:hint="eastAsia"/>
          <w:sz w:val="24"/>
        </w:rPr>
        <w:lastRenderedPageBreak/>
        <w:t>府债券、金融债券；从事同业拆借；买卖、代理买卖外汇；从事结汇、售汇业务；从事银行卡业务；提供信用证服务及担保；代理收付款项；提供保管箱服务；经国务院银行业监督管理机构批准的其他业务；保险兼业代理业务；证券投资基金销售、证券投资基金托管。（市场主体依法自主选择经营项目，开展经营活动；保险兼业代理业务、证券投资基金销售、证券投资基金托管以及依法须经批准的项目，经相关部门批准后依批准的内容开展经营活动；不得从事国家和本市产业政策禁止和限制类项目的经营活动。）</w:t>
      </w:r>
    </w:p>
    <w:p w14:paraId="29FFA9D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5022BC5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FA1759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交易的国债、金融债、央行票据、地方政府债、企业债、公司债、短期融资券、中期票据、可转换债券及可分离转债、次级债、资产支持证券、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w:t>
      </w:r>
    </w:p>
    <w:p w14:paraId="5029A72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68FD857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的比例不低于基金资产的80%；对股票、权证等权益类资产的投资比例不高于基金资产净值的20%；现金或到期日在一年以内的政府债券的投资比例合计不低于基金资产净值的5%，其中现金不包括结算备付金、存出保证金和应收申购款等。</w:t>
      </w:r>
    </w:p>
    <w:p w14:paraId="60F4FB7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3160060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2、基金托管人根据有关法律法规的规定及基金合同的约定，对基金投资比例进行监督。基金托管人按下述比例和调整期限进行监督：</w:t>
      </w:r>
    </w:p>
    <w:p w14:paraId="4BD3454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1）投资于债券的比例不低于基金资产的80%；对股票、权证等权益类资产的投</w:t>
      </w:r>
      <w:r>
        <w:rPr>
          <w:rFonts w:ascii="宋体" w:hAnsi="宋体"/>
          <w:sz w:val="24"/>
        </w:rPr>
        <w:lastRenderedPageBreak/>
        <w:t>资比例不高于基金资产净值的20%；</w:t>
      </w:r>
    </w:p>
    <w:p w14:paraId="0315AAB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2）保持不低于基金资产净值5％的现金或者到期日在一年以内的政府债券，其中现金不包括结算备付金、存出保证金和应收申购款等；</w:t>
      </w:r>
    </w:p>
    <w:p w14:paraId="71439E0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4A12411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14:paraId="395727E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14:paraId="5FA1C27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 10%；</w:t>
      </w:r>
    </w:p>
    <w:p w14:paraId="5BAF613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14:paraId="72318E7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14:paraId="72324A8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14:paraId="0E6145C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14:paraId="44BDBF9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14:paraId="3E6B48A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14:paraId="34CF689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14:paraId="13EB4F1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14）本基金进入全国银行间同业市场进行债券回购的资金余额不得超过基金资产净值的40%；债券回购最长期限为1年，债券回购到期后不得展期；</w:t>
      </w:r>
    </w:p>
    <w:p w14:paraId="45467CC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15）本基金的基金资产总值不得超过基金资产净值的140%；</w:t>
      </w:r>
    </w:p>
    <w:p w14:paraId="3C2D9A1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3C7D15E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17）本基金管理人管理且由本基金托管人托管的全部开放式基金（包括开放式</w:t>
      </w:r>
      <w:r>
        <w:rPr>
          <w:rFonts w:ascii="宋体" w:hAnsi="宋体"/>
          <w:sz w:val="24"/>
        </w:rPr>
        <w:lastRenderedPageBreak/>
        <w:t>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25BD5B6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C68C2F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19）本基金与私募类证券资管产品及中国证监会认定的其他主体为交易对手开展逆回购交易的，可接受质押品的资质要求应当与基金合同约定的投资范围保持一致；</w:t>
      </w:r>
    </w:p>
    <w:p w14:paraId="0A0BF57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20）法律法规及中国证监会规定的和《基金合同》约定的其他投资限制。</w:t>
      </w:r>
    </w:p>
    <w:p w14:paraId="07D5972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变更之日起不超过3个月的时间区间内为其投资转型期，投资转型期的具体起止日期由基金管理人确定并届时公告。基金管理人应当自投资转型期结束日起次个工作日使本基金的投资组合比例符合基金合同的有关约定。</w:t>
      </w:r>
    </w:p>
    <w:p w14:paraId="2814655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12）、（18）、（19）项以外，因证券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3181BBD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590EED4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3、基金托管人根据有关法律法规的规定及基金合同的约定，对本托管协议第十五条第九款基金投资禁止行为进行监督。基金托管人通过事后监督方式对基金管理人基金投资禁止行为进行监督。</w:t>
      </w:r>
    </w:p>
    <w:p w14:paraId="2CB1D16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w:t>
      </w:r>
      <w:r>
        <w:rPr>
          <w:rFonts w:ascii="宋体" w:hAnsi="宋体"/>
          <w:sz w:val="24"/>
        </w:rPr>
        <w:lastRenderedPageBreak/>
        <w:t>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及时向基金托管人说明理由，协商解决。</w:t>
      </w:r>
    </w:p>
    <w:p w14:paraId="3CBA312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视情况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DFBB65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5、基金托管人根据有关法律法规的规定及基金合同的约定，对基金管理人投资流通受限证券进行监督。</w:t>
      </w:r>
    </w:p>
    <w:p w14:paraId="4C8F5BB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投资流通受限证券，应事先根据中国证监会相关规定，明确基金投资流通受限证券的比例，制订严格的投资决策流程和风险控制制度，防范流动性风险、法律风险和操作风险等各种风险。基金管理人应与基金托管人签订风险补充协议，协议应包括基金托管人对基金管理人是否遵守相关制度、流动性风险处置预案以及相关投资额度和比例等的情况进行监督等内容。</w:t>
      </w:r>
    </w:p>
    <w:p w14:paraId="32BF084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的流通受限证券须为经中国证监会批准的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5AC47A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本基金投资的流通受限证券限于可由中国证券登记结算有限责任公司或中央国债登记结算有限责任公司、银行间清算所股份有限公司负责登记和存管，并可在证券交易所或全国银行间债券市场交易的证券。</w:t>
      </w:r>
    </w:p>
    <w:p w14:paraId="1D44D72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由基金管理人承担。</w:t>
      </w:r>
    </w:p>
    <w:p w14:paraId="74FF1A6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本基金投资流通受限证券，不得预付任何形式的保证金。</w:t>
      </w:r>
    </w:p>
    <w:p w14:paraId="79A4F1C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对本基金因投资流通受限证券导致的流动性风险，基金托管人不承担任何责任。如因基金管理人违反基金合同或预先确定的投资流通受限证券的比例导致本基金出现损失致使基金托管人承担连带赔偿责任的，基金管理人应赔偿基金托管人由此遭受的损失。</w:t>
      </w:r>
    </w:p>
    <w:p w14:paraId="47DD469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（3）本基金有关投资流通受限证券比例如违反有关限制规定，在合理期限内未能进行及时调整，基金管理人应在两个工作日内编制临时报告书，予以公告。</w:t>
      </w:r>
    </w:p>
    <w:p w14:paraId="0EE94E0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（4）基金托管人根据有关规定有权对基金管理人进行以下事项监督：</w:t>
      </w:r>
    </w:p>
    <w:p w14:paraId="2763D14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1）本基金投资流通受限证券时的法律法规遵守情况。</w:t>
      </w:r>
    </w:p>
    <w:p w14:paraId="3B5FEC4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2）在基金投资流通受限证券管理工作方面有关制度、流动性风险处置预案的建立与完善情况。</w:t>
      </w:r>
    </w:p>
    <w:p w14:paraId="69F9349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3）有关比例限制的执行情况。</w:t>
      </w:r>
    </w:p>
    <w:p w14:paraId="18627C6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4）信息披露情况。</w:t>
      </w:r>
    </w:p>
    <w:p w14:paraId="154BAAE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（5）相关法律法规对基金投资流通受限证券有新规定的，从其规定。</w:t>
      </w:r>
    </w:p>
    <w:p w14:paraId="12E822D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当对投资中期票据业务进行研究，认真评估中期票据投资业务的风险，本着审慎、勤勉尽责的原则进行中期票据的投资业务。基金管理人根据法律、法规、监管部门的规定，制定了经公司董事会批准的基金投资中期票据相关制度(以下简称“《制度》”)，以规范对中期票据的投资决策流程、风险控制。基金管理人《制度》的内容与本协议不一致的，以本协议的约定为准。</w:t>
      </w:r>
    </w:p>
    <w:p w14:paraId="6E8D00B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管理的基金在投资中期票据前，基金管理人须根据法律、法规、监管部门的规定，制定严格的关于投资中期票据的风险控制制度和流动性风险处置预案，并与基金托管人签订相关的补充协议，对投资该类产品的风险控制事项予以约定。</w:t>
      </w:r>
    </w:p>
    <w:p w14:paraId="32618DA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此承诺将严格执行该风险控制制度和流动性风险处置预案。基金托管人对基金管理人是否遵守前述风险控制制度和流动性风险处置预案以及基金管理人投资中期票据的额度和比例进行监督。基金托管人如认真履行了上述监督责任，则就基金管理人因投资中期票据所导致的各种风险及后果不承担任何责任。如</w:t>
      </w:r>
      <w:r>
        <w:rPr>
          <w:rFonts w:ascii="宋体" w:hAnsi="宋体"/>
          <w:sz w:val="24"/>
        </w:rPr>
        <w:lastRenderedPageBreak/>
        <w:t>基金托管人认真履行了上述监督责任，则因基金管理人违反基金合同或预先确定的投资中期票据的比例导致本基金出现损失致使基金托管人承担连带赔偿责任的，基金管理人应赔偿基金托管人由此遭受的损失。</w:t>
      </w:r>
    </w:p>
    <w:p w14:paraId="63840E6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（1）基金投资中期票据应遵循以下投资限制：</w:t>
      </w:r>
    </w:p>
    <w:p w14:paraId="5C29F50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1）中期票据属于固定收益类证券，基金投资中期票据应符合法律、法规及《基金合同》中关于该基金投资固定收益类证券的相关比例及期限限制；</w:t>
      </w:r>
    </w:p>
    <w:p w14:paraId="50AA562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2）基金管理人管理的全部公募基金投资于一家企业发行的单期中期票据合计不超过该期证券的10%。</w:t>
      </w:r>
    </w:p>
    <w:p w14:paraId="31B6ED2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（2）基金托管人对基金管理人流动性风险处置的监督职责限于：</w:t>
      </w:r>
    </w:p>
    <w:p w14:paraId="51B3ED3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投资中期票据是否符合比例限制进行监督，如发现异常情况，应及时以书面形式通知基金管理人。基金管理人应积极配合和协助基金托管人的监督和核查。基金管理人接到通知后应及时核对并向基金托管人说明原因和解决措施。基金托管人有权随时对所通知事项进行复查, 督促基金管理人改正。基金管理人违规事项未能在限期内纠正的，基金托管人应报告中国证监会。</w:t>
      </w:r>
    </w:p>
    <w:p w14:paraId="7EA05C3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因证券市场波动、证券发行人合并、基金规模变动等基金管理人之外的因素，基金管理人投资的中期票据超过投资比例的，基金托管人有权要求基金管理人在10个交易日内将中期票据调整至规定的比例要求，但中国证监会规定的特殊情形除外。</w:t>
      </w:r>
    </w:p>
    <w:p w14:paraId="68FE0F14" w14:textId="01DC925B"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7、基金托管人根据有关法律法规的规定及基金合同的约定，对基金资产净值计算、</w:t>
      </w:r>
      <w:r w:rsidR="00C8355B">
        <w:rPr>
          <w:rFonts w:ascii="宋体" w:hAnsi="宋体" w:hint="eastAsia"/>
          <w:sz w:val="24"/>
        </w:rPr>
        <w:t>各类</w:t>
      </w:r>
      <w:r>
        <w:rPr>
          <w:rFonts w:ascii="宋体" w:hAnsi="宋体"/>
          <w:sz w:val="24"/>
        </w:rPr>
        <w:t>基金份额净值计算、应收资金到账、基金费用开支及收入确定、基金收益分配、相关信息披露、基金宣传推介材料中登载基金业绩表现数据等进行监督和核查。</w:t>
      </w:r>
    </w:p>
    <w:p w14:paraId="75956A8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的上述事项及投资指令或实际投资运作违反法律法规、基金合同和本托管协议的规定，应及时以电话提醒或书面提示等方式通知基金管理人限期纠正，并及时向中国证监会报告。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02484F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40E2CA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若基金托管人发现基金管理人依据交易程序已经生效的指令违反法律、行政法规和其他有关规定，或者违反基金合同约定的，应当立即通知基金管理人，由此造成的损失由基金管理人承担，并及时向中国证监会报告。</w:t>
      </w:r>
    </w:p>
    <w:p w14:paraId="7ED5027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CCBEBE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4626893C" w14:textId="6E9F8F49"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1、基金管理人对基金托管人履行托管职责情况进行核查，核查事项包括基金托管人安全保管基金财产、开设基金财产的资金账户和证券账户、复核基金管理人计算的基金资产净值和</w:t>
      </w:r>
      <w:r w:rsidR="0042276C" w:rsidRPr="008E0785">
        <w:rPr>
          <w:rFonts w:ascii="宋体" w:hAnsi="宋体" w:hint="eastAsia"/>
          <w:sz w:val="24"/>
        </w:rPr>
        <w:t>各类</w:t>
      </w:r>
      <w:r>
        <w:rPr>
          <w:rFonts w:ascii="宋体" w:hAnsi="宋体"/>
          <w:sz w:val="24"/>
        </w:rPr>
        <w:t>基金份额净值、根据基金管理人指令办理清算交收、相关信息披露和监督基金投资运作等行为。</w:t>
      </w:r>
    </w:p>
    <w:p w14:paraId="4F6BAE1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102ACC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w:t>
      </w:r>
      <w:r>
        <w:rPr>
          <w:rFonts w:ascii="宋体" w:hAnsi="宋体"/>
          <w:sz w:val="24"/>
        </w:rPr>
        <w:lastRenderedPageBreak/>
        <w:t>方进行有效监督，情节严重或经基金管理人提出警告仍不改正的，基金管理人应报告中国证监会。</w:t>
      </w:r>
    </w:p>
    <w:p w14:paraId="0EAA406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14:paraId="3474A22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797E897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14:paraId="066D64E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（2）基金管理人、基金托管人因依法解散、被依法撤销或者被依法宣告破产等原因进行清算的，基金财产不属于其清算财产。</w:t>
      </w:r>
    </w:p>
    <w:p w14:paraId="2DC448A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（3）基金托管人应安全保管基金财产。未经基金管理人依据合法程序作出的合法合规指令，基金托管人不得自行运用、处分、分配基金的任何财产。非因基金财产本身承担的债务，不得对基金财产强制执行。</w:t>
      </w:r>
    </w:p>
    <w:p w14:paraId="5E23457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（4）基金托管人按照规定开设基金财产的资金账户和证券账户。</w:t>
      </w:r>
    </w:p>
    <w:p w14:paraId="0A2CE58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（5）基金托管人对所托管的不同基金财产分别设置账户，与基金托管人的其他业务和其他基金的托管业务实行严格的分账管理，确保基金财产的完整与独立。</w:t>
      </w:r>
    </w:p>
    <w:p w14:paraId="776E838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（6）基金托管人根据基金管理人的指令，按照基金合同和本协议的约定保管基金财产，如有特殊情况双方可另行协商解决。</w:t>
      </w:r>
    </w:p>
    <w:p w14:paraId="65B9765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6FDB16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除依据法律法规和基金合同的规定外，基金托管人不得委托第三人托管基金财产。</w:t>
      </w:r>
    </w:p>
    <w:p w14:paraId="1D8BDFC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1A1414C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安心收益债券型证券投资基金由交银施罗德荣和保本混合型证券投资基金转型而来。交银施罗德荣和保本混合型证券投资基金已按照法律法规及监管机构要求完成募集，募集资金经普华永道中天会计师事务所（特殊普通合伙）验资，募集所有资金已全额划入该基金基金托管专户。《交银施罗德荣和保本混合型</w:t>
      </w:r>
      <w:r>
        <w:rPr>
          <w:rFonts w:ascii="宋体" w:hAnsi="宋体"/>
          <w:sz w:val="24"/>
        </w:rPr>
        <w:lastRenderedPageBreak/>
        <w:t>证券投资基金基金合同》已于2015年5月29日生效。</w:t>
      </w:r>
    </w:p>
    <w:p w14:paraId="0F6E077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w:t>
      </w:r>
    </w:p>
    <w:p w14:paraId="0B2011C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（1）基金托管人应负责本基金的银行账户的开设和管理。</w:t>
      </w:r>
    </w:p>
    <w:p w14:paraId="6857D59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（2）基金托管人应以本基金名义在其营业机构开立基金的银行账户，并根据基金管理人合法合规的指令办理资金收付。本基金的银行预留印鉴由基金托管人保管和使用。</w:t>
      </w:r>
    </w:p>
    <w:p w14:paraId="0CA8EB5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（3）基金银行账户的开立和使用，限于满足开展本基金业务的需要。基金托管人和基金管理人不得假借本基金的名义开立任何其他银行账户；亦不得使用基金的任何账户进行本基金业务以外的活动。</w:t>
      </w:r>
    </w:p>
    <w:p w14:paraId="4758AC3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（4）基金银行账户的开立和管理应符合银行业监督管理机构的有关规定。</w:t>
      </w:r>
    </w:p>
    <w:p w14:paraId="2FD3846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（5）在符合法律法规规定的条件下，基金托管人可以通过基金托管人专用账户办理基金资产的支付。</w:t>
      </w:r>
    </w:p>
    <w:p w14:paraId="608A8B9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3E1A714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（1）基金托管人在中国证券登记结算有限责任公司上海分公司、深圳分公司为本基金开立基金托管人与本基金联名的证券账户。</w:t>
      </w:r>
    </w:p>
    <w:p w14:paraId="1778A4E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书面同意擅自转让基金的任何证券账户，亦不得使用基金的任何账户进行本基金业务以外的活动。</w:t>
      </w:r>
    </w:p>
    <w:p w14:paraId="0A5C2D2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14:paraId="0D3C2FB2"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自身法人名义在中国证券登记结算有限责任公司开立结算备付金账户，并代表所托管的基金完成与中国证券登记结算有限责任公司的一级法人清算工作，基金管理人应予以积极协助。结算备付金、证券结算保证金等的收取按照中国证券登记结算有限责任公司的规定执行。</w:t>
      </w:r>
    </w:p>
    <w:p w14:paraId="58FE77E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354BF57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14:paraId="3E15012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基金合同生效后，基金托管人根据中国人民银行、中央国债登记结算有限责任公司、银行间清算所股份有限公司的有关规定，以本基金的名义在中央国债登记结</w:t>
      </w:r>
      <w:r>
        <w:rPr>
          <w:rFonts w:ascii="宋体" w:hAnsi="宋体"/>
          <w:sz w:val="24"/>
        </w:rPr>
        <w:lastRenderedPageBreak/>
        <w:t>算有限责任公司、银行间清算所股份有限公司开立债券托管账户，并代表基金进行银行间市场债券的结算。基金管理人和基金托管人共同代表基金签订全国银行间债券市场债券回购主协议。</w:t>
      </w:r>
    </w:p>
    <w:p w14:paraId="46D9A84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2719A2B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（1）因业务发展需要而开立的其他账户，可以根据法律法规和基金合同的规定开立，在基金管理人和基金托管人商议后由基金托管人负责开立。新账户按有关规定使用并管理。</w:t>
      </w:r>
    </w:p>
    <w:p w14:paraId="1D83B75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14:paraId="611D90A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4642F67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不承担保管责任，但基金托管人应妥善保管保管凭证。</w:t>
      </w:r>
    </w:p>
    <w:p w14:paraId="11F5012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7F390BA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重大合同的保管期限为基金合同终止后15年。</w:t>
      </w:r>
    </w:p>
    <w:p w14:paraId="4A81F0F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（五）基金资产净值计算与复核</w:t>
      </w:r>
    </w:p>
    <w:p w14:paraId="760737E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0DF9A8B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3DCB1721" w14:textId="33526C97" w:rsidR="00D0305B" w:rsidRDefault="00D66D1E">
      <w:pPr>
        <w:autoSpaceDE w:val="0"/>
        <w:autoSpaceDN w:val="0"/>
        <w:adjustRightInd w:val="0"/>
        <w:snapToGrid w:val="0"/>
        <w:spacing w:line="360" w:lineRule="auto"/>
        <w:ind w:firstLineChars="200" w:firstLine="480"/>
        <w:jc w:val="left"/>
        <w:rPr>
          <w:rFonts w:ascii="宋体" w:hAnsi="宋体"/>
          <w:szCs w:val="24"/>
        </w:rPr>
      </w:pPr>
      <w:r w:rsidRPr="008E0785">
        <w:rPr>
          <w:rFonts w:ascii="宋体" w:hAnsi="宋体" w:hint="eastAsia"/>
          <w:sz w:val="24"/>
        </w:rPr>
        <w:t>各类基金份额的</w:t>
      </w:r>
      <w:r w:rsidR="00AE421E">
        <w:rPr>
          <w:rFonts w:ascii="宋体" w:hAnsi="宋体"/>
          <w:sz w:val="24"/>
        </w:rPr>
        <w:t>基金份额净值是指计算日</w:t>
      </w:r>
      <w:r w:rsidRPr="008E0785">
        <w:rPr>
          <w:rFonts w:ascii="宋体" w:hAnsi="宋体" w:hint="eastAsia"/>
          <w:sz w:val="24"/>
        </w:rPr>
        <w:t>该类基金份额的</w:t>
      </w:r>
      <w:r w:rsidR="00AE421E">
        <w:rPr>
          <w:rFonts w:ascii="宋体" w:hAnsi="宋体"/>
          <w:sz w:val="24"/>
        </w:rPr>
        <w:t>基金资产净值除以计算日</w:t>
      </w:r>
      <w:r w:rsidRPr="008E0785">
        <w:rPr>
          <w:rFonts w:ascii="宋体" w:hAnsi="宋体" w:hint="eastAsia"/>
          <w:sz w:val="24"/>
        </w:rPr>
        <w:t>该类</w:t>
      </w:r>
      <w:r w:rsidR="00AE421E">
        <w:rPr>
          <w:rFonts w:ascii="宋体" w:hAnsi="宋体"/>
          <w:sz w:val="24"/>
        </w:rPr>
        <w:t>基金份额总数的数值，</w:t>
      </w:r>
      <w:r w:rsidRPr="00217CB6">
        <w:rPr>
          <w:rFonts w:ascii="宋体" w:hAnsi="宋体" w:hint="eastAsia"/>
          <w:sz w:val="24"/>
        </w:rPr>
        <w:t>各类基金份额的</w:t>
      </w:r>
      <w:r w:rsidR="00AE421E">
        <w:rPr>
          <w:rFonts w:ascii="宋体" w:hAnsi="宋体"/>
          <w:sz w:val="24"/>
        </w:rPr>
        <w:t>基金份额净值的计算，</w:t>
      </w:r>
      <w:r>
        <w:rPr>
          <w:rFonts w:ascii="宋体" w:hAnsi="宋体" w:hint="eastAsia"/>
          <w:sz w:val="24"/>
        </w:rPr>
        <w:t>均</w:t>
      </w:r>
      <w:r w:rsidR="00AE421E">
        <w:rPr>
          <w:rFonts w:ascii="宋体" w:hAnsi="宋体"/>
          <w:sz w:val="24"/>
        </w:rPr>
        <w:t>精确到0.0001元，小数点后第五位四舍五入，国家另有规定的，从其规定。</w:t>
      </w:r>
    </w:p>
    <w:p w14:paraId="334316DE" w14:textId="62DBE84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w:t>
      </w:r>
      <w:r w:rsidR="00DF473E" w:rsidRPr="009D3FDA">
        <w:rPr>
          <w:rFonts w:ascii="宋体" w:hAnsi="宋体" w:hint="eastAsia"/>
          <w:sz w:val="24"/>
        </w:rPr>
        <w:t>各类基金份额的</w:t>
      </w:r>
      <w:r>
        <w:rPr>
          <w:rFonts w:ascii="宋体" w:hAnsi="宋体"/>
          <w:sz w:val="24"/>
        </w:rPr>
        <w:t>基金资产净值及基金份额净值，</w:t>
      </w:r>
      <w:r>
        <w:rPr>
          <w:rFonts w:ascii="宋体" w:hAnsi="宋体"/>
          <w:sz w:val="24"/>
        </w:rPr>
        <w:lastRenderedPageBreak/>
        <w:t>经基金托管人复核，按规定公告。如遇特殊情况，经中国证监会同意，可以适当延迟计算或公告。</w:t>
      </w:r>
    </w:p>
    <w:p w14:paraId="2FD1203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04CE729F" w14:textId="5552695F"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基金管理人应每个工作日对基金资产估值，但基金管理人根据法律法规或基金合同的规定暂停估值时除外。基金管理人每工作日对基金资产进行估值后，将</w:t>
      </w:r>
      <w:r w:rsidR="0072600E">
        <w:rPr>
          <w:rFonts w:ascii="宋体" w:hAnsi="宋体" w:hint="eastAsia"/>
          <w:sz w:val="24"/>
        </w:rPr>
        <w:t>各类</w:t>
      </w:r>
      <w:r>
        <w:rPr>
          <w:rFonts w:ascii="宋体" w:hAnsi="宋体"/>
          <w:sz w:val="24"/>
        </w:rPr>
        <w:t>基金份额净值结果以双方约定的方式提交给基金托管人，经基金托管人复核无误后，以约定的方式将复核结果提交给基金管理人，由基金管理人依据基金合同和有关法律法规对外公布。月末、年中和年末估值复核与基金会计账目的核对同时进行。</w:t>
      </w:r>
    </w:p>
    <w:p w14:paraId="7F0FE28C" w14:textId="495C99AF"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1F731C2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（六）基金份额持有人名册的登记与保管</w:t>
      </w:r>
    </w:p>
    <w:p w14:paraId="1E0CEC5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份额持有人名册由登记机构根据基金管理人的指令编制和保管，基金管理人和基金托管人应分别保管基金份额持有人名册，保存期不少于15年。如不能妥善保管，则按相关法规承担责任。</w:t>
      </w:r>
    </w:p>
    <w:p w14:paraId="70D3F1C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0DEFBBF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14:paraId="410A7D4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托管协议产生或与之相关的争议，双方当事人应通过协商、调解解决，协商、调解不能解决的，任何一方均有权将争议提交中国国际经济贸易仲裁委员会进行仲裁，仲裁地点为北京市，按照中国国际经济贸易仲裁委员会届时有效的仲裁规则进行仲裁。仲裁裁决是终局的，对本托管协议双方当事人均有约束力，除非仲裁裁决另有规定，仲裁费用、律师费由败诉方承担。</w:t>
      </w:r>
    </w:p>
    <w:p w14:paraId="4A75978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争议处理期间，本托管协议双方当事人应恪守基金管理人和基金托管人职责，各自继续忠实、勤勉、尽责地履行基金合同和本托管协议规定的义务，维护基金份</w:t>
      </w:r>
      <w:r>
        <w:rPr>
          <w:rFonts w:ascii="宋体" w:hAnsi="宋体"/>
          <w:sz w:val="24"/>
        </w:rPr>
        <w:lastRenderedPageBreak/>
        <w:t>额持有人的合法权益。</w:t>
      </w:r>
    </w:p>
    <w:p w14:paraId="1C43553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14:paraId="5E27D3E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（八）托管协议的修改与终止</w:t>
      </w:r>
    </w:p>
    <w:p w14:paraId="38F9FB7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1、本托管协议的变更程序</w:t>
      </w:r>
    </w:p>
    <w:p w14:paraId="69320D2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本托管协议双方当事人经协商一致，可以对本托管协议进行修改。修改后的新托管协议，其内容不得与基金合同的规定有任何冲突。基金托管协议的变更应报中国证监会备案。</w:t>
      </w:r>
    </w:p>
    <w:p w14:paraId="402F7F1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2、基金托管协议终止出现的情形</w:t>
      </w:r>
    </w:p>
    <w:p w14:paraId="792B5AB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0F44E62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613DD90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1CBCD01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（4）发生法律法规、监管部门或基金合同规定的其他终止事项。</w:t>
      </w:r>
    </w:p>
    <w:p w14:paraId="1287F2AD"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475950B" w14:textId="77777777" w:rsidR="00D0305B" w:rsidRDefault="00AE421E">
      <w:pPr>
        <w:pStyle w:val="1"/>
        <w:snapToGrid w:val="0"/>
        <w:spacing w:beforeLines="0" w:before="240" w:after="240"/>
        <w:rPr>
          <w:rFonts w:ascii="宋体" w:hAnsi="宋体"/>
          <w:szCs w:val="30"/>
        </w:rPr>
      </w:pPr>
      <w:bookmarkStart w:id="25" w:name="_Toc135812822"/>
      <w:r>
        <w:rPr>
          <w:rFonts w:ascii="Times New Roman" w:hAnsi="Times New Roman"/>
          <w:sz w:val="30"/>
        </w:rPr>
        <w:t>二十二、对基金份额持有人的服务</w:t>
      </w:r>
      <w:bookmarkEnd w:id="25"/>
    </w:p>
    <w:p w14:paraId="2DE3715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097F956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14:paraId="7E939437"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1、基金合同生效后的每次交易结束后，投资人可在T+2个工作日后通过销售机构的网点查询和打印确认单；</w:t>
      </w:r>
    </w:p>
    <w:p w14:paraId="7EA9EF3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584B579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14:paraId="5D6D1041" w14:textId="29121378"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w:t>
      </w:r>
      <w:r w:rsidR="00944B99" w:rsidRPr="00CF305F">
        <w:rPr>
          <w:rFonts w:ascii="宋体" w:hAnsi="宋体" w:hint="eastAsia"/>
          <w:sz w:val="24"/>
        </w:rPr>
        <w:t>A类基金份额和</w:t>
      </w:r>
      <w:r w:rsidR="00A04E13">
        <w:rPr>
          <w:rFonts w:ascii="宋体" w:hAnsi="宋体" w:hint="eastAsia"/>
          <w:sz w:val="24"/>
        </w:rPr>
        <w:t>E类</w:t>
      </w:r>
      <w:r>
        <w:rPr>
          <w:rFonts w:ascii="宋体" w:hAnsi="宋体"/>
          <w:sz w:val="24"/>
        </w:rPr>
        <w:t>基金份额的申购、赎回、定期定额投资、转换等业务。通过网上直销交易平台办理本基金</w:t>
      </w:r>
      <w:r w:rsidR="00944B99" w:rsidRPr="002641B4">
        <w:rPr>
          <w:rFonts w:ascii="宋体" w:hAnsi="宋体" w:hint="eastAsia"/>
          <w:sz w:val="24"/>
        </w:rPr>
        <w:t>A类基金份额</w:t>
      </w:r>
      <w:r>
        <w:rPr>
          <w:rFonts w:ascii="宋体" w:hAnsi="宋体"/>
          <w:sz w:val="24"/>
        </w:rPr>
        <w:t>申购和定期定额投资业务的个人投资者将享受前端申购费率的优惠，其他费率标准不变。具体优惠费率请参见公司网站列示的网上直销申购、定期定额投资费率表或相关公告。</w:t>
      </w:r>
    </w:p>
    <w:p w14:paraId="3C156ED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1D4B3203"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在条件成熟的时候，本基金管理人将根据基金网上直销业务的发展状况，适时调整可用于网上直销交易平台的银行卡种类，敬请个人投资者留意相关公告。</w:t>
      </w:r>
    </w:p>
    <w:p w14:paraId="68CA5E2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14:paraId="3689E4F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14:paraId="6320B9E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7989CB2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3642B1DE"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（四）基金转换业务</w:t>
      </w:r>
    </w:p>
    <w:p w14:paraId="37AE554F"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本基金已开通转换业务，具体实施方法请参见相关公告。</w:t>
      </w:r>
    </w:p>
    <w:p w14:paraId="360B925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（五）定期定额投资计划</w:t>
      </w:r>
    </w:p>
    <w:p w14:paraId="74FACB6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5459410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7F20558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167DE76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723E9E1"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37D0602A"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5005F5D0"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（六）如本招募说明书存在任何您/贵机构无法理解的内容，请通过上述方式联系基金管理人。请确保投资前，您/贵机构已经全面理解了本招募说明书。</w:t>
      </w:r>
    </w:p>
    <w:p w14:paraId="0FB3FC24"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6DCA0D0" w14:textId="77777777" w:rsidR="00D0305B" w:rsidRDefault="00AE421E">
      <w:pPr>
        <w:pStyle w:val="1"/>
        <w:snapToGrid w:val="0"/>
        <w:spacing w:beforeLines="0" w:before="240" w:after="240"/>
        <w:rPr>
          <w:rFonts w:ascii="宋体" w:hAnsi="宋体"/>
          <w:szCs w:val="30"/>
        </w:rPr>
      </w:pPr>
      <w:bookmarkStart w:id="26" w:name="_Toc135812823"/>
      <w:r>
        <w:rPr>
          <w:rFonts w:ascii="Times New Roman" w:hAnsi="Times New Roman"/>
          <w:sz w:val="30"/>
        </w:rPr>
        <w:t>二十三、其他应披露事项</w:t>
      </w:r>
      <w:bookmarkEnd w:id="26"/>
    </w:p>
    <w:p w14:paraId="5911F3B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20BFE7D6"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8"/>
        <w:gridCol w:w="3025"/>
        <w:gridCol w:w="3024"/>
        <w:gridCol w:w="1613"/>
      </w:tblGrid>
      <w:tr w:rsidR="00D0305B" w14:paraId="4B0822C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2DB83B"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5E01B82D"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0303833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38CDD243"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D0305B" w14:paraId="5D470A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2B970C"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D4E5DE9"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交银施罗德安心收益债券型证券投资基金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275701D"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E5AD26A"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D0305B" w14:paraId="6E3D42B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5B0F8B"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56FEC4A"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交银施罗德安心收益债券型证券投资基金基金产品资料概要更新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1C88D7A"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5E85CC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D0305B" w14:paraId="18F729D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357EA9"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248EFF1"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交银施罗德安心收益债券型证券投资基金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3299C29"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E589FC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D0305B" w14:paraId="61AD1A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0D7ABE"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92AB019"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25B2B08F"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32C32F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D0305B" w14:paraId="673A91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D80379"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20A1592"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交银施罗德基金管理有限公司关于交银施罗德安心收益债券型证券投资基金开放日常转换业务的公告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77EA48FE"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1FF38FF"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2022-08-10</w:t>
            </w:r>
          </w:p>
        </w:tc>
      </w:tr>
      <w:tr w:rsidR="00D0305B" w14:paraId="30034A6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E29BB7"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2C7C8B0E"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交银施罗德安心收益债券型证券投资基金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40EF6E2E"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C62A93D"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D0305B" w14:paraId="542CE2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4AF318"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B5C9BBD"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交银施罗德基金管理有限公司关于增加中国人寿保险股份有限公司为旗下基金的销售机构的公告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ACF6818"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1D930AC"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2022-08-31</w:t>
            </w:r>
          </w:p>
        </w:tc>
      </w:tr>
      <w:tr w:rsidR="00D0305B" w14:paraId="5335DBD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018095"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9AEBDA1"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14:paraId="2FAD99BD"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1EFAFB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D0305B" w14:paraId="6EBF09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3EF249"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0DE1C30C"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交银施罗德安心收益债券型证券投资基金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90465BF"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8C027AE"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D0305B" w14:paraId="1B9312D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CE7622"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896B7EA"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交银施罗德安心收益债券型证券投资基金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91A6360"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4632BC5"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D0305B" w14:paraId="3B92E8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476A25"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11</w:t>
            </w:r>
          </w:p>
        </w:tc>
        <w:tc>
          <w:tcPr>
            <w:tcW w:w="750" w:type="pct"/>
            <w:tcBorders>
              <w:top w:val="single" w:sz="4" w:space="0" w:color="auto"/>
              <w:left w:val="single" w:sz="4" w:space="0" w:color="auto"/>
              <w:bottom w:val="single" w:sz="4" w:space="0" w:color="auto"/>
              <w:right w:val="single" w:sz="4" w:space="0" w:color="auto"/>
            </w:tcBorders>
            <w:vAlign w:val="center"/>
          </w:tcPr>
          <w:p w14:paraId="72C000AE"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AE6FB23"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A3D452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D0305B" w14:paraId="7823400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EA54DE"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71C68AE2"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交银施罗德安心收益债券型证券投资基金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68CAEFD1"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C5F1E89"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D0305B" w14:paraId="27DE24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5CAA67"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2D022B7A"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交银施罗德安心收益债券型证券投资基金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74ABD1D" w14:textId="77777777" w:rsidR="00D0305B" w:rsidRDefault="00AE421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945DA8D" w14:textId="77777777" w:rsidR="00D0305B" w:rsidRDefault="00AE421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bl>
    <w:p w14:paraId="103D1E74"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3C6123F" w14:textId="77777777" w:rsidR="00D0305B" w:rsidRDefault="00AE421E">
      <w:pPr>
        <w:pStyle w:val="1"/>
        <w:snapToGrid w:val="0"/>
        <w:spacing w:beforeLines="0" w:before="240" w:after="240"/>
        <w:rPr>
          <w:rFonts w:ascii="宋体" w:hAnsi="宋体"/>
          <w:szCs w:val="30"/>
        </w:rPr>
      </w:pPr>
      <w:bookmarkStart w:id="27" w:name="_Toc135812824"/>
      <w:r>
        <w:rPr>
          <w:rFonts w:ascii="Times New Roman" w:hAnsi="Times New Roman"/>
          <w:sz w:val="30"/>
        </w:rPr>
        <w:t>二十四、招募说明书的存放及查阅方式</w:t>
      </w:r>
      <w:bookmarkEnd w:id="27"/>
    </w:p>
    <w:p w14:paraId="30B6C70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6EFDACE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14DF32ED" w14:textId="77777777" w:rsidR="00C614F3" w:rsidRDefault="00AE421E" w:rsidP="00C614F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1B15E47" w14:textId="77777777" w:rsidR="00D0305B" w:rsidRDefault="00AE421E">
      <w:pPr>
        <w:pStyle w:val="1"/>
        <w:snapToGrid w:val="0"/>
        <w:spacing w:beforeLines="0" w:before="240" w:after="240"/>
        <w:rPr>
          <w:rFonts w:ascii="宋体" w:hAnsi="宋体"/>
          <w:szCs w:val="30"/>
        </w:rPr>
      </w:pPr>
      <w:bookmarkStart w:id="28" w:name="_Toc135812825"/>
      <w:r>
        <w:rPr>
          <w:rFonts w:ascii="Times New Roman" w:hAnsi="Times New Roman"/>
          <w:sz w:val="30"/>
        </w:rPr>
        <w:t>二十五、备查文件</w:t>
      </w:r>
      <w:bookmarkEnd w:id="28"/>
    </w:p>
    <w:p w14:paraId="1C7A9BC4"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26B67D1B"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（一）中国证监会准予交银施罗德荣和保本混合型证券投资基金募集注册的文件</w:t>
      </w:r>
    </w:p>
    <w:p w14:paraId="41EA328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（二）《交银施罗德安心收益债券型证券投资基金基金合同》</w:t>
      </w:r>
    </w:p>
    <w:p w14:paraId="50A21879"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（三）《交银施罗德安心收益债券型证券投资基金托管协议》</w:t>
      </w:r>
    </w:p>
    <w:p w14:paraId="7591BE35"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733AF8CD"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3867D2EC"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（六）关于申请募集注册交银施罗德荣和保本混合型证券投资基金的法律意见书</w:t>
      </w:r>
    </w:p>
    <w:p w14:paraId="02138AB8" w14:textId="77777777" w:rsidR="00D0305B" w:rsidRDefault="00AE421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（七）关于交银施罗德荣和保本混合型证券投资基金保本周期到期转型及基金合同修改的法律意见书</w:t>
      </w:r>
    </w:p>
    <w:sectPr w:rsidR="00D0305B">
      <w:footerReference w:type="default" r:id="rId15"/>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15D68B" w16cid:durableId="2821F24E"/>
  <w16cid:commentId w16cid:paraId="189EB7F8" w16cid:durableId="286386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620C5" w14:textId="77777777" w:rsidR="00130854" w:rsidRDefault="00130854">
      <w:r>
        <w:separator/>
      </w:r>
    </w:p>
  </w:endnote>
  <w:endnote w:type="continuationSeparator" w:id="0">
    <w:p w14:paraId="2FD89B78" w14:textId="77777777" w:rsidR="00130854" w:rsidRDefault="0013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985E9" w14:textId="77777777" w:rsidR="00AE5EA6" w:rsidRDefault="00130854">
    <w:pPr>
      <w:autoSpaceDE w:val="0"/>
      <w:autoSpaceDN w:val="0"/>
      <w:adjustRightInd w:val="0"/>
      <w:spacing w:line="200" w:lineRule="exact"/>
      <w:jc w:val="left"/>
      <w:rPr>
        <w:rFonts w:ascii="Times New Roman" w:hAnsi="Times New Roman"/>
        <w:kern w:val="0"/>
        <w:sz w:val="20"/>
        <w:szCs w:val="20"/>
      </w:rPr>
    </w:pPr>
    <w:r>
      <w:pict w14:anchorId="1ED179DE">
        <v:shapetype id="_x0000_t202" coordsize="21600,21600" o:spt="202" path="m,l,21600r21600,l21600,xe">
          <v:stroke joinstyle="miter"/>
          <v:path gradientshapeok="t" o:connecttype="rect"/>
        </v:shapetype>
        <v:shape id="_x0000_s2049" type="#_x0000_t202" style="position:absolute;margin-left:293.4pt;margin-top:782.6pt;width:21.6pt;height:11pt;z-index:-2;mso-position-horizontal-relative:page;mso-position-vertical-relative:page;mso-width-relative:page;mso-height-relative:page" o:allowincell="f" filled="f" stroked="f">
          <v:textbox style="mso-next-textbox:#_x0000_s2049" inset="0,0,0,0">
            <w:txbxContent>
              <w:p w14:paraId="6F11F17C" w14:textId="1BF7F5B8" w:rsidR="00AE5EA6" w:rsidRDefault="00AE5EA6">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B79E7">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63C98" w14:textId="77777777" w:rsidR="00AE5EA6" w:rsidRDefault="00130854">
    <w:pPr>
      <w:autoSpaceDE w:val="0"/>
      <w:autoSpaceDN w:val="0"/>
      <w:adjustRightInd w:val="0"/>
      <w:spacing w:line="200" w:lineRule="exact"/>
      <w:jc w:val="left"/>
      <w:rPr>
        <w:rFonts w:ascii="Times New Roman" w:hAnsi="Times New Roman"/>
        <w:kern w:val="0"/>
        <w:sz w:val="20"/>
        <w:szCs w:val="20"/>
      </w:rPr>
    </w:pPr>
    <w:r>
      <w:pict w14:anchorId="5AFE766C">
        <v:shapetype id="_x0000_t202" coordsize="21600,21600" o:spt="202" path="m,l,21600r21600,l21600,xe">
          <v:stroke joinstyle="miter"/>
          <v:path gradientshapeok="t" o:connecttype="rect"/>
        </v:shapetype>
        <v:shape id="_x0000_s2068" type="#_x0000_t202" style="position:absolute;margin-left:291.25pt;margin-top:773.85pt;width:33.5pt;height:11pt;z-index:-1;mso-position-horizontal-relative:page;mso-position-vertical-relative:page;mso-width-relative:page;mso-height-relative:page" o:allowincell="f" filled="f" stroked="f">
          <v:textbox inset="0,0,0,0">
            <w:txbxContent>
              <w:p w14:paraId="68E480AB" w14:textId="6FB7B508" w:rsidR="00AE5EA6" w:rsidRDefault="00AE5EA6">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B79E7">
                  <w:rPr>
                    <w:rFonts w:ascii="Times New Roman" w:hAnsi="Times New Roman"/>
                    <w:noProof/>
                    <w:kern w:val="0"/>
                    <w:sz w:val="18"/>
                    <w:szCs w:val="18"/>
                  </w:rPr>
                  <w:t>12</w:t>
                </w:r>
                <w:r>
                  <w:rPr>
                    <w:rFonts w:ascii="Times New Roman" w:hAnsi="Times New Roman"/>
                    <w:kern w:val="0"/>
                    <w:sz w:val="18"/>
                    <w:szCs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684CC" w14:textId="77777777" w:rsidR="00130854" w:rsidRDefault="00130854">
      <w:r>
        <w:separator/>
      </w:r>
    </w:p>
  </w:footnote>
  <w:footnote w:type="continuationSeparator" w:id="0">
    <w:p w14:paraId="6CD24AD8" w14:textId="77777777" w:rsidR="00130854" w:rsidRDefault="00130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8E0C" w14:textId="3863581C" w:rsidR="00AE5EA6" w:rsidRDefault="00130854">
    <w:pPr>
      <w:pStyle w:val="a3"/>
      <w:jc w:val="right"/>
    </w:pPr>
    <w:r>
      <w:rPr>
        <w:noProof/>
      </w:rPr>
      <w:pict w14:anchorId="6004E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71" type="#_x0000_t75" alt="logo1" style="position:absolute;left:0;text-align:left;margin-left:1.5pt;margin-top:-12pt;width:135pt;height:18.75pt;z-index:1;visibility:visible;mso-wrap-style:square;mso-wrap-distance-left:9pt;mso-wrap-distance-top:0;mso-wrap-distance-right:9pt;mso-wrap-distance-bottom:0;mso-position-horizontal:absolute;mso-position-horizontal-relative:text;mso-position-vertical:absolute;mso-position-vertical-relative:text">
          <v:imagedata r:id="rId1" o:title="logo1"/>
        </v:shape>
      </w:pict>
    </w:r>
  </w:p>
  <w:p w14:paraId="3DCC329C" w14:textId="77777777" w:rsidR="00AE5EA6" w:rsidRDefault="00AE5EA6">
    <w:pPr>
      <w:pStyle w:val="a3"/>
      <w:jc w:val="right"/>
      <w:rPr>
        <w:rFonts w:ascii="宋体" w:hAnsi="宋体"/>
      </w:rPr>
    </w:pPr>
    <w:r>
      <w:rPr>
        <w:rFonts w:ascii="宋体" w:hAnsi="宋体" w:hint="eastAsia"/>
      </w:rPr>
      <w:t>交银施罗德安心收益债券型证券投资基金(更新)招募说明书(2023年第1号)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E4A1A" w14:textId="77777777" w:rsidR="00AE5EA6" w:rsidRDefault="00AE5EA6">
    <w:pPr>
      <w:pStyle w:val="11"/>
      <w:jc w:val="right"/>
    </w:pPr>
  </w:p>
  <w:p w14:paraId="3A2DB045" w14:textId="77777777" w:rsidR="00AE5EA6" w:rsidRDefault="00AE5EA6">
    <w:pPr>
      <w:pStyle w:val="11"/>
      <w:jc w:val="right"/>
    </w:pPr>
  </w:p>
  <w:p w14:paraId="05D02554" w14:textId="77777777" w:rsidR="00AE5EA6" w:rsidRDefault="00AE5EA6">
    <w:pPr>
      <w:pStyle w:val="a3"/>
      <w:jc w:val="right"/>
    </w:pPr>
  </w:p>
  <w:p w14:paraId="1D34CE53" w14:textId="0578AB25" w:rsidR="00AE5EA6" w:rsidRDefault="00130854">
    <w:pPr>
      <w:pStyle w:val="a3"/>
      <w:jc w:val="right"/>
    </w:pPr>
    <w:r>
      <w:rPr>
        <w:noProof/>
      </w:rPr>
      <w:pict w14:anchorId="4916A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70" type="#_x0000_t75" alt="logo1" style="position:absolute;left:0;text-align:left;margin-left:1.5pt;margin-top:-12pt;width:135pt;height:18.75pt;z-index:2;visibility:visible;mso-wrap-style:square;mso-wrap-distance-left:9pt;mso-wrap-distance-top:0;mso-wrap-distance-right:9pt;mso-wrap-distance-bottom:0;mso-position-horizontal:absolute;mso-position-horizontal-relative:text;mso-position-vertical:absolute;mso-position-vertical-relative:text">
          <v:imagedata r:id="rId1" o:title="logo1"/>
        </v:shape>
      </w:pict>
    </w:r>
  </w:p>
  <w:p w14:paraId="0DDC1295" w14:textId="4875360E" w:rsidR="00AE5EA6" w:rsidRDefault="00AE5EA6">
    <w:pPr>
      <w:pStyle w:val="a3"/>
      <w:jc w:val="right"/>
      <w:rPr>
        <w:rFonts w:ascii="宋体" w:hAnsi="宋体"/>
      </w:rPr>
    </w:pPr>
    <w:r>
      <w:rPr>
        <w:rFonts w:ascii="宋体" w:hAnsi="宋体" w:hint="eastAsia"/>
      </w:rPr>
      <w:t>交银施罗德安心收益债券型证券投资基金(更新)招募说明书(2023年第</w:t>
    </w:r>
    <w:r w:rsidR="0096493B">
      <w:rPr>
        <w:rFonts w:ascii="宋体" w:hAnsi="宋体"/>
      </w:rPr>
      <w:t>2</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E26DF" w14:textId="77777777" w:rsidR="00AE5EA6" w:rsidRDefault="00AE5EA6">
    <w:pPr>
      <w:pStyle w:val="a3"/>
      <w:jc w:val="right"/>
    </w:pPr>
  </w:p>
  <w:p w14:paraId="0C763745" w14:textId="77777777" w:rsidR="00AE5EA6" w:rsidRDefault="00AE5EA6">
    <w:pPr>
      <w:pStyle w:val="a3"/>
      <w:jc w:val="right"/>
    </w:pPr>
  </w:p>
  <w:p w14:paraId="2E330817" w14:textId="77777777" w:rsidR="00AE5EA6" w:rsidRDefault="00AE5EA6">
    <w:pPr>
      <w:pStyle w:val="a3"/>
      <w:jc w:val="right"/>
    </w:pPr>
  </w:p>
  <w:p w14:paraId="76CA32C5" w14:textId="03036BA4" w:rsidR="00AE5EA6" w:rsidRDefault="00130854">
    <w:pPr>
      <w:pStyle w:val="a3"/>
      <w:jc w:val="right"/>
    </w:pPr>
    <w:r>
      <w:rPr>
        <w:noProof/>
      </w:rPr>
      <w:pict w14:anchorId="1D709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69" type="#_x0000_t75" alt="logo1" style="position:absolute;left:0;text-align:left;margin-left:1.5pt;margin-top:-12pt;width:135pt;height:18.75pt;z-index:3;visibility:visible;mso-wrap-style:square;mso-wrap-distance-left:9pt;mso-wrap-distance-top:0;mso-wrap-distance-right:9pt;mso-wrap-distance-bottom:0;mso-position-horizontal:absolute;mso-position-horizontal-relative:text;mso-position-vertical:absolute;mso-position-vertical-relative:text">
          <v:imagedata r:id="rId1" o:title="logo1"/>
        </v:shape>
      </w:pict>
    </w:r>
  </w:p>
  <w:p w14:paraId="460A964B" w14:textId="5DCEAD03" w:rsidR="00AE5EA6" w:rsidRDefault="00AE5EA6">
    <w:pPr>
      <w:pStyle w:val="a3"/>
      <w:jc w:val="right"/>
      <w:rPr>
        <w:rFonts w:ascii="宋体" w:hAnsi="宋体"/>
      </w:rPr>
    </w:pPr>
    <w:r>
      <w:rPr>
        <w:rFonts w:ascii="宋体" w:hAnsi="宋体" w:hint="eastAsia"/>
      </w:rPr>
      <w:t>交银施罗德安心收益债券型证券投资基金(更新)招募说明书(2023年第</w:t>
    </w:r>
    <w:r w:rsidR="00F9025C">
      <w:rPr>
        <w:rFonts w:ascii="宋体" w:hAnsi="宋体"/>
      </w:rPr>
      <w:t>2</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trackRevisions/>
  <w:doNotTrackMove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72"/>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0C9"/>
    <w:rsid w:val="000002A2"/>
    <w:rsid w:val="00001EEA"/>
    <w:rsid w:val="00003EC9"/>
    <w:rsid w:val="0000560A"/>
    <w:rsid w:val="00006613"/>
    <w:rsid w:val="0001266E"/>
    <w:rsid w:val="00026756"/>
    <w:rsid w:val="00026A29"/>
    <w:rsid w:val="00026D00"/>
    <w:rsid w:val="00027C73"/>
    <w:rsid w:val="00030964"/>
    <w:rsid w:val="00030F3E"/>
    <w:rsid w:val="00031AEA"/>
    <w:rsid w:val="00034572"/>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4781"/>
    <w:rsid w:val="0007638A"/>
    <w:rsid w:val="00076B6E"/>
    <w:rsid w:val="00080E3F"/>
    <w:rsid w:val="000816EA"/>
    <w:rsid w:val="00081744"/>
    <w:rsid w:val="000828CE"/>
    <w:rsid w:val="000833CB"/>
    <w:rsid w:val="00083491"/>
    <w:rsid w:val="00084078"/>
    <w:rsid w:val="000843B3"/>
    <w:rsid w:val="000869C2"/>
    <w:rsid w:val="0008706C"/>
    <w:rsid w:val="00087F4C"/>
    <w:rsid w:val="00090648"/>
    <w:rsid w:val="00094253"/>
    <w:rsid w:val="00095030"/>
    <w:rsid w:val="000A01A0"/>
    <w:rsid w:val="000A24D9"/>
    <w:rsid w:val="000A352B"/>
    <w:rsid w:val="000B0F8B"/>
    <w:rsid w:val="000B359E"/>
    <w:rsid w:val="000B3894"/>
    <w:rsid w:val="000B4E04"/>
    <w:rsid w:val="000C1E1E"/>
    <w:rsid w:val="000C38F1"/>
    <w:rsid w:val="000C5E77"/>
    <w:rsid w:val="000C68E9"/>
    <w:rsid w:val="000D0ADE"/>
    <w:rsid w:val="000D179E"/>
    <w:rsid w:val="000D5275"/>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06C77"/>
    <w:rsid w:val="0011339C"/>
    <w:rsid w:val="001135B0"/>
    <w:rsid w:val="00113FAA"/>
    <w:rsid w:val="00115AE5"/>
    <w:rsid w:val="00116489"/>
    <w:rsid w:val="0011648B"/>
    <w:rsid w:val="001166C1"/>
    <w:rsid w:val="00116874"/>
    <w:rsid w:val="001177A3"/>
    <w:rsid w:val="001240EB"/>
    <w:rsid w:val="0012443D"/>
    <w:rsid w:val="00127053"/>
    <w:rsid w:val="00130854"/>
    <w:rsid w:val="0013182D"/>
    <w:rsid w:val="00131CEE"/>
    <w:rsid w:val="0013315B"/>
    <w:rsid w:val="0013372D"/>
    <w:rsid w:val="00134FCF"/>
    <w:rsid w:val="00135AD8"/>
    <w:rsid w:val="0013630D"/>
    <w:rsid w:val="001367F2"/>
    <w:rsid w:val="001412E8"/>
    <w:rsid w:val="001412F3"/>
    <w:rsid w:val="0014250F"/>
    <w:rsid w:val="00144B52"/>
    <w:rsid w:val="00153D66"/>
    <w:rsid w:val="0015725E"/>
    <w:rsid w:val="00157E06"/>
    <w:rsid w:val="00162F69"/>
    <w:rsid w:val="00164946"/>
    <w:rsid w:val="00165756"/>
    <w:rsid w:val="0017362C"/>
    <w:rsid w:val="0017392F"/>
    <w:rsid w:val="0018184C"/>
    <w:rsid w:val="0018198F"/>
    <w:rsid w:val="00181C62"/>
    <w:rsid w:val="00182A11"/>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6BF9"/>
    <w:rsid w:val="001C7A48"/>
    <w:rsid w:val="001C7C12"/>
    <w:rsid w:val="001D00FC"/>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E5533"/>
    <w:rsid w:val="001F005A"/>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2F5C"/>
    <w:rsid w:val="00223C19"/>
    <w:rsid w:val="00224421"/>
    <w:rsid w:val="00226503"/>
    <w:rsid w:val="00226A60"/>
    <w:rsid w:val="0023578C"/>
    <w:rsid w:val="00235AC5"/>
    <w:rsid w:val="0023708D"/>
    <w:rsid w:val="002377E0"/>
    <w:rsid w:val="00240BB6"/>
    <w:rsid w:val="002432CA"/>
    <w:rsid w:val="00243D40"/>
    <w:rsid w:val="00244BB7"/>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4F31"/>
    <w:rsid w:val="0027685F"/>
    <w:rsid w:val="002768E0"/>
    <w:rsid w:val="002777F6"/>
    <w:rsid w:val="00277907"/>
    <w:rsid w:val="00280C42"/>
    <w:rsid w:val="00281B73"/>
    <w:rsid w:val="002833C9"/>
    <w:rsid w:val="00285E5C"/>
    <w:rsid w:val="0028671A"/>
    <w:rsid w:val="0028781F"/>
    <w:rsid w:val="00290B63"/>
    <w:rsid w:val="00290E73"/>
    <w:rsid w:val="00293415"/>
    <w:rsid w:val="00294689"/>
    <w:rsid w:val="00294D46"/>
    <w:rsid w:val="0029539A"/>
    <w:rsid w:val="002A1A82"/>
    <w:rsid w:val="002A2FB0"/>
    <w:rsid w:val="002A4D32"/>
    <w:rsid w:val="002A5F87"/>
    <w:rsid w:val="002A75FA"/>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605"/>
    <w:rsid w:val="002F6DE8"/>
    <w:rsid w:val="002F74D8"/>
    <w:rsid w:val="002F7C72"/>
    <w:rsid w:val="002F7EDC"/>
    <w:rsid w:val="003003A8"/>
    <w:rsid w:val="0030091B"/>
    <w:rsid w:val="00301E62"/>
    <w:rsid w:val="00304063"/>
    <w:rsid w:val="0030555F"/>
    <w:rsid w:val="00305A3B"/>
    <w:rsid w:val="00305A84"/>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ADF"/>
    <w:rsid w:val="00336E99"/>
    <w:rsid w:val="00342417"/>
    <w:rsid w:val="003454EC"/>
    <w:rsid w:val="00346537"/>
    <w:rsid w:val="00347B94"/>
    <w:rsid w:val="003527DD"/>
    <w:rsid w:val="003547A2"/>
    <w:rsid w:val="00355087"/>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253A"/>
    <w:rsid w:val="00392D27"/>
    <w:rsid w:val="00393BF6"/>
    <w:rsid w:val="00395D4D"/>
    <w:rsid w:val="00396D64"/>
    <w:rsid w:val="00397A06"/>
    <w:rsid w:val="003A0FAF"/>
    <w:rsid w:val="003A38BD"/>
    <w:rsid w:val="003A38C8"/>
    <w:rsid w:val="003A6045"/>
    <w:rsid w:val="003A72D0"/>
    <w:rsid w:val="003B22FD"/>
    <w:rsid w:val="003B3004"/>
    <w:rsid w:val="003B3A47"/>
    <w:rsid w:val="003B4168"/>
    <w:rsid w:val="003B42CF"/>
    <w:rsid w:val="003B42FF"/>
    <w:rsid w:val="003B62D2"/>
    <w:rsid w:val="003B66A3"/>
    <w:rsid w:val="003C27F7"/>
    <w:rsid w:val="003C62C1"/>
    <w:rsid w:val="003C6FA4"/>
    <w:rsid w:val="003D0B3E"/>
    <w:rsid w:val="003D2036"/>
    <w:rsid w:val="003D2139"/>
    <w:rsid w:val="003D2352"/>
    <w:rsid w:val="003D240F"/>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14534"/>
    <w:rsid w:val="00420E1B"/>
    <w:rsid w:val="00421363"/>
    <w:rsid w:val="00421921"/>
    <w:rsid w:val="00422100"/>
    <w:rsid w:val="0042276C"/>
    <w:rsid w:val="004254D3"/>
    <w:rsid w:val="0042746B"/>
    <w:rsid w:val="00433B69"/>
    <w:rsid w:val="004369AD"/>
    <w:rsid w:val="00436DD6"/>
    <w:rsid w:val="004415AC"/>
    <w:rsid w:val="00443DA7"/>
    <w:rsid w:val="00444FB7"/>
    <w:rsid w:val="00450674"/>
    <w:rsid w:val="004533FE"/>
    <w:rsid w:val="00454715"/>
    <w:rsid w:val="00454D80"/>
    <w:rsid w:val="00456785"/>
    <w:rsid w:val="00462EB0"/>
    <w:rsid w:val="00463933"/>
    <w:rsid w:val="00464346"/>
    <w:rsid w:val="00470325"/>
    <w:rsid w:val="00470F42"/>
    <w:rsid w:val="00471605"/>
    <w:rsid w:val="0047297A"/>
    <w:rsid w:val="00473B77"/>
    <w:rsid w:val="00474709"/>
    <w:rsid w:val="00480184"/>
    <w:rsid w:val="00480516"/>
    <w:rsid w:val="00480658"/>
    <w:rsid w:val="00480D3C"/>
    <w:rsid w:val="0048170B"/>
    <w:rsid w:val="00481BD4"/>
    <w:rsid w:val="00482AA2"/>
    <w:rsid w:val="00484480"/>
    <w:rsid w:val="0048579F"/>
    <w:rsid w:val="00487005"/>
    <w:rsid w:val="004873B7"/>
    <w:rsid w:val="004901A7"/>
    <w:rsid w:val="004A084F"/>
    <w:rsid w:val="004A1FA1"/>
    <w:rsid w:val="004A3225"/>
    <w:rsid w:val="004A3A9A"/>
    <w:rsid w:val="004A3F90"/>
    <w:rsid w:val="004A5F59"/>
    <w:rsid w:val="004A6F1F"/>
    <w:rsid w:val="004B17D8"/>
    <w:rsid w:val="004B2323"/>
    <w:rsid w:val="004B62C3"/>
    <w:rsid w:val="004C0BC8"/>
    <w:rsid w:val="004C461A"/>
    <w:rsid w:val="004C7D23"/>
    <w:rsid w:val="004D0783"/>
    <w:rsid w:val="004D11CB"/>
    <w:rsid w:val="004D234A"/>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25536"/>
    <w:rsid w:val="00530703"/>
    <w:rsid w:val="00530763"/>
    <w:rsid w:val="00534EFD"/>
    <w:rsid w:val="005362F2"/>
    <w:rsid w:val="00543B42"/>
    <w:rsid w:val="0054651A"/>
    <w:rsid w:val="00546EA9"/>
    <w:rsid w:val="005474CD"/>
    <w:rsid w:val="005501B7"/>
    <w:rsid w:val="0055152E"/>
    <w:rsid w:val="00552094"/>
    <w:rsid w:val="005527D8"/>
    <w:rsid w:val="00553D73"/>
    <w:rsid w:val="00554BAF"/>
    <w:rsid w:val="00555A15"/>
    <w:rsid w:val="00556291"/>
    <w:rsid w:val="005569E4"/>
    <w:rsid w:val="00557044"/>
    <w:rsid w:val="00560E11"/>
    <w:rsid w:val="00561147"/>
    <w:rsid w:val="00561463"/>
    <w:rsid w:val="00561F8F"/>
    <w:rsid w:val="00563A0E"/>
    <w:rsid w:val="005647D0"/>
    <w:rsid w:val="00574C59"/>
    <w:rsid w:val="00576CE2"/>
    <w:rsid w:val="005770AC"/>
    <w:rsid w:val="005778AF"/>
    <w:rsid w:val="00577C1A"/>
    <w:rsid w:val="00577FAA"/>
    <w:rsid w:val="0058041D"/>
    <w:rsid w:val="005826AA"/>
    <w:rsid w:val="00583CE7"/>
    <w:rsid w:val="005856E9"/>
    <w:rsid w:val="005867BB"/>
    <w:rsid w:val="00587452"/>
    <w:rsid w:val="00591C2A"/>
    <w:rsid w:val="00592461"/>
    <w:rsid w:val="00592539"/>
    <w:rsid w:val="00594A13"/>
    <w:rsid w:val="00596A05"/>
    <w:rsid w:val="00596D6D"/>
    <w:rsid w:val="00597284"/>
    <w:rsid w:val="00597F8F"/>
    <w:rsid w:val="005A1EA2"/>
    <w:rsid w:val="005A2467"/>
    <w:rsid w:val="005A38D1"/>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5B95"/>
    <w:rsid w:val="005C63CB"/>
    <w:rsid w:val="005C6B90"/>
    <w:rsid w:val="005D0AA6"/>
    <w:rsid w:val="005D165F"/>
    <w:rsid w:val="005D21F3"/>
    <w:rsid w:val="005D3CF8"/>
    <w:rsid w:val="005D5D89"/>
    <w:rsid w:val="005E0D2D"/>
    <w:rsid w:val="005E212B"/>
    <w:rsid w:val="005E3FB6"/>
    <w:rsid w:val="005F3278"/>
    <w:rsid w:val="005F44DF"/>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3E26"/>
    <w:rsid w:val="006142EC"/>
    <w:rsid w:val="006155A5"/>
    <w:rsid w:val="00617824"/>
    <w:rsid w:val="00623BEB"/>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2DF9"/>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8737C"/>
    <w:rsid w:val="00691963"/>
    <w:rsid w:val="00692124"/>
    <w:rsid w:val="00692D96"/>
    <w:rsid w:val="00693C96"/>
    <w:rsid w:val="00696339"/>
    <w:rsid w:val="00696982"/>
    <w:rsid w:val="006A04AC"/>
    <w:rsid w:val="006A3F85"/>
    <w:rsid w:val="006A48FA"/>
    <w:rsid w:val="006A56F1"/>
    <w:rsid w:val="006A6E5C"/>
    <w:rsid w:val="006B0972"/>
    <w:rsid w:val="006B3153"/>
    <w:rsid w:val="006B52A9"/>
    <w:rsid w:val="006B5871"/>
    <w:rsid w:val="006B6BB1"/>
    <w:rsid w:val="006B7212"/>
    <w:rsid w:val="006C14C3"/>
    <w:rsid w:val="006C4B6F"/>
    <w:rsid w:val="006C4CC5"/>
    <w:rsid w:val="006C589D"/>
    <w:rsid w:val="006C769C"/>
    <w:rsid w:val="006C7A95"/>
    <w:rsid w:val="006D11E8"/>
    <w:rsid w:val="006D24EB"/>
    <w:rsid w:val="006D4B0E"/>
    <w:rsid w:val="006D753C"/>
    <w:rsid w:val="006E0031"/>
    <w:rsid w:val="006E0A00"/>
    <w:rsid w:val="006E306D"/>
    <w:rsid w:val="006E4BEC"/>
    <w:rsid w:val="006E5CE6"/>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4455"/>
    <w:rsid w:val="00716FD1"/>
    <w:rsid w:val="00720D0F"/>
    <w:rsid w:val="007218A9"/>
    <w:rsid w:val="00721F63"/>
    <w:rsid w:val="0072241C"/>
    <w:rsid w:val="007245A5"/>
    <w:rsid w:val="0072600E"/>
    <w:rsid w:val="00731628"/>
    <w:rsid w:val="00734108"/>
    <w:rsid w:val="007343AD"/>
    <w:rsid w:val="0073448D"/>
    <w:rsid w:val="00735087"/>
    <w:rsid w:val="00736FA0"/>
    <w:rsid w:val="0074053E"/>
    <w:rsid w:val="00741512"/>
    <w:rsid w:val="007434E9"/>
    <w:rsid w:val="0075000E"/>
    <w:rsid w:val="00752156"/>
    <w:rsid w:val="00753A7A"/>
    <w:rsid w:val="00756E77"/>
    <w:rsid w:val="007574B6"/>
    <w:rsid w:val="007577C2"/>
    <w:rsid w:val="0076038F"/>
    <w:rsid w:val="00760D77"/>
    <w:rsid w:val="007617E5"/>
    <w:rsid w:val="0077124E"/>
    <w:rsid w:val="00771CB1"/>
    <w:rsid w:val="00772FA7"/>
    <w:rsid w:val="0077578C"/>
    <w:rsid w:val="00781ACA"/>
    <w:rsid w:val="007823CF"/>
    <w:rsid w:val="00783E35"/>
    <w:rsid w:val="007846CA"/>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5A8"/>
    <w:rsid w:val="007C5764"/>
    <w:rsid w:val="007C61D0"/>
    <w:rsid w:val="007C6FAA"/>
    <w:rsid w:val="007C768F"/>
    <w:rsid w:val="007D251F"/>
    <w:rsid w:val="007D4FA2"/>
    <w:rsid w:val="007E0874"/>
    <w:rsid w:val="007E0FAD"/>
    <w:rsid w:val="007E1C95"/>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4FC0"/>
    <w:rsid w:val="0081590D"/>
    <w:rsid w:val="00815E57"/>
    <w:rsid w:val="008166F5"/>
    <w:rsid w:val="0081677E"/>
    <w:rsid w:val="00817467"/>
    <w:rsid w:val="0082043E"/>
    <w:rsid w:val="00822905"/>
    <w:rsid w:val="0082299E"/>
    <w:rsid w:val="00827CD1"/>
    <w:rsid w:val="00831735"/>
    <w:rsid w:val="00832164"/>
    <w:rsid w:val="00832F53"/>
    <w:rsid w:val="00834003"/>
    <w:rsid w:val="0083455F"/>
    <w:rsid w:val="00834DAB"/>
    <w:rsid w:val="00834EA0"/>
    <w:rsid w:val="00843042"/>
    <w:rsid w:val="00843C37"/>
    <w:rsid w:val="00844886"/>
    <w:rsid w:val="00844C2D"/>
    <w:rsid w:val="00846D68"/>
    <w:rsid w:val="008518E5"/>
    <w:rsid w:val="00852B15"/>
    <w:rsid w:val="00856135"/>
    <w:rsid w:val="00857A96"/>
    <w:rsid w:val="00861FE5"/>
    <w:rsid w:val="0086376D"/>
    <w:rsid w:val="00863A82"/>
    <w:rsid w:val="008703C2"/>
    <w:rsid w:val="0087209F"/>
    <w:rsid w:val="008806CC"/>
    <w:rsid w:val="008849E6"/>
    <w:rsid w:val="0088513E"/>
    <w:rsid w:val="00886300"/>
    <w:rsid w:val="0089099F"/>
    <w:rsid w:val="00890AAF"/>
    <w:rsid w:val="00892F7A"/>
    <w:rsid w:val="00894CEB"/>
    <w:rsid w:val="00896A62"/>
    <w:rsid w:val="00897B88"/>
    <w:rsid w:val="008A063F"/>
    <w:rsid w:val="008A113D"/>
    <w:rsid w:val="008A678B"/>
    <w:rsid w:val="008B0034"/>
    <w:rsid w:val="008B0702"/>
    <w:rsid w:val="008B2397"/>
    <w:rsid w:val="008B33B5"/>
    <w:rsid w:val="008B35E3"/>
    <w:rsid w:val="008B3CD6"/>
    <w:rsid w:val="008B6003"/>
    <w:rsid w:val="008B691D"/>
    <w:rsid w:val="008C4D11"/>
    <w:rsid w:val="008D54FA"/>
    <w:rsid w:val="008D5C05"/>
    <w:rsid w:val="008D6490"/>
    <w:rsid w:val="008D6FFD"/>
    <w:rsid w:val="008E1191"/>
    <w:rsid w:val="008E342E"/>
    <w:rsid w:val="008E4D9C"/>
    <w:rsid w:val="008E566D"/>
    <w:rsid w:val="008E588C"/>
    <w:rsid w:val="008E6758"/>
    <w:rsid w:val="008F52D9"/>
    <w:rsid w:val="008F6BC6"/>
    <w:rsid w:val="00902B4C"/>
    <w:rsid w:val="00903FC5"/>
    <w:rsid w:val="0090403F"/>
    <w:rsid w:val="009071FF"/>
    <w:rsid w:val="009108DB"/>
    <w:rsid w:val="009112EB"/>
    <w:rsid w:val="00913191"/>
    <w:rsid w:val="009131F2"/>
    <w:rsid w:val="00916431"/>
    <w:rsid w:val="009173C5"/>
    <w:rsid w:val="00917DBE"/>
    <w:rsid w:val="0092605A"/>
    <w:rsid w:val="0092689A"/>
    <w:rsid w:val="0093228E"/>
    <w:rsid w:val="009325E1"/>
    <w:rsid w:val="00933602"/>
    <w:rsid w:val="009338B2"/>
    <w:rsid w:val="009351EF"/>
    <w:rsid w:val="0093698F"/>
    <w:rsid w:val="00940914"/>
    <w:rsid w:val="009409E8"/>
    <w:rsid w:val="00942250"/>
    <w:rsid w:val="009425BE"/>
    <w:rsid w:val="00942706"/>
    <w:rsid w:val="00942E51"/>
    <w:rsid w:val="00944B99"/>
    <w:rsid w:val="00946A6A"/>
    <w:rsid w:val="0094714B"/>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3B"/>
    <w:rsid w:val="009649DC"/>
    <w:rsid w:val="00966EB2"/>
    <w:rsid w:val="00970C67"/>
    <w:rsid w:val="00974456"/>
    <w:rsid w:val="00991483"/>
    <w:rsid w:val="00992449"/>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B79E7"/>
    <w:rsid w:val="009C0C19"/>
    <w:rsid w:val="009C1332"/>
    <w:rsid w:val="009C4A4F"/>
    <w:rsid w:val="009C5053"/>
    <w:rsid w:val="009C6D34"/>
    <w:rsid w:val="009D2E97"/>
    <w:rsid w:val="009D328E"/>
    <w:rsid w:val="009D3438"/>
    <w:rsid w:val="009D3B88"/>
    <w:rsid w:val="009D40B6"/>
    <w:rsid w:val="009D4D3A"/>
    <w:rsid w:val="009D7AD4"/>
    <w:rsid w:val="009E1231"/>
    <w:rsid w:val="009E1A57"/>
    <w:rsid w:val="009E36CA"/>
    <w:rsid w:val="009E3EB0"/>
    <w:rsid w:val="009E4B6B"/>
    <w:rsid w:val="009E5D6D"/>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4E13"/>
    <w:rsid w:val="00A052DD"/>
    <w:rsid w:val="00A06E6F"/>
    <w:rsid w:val="00A128E0"/>
    <w:rsid w:val="00A12A49"/>
    <w:rsid w:val="00A135C4"/>
    <w:rsid w:val="00A13CB5"/>
    <w:rsid w:val="00A13FEC"/>
    <w:rsid w:val="00A1778F"/>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4AB6"/>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A794C"/>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21E"/>
    <w:rsid w:val="00AE4C9F"/>
    <w:rsid w:val="00AE5EA6"/>
    <w:rsid w:val="00AE7A40"/>
    <w:rsid w:val="00AE7EF9"/>
    <w:rsid w:val="00AF4A88"/>
    <w:rsid w:val="00AF60FC"/>
    <w:rsid w:val="00AF619D"/>
    <w:rsid w:val="00AF74FE"/>
    <w:rsid w:val="00B01A75"/>
    <w:rsid w:val="00B02D39"/>
    <w:rsid w:val="00B03711"/>
    <w:rsid w:val="00B03B6B"/>
    <w:rsid w:val="00B04CC3"/>
    <w:rsid w:val="00B1268F"/>
    <w:rsid w:val="00B17DE2"/>
    <w:rsid w:val="00B2096A"/>
    <w:rsid w:val="00B20E8D"/>
    <w:rsid w:val="00B32541"/>
    <w:rsid w:val="00B3267F"/>
    <w:rsid w:val="00B35F87"/>
    <w:rsid w:val="00B379DA"/>
    <w:rsid w:val="00B37A67"/>
    <w:rsid w:val="00B41203"/>
    <w:rsid w:val="00B41500"/>
    <w:rsid w:val="00B43AAA"/>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0FF0"/>
    <w:rsid w:val="00B8347E"/>
    <w:rsid w:val="00B84B4A"/>
    <w:rsid w:val="00B8589C"/>
    <w:rsid w:val="00B86BAC"/>
    <w:rsid w:val="00B90DF9"/>
    <w:rsid w:val="00B952F7"/>
    <w:rsid w:val="00B97B35"/>
    <w:rsid w:val="00BA3196"/>
    <w:rsid w:val="00BA3509"/>
    <w:rsid w:val="00BA5877"/>
    <w:rsid w:val="00BB124C"/>
    <w:rsid w:val="00BB17E3"/>
    <w:rsid w:val="00BB1CDB"/>
    <w:rsid w:val="00BB2110"/>
    <w:rsid w:val="00BB3645"/>
    <w:rsid w:val="00BB547E"/>
    <w:rsid w:val="00BB69B7"/>
    <w:rsid w:val="00BC2581"/>
    <w:rsid w:val="00BC3F55"/>
    <w:rsid w:val="00BC46AF"/>
    <w:rsid w:val="00BC481A"/>
    <w:rsid w:val="00BC4D26"/>
    <w:rsid w:val="00BC555D"/>
    <w:rsid w:val="00BC658E"/>
    <w:rsid w:val="00BD0218"/>
    <w:rsid w:val="00BD1869"/>
    <w:rsid w:val="00BD200B"/>
    <w:rsid w:val="00BD562D"/>
    <w:rsid w:val="00BD63DF"/>
    <w:rsid w:val="00BD64D4"/>
    <w:rsid w:val="00BD7C4B"/>
    <w:rsid w:val="00BE33E8"/>
    <w:rsid w:val="00BF21A8"/>
    <w:rsid w:val="00BF2BEB"/>
    <w:rsid w:val="00BF3197"/>
    <w:rsid w:val="00BF5E23"/>
    <w:rsid w:val="00BF6AD1"/>
    <w:rsid w:val="00C01DB8"/>
    <w:rsid w:val="00C0300F"/>
    <w:rsid w:val="00C04C13"/>
    <w:rsid w:val="00C0523E"/>
    <w:rsid w:val="00C05C75"/>
    <w:rsid w:val="00C06BB9"/>
    <w:rsid w:val="00C06C3C"/>
    <w:rsid w:val="00C0751C"/>
    <w:rsid w:val="00C07D81"/>
    <w:rsid w:val="00C07F14"/>
    <w:rsid w:val="00C11B64"/>
    <w:rsid w:val="00C1218B"/>
    <w:rsid w:val="00C12B6B"/>
    <w:rsid w:val="00C135F1"/>
    <w:rsid w:val="00C140D0"/>
    <w:rsid w:val="00C14775"/>
    <w:rsid w:val="00C150A5"/>
    <w:rsid w:val="00C22A11"/>
    <w:rsid w:val="00C22B21"/>
    <w:rsid w:val="00C23593"/>
    <w:rsid w:val="00C23845"/>
    <w:rsid w:val="00C31846"/>
    <w:rsid w:val="00C31D2E"/>
    <w:rsid w:val="00C32A33"/>
    <w:rsid w:val="00C34767"/>
    <w:rsid w:val="00C367FB"/>
    <w:rsid w:val="00C41389"/>
    <w:rsid w:val="00C41BB7"/>
    <w:rsid w:val="00C42379"/>
    <w:rsid w:val="00C44004"/>
    <w:rsid w:val="00C445F4"/>
    <w:rsid w:val="00C54DF3"/>
    <w:rsid w:val="00C610B6"/>
    <w:rsid w:val="00C614F3"/>
    <w:rsid w:val="00C6257F"/>
    <w:rsid w:val="00C63117"/>
    <w:rsid w:val="00C640C7"/>
    <w:rsid w:val="00C65784"/>
    <w:rsid w:val="00C67BDD"/>
    <w:rsid w:val="00C70EE8"/>
    <w:rsid w:val="00C70F24"/>
    <w:rsid w:val="00C717F6"/>
    <w:rsid w:val="00C72FD7"/>
    <w:rsid w:val="00C8155C"/>
    <w:rsid w:val="00C8355B"/>
    <w:rsid w:val="00C87116"/>
    <w:rsid w:val="00C9006D"/>
    <w:rsid w:val="00C907F0"/>
    <w:rsid w:val="00C93A91"/>
    <w:rsid w:val="00C95601"/>
    <w:rsid w:val="00CA1947"/>
    <w:rsid w:val="00CA1C91"/>
    <w:rsid w:val="00CA323D"/>
    <w:rsid w:val="00CA5298"/>
    <w:rsid w:val="00CA54A0"/>
    <w:rsid w:val="00CA69EE"/>
    <w:rsid w:val="00CB5515"/>
    <w:rsid w:val="00CB76EF"/>
    <w:rsid w:val="00CB7840"/>
    <w:rsid w:val="00CC0E24"/>
    <w:rsid w:val="00CC1F0B"/>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305B"/>
    <w:rsid w:val="00D04CD8"/>
    <w:rsid w:val="00D04DEC"/>
    <w:rsid w:val="00D114ED"/>
    <w:rsid w:val="00D1261E"/>
    <w:rsid w:val="00D13F32"/>
    <w:rsid w:val="00D14B5E"/>
    <w:rsid w:val="00D15064"/>
    <w:rsid w:val="00D1685E"/>
    <w:rsid w:val="00D171BA"/>
    <w:rsid w:val="00D202D2"/>
    <w:rsid w:val="00D2081F"/>
    <w:rsid w:val="00D22C81"/>
    <w:rsid w:val="00D25B74"/>
    <w:rsid w:val="00D25CA1"/>
    <w:rsid w:val="00D31474"/>
    <w:rsid w:val="00D32933"/>
    <w:rsid w:val="00D3579F"/>
    <w:rsid w:val="00D36B62"/>
    <w:rsid w:val="00D37BF5"/>
    <w:rsid w:val="00D41DC5"/>
    <w:rsid w:val="00D421A7"/>
    <w:rsid w:val="00D42987"/>
    <w:rsid w:val="00D42C18"/>
    <w:rsid w:val="00D43F5E"/>
    <w:rsid w:val="00D44623"/>
    <w:rsid w:val="00D47CF6"/>
    <w:rsid w:val="00D50820"/>
    <w:rsid w:val="00D50AE9"/>
    <w:rsid w:val="00D511C3"/>
    <w:rsid w:val="00D5481D"/>
    <w:rsid w:val="00D55B2D"/>
    <w:rsid w:val="00D60045"/>
    <w:rsid w:val="00D628AE"/>
    <w:rsid w:val="00D647C9"/>
    <w:rsid w:val="00D6632B"/>
    <w:rsid w:val="00D66D1E"/>
    <w:rsid w:val="00D67995"/>
    <w:rsid w:val="00D7163F"/>
    <w:rsid w:val="00D7298C"/>
    <w:rsid w:val="00D73998"/>
    <w:rsid w:val="00D76FD9"/>
    <w:rsid w:val="00D77802"/>
    <w:rsid w:val="00D800BD"/>
    <w:rsid w:val="00D816C8"/>
    <w:rsid w:val="00D81BC5"/>
    <w:rsid w:val="00D827CE"/>
    <w:rsid w:val="00D84DEB"/>
    <w:rsid w:val="00D877A6"/>
    <w:rsid w:val="00D904D9"/>
    <w:rsid w:val="00D916FE"/>
    <w:rsid w:val="00D91D16"/>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367"/>
    <w:rsid w:val="00DD0F54"/>
    <w:rsid w:val="00DD4F7A"/>
    <w:rsid w:val="00DD5050"/>
    <w:rsid w:val="00DD5306"/>
    <w:rsid w:val="00DD5903"/>
    <w:rsid w:val="00DD5E1E"/>
    <w:rsid w:val="00DD6FE3"/>
    <w:rsid w:val="00DE229B"/>
    <w:rsid w:val="00DE3A2B"/>
    <w:rsid w:val="00DE4A81"/>
    <w:rsid w:val="00DE7AB8"/>
    <w:rsid w:val="00DF3188"/>
    <w:rsid w:val="00DF473E"/>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17D91"/>
    <w:rsid w:val="00E20591"/>
    <w:rsid w:val="00E20CD2"/>
    <w:rsid w:val="00E22766"/>
    <w:rsid w:val="00E2572E"/>
    <w:rsid w:val="00E268DF"/>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86E"/>
    <w:rsid w:val="00E52CA8"/>
    <w:rsid w:val="00E550CE"/>
    <w:rsid w:val="00E5651A"/>
    <w:rsid w:val="00E60B86"/>
    <w:rsid w:val="00E62E45"/>
    <w:rsid w:val="00E62F7D"/>
    <w:rsid w:val="00E700B8"/>
    <w:rsid w:val="00E702B9"/>
    <w:rsid w:val="00E70588"/>
    <w:rsid w:val="00E75586"/>
    <w:rsid w:val="00E75FA1"/>
    <w:rsid w:val="00E76419"/>
    <w:rsid w:val="00E77787"/>
    <w:rsid w:val="00E77CD7"/>
    <w:rsid w:val="00E82017"/>
    <w:rsid w:val="00E82792"/>
    <w:rsid w:val="00E844D7"/>
    <w:rsid w:val="00E844D8"/>
    <w:rsid w:val="00E920A2"/>
    <w:rsid w:val="00E92E9D"/>
    <w:rsid w:val="00E9319F"/>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90B"/>
    <w:rsid w:val="00F45ED2"/>
    <w:rsid w:val="00F46FBE"/>
    <w:rsid w:val="00F51B47"/>
    <w:rsid w:val="00F53C4F"/>
    <w:rsid w:val="00F56A51"/>
    <w:rsid w:val="00F60A44"/>
    <w:rsid w:val="00F61899"/>
    <w:rsid w:val="00F66CD4"/>
    <w:rsid w:val="00F66E01"/>
    <w:rsid w:val="00F70128"/>
    <w:rsid w:val="00F7129A"/>
    <w:rsid w:val="00F7180D"/>
    <w:rsid w:val="00F727A7"/>
    <w:rsid w:val="00F729D7"/>
    <w:rsid w:val="00F774CD"/>
    <w:rsid w:val="00F80F59"/>
    <w:rsid w:val="00F818F2"/>
    <w:rsid w:val="00F82E69"/>
    <w:rsid w:val="00F84109"/>
    <w:rsid w:val="00F8414D"/>
    <w:rsid w:val="00F84181"/>
    <w:rsid w:val="00F84C5D"/>
    <w:rsid w:val="00F86271"/>
    <w:rsid w:val="00F87176"/>
    <w:rsid w:val="00F87303"/>
    <w:rsid w:val="00F9025C"/>
    <w:rsid w:val="00F91287"/>
    <w:rsid w:val="00F917FA"/>
    <w:rsid w:val="00F91B28"/>
    <w:rsid w:val="00F91DA0"/>
    <w:rsid w:val="00F9306F"/>
    <w:rsid w:val="00F94B4E"/>
    <w:rsid w:val="00F97513"/>
    <w:rsid w:val="00F978B7"/>
    <w:rsid w:val="00FA2FCD"/>
    <w:rsid w:val="00FA3FA8"/>
    <w:rsid w:val="00FA4718"/>
    <w:rsid w:val="00FA6E64"/>
    <w:rsid w:val="00FB1DCD"/>
    <w:rsid w:val="00FB2F0E"/>
    <w:rsid w:val="00FB31CC"/>
    <w:rsid w:val="00FC05EE"/>
    <w:rsid w:val="00FC2EC6"/>
    <w:rsid w:val="00FC339A"/>
    <w:rsid w:val="00FC36E0"/>
    <w:rsid w:val="00FC4B2E"/>
    <w:rsid w:val="00FC546F"/>
    <w:rsid w:val="00FC5639"/>
    <w:rsid w:val="00FC6F5E"/>
    <w:rsid w:val="00FC711A"/>
    <w:rsid w:val="00FC7D31"/>
    <w:rsid w:val="00FD13AC"/>
    <w:rsid w:val="00FD2D28"/>
    <w:rsid w:val="00FD6BFE"/>
    <w:rsid w:val="00FE15AE"/>
    <w:rsid w:val="00FE3FF3"/>
    <w:rsid w:val="00FE6D8B"/>
    <w:rsid w:val="00FF372E"/>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14:docId w14:val="1B20262F"/>
  <w15:docId w15:val="{BFC864D0-82B4-404D-9979-E1B4401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157E0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152</Pages>
  <Words>16090</Words>
  <Characters>91715</Characters>
  <Application>Microsoft Office Word</Application>
  <DocSecurity>0</DocSecurity>
  <Lines>764</Lines>
  <Paragraphs>215</Paragraphs>
  <ScaleCrop>false</ScaleCrop>
  <Company>Microsoft</Company>
  <LinksUpToDate>false</LinksUpToDate>
  <CharactersWithSpaces>107590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47</cp:revision>
  <cp:lastPrinted>2013-02-18T03:10:00Z</cp:lastPrinted>
  <dcterms:created xsi:type="dcterms:W3CDTF">2023-05-31T13:45:00Z</dcterms:created>
  <dcterms:modified xsi:type="dcterms:W3CDTF">2023-08-23T01:59:00Z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