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南京证券股份有限公司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南京证券股份有限公司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南京证券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2023年08月14日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南京证券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43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交银施罗德新成长混合型证券投资基金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519736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交银施罗德精选混合型证券投资基金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519688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交银施罗德瑞丰混合型证券投资基金（LOF）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501087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交银施罗德品质增长一年持有期混合型证券投资基金A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012582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交银施罗德创新成长混合型证券投资基金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006223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交银施罗德经济新动力混合型证券投资基金C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014096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交银施罗德经济新动力混合型证券投资基金A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交银施罗德科技创新灵活配置混合型证券投资基金C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015394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交银施罗德科技创新灵活配置混合型证券投资基金A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10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005004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交银施罗德股息优化混合型证券投资基金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004868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交银施罗德科锐科技创新混合型证券投资基金C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013949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交银施罗德科锐科技创新混合型证券投资基金A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008734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交银施罗德瑞思混合型证券投资基金（LOF）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501092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交银施罗德数据产业灵活配置混合型证券投资基金C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014549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交银施罗德数据产业灵活配置混合型证券投资基金A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交银施罗德产业机遇混合型证券投资基金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010094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交银施罗德新生活力灵活配置混合型证券投资基金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20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交银施罗德趋势优先混合型证券投资基金C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013430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交银施罗德趋势优先混合型证券投资基金A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519702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017979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519756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交银施罗德定期支付双息平衡混合型证券投资基金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519732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交银施罗德启诚混合型证券投资基金C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014039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交银施罗德启诚混合型证券投资基金A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014038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交银施罗德启明混合型证券投资基金A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009402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交银施罗德启明混合型证券投资基金C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交银施罗德先进制造混合型证券投资基金A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30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交银施罗德先进制造混合型证券投资基金C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014963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交银施罗德优势行业灵活配置混合型证券投资基金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519697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交银施罗德瑞和三年持有期混合型证券投资基金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013269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交银施罗德阿尔法核心混合型证券投资基金A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519712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交银施罗德阿尔法核心混合型证券投资基金C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交银施罗德持续成长主题混合型证券投资基金A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005001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交银施罗德医药创新股票型证券投资基金A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004075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交银施罗德医药创新股票型证券投资基金C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014046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交银施罗德创业板50指数型证券投资基金A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007464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交银施罗德创业板50指数型证券投资基金C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007465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40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交银施罗德安享稳健养老目标一年持有期混合型基金中基金（FOF）A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006880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交银施罗德招享一年持有期混合型基金中基金（FOF）A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011605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交银施罗德招享一年持有期混合型基金中基金（FOF）C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011606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交银施罗德稳固收益债券型证券投资基金A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519726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交银施罗德稳固收益债券型证券投资基金C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016474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交银施罗德纯债债券型发起式证券投资基金A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519718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交银施罗德纯债债券型发起式证券投资基金C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519720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交银施罗德双轮动债券型证券投资基金A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519723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交银施罗德增利增强债券型证券投资基金A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004427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49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交银施罗德增利增强债券型证券投资基金C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004428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50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交银施罗德稳安90天持有期债券型证券投资基金A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018011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交银施罗德稳安90天持有期债券型证券投资基金C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018012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南京证券股份有限公司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95386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www.nizq.com.cn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2023年08月14日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