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中国中金财富证券有限公司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中国中金财富证券有限公司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中金财富证券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2023年07月26日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中金财富证券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交银施罗德创业板50指数型证券投资基金A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007464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交银施罗德创业板50指数型证券投资基金C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007465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交银施罗德国证新能源指数证券投资基金（LOF）C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013453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交银施罗德瑞丰混合型证券投资基金（LOF）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501087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交银施罗德中证环境治理指数型证券投资基金（LOF）C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013413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中国中金财富证券有限公司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95532/400-600-8008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www.ciccwm.com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2023年07月26日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