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中信证券（山东）有限责任公司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中信证券（山东）有限责任公司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中信山东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中信山东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43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交银施罗德养老目标日期2035三年持有期混合型基金中基金（FOF）Y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017229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017235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中信证券（山东）有限责任公司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95548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sd.citics.com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