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2215E" w:rsidRPr="0002215E">
        <w:rPr>
          <w:rFonts w:ascii="方正仿宋_GBK" w:eastAsia="方正仿宋_GBK" w:hAnsi="方正仿宋_GBK" w:cs="方正仿宋_GBK" w:hint="eastAsia"/>
          <w:sz w:val="32"/>
          <w:szCs w:val="32"/>
        </w:rPr>
        <w:t>资管子公司人行《资管产品数据采集规范》系统模块及资管子公司估值系统固定收益品种的估值处理改造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02215E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2215E" w:rsidRPr="0002215E">
        <w:rPr>
          <w:rFonts w:ascii="方正仿宋_GBK" w:eastAsia="方正仿宋_GBK" w:hAnsi="方正仿宋_GBK" w:cs="方正仿宋_GBK" w:hint="eastAsia"/>
          <w:sz w:val="32"/>
          <w:szCs w:val="32"/>
        </w:rPr>
        <w:t>资管子公司人行《资管产品数据采集规范》系统模块及资管子公司估值系统固定收益品种的估值处理改造</w:t>
      </w:r>
      <w:r w:rsidR="0002215E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02215E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2215E" w:rsidRPr="0002215E">
        <w:rPr>
          <w:rFonts w:ascii="方正仿宋_GBK" w:eastAsia="方正仿宋_GBK" w:hAnsi="方正仿宋_GBK" w:cs="方正仿宋_GBK" w:hint="eastAsia"/>
          <w:sz w:val="32"/>
          <w:szCs w:val="32"/>
        </w:rPr>
        <w:t>资管子公司人行《资管产品数据采集规范》系统模块及资管子公司估值系统固定收益品种的估值处理改造</w:t>
      </w:r>
      <w:r w:rsidR="0002215E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41</w:t>
      </w:r>
      <w:bookmarkStart w:id="0" w:name="_GoBack"/>
      <w:bookmarkEnd w:id="0"/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215E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59504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20C0-8286-42AA-85B4-BA05B38D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50</cp:revision>
  <cp:lastPrinted>2018-07-17T05:21:00Z</cp:lastPrinted>
  <dcterms:created xsi:type="dcterms:W3CDTF">2018-06-08T02:20:00Z</dcterms:created>
  <dcterms:modified xsi:type="dcterms:W3CDTF">2023-05-19T01:56:00Z</dcterms:modified>
</cp:coreProperties>
</file>