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ackground w:color="white">
    <v:background id="_x0000_s1025" filled="t" fillcolor="white" stroked="f"/>
  </w:background>
  <w:body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宋体" w:eastAsia="宋体" w:hAnsi="宋体" w:cs="宋体"/>
          <w:b/>
          <w:sz w:val="30"/>
          <w:rtl w:val="0"/>
        </w:rPr>
        <w:t>交银施罗德基金管理有限公司关于增加</w:t>
      </w:r>
      <w:r>
        <w:rPr>
          <w:rFonts w:ascii="宋体" w:eastAsia="宋体" w:hAnsi="宋体" w:cs="宋体"/>
          <w:b/>
          <w:sz w:val="30"/>
          <w:rtl w:val="0"/>
        </w:rPr>
        <w:t>山西证券股份有限公司</w:t>
      </w:r>
      <w:r>
        <w:rPr>
          <w:rFonts w:ascii="宋体" w:eastAsia="宋体" w:hAnsi="宋体" w:cs="宋体"/>
          <w:b/>
          <w:sz w:val="30"/>
          <w:rtl w:val="0"/>
        </w:rPr>
        <w:t>为旗下基金的销售机构的公告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30"/>
          <w:rtl w:val="0"/>
        </w:rPr>
        <w:t> 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根据交银施罗德基金管理有限公司（以下简称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本公司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）与</w:t>
      </w:r>
      <w:r>
        <w:rPr>
          <w:rFonts w:ascii="宋体" w:eastAsia="宋体" w:hAnsi="宋体" w:cs="宋体"/>
          <w:sz w:val="24"/>
          <w:rtl w:val="0"/>
        </w:rPr>
        <w:t>山西证券股份有限公司</w:t>
      </w:r>
      <w:r>
        <w:rPr>
          <w:rFonts w:ascii="宋体" w:eastAsia="宋体" w:hAnsi="宋体" w:cs="宋体"/>
          <w:sz w:val="24"/>
          <w:rtl w:val="0"/>
        </w:rPr>
        <w:t>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山西证券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）签署的销售协议</w:t>
      </w:r>
      <w:r>
        <w:rPr>
          <w:rFonts w:ascii="宋体" w:eastAsia="宋体" w:hAnsi="宋体" w:cs="宋体"/>
          <w:sz w:val="24"/>
          <w:rtl w:val="0"/>
        </w:rPr>
        <w:t>，本公司自</w:t>
      </w:r>
      <w:r>
        <w:rPr>
          <w:rFonts w:ascii="宋体" w:eastAsia="宋体" w:hAnsi="宋体" w:cs="宋体"/>
          <w:sz w:val="24"/>
          <w:rtl w:val="0"/>
        </w:rPr>
        <w:t>2023年05月05日</w:t>
      </w:r>
      <w:r>
        <w:rPr>
          <w:rFonts w:ascii="宋体" w:eastAsia="宋体" w:hAnsi="宋体" w:cs="宋体"/>
          <w:sz w:val="24"/>
          <w:rtl w:val="0"/>
        </w:rPr>
        <w:t>起增加</w:t>
      </w:r>
      <w:r>
        <w:rPr>
          <w:rFonts w:ascii="宋体" w:eastAsia="宋体" w:hAnsi="宋体" w:cs="宋体"/>
          <w:sz w:val="24"/>
          <w:rtl w:val="0"/>
        </w:rPr>
        <w:t>山西证券</w:t>
      </w:r>
      <w:r>
        <w:rPr>
          <w:rFonts w:ascii="宋体" w:eastAsia="宋体" w:hAnsi="宋体" w:cs="宋体"/>
          <w:sz w:val="24"/>
          <w:rtl w:val="0"/>
        </w:rPr>
        <w:t>作为旗下</w:t>
      </w:r>
      <w:r>
        <w:rPr>
          <w:rFonts w:ascii="宋体" w:eastAsia="宋体" w:hAnsi="宋体" w:cs="宋体"/>
          <w:sz w:val="24"/>
          <w:rtl w:val="0"/>
        </w:rPr>
        <w:t>基金</w:t>
      </w:r>
      <w:r>
        <w:rPr>
          <w:rFonts w:ascii="宋体" w:eastAsia="宋体" w:hAnsi="宋体" w:cs="宋体"/>
          <w:sz w:val="24"/>
          <w:rtl w:val="0"/>
        </w:rPr>
        <w:t>的</w:t>
      </w:r>
      <w:r>
        <w:rPr>
          <w:rFonts w:ascii="宋体" w:eastAsia="宋体" w:hAnsi="宋体" w:cs="宋体"/>
          <w:sz w:val="24"/>
          <w:rtl w:val="0"/>
        </w:rPr>
        <w:t>销售</w:t>
      </w:r>
      <w:r>
        <w:rPr>
          <w:rFonts w:ascii="宋体" w:eastAsia="宋体" w:hAnsi="宋体" w:cs="宋体"/>
          <w:sz w:val="24"/>
          <w:rtl w:val="0"/>
        </w:rPr>
        <w:t>机构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一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适用</w:t>
      </w:r>
      <w:r>
        <w:rPr>
          <w:rFonts w:ascii="宋体" w:eastAsia="宋体" w:hAnsi="宋体" w:cs="宋体"/>
          <w:sz w:val="24"/>
          <w:rtl w:val="0"/>
        </w:rPr>
        <w:t>基金范围</w:t>
      </w:r>
    </w:p>
    <w:tbl>
      <w:tblPr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552"/>
        <w:gridCol w:w="167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序号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基金名称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适用基金代码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交银施罗德上证180公司治理交易型开放式指数证券投资基金联接基金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519686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交银施罗德深证300价值交易型开放式指数证券投资基金联接基金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519706</w:t>
            </w:r>
            <w:r>
              <w:rPr>
                <w:rtl w:val="0"/>
              </w:rPr>
              <w:t xml:space="preserve"> </w:t>
            </w:r>
          </w:p>
        </w:tc>
      </w:tr>
    </w:tbl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注</w:t>
      </w:r>
      <w:r>
        <w:rPr>
          <w:rFonts w:ascii="宋体" w:eastAsia="宋体" w:hAnsi="宋体" w:cs="宋体"/>
          <w:sz w:val="24"/>
          <w:rtl w:val="0"/>
        </w:rPr>
        <w:t>：</w:t>
      </w:r>
      <w:r>
        <w:rPr>
          <w:rFonts w:ascii="宋体" w:eastAsia="宋体" w:hAnsi="宋体" w:cs="宋体"/>
          <w:sz w:val="24"/>
          <w:rtl w:val="0"/>
        </w:rPr>
        <w:t>在遵守基金合同及招募说明书的前提下，销售机构办理各项基金销售业务的具体时间、流程、</w:t>
      </w:r>
      <w:r>
        <w:rPr>
          <w:rFonts w:ascii="宋体" w:eastAsia="宋体" w:hAnsi="宋体" w:cs="宋体"/>
          <w:sz w:val="24"/>
          <w:rtl w:val="0"/>
        </w:rPr>
        <w:t>业务</w:t>
      </w:r>
      <w:r>
        <w:rPr>
          <w:rFonts w:ascii="宋体" w:eastAsia="宋体" w:hAnsi="宋体" w:cs="宋体"/>
          <w:sz w:val="24"/>
          <w:rtl w:val="0"/>
        </w:rPr>
        <w:t>类型及</w:t>
      </w:r>
      <w:r>
        <w:rPr>
          <w:rFonts w:ascii="宋体" w:eastAsia="宋体" w:hAnsi="宋体" w:cs="宋体"/>
          <w:sz w:val="24"/>
          <w:rtl w:val="0"/>
        </w:rPr>
        <w:t>费率优惠活动的具体内容</w:t>
      </w:r>
      <w:r>
        <w:rPr>
          <w:rFonts w:ascii="宋体" w:eastAsia="宋体" w:hAnsi="宋体" w:cs="宋体"/>
          <w:sz w:val="24"/>
          <w:rtl w:val="0"/>
        </w:rPr>
        <w:t>（如有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宋体" w:eastAsia="宋体" w:hAnsi="宋体" w:cs="宋体"/>
          <w:sz w:val="24"/>
          <w:rtl w:val="0"/>
        </w:rPr>
        <w:t>以销售机构及网点的安排和规定为准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二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投资者可通过以下途径咨询有关详情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山西证券股份有限公司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400-666-1618、95573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www.i618.com.cn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宋体" w:eastAsia="宋体" w:hAnsi="宋体" w:cs="宋体"/>
          <w:sz w:val="24"/>
          <w:rtl w:val="0"/>
        </w:rPr>
        <w:t>、交银施罗德基金管理有限公司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400-700-5000</w:t>
      </w:r>
      <w:r>
        <w:rPr>
          <w:rFonts w:ascii="宋体" w:eastAsia="宋体" w:hAnsi="宋体" w:cs="宋体"/>
          <w:sz w:val="24"/>
          <w:rtl w:val="0"/>
        </w:rPr>
        <w:t>（免长途话费），（</w:t>
      </w:r>
      <w:r>
        <w:rPr>
          <w:rFonts w:ascii="Times New Roman" w:eastAsia="Times New Roman" w:hAnsi="Times New Roman" w:cs="Times New Roman"/>
          <w:sz w:val="24"/>
          <w:rtl w:val="0"/>
        </w:rPr>
        <w:t>021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Times New Roman" w:eastAsia="Times New Roman" w:hAnsi="Times New Roman" w:cs="Times New Roman"/>
          <w:sz w:val="24"/>
          <w:rtl w:val="0"/>
        </w:rPr>
        <w:t>61055000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www.fund001.com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特此公告。</w:t>
      </w:r>
    </w:p>
    <w:p>
      <w:pPr>
        <w:bidi w:val="0"/>
        <w:spacing w:before="0" w:beforeAutospacing="0" w:after="0" w:afterAutospacing="0" w:line="360" w:lineRule="auto"/>
        <w:ind w:left="0" w:right="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399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2023年05月05日</w:t>
      </w:r>
    </w:p>
    <w:p>
      <w:pPr>
        <w:bidi w:val="0"/>
        <w:spacing w:after="280" w:afterAutospacing="1"/>
        <w:rPr>
          <w:rtl w:val="0"/>
        </w:rPr>
      </w:pPr>
    </w:p>
    <w:sectPr>
      <w:footerReference w:type="default" r:id="rId4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fs-wrap">
    <w:name w:val="fs-wrap"/>
    <w:basedOn w:val="Normal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Normal"/>
    <w:pPr>
      <w:spacing w:line="600" w:lineRule="atLeast"/>
    </w:pPr>
    <w:rPr>
      <w:sz w:val="21"/>
    </w:rPr>
  </w:style>
  <w:style w:type="paragraph" w:customStyle="1" w:styleId="fs-label">
    <w:name w:val="fs-label"/>
    <w:basedOn w:val="Normal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cp:revision>0</cp:revision>
</cp:coreProperties>
</file>