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DA79E9" w14:textId="77777777" w:rsidR="009C2EF9" w:rsidRDefault="009C2EF9" w:rsidP="009A53EB">
      <w:bookmarkStart w:id="0" w:name="_GoBack"/>
      <w:bookmarkEnd w:id="0"/>
    </w:p>
    <w:p w14:paraId="2583A1BC" w14:textId="77777777" w:rsidR="009C2EF9" w:rsidRDefault="009C2EF9" w:rsidP="009A53EB"/>
    <w:p w14:paraId="45E064B7" w14:textId="77777777" w:rsidR="009C2EF9" w:rsidRDefault="009C2EF9" w:rsidP="009A53EB"/>
    <w:p w14:paraId="4C849BE4" w14:textId="77777777" w:rsidR="009A53EB" w:rsidRDefault="009A53EB" w:rsidP="009A53EB"/>
    <w:p w14:paraId="165D6ABF" w14:textId="77777777" w:rsidR="009A53EB" w:rsidRDefault="009A53EB" w:rsidP="009A53EB"/>
    <w:p w14:paraId="18D4F0F7" w14:textId="77777777" w:rsidR="009C2EF9" w:rsidRDefault="009C2EF9" w:rsidP="009A53EB"/>
    <w:p w14:paraId="3C2CE376" w14:textId="77777777" w:rsidR="009C2EF9" w:rsidRDefault="009C2EF9" w:rsidP="009A53EB"/>
    <w:p w14:paraId="211EF465" w14:textId="77777777" w:rsidR="009C2EF9" w:rsidRDefault="009A53EB" w:rsidP="009A53EB">
      <w:pPr>
        <w:jc w:val="center"/>
      </w:pPr>
      <w:r w:rsidRPr="00F315A5">
        <w:rPr>
          <w:noProof/>
        </w:rPr>
        <w:drawing>
          <wp:inline distT="0" distB="0" distL="0" distR="0" wp14:anchorId="3A181BEB" wp14:editId="49F3DDE3">
            <wp:extent cx="4343400" cy="571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B9287F4" w14:textId="77777777" w:rsidR="009A53EB" w:rsidRDefault="009A53EB" w:rsidP="009A53EB">
      <w:pPr>
        <w:jc w:val="center"/>
      </w:pPr>
    </w:p>
    <w:p w14:paraId="7F767D7E" w14:textId="77777777" w:rsidR="009A53EB" w:rsidRDefault="009A53EB" w:rsidP="009A53EB">
      <w:pPr>
        <w:jc w:val="center"/>
      </w:pPr>
    </w:p>
    <w:p w14:paraId="7FB95384" w14:textId="462B10BA" w:rsidR="009C2EF9" w:rsidRDefault="009C2EF9">
      <w:pPr>
        <w:adjustRightInd w:val="0"/>
        <w:snapToGrid w:val="0"/>
        <w:spacing w:line="360" w:lineRule="auto"/>
        <w:jc w:val="center"/>
        <w:rPr>
          <w:rFonts w:ascii="宋体" w:hAnsi="宋体"/>
          <w:b/>
          <w:color w:val="000000"/>
          <w:sz w:val="44"/>
        </w:rPr>
      </w:pPr>
      <w:r>
        <w:rPr>
          <w:rFonts w:ascii="宋体" w:hAnsi="宋体" w:hint="eastAsia"/>
          <w:b/>
          <w:color w:val="000000"/>
          <w:sz w:val="44"/>
        </w:rPr>
        <w:t>交银施罗德</w:t>
      </w:r>
      <w:r w:rsidR="009A53EB">
        <w:rPr>
          <w:rFonts w:ascii="宋体" w:hAnsi="宋体" w:hint="eastAsia"/>
          <w:b/>
          <w:color w:val="000000"/>
          <w:sz w:val="44"/>
        </w:rPr>
        <w:t>稳固收益债券型</w:t>
      </w:r>
      <w:r>
        <w:rPr>
          <w:rFonts w:ascii="宋体" w:hAnsi="宋体"/>
          <w:b/>
          <w:color w:val="000000"/>
          <w:sz w:val="44"/>
        </w:rPr>
        <w:t>证券投资基金</w:t>
      </w:r>
    </w:p>
    <w:p w14:paraId="03C5DBD4" w14:textId="1F957D13" w:rsidR="009C2EF9" w:rsidRDefault="009C2EF9">
      <w:pPr>
        <w:adjustRightInd w:val="0"/>
        <w:snapToGrid w:val="0"/>
        <w:spacing w:line="360" w:lineRule="auto"/>
        <w:jc w:val="center"/>
        <w:rPr>
          <w:rFonts w:ascii="宋体" w:hAnsi="宋体"/>
          <w:b/>
          <w:color w:val="000000"/>
          <w:sz w:val="44"/>
        </w:rPr>
      </w:pPr>
      <w:r>
        <w:rPr>
          <w:rFonts w:ascii="宋体" w:hAnsi="宋体"/>
          <w:b/>
          <w:color w:val="000000"/>
          <w:sz w:val="44"/>
        </w:rPr>
        <w:t>托管协议</w:t>
      </w:r>
    </w:p>
    <w:p w14:paraId="588F04A5" w14:textId="77777777" w:rsidR="009C2EF9" w:rsidRDefault="009C2EF9" w:rsidP="009A53EB"/>
    <w:p w14:paraId="01B2035D" w14:textId="77777777" w:rsidR="009A53EB" w:rsidRDefault="009A53EB" w:rsidP="009A53EB"/>
    <w:p w14:paraId="2537BCF6" w14:textId="77777777" w:rsidR="009A53EB" w:rsidRDefault="009A53EB" w:rsidP="009A53EB"/>
    <w:p w14:paraId="6658E95B" w14:textId="77777777" w:rsidR="009A53EB" w:rsidRDefault="009A53EB" w:rsidP="009A53EB"/>
    <w:p w14:paraId="7BFD3D8B" w14:textId="77777777" w:rsidR="009A53EB" w:rsidRDefault="009A53EB" w:rsidP="009A53EB"/>
    <w:p w14:paraId="3D2EF681" w14:textId="77777777" w:rsidR="009A53EB" w:rsidRDefault="009A53EB" w:rsidP="009A53EB"/>
    <w:p w14:paraId="4DB39A30" w14:textId="77777777" w:rsidR="009A53EB" w:rsidRDefault="009A53EB" w:rsidP="009A53EB"/>
    <w:p w14:paraId="7E2F0FC8" w14:textId="77777777" w:rsidR="009A53EB" w:rsidRDefault="009A53EB" w:rsidP="009A53EB"/>
    <w:p w14:paraId="6E7D5E85" w14:textId="77777777" w:rsidR="009C2EF9" w:rsidRDefault="009C2EF9" w:rsidP="009A53EB"/>
    <w:p w14:paraId="5A9FFFB0" w14:textId="77777777" w:rsidR="009C2EF9" w:rsidRDefault="009C2EF9" w:rsidP="009A53EB"/>
    <w:p w14:paraId="4720E804" w14:textId="77777777" w:rsidR="009C2EF9" w:rsidRDefault="009C2EF9" w:rsidP="009A53EB"/>
    <w:p w14:paraId="5471BC91" w14:textId="77777777" w:rsidR="009C2EF9" w:rsidRDefault="009C2EF9" w:rsidP="009A53EB"/>
    <w:p w14:paraId="2A5BDBB9" w14:textId="77777777" w:rsidR="009C2EF9" w:rsidRPr="00BE7E78" w:rsidRDefault="009C2EF9" w:rsidP="00BE7E78">
      <w:pPr>
        <w:adjustRightInd w:val="0"/>
        <w:snapToGrid w:val="0"/>
        <w:spacing w:line="360" w:lineRule="auto"/>
        <w:jc w:val="center"/>
        <w:outlineLvl w:val="0"/>
        <w:rPr>
          <w:rFonts w:ascii="宋体" w:hAnsi="宋体"/>
          <w:b/>
          <w:color w:val="000000"/>
          <w:sz w:val="32"/>
        </w:rPr>
      </w:pPr>
      <w:r w:rsidRPr="00BE7E78">
        <w:rPr>
          <w:rFonts w:ascii="宋体" w:hAnsi="宋体"/>
          <w:b/>
          <w:color w:val="000000"/>
          <w:sz w:val="32"/>
        </w:rPr>
        <w:t>基金管理人：</w:t>
      </w:r>
      <w:r w:rsidRPr="00BE7E78">
        <w:rPr>
          <w:rFonts w:ascii="宋体" w:hAnsi="宋体" w:hint="eastAsia"/>
          <w:b/>
          <w:color w:val="000000"/>
          <w:sz w:val="32"/>
        </w:rPr>
        <w:t>交银施罗德</w:t>
      </w:r>
      <w:r w:rsidRPr="00BE7E78">
        <w:rPr>
          <w:rFonts w:ascii="宋体" w:hAnsi="宋体"/>
          <w:b/>
          <w:color w:val="000000"/>
          <w:sz w:val="32"/>
        </w:rPr>
        <w:t>基金管理有限公司</w:t>
      </w:r>
    </w:p>
    <w:p w14:paraId="210901E7" w14:textId="77777777" w:rsidR="009C2EF9" w:rsidRPr="00BE7E78" w:rsidRDefault="009C2EF9" w:rsidP="00BE7E78">
      <w:pPr>
        <w:adjustRightInd w:val="0"/>
        <w:snapToGrid w:val="0"/>
        <w:spacing w:line="360" w:lineRule="auto"/>
        <w:jc w:val="center"/>
        <w:outlineLvl w:val="0"/>
        <w:rPr>
          <w:rFonts w:ascii="宋体" w:hAnsi="宋体"/>
          <w:b/>
          <w:color w:val="000000"/>
          <w:sz w:val="32"/>
        </w:rPr>
      </w:pPr>
      <w:r w:rsidRPr="00BE7E78">
        <w:rPr>
          <w:rFonts w:ascii="宋体" w:hAnsi="宋体"/>
          <w:b/>
          <w:color w:val="000000"/>
          <w:sz w:val="32"/>
        </w:rPr>
        <w:t>基金托管人：中国农业银行</w:t>
      </w:r>
      <w:r w:rsidRPr="00BE7E78">
        <w:rPr>
          <w:rFonts w:ascii="宋体" w:hAnsi="宋体" w:hint="eastAsia"/>
          <w:b/>
          <w:color w:val="000000"/>
          <w:sz w:val="32"/>
        </w:rPr>
        <w:t>股份有限公司</w:t>
      </w:r>
    </w:p>
    <w:p w14:paraId="719ACF82" w14:textId="77777777" w:rsidR="009C2EF9" w:rsidRDefault="009C2EF9" w:rsidP="009A53EB"/>
    <w:p w14:paraId="5B17B133" w14:textId="77777777" w:rsidR="009C2EF9" w:rsidRDefault="009C2EF9" w:rsidP="009A53EB"/>
    <w:p w14:paraId="36F5DED9" w14:textId="77777777" w:rsidR="009C2EF9" w:rsidRDefault="009C2EF9" w:rsidP="009A53EB">
      <w:pPr>
        <w:rPr>
          <w:b/>
        </w:rPr>
      </w:pPr>
    </w:p>
    <w:p w14:paraId="11730533" w14:textId="77777777" w:rsidR="009C2EF9" w:rsidRDefault="009C2EF9" w:rsidP="009A53EB"/>
    <w:p w14:paraId="049B2B41" w14:textId="77777777" w:rsidR="009A53EB" w:rsidRDefault="009A53EB" w:rsidP="009A53EB"/>
    <w:p w14:paraId="4FD71928" w14:textId="77777777" w:rsidR="009A53EB" w:rsidRDefault="009A53EB" w:rsidP="009A53EB"/>
    <w:p w14:paraId="09ECE462" w14:textId="2F7B6A82" w:rsidR="009C2EF9" w:rsidRDefault="00600AB5" w:rsidP="003A4711">
      <w:pPr>
        <w:jc w:val="center"/>
        <w:rPr>
          <w:rFonts w:ascii="宋体" w:hAnsi="宋体"/>
          <w:color w:val="000000"/>
          <w:sz w:val="28"/>
        </w:rPr>
        <w:sectPr w:rsidR="009C2EF9">
          <w:headerReference w:type="default" r:id="rId7"/>
          <w:footerReference w:type="even" r:id="rId8"/>
          <w:footerReference w:type="default" r:id="rId9"/>
          <w:pgSz w:w="11906" w:h="16838"/>
          <w:pgMar w:top="1440" w:right="1797" w:bottom="1440" w:left="1797" w:header="851" w:footer="992" w:gutter="0"/>
          <w:cols w:space="720"/>
          <w:titlePg/>
          <w:docGrid w:type="lines" w:linePitch="312"/>
        </w:sectPr>
      </w:pPr>
      <w:r>
        <w:rPr>
          <w:rFonts w:ascii="宋体" w:hint="eastAsia"/>
          <w:b/>
          <w:bCs/>
          <w:sz w:val="30"/>
        </w:rPr>
        <w:t>二零二</w:t>
      </w:r>
      <w:r w:rsidR="00C82F3A">
        <w:rPr>
          <w:rFonts w:ascii="宋体" w:hint="eastAsia"/>
          <w:b/>
          <w:bCs/>
          <w:sz w:val="30"/>
        </w:rPr>
        <w:t>三</w:t>
      </w:r>
      <w:r>
        <w:rPr>
          <w:rFonts w:ascii="宋体" w:hint="eastAsia"/>
          <w:b/>
          <w:bCs/>
          <w:sz w:val="30"/>
        </w:rPr>
        <w:t>年</w:t>
      </w:r>
      <w:r w:rsidR="00C82F3A">
        <w:rPr>
          <w:rFonts w:ascii="宋体" w:hAnsi="宋体" w:cs="宋体" w:hint="eastAsia"/>
          <w:b/>
          <w:bCs/>
          <w:sz w:val="30"/>
        </w:rPr>
        <w:t>四</w:t>
      </w:r>
      <w:r>
        <w:rPr>
          <w:rFonts w:ascii="宋体" w:hint="eastAsia"/>
          <w:b/>
          <w:bCs/>
          <w:sz w:val="30"/>
        </w:rPr>
        <w:t>月</w:t>
      </w:r>
    </w:p>
    <w:p w14:paraId="600236B3" w14:textId="77777777" w:rsidR="009C2EF9" w:rsidRDefault="009C2EF9" w:rsidP="009A53EB"/>
    <w:p w14:paraId="4FF96C95" w14:textId="77777777" w:rsidR="009C2EF9" w:rsidRPr="0061142D" w:rsidRDefault="009C2EF9">
      <w:pPr>
        <w:spacing w:line="360" w:lineRule="auto"/>
        <w:jc w:val="center"/>
        <w:rPr>
          <w:b/>
          <w:color w:val="000000"/>
          <w:sz w:val="28"/>
        </w:rPr>
      </w:pPr>
      <w:r w:rsidRPr="0061142D">
        <w:rPr>
          <w:rFonts w:hAnsi="宋体"/>
          <w:b/>
          <w:color w:val="000000"/>
          <w:sz w:val="28"/>
        </w:rPr>
        <w:t>目</w:t>
      </w:r>
      <w:r w:rsidRPr="0061142D">
        <w:rPr>
          <w:b/>
          <w:color w:val="000000"/>
          <w:sz w:val="28"/>
        </w:rPr>
        <w:t xml:space="preserve">    </w:t>
      </w:r>
      <w:r w:rsidRPr="0061142D">
        <w:rPr>
          <w:rFonts w:hAnsi="宋体"/>
          <w:b/>
          <w:color w:val="000000"/>
          <w:sz w:val="28"/>
        </w:rPr>
        <w:t>录</w:t>
      </w:r>
    </w:p>
    <w:p w14:paraId="2EC77E20" w14:textId="3F98FB6C"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r w:rsidRPr="0061142D">
        <w:rPr>
          <w:color w:val="000000"/>
          <w:sz w:val="28"/>
          <w:szCs w:val="28"/>
        </w:rPr>
        <w:fldChar w:fldCharType="begin"/>
      </w:r>
      <w:r w:rsidR="009C2EF9" w:rsidRPr="0061142D">
        <w:rPr>
          <w:color w:val="000000"/>
          <w:sz w:val="28"/>
          <w:szCs w:val="28"/>
        </w:rPr>
        <w:instrText xml:space="preserve"> TOC \o "1-2" \h \z </w:instrText>
      </w:r>
      <w:r w:rsidRPr="0061142D">
        <w:rPr>
          <w:color w:val="000000"/>
          <w:sz w:val="28"/>
          <w:szCs w:val="28"/>
        </w:rPr>
        <w:fldChar w:fldCharType="separate"/>
      </w:r>
      <w:hyperlink w:anchor="_Toc145818935" w:history="1">
        <w:r w:rsidR="009C2EF9" w:rsidRPr="0061142D">
          <w:rPr>
            <w:rFonts w:hAnsi="宋体"/>
            <w:noProof/>
            <w:sz w:val="28"/>
            <w:szCs w:val="28"/>
          </w:rPr>
          <w:t>一、基金托管协议当事人</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_Toc145818935 \h </w:instrText>
        </w:r>
        <w:r w:rsidRPr="0061142D">
          <w:rPr>
            <w:noProof/>
            <w:sz w:val="28"/>
            <w:szCs w:val="28"/>
          </w:rPr>
        </w:r>
        <w:r w:rsidRPr="0061142D">
          <w:rPr>
            <w:noProof/>
            <w:sz w:val="28"/>
            <w:szCs w:val="28"/>
          </w:rPr>
          <w:fldChar w:fldCharType="separate"/>
        </w:r>
        <w:r w:rsidR="004879FF">
          <w:rPr>
            <w:noProof/>
            <w:sz w:val="28"/>
            <w:szCs w:val="28"/>
          </w:rPr>
          <w:t>3</w:t>
        </w:r>
        <w:r w:rsidRPr="0061142D">
          <w:rPr>
            <w:noProof/>
            <w:sz w:val="28"/>
            <w:szCs w:val="28"/>
          </w:rPr>
          <w:fldChar w:fldCharType="end"/>
        </w:r>
      </w:hyperlink>
    </w:p>
    <w:p w14:paraId="363E5DFA" w14:textId="6FCBA432"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36" w:history="1">
        <w:r w:rsidR="009C2EF9" w:rsidRPr="0061142D">
          <w:rPr>
            <w:rFonts w:hAnsi="宋体"/>
            <w:noProof/>
            <w:sz w:val="28"/>
            <w:szCs w:val="28"/>
          </w:rPr>
          <w:t>二、基金托管协议的依据、目的和原则</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_Toc145818936 \h </w:instrText>
        </w:r>
        <w:r w:rsidR="00942CAD" w:rsidRPr="0061142D">
          <w:rPr>
            <w:noProof/>
            <w:sz w:val="28"/>
            <w:szCs w:val="28"/>
          </w:rPr>
        </w:r>
        <w:r w:rsidR="00942CAD" w:rsidRPr="0061142D">
          <w:rPr>
            <w:noProof/>
            <w:sz w:val="28"/>
            <w:szCs w:val="28"/>
          </w:rPr>
          <w:fldChar w:fldCharType="separate"/>
        </w:r>
        <w:r w:rsidR="004879FF">
          <w:rPr>
            <w:noProof/>
            <w:sz w:val="28"/>
            <w:szCs w:val="28"/>
          </w:rPr>
          <w:t>5</w:t>
        </w:r>
        <w:r w:rsidR="00942CAD" w:rsidRPr="0061142D">
          <w:rPr>
            <w:noProof/>
            <w:sz w:val="28"/>
            <w:szCs w:val="28"/>
          </w:rPr>
          <w:fldChar w:fldCharType="end"/>
        </w:r>
      </w:hyperlink>
    </w:p>
    <w:p w14:paraId="11A81D2F" w14:textId="78AA195F"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37" w:history="1">
        <w:r w:rsidR="009C2EF9" w:rsidRPr="0061142D">
          <w:rPr>
            <w:rFonts w:hAnsi="宋体"/>
            <w:noProof/>
            <w:sz w:val="28"/>
            <w:szCs w:val="28"/>
          </w:rPr>
          <w:t>三、基金托管人对基金管理人的业务监督和核查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_Toc145818937 \h </w:instrText>
        </w:r>
        <w:r w:rsidR="00942CAD" w:rsidRPr="0061142D">
          <w:rPr>
            <w:noProof/>
            <w:sz w:val="28"/>
            <w:szCs w:val="28"/>
          </w:rPr>
        </w:r>
        <w:r w:rsidR="00942CAD" w:rsidRPr="0061142D">
          <w:rPr>
            <w:noProof/>
            <w:sz w:val="28"/>
            <w:szCs w:val="28"/>
          </w:rPr>
          <w:fldChar w:fldCharType="separate"/>
        </w:r>
        <w:r w:rsidR="004879FF">
          <w:rPr>
            <w:noProof/>
            <w:sz w:val="28"/>
            <w:szCs w:val="28"/>
          </w:rPr>
          <w:t>6</w:t>
        </w:r>
        <w:r w:rsidR="00942CAD" w:rsidRPr="0061142D">
          <w:rPr>
            <w:noProof/>
            <w:sz w:val="28"/>
            <w:szCs w:val="28"/>
          </w:rPr>
          <w:fldChar w:fldCharType="end"/>
        </w:r>
      </w:hyperlink>
    </w:p>
    <w:p w14:paraId="797453FC" w14:textId="5D8BFADE"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38" w:history="1">
        <w:r w:rsidR="009C2EF9" w:rsidRPr="0061142D">
          <w:rPr>
            <w:rFonts w:hAnsi="宋体"/>
            <w:noProof/>
            <w:sz w:val="28"/>
            <w:szCs w:val="28"/>
          </w:rPr>
          <w:t>四、基金管理人对基金托管人的业务核查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_Toc145818938 \h </w:instrText>
        </w:r>
        <w:r w:rsidR="00942CAD" w:rsidRPr="0061142D">
          <w:rPr>
            <w:noProof/>
            <w:sz w:val="28"/>
            <w:szCs w:val="28"/>
          </w:rPr>
        </w:r>
        <w:r w:rsidR="00942CAD" w:rsidRPr="0061142D">
          <w:rPr>
            <w:noProof/>
            <w:sz w:val="28"/>
            <w:szCs w:val="28"/>
          </w:rPr>
          <w:fldChar w:fldCharType="separate"/>
        </w:r>
        <w:r w:rsidR="004879FF">
          <w:rPr>
            <w:noProof/>
            <w:sz w:val="28"/>
            <w:szCs w:val="28"/>
          </w:rPr>
          <w:t>15</w:t>
        </w:r>
        <w:r w:rsidR="00942CAD" w:rsidRPr="0061142D">
          <w:rPr>
            <w:noProof/>
            <w:sz w:val="28"/>
            <w:szCs w:val="28"/>
          </w:rPr>
          <w:fldChar w:fldCharType="end"/>
        </w:r>
      </w:hyperlink>
    </w:p>
    <w:p w14:paraId="7EC6E86C" w14:textId="202E12F9"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39" w:history="1">
        <w:r w:rsidR="009C2EF9" w:rsidRPr="0061142D">
          <w:rPr>
            <w:rFonts w:hAnsi="宋体"/>
            <w:noProof/>
            <w:sz w:val="28"/>
            <w:szCs w:val="28"/>
          </w:rPr>
          <w:t>五、基金财产的</w:t>
        </w:r>
        <w:bookmarkStart w:id="1" w:name="_Hlt155060667"/>
        <w:bookmarkStart w:id="2" w:name="_Hlt155060668"/>
        <w:r w:rsidR="009C2EF9" w:rsidRPr="0061142D">
          <w:rPr>
            <w:rFonts w:hAnsi="宋体"/>
            <w:noProof/>
            <w:sz w:val="28"/>
            <w:szCs w:val="28"/>
          </w:rPr>
          <w:t>保</w:t>
        </w:r>
        <w:bookmarkEnd w:id="1"/>
        <w:bookmarkEnd w:id="2"/>
        <w:r w:rsidR="009C2EF9" w:rsidRPr="0061142D">
          <w:rPr>
            <w:rFonts w:hAnsi="宋体"/>
            <w:noProof/>
            <w:sz w:val="28"/>
            <w:szCs w:val="28"/>
          </w:rPr>
          <w:t>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_Toc145818939 \h </w:instrText>
        </w:r>
        <w:r w:rsidR="00942CAD" w:rsidRPr="0061142D">
          <w:rPr>
            <w:noProof/>
            <w:sz w:val="28"/>
            <w:szCs w:val="28"/>
          </w:rPr>
        </w:r>
        <w:r w:rsidR="00942CAD" w:rsidRPr="0061142D">
          <w:rPr>
            <w:noProof/>
            <w:sz w:val="28"/>
            <w:szCs w:val="28"/>
          </w:rPr>
          <w:fldChar w:fldCharType="separate"/>
        </w:r>
        <w:r w:rsidR="004879FF">
          <w:rPr>
            <w:noProof/>
            <w:sz w:val="28"/>
            <w:szCs w:val="28"/>
          </w:rPr>
          <w:t>16</w:t>
        </w:r>
        <w:r w:rsidR="00942CAD" w:rsidRPr="0061142D">
          <w:rPr>
            <w:noProof/>
            <w:sz w:val="28"/>
            <w:szCs w:val="28"/>
          </w:rPr>
          <w:fldChar w:fldCharType="end"/>
        </w:r>
      </w:hyperlink>
    </w:p>
    <w:p w14:paraId="2FCF7D6F" w14:textId="1FC7122F"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40" w:history="1">
        <w:r w:rsidR="009C2EF9" w:rsidRPr="0061142D">
          <w:rPr>
            <w:rFonts w:hAnsi="宋体"/>
            <w:noProof/>
            <w:sz w:val="28"/>
            <w:szCs w:val="28"/>
          </w:rPr>
          <w:t>六、指令的发送、确认及执行</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_Toc145818940 \h </w:instrText>
        </w:r>
        <w:r w:rsidR="00942CAD" w:rsidRPr="0061142D">
          <w:rPr>
            <w:noProof/>
            <w:sz w:val="28"/>
            <w:szCs w:val="28"/>
          </w:rPr>
        </w:r>
        <w:r w:rsidR="00942CAD" w:rsidRPr="0061142D">
          <w:rPr>
            <w:noProof/>
            <w:sz w:val="28"/>
            <w:szCs w:val="28"/>
          </w:rPr>
          <w:fldChar w:fldCharType="separate"/>
        </w:r>
        <w:r w:rsidR="004879FF">
          <w:rPr>
            <w:noProof/>
            <w:sz w:val="28"/>
            <w:szCs w:val="28"/>
          </w:rPr>
          <w:t>19</w:t>
        </w:r>
        <w:r w:rsidR="00942CAD" w:rsidRPr="0061142D">
          <w:rPr>
            <w:noProof/>
            <w:sz w:val="28"/>
            <w:szCs w:val="28"/>
          </w:rPr>
          <w:fldChar w:fldCharType="end"/>
        </w:r>
      </w:hyperlink>
    </w:p>
    <w:p w14:paraId="460BCB17" w14:textId="69854FBE"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41" w:history="1">
        <w:r w:rsidR="009C2EF9" w:rsidRPr="0061142D">
          <w:rPr>
            <w:rFonts w:hAnsi="宋体"/>
            <w:noProof/>
            <w:sz w:val="28"/>
            <w:szCs w:val="28"/>
          </w:rPr>
          <w:t>七、交易及清算交收安排</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_Toc145818941 \h </w:instrText>
        </w:r>
        <w:r w:rsidR="00942CAD" w:rsidRPr="0061142D">
          <w:rPr>
            <w:noProof/>
            <w:sz w:val="28"/>
            <w:szCs w:val="28"/>
          </w:rPr>
        </w:r>
        <w:r w:rsidR="00942CAD" w:rsidRPr="0061142D">
          <w:rPr>
            <w:noProof/>
            <w:sz w:val="28"/>
            <w:szCs w:val="28"/>
          </w:rPr>
          <w:fldChar w:fldCharType="separate"/>
        </w:r>
        <w:r w:rsidR="004879FF">
          <w:rPr>
            <w:noProof/>
            <w:sz w:val="28"/>
            <w:szCs w:val="28"/>
          </w:rPr>
          <w:t>23</w:t>
        </w:r>
        <w:r w:rsidR="00942CAD" w:rsidRPr="0061142D">
          <w:rPr>
            <w:noProof/>
            <w:sz w:val="28"/>
            <w:szCs w:val="28"/>
          </w:rPr>
          <w:fldChar w:fldCharType="end"/>
        </w:r>
      </w:hyperlink>
    </w:p>
    <w:p w14:paraId="4D7AFAEF" w14:textId="7FFDEB21"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42" w:history="1">
        <w:r w:rsidR="009C2EF9" w:rsidRPr="0061142D">
          <w:rPr>
            <w:rFonts w:hAnsi="宋体"/>
            <w:noProof/>
            <w:sz w:val="28"/>
            <w:szCs w:val="28"/>
          </w:rPr>
          <w:t>八、基金资产净值计算和会计核算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_Toc145818942 \h </w:instrText>
        </w:r>
        <w:r w:rsidR="00942CAD" w:rsidRPr="0061142D">
          <w:rPr>
            <w:noProof/>
            <w:sz w:val="28"/>
            <w:szCs w:val="28"/>
          </w:rPr>
        </w:r>
        <w:r w:rsidR="00942CAD" w:rsidRPr="0061142D">
          <w:rPr>
            <w:noProof/>
            <w:sz w:val="28"/>
            <w:szCs w:val="28"/>
          </w:rPr>
          <w:fldChar w:fldCharType="separate"/>
        </w:r>
        <w:r w:rsidR="004879FF">
          <w:rPr>
            <w:noProof/>
            <w:sz w:val="28"/>
            <w:szCs w:val="28"/>
          </w:rPr>
          <w:t>27</w:t>
        </w:r>
        <w:r w:rsidR="00942CAD" w:rsidRPr="0061142D">
          <w:rPr>
            <w:noProof/>
            <w:sz w:val="28"/>
            <w:szCs w:val="28"/>
          </w:rPr>
          <w:fldChar w:fldCharType="end"/>
        </w:r>
      </w:hyperlink>
    </w:p>
    <w:p w14:paraId="01F98AE7" w14:textId="150A79D7"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43" w:history="1">
        <w:r w:rsidR="009C2EF9" w:rsidRPr="0061142D">
          <w:rPr>
            <w:rFonts w:hAnsi="宋体"/>
            <w:noProof/>
            <w:sz w:val="28"/>
            <w:szCs w:val="28"/>
          </w:rPr>
          <w:t>九、基金收益分配</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_Toc145818943 \h </w:instrText>
        </w:r>
        <w:r w:rsidR="00942CAD" w:rsidRPr="0061142D">
          <w:rPr>
            <w:noProof/>
            <w:sz w:val="28"/>
            <w:szCs w:val="28"/>
          </w:rPr>
        </w:r>
        <w:r w:rsidR="00942CAD" w:rsidRPr="0061142D">
          <w:rPr>
            <w:noProof/>
            <w:sz w:val="28"/>
            <w:szCs w:val="28"/>
          </w:rPr>
          <w:fldChar w:fldCharType="separate"/>
        </w:r>
        <w:r w:rsidR="004879FF">
          <w:rPr>
            <w:noProof/>
            <w:sz w:val="28"/>
            <w:szCs w:val="28"/>
          </w:rPr>
          <w:t>34</w:t>
        </w:r>
        <w:r w:rsidR="00942CAD" w:rsidRPr="0061142D">
          <w:rPr>
            <w:noProof/>
            <w:sz w:val="28"/>
            <w:szCs w:val="28"/>
          </w:rPr>
          <w:fldChar w:fldCharType="end"/>
        </w:r>
      </w:hyperlink>
    </w:p>
    <w:p w14:paraId="5D527EDB" w14:textId="18C838F6"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44" w:history="1">
        <w:r w:rsidR="009C2EF9" w:rsidRPr="0061142D">
          <w:rPr>
            <w:rFonts w:hAnsi="宋体"/>
            <w:noProof/>
            <w:sz w:val="28"/>
            <w:szCs w:val="28"/>
          </w:rPr>
          <w:t>十、基金信息披露</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_Toc145818944 \h </w:instrText>
        </w:r>
        <w:r w:rsidR="00942CAD" w:rsidRPr="0061142D">
          <w:rPr>
            <w:noProof/>
            <w:sz w:val="28"/>
            <w:szCs w:val="28"/>
          </w:rPr>
        </w:r>
        <w:r w:rsidR="00942CAD" w:rsidRPr="0061142D">
          <w:rPr>
            <w:noProof/>
            <w:sz w:val="28"/>
            <w:szCs w:val="28"/>
          </w:rPr>
          <w:fldChar w:fldCharType="separate"/>
        </w:r>
        <w:r w:rsidR="004879FF">
          <w:rPr>
            <w:noProof/>
            <w:sz w:val="28"/>
            <w:szCs w:val="28"/>
          </w:rPr>
          <w:t>35</w:t>
        </w:r>
        <w:r w:rsidR="00942CAD" w:rsidRPr="0061142D">
          <w:rPr>
            <w:noProof/>
            <w:sz w:val="28"/>
            <w:szCs w:val="28"/>
          </w:rPr>
          <w:fldChar w:fldCharType="end"/>
        </w:r>
      </w:hyperlink>
    </w:p>
    <w:p w14:paraId="40D98794" w14:textId="2A2167E5"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45" w:history="1">
        <w:r w:rsidR="009C2EF9" w:rsidRPr="0061142D">
          <w:rPr>
            <w:rFonts w:hAnsi="宋体"/>
            <w:noProof/>
            <w:sz w:val="28"/>
            <w:szCs w:val="28"/>
          </w:rPr>
          <w:t>十一、基金费用</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_Toc145818945 \h </w:instrText>
        </w:r>
        <w:r w:rsidR="00942CAD" w:rsidRPr="0061142D">
          <w:rPr>
            <w:noProof/>
            <w:sz w:val="28"/>
            <w:szCs w:val="28"/>
          </w:rPr>
        </w:r>
        <w:r w:rsidR="00942CAD" w:rsidRPr="0061142D">
          <w:rPr>
            <w:noProof/>
            <w:sz w:val="28"/>
            <w:szCs w:val="28"/>
          </w:rPr>
          <w:fldChar w:fldCharType="separate"/>
        </w:r>
        <w:r w:rsidR="004879FF">
          <w:rPr>
            <w:noProof/>
            <w:sz w:val="28"/>
            <w:szCs w:val="28"/>
          </w:rPr>
          <w:t>37</w:t>
        </w:r>
        <w:r w:rsidR="00942CAD" w:rsidRPr="0061142D">
          <w:rPr>
            <w:noProof/>
            <w:sz w:val="28"/>
            <w:szCs w:val="28"/>
          </w:rPr>
          <w:fldChar w:fldCharType="end"/>
        </w:r>
      </w:hyperlink>
    </w:p>
    <w:p w14:paraId="74331872" w14:textId="726B3336"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46" w:history="1">
        <w:r w:rsidR="009C2EF9" w:rsidRPr="0061142D">
          <w:rPr>
            <w:rFonts w:hAnsi="宋体"/>
            <w:noProof/>
            <w:sz w:val="28"/>
            <w:szCs w:val="28"/>
          </w:rPr>
          <w:t>十二、基金份额持有人名册的的登记与保管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_Toc145818946 \h </w:instrText>
        </w:r>
        <w:r w:rsidR="00942CAD" w:rsidRPr="0061142D">
          <w:rPr>
            <w:noProof/>
            <w:sz w:val="28"/>
            <w:szCs w:val="28"/>
          </w:rPr>
        </w:r>
        <w:r w:rsidR="00942CAD" w:rsidRPr="0061142D">
          <w:rPr>
            <w:noProof/>
            <w:sz w:val="28"/>
            <w:szCs w:val="28"/>
          </w:rPr>
          <w:fldChar w:fldCharType="separate"/>
        </w:r>
        <w:r w:rsidR="004879FF">
          <w:rPr>
            <w:noProof/>
            <w:sz w:val="28"/>
            <w:szCs w:val="28"/>
          </w:rPr>
          <w:t>40</w:t>
        </w:r>
        <w:r w:rsidR="00942CAD" w:rsidRPr="0061142D">
          <w:rPr>
            <w:noProof/>
            <w:sz w:val="28"/>
            <w:szCs w:val="28"/>
          </w:rPr>
          <w:fldChar w:fldCharType="end"/>
        </w:r>
      </w:hyperlink>
    </w:p>
    <w:p w14:paraId="673DCBE4" w14:textId="3243AF05"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47" w:history="1">
        <w:r w:rsidR="009C2EF9" w:rsidRPr="0061142D">
          <w:rPr>
            <w:rFonts w:hAnsi="宋体"/>
            <w:noProof/>
            <w:sz w:val="28"/>
            <w:szCs w:val="28"/>
          </w:rPr>
          <w:t>十三、基金有关文件档案的保存</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_Toc145818947 \h </w:instrText>
        </w:r>
        <w:r w:rsidR="00942CAD" w:rsidRPr="0061142D">
          <w:rPr>
            <w:noProof/>
            <w:sz w:val="28"/>
            <w:szCs w:val="28"/>
          </w:rPr>
        </w:r>
        <w:r w:rsidR="00942CAD" w:rsidRPr="0061142D">
          <w:rPr>
            <w:noProof/>
            <w:sz w:val="28"/>
            <w:szCs w:val="28"/>
          </w:rPr>
          <w:fldChar w:fldCharType="separate"/>
        </w:r>
        <w:r w:rsidR="004879FF">
          <w:rPr>
            <w:noProof/>
            <w:sz w:val="28"/>
            <w:szCs w:val="28"/>
          </w:rPr>
          <w:t>41</w:t>
        </w:r>
        <w:r w:rsidR="00942CAD" w:rsidRPr="0061142D">
          <w:rPr>
            <w:noProof/>
            <w:sz w:val="28"/>
            <w:szCs w:val="28"/>
          </w:rPr>
          <w:fldChar w:fldCharType="end"/>
        </w:r>
      </w:hyperlink>
    </w:p>
    <w:p w14:paraId="48C3DB0B" w14:textId="13E04A0F"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48" w:history="1">
        <w:r w:rsidR="009C2EF9" w:rsidRPr="0061142D">
          <w:rPr>
            <w:rFonts w:hAnsi="宋体"/>
            <w:noProof/>
            <w:sz w:val="28"/>
            <w:szCs w:val="28"/>
          </w:rPr>
          <w:t>十四、基金管理人和基金托管人的更换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_Toc145818948 \h </w:instrText>
        </w:r>
        <w:r w:rsidR="00942CAD" w:rsidRPr="0061142D">
          <w:rPr>
            <w:noProof/>
            <w:sz w:val="28"/>
            <w:szCs w:val="28"/>
          </w:rPr>
        </w:r>
        <w:r w:rsidR="00942CAD" w:rsidRPr="0061142D">
          <w:rPr>
            <w:noProof/>
            <w:sz w:val="28"/>
            <w:szCs w:val="28"/>
          </w:rPr>
          <w:fldChar w:fldCharType="separate"/>
        </w:r>
        <w:r w:rsidR="004879FF">
          <w:rPr>
            <w:noProof/>
            <w:sz w:val="28"/>
            <w:szCs w:val="28"/>
          </w:rPr>
          <w:t>41</w:t>
        </w:r>
        <w:r w:rsidR="00942CAD" w:rsidRPr="0061142D">
          <w:rPr>
            <w:noProof/>
            <w:sz w:val="28"/>
            <w:szCs w:val="28"/>
          </w:rPr>
          <w:fldChar w:fldCharType="end"/>
        </w:r>
      </w:hyperlink>
    </w:p>
    <w:p w14:paraId="1CB72072" w14:textId="0EEFCB36"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49" w:history="1">
        <w:r w:rsidR="009C2EF9" w:rsidRPr="0061142D">
          <w:rPr>
            <w:rFonts w:hAnsi="宋体"/>
            <w:noProof/>
            <w:sz w:val="28"/>
            <w:szCs w:val="28"/>
          </w:rPr>
          <w:t>十五、禁止行为</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_Toc145818949 \h </w:instrText>
        </w:r>
        <w:r w:rsidR="00942CAD" w:rsidRPr="0061142D">
          <w:rPr>
            <w:noProof/>
            <w:sz w:val="28"/>
            <w:szCs w:val="28"/>
          </w:rPr>
        </w:r>
        <w:r w:rsidR="00942CAD" w:rsidRPr="0061142D">
          <w:rPr>
            <w:noProof/>
            <w:sz w:val="28"/>
            <w:szCs w:val="28"/>
          </w:rPr>
          <w:fldChar w:fldCharType="separate"/>
        </w:r>
        <w:r w:rsidR="004879FF">
          <w:rPr>
            <w:noProof/>
            <w:sz w:val="28"/>
            <w:szCs w:val="28"/>
          </w:rPr>
          <w:t>44</w:t>
        </w:r>
        <w:r w:rsidR="00942CAD" w:rsidRPr="0061142D">
          <w:rPr>
            <w:noProof/>
            <w:sz w:val="28"/>
            <w:szCs w:val="28"/>
          </w:rPr>
          <w:fldChar w:fldCharType="end"/>
        </w:r>
      </w:hyperlink>
    </w:p>
    <w:p w14:paraId="38647B06" w14:textId="6DAB08ED"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50" w:history="1">
        <w:r w:rsidR="009C2EF9" w:rsidRPr="0061142D">
          <w:rPr>
            <w:rFonts w:hAnsi="宋体"/>
            <w:noProof/>
            <w:sz w:val="28"/>
            <w:szCs w:val="28"/>
          </w:rPr>
          <w:t>十六、托管协议的变更、终止与基金财产的清算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_Toc145818950 \h </w:instrText>
        </w:r>
        <w:r w:rsidR="00942CAD" w:rsidRPr="0061142D">
          <w:rPr>
            <w:noProof/>
            <w:sz w:val="28"/>
            <w:szCs w:val="28"/>
          </w:rPr>
        </w:r>
        <w:r w:rsidR="00942CAD" w:rsidRPr="0061142D">
          <w:rPr>
            <w:noProof/>
            <w:sz w:val="28"/>
            <w:szCs w:val="28"/>
          </w:rPr>
          <w:fldChar w:fldCharType="separate"/>
        </w:r>
        <w:r w:rsidR="004879FF">
          <w:rPr>
            <w:noProof/>
            <w:sz w:val="28"/>
            <w:szCs w:val="28"/>
          </w:rPr>
          <w:t>46</w:t>
        </w:r>
        <w:r w:rsidR="00942CAD" w:rsidRPr="0061142D">
          <w:rPr>
            <w:noProof/>
            <w:sz w:val="28"/>
            <w:szCs w:val="28"/>
          </w:rPr>
          <w:fldChar w:fldCharType="end"/>
        </w:r>
      </w:hyperlink>
    </w:p>
    <w:p w14:paraId="01D06535" w14:textId="624D552C"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51" w:history="1">
        <w:r w:rsidR="009C2EF9" w:rsidRPr="0061142D">
          <w:rPr>
            <w:rFonts w:hAnsi="宋体"/>
            <w:noProof/>
            <w:sz w:val="28"/>
            <w:szCs w:val="28"/>
          </w:rPr>
          <w:t>十七、违约责任</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_Toc145818951 \h </w:instrText>
        </w:r>
        <w:r w:rsidR="00942CAD" w:rsidRPr="0061142D">
          <w:rPr>
            <w:noProof/>
            <w:sz w:val="28"/>
            <w:szCs w:val="28"/>
          </w:rPr>
        </w:r>
        <w:r w:rsidR="00942CAD" w:rsidRPr="0061142D">
          <w:rPr>
            <w:noProof/>
            <w:sz w:val="28"/>
            <w:szCs w:val="28"/>
          </w:rPr>
          <w:fldChar w:fldCharType="separate"/>
        </w:r>
        <w:r w:rsidR="004879FF">
          <w:rPr>
            <w:noProof/>
            <w:sz w:val="28"/>
            <w:szCs w:val="28"/>
          </w:rPr>
          <w:t>48</w:t>
        </w:r>
        <w:r w:rsidR="00942CAD" w:rsidRPr="0061142D">
          <w:rPr>
            <w:noProof/>
            <w:sz w:val="28"/>
            <w:szCs w:val="28"/>
          </w:rPr>
          <w:fldChar w:fldCharType="end"/>
        </w:r>
      </w:hyperlink>
    </w:p>
    <w:p w14:paraId="32C7556E" w14:textId="00F9A15C"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52" w:history="1">
        <w:r w:rsidR="009C2EF9" w:rsidRPr="0061142D">
          <w:rPr>
            <w:rFonts w:hAnsi="宋体"/>
            <w:noProof/>
            <w:sz w:val="28"/>
            <w:szCs w:val="28"/>
          </w:rPr>
          <w:t>十八、争议解决方式</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_Toc145818952 \h </w:instrText>
        </w:r>
        <w:r w:rsidR="00942CAD" w:rsidRPr="0061142D">
          <w:rPr>
            <w:noProof/>
            <w:sz w:val="28"/>
            <w:szCs w:val="28"/>
          </w:rPr>
        </w:r>
        <w:r w:rsidR="00942CAD" w:rsidRPr="0061142D">
          <w:rPr>
            <w:noProof/>
            <w:sz w:val="28"/>
            <w:szCs w:val="28"/>
          </w:rPr>
          <w:fldChar w:fldCharType="separate"/>
        </w:r>
        <w:r w:rsidR="004879FF">
          <w:rPr>
            <w:noProof/>
            <w:sz w:val="28"/>
            <w:szCs w:val="28"/>
          </w:rPr>
          <w:t>49</w:t>
        </w:r>
        <w:r w:rsidR="00942CAD" w:rsidRPr="0061142D">
          <w:rPr>
            <w:noProof/>
            <w:sz w:val="28"/>
            <w:szCs w:val="28"/>
          </w:rPr>
          <w:fldChar w:fldCharType="end"/>
        </w:r>
      </w:hyperlink>
    </w:p>
    <w:p w14:paraId="24253921" w14:textId="65F7DBF8"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53" w:history="1">
        <w:r w:rsidR="009C2EF9" w:rsidRPr="0061142D">
          <w:rPr>
            <w:rFonts w:hAnsi="宋体"/>
            <w:noProof/>
            <w:sz w:val="28"/>
            <w:szCs w:val="28"/>
          </w:rPr>
          <w:t>十九、托管协议的效力</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_Toc145818953 \h </w:instrText>
        </w:r>
        <w:r w:rsidR="00942CAD" w:rsidRPr="0061142D">
          <w:rPr>
            <w:noProof/>
            <w:sz w:val="28"/>
            <w:szCs w:val="28"/>
          </w:rPr>
        </w:r>
        <w:r w:rsidR="00942CAD" w:rsidRPr="0061142D">
          <w:rPr>
            <w:noProof/>
            <w:sz w:val="28"/>
            <w:szCs w:val="28"/>
          </w:rPr>
          <w:fldChar w:fldCharType="separate"/>
        </w:r>
        <w:r w:rsidR="004879FF">
          <w:rPr>
            <w:noProof/>
            <w:sz w:val="28"/>
            <w:szCs w:val="28"/>
          </w:rPr>
          <w:t>50</w:t>
        </w:r>
        <w:r w:rsidR="00942CAD" w:rsidRPr="0061142D">
          <w:rPr>
            <w:noProof/>
            <w:sz w:val="28"/>
            <w:szCs w:val="28"/>
          </w:rPr>
          <w:fldChar w:fldCharType="end"/>
        </w:r>
      </w:hyperlink>
    </w:p>
    <w:p w14:paraId="430D5B23" w14:textId="0E1947DB"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54" w:history="1">
        <w:r w:rsidR="009C2EF9" w:rsidRPr="0061142D">
          <w:rPr>
            <w:rFonts w:hAnsi="宋体"/>
            <w:noProof/>
            <w:sz w:val="28"/>
            <w:szCs w:val="28"/>
          </w:rPr>
          <w:t>二十、其他事项</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_Toc145818954 \h </w:instrText>
        </w:r>
        <w:r w:rsidR="00942CAD" w:rsidRPr="0061142D">
          <w:rPr>
            <w:noProof/>
            <w:sz w:val="28"/>
            <w:szCs w:val="28"/>
          </w:rPr>
        </w:r>
        <w:r w:rsidR="00942CAD" w:rsidRPr="0061142D">
          <w:rPr>
            <w:noProof/>
            <w:sz w:val="28"/>
            <w:szCs w:val="28"/>
          </w:rPr>
          <w:fldChar w:fldCharType="separate"/>
        </w:r>
        <w:r w:rsidR="004879FF">
          <w:rPr>
            <w:noProof/>
            <w:sz w:val="28"/>
            <w:szCs w:val="28"/>
          </w:rPr>
          <w:t>51</w:t>
        </w:r>
        <w:r w:rsidR="00942CAD" w:rsidRPr="0061142D">
          <w:rPr>
            <w:noProof/>
            <w:sz w:val="28"/>
            <w:szCs w:val="28"/>
          </w:rPr>
          <w:fldChar w:fldCharType="end"/>
        </w:r>
      </w:hyperlink>
    </w:p>
    <w:p w14:paraId="726E37BC" w14:textId="784C7531" w:rsidR="009C2EF9" w:rsidRPr="0061142D" w:rsidRDefault="00183856" w:rsidP="00DA03D3">
      <w:pPr>
        <w:pStyle w:val="20"/>
        <w:tabs>
          <w:tab w:val="right" w:leader="dot" w:pos="8302"/>
        </w:tabs>
        <w:adjustRightInd w:val="0"/>
        <w:snapToGrid w:val="0"/>
        <w:spacing w:line="360" w:lineRule="auto"/>
        <w:ind w:leftChars="0" w:left="0"/>
        <w:rPr>
          <w:noProof/>
          <w:sz w:val="28"/>
          <w:szCs w:val="28"/>
        </w:rPr>
      </w:pPr>
      <w:hyperlink w:anchor="_Toc145818955" w:history="1">
        <w:r w:rsidR="009C2EF9" w:rsidRPr="0061142D">
          <w:rPr>
            <w:rFonts w:hAnsi="宋体"/>
            <w:noProof/>
            <w:sz w:val="28"/>
            <w:szCs w:val="28"/>
          </w:rPr>
          <w:t>二十一、托管协议的签订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_Toc145818955 \h </w:instrText>
        </w:r>
        <w:r w:rsidR="00942CAD" w:rsidRPr="0061142D">
          <w:rPr>
            <w:noProof/>
            <w:sz w:val="28"/>
            <w:szCs w:val="28"/>
          </w:rPr>
        </w:r>
        <w:r w:rsidR="00942CAD" w:rsidRPr="0061142D">
          <w:rPr>
            <w:noProof/>
            <w:sz w:val="28"/>
            <w:szCs w:val="28"/>
          </w:rPr>
          <w:fldChar w:fldCharType="separate"/>
        </w:r>
        <w:r w:rsidR="004879FF">
          <w:rPr>
            <w:noProof/>
            <w:sz w:val="28"/>
            <w:szCs w:val="28"/>
          </w:rPr>
          <w:t>51</w:t>
        </w:r>
        <w:r w:rsidR="00942CAD" w:rsidRPr="0061142D">
          <w:rPr>
            <w:noProof/>
            <w:sz w:val="28"/>
            <w:szCs w:val="28"/>
          </w:rPr>
          <w:fldChar w:fldCharType="end"/>
        </w:r>
      </w:hyperlink>
    </w:p>
    <w:p w14:paraId="095D2854" w14:textId="77777777" w:rsidR="009C2EF9" w:rsidRPr="0061142D" w:rsidRDefault="00942CAD" w:rsidP="00DA03D3">
      <w:pPr>
        <w:adjustRightInd w:val="0"/>
        <w:snapToGrid w:val="0"/>
        <w:spacing w:line="360" w:lineRule="auto"/>
        <w:rPr>
          <w:color w:val="000000"/>
          <w:sz w:val="28"/>
        </w:rPr>
      </w:pPr>
      <w:r w:rsidRPr="0061142D">
        <w:rPr>
          <w:color w:val="000000"/>
          <w:sz w:val="28"/>
          <w:szCs w:val="28"/>
        </w:rPr>
        <w:fldChar w:fldCharType="end"/>
      </w:r>
    </w:p>
    <w:p w14:paraId="55E0C9E6" w14:textId="77777777" w:rsidR="009C2EF9" w:rsidRPr="0061142D" w:rsidRDefault="009C2EF9">
      <w:pPr>
        <w:spacing w:line="360" w:lineRule="auto"/>
        <w:rPr>
          <w:color w:val="000000"/>
          <w:sz w:val="28"/>
        </w:rPr>
      </w:pPr>
      <w:r w:rsidRPr="0061142D">
        <w:rPr>
          <w:color w:val="000000"/>
          <w:sz w:val="28"/>
        </w:rPr>
        <w:br w:type="page"/>
      </w:r>
    </w:p>
    <w:p w14:paraId="2BAE5CEA" w14:textId="488F7B69"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lastRenderedPageBreak/>
        <w:t>鉴于交银施罗德基金管理有限公司系一家依照中国法律合法成立并有效存续的有限责任公司，按照相关法律法规的规定具备担任基金管理人的资格和能力；</w:t>
      </w:r>
    </w:p>
    <w:p w14:paraId="5B2F471C" w14:textId="77777777"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鉴于中国农业银行股份有限公司系一家依照中国法律合法成立并有效存续的银行，按照相关法律法规的规定具备担任基金托管人的资格和能力；</w:t>
      </w:r>
    </w:p>
    <w:p w14:paraId="3FC7EFAA" w14:textId="5F5FBB40"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鉴于交银施罗德</w:t>
      </w:r>
      <w:r w:rsidR="00033E31" w:rsidRPr="0061142D">
        <w:rPr>
          <w:rFonts w:hAnsi="宋体"/>
          <w:color w:val="000000"/>
          <w:kern w:val="0"/>
          <w:sz w:val="28"/>
        </w:rPr>
        <w:t>基金</w:t>
      </w:r>
      <w:r w:rsidRPr="0061142D">
        <w:rPr>
          <w:rFonts w:hAnsi="宋体"/>
          <w:color w:val="000000"/>
          <w:kern w:val="0"/>
          <w:sz w:val="28"/>
        </w:rPr>
        <w:t>管理有限公司拟担任交银施罗德</w:t>
      </w:r>
      <w:r w:rsidR="009A53EB">
        <w:rPr>
          <w:rFonts w:hAnsi="宋体" w:hint="eastAsia"/>
          <w:color w:val="000000"/>
          <w:kern w:val="0"/>
          <w:sz w:val="28"/>
        </w:rPr>
        <w:t>稳固收益债券型</w:t>
      </w:r>
      <w:r w:rsidRPr="0061142D">
        <w:rPr>
          <w:rFonts w:hAnsi="宋体"/>
          <w:color w:val="000000"/>
          <w:kern w:val="0"/>
          <w:sz w:val="28"/>
        </w:rPr>
        <w:t>证券投资基金的基金管理人，中国农业银行股份有限公司拟担任交银施罗德</w:t>
      </w:r>
      <w:r w:rsidR="009A53EB">
        <w:rPr>
          <w:rFonts w:hAnsi="宋体" w:hint="eastAsia"/>
          <w:color w:val="000000"/>
          <w:kern w:val="0"/>
          <w:sz w:val="28"/>
        </w:rPr>
        <w:t>稳固收益债券型</w:t>
      </w:r>
      <w:r w:rsidRPr="0061142D">
        <w:rPr>
          <w:rFonts w:hAnsi="宋体"/>
          <w:color w:val="000000"/>
          <w:kern w:val="0"/>
          <w:sz w:val="28"/>
        </w:rPr>
        <w:t>证券投资基金的基金托管人；</w:t>
      </w:r>
    </w:p>
    <w:p w14:paraId="74421536" w14:textId="769F6EEC" w:rsidR="009C2EF9" w:rsidRPr="0061142D" w:rsidRDefault="009A53EB">
      <w:pPr>
        <w:widowControl/>
        <w:adjustRightInd w:val="0"/>
        <w:snapToGrid w:val="0"/>
        <w:spacing w:line="360" w:lineRule="auto"/>
        <w:ind w:firstLineChars="200" w:firstLine="560"/>
        <w:rPr>
          <w:color w:val="000000"/>
          <w:kern w:val="0"/>
          <w:sz w:val="28"/>
        </w:rPr>
      </w:pPr>
      <w:r w:rsidRPr="009A53EB">
        <w:rPr>
          <w:rFonts w:hAnsi="宋体" w:hint="eastAsia"/>
          <w:color w:val="000000"/>
          <w:kern w:val="0"/>
          <w:sz w:val="28"/>
        </w:rPr>
        <w:t>交银施罗德</w:t>
      </w:r>
      <w:r>
        <w:rPr>
          <w:rFonts w:hAnsi="宋体" w:hint="eastAsia"/>
          <w:color w:val="000000"/>
          <w:kern w:val="0"/>
          <w:sz w:val="28"/>
        </w:rPr>
        <w:t>稳固收益债券型</w:t>
      </w:r>
      <w:r w:rsidRPr="009A53EB">
        <w:rPr>
          <w:rFonts w:hAnsi="宋体" w:hint="eastAsia"/>
          <w:color w:val="000000"/>
          <w:kern w:val="0"/>
          <w:sz w:val="28"/>
        </w:rPr>
        <w:t>证券投资基金由交银施罗德</w:t>
      </w:r>
      <w:r>
        <w:rPr>
          <w:rFonts w:hAnsi="宋体" w:hint="eastAsia"/>
          <w:color w:val="000000"/>
          <w:kern w:val="0"/>
          <w:sz w:val="28"/>
        </w:rPr>
        <w:t>荣祥</w:t>
      </w:r>
      <w:r w:rsidRPr="009A53EB">
        <w:rPr>
          <w:rFonts w:hAnsi="宋体" w:hint="eastAsia"/>
          <w:color w:val="000000"/>
          <w:kern w:val="0"/>
          <w:sz w:val="28"/>
        </w:rPr>
        <w:t>保本混合型证券投资基金保本周期到期转型而来。</w:t>
      </w:r>
      <w:r w:rsidR="009C2EF9" w:rsidRPr="0061142D">
        <w:rPr>
          <w:rFonts w:hAnsi="宋体"/>
          <w:color w:val="000000"/>
          <w:kern w:val="0"/>
          <w:sz w:val="28"/>
        </w:rPr>
        <w:t>为明确交银施罗德</w:t>
      </w:r>
      <w:r>
        <w:rPr>
          <w:rFonts w:hAnsi="宋体" w:hint="eastAsia"/>
          <w:color w:val="000000"/>
          <w:kern w:val="0"/>
          <w:sz w:val="28"/>
        </w:rPr>
        <w:t>稳固收益债券型</w:t>
      </w:r>
      <w:r w:rsidR="009C2EF9" w:rsidRPr="0061142D">
        <w:rPr>
          <w:rFonts w:hAnsi="宋体"/>
          <w:color w:val="000000"/>
          <w:kern w:val="0"/>
          <w:sz w:val="28"/>
        </w:rPr>
        <w:t>证券投资基金的基金管理人和基金托管人之间的权利义务关系，特制订本托管协议；</w:t>
      </w:r>
    </w:p>
    <w:p w14:paraId="2634AB42" w14:textId="5D6F4A6B" w:rsidR="009C2EF9" w:rsidRPr="0061142D" w:rsidRDefault="009C2EF9">
      <w:pPr>
        <w:widowControl/>
        <w:adjustRightInd w:val="0"/>
        <w:snapToGrid w:val="0"/>
        <w:spacing w:line="360" w:lineRule="auto"/>
        <w:ind w:firstLineChars="200" w:firstLine="560"/>
        <w:rPr>
          <w:color w:val="000000"/>
          <w:kern w:val="0"/>
          <w:sz w:val="28"/>
          <w:lang w:val="en-GB"/>
        </w:rPr>
      </w:pPr>
      <w:r w:rsidRPr="0061142D">
        <w:rPr>
          <w:rFonts w:hAnsi="宋体"/>
          <w:color w:val="000000"/>
          <w:kern w:val="0"/>
          <w:sz w:val="28"/>
          <w:lang w:val="en-GB"/>
        </w:rPr>
        <w:t>除非另有约定，《</w:t>
      </w:r>
      <w:r w:rsidRPr="0061142D">
        <w:rPr>
          <w:rFonts w:hAnsi="宋体"/>
          <w:color w:val="000000"/>
          <w:kern w:val="0"/>
          <w:sz w:val="28"/>
        </w:rPr>
        <w:t>交银施罗德</w:t>
      </w:r>
      <w:r w:rsidR="009A53EB">
        <w:rPr>
          <w:rFonts w:hAnsi="宋体" w:hint="eastAsia"/>
          <w:color w:val="000000"/>
          <w:kern w:val="0"/>
          <w:sz w:val="28"/>
        </w:rPr>
        <w:t>稳固收益债券型</w:t>
      </w:r>
      <w:r w:rsidRPr="0061142D">
        <w:rPr>
          <w:rFonts w:hAnsi="宋体"/>
          <w:color w:val="000000"/>
          <w:kern w:val="0"/>
          <w:sz w:val="28"/>
          <w:lang w:val="en-GB"/>
        </w:rPr>
        <w:t>证券投资基金基金合同》</w:t>
      </w:r>
      <w:r w:rsidRPr="0061142D">
        <w:rPr>
          <w:color w:val="000000"/>
          <w:kern w:val="0"/>
          <w:sz w:val="28"/>
          <w:lang w:val="en-GB"/>
        </w:rPr>
        <w:t>(</w:t>
      </w:r>
      <w:r w:rsidRPr="0061142D">
        <w:rPr>
          <w:rFonts w:hAnsi="宋体"/>
          <w:color w:val="000000"/>
          <w:kern w:val="0"/>
          <w:sz w:val="28"/>
          <w:lang w:val="en-GB"/>
        </w:rPr>
        <w:t>以下简称</w:t>
      </w:r>
      <w:r w:rsidRPr="0061142D">
        <w:rPr>
          <w:color w:val="000000"/>
          <w:kern w:val="0"/>
          <w:sz w:val="28"/>
          <w:lang w:val="en-GB"/>
        </w:rPr>
        <w:t>“</w:t>
      </w:r>
      <w:r w:rsidRPr="0061142D">
        <w:rPr>
          <w:rFonts w:hAnsi="宋体"/>
          <w:color w:val="000000"/>
          <w:kern w:val="0"/>
          <w:sz w:val="28"/>
          <w:lang w:val="en-GB"/>
        </w:rPr>
        <w:t>基金合同</w:t>
      </w:r>
      <w:r w:rsidRPr="0061142D">
        <w:rPr>
          <w:color w:val="000000"/>
          <w:kern w:val="0"/>
          <w:sz w:val="28"/>
          <w:lang w:val="en-GB"/>
        </w:rPr>
        <w:t>”)</w:t>
      </w:r>
      <w:r w:rsidRPr="0061142D">
        <w:rPr>
          <w:rFonts w:hAnsi="宋体"/>
          <w:color w:val="000000"/>
          <w:kern w:val="0"/>
          <w:sz w:val="28"/>
          <w:lang w:val="en-GB"/>
        </w:rPr>
        <w:t>中定义的术语在用于本托管协议时应具有相同的含义；若有抵触应以基金合同为准，并依其</w:t>
      </w:r>
      <w:r w:rsidRPr="0061142D">
        <w:rPr>
          <w:rFonts w:hAnsi="宋体"/>
          <w:color w:val="000000"/>
          <w:kern w:val="0"/>
          <w:sz w:val="28"/>
        </w:rPr>
        <w:t>条款</w:t>
      </w:r>
      <w:r w:rsidRPr="0061142D">
        <w:rPr>
          <w:rFonts w:hAnsi="宋体"/>
          <w:color w:val="000000"/>
          <w:kern w:val="0"/>
          <w:sz w:val="28"/>
          <w:lang w:val="en-GB"/>
        </w:rPr>
        <w:t>解释。</w:t>
      </w:r>
    </w:p>
    <w:p w14:paraId="4D9AD985" w14:textId="77777777" w:rsidR="00EE5132" w:rsidRPr="0061142D" w:rsidRDefault="00EE5132">
      <w:pPr>
        <w:widowControl/>
        <w:adjustRightInd w:val="0"/>
        <w:snapToGrid w:val="0"/>
        <w:spacing w:line="360" w:lineRule="auto"/>
        <w:ind w:firstLineChars="200" w:firstLine="560"/>
        <w:rPr>
          <w:color w:val="000000"/>
          <w:sz w:val="28"/>
          <w:lang w:val="en-GB"/>
        </w:rPr>
      </w:pPr>
    </w:p>
    <w:p w14:paraId="4897954A" w14:textId="77777777" w:rsidR="009C2EF9" w:rsidRPr="0061142D" w:rsidRDefault="009C2EF9">
      <w:pPr>
        <w:pStyle w:val="2"/>
        <w:spacing w:line="360" w:lineRule="auto"/>
        <w:jc w:val="center"/>
        <w:rPr>
          <w:rFonts w:ascii="Times New Roman" w:eastAsia="宋体" w:hAnsi="Times New Roman"/>
          <w:color w:val="000000"/>
          <w:sz w:val="28"/>
        </w:rPr>
      </w:pPr>
      <w:bookmarkStart w:id="3" w:name="_Toc145818935"/>
      <w:r w:rsidRPr="0061142D">
        <w:rPr>
          <w:rFonts w:ascii="Times New Roman" w:eastAsia="宋体" w:hAnsi="宋体"/>
          <w:color w:val="000000"/>
          <w:sz w:val="28"/>
        </w:rPr>
        <w:t>一、基金托管协议当事人</w:t>
      </w:r>
      <w:bookmarkEnd w:id="3"/>
    </w:p>
    <w:p w14:paraId="7A4706C7"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（一）基金管理人</w:t>
      </w:r>
    </w:p>
    <w:p w14:paraId="11DC0AC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名称：交银施罗德基金管理有限公司</w:t>
      </w:r>
    </w:p>
    <w:p w14:paraId="4195A817" w14:textId="1186E049" w:rsidR="009C2EF9" w:rsidRPr="0061142D" w:rsidRDefault="009C2EF9" w:rsidP="00EE5132">
      <w:pPr>
        <w:adjustRightInd w:val="0"/>
        <w:snapToGrid w:val="0"/>
        <w:spacing w:line="360" w:lineRule="auto"/>
        <w:ind w:firstLineChars="200" w:firstLine="560"/>
        <w:rPr>
          <w:color w:val="0000FF"/>
          <w:sz w:val="28"/>
        </w:rPr>
      </w:pPr>
      <w:r w:rsidRPr="0061142D">
        <w:rPr>
          <w:rFonts w:hAnsi="宋体"/>
          <w:color w:val="000000"/>
          <w:sz w:val="28"/>
        </w:rPr>
        <w:t>注册地址：</w:t>
      </w:r>
      <w:r w:rsidR="005C5A6F">
        <w:rPr>
          <w:rFonts w:hAnsi="宋体" w:hint="eastAsia"/>
          <w:color w:val="000000"/>
          <w:sz w:val="28"/>
        </w:rPr>
        <w:t>中国</w:t>
      </w:r>
      <w:r w:rsidR="005C5A6F">
        <w:rPr>
          <w:rFonts w:hAnsi="宋体"/>
          <w:color w:val="000000"/>
          <w:sz w:val="28"/>
        </w:rPr>
        <w:t>（上海）自由贸易试验区</w:t>
      </w:r>
      <w:r w:rsidRPr="0061142D">
        <w:rPr>
          <w:rFonts w:hAnsi="宋体"/>
          <w:color w:val="000000"/>
          <w:sz w:val="28"/>
        </w:rPr>
        <w:t>银城中路</w:t>
      </w:r>
      <w:r w:rsidRPr="0061142D">
        <w:rPr>
          <w:color w:val="000000"/>
          <w:sz w:val="28"/>
        </w:rPr>
        <w:t>188</w:t>
      </w:r>
      <w:r w:rsidRPr="0061142D">
        <w:rPr>
          <w:rFonts w:hAnsi="宋体"/>
          <w:color w:val="000000"/>
          <w:sz w:val="28"/>
        </w:rPr>
        <w:t>号交通银行大楼二层（裙）</w:t>
      </w:r>
    </w:p>
    <w:p w14:paraId="255E5E9D" w14:textId="77777777"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办公地址：</w:t>
      </w:r>
      <w:r w:rsidR="004D7CF4" w:rsidRPr="004D7CF4">
        <w:rPr>
          <w:rFonts w:hAnsi="宋体" w:hint="eastAsia"/>
          <w:color w:val="000000"/>
          <w:sz w:val="28"/>
        </w:rPr>
        <w:t>上海市浦东新区世纪大道</w:t>
      </w:r>
      <w:r w:rsidR="004D7CF4" w:rsidRPr="004D7CF4">
        <w:rPr>
          <w:rFonts w:hAnsi="宋体" w:hint="eastAsia"/>
          <w:color w:val="000000"/>
          <w:sz w:val="28"/>
        </w:rPr>
        <w:t>8</w:t>
      </w:r>
      <w:r w:rsidR="004D7CF4" w:rsidRPr="004D7CF4">
        <w:rPr>
          <w:rFonts w:hAnsi="宋体" w:hint="eastAsia"/>
          <w:color w:val="000000"/>
          <w:sz w:val="28"/>
        </w:rPr>
        <w:t>号国金中心二期</w:t>
      </w:r>
      <w:r w:rsidR="004D7CF4" w:rsidRPr="004D7CF4">
        <w:rPr>
          <w:rFonts w:hAnsi="宋体" w:hint="eastAsia"/>
          <w:color w:val="000000"/>
          <w:sz w:val="28"/>
        </w:rPr>
        <w:t>21-22</w:t>
      </w:r>
      <w:r w:rsidR="004D7CF4" w:rsidRPr="004D7CF4">
        <w:rPr>
          <w:rFonts w:hAnsi="宋体" w:hint="eastAsia"/>
          <w:color w:val="000000"/>
          <w:sz w:val="28"/>
        </w:rPr>
        <w:t>楼</w:t>
      </w:r>
    </w:p>
    <w:p w14:paraId="306061D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200120</w:t>
      </w:r>
    </w:p>
    <w:p w14:paraId="7C9710EE" w14:textId="7E571C3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法定代表人：</w:t>
      </w:r>
      <w:r w:rsidR="009A53EB">
        <w:rPr>
          <w:rFonts w:hAnsi="宋体" w:hint="eastAsia"/>
          <w:color w:val="000000"/>
          <w:sz w:val="28"/>
        </w:rPr>
        <w:t>阮红</w:t>
      </w:r>
    </w:p>
    <w:p w14:paraId="4A717CC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成立日期：</w:t>
      </w:r>
      <w:r w:rsidRPr="0061142D">
        <w:rPr>
          <w:color w:val="000000"/>
          <w:sz w:val="28"/>
        </w:rPr>
        <w:t>2005</w:t>
      </w:r>
      <w:r w:rsidRPr="0061142D">
        <w:rPr>
          <w:rFonts w:hAnsi="宋体"/>
          <w:color w:val="000000"/>
          <w:sz w:val="28"/>
        </w:rPr>
        <w:t>年</w:t>
      </w:r>
      <w:r w:rsidRPr="0061142D">
        <w:rPr>
          <w:color w:val="000000"/>
          <w:sz w:val="28"/>
        </w:rPr>
        <w:t>8</w:t>
      </w:r>
      <w:r w:rsidRPr="0061142D">
        <w:rPr>
          <w:rFonts w:hAnsi="宋体"/>
          <w:color w:val="000000"/>
          <w:sz w:val="28"/>
        </w:rPr>
        <w:t>月</w:t>
      </w:r>
      <w:r w:rsidRPr="0061142D">
        <w:rPr>
          <w:color w:val="000000"/>
          <w:sz w:val="28"/>
        </w:rPr>
        <w:t>4</w:t>
      </w:r>
      <w:r w:rsidRPr="0061142D">
        <w:rPr>
          <w:rFonts w:hAnsi="宋体"/>
          <w:color w:val="000000"/>
          <w:sz w:val="28"/>
        </w:rPr>
        <w:t>日</w:t>
      </w:r>
    </w:p>
    <w:p w14:paraId="7ECC19E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批准设立机关及批准设立文号：中国证监会证监基金字</w:t>
      </w:r>
      <w:r w:rsidRPr="0061142D">
        <w:rPr>
          <w:rStyle w:val="read"/>
          <w:color w:val="000000"/>
          <w:sz w:val="28"/>
        </w:rPr>
        <w:t>[2005]128</w:t>
      </w:r>
      <w:r w:rsidRPr="0061142D">
        <w:rPr>
          <w:rFonts w:hAnsi="宋体"/>
          <w:color w:val="000000"/>
          <w:sz w:val="28"/>
        </w:rPr>
        <w:t>号</w:t>
      </w:r>
    </w:p>
    <w:p w14:paraId="7709D32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组织形式：有限责任公司</w:t>
      </w:r>
    </w:p>
    <w:p w14:paraId="4EF6A0A3" w14:textId="77777777"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注册</w:t>
      </w:r>
      <w:r w:rsidRPr="0061142D">
        <w:rPr>
          <w:rFonts w:hAnsi="宋体"/>
          <w:sz w:val="28"/>
        </w:rPr>
        <w:t>资本：</w:t>
      </w:r>
      <w:r w:rsidRPr="0061142D">
        <w:rPr>
          <w:sz w:val="28"/>
        </w:rPr>
        <w:t>2</w:t>
      </w:r>
      <w:r w:rsidRPr="0061142D">
        <w:rPr>
          <w:rFonts w:hAnsi="宋体"/>
          <w:sz w:val="28"/>
        </w:rPr>
        <w:t>亿元人民币</w:t>
      </w:r>
    </w:p>
    <w:p w14:paraId="667D77D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14:paraId="766B38C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sz w:val="28"/>
        </w:rPr>
        <w:t>基金募集、基金销售、资产管理和中国证监会许可的其它业务</w:t>
      </w:r>
      <w:r w:rsidRPr="0061142D">
        <w:rPr>
          <w:rFonts w:hAnsi="宋体"/>
          <w:sz w:val="28"/>
        </w:rPr>
        <w:t>。</w:t>
      </w:r>
    </w:p>
    <w:p w14:paraId="0A6E7461"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（二）基金托管人</w:t>
      </w:r>
    </w:p>
    <w:p w14:paraId="4A735C5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名称：中国农业银行股份有限公司</w:t>
      </w:r>
    </w:p>
    <w:p w14:paraId="46AB65A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注册地址：北京市东城区建国门内大街</w:t>
      </w:r>
      <w:r w:rsidRPr="0061142D">
        <w:rPr>
          <w:color w:val="000000"/>
          <w:sz w:val="28"/>
        </w:rPr>
        <w:t>69</w:t>
      </w:r>
      <w:r w:rsidRPr="0061142D">
        <w:rPr>
          <w:rFonts w:hAnsi="宋体"/>
          <w:color w:val="000000"/>
          <w:sz w:val="28"/>
        </w:rPr>
        <w:t>号</w:t>
      </w:r>
    </w:p>
    <w:p w14:paraId="386799E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办公地址：北京市西城区复兴门内大街</w:t>
      </w:r>
      <w:r w:rsidRPr="0061142D">
        <w:rPr>
          <w:color w:val="000000"/>
          <w:sz w:val="28"/>
        </w:rPr>
        <w:t>28</w:t>
      </w:r>
      <w:r w:rsidRPr="0061142D">
        <w:rPr>
          <w:rFonts w:hAnsi="宋体"/>
          <w:color w:val="000000"/>
          <w:sz w:val="28"/>
        </w:rPr>
        <w:t>号凯晨世贸中心东座九层</w:t>
      </w:r>
    </w:p>
    <w:p w14:paraId="7987EB6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100031</w:t>
      </w:r>
    </w:p>
    <w:p w14:paraId="6E5F19B2" w14:textId="03C04928"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法定代表人：</w:t>
      </w:r>
      <w:r w:rsidR="002A49E7" w:rsidRPr="002A49E7">
        <w:rPr>
          <w:rFonts w:hAnsi="宋体" w:hint="eastAsia"/>
          <w:color w:val="000000"/>
          <w:sz w:val="28"/>
        </w:rPr>
        <w:t>谷澎</w:t>
      </w:r>
    </w:p>
    <w:p w14:paraId="5169B9E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成立时间：</w:t>
      </w:r>
      <w:r w:rsidRPr="0061142D">
        <w:rPr>
          <w:color w:val="000000"/>
          <w:sz w:val="28"/>
        </w:rPr>
        <w:t>2009</w:t>
      </w:r>
      <w:r w:rsidRPr="0061142D">
        <w:rPr>
          <w:rFonts w:hAnsi="宋体"/>
          <w:color w:val="000000"/>
          <w:sz w:val="28"/>
        </w:rPr>
        <w:t>年</w:t>
      </w:r>
      <w:r w:rsidRPr="0061142D">
        <w:rPr>
          <w:color w:val="000000"/>
          <w:sz w:val="28"/>
        </w:rPr>
        <w:t>1</w:t>
      </w:r>
      <w:r w:rsidRPr="0061142D">
        <w:rPr>
          <w:rFonts w:hAnsi="宋体"/>
          <w:color w:val="000000"/>
          <w:sz w:val="28"/>
        </w:rPr>
        <w:t>月</w:t>
      </w:r>
      <w:r w:rsidRPr="0061142D">
        <w:rPr>
          <w:color w:val="000000"/>
          <w:sz w:val="28"/>
        </w:rPr>
        <w:t>15</w:t>
      </w:r>
      <w:r w:rsidRPr="0061142D">
        <w:rPr>
          <w:rFonts w:hAnsi="宋体"/>
          <w:color w:val="000000"/>
          <w:sz w:val="28"/>
        </w:rPr>
        <w:t>日</w:t>
      </w:r>
    </w:p>
    <w:p w14:paraId="600E811A"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基金托管资格批准文号：中国证监会证监基字</w:t>
      </w:r>
      <w:r w:rsidRPr="0061142D">
        <w:rPr>
          <w:color w:val="000000"/>
          <w:sz w:val="28"/>
        </w:rPr>
        <w:t>[1998]23</w:t>
      </w:r>
      <w:r w:rsidRPr="0061142D">
        <w:rPr>
          <w:rFonts w:hAnsi="宋体"/>
          <w:color w:val="000000"/>
          <w:sz w:val="28"/>
        </w:rPr>
        <w:t>号</w:t>
      </w:r>
    </w:p>
    <w:p w14:paraId="277BB1A4" w14:textId="2A9FEC0C"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w:t>
      </w:r>
      <w:r w:rsidRPr="0061142D">
        <w:rPr>
          <w:rFonts w:hAnsi="宋体"/>
          <w:sz w:val="28"/>
        </w:rPr>
        <w:t>资本</w:t>
      </w:r>
      <w:r w:rsidRPr="0061142D">
        <w:rPr>
          <w:rFonts w:hAnsi="宋体"/>
          <w:color w:val="000000"/>
          <w:sz w:val="28"/>
        </w:rPr>
        <w:t>：</w:t>
      </w:r>
      <w:r w:rsidR="002A49E7" w:rsidRPr="002A49E7">
        <w:rPr>
          <w:sz w:val="28"/>
        </w:rPr>
        <w:t>34,998,303.4</w:t>
      </w:r>
      <w:r w:rsidRPr="0061142D">
        <w:rPr>
          <w:rFonts w:hAnsi="宋体"/>
          <w:sz w:val="28"/>
        </w:rPr>
        <w:t>万</w:t>
      </w:r>
      <w:r w:rsidRPr="0061142D">
        <w:rPr>
          <w:rFonts w:hAnsi="宋体"/>
          <w:color w:val="000000"/>
          <w:sz w:val="28"/>
        </w:rPr>
        <w:t>元人民币</w:t>
      </w:r>
    </w:p>
    <w:p w14:paraId="4F5AA95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14:paraId="641F0A07" w14:textId="77777777" w:rsidR="009C2EF9" w:rsidRPr="0061142D" w:rsidRDefault="009C2EF9" w:rsidP="00EE5132">
      <w:pPr>
        <w:tabs>
          <w:tab w:val="left" w:pos="540"/>
        </w:tabs>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color w:val="000000"/>
          <w:sz w:val="28"/>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w:t>
      </w:r>
      <w:r w:rsidR="00B13C8A" w:rsidRPr="00B13C8A">
        <w:rPr>
          <w:rFonts w:hAnsi="宋体" w:hint="eastAsia"/>
          <w:color w:val="000000"/>
          <w:sz w:val="28"/>
        </w:rPr>
        <w:lastRenderedPageBreak/>
        <w:t>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Pr="0061142D">
        <w:rPr>
          <w:rFonts w:hAnsi="宋体"/>
          <w:color w:val="000000"/>
          <w:sz w:val="28"/>
        </w:rPr>
        <w:t>。</w:t>
      </w:r>
    </w:p>
    <w:p w14:paraId="15D09AD1" w14:textId="77777777" w:rsidR="009C2EF9" w:rsidRPr="0061142D" w:rsidRDefault="009C2EF9">
      <w:pPr>
        <w:tabs>
          <w:tab w:val="left" w:pos="540"/>
        </w:tabs>
        <w:adjustRightInd w:val="0"/>
        <w:snapToGrid w:val="0"/>
        <w:spacing w:line="360" w:lineRule="auto"/>
        <w:ind w:firstLineChars="200" w:firstLine="560"/>
        <w:rPr>
          <w:color w:val="000000"/>
          <w:sz w:val="28"/>
        </w:rPr>
      </w:pPr>
    </w:p>
    <w:p w14:paraId="7ED00975" w14:textId="77777777" w:rsidR="009C2EF9" w:rsidRPr="0061142D" w:rsidRDefault="009C2EF9">
      <w:pPr>
        <w:pStyle w:val="2"/>
        <w:spacing w:line="360" w:lineRule="auto"/>
        <w:jc w:val="center"/>
        <w:rPr>
          <w:rFonts w:ascii="Times New Roman" w:eastAsia="宋体" w:hAnsi="Times New Roman"/>
          <w:color w:val="000000"/>
          <w:sz w:val="28"/>
        </w:rPr>
      </w:pPr>
      <w:bookmarkStart w:id="4" w:name="_Toc145818936"/>
      <w:r w:rsidRPr="0061142D">
        <w:rPr>
          <w:rFonts w:ascii="Times New Roman" w:eastAsia="宋体" w:hAnsi="宋体"/>
          <w:color w:val="000000"/>
          <w:sz w:val="28"/>
        </w:rPr>
        <w:t>二、基金托管协议的依据、目的和原则</w:t>
      </w:r>
      <w:bookmarkEnd w:id="4"/>
    </w:p>
    <w:p w14:paraId="0E07BCE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（一）订立托管协议的依据</w:t>
      </w:r>
    </w:p>
    <w:p w14:paraId="59E7877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本协议依据《中华人民共和国证券投资基金法》</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《基金法》</w:t>
      </w:r>
      <w:r w:rsidRPr="0061142D">
        <w:rPr>
          <w:color w:val="000000"/>
          <w:sz w:val="28"/>
        </w:rPr>
        <w:t>”)</w:t>
      </w:r>
      <w:r w:rsidRPr="0061142D">
        <w:rPr>
          <w:rFonts w:hAnsi="宋体"/>
          <w:color w:val="000000"/>
          <w:sz w:val="28"/>
        </w:rPr>
        <w:t>等有关法律、法规</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法律法规</w:t>
      </w:r>
      <w:r w:rsidRPr="0061142D">
        <w:rPr>
          <w:color w:val="000000"/>
          <w:sz w:val="28"/>
        </w:rPr>
        <w:t>”)</w:t>
      </w:r>
      <w:r w:rsidRPr="0061142D">
        <w:rPr>
          <w:rFonts w:hAnsi="宋体"/>
          <w:color w:val="000000"/>
          <w:sz w:val="28"/>
        </w:rPr>
        <w:t>、基金合同及其他有关规定制订。</w:t>
      </w:r>
    </w:p>
    <w:p w14:paraId="2244E95A"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（二）订立托管协议的目的</w:t>
      </w:r>
    </w:p>
    <w:p w14:paraId="48B8E49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826F00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（三）订立托管协议的原则</w:t>
      </w:r>
    </w:p>
    <w:p w14:paraId="08D29DE7" w14:textId="77777777"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t>基金管理人和基金托管人本着平等自愿、诚实信用、充分保护基金投资者合法权益的原则，经协商一致，签订本协议。</w:t>
      </w:r>
    </w:p>
    <w:p w14:paraId="13004F4F" w14:textId="77777777"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lastRenderedPageBreak/>
        <w:t>（四）解释</w:t>
      </w:r>
    </w:p>
    <w:p w14:paraId="667B39A7" w14:textId="542F6173" w:rsidR="00D74313" w:rsidRPr="00D74313" w:rsidRDefault="009C2EF9" w:rsidP="00827D76">
      <w:pPr>
        <w:pStyle w:val="af4"/>
        <w:adjustRightInd w:val="0"/>
        <w:snapToGrid w:val="0"/>
        <w:spacing w:after="0" w:line="360" w:lineRule="auto"/>
        <w:ind w:leftChars="0" w:left="0" w:firstLineChars="200" w:firstLine="560"/>
        <w:rPr>
          <w:sz w:val="28"/>
        </w:rPr>
      </w:pPr>
      <w:r w:rsidRPr="0061142D">
        <w:rPr>
          <w:sz w:val="28"/>
        </w:rPr>
        <w:t>除非文义另有所指，</w:t>
      </w:r>
      <w:r w:rsidRPr="0061142D">
        <w:rPr>
          <w:kern w:val="0"/>
          <w:sz w:val="28"/>
        </w:rPr>
        <w:t>本协议所使用的</w:t>
      </w:r>
      <w:r w:rsidRPr="0061142D">
        <w:rPr>
          <w:rFonts w:hAnsi="宋体"/>
          <w:kern w:val="0"/>
          <w:sz w:val="28"/>
        </w:rPr>
        <w:t>所有术语与基金合同的相应术语具有相</w:t>
      </w:r>
      <w:r w:rsidRPr="0061142D">
        <w:rPr>
          <w:kern w:val="0"/>
          <w:sz w:val="28"/>
        </w:rPr>
        <w:t>同含义。</w:t>
      </w:r>
    </w:p>
    <w:p w14:paraId="2D7DDF5C" w14:textId="27B5998F" w:rsidR="00EE5132" w:rsidRPr="0061142D" w:rsidRDefault="00D74313" w:rsidP="00D74313">
      <w:pPr>
        <w:pStyle w:val="af4"/>
        <w:adjustRightInd w:val="0"/>
        <w:snapToGrid w:val="0"/>
        <w:spacing w:after="0" w:line="360" w:lineRule="auto"/>
        <w:ind w:leftChars="0" w:left="0" w:firstLineChars="200" w:firstLine="560"/>
        <w:rPr>
          <w:sz w:val="28"/>
        </w:rPr>
      </w:pPr>
      <w:r w:rsidRPr="00D74313">
        <w:rPr>
          <w:rFonts w:hint="eastAsia"/>
          <w:sz w:val="28"/>
        </w:rPr>
        <w:t>（五</w:t>
      </w:r>
      <w:r w:rsidRPr="00D74313" w:rsidDel="004716DB">
        <w:rPr>
          <w:rFonts w:hint="eastAsia"/>
          <w:sz w:val="28"/>
        </w:rPr>
        <w:t>）若本基金实施侧袋机制的，侧袋机制实施期间的相关安排见基金合同和招募说明书的规定。</w:t>
      </w:r>
    </w:p>
    <w:p w14:paraId="50EE8990" w14:textId="77777777" w:rsidR="009C2EF9" w:rsidRPr="0061142D" w:rsidRDefault="009C2EF9">
      <w:pPr>
        <w:pStyle w:val="2"/>
        <w:spacing w:line="360" w:lineRule="auto"/>
        <w:jc w:val="center"/>
        <w:rPr>
          <w:rFonts w:ascii="Times New Roman" w:eastAsia="宋体" w:hAnsi="Times New Roman"/>
          <w:color w:val="000000"/>
          <w:sz w:val="28"/>
        </w:rPr>
      </w:pPr>
      <w:bookmarkStart w:id="5" w:name="_Toc145818937"/>
      <w:r w:rsidRPr="0061142D">
        <w:rPr>
          <w:rFonts w:ascii="Times New Roman" w:eastAsia="宋体" w:hAnsi="宋体"/>
          <w:color w:val="000000"/>
          <w:sz w:val="28"/>
        </w:rPr>
        <w:t>三、基金托管人对基金管理人的业务监督和核查</w:t>
      </w:r>
      <w:bookmarkEnd w:id="5"/>
    </w:p>
    <w:p w14:paraId="6A203B8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A0DA437" w14:textId="5DF657B9" w:rsidR="009C2EF9" w:rsidRPr="0061142D" w:rsidRDefault="009C2EF9" w:rsidP="00EE5132">
      <w:pPr>
        <w:adjustRightInd w:val="0"/>
        <w:snapToGrid w:val="0"/>
        <w:spacing w:line="360" w:lineRule="auto"/>
        <w:ind w:firstLineChars="200" w:firstLine="560"/>
        <w:rPr>
          <w:sz w:val="28"/>
        </w:rPr>
      </w:pPr>
      <w:bookmarkStart w:id="6" w:name="_Hlk501702676"/>
      <w:r w:rsidRPr="0061142D">
        <w:rPr>
          <w:rFonts w:hAnsi="宋体"/>
          <w:sz w:val="28"/>
        </w:rPr>
        <w:t>本基金</w:t>
      </w:r>
      <w:r w:rsidR="009A53EB">
        <w:rPr>
          <w:rFonts w:hAnsi="宋体" w:hint="eastAsia"/>
          <w:sz w:val="28"/>
        </w:rPr>
        <w:t>的</w:t>
      </w:r>
      <w:r w:rsidRPr="0061142D">
        <w:rPr>
          <w:rFonts w:hAnsi="宋体"/>
          <w:sz w:val="28"/>
        </w:rPr>
        <w:t>投资范围为具有良好流动性的金融工具，包括</w:t>
      </w:r>
      <w:r w:rsidR="00600AB5" w:rsidRPr="00600AB5">
        <w:rPr>
          <w:rFonts w:hAnsi="宋体" w:hint="eastAsia"/>
          <w:sz w:val="28"/>
        </w:rPr>
        <w:t>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以及法律法规或中国证监会允许基金投资的其他金融工具（但须符合中国证监会相关规定）。</w:t>
      </w:r>
    </w:p>
    <w:p w14:paraId="0861AC1F" w14:textId="4E904905"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如法律法规或监管机构以后允许基金投资其他品种，基金管理人在履行适当程序后，可以将其纳入投资范围。</w:t>
      </w:r>
    </w:p>
    <w:p w14:paraId="2614E872" w14:textId="44B0CFF0" w:rsidR="009C2EF9" w:rsidRPr="0061142D" w:rsidRDefault="00A862C4" w:rsidP="00EE5132">
      <w:pPr>
        <w:adjustRightInd w:val="0"/>
        <w:snapToGrid w:val="0"/>
        <w:spacing w:line="360" w:lineRule="auto"/>
        <w:ind w:firstLineChars="200" w:firstLine="560"/>
        <w:rPr>
          <w:color w:val="000000"/>
          <w:sz w:val="28"/>
        </w:rPr>
      </w:pPr>
      <w:r w:rsidRPr="00A862C4">
        <w:rPr>
          <w:rFonts w:hAnsi="宋体" w:hint="eastAsia"/>
          <w:sz w:val="28"/>
        </w:rPr>
        <w:t>本基金的投资组合比例为：本基金投资于债券资产的比例不低于</w:t>
      </w:r>
      <w:r w:rsidRPr="00A862C4">
        <w:rPr>
          <w:rFonts w:hAnsi="宋体" w:hint="eastAsia"/>
          <w:sz w:val="28"/>
        </w:rPr>
        <w:lastRenderedPageBreak/>
        <w:t>基金资产的</w:t>
      </w:r>
      <w:r w:rsidRPr="00A862C4">
        <w:rPr>
          <w:rFonts w:hAnsi="宋体" w:hint="eastAsia"/>
          <w:sz w:val="28"/>
        </w:rPr>
        <w:t>80%</w:t>
      </w:r>
      <w:r w:rsidRPr="00A862C4">
        <w:rPr>
          <w:rFonts w:hAnsi="宋体" w:hint="eastAsia"/>
          <w:sz w:val="28"/>
        </w:rPr>
        <w:t>；投资于股票资产（含存托凭证）、可转换债券、可交换公司债券的比例合计不高于基金资产净值的</w:t>
      </w:r>
      <w:r w:rsidRPr="00A862C4">
        <w:rPr>
          <w:rFonts w:hAnsi="宋体" w:hint="eastAsia"/>
          <w:sz w:val="28"/>
        </w:rPr>
        <w:t>20%</w:t>
      </w:r>
      <w:r w:rsidRPr="00A862C4">
        <w:rPr>
          <w:rFonts w:hAnsi="宋体" w:hint="eastAsia"/>
          <w:sz w:val="28"/>
        </w:rPr>
        <w:t>（其中投资于港股通标的股票的比例占股票资产的</w:t>
      </w:r>
      <w:r w:rsidRPr="00A862C4">
        <w:rPr>
          <w:rFonts w:hAnsi="宋体" w:hint="eastAsia"/>
          <w:sz w:val="28"/>
        </w:rPr>
        <w:t>0%-50%</w:t>
      </w:r>
      <w:r w:rsidRPr="00A862C4">
        <w:rPr>
          <w:rFonts w:hAnsi="宋体" w:hint="eastAsia"/>
          <w:sz w:val="28"/>
        </w:rPr>
        <w:t>）；本基金持有的</w:t>
      </w:r>
      <w:r w:rsidR="009C2EF9" w:rsidRPr="0061142D">
        <w:rPr>
          <w:rFonts w:hAnsi="宋体"/>
          <w:sz w:val="28"/>
        </w:rPr>
        <w:t>现金或</w:t>
      </w:r>
      <w:r w:rsidR="00B12CC0">
        <w:rPr>
          <w:rFonts w:hAnsi="宋体" w:hint="eastAsia"/>
          <w:sz w:val="28"/>
        </w:rPr>
        <w:t>者</w:t>
      </w:r>
      <w:r w:rsidR="009C2EF9" w:rsidRPr="0061142D">
        <w:rPr>
          <w:rFonts w:hAnsi="宋体"/>
          <w:sz w:val="28"/>
        </w:rPr>
        <w:t>到期日在一年以内的政府债券的比例合计不低于基金资产净值的</w:t>
      </w:r>
      <w:r w:rsidR="009C2EF9" w:rsidRPr="0061142D">
        <w:rPr>
          <w:sz w:val="28"/>
        </w:rPr>
        <w:t>5%</w:t>
      </w:r>
      <w:r w:rsidR="009C2EF9" w:rsidRPr="0061142D">
        <w:rPr>
          <w:rFonts w:hAnsi="宋体"/>
          <w:sz w:val="28"/>
        </w:rPr>
        <w:t>，</w:t>
      </w:r>
      <w:r w:rsidR="00280227" w:rsidRPr="00280227">
        <w:rPr>
          <w:rFonts w:hAnsi="宋体" w:hint="eastAsia"/>
          <w:bCs/>
          <w:sz w:val="28"/>
        </w:rPr>
        <w:t>其中</w:t>
      </w:r>
      <w:r w:rsidR="00280227" w:rsidRPr="00280227">
        <w:rPr>
          <w:rFonts w:hAnsi="宋体"/>
          <w:bCs/>
          <w:sz w:val="28"/>
        </w:rPr>
        <w:t>现金不包括</w:t>
      </w:r>
      <w:r w:rsidR="00280227" w:rsidRPr="00280227">
        <w:rPr>
          <w:rFonts w:hAnsi="宋体" w:hint="eastAsia"/>
          <w:bCs/>
          <w:sz w:val="28"/>
        </w:rPr>
        <w:t>结算备付金、存出保证金</w:t>
      </w:r>
      <w:r w:rsidR="009D137D">
        <w:rPr>
          <w:rFonts w:hAnsi="宋体" w:hint="eastAsia"/>
          <w:bCs/>
          <w:sz w:val="28"/>
        </w:rPr>
        <w:t>、</w:t>
      </w:r>
      <w:r w:rsidR="00280227" w:rsidRPr="00280227">
        <w:rPr>
          <w:rFonts w:hAnsi="宋体" w:hint="eastAsia"/>
          <w:bCs/>
          <w:sz w:val="28"/>
        </w:rPr>
        <w:t>应收申购款等；</w:t>
      </w:r>
      <w:r w:rsidR="00A4314C" w:rsidRPr="00A4314C">
        <w:rPr>
          <w:rFonts w:hAnsi="宋体" w:hint="eastAsia"/>
          <w:sz w:val="28"/>
        </w:rPr>
        <w:t>如果法律法规或中国证监会变更投资品种的投资比例限制，基金管理人在履行适当程序后，可以调整上述投资品种的投资比例。</w:t>
      </w:r>
    </w:p>
    <w:p w14:paraId="0B26265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（二）基金托管人根据有关法律法规的规定及基金合同的约定，对基金投资、融资、融券比例进行监督。基金托管人按下述比例和调整期限进行监督：</w:t>
      </w:r>
    </w:p>
    <w:p w14:paraId="1C96169D" w14:textId="77777777" w:rsidR="007317BD" w:rsidRDefault="009A53EB" w:rsidP="00EE5132">
      <w:pPr>
        <w:adjustRightInd w:val="0"/>
        <w:snapToGrid w:val="0"/>
        <w:spacing w:line="360" w:lineRule="auto"/>
        <w:ind w:firstLineChars="200" w:firstLine="560"/>
        <w:rPr>
          <w:color w:val="000000"/>
          <w:sz w:val="28"/>
        </w:rPr>
      </w:pPr>
      <w:r>
        <w:rPr>
          <w:rFonts w:hint="eastAsia"/>
          <w:color w:val="000000"/>
          <w:sz w:val="28"/>
        </w:rPr>
        <w:t>1</w:t>
      </w:r>
      <w:r>
        <w:rPr>
          <w:color w:val="000000"/>
          <w:sz w:val="28"/>
        </w:rPr>
        <w:t>、</w:t>
      </w:r>
      <w:r w:rsidR="007317BD" w:rsidRPr="007317BD">
        <w:rPr>
          <w:rFonts w:hint="eastAsia"/>
          <w:color w:val="000000"/>
          <w:sz w:val="28"/>
        </w:rPr>
        <w:t>本基金投资于债券资产的比例不低于基金资产的</w:t>
      </w:r>
      <w:r w:rsidR="007317BD" w:rsidRPr="007317BD">
        <w:rPr>
          <w:rFonts w:hint="eastAsia"/>
          <w:color w:val="000000"/>
          <w:sz w:val="28"/>
        </w:rPr>
        <w:t>80%</w:t>
      </w:r>
      <w:r w:rsidR="007317BD" w:rsidRPr="007317BD">
        <w:rPr>
          <w:rFonts w:hint="eastAsia"/>
          <w:color w:val="000000"/>
          <w:sz w:val="28"/>
        </w:rPr>
        <w:t>，投资于股票资产（含存托凭证）、可转换债券、可交换公司债券的比例合计不高于基金资产净值的</w:t>
      </w:r>
      <w:r w:rsidR="007317BD" w:rsidRPr="007317BD">
        <w:rPr>
          <w:rFonts w:hint="eastAsia"/>
          <w:color w:val="000000"/>
          <w:sz w:val="28"/>
        </w:rPr>
        <w:t>20%</w:t>
      </w:r>
      <w:r w:rsidR="007317BD" w:rsidRPr="007317BD">
        <w:rPr>
          <w:rFonts w:hint="eastAsia"/>
          <w:color w:val="000000"/>
          <w:sz w:val="28"/>
        </w:rPr>
        <w:t>（其中投资于港股通标的股票的比例占股票资产的</w:t>
      </w:r>
      <w:r w:rsidR="007317BD" w:rsidRPr="007317BD">
        <w:rPr>
          <w:rFonts w:hint="eastAsia"/>
          <w:color w:val="000000"/>
          <w:sz w:val="28"/>
        </w:rPr>
        <w:t>0%-50%</w:t>
      </w:r>
      <w:r w:rsidR="007317BD" w:rsidRPr="007317BD">
        <w:rPr>
          <w:rFonts w:hint="eastAsia"/>
          <w:color w:val="000000"/>
          <w:sz w:val="28"/>
        </w:rPr>
        <w:t>）；</w:t>
      </w:r>
    </w:p>
    <w:bookmarkEnd w:id="6"/>
    <w:p w14:paraId="680F7062" w14:textId="17DFCB66" w:rsidR="009C2EF9" w:rsidRPr="0061142D" w:rsidRDefault="00651346" w:rsidP="00EE5132">
      <w:pPr>
        <w:adjustRightInd w:val="0"/>
        <w:snapToGrid w:val="0"/>
        <w:spacing w:line="360" w:lineRule="auto"/>
        <w:ind w:firstLineChars="200" w:firstLine="560"/>
        <w:rPr>
          <w:sz w:val="28"/>
        </w:rPr>
      </w:pPr>
      <w:r>
        <w:rPr>
          <w:color w:val="000000"/>
          <w:sz w:val="28"/>
        </w:rPr>
        <w:t>2</w:t>
      </w:r>
      <w:r w:rsidR="009C2EF9" w:rsidRPr="0061142D">
        <w:rPr>
          <w:rFonts w:hAnsi="宋体"/>
          <w:sz w:val="28"/>
        </w:rPr>
        <w:t>、</w:t>
      </w:r>
      <w:r w:rsidR="009A53EB">
        <w:rPr>
          <w:rFonts w:hAnsi="宋体" w:hint="eastAsia"/>
          <w:sz w:val="28"/>
        </w:rPr>
        <w:t>本</w:t>
      </w:r>
      <w:r w:rsidR="009C2EF9" w:rsidRPr="0061142D">
        <w:rPr>
          <w:rFonts w:hAnsi="宋体"/>
          <w:sz w:val="28"/>
        </w:rPr>
        <w:t>基金持有一家公司</w:t>
      </w:r>
      <w:r w:rsidR="007317BD">
        <w:rPr>
          <w:rFonts w:hAnsi="宋体" w:hint="eastAsia"/>
          <w:sz w:val="28"/>
        </w:rPr>
        <w:t>发行</w:t>
      </w:r>
      <w:r w:rsidR="009C2EF9" w:rsidRPr="0061142D">
        <w:rPr>
          <w:rFonts w:hAnsi="宋体"/>
          <w:sz w:val="28"/>
        </w:rPr>
        <w:t>的</w:t>
      </w:r>
      <w:r w:rsidR="004E66A7">
        <w:rPr>
          <w:rFonts w:hAnsi="宋体"/>
          <w:sz w:val="28"/>
        </w:rPr>
        <w:t>证券</w:t>
      </w:r>
      <w:r w:rsidR="007317BD" w:rsidRPr="007317BD">
        <w:rPr>
          <w:rFonts w:hAnsi="宋体" w:hint="eastAsia"/>
          <w:sz w:val="28"/>
        </w:rPr>
        <w:t>（同一家公司在内地和香港同时上市的</w:t>
      </w:r>
      <w:r w:rsidR="007317BD" w:rsidRPr="007317BD">
        <w:rPr>
          <w:rFonts w:hAnsi="宋体" w:hint="eastAsia"/>
          <w:sz w:val="28"/>
        </w:rPr>
        <w:t xml:space="preserve">A+H </w:t>
      </w:r>
      <w:r w:rsidR="007317BD" w:rsidRPr="007317BD">
        <w:rPr>
          <w:rFonts w:hAnsi="宋体" w:hint="eastAsia"/>
          <w:sz w:val="28"/>
        </w:rPr>
        <w:t>股合计计算）</w:t>
      </w:r>
      <w:r w:rsidR="009C2EF9" w:rsidRPr="0061142D">
        <w:rPr>
          <w:rFonts w:hAnsi="宋体"/>
          <w:sz w:val="28"/>
        </w:rPr>
        <w:t>，其市值不超过基金资产净值的</w:t>
      </w:r>
      <w:r w:rsidR="009C2EF9" w:rsidRPr="0061142D">
        <w:rPr>
          <w:sz w:val="28"/>
        </w:rPr>
        <w:t>10</w:t>
      </w:r>
      <w:r w:rsidR="00B138D3" w:rsidRPr="0061142D">
        <w:rPr>
          <w:color w:val="000000"/>
          <w:sz w:val="28"/>
        </w:rPr>
        <w:t>%</w:t>
      </w:r>
      <w:r w:rsidR="009C2EF9" w:rsidRPr="0061142D">
        <w:rPr>
          <w:rFonts w:hAnsi="宋体"/>
          <w:sz w:val="28"/>
        </w:rPr>
        <w:t>；</w:t>
      </w:r>
    </w:p>
    <w:p w14:paraId="3357479A" w14:textId="37D7EBA3" w:rsidR="009C2EF9" w:rsidRPr="0061142D" w:rsidRDefault="00651346" w:rsidP="00EE5132">
      <w:pPr>
        <w:adjustRightInd w:val="0"/>
        <w:snapToGrid w:val="0"/>
        <w:spacing w:line="360" w:lineRule="auto"/>
        <w:ind w:firstLineChars="200" w:firstLine="560"/>
        <w:rPr>
          <w:sz w:val="28"/>
        </w:rPr>
      </w:pPr>
      <w:r>
        <w:rPr>
          <w:sz w:val="28"/>
        </w:rPr>
        <w:t>3</w:t>
      </w:r>
      <w:r w:rsidR="009C2EF9" w:rsidRPr="0061142D">
        <w:rPr>
          <w:rFonts w:hAnsi="宋体"/>
          <w:sz w:val="28"/>
        </w:rPr>
        <w:t>、</w:t>
      </w:r>
      <w:r>
        <w:rPr>
          <w:rFonts w:hAnsi="宋体" w:hint="eastAsia"/>
          <w:sz w:val="28"/>
        </w:rPr>
        <w:t>本</w:t>
      </w:r>
      <w:r w:rsidR="009C2EF9" w:rsidRPr="0061142D">
        <w:rPr>
          <w:rFonts w:hAnsi="宋体"/>
          <w:sz w:val="28"/>
        </w:rPr>
        <w:t>基金管理人管理的全部基金持有一家公司发行的证券</w:t>
      </w:r>
      <w:r w:rsidR="004B682F" w:rsidRPr="004B682F">
        <w:rPr>
          <w:rFonts w:hAnsi="宋体" w:hint="eastAsia"/>
          <w:sz w:val="28"/>
        </w:rPr>
        <w:t>（同一家公司在内地和香港同时上市的</w:t>
      </w:r>
      <w:r w:rsidR="004B682F" w:rsidRPr="004B682F">
        <w:rPr>
          <w:rFonts w:hAnsi="宋体" w:hint="eastAsia"/>
          <w:sz w:val="28"/>
        </w:rPr>
        <w:t xml:space="preserve">A+H </w:t>
      </w:r>
      <w:r w:rsidR="004B682F" w:rsidRPr="004B682F">
        <w:rPr>
          <w:rFonts w:hAnsi="宋体" w:hint="eastAsia"/>
          <w:sz w:val="28"/>
        </w:rPr>
        <w:t>股合计计算）</w:t>
      </w:r>
      <w:r w:rsidR="009C2EF9" w:rsidRPr="0061142D">
        <w:rPr>
          <w:rFonts w:hAnsi="宋体"/>
          <w:sz w:val="28"/>
        </w:rPr>
        <w:t>，不超过该证券的</w:t>
      </w:r>
      <w:r w:rsidR="009C2EF9" w:rsidRPr="0061142D">
        <w:rPr>
          <w:sz w:val="28"/>
        </w:rPr>
        <w:t>10</w:t>
      </w:r>
      <w:r w:rsidR="00B138D3" w:rsidRPr="0061142D">
        <w:rPr>
          <w:color w:val="000000"/>
          <w:sz w:val="28"/>
        </w:rPr>
        <w:t>%</w:t>
      </w:r>
      <w:r w:rsidR="004B682F" w:rsidRPr="004B682F">
        <w:rPr>
          <w:rFonts w:hint="eastAsia"/>
          <w:color w:val="000000"/>
          <w:sz w:val="28"/>
        </w:rPr>
        <w:t>；完全按照有关指数的构成比例进行证券投资的基金品种可以不受此条款规定的比例限制</w:t>
      </w:r>
      <w:r w:rsidR="009C2EF9" w:rsidRPr="0061142D">
        <w:rPr>
          <w:rFonts w:hAnsi="宋体"/>
          <w:sz w:val="28"/>
        </w:rPr>
        <w:t>；</w:t>
      </w:r>
    </w:p>
    <w:p w14:paraId="3662BD48" w14:textId="5EA65DAB" w:rsidR="009C2EF9" w:rsidRPr="0061142D" w:rsidRDefault="00651346" w:rsidP="00EE5132">
      <w:pPr>
        <w:adjustRightInd w:val="0"/>
        <w:snapToGrid w:val="0"/>
        <w:spacing w:line="360" w:lineRule="auto"/>
        <w:ind w:firstLineChars="200" w:firstLine="560"/>
        <w:rPr>
          <w:sz w:val="28"/>
        </w:rPr>
      </w:pPr>
      <w:r>
        <w:rPr>
          <w:sz w:val="28"/>
        </w:rPr>
        <w:t>4</w:t>
      </w:r>
      <w:r w:rsidR="009C2EF9" w:rsidRPr="0061142D">
        <w:rPr>
          <w:rFonts w:hAnsi="宋体"/>
          <w:sz w:val="28"/>
        </w:rPr>
        <w:t>、</w:t>
      </w:r>
      <w:r>
        <w:rPr>
          <w:rFonts w:hAnsi="宋体" w:hint="eastAsia"/>
          <w:sz w:val="28"/>
        </w:rPr>
        <w:t>本</w:t>
      </w:r>
      <w:r w:rsidR="009C2EF9" w:rsidRPr="0061142D">
        <w:rPr>
          <w:rFonts w:hAnsi="宋体"/>
          <w:sz w:val="28"/>
        </w:rPr>
        <w:t>基金进入全国银行间同业市场进行债券回购的资金余额不得超过基金资产净值的</w:t>
      </w:r>
      <w:r w:rsidR="009C2EF9" w:rsidRPr="0061142D">
        <w:rPr>
          <w:sz w:val="28"/>
        </w:rPr>
        <w:t>40</w:t>
      </w:r>
      <w:r w:rsidR="00B138D3" w:rsidRPr="0061142D">
        <w:rPr>
          <w:color w:val="000000"/>
          <w:sz w:val="28"/>
        </w:rPr>
        <w:t>%</w:t>
      </w:r>
      <w:r w:rsidR="006664A7">
        <w:rPr>
          <w:rFonts w:hint="eastAsia"/>
          <w:sz w:val="28"/>
        </w:rPr>
        <w:t>，</w:t>
      </w:r>
      <w:r w:rsidR="004B1ED7" w:rsidRPr="004B1ED7">
        <w:rPr>
          <w:rFonts w:hint="eastAsia"/>
          <w:sz w:val="28"/>
        </w:rPr>
        <w:t>进入全国银行间同业市场进行</w:t>
      </w:r>
      <w:r w:rsidR="00302D6E" w:rsidRPr="0061142D">
        <w:rPr>
          <w:rFonts w:hAnsi="宋体"/>
          <w:sz w:val="28"/>
        </w:rPr>
        <w:t>债券回购</w:t>
      </w:r>
      <w:r w:rsidR="004B1ED7">
        <w:rPr>
          <w:rFonts w:hAnsi="宋体" w:hint="eastAsia"/>
          <w:sz w:val="28"/>
        </w:rPr>
        <w:t>的</w:t>
      </w:r>
      <w:r w:rsidR="00302D6E" w:rsidRPr="0061142D">
        <w:rPr>
          <w:rFonts w:hAnsi="宋体"/>
          <w:sz w:val="28"/>
        </w:rPr>
        <w:t>最长期限为</w:t>
      </w:r>
      <w:r w:rsidR="00302D6E" w:rsidRPr="0061142D">
        <w:rPr>
          <w:sz w:val="28"/>
        </w:rPr>
        <w:t>1</w:t>
      </w:r>
      <w:r w:rsidR="00302D6E" w:rsidRPr="0061142D">
        <w:rPr>
          <w:rFonts w:hAnsi="宋体"/>
          <w:sz w:val="28"/>
        </w:rPr>
        <w:t>年，债券回购到期后不得展期</w:t>
      </w:r>
      <w:r w:rsidR="009C2EF9" w:rsidRPr="0061142D">
        <w:rPr>
          <w:rFonts w:hAnsi="宋体"/>
          <w:sz w:val="28"/>
        </w:rPr>
        <w:t>；</w:t>
      </w:r>
    </w:p>
    <w:p w14:paraId="050440F0" w14:textId="7FCA80BD" w:rsidR="009C2EF9" w:rsidRPr="0061142D" w:rsidRDefault="00651346" w:rsidP="00EE5132">
      <w:pPr>
        <w:adjustRightInd w:val="0"/>
        <w:snapToGrid w:val="0"/>
        <w:spacing w:line="360" w:lineRule="auto"/>
        <w:ind w:firstLineChars="200" w:firstLine="560"/>
        <w:rPr>
          <w:color w:val="000000"/>
          <w:sz w:val="28"/>
        </w:rPr>
      </w:pPr>
      <w:r>
        <w:rPr>
          <w:sz w:val="28"/>
        </w:rPr>
        <w:t>5</w:t>
      </w:r>
      <w:r w:rsidR="009C2EF9" w:rsidRPr="0061142D">
        <w:rPr>
          <w:rFonts w:hAnsi="宋体"/>
          <w:sz w:val="28"/>
        </w:rPr>
        <w:t>、</w:t>
      </w:r>
      <w:r>
        <w:rPr>
          <w:rFonts w:hAnsi="宋体" w:hint="eastAsia"/>
          <w:color w:val="000000"/>
          <w:sz w:val="28"/>
        </w:rPr>
        <w:t>本</w:t>
      </w:r>
      <w:r w:rsidR="009C2EF9" w:rsidRPr="0061142D">
        <w:rPr>
          <w:rFonts w:hAnsi="宋体"/>
          <w:color w:val="000000"/>
          <w:sz w:val="28"/>
        </w:rPr>
        <w:t>基金参与股票发行申购，</w:t>
      </w:r>
      <w:r>
        <w:rPr>
          <w:rFonts w:hAnsi="宋体" w:hint="eastAsia"/>
          <w:color w:val="000000"/>
          <w:sz w:val="28"/>
        </w:rPr>
        <w:t>本</w:t>
      </w:r>
      <w:r w:rsidR="009C2EF9" w:rsidRPr="0061142D">
        <w:rPr>
          <w:rFonts w:hAnsi="宋体"/>
          <w:color w:val="000000"/>
          <w:sz w:val="28"/>
        </w:rPr>
        <w:t>基金所申报的金额不超过本基金的总资产，</w:t>
      </w:r>
      <w:r>
        <w:rPr>
          <w:rFonts w:hAnsi="宋体" w:hint="eastAsia"/>
          <w:color w:val="000000"/>
          <w:sz w:val="28"/>
        </w:rPr>
        <w:t>本</w:t>
      </w:r>
      <w:r w:rsidR="009C2EF9" w:rsidRPr="0061142D">
        <w:rPr>
          <w:rFonts w:hAnsi="宋体"/>
          <w:color w:val="000000"/>
          <w:sz w:val="28"/>
        </w:rPr>
        <w:t>基金所申报的股票数量不超过拟发行股票公司本次发</w:t>
      </w:r>
      <w:r w:rsidR="009C2EF9" w:rsidRPr="0061142D">
        <w:rPr>
          <w:rFonts w:hAnsi="宋体"/>
          <w:color w:val="000000"/>
          <w:sz w:val="28"/>
        </w:rPr>
        <w:lastRenderedPageBreak/>
        <w:t>行股票的总量；</w:t>
      </w:r>
    </w:p>
    <w:p w14:paraId="0605ABB2" w14:textId="4D4D64AF" w:rsidR="009C2EF9" w:rsidRPr="00944201" w:rsidRDefault="00651346" w:rsidP="00F55FCB">
      <w:pPr>
        <w:adjustRightInd w:val="0"/>
        <w:snapToGrid w:val="0"/>
        <w:spacing w:line="360" w:lineRule="auto"/>
        <w:ind w:firstLineChars="200" w:firstLine="560"/>
        <w:rPr>
          <w:rFonts w:hAnsi="宋体"/>
          <w:sz w:val="28"/>
        </w:rPr>
      </w:pPr>
      <w:r>
        <w:rPr>
          <w:color w:val="000000"/>
          <w:sz w:val="28"/>
        </w:rPr>
        <w:t>6</w:t>
      </w:r>
      <w:r w:rsidR="009C2EF9" w:rsidRPr="0061142D">
        <w:rPr>
          <w:rFonts w:hAnsi="宋体"/>
          <w:color w:val="000000"/>
          <w:sz w:val="28"/>
        </w:rPr>
        <w:t>、</w:t>
      </w:r>
      <w:r>
        <w:rPr>
          <w:rFonts w:hAnsi="宋体" w:hint="eastAsia"/>
          <w:color w:val="000000"/>
          <w:sz w:val="28"/>
        </w:rPr>
        <w:t>本</w:t>
      </w:r>
      <w:r w:rsidR="009C2EF9" w:rsidRPr="0061142D">
        <w:rPr>
          <w:rFonts w:hAnsi="宋体"/>
          <w:sz w:val="28"/>
        </w:rPr>
        <w:t>基金持有的同一</w:t>
      </w:r>
      <w:r w:rsidR="006664A7">
        <w:rPr>
          <w:rFonts w:hint="eastAsia"/>
          <w:sz w:val="28"/>
        </w:rPr>
        <w:t>（</w:t>
      </w:r>
      <w:r w:rsidR="009C2EF9" w:rsidRPr="0061142D">
        <w:rPr>
          <w:rFonts w:hAnsi="宋体"/>
          <w:sz w:val="28"/>
        </w:rPr>
        <w:t>指同一信用级别</w:t>
      </w:r>
      <w:r w:rsidR="006664A7">
        <w:rPr>
          <w:rFonts w:hint="eastAsia"/>
          <w:sz w:val="28"/>
        </w:rPr>
        <w:t>）</w:t>
      </w:r>
      <w:r w:rsidR="009C2EF9" w:rsidRPr="0061142D">
        <w:rPr>
          <w:rFonts w:hAnsi="宋体"/>
          <w:sz w:val="28"/>
        </w:rPr>
        <w:t>资产支持证券的比例，不得超过该资产支持证券规模的</w:t>
      </w:r>
      <w:r w:rsidR="009C2EF9" w:rsidRPr="0061142D">
        <w:rPr>
          <w:sz w:val="28"/>
        </w:rPr>
        <w:t>10</w:t>
      </w:r>
      <w:r w:rsidR="00B138D3" w:rsidRPr="0061142D">
        <w:rPr>
          <w:color w:val="000000"/>
          <w:sz w:val="28"/>
        </w:rPr>
        <w:t>%</w:t>
      </w:r>
      <w:r w:rsidR="009C2EF9" w:rsidRPr="0061142D">
        <w:rPr>
          <w:rFonts w:hAnsi="宋体"/>
          <w:sz w:val="28"/>
        </w:rPr>
        <w:t>；</w:t>
      </w:r>
      <w:r>
        <w:rPr>
          <w:rFonts w:hAnsi="宋体" w:hint="eastAsia"/>
          <w:color w:val="000000"/>
          <w:sz w:val="28"/>
        </w:rPr>
        <w:t>本</w:t>
      </w:r>
      <w:r w:rsidR="009C2EF9" w:rsidRPr="0061142D">
        <w:rPr>
          <w:rFonts w:hAnsi="宋体"/>
          <w:sz w:val="28"/>
        </w:rPr>
        <w:t>基金投资于同一原始权益人的各类资产支持证券的比例，不得超过基金资产净值的</w:t>
      </w:r>
      <w:r w:rsidR="009C2EF9" w:rsidRPr="0061142D">
        <w:rPr>
          <w:sz w:val="28"/>
        </w:rPr>
        <w:t>10</w:t>
      </w:r>
      <w:r w:rsidR="00B138D3" w:rsidRPr="0061142D">
        <w:rPr>
          <w:color w:val="000000"/>
          <w:sz w:val="28"/>
        </w:rPr>
        <w:t>%</w:t>
      </w:r>
      <w:r w:rsidR="009C2EF9" w:rsidRPr="0061142D">
        <w:rPr>
          <w:rFonts w:hAnsi="宋体"/>
          <w:sz w:val="28"/>
        </w:rPr>
        <w:t>；本基金管理人管理的全部证券投资基金投资于同一原始权益人的各类资产支持证券，不得超过其各类资产支持证券合计规模的</w:t>
      </w:r>
      <w:r w:rsidR="009C2EF9" w:rsidRPr="0061142D">
        <w:rPr>
          <w:sz w:val="28"/>
        </w:rPr>
        <w:t>10%</w:t>
      </w:r>
      <w:r w:rsidR="009C2EF9" w:rsidRPr="0061142D">
        <w:rPr>
          <w:rFonts w:hAnsi="宋体"/>
          <w:sz w:val="28"/>
        </w:rPr>
        <w:t>；</w:t>
      </w:r>
      <w:r>
        <w:rPr>
          <w:rFonts w:hAnsi="宋体" w:hint="eastAsia"/>
          <w:color w:val="000000"/>
          <w:sz w:val="28"/>
        </w:rPr>
        <w:t>本</w:t>
      </w:r>
      <w:r w:rsidR="009C2EF9" w:rsidRPr="0061142D">
        <w:rPr>
          <w:rFonts w:hAnsi="宋体"/>
          <w:sz w:val="28"/>
        </w:rPr>
        <w:t>基金持有的全部资产支持证券，其市值不得超过基金资产净值的</w:t>
      </w:r>
      <w:r w:rsidR="009C2EF9" w:rsidRPr="0061142D">
        <w:rPr>
          <w:sz w:val="28"/>
        </w:rPr>
        <w:t>20</w:t>
      </w:r>
      <w:r w:rsidR="00B138D3" w:rsidRPr="0061142D">
        <w:rPr>
          <w:color w:val="000000"/>
          <w:sz w:val="28"/>
        </w:rPr>
        <w:t>%</w:t>
      </w:r>
      <w:r w:rsidR="009C2EF9" w:rsidRPr="0061142D">
        <w:rPr>
          <w:rFonts w:hAnsi="宋体"/>
          <w:sz w:val="28"/>
        </w:rPr>
        <w:t>；</w:t>
      </w:r>
    </w:p>
    <w:p w14:paraId="229883F0" w14:textId="3EE5AC51" w:rsidR="009C2EF9" w:rsidRPr="0061142D" w:rsidRDefault="003B0C2C" w:rsidP="00EE5132">
      <w:pPr>
        <w:adjustRightInd w:val="0"/>
        <w:snapToGrid w:val="0"/>
        <w:spacing w:line="360" w:lineRule="auto"/>
        <w:ind w:firstLineChars="200" w:firstLine="560"/>
        <w:rPr>
          <w:sz w:val="28"/>
        </w:rPr>
      </w:pPr>
      <w:r>
        <w:rPr>
          <w:sz w:val="28"/>
        </w:rPr>
        <w:t>7</w:t>
      </w:r>
      <w:r w:rsidR="009C2EF9" w:rsidRPr="0061142D">
        <w:rPr>
          <w:rFonts w:hAnsi="宋体"/>
          <w:sz w:val="28"/>
        </w:rPr>
        <w:t>、</w:t>
      </w:r>
      <w:r w:rsidRPr="003B0C2C">
        <w:rPr>
          <w:rFonts w:hAnsi="宋体" w:hint="eastAsia"/>
          <w:sz w:val="28"/>
        </w:rPr>
        <w:t>本基金持有的现金或者到期日在一年以内的政府债券的比例合计不低于基金资产净值的</w:t>
      </w:r>
      <w:r w:rsidRPr="003B0C2C">
        <w:rPr>
          <w:rFonts w:hAnsi="宋体" w:hint="eastAsia"/>
          <w:sz w:val="28"/>
        </w:rPr>
        <w:t>5%</w:t>
      </w:r>
      <w:r w:rsidR="00280227" w:rsidRPr="00280227">
        <w:rPr>
          <w:rFonts w:hAnsi="宋体" w:hint="eastAsia"/>
          <w:sz w:val="28"/>
        </w:rPr>
        <w:t>，其中现金不包括结算备付金、存出保证金</w:t>
      </w:r>
      <w:r w:rsidR="008A6EE0">
        <w:rPr>
          <w:rFonts w:hAnsi="宋体" w:hint="eastAsia"/>
          <w:sz w:val="28"/>
        </w:rPr>
        <w:t>、</w:t>
      </w:r>
      <w:r w:rsidR="00280227" w:rsidRPr="00280227">
        <w:rPr>
          <w:rFonts w:hAnsi="宋体" w:hint="eastAsia"/>
          <w:sz w:val="28"/>
        </w:rPr>
        <w:t>应收申购款等</w:t>
      </w:r>
      <w:r w:rsidR="009C2EF9" w:rsidRPr="0061142D">
        <w:rPr>
          <w:rFonts w:hAnsi="宋体"/>
          <w:sz w:val="28"/>
        </w:rPr>
        <w:t>；</w:t>
      </w:r>
    </w:p>
    <w:p w14:paraId="500A5179" w14:textId="0C106C3B" w:rsidR="009C2EF9" w:rsidRPr="0061142D" w:rsidRDefault="003B0C2C" w:rsidP="00EE5132">
      <w:pPr>
        <w:adjustRightInd w:val="0"/>
        <w:snapToGrid w:val="0"/>
        <w:spacing w:line="360" w:lineRule="auto"/>
        <w:ind w:firstLineChars="200" w:firstLine="560"/>
        <w:rPr>
          <w:color w:val="000000"/>
          <w:sz w:val="28"/>
        </w:rPr>
      </w:pPr>
      <w:r>
        <w:rPr>
          <w:sz w:val="28"/>
        </w:rPr>
        <w:t>8</w:t>
      </w:r>
      <w:r w:rsidR="009C2EF9" w:rsidRPr="0061142D">
        <w:rPr>
          <w:rFonts w:hAnsi="宋体"/>
          <w:sz w:val="28"/>
        </w:rPr>
        <w:t>、</w:t>
      </w:r>
      <w:r w:rsidR="00651346">
        <w:rPr>
          <w:rFonts w:hAnsi="宋体" w:hint="eastAsia"/>
          <w:color w:val="000000"/>
          <w:sz w:val="28"/>
        </w:rPr>
        <w:t>本</w:t>
      </w:r>
      <w:r w:rsidR="009C2EF9" w:rsidRPr="0061142D">
        <w:rPr>
          <w:rFonts w:hAnsi="宋体"/>
          <w:color w:val="000000"/>
          <w:sz w:val="28"/>
        </w:rPr>
        <w:t>基金不得违反基金合同中有关投资范围、投资策略、投资比例的规定；</w:t>
      </w:r>
    </w:p>
    <w:p w14:paraId="36E46D25" w14:textId="566A36B9" w:rsidR="009C2EF9" w:rsidRPr="0061142D" w:rsidRDefault="003B0C2C" w:rsidP="00EE5132">
      <w:pPr>
        <w:adjustRightInd w:val="0"/>
        <w:snapToGrid w:val="0"/>
        <w:spacing w:line="360" w:lineRule="auto"/>
        <w:ind w:firstLineChars="200" w:firstLine="560"/>
        <w:rPr>
          <w:sz w:val="28"/>
        </w:rPr>
      </w:pPr>
      <w:r>
        <w:rPr>
          <w:sz w:val="28"/>
        </w:rPr>
        <w:t>9</w:t>
      </w:r>
      <w:r w:rsidR="009C2EF9" w:rsidRPr="0061142D">
        <w:rPr>
          <w:rFonts w:hAnsi="宋体"/>
          <w:sz w:val="28"/>
        </w:rPr>
        <w:t>、</w:t>
      </w:r>
      <w:r w:rsidR="00651346">
        <w:rPr>
          <w:rFonts w:hAnsi="宋体" w:hint="eastAsia"/>
          <w:color w:val="000000"/>
          <w:sz w:val="28"/>
        </w:rPr>
        <w:t>本</w:t>
      </w:r>
      <w:r w:rsidR="009C2EF9" w:rsidRPr="0061142D">
        <w:rPr>
          <w:rFonts w:hAnsi="宋体"/>
          <w:sz w:val="28"/>
        </w:rPr>
        <w:t>基金应投资于信用级别评级为</w:t>
      </w:r>
      <w:r w:rsidR="00786C91">
        <w:rPr>
          <w:rFonts w:hAnsi="宋体" w:hint="eastAsia"/>
          <w:sz w:val="28"/>
        </w:rPr>
        <w:t>A</w:t>
      </w:r>
      <w:r w:rsidR="00786C91">
        <w:rPr>
          <w:rFonts w:hAnsi="宋体"/>
          <w:sz w:val="28"/>
        </w:rPr>
        <w:t>A+</w:t>
      </w:r>
      <w:r w:rsidR="009C2EF9" w:rsidRPr="0061142D">
        <w:rPr>
          <w:rFonts w:hAnsi="宋体"/>
          <w:sz w:val="28"/>
        </w:rPr>
        <w:t>以上</w:t>
      </w:r>
      <w:r w:rsidR="009C2EF9" w:rsidRPr="0061142D">
        <w:rPr>
          <w:sz w:val="28"/>
        </w:rPr>
        <w:t>(</w:t>
      </w:r>
      <w:r w:rsidR="009C2EF9" w:rsidRPr="0061142D">
        <w:rPr>
          <w:rFonts w:hAnsi="宋体"/>
          <w:sz w:val="28"/>
        </w:rPr>
        <w:t>含</w:t>
      </w:r>
      <w:r w:rsidR="00786C91">
        <w:rPr>
          <w:sz w:val="28"/>
        </w:rPr>
        <w:t>AA+</w:t>
      </w:r>
      <w:r w:rsidR="009C2EF9" w:rsidRPr="0061142D">
        <w:rPr>
          <w:sz w:val="28"/>
        </w:rPr>
        <w:t>)</w:t>
      </w:r>
      <w:r w:rsidR="009C2EF9" w:rsidRPr="0061142D">
        <w:rPr>
          <w:rFonts w:hAnsi="宋体"/>
          <w:sz w:val="28"/>
        </w:rPr>
        <w:t>的资产支持证券。基金持有资产支持证券期间，如果其信用等级下降、不再符合投资标准，应在评级报告发布之日起</w:t>
      </w:r>
      <w:r w:rsidR="009C2EF9" w:rsidRPr="0061142D">
        <w:rPr>
          <w:sz w:val="28"/>
        </w:rPr>
        <w:t>3</w:t>
      </w:r>
      <w:r w:rsidR="009C2EF9" w:rsidRPr="0061142D">
        <w:rPr>
          <w:rFonts w:hAnsi="宋体"/>
          <w:sz w:val="28"/>
        </w:rPr>
        <w:t>个月内予以全部卖出；</w:t>
      </w:r>
    </w:p>
    <w:p w14:paraId="38B16EB4" w14:textId="2E46A102" w:rsidR="00280227" w:rsidRPr="00280227" w:rsidRDefault="00651346" w:rsidP="003B0C2C">
      <w:pPr>
        <w:adjustRightInd w:val="0"/>
        <w:snapToGrid w:val="0"/>
        <w:spacing w:line="360" w:lineRule="auto"/>
        <w:ind w:firstLineChars="200" w:firstLine="560"/>
        <w:rPr>
          <w:sz w:val="28"/>
        </w:rPr>
      </w:pPr>
      <w:r w:rsidRPr="0061142D">
        <w:rPr>
          <w:sz w:val="28"/>
        </w:rPr>
        <w:t>1</w:t>
      </w:r>
      <w:r w:rsidR="003B0C2C">
        <w:rPr>
          <w:sz w:val="28"/>
        </w:rPr>
        <w:t>0</w:t>
      </w:r>
      <w:r w:rsidR="009C2EF9" w:rsidRPr="0061142D">
        <w:rPr>
          <w:rFonts w:hAnsi="宋体"/>
          <w:sz w:val="28"/>
        </w:rPr>
        <w:t>、</w:t>
      </w:r>
      <w:r w:rsidR="00280227"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00280227" w:rsidRPr="00280227">
        <w:rPr>
          <w:rFonts w:hint="eastAsia"/>
          <w:sz w:val="28"/>
        </w:rPr>
        <w:t>全部开放式基金（包括开放式基金以及处于开放期的定期开放基金）持有一家上市公司发行的可流通股票，不得超过该上市公司可流通股票的</w:t>
      </w:r>
      <w:r w:rsidR="00280227" w:rsidRPr="00280227">
        <w:rPr>
          <w:rFonts w:hint="eastAsia"/>
          <w:sz w:val="28"/>
        </w:rPr>
        <w:t>15%</w:t>
      </w:r>
      <w:r w:rsidR="00280227"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00280227" w:rsidRPr="00280227">
        <w:rPr>
          <w:rFonts w:hint="eastAsia"/>
          <w:sz w:val="28"/>
        </w:rPr>
        <w:t>全部投资组合持有一家上市公司发行的可流通股票，不得超过该上市公司可流通股票的</w:t>
      </w:r>
      <w:r w:rsidR="00280227" w:rsidRPr="00280227">
        <w:rPr>
          <w:rFonts w:hint="eastAsia"/>
          <w:sz w:val="28"/>
        </w:rPr>
        <w:t>30%</w:t>
      </w:r>
      <w:r w:rsidR="00280227" w:rsidRPr="00280227">
        <w:rPr>
          <w:rFonts w:hint="eastAsia"/>
          <w:sz w:val="28"/>
        </w:rPr>
        <w:t>；</w:t>
      </w:r>
      <w:r w:rsidR="003B0C2C" w:rsidRPr="003B0C2C">
        <w:rPr>
          <w:rFonts w:hint="eastAsia"/>
          <w:sz w:val="28"/>
        </w:rPr>
        <w:t>完全按照有关指数的构成比例进行证券投资的开放式基金以及中国证监会认定的特殊投资组合可不受前述比例限制；</w:t>
      </w:r>
    </w:p>
    <w:p w14:paraId="09F0D36C" w14:textId="669B97BA" w:rsidR="00280227" w:rsidRPr="00280227" w:rsidRDefault="00651346" w:rsidP="00280227">
      <w:pPr>
        <w:adjustRightInd w:val="0"/>
        <w:snapToGrid w:val="0"/>
        <w:spacing w:line="360" w:lineRule="auto"/>
        <w:ind w:firstLineChars="200" w:firstLine="560"/>
        <w:rPr>
          <w:sz w:val="28"/>
        </w:rPr>
      </w:pPr>
      <w:r w:rsidRPr="00280227">
        <w:rPr>
          <w:sz w:val="28"/>
        </w:rPr>
        <w:t>1</w:t>
      </w:r>
      <w:r w:rsidR="009A60E0">
        <w:rPr>
          <w:sz w:val="28"/>
        </w:rPr>
        <w:t>1</w:t>
      </w:r>
      <w:r w:rsidR="00280227" w:rsidRPr="00280227">
        <w:rPr>
          <w:rFonts w:hint="eastAsia"/>
          <w:sz w:val="28"/>
        </w:rPr>
        <w:t>、本基金主动投资于流动性受限资产的市值合计不得超过基金资产净值的</w:t>
      </w:r>
      <w:r w:rsidR="00280227" w:rsidRPr="00280227">
        <w:rPr>
          <w:rFonts w:hint="eastAsia"/>
          <w:sz w:val="28"/>
        </w:rPr>
        <w:t>15%</w:t>
      </w:r>
      <w:r w:rsidR="00280227" w:rsidRPr="00280227">
        <w:rPr>
          <w:rFonts w:hint="eastAsia"/>
          <w:sz w:val="28"/>
        </w:rPr>
        <w:t>；因证券市场波动、上市公司股票停牌、基金规模变动等基金管理人之外的因素致使基金不符合该比例限制的，基金管理</w:t>
      </w:r>
      <w:r w:rsidR="00280227" w:rsidRPr="00280227">
        <w:rPr>
          <w:rFonts w:hint="eastAsia"/>
          <w:sz w:val="28"/>
        </w:rPr>
        <w:lastRenderedPageBreak/>
        <w:t>人不得主动新增流动性受限资产的投资；</w:t>
      </w:r>
    </w:p>
    <w:p w14:paraId="76EB9C84" w14:textId="1C83AC00" w:rsidR="00280227" w:rsidRDefault="009A60E0" w:rsidP="00EE5132">
      <w:pPr>
        <w:adjustRightInd w:val="0"/>
        <w:snapToGrid w:val="0"/>
        <w:spacing w:line="360" w:lineRule="auto"/>
        <w:ind w:firstLineChars="200" w:firstLine="560"/>
        <w:rPr>
          <w:sz w:val="28"/>
        </w:rPr>
      </w:pPr>
      <w:r w:rsidRPr="00280227">
        <w:rPr>
          <w:rFonts w:hint="eastAsia"/>
          <w:sz w:val="28"/>
        </w:rPr>
        <w:t>1</w:t>
      </w:r>
      <w:r>
        <w:rPr>
          <w:sz w:val="28"/>
        </w:rPr>
        <w:t>2</w:t>
      </w:r>
      <w:r w:rsidR="00280227" w:rsidRPr="00280227">
        <w:rPr>
          <w:rFonts w:hint="eastAsia"/>
          <w:sz w:val="28"/>
        </w:rPr>
        <w:t>、本基金与私募类证券资管产品及中国证监会认定的其他主体为交易对手开展逆回购交易的，可接受质押品的资质要求应当与基金合同约定的投资范围保持一致；</w:t>
      </w:r>
    </w:p>
    <w:p w14:paraId="0E55091A" w14:textId="3F9222A5" w:rsidR="004E66A7" w:rsidRDefault="009A60E0" w:rsidP="00EE5132">
      <w:pPr>
        <w:adjustRightInd w:val="0"/>
        <w:snapToGrid w:val="0"/>
        <w:spacing w:line="360" w:lineRule="auto"/>
        <w:ind w:firstLineChars="200" w:firstLine="560"/>
        <w:rPr>
          <w:sz w:val="28"/>
        </w:rPr>
      </w:pPr>
      <w:r>
        <w:rPr>
          <w:rFonts w:hint="eastAsia"/>
          <w:sz w:val="28"/>
        </w:rPr>
        <w:t>1</w:t>
      </w:r>
      <w:r>
        <w:rPr>
          <w:sz w:val="28"/>
        </w:rPr>
        <w:t>3</w:t>
      </w:r>
      <w:r w:rsidR="004E66A7">
        <w:rPr>
          <w:rFonts w:hint="eastAsia"/>
          <w:sz w:val="28"/>
        </w:rPr>
        <w:t>、</w:t>
      </w:r>
      <w:r w:rsidR="004E66A7" w:rsidRPr="004E66A7">
        <w:rPr>
          <w:rFonts w:hint="eastAsia"/>
          <w:sz w:val="28"/>
        </w:rPr>
        <w:t>本基金资产总值不超过基金资产净值的</w:t>
      </w:r>
      <w:r w:rsidR="004E66A7" w:rsidRPr="004E66A7">
        <w:rPr>
          <w:rFonts w:hint="eastAsia"/>
          <w:sz w:val="28"/>
        </w:rPr>
        <w:t>140%</w:t>
      </w:r>
      <w:r w:rsidR="004E66A7" w:rsidRPr="004E66A7">
        <w:rPr>
          <w:rFonts w:hint="eastAsia"/>
          <w:sz w:val="28"/>
        </w:rPr>
        <w:t>；</w:t>
      </w:r>
    </w:p>
    <w:p w14:paraId="0D5EE153" w14:textId="20E2494F" w:rsidR="009A60E0" w:rsidRPr="009A60E0" w:rsidRDefault="009A60E0" w:rsidP="00EE5132">
      <w:pPr>
        <w:adjustRightInd w:val="0"/>
        <w:snapToGrid w:val="0"/>
        <w:spacing w:line="360" w:lineRule="auto"/>
        <w:ind w:firstLineChars="200" w:firstLine="560"/>
        <w:rPr>
          <w:sz w:val="28"/>
        </w:rPr>
      </w:pPr>
      <w:r>
        <w:rPr>
          <w:rFonts w:hint="eastAsia"/>
          <w:sz w:val="28"/>
        </w:rPr>
        <w:t>1</w:t>
      </w:r>
      <w:r>
        <w:rPr>
          <w:sz w:val="28"/>
        </w:rPr>
        <w:t>4</w:t>
      </w:r>
      <w:r>
        <w:rPr>
          <w:rFonts w:hint="eastAsia"/>
          <w:sz w:val="28"/>
        </w:rPr>
        <w:t>、</w:t>
      </w:r>
      <w:r w:rsidRPr="009A60E0">
        <w:rPr>
          <w:rFonts w:hint="eastAsia"/>
          <w:sz w:val="28"/>
        </w:rPr>
        <w:t>本基金投资存托凭证的比例限制依照境内上市交易的股票执行；</w:t>
      </w:r>
    </w:p>
    <w:p w14:paraId="47E05C54" w14:textId="6447FCEB" w:rsidR="009C2EF9" w:rsidRPr="0061142D" w:rsidRDefault="00651346" w:rsidP="00EE5132">
      <w:pPr>
        <w:adjustRightInd w:val="0"/>
        <w:snapToGrid w:val="0"/>
        <w:spacing w:line="360" w:lineRule="auto"/>
        <w:ind w:firstLineChars="200" w:firstLine="560"/>
        <w:rPr>
          <w:sz w:val="28"/>
        </w:rPr>
      </w:pPr>
      <w:r w:rsidRPr="0061142D">
        <w:rPr>
          <w:sz w:val="28"/>
        </w:rPr>
        <w:t>1</w:t>
      </w:r>
      <w:r w:rsidR="0080251A">
        <w:rPr>
          <w:sz w:val="28"/>
        </w:rPr>
        <w:t>5</w:t>
      </w:r>
      <w:r w:rsidR="009C2EF9" w:rsidRPr="0061142D">
        <w:rPr>
          <w:rFonts w:hAnsi="宋体"/>
          <w:sz w:val="28"/>
        </w:rPr>
        <w:t>、</w:t>
      </w:r>
      <w:r w:rsidR="00DA6722" w:rsidRPr="00DA6722">
        <w:rPr>
          <w:rFonts w:hAnsi="宋体" w:hint="eastAsia"/>
          <w:sz w:val="28"/>
        </w:rPr>
        <w:t>法律法规及中国证监会规定的和</w:t>
      </w:r>
      <w:r w:rsidR="00B3513C">
        <w:rPr>
          <w:rFonts w:hAnsi="宋体" w:hint="eastAsia"/>
          <w:sz w:val="28"/>
        </w:rPr>
        <w:t>《</w:t>
      </w:r>
      <w:r w:rsidR="00DA6722" w:rsidRPr="00DA6722">
        <w:rPr>
          <w:rFonts w:hAnsi="宋体" w:hint="eastAsia"/>
          <w:sz w:val="28"/>
        </w:rPr>
        <w:t>基金合同</w:t>
      </w:r>
      <w:r w:rsidR="00B3513C">
        <w:rPr>
          <w:rFonts w:hAnsi="宋体" w:hint="eastAsia"/>
          <w:sz w:val="28"/>
        </w:rPr>
        <w:t>》</w:t>
      </w:r>
      <w:r w:rsidR="00DA6722" w:rsidRPr="00DA6722">
        <w:rPr>
          <w:rFonts w:hAnsi="宋体" w:hint="eastAsia"/>
          <w:sz w:val="28"/>
        </w:rPr>
        <w:t>约定的其他投资限制。</w:t>
      </w:r>
    </w:p>
    <w:p w14:paraId="71349EEB" w14:textId="767AA007" w:rsidR="009C2EF9" w:rsidRPr="0061142D" w:rsidRDefault="00280227" w:rsidP="00EE5132">
      <w:pPr>
        <w:adjustRightInd w:val="0"/>
        <w:snapToGrid w:val="0"/>
        <w:spacing w:line="360" w:lineRule="auto"/>
        <w:ind w:firstLineChars="200" w:firstLine="560"/>
        <w:rPr>
          <w:sz w:val="28"/>
        </w:rPr>
      </w:pPr>
      <w:r w:rsidRPr="00280227">
        <w:rPr>
          <w:rFonts w:hAnsi="宋体" w:hint="eastAsia"/>
          <w:bCs/>
          <w:sz w:val="28"/>
        </w:rPr>
        <w:t>除上述</w:t>
      </w:r>
      <w:r w:rsidR="006B4A0D" w:rsidRPr="00280227">
        <w:rPr>
          <w:rFonts w:hAnsi="宋体" w:hint="eastAsia"/>
          <w:bCs/>
          <w:sz w:val="28"/>
        </w:rPr>
        <w:t>第</w:t>
      </w:r>
      <w:r w:rsidR="006B4A0D">
        <w:rPr>
          <w:rFonts w:hAnsi="宋体"/>
          <w:bCs/>
          <w:sz w:val="28"/>
        </w:rPr>
        <w:t>7</w:t>
      </w:r>
      <w:r w:rsidR="00651346">
        <w:rPr>
          <w:rFonts w:hAnsi="宋体" w:hint="eastAsia"/>
          <w:bCs/>
          <w:sz w:val="28"/>
        </w:rPr>
        <w:t>、</w:t>
      </w:r>
      <w:r w:rsidR="006B4A0D">
        <w:rPr>
          <w:rFonts w:hAnsi="宋体"/>
          <w:bCs/>
          <w:sz w:val="28"/>
        </w:rPr>
        <w:t>9</w:t>
      </w:r>
      <w:r w:rsidR="00651346">
        <w:rPr>
          <w:rFonts w:hAnsi="宋体"/>
          <w:bCs/>
          <w:sz w:val="28"/>
        </w:rPr>
        <w:t>、</w:t>
      </w:r>
      <w:r w:rsidR="006B4A0D">
        <w:rPr>
          <w:rFonts w:hAnsi="宋体"/>
          <w:bCs/>
          <w:sz w:val="28"/>
        </w:rPr>
        <w:t>11</w:t>
      </w:r>
      <w:r w:rsidR="00651346">
        <w:rPr>
          <w:rFonts w:hAnsi="宋体"/>
          <w:bCs/>
          <w:sz w:val="28"/>
        </w:rPr>
        <w:t>、</w:t>
      </w:r>
      <w:r w:rsidR="006B4A0D">
        <w:rPr>
          <w:rFonts w:hAnsi="宋体"/>
          <w:bCs/>
          <w:sz w:val="28"/>
        </w:rPr>
        <w:t>12</w:t>
      </w:r>
      <w:r w:rsidRPr="00280227">
        <w:rPr>
          <w:rFonts w:hAnsi="宋体" w:hint="eastAsia"/>
          <w:bCs/>
          <w:sz w:val="28"/>
        </w:rPr>
        <w:t>项外，</w:t>
      </w:r>
      <w:r w:rsidR="009C2EF9" w:rsidRPr="0061142D">
        <w:rPr>
          <w:rFonts w:hAnsi="宋体"/>
          <w:sz w:val="28"/>
        </w:rPr>
        <w:t>因证券市场波动、</w:t>
      </w:r>
      <w:r w:rsidR="00EE27DF" w:rsidRPr="00EE27DF">
        <w:rPr>
          <w:rFonts w:hAnsi="宋体" w:hint="eastAsia"/>
          <w:sz w:val="28"/>
        </w:rPr>
        <w:t>证券发行人</w:t>
      </w:r>
      <w:r w:rsidR="009C2EF9" w:rsidRPr="0061142D">
        <w:rPr>
          <w:rFonts w:hAnsi="宋体"/>
          <w:sz w:val="28"/>
        </w:rPr>
        <w:t>合并、基金规模变动等基金管理人之外的因素致使基金投资比例不符合上述规定投资比例的，基金管理人应当在</w:t>
      </w:r>
      <w:r w:rsidR="009C2EF9" w:rsidRPr="0061142D">
        <w:rPr>
          <w:sz w:val="28"/>
        </w:rPr>
        <w:t>10</w:t>
      </w:r>
      <w:r w:rsidR="009C2EF9" w:rsidRPr="0061142D">
        <w:rPr>
          <w:rFonts w:hAnsi="宋体"/>
          <w:sz w:val="28"/>
        </w:rPr>
        <w:t>个交易日内进行调整，</w:t>
      </w:r>
      <w:r w:rsidR="007B2081" w:rsidRPr="007B2081">
        <w:rPr>
          <w:rFonts w:hAnsi="宋体" w:hint="eastAsia"/>
          <w:sz w:val="28"/>
        </w:rPr>
        <w:t>但中国证监会规定的特殊情形除外。</w:t>
      </w:r>
      <w:r w:rsidR="009C2EF9" w:rsidRPr="0061142D">
        <w:rPr>
          <w:rFonts w:hAnsi="宋体"/>
          <w:sz w:val="28"/>
        </w:rPr>
        <w:t>法律法规另有规定的</w:t>
      </w:r>
      <w:r w:rsidR="000D660A">
        <w:rPr>
          <w:rFonts w:hAnsi="宋体" w:hint="eastAsia"/>
          <w:sz w:val="28"/>
        </w:rPr>
        <w:t>，</w:t>
      </w:r>
      <w:r w:rsidR="009C2EF9" w:rsidRPr="0061142D">
        <w:rPr>
          <w:rFonts w:hAnsi="宋体"/>
          <w:sz w:val="28"/>
        </w:rPr>
        <w:t>从其规定。</w:t>
      </w:r>
    </w:p>
    <w:p w14:paraId="0AC189CC" w14:textId="18010D8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如果法律法规或监管部门对上述投资组合比例限制进行变更的，以变更后的规定为准。法律法规或监管部门取消上述限制，如适用于</w:t>
      </w:r>
      <w:r w:rsidR="00651346">
        <w:rPr>
          <w:rFonts w:hAnsi="宋体" w:hint="eastAsia"/>
          <w:sz w:val="28"/>
        </w:rPr>
        <w:t>本</w:t>
      </w:r>
      <w:r w:rsidRPr="0061142D">
        <w:rPr>
          <w:rFonts w:hAnsi="宋体"/>
          <w:sz w:val="28"/>
        </w:rPr>
        <w:t>基金，基金管理人在履行适当程序后，则</w:t>
      </w:r>
      <w:r w:rsidR="00651346">
        <w:rPr>
          <w:rFonts w:hAnsi="宋体" w:hint="eastAsia"/>
          <w:sz w:val="28"/>
        </w:rPr>
        <w:t>本</w:t>
      </w:r>
      <w:r w:rsidRPr="0061142D">
        <w:rPr>
          <w:rFonts w:hAnsi="宋体"/>
          <w:sz w:val="28"/>
        </w:rPr>
        <w:t>基金投资不再受相关限制。</w:t>
      </w:r>
    </w:p>
    <w:p w14:paraId="3DD0044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基金托管人对基金投资的监督和检查自基金合同生效之日起开始。</w:t>
      </w:r>
    </w:p>
    <w:p w14:paraId="34B1221C" w14:textId="77777777" w:rsidR="00C26905" w:rsidRDefault="009C2EF9" w:rsidP="00EE5132">
      <w:pPr>
        <w:adjustRightInd w:val="0"/>
        <w:snapToGrid w:val="0"/>
        <w:spacing w:line="360" w:lineRule="auto"/>
        <w:ind w:firstLineChars="200" w:firstLine="560"/>
        <w:rPr>
          <w:rFonts w:hAnsi="宋体"/>
          <w:color w:val="000000"/>
          <w:sz w:val="28"/>
        </w:rPr>
      </w:pPr>
      <w:r w:rsidRPr="0061142D">
        <w:rPr>
          <w:rFonts w:hAnsi="宋体"/>
          <w:color w:val="000000"/>
          <w:sz w:val="28"/>
        </w:rPr>
        <w:t>（三）基金托管人</w:t>
      </w:r>
      <w:bookmarkStart w:id="7" w:name="OLE_LINK1"/>
      <w:r w:rsidRPr="0061142D">
        <w:rPr>
          <w:rFonts w:hAnsi="宋体"/>
          <w:color w:val="000000"/>
          <w:sz w:val="28"/>
        </w:rPr>
        <w:t>根据有关法律法规的规定及基金合同的约定，</w:t>
      </w:r>
      <w:bookmarkEnd w:id="7"/>
      <w:r w:rsidRPr="0061142D">
        <w:rPr>
          <w:rFonts w:hAnsi="宋体"/>
          <w:color w:val="000000"/>
          <w:sz w:val="28"/>
        </w:rPr>
        <w:t>对本协议第十五条第</w:t>
      </w:r>
      <w:r w:rsidR="004E66A7">
        <w:rPr>
          <w:rFonts w:hAnsi="宋体" w:hint="eastAsia"/>
          <w:color w:val="000000"/>
          <w:sz w:val="28"/>
        </w:rPr>
        <w:t>（</w:t>
      </w:r>
      <w:r w:rsidRPr="0061142D">
        <w:rPr>
          <w:rFonts w:hAnsi="宋体"/>
          <w:color w:val="000000"/>
          <w:sz w:val="28"/>
        </w:rPr>
        <w:t>九</w:t>
      </w:r>
      <w:r w:rsidR="004E66A7">
        <w:rPr>
          <w:rFonts w:hAnsi="宋体" w:hint="eastAsia"/>
          <w:color w:val="000000"/>
          <w:sz w:val="28"/>
        </w:rPr>
        <w:t>）</w:t>
      </w:r>
      <w:r w:rsidRPr="0061142D">
        <w:rPr>
          <w:rFonts w:hAnsi="宋体"/>
          <w:color w:val="000000"/>
          <w:sz w:val="28"/>
        </w:rPr>
        <w:t>项基金投资禁止行为进行监督。</w:t>
      </w:r>
    </w:p>
    <w:p w14:paraId="7A3D1DE1" w14:textId="1521DB49" w:rsidR="00C26905" w:rsidRDefault="00C26905" w:rsidP="00EE5132">
      <w:pPr>
        <w:adjustRightInd w:val="0"/>
        <w:snapToGrid w:val="0"/>
        <w:spacing w:line="360" w:lineRule="auto"/>
        <w:ind w:firstLineChars="200" w:firstLine="560"/>
        <w:rPr>
          <w:rFonts w:hAnsi="宋体"/>
          <w:color w:val="000000"/>
          <w:sz w:val="28"/>
        </w:rPr>
      </w:pPr>
      <w:r w:rsidRPr="00C26905">
        <w:rPr>
          <w:rFonts w:hAnsi="宋体" w:hint="eastAsia"/>
          <w:color w:val="000000"/>
          <w:sz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w:t>
      </w:r>
      <w:r w:rsidRPr="00C26905">
        <w:rPr>
          <w:rFonts w:hAnsi="宋体" w:hint="eastAsia"/>
          <w:color w:val="000000"/>
          <w:sz w:val="28"/>
        </w:rPr>
        <w:lastRenderedPageBreak/>
        <w:t>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0417906" w14:textId="0A765F9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ACCDBD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w:t>
      </w:r>
      <w:r w:rsidRPr="0061142D">
        <w:rPr>
          <w:rFonts w:hAnsi="宋体"/>
          <w:sz w:val="28"/>
        </w:rPr>
        <w:t>严格遵循了监督流程仍</w:t>
      </w:r>
      <w:r w:rsidRPr="0061142D">
        <w:rPr>
          <w:rFonts w:hAnsi="宋体"/>
          <w:color w:val="000000"/>
          <w:sz w:val="28"/>
        </w:rPr>
        <w:t>无法阻止该关联交易的发生，而只能</w:t>
      </w:r>
      <w:r w:rsidRPr="0061142D">
        <w:rPr>
          <w:rFonts w:hAnsi="宋体"/>
          <w:sz w:val="28"/>
        </w:rPr>
        <w:t>按相关法律法规和交易所规则</w:t>
      </w:r>
      <w:r w:rsidRPr="0061142D">
        <w:rPr>
          <w:rFonts w:hAnsi="宋体"/>
          <w:color w:val="000000"/>
          <w:sz w:val="28"/>
        </w:rPr>
        <w:t>进行事后结算，则基金托管人不承担由此造成的损失，并应向中国证监会报告。</w:t>
      </w:r>
    </w:p>
    <w:p w14:paraId="401A4F9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w:t>
      </w:r>
      <w:r w:rsidRPr="0061142D">
        <w:rPr>
          <w:rFonts w:hAnsi="宋体"/>
          <w:color w:val="000000"/>
          <w:sz w:val="28"/>
        </w:rPr>
        <w:lastRenderedPageBreak/>
        <w:t>在与交易对手发生交易前</w:t>
      </w:r>
      <w:r w:rsidRPr="0061142D">
        <w:rPr>
          <w:color w:val="000000"/>
          <w:sz w:val="28"/>
        </w:rPr>
        <w:t>1</w:t>
      </w:r>
      <w:r w:rsidRPr="0061142D">
        <w:rPr>
          <w:rFonts w:hAnsi="宋体"/>
          <w:color w:val="000000"/>
          <w:sz w:val="28"/>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4C6B8209"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color w:val="000000"/>
          <w:sz w:val="28"/>
        </w:rPr>
        <w:t>（五）</w:t>
      </w:r>
      <w:r w:rsidRPr="0061142D">
        <w:rPr>
          <w:rFonts w:hAnsi="宋体"/>
          <w:sz w:val="28"/>
        </w:rPr>
        <w:t>基金托管人根据有关法律法规的规定及基金合同的约定，对基金管理人选择存款银行进行监督。</w:t>
      </w:r>
    </w:p>
    <w:p w14:paraId="53685F9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629341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本基金投资银行存款应符合如下规定：</w:t>
      </w:r>
    </w:p>
    <w:p w14:paraId="55C16F8A"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、基金管理人、基金托管人应当与存款银行建立定期对账机制，确保基金银行存款业务账目及核算的真实、准确。</w:t>
      </w:r>
    </w:p>
    <w:p w14:paraId="78E0D8A5"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、基金托管人应加强对基金银行存款业务的监督与核查，严格审查、复核相关协议、账户资料、投资指令、存款证实书等有关文件，切实履行托管职责。</w:t>
      </w:r>
    </w:p>
    <w:p w14:paraId="64E43823"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、基金管理人与基金托管人在开展基金存款业务时，应严格遵守《基金法》、《运作办法》等有关法律法规，以及国家有关账户管理、利率管理、支付结算等的各项规定。</w:t>
      </w:r>
    </w:p>
    <w:p w14:paraId="224A7CD8"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基金托管人发现基金管理人在选择存款银行时有违反有关法律</w:t>
      </w:r>
      <w:r w:rsidRPr="0061142D">
        <w:rPr>
          <w:rFonts w:hAnsi="宋体"/>
          <w:sz w:val="28"/>
        </w:rPr>
        <w:lastRenderedPageBreak/>
        <w:t>法规的规定及基金合同的约定的行为，应及时以书面形式通知基金管理人在</w:t>
      </w:r>
      <w:r w:rsidRPr="0061142D">
        <w:rPr>
          <w:sz w:val="28"/>
        </w:rPr>
        <w:t>10</w:t>
      </w:r>
      <w:r w:rsidRPr="0061142D">
        <w:rPr>
          <w:rFonts w:hAnsi="宋体"/>
          <w:sz w:val="28"/>
        </w:rPr>
        <w:t>个工作日内纠正。基金管理人对基金托管人通知的违规事项未能在</w:t>
      </w:r>
      <w:r w:rsidRPr="0061142D">
        <w:rPr>
          <w:sz w:val="28"/>
        </w:rPr>
        <w:t>10</w:t>
      </w:r>
      <w:r w:rsidRPr="0061142D">
        <w:rPr>
          <w:rFonts w:hAnsi="宋体"/>
          <w:sz w:val="28"/>
        </w:rPr>
        <w:t>个工作日内纠正的，基金托管人应报告中国证监会。基金托管人发现基金管理人有重大违规行为，应立即报告中国证监会，同时通知基金管理人在</w:t>
      </w:r>
      <w:r w:rsidRPr="0061142D">
        <w:rPr>
          <w:sz w:val="28"/>
        </w:rPr>
        <w:t>10</w:t>
      </w:r>
      <w:r w:rsidRPr="0061142D">
        <w:rPr>
          <w:rFonts w:hAnsi="宋体"/>
          <w:sz w:val="28"/>
        </w:rPr>
        <w:t>个工作日内纠正或拒绝结算。</w:t>
      </w:r>
    </w:p>
    <w:p w14:paraId="1EA4340D" w14:textId="0A025A51"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（六）</w:t>
      </w:r>
      <w:r w:rsidRPr="0061142D">
        <w:rPr>
          <w:rFonts w:hAnsi="宋体"/>
          <w:color w:val="000000"/>
          <w:sz w:val="28"/>
        </w:rPr>
        <w:t>基金托管人根据有关法律法规的规定及基金合同的约定，对基金资产净值计算、</w:t>
      </w:r>
      <w:r w:rsidR="00B051D1" w:rsidRPr="00B051D1">
        <w:rPr>
          <w:rFonts w:hAnsi="宋体" w:hint="eastAsia"/>
          <w:color w:val="000000"/>
          <w:sz w:val="28"/>
        </w:rPr>
        <w:t>各类</w:t>
      </w:r>
      <w:r w:rsidRPr="0061142D">
        <w:rPr>
          <w:rFonts w:hAnsi="宋体"/>
          <w:color w:val="000000"/>
          <w:sz w:val="28"/>
        </w:rPr>
        <w:t>基金份额净值计算、应收资金到账、基金费用开支及收入确定、基金收益分配、相关信息披露、基金宣传推介材料中登载基金业绩表现数据等进行监督和核查。</w:t>
      </w:r>
    </w:p>
    <w:p w14:paraId="1C6D987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如果基金管理人未经基金托管人的审核擅自将不实的业绩表现数据印制在宣传推介材料上，则基金托管人对此不承担任何责任，并将在发现后立即报告中国证监会。</w:t>
      </w:r>
    </w:p>
    <w:p w14:paraId="337DBFA1"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（七）基金托管人根据有关法律法规的规定及基金合同的约定，对基金投资流通受限证券进行监督。</w:t>
      </w:r>
    </w:p>
    <w:p w14:paraId="7A2D4D24" w14:textId="2B5330F0"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、基金投资流通受限证券，应遵守《关于基金投资非公开发行股票等流通受限证券有关问题的通知》等有关法律法规规定。</w:t>
      </w:r>
    </w:p>
    <w:p w14:paraId="36F54D1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61142D">
        <w:rPr>
          <w:sz w:val="28"/>
        </w:rPr>
        <w:t xml:space="preserve">                                                    </w:t>
      </w:r>
    </w:p>
    <w:p w14:paraId="7B9C7F97"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w:t>
      </w:r>
      <w:r w:rsidRPr="0061142D">
        <w:rPr>
          <w:rFonts w:hAnsi="宋体"/>
          <w:sz w:val="28"/>
        </w:rPr>
        <w:lastRenderedPageBreak/>
        <w:t>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DD7C22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4</w:t>
      </w:r>
      <w:r w:rsidRPr="0061142D">
        <w:rPr>
          <w:rFonts w:hAnsi="宋体"/>
          <w:sz w:val="28"/>
        </w:rPr>
        <w:t>、在投资流通受限证券之前，基金管理人应至少提前一个交易日向基金托管人提供有关非公开定向增发流通受限证券的相关信息，具体应当包括但不限于如下文件（如有）：</w:t>
      </w:r>
    </w:p>
    <w:p w14:paraId="19416882"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7D52F81F" w14:textId="77777777" w:rsidR="009C2EF9" w:rsidRPr="0061142D" w:rsidRDefault="009C2EF9" w:rsidP="00EE5132">
      <w:pPr>
        <w:pStyle w:val="Char"/>
        <w:adjustRightInd w:val="0"/>
        <w:snapToGrid w:val="0"/>
        <w:spacing w:line="360" w:lineRule="auto"/>
        <w:ind w:firstLineChars="200" w:firstLine="560"/>
        <w:rPr>
          <w:sz w:val="28"/>
        </w:rPr>
      </w:pPr>
      <w:r w:rsidRPr="0061142D">
        <w:rPr>
          <w:sz w:val="28"/>
        </w:rPr>
        <w:t>5</w:t>
      </w:r>
      <w:r w:rsidRPr="0061142D">
        <w:rPr>
          <w:rFonts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305C69A"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6</w:t>
      </w:r>
      <w:r w:rsidRPr="0061142D">
        <w:rPr>
          <w:rFonts w:hAnsi="宋体"/>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FA10033"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7</w:t>
      </w:r>
      <w:r w:rsidRPr="0061142D">
        <w:rPr>
          <w:rFonts w:hAnsi="宋体"/>
          <w:sz w:val="28"/>
        </w:rPr>
        <w:t>、如果基金管理人未按照本协议的约定向基金托管人报送相关数据或者报送了虚假的数据，导致基金托管人不能履行托管人职责的，基金管理人应依法承担相应法律后果。除基金托管人未能依据法律法</w:t>
      </w:r>
      <w:r w:rsidRPr="0061142D">
        <w:rPr>
          <w:rFonts w:hAnsi="宋体"/>
          <w:sz w:val="28"/>
        </w:rPr>
        <w:lastRenderedPageBreak/>
        <w:t>规、基金合同及本协议履行职责外，因投资流通受限证券产生的损失，基金托管人按照本协议履行监督职责后不承担上述损失。</w:t>
      </w:r>
    </w:p>
    <w:p w14:paraId="1E9180EB" w14:textId="77777777" w:rsidR="009C2EF9" w:rsidRPr="0061142D" w:rsidRDefault="009C2EF9" w:rsidP="00EE5132">
      <w:pPr>
        <w:adjustRightInd w:val="0"/>
        <w:snapToGrid w:val="0"/>
        <w:spacing w:line="360" w:lineRule="auto"/>
        <w:ind w:firstLineChars="150" w:firstLine="420"/>
        <w:rPr>
          <w:color w:val="000000"/>
          <w:sz w:val="28"/>
        </w:rPr>
      </w:pPr>
      <w:r w:rsidRPr="0061142D">
        <w:rPr>
          <w:rFonts w:hAnsi="宋体"/>
          <w:color w:val="000000"/>
          <w:sz w:val="28"/>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0087516D">
        <w:rPr>
          <w:color w:val="000000"/>
          <w:sz w:val="28"/>
        </w:rPr>
        <w:t>，</w:t>
      </w:r>
      <w:r w:rsidRPr="0061142D">
        <w:rPr>
          <w:rFonts w:hAnsi="宋体"/>
          <w:color w:val="000000"/>
          <w:sz w:val="28"/>
        </w:rPr>
        <w:t>基金托管人有权随时对通知事项进行复查</w:t>
      </w:r>
      <w:r w:rsidR="0087516D">
        <w:rPr>
          <w:color w:val="000000"/>
          <w:sz w:val="28"/>
        </w:rPr>
        <w:t>，</w:t>
      </w:r>
      <w:r w:rsidRPr="0061142D">
        <w:rPr>
          <w:rFonts w:hAnsi="宋体"/>
          <w:color w:val="000000"/>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F0B696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03D83AF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w:t>
      </w:r>
      <w:r w:rsidRPr="0061142D">
        <w:rPr>
          <w:rFonts w:hAnsi="宋体"/>
          <w:color w:val="000000"/>
          <w:sz w:val="28"/>
        </w:rPr>
        <w:lastRenderedPageBreak/>
        <w:t>会。</w:t>
      </w:r>
    </w:p>
    <w:p w14:paraId="195ACA55" w14:textId="77777777" w:rsidR="009C2EF9" w:rsidRPr="0061142D" w:rsidRDefault="009C2EF9" w:rsidP="00EE5132">
      <w:pPr>
        <w:pStyle w:val="CharCharChar1"/>
        <w:adjustRightInd w:val="0"/>
        <w:snapToGrid w:val="0"/>
        <w:spacing w:line="360" w:lineRule="auto"/>
        <w:ind w:firstLineChars="200" w:firstLine="560"/>
        <w:rPr>
          <w:sz w:val="28"/>
        </w:rPr>
      </w:pPr>
    </w:p>
    <w:p w14:paraId="4B10E5FC" w14:textId="77777777" w:rsidR="009C2EF9" w:rsidRPr="0061142D" w:rsidRDefault="009C2EF9">
      <w:pPr>
        <w:pStyle w:val="2"/>
        <w:spacing w:line="360" w:lineRule="auto"/>
        <w:jc w:val="center"/>
        <w:rPr>
          <w:rFonts w:ascii="Times New Roman" w:eastAsia="宋体" w:hAnsi="Times New Roman"/>
          <w:color w:val="000000"/>
          <w:sz w:val="28"/>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45818938"/>
      <w:r w:rsidRPr="0061142D">
        <w:rPr>
          <w:rFonts w:ascii="Times New Roman" w:eastAsia="宋体" w:hAnsi="宋体"/>
          <w:color w:val="000000"/>
          <w:sz w:val="28"/>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253DCD8" w14:textId="01681644"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（一）基金管理人对基金托管人履行托管职责情况进行核查，核查事项包括基金托管人安全保管基金财产、开设基金财产的资金账户和证券账户、复核基金管理人计算的基金资产净值和</w:t>
      </w:r>
      <w:r w:rsidR="00B051D1" w:rsidRPr="00B051D1">
        <w:rPr>
          <w:rFonts w:hAnsi="宋体" w:hint="eastAsia"/>
          <w:color w:val="000000"/>
          <w:sz w:val="28"/>
        </w:rPr>
        <w:t>各类</w:t>
      </w:r>
      <w:r w:rsidRPr="0061142D">
        <w:rPr>
          <w:rFonts w:hAnsi="宋体"/>
          <w:color w:val="000000"/>
          <w:sz w:val="28"/>
        </w:rPr>
        <w:t>基金份额净值、根据基金管理人指令办理清算交收、相关信息披露和监督基金投资运作等行为。</w:t>
      </w:r>
    </w:p>
    <w:p w14:paraId="464C44A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0087516D">
        <w:rPr>
          <w:color w:val="000000"/>
          <w:sz w:val="28"/>
        </w:rPr>
        <w:t>，</w:t>
      </w:r>
      <w:r w:rsidRPr="0061142D">
        <w:rPr>
          <w:rFonts w:hAnsi="宋体"/>
          <w:color w:val="000000"/>
          <w:sz w:val="28"/>
        </w:rPr>
        <w:t>督促基金托管人改正。基金托管人应积极配合基金管理人的核查行为，包括但不限于：提交相关资料以供基金管理人核查托管财产的完整性和真实性，在规定时间内答复基金管理人并改正。</w:t>
      </w:r>
    </w:p>
    <w:p w14:paraId="76F3848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72F12AA" w14:textId="77777777" w:rsidR="009C2EF9" w:rsidRPr="0061142D" w:rsidRDefault="009C2EF9">
      <w:pPr>
        <w:spacing w:line="360" w:lineRule="auto"/>
        <w:rPr>
          <w:color w:val="000000"/>
          <w:sz w:val="28"/>
        </w:rPr>
      </w:pPr>
    </w:p>
    <w:p w14:paraId="63EC00D0" w14:textId="77777777" w:rsidR="009C2EF9" w:rsidRPr="0061142D" w:rsidRDefault="009C2EF9">
      <w:pPr>
        <w:pStyle w:val="2"/>
        <w:spacing w:line="360" w:lineRule="auto"/>
        <w:jc w:val="center"/>
        <w:rPr>
          <w:rFonts w:ascii="Times New Roman" w:eastAsia="宋体" w:hAnsi="Times New Roman"/>
          <w:color w:val="000000"/>
          <w:sz w:val="28"/>
        </w:rPr>
      </w:pPr>
      <w:bookmarkStart w:id="25" w:name="_Toc110765661"/>
      <w:bookmarkStart w:id="26" w:name="_Toc110830493"/>
      <w:bookmarkStart w:id="27" w:name="_Toc118212951"/>
      <w:bookmarkStart w:id="28" w:name="_Toc118774804"/>
      <w:bookmarkStart w:id="29" w:name="_Toc118972649"/>
      <w:bookmarkStart w:id="30" w:name="_Toc119402711"/>
      <w:bookmarkStart w:id="31" w:name="_Toc120435784"/>
      <w:bookmarkStart w:id="32" w:name="_Toc145818939"/>
      <w:bookmarkStart w:id="33" w:name="_Toc84133786"/>
      <w:bookmarkStart w:id="34" w:name="_Toc84234388"/>
      <w:bookmarkStart w:id="35" w:name="_Toc84234435"/>
      <w:bookmarkStart w:id="36" w:name="_Toc86204789"/>
      <w:bookmarkStart w:id="37" w:name="_Toc86223243"/>
      <w:bookmarkStart w:id="38" w:name="_Toc86225292"/>
      <w:bookmarkStart w:id="39" w:name="_Toc86649723"/>
      <w:bookmarkStart w:id="40" w:name="_Toc86726440"/>
      <w:bookmarkStart w:id="41" w:name="_Toc86727356"/>
      <w:bookmarkStart w:id="42" w:name="_Toc86737930"/>
      <w:bookmarkStart w:id="43" w:name="_Toc89163369"/>
      <w:bookmarkStart w:id="44" w:name="_Toc108512359"/>
      <w:bookmarkStart w:id="45" w:name="_Toc110761797"/>
      <w:r w:rsidRPr="0061142D">
        <w:rPr>
          <w:rFonts w:ascii="Times New Roman" w:eastAsia="宋体" w:hAnsi="宋体"/>
          <w:color w:val="000000"/>
          <w:sz w:val="28"/>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FE80B8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（一）基金财产保管的原则</w:t>
      </w:r>
    </w:p>
    <w:p w14:paraId="340FC77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、基金财产应独立于基金管理人、基金托管人的固有财产。</w:t>
      </w:r>
    </w:p>
    <w:p w14:paraId="5C64C0C7"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、基金托管人应安全保管基金财产。未经基金管理人依据合法程序作出的合法合规指令，基金托管人不得自行运用、处分、分配基金的任何财产。</w:t>
      </w:r>
    </w:p>
    <w:p w14:paraId="20447F3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、基金托管人按照规定开设基金财产的资金账户和证券账户。</w:t>
      </w:r>
    </w:p>
    <w:p w14:paraId="7ED2250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、基金托管人对所托管的不同基金财产分别设置账户，与基金托管人的其他业务和其他基金的托管业务实行严格的分账管理，确保基金财产的完整与独立。</w:t>
      </w:r>
    </w:p>
    <w:p w14:paraId="5EE407B0"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、基金托管人根据基金管理人的指令，按照基金合同和本协议的约定保管基金财产，如有特殊情况双方可另行协商解决。</w:t>
      </w:r>
    </w:p>
    <w:p w14:paraId="6D07CBF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5F28CB8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、除依据法律法规和基金合同的规定外，基金托管人不得委托第三人托管基金财产。</w:t>
      </w:r>
    </w:p>
    <w:p w14:paraId="3B15ADC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（二）基金募集期间及募集资金的验资</w:t>
      </w:r>
    </w:p>
    <w:p w14:paraId="49B85EB2" w14:textId="31893E55" w:rsidR="00607D0A" w:rsidRDefault="00607D0A" w:rsidP="00EE5132">
      <w:pPr>
        <w:adjustRightInd w:val="0"/>
        <w:snapToGrid w:val="0"/>
        <w:spacing w:line="360" w:lineRule="auto"/>
        <w:ind w:firstLineChars="200" w:firstLine="560"/>
        <w:rPr>
          <w:color w:val="000000"/>
          <w:sz w:val="28"/>
        </w:rPr>
      </w:pPr>
      <w:r w:rsidRPr="00607D0A">
        <w:rPr>
          <w:rFonts w:hint="eastAsia"/>
          <w:color w:val="000000"/>
          <w:sz w:val="28"/>
        </w:rPr>
        <w:t>交银施罗德</w:t>
      </w:r>
      <w:r>
        <w:rPr>
          <w:rFonts w:hint="eastAsia"/>
          <w:color w:val="000000"/>
          <w:sz w:val="28"/>
        </w:rPr>
        <w:t>稳固收益债券型</w:t>
      </w:r>
      <w:r w:rsidRPr="00607D0A">
        <w:rPr>
          <w:rFonts w:hint="eastAsia"/>
          <w:color w:val="000000"/>
          <w:sz w:val="28"/>
        </w:rPr>
        <w:t>证券投资基金由交银施罗德</w:t>
      </w:r>
      <w:r>
        <w:rPr>
          <w:rFonts w:hint="eastAsia"/>
          <w:color w:val="000000"/>
          <w:sz w:val="28"/>
        </w:rPr>
        <w:t>荣祥</w:t>
      </w:r>
      <w:r w:rsidRPr="00607D0A">
        <w:rPr>
          <w:rFonts w:hint="eastAsia"/>
          <w:color w:val="000000"/>
          <w:sz w:val="28"/>
        </w:rPr>
        <w:t>保本混合型证券投资基金保本周期到期转型而来。交银施罗德</w:t>
      </w:r>
      <w:r>
        <w:rPr>
          <w:rFonts w:hint="eastAsia"/>
          <w:color w:val="000000"/>
          <w:sz w:val="28"/>
        </w:rPr>
        <w:t>荣祥</w:t>
      </w:r>
      <w:r w:rsidRPr="00607D0A">
        <w:rPr>
          <w:rFonts w:hint="eastAsia"/>
          <w:color w:val="000000"/>
          <w:sz w:val="28"/>
        </w:rPr>
        <w:t>保本混合型证券投资基金已按照法律法规及监管机构要求完成募集，募集</w:t>
      </w:r>
      <w:r w:rsidRPr="00607D0A">
        <w:rPr>
          <w:rFonts w:hint="eastAsia"/>
          <w:color w:val="000000"/>
          <w:sz w:val="28"/>
        </w:rPr>
        <w:lastRenderedPageBreak/>
        <w:t>资金经普华永道中天会计师事务所（特殊普通合伙）验资，募集所有资金已全额划入该基金基金托管</w:t>
      </w:r>
      <w:r w:rsidR="001049B7">
        <w:rPr>
          <w:rFonts w:hint="eastAsia"/>
          <w:color w:val="000000"/>
          <w:sz w:val="28"/>
        </w:rPr>
        <w:t>账户</w:t>
      </w:r>
      <w:r w:rsidRPr="00607D0A">
        <w:rPr>
          <w:rFonts w:hint="eastAsia"/>
          <w:color w:val="000000"/>
          <w:sz w:val="28"/>
        </w:rPr>
        <w:t>。《交银施罗德</w:t>
      </w:r>
      <w:r>
        <w:rPr>
          <w:rFonts w:hint="eastAsia"/>
          <w:color w:val="000000"/>
          <w:sz w:val="28"/>
        </w:rPr>
        <w:t>荣祥</w:t>
      </w:r>
      <w:r w:rsidRPr="00607D0A">
        <w:rPr>
          <w:rFonts w:hint="eastAsia"/>
          <w:color w:val="000000"/>
          <w:sz w:val="28"/>
        </w:rPr>
        <w:t>保本混合型证券投资基金基金合同》已于</w:t>
      </w:r>
      <w:r w:rsidRPr="00607D0A">
        <w:rPr>
          <w:rFonts w:hint="eastAsia"/>
          <w:color w:val="000000"/>
          <w:sz w:val="28"/>
        </w:rPr>
        <w:t>201</w:t>
      </w:r>
      <w:r>
        <w:rPr>
          <w:color w:val="000000"/>
          <w:sz w:val="28"/>
        </w:rPr>
        <w:t>3</w:t>
      </w:r>
      <w:r w:rsidRPr="00607D0A">
        <w:rPr>
          <w:rFonts w:hint="eastAsia"/>
          <w:color w:val="000000"/>
          <w:sz w:val="28"/>
        </w:rPr>
        <w:t>年</w:t>
      </w:r>
      <w:r>
        <w:rPr>
          <w:color w:val="000000"/>
          <w:sz w:val="28"/>
        </w:rPr>
        <w:t>4</w:t>
      </w:r>
      <w:r w:rsidRPr="00607D0A">
        <w:rPr>
          <w:rFonts w:hint="eastAsia"/>
          <w:color w:val="000000"/>
          <w:sz w:val="28"/>
        </w:rPr>
        <w:t>月</w:t>
      </w:r>
      <w:r w:rsidRPr="00607D0A">
        <w:rPr>
          <w:rFonts w:hint="eastAsia"/>
          <w:color w:val="000000"/>
          <w:sz w:val="28"/>
        </w:rPr>
        <w:t>2</w:t>
      </w:r>
      <w:r>
        <w:rPr>
          <w:color w:val="000000"/>
          <w:sz w:val="28"/>
        </w:rPr>
        <w:t>4</w:t>
      </w:r>
      <w:r w:rsidRPr="00607D0A">
        <w:rPr>
          <w:rFonts w:hint="eastAsia"/>
          <w:color w:val="000000"/>
          <w:sz w:val="28"/>
        </w:rPr>
        <w:t>日生效。</w:t>
      </w:r>
    </w:p>
    <w:p w14:paraId="2A7A193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（三）基金托管资金账户的开立和管理</w:t>
      </w:r>
    </w:p>
    <w:p w14:paraId="2926FA5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w:t>
      </w:r>
      <w:r w:rsidRPr="0061142D">
        <w:rPr>
          <w:rFonts w:hAnsi="宋体"/>
          <w:sz w:val="28"/>
        </w:rPr>
        <w:t>应负责本基金的资金账户的开设和管理</w:t>
      </w:r>
      <w:r w:rsidRPr="0061142D">
        <w:rPr>
          <w:rFonts w:hAnsi="宋体"/>
          <w:color w:val="000000"/>
          <w:sz w:val="28"/>
        </w:rPr>
        <w:t>。</w:t>
      </w:r>
    </w:p>
    <w:p w14:paraId="575F0338" w14:textId="77777777" w:rsidR="009C2EF9" w:rsidRPr="0061142D" w:rsidRDefault="009C2EF9" w:rsidP="00EE5132">
      <w:pPr>
        <w:adjustRightInd w:val="0"/>
        <w:snapToGrid w:val="0"/>
        <w:spacing w:line="360" w:lineRule="auto"/>
        <w:ind w:firstLineChars="200" w:firstLine="560"/>
        <w:rPr>
          <w:sz w:val="28"/>
        </w:rPr>
      </w:pPr>
      <w:r w:rsidRPr="0061142D">
        <w:rPr>
          <w:color w:val="000000"/>
          <w:sz w:val="28"/>
        </w:rPr>
        <w:t>2</w:t>
      </w:r>
      <w:r w:rsidRPr="0061142D">
        <w:rPr>
          <w:rFonts w:hAnsi="宋体"/>
          <w:color w:val="000000"/>
          <w:sz w:val="28"/>
        </w:rPr>
        <w:t>、</w:t>
      </w:r>
      <w:r w:rsidRPr="0061142D">
        <w:rPr>
          <w:rFonts w:hAnsi="宋体"/>
          <w:sz w:val="28"/>
        </w:rPr>
        <w:t>基金托管人可以本基金的名义在其营业机构开设本基金的资金账户</w:t>
      </w:r>
      <w:r w:rsidRPr="0061142D">
        <w:rPr>
          <w:rFonts w:hAnsi="宋体"/>
          <w:color w:val="000000"/>
          <w:sz w:val="28"/>
        </w:rPr>
        <w:t>，并根据基金管理人合法合规的指令办理资金收付</w:t>
      </w:r>
      <w:r w:rsidRPr="0061142D">
        <w:rPr>
          <w:rFonts w:hAnsi="宋体"/>
          <w:sz w:val="28"/>
        </w:rPr>
        <w:t>。本基金的银行预留印鉴由基金托管人保管和使用。本基金的一切货币收支活动，包括但不限于投资、支付赎回金额、支付基金收益、收取申购款，均需通过本基金的资金账户进行。</w:t>
      </w:r>
    </w:p>
    <w:p w14:paraId="730B61D8" w14:textId="77777777" w:rsidR="009C2EF9"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基金托管资金账户的开立和使用，限于满足开展本基金业务的需要。基金托管人和基金管理人不得假借本基金的名义开立任何其他银行账户；亦不得使用基金的任何账户进行本基金业务以外的活动。</w:t>
      </w:r>
    </w:p>
    <w:p w14:paraId="16B587E5"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、基金托管资金账户的开立和管理应符合相关法律法规的有关规定。</w:t>
      </w:r>
    </w:p>
    <w:p w14:paraId="4D2B095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、在符合法律法规规定的条件下，基金托管人可以通过基金托管人专用账户办理基金资产的支付。</w:t>
      </w:r>
    </w:p>
    <w:p w14:paraId="07136FA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（四）基金证券账户和结算备付金账户的开立和管理</w:t>
      </w:r>
    </w:p>
    <w:p w14:paraId="0FAF5A53"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、基金托管人在中国证券登记结算有限责任公司上海分公司、深圳分公司为本基金开立基金托管人与基金联名的证券账户。</w:t>
      </w:r>
    </w:p>
    <w:p w14:paraId="5528D0E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19E33B4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w:t>
      </w:r>
      <w:r w:rsidRPr="0061142D">
        <w:rPr>
          <w:rFonts w:hAnsi="宋体"/>
          <w:sz w:val="28"/>
        </w:rPr>
        <w:t>基金</w:t>
      </w:r>
      <w:r w:rsidRPr="0061142D">
        <w:rPr>
          <w:rFonts w:hAnsi="宋体"/>
          <w:color w:val="000000"/>
          <w:sz w:val="28"/>
        </w:rPr>
        <w:t>托管人以自身法人名义在中国证券登记结算有限责任公</w:t>
      </w:r>
      <w:r w:rsidRPr="0061142D">
        <w:rPr>
          <w:rFonts w:hAnsi="宋体"/>
          <w:color w:val="000000"/>
          <w:sz w:val="28"/>
        </w:rPr>
        <w:lastRenderedPageBreak/>
        <w:t>司开立结算备付金账户，并代表所托管的基金完成与中国证券登记结算有限责任公司的一级法人清算工作，基金管理人应予以积极协助。结算</w:t>
      </w:r>
      <w:r w:rsidRPr="0061142D">
        <w:rPr>
          <w:rFonts w:hAnsi="宋体"/>
          <w:sz w:val="28"/>
        </w:rPr>
        <w:t>备付金的收取按照中国证券登记结算有限责任公司的规定执行。</w:t>
      </w:r>
    </w:p>
    <w:p w14:paraId="3D67162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、基金证券账户的开立和证券账户卡的保管由基金托管人负责，账户资产的管理和运用由基金管理人负责。</w:t>
      </w:r>
    </w:p>
    <w:p w14:paraId="36CA72F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0FA97DE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（五）债券托管专户的开设和管理</w:t>
      </w:r>
    </w:p>
    <w:p w14:paraId="744F7FF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8EC6B3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（六）其他账户的开立和管理</w:t>
      </w:r>
    </w:p>
    <w:p w14:paraId="10DAD49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、因业务发展需要而开立的其他账户，可以根据法律法规和基金合同的规定，</w:t>
      </w:r>
      <w:r w:rsidRPr="0061142D">
        <w:rPr>
          <w:rFonts w:hAnsi="宋体"/>
          <w:sz w:val="28"/>
        </w:rPr>
        <w:t>在基金管理人和基金托管人商议后由基金托管人负责开立</w:t>
      </w:r>
      <w:r w:rsidRPr="0061142D">
        <w:rPr>
          <w:rFonts w:hAnsi="宋体"/>
          <w:color w:val="000000"/>
          <w:sz w:val="28"/>
        </w:rPr>
        <w:t>。新账户按有关规则使用并管理。</w:t>
      </w:r>
    </w:p>
    <w:p w14:paraId="361B292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、法律法规等有关规定对相关账户的开立和管理另有规定的，从其规定办理。</w:t>
      </w:r>
    </w:p>
    <w:p w14:paraId="4B06BE1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（七）基金财产投资的有关有价凭证等的保管</w:t>
      </w:r>
    </w:p>
    <w:p w14:paraId="5CB875E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基金财产投资的有关实物证券、</w:t>
      </w:r>
      <w:r w:rsidRPr="0061142D">
        <w:rPr>
          <w:rFonts w:hAnsi="宋体"/>
          <w:sz w:val="28"/>
        </w:rPr>
        <w:t>银行定期存款存单等有价凭证</w:t>
      </w:r>
      <w:r w:rsidRPr="0061142D">
        <w:rPr>
          <w:rFonts w:hAnsi="宋体"/>
          <w:color w:val="000000"/>
          <w:sz w:val="28"/>
        </w:rPr>
        <w:t>由基金托管人负责妥善保管</w:t>
      </w:r>
      <w:r w:rsidRPr="0061142D">
        <w:rPr>
          <w:rFonts w:hAnsi="宋体"/>
          <w:sz w:val="28"/>
        </w:rPr>
        <w:t>，保管凭证由基金托管人持有</w:t>
      </w:r>
      <w:r w:rsidRPr="0061142D">
        <w:rPr>
          <w:rFonts w:hAnsi="宋体"/>
          <w:color w:val="000000"/>
          <w:sz w:val="28"/>
        </w:rPr>
        <w:t>。实物证券的购买和转让，由基金托管人根据基金管理人的指令办理。属于基金托</w:t>
      </w:r>
      <w:r w:rsidRPr="0061142D">
        <w:rPr>
          <w:rFonts w:hAnsi="宋体"/>
          <w:color w:val="000000"/>
          <w:sz w:val="28"/>
        </w:rPr>
        <w:lastRenderedPageBreak/>
        <w:t>管人实际有效控制下的实物证券在基金托管人保管期间的损坏、灭失，由此产生的责任应由基金托管人承担。基金托管人对基金托管人以外机构实际有效控制的证券不承担保管责任。</w:t>
      </w:r>
    </w:p>
    <w:p w14:paraId="2B8F825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（八）与基金财产有关的重大合同的保管</w:t>
      </w:r>
    </w:p>
    <w:p w14:paraId="3B89487C" w14:textId="28F659F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w:t>
      </w:r>
      <w:r w:rsidR="00BA7639" w:rsidRPr="00BA7639">
        <w:rPr>
          <w:rFonts w:hAnsi="宋体" w:hint="eastAsia"/>
          <w:color w:val="000000"/>
          <w:sz w:val="28"/>
        </w:rPr>
        <w:t>不低于法律法规规定的最低期限</w:t>
      </w:r>
      <w:r w:rsidRPr="0061142D">
        <w:rPr>
          <w:rFonts w:hAnsi="宋体"/>
          <w:color w:val="000000"/>
          <w:sz w:val="28"/>
        </w:rPr>
        <w:t>。</w:t>
      </w:r>
    </w:p>
    <w:p w14:paraId="1CAE8BF3" w14:textId="77777777" w:rsidR="009C2EF9" w:rsidRPr="0061142D" w:rsidRDefault="009C2EF9">
      <w:pPr>
        <w:adjustRightInd w:val="0"/>
        <w:snapToGrid w:val="0"/>
        <w:spacing w:line="360" w:lineRule="auto"/>
        <w:ind w:firstLine="480"/>
        <w:rPr>
          <w:color w:val="000000"/>
          <w:sz w:val="28"/>
        </w:rPr>
      </w:pPr>
    </w:p>
    <w:p w14:paraId="6F3BA704" w14:textId="77777777" w:rsidR="009C2EF9" w:rsidRPr="0061142D" w:rsidRDefault="009C2EF9">
      <w:pPr>
        <w:pStyle w:val="2"/>
        <w:spacing w:line="360" w:lineRule="auto"/>
        <w:jc w:val="center"/>
        <w:rPr>
          <w:rFonts w:ascii="Times New Roman" w:eastAsia="宋体" w:hAnsi="Times New Roman"/>
          <w:color w:val="000000"/>
          <w:sz w:val="28"/>
        </w:rPr>
      </w:pPr>
      <w:bookmarkStart w:id="46" w:name="_Toc89163370"/>
      <w:bookmarkStart w:id="47" w:name="_Toc86737931"/>
      <w:bookmarkStart w:id="48" w:name="_Toc86727357"/>
      <w:bookmarkStart w:id="49" w:name="_Toc86726441"/>
      <w:bookmarkStart w:id="50" w:name="_Toc86649724"/>
      <w:bookmarkStart w:id="51" w:name="_Toc86225293"/>
      <w:bookmarkStart w:id="52" w:name="_Toc86223244"/>
      <w:bookmarkStart w:id="53" w:name="_Toc86204790"/>
      <w:bookmarkStart w:id="54" w:name="_Toc84234436"/>
      <w:bookmarkStart w:id="55" w:name="_Toc84234389"/>
      <w:bookmarkStart w:id="56" w:name="_Toc145818940"/>
      <w:bookmarkStart w:id="57" w:name="_Toc120435785"/>
      <w:bookmarkStart w:id="58" w:name="_Toc119402712"/>
      <w:bookmarkStart w:id="59" w:name="_Toc118972650"/>
      <w:bookmarkStart w:id="60" w:name="_Toc118774805"/>
      <w:bookmarkStart w:id="61" w:name="_Toc118212952"/>
      <w:bookmarkStart w:id="62" w:name="_Toc110830494"/>
      <w:bookmarkStart w:id="63" w:name="_Toc110765662"/>
      <w:bookmarkStart w:id="64" w:name="_Toc110761798"/>
      <w:bookmarkStart w:id="65" w:name="_Toc108512360"/>
      <w:bookmarkStart w:id="66" w:name="_Toc84133787"/>
      <w:r w:rsidRPr="0061142D">
        <w:rPr>
          <w:rFonts w:ascii="Times New Roman" w:eastAsia="宋体" w:hAnsi="宋体"/>
          <w:color w:val="000000"/>
          <w:sz w:val="28"/>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E83381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基金管理人在运用基金财产时向基金托管人发送资金划拨及其他款项收付指令，基金托管人执行基金管理人的指令、办理基金名下的资金往来等有关事项。</w:t>
      </w:r>
    </w:p>
    <w:p w14:paraId="6B0AC88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（一）基金管理人对发送指令人员的书面授权</w:t>
      </w:r>
    </w:p>
    <w:p w14:paraId="17BADF06"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、基金管理人应指定专人、专用传真号码向基金托管人发送指令。</w:t>
      </w:r>
    </w:p>
    <w:p w14:paraId="770A9ADB"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应向基金托管人提供书面授权文件，该文件中应含有管理人预留印鉴，该预留印鉴为基金托管人确定基金管理人所发送指令形式真实性的唯一依据。基金管理人向基金托管人发送授权文件后，要及时电话确认，以保证基金托管人及时查收。</w:t>
      </w:r>
    </w:p>
    <w:p w14:paraId="6CE3ADCE" w14:textId="77777777"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、基金托管人收到授权文件后并经确认后，授权文件即生效。</w:t>
      </w:r>
    </w:p>
    <w:p w14:paraId="758FA78D" w14:textId="77777777" w:rsidR="009C2EF9" w:rsidRPr="0061142D" w:rsidRDefault="009C2EF9" w:rsidP="00EE5132">
      <w:pPr>
        <w:adjustRightInd w:val="0"/>
        <w:snapToGrid w:val="0"/>
        <w:spacing w:line="360" w:lineRule="auto"/>
        <w:ind w:firstLineChars="200" w:firstLine="560"/>
        <w:rPr>
          <w:sz w:val="28"/>
        </w:rPr>
      </w:pPr>
      <w:r w:rsidRPr="0061142D">
        <w:rPr>
          <w:sz w:val="28"/>
        </w:rPr>
        <w:t>4</w:t>
      </w:r>
      <w:r w:rsidRPr="0061142D">
        <w:rPr>
          <w:rFonts w:hAnsi="宋体"/>
          <w:sz w:val="28"/>
        </w:rPr>
        <w:t>、基金管理人和基金托管人对授权文件负有保密义务，其内容不得向被授权人及相关操作人员以外的任何人泄漏。</w:t>
      </w:r>
    </w:p>
    <w:p w14:paraId="231BC5D5"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lastRenderedPageBreak/>
        <w:t>（二）指令的内容</w:t>
      </w:r>
    </w:p>
    <w:p w14:paraId="7B814EB9"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、指令包括付款指令</w:t>
      </w:r>
      <w:r w:rsidRPr="0061142D">
        <w:rPr>
          <w:sz w:val="28"/>
        </w:rPr>
        <w:t>(</w:t>
      </w:r>
      <w:r w:rsidRPr="0061142D">
        <w:rPr>
          <w:rFonts w:hAnsi="宋体"/>
          <w:sz w:val="28"/>
        </w:rPr>
        <w:t>含赎回、分红付款指令、银行间业务划款指令）以及其他资金划拨指令等。</w:t>
      </w:r>
    </w:p>
    <w:p w14:paraId="2AB600F3"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、基金管理人发给基金托管人的指令应写明款项事由、支付时间、到账时间、金额、账户资料等，并加盖预留印鉴。</w:t>
      </w:r>
    </w:p>
    <w:p w14:paraId="234F39EE"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（三）指令的发送、确认及执行的时间和程序</w:t>
      </w:r>
    </w:p>
    <w:p w14:paraId="316E1629"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、指令的发送</w:t>
      </w:r>
    </w:p>
    <w:p w14:paraId="6754ED4C"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基金管理人发送指令应采用加密传真方式或其他基金管理人和基金托管人双方书面共同确认的方式。</w:t>
      </w:r>
    </w:p>
    <w:p w14:paraId="4020649C"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按照法律法规和基金合同的规定，在其合法的经营权限和交易权限内发送指令；被授权人应严格按照其授权权限发送指令。对于被授权人依约定程序发出的内容合法的指令，基金管理人不得否认其效力。但如果基金管理人已经撤销并在指令执行前及时明确地通知基金托管人或更改对交易指令发送人员的授权，且基金托管人根据本协议确认后，则对于此后该交易指令发送人员无权发送的指令，或超权限发送的指令，基金管理人不承担责任，授权已更改但未通知基金托管人的情况除外。</w:t>
      </w:r>
    </w:p>
    <w:p w14:paraId="35C09302"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指令发出后，基金管理人应及时以电话方式向基金托管人确认。</w:t>
      </w:r>
    </w:p>
    <w:p w14:paraId="37D4818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基金管理人应在交易结束后将全国银行间交易成交单加盖印章后及时传真给基金托管人，并电话确认。</w:t>
      </w:r>
    </w:p>
    <w:p w14:paraId="6E78FA2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基金管理人在发送指令时，应为基金托管人</w:t>
      </w:r>
      <w:r w:rsidR="00302D6E" w:rsidRPr="0061142D">
        <w:rPr>
          <w:rFonts w:hAnsi="宋体"/>
          <w:sz w:val="28"/>
        </w:rPr>
        <w:t>执行指令留出至少两个</w:t>
      </w:r>
      <w:r w:rsidR="006E67CA" w:rsidRPr="0061142D">
        <w:rPr>
          <w:rFonts w:hAnsi="宋体"/>
          <w:sz w:val="28"/>
        </w:rPr>
        <w:t>工作</w:t>
      </w:r>
      <w:r w:rsidR="00302D6E" w:rsidRPr="0061142D">
        <w:rPr>
          <w:rFonts w:hAnsi="宋体"/>
          <w:sz w:val="28"/>
        </w:rPr>
        <w:t>小时</w:t>
      </w:r>
      <w:r w:rsidRPr="0061142D">
        <w:rPr>
          <w:rFonts w:hAnsi="宋体"/>
          <w:sz w:val="28"/>
        </w:rPr>
        <w:t>。由基金管理人的原因造成的指令传输不及时、未能留出足够的划款时间，未准备足够资金，致使资金未能及时到账所造成的损失由基金管理人承担。</w:t>
      </w:r>
    </w:p>
    <w:p w14:paraId="32222853"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、指令的确认</w:t>
      </w:r>
    </w:p>
    <w:p w14:paraId="6371D6C9"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lastRenderedPageBreak/>
        <w:t>基金托管人应指定专人接收基金管理人的指令，答复基金管理人的指令确认电话。指令到达基金托管人后，基金托管人应指定专人根据基金管理人提供的授权文件及按照双方约定程序进行表面相符的形式审查，及时审慎验证有关内容及印鉴，基金托管人对指令的真实性不承担责任。如有疑问必须及时通知基金管理人。</w:t>
      </w:r>
    </w:p>
    <w:p w14:paraId="2149C6AC" w14:textId="77777777"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、指令的时间和执行</w:t>
      </w:r>
    </w:p>
    <w:p w14:paraId="26576C4F"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基金托管人对指令验证后，应及时办理。</w:t>
      </w:r>
    </w:p>
    <w:p w14:paraId="02E2D28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14:paraId="52B3C8AE"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对于申购新股等时效性要求高的指令，基金管理人必须及时将指令传至基金托管人，并预留充足的指令处理时间。</w:t>
      </w:r>
    </w:p>
    <w:p w14:paraId="56269F2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w:t>
      </w:r>
      <w:r w:rsidR="00B138D3">
        <w:rPr>
          <w:rFonts w:hAnsi="宋体" w:hint="eastAsia"/>
          <w:sz w:val="28"/>
        </w:rPr>
        <w:t>基金</w:t>
      </w:r>
      <w:r w:rsidRPr="0061142D">
        <w:rPr>
          <w:rFonts w:hAnsi="宋体"/>
          <w:sz w:val="28"/>
        </w:rPr>
        <w:t>托管人承担。</w:t>
      </w:r>
    </w:p>
    <w:p w14:paraId="22B50AF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（四）基金管理人发送错误指令的情形和处理程序</w:t>
      </w:r>
    </w:p>
    <w:p w14:paraId="16717C9F"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错误指令的情形包括指令违反法律法规和基金合同，指令发送人员无权或超越权限发送指令，指令标的、价格、金额错误，指令交易方向、交易对手及交割信息错误，指令中重要信息模糊不清或不全及其他错误情况等。</w:t>
      </w:r>
      <w:r w:rsidR="00302D6E" w:rsidRPr="0061142D">
        <w:rPr>
          <w:sz w:val="27"/>
          <w:szCs w:val="27"/>
        </w:rPr>
        <w:t>基金托管人发现指令错误，应及时提示基金管理人改正后再予以执行，基金托管人不承担因延迟执行该指令造成损失的责任。</w:t>
      </w:r>
    </w:p>
    <w:p w14:paraId="1AC694AA"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（五）基金托管人依照法律法规暂缓、拒绝执行指令的情形和处理程序</w:t>
      </w:r>
    </w:p>
    <w:p w14:paraId="4F41FA60"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lastRenderedPageBreak/>
        <w:t>若基金托管人发现基金管理人的指令违反法律、行政法规和其他有关规定，或者违反基金合同约定的，应当拒绝执行，及时通知基金管理人。</w:t>
      </w:r>
    </w:p>
    <w:p w14:paraId="312F0CB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若基金托管人发现基金管理人依据交易程序已经生效的指令违反法律、行政法规和其他有关规定，或者违反基金合同约定的，应当及时通知基金管理人，由此造成的损失由基金管理人承担。</w:t>
      </w:r>
    </w:p>
    <w:p w14:paraId="7506B7A4"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（六）基金托管人未按照基金管理人指令执行的处理方法</w:t>
      </w:r>
    </w:p>
    <w:p w14:paraId="1DC00A83"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6B6007D9"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（七）更换被授权人员的程序</w:t>
      </w:r>
    </w:p>
    <w:p w14:paraId="5E19FBE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更换被授权人、更改或终止对被授权人的授权，应提前通知基金托管人，同时基金管理人向基金托管人提供新的书面授权文件，并及时通过电话确认，确保基金托管人及时查收。基金托管人应在收到授权变更或终止通知书原件当日银行营业时间结束前及时与基金管理人电话确认。被授权人变更或终止通知，自基金管理人与</w:t>
      </w:r>
      <w:r w:rsidR="00B138D3">
        <w:rPr>
          <w:rFonts w:hAnsi="宋体" w:hint="eastAsia"/>
          <w:sz w:val="28"/>
        </w:rPr>
        <w:t>基金</w:t>
      </w:r>
      <w:r w:rsidRPr="0061142D">
        <w:rPr>
          <w:rFonts w:hAnsi="宋体"/>
          <w:sz w:val="28"/>
        </w:rPr>
        <w:t>托管人确认后开始生效。被授权人变更通知生效前，基金托管人仍应按原约定执行指令，基金管理人不得否认其效力。</w:t>
      </w:r>
    </w:p>
    <w:p w14:paraId="25E0BDE2"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基金托管人更换接受基金管理人指令的人员，应提前书面通知基金管理人并及时通过电话确认。</w:t>
      </w:r>
    </w:p>
    <w:p w14:paraId="39E14418"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（八）其他事项</w:t>
      </w:r>
    </w:p>
    <w:p w14:paraId="11FE2104"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、基金托管人在接收指令时，应对指令的要素是否齐全、印鉴与被授权人是否与预留的授权文件内容相符进行检查，如发现问题，应及时通知基金管理人。</w:t>
      </w:r>
    </w:p>
    <w:p w14:paraId="5D45573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lastRenderedPageBreak/>
        <w:t>如果基金管理人已经撤销或更改对指令发送人员的授权，并且已通知基金托管人并与基金托管人确认后，则对于在变更通知的启用日期后该指令发送人员无权发送的指令，或超权限发送的指令，基金管理人不承担责任。</w:t>
      </w:r>
    </w:p>
    <w:p w14:paraId="482ECA3E"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、除因其自身原因致使基金的利益受到损害而负赔偿责任外，基金托管人对执行基金管理人的合法指令而对基金财产造成的损失不承担赔偿责任。</w:t>
      </w:r>
    </w:p>
    <w:p w14:paraId="46118563" w14:textId="77777777" w:rsidR="00EE5132" w:rsidRPr="0061142D" w:rsidRDefault="00EE5132" w:rsidP="00EE5132">
      <w:pPr>
        <w:adjustRightInd w:val="0"/>
        <w:snapToGrid w:val="0"/>
        <w:spacing w:line="360" w:lineRule="auto"/>
        <w:ind w:firstLineChars="200" w:firstLine="560"/>
        <w:rPr>
          <w:sz w:val="28"/>
        </w:rPr>
      </w:pPr>
    </w:p>
    <w:p w14:paraId="29371124" w14:textId="77777777" w:rsidR="009C2EF9" w:rsidRPr="0061142D" w:rsidRDefault="009C2EF9">
      <w:pPr>
        <w:pStyle w:val="2"/>
        <w:spacing w:line="360" w:lineRule="auto"/>
        <w:jc w:val="center"/>
        <w:rPr>
          <w:rFonts w:ascii="Times New Roman" w:eastAsia="宋体" w:hAnsi="Times New Roman"/>
          <w:color w:val="000000"/>
          <w:sz w:val="28"/>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45818941"/>
      <w:r w:rsidRPr="0061142D">
        <w:rPr>
          <w:rFonts w:ascii="Times New Roman" w:eastAsia="宋体" w:hAnsi="宋体"/>
          <w:color w:val="000000"/>
          <w:sz w:val="28"/>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099545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（一）选择代理证券买卖的证券经营机构</w:t>
      </w:r>
    </w:p>
    <w:p w14:paraId="554470C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交易保证金由被选中的证券经营机构交付。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14:paraId="3DA77BD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（二）基金投资证券后的清算交收安排</w:t>
      </w:r>
    </w:p>
    <w:p w14:paraId="5D463F5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、清算与交割</w:t>
      </w:r>
    </w:p>
    <w:p w14:paraId="6AF7F55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基金托管人负责基金买卖证券的清算交收。资金汇划由基金托管</w:t>
      </w:r>
      <w:r w:rsidRPr="0061142D">
        <w:rPr>
          <w:rFonts w:hAnsi="宋体"/>
          <w:color w:val="000000"/>
          <w:sz w:val="28"/>
        </w:rPr>
        <w:lastRenderedPageBreak/>
        <w:t>人根据基金管理人的交易成交结果具体办理。</w:t>
      </w:r>
    </w:p>
    <w:p w14:paraId="458B1E0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因为基金托管人自身原因在清算上造成基金资产的损失，应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14:paraId="050C119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基金管理人应采取合理措施，确保在</w:t>
      </w:r>
      <w:r w:rsidRPr="0061142D">
        <w:rPr>
          <w:color w:val="000000"/>
          <w:sz w:val="28"/>
        </w:rPr>
        <w:t>T+1</w:t>
      </w:r>
      <w:r w:rsidRPr="0061142D">
        <w:rPr>
          <w:rFonts w:hAnsi="宋体"/>
          <w:color w:val="000000"/>
          <w:sz w:val="28"/>
        </w:rPr>
        <w:t>日</w:t>
      </w:r>
      <w:r w:rsidRPr="0061142D">
        <w:rPr>
          <w:color w:val="000000"/>
          <w:sz w:val="28"/>
        </w:rPr>
        <w:t>11:30</w:t>
      </w:r>
      <w:r w:rsidRPr="0061142D">
        <w:rPr>
          <w:rFonts w:hAnsi="宋体"/>
          <w:color w:val="000000"/>
          <w:sz w:val="28"/>
        </w:rPr>
        <w:t>之前，最迟不能超过</w:t>
      </w:r>
      <w:r w:rsidRPr="0061142D">
        <w:rPr>
          <w:color w:val="000000"/>
          <w:sz w:val="28"/>
        </w:rPr>
        <w:t>T+1</w:t>
      </w:r>
      <w:r w:rsidRPr="0061142D">
        <w:rPr>
          <w:rFonts w:hAnsi="宋体"/>
          <w:color w:val="000000"/>
          <w:sz w:val="28"/>
        </w:rPr>
        <w:t>日</w:t>
      </w:r>
      <w:r w:rsidRPr="0061142D">
        <w:rPr>
          <w:color w:val="000000"/>
          <w:sz w:val="28"/>
        </w:rPr>
        <w:t>13:00</w:t>
      </w:r>
      <w:r w:rsidRPr="0061142D">
        <w:rPr>
          <w:rFonts w:hAnsi="宋体"/>
          <w:color w:val="000000"/>
          <w:sz w:val="28"/>
        </w:rPr>
        <w:t>前有足够的资金头寸用于中国证券登记结算有限责任公司上海分公司和深圳分公司的资金结算。</w:t>
      </w:r>
    </w:p>
    <w:p w14:paraId="3B0CA5C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14:paraId="6F4092CA"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、交易记录、资金和证券账目核对的时间和方式</w:t>
      </w:r>
    </w:p>
    <w:p w14:paraId="1B4C44D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）交易记录的核对</w:t>
      </w:r>
    </w:p>
    <w:p w14:paraId="57FAF1A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kern w:val="0"/>
          <w:sz w:val="28"/>
        </w:rPr>
        <w:t>基金管理人和基金托管人按日进行交易记录的核对。每日对外披露净值之前，必须保证当天所有实际交易记录与基金会计账簿上的交易记录完全一致。如果实际交易记录与会计账簿记录不一致，造成基</w:t>
      </w:r>
      <w:r w:rsidRPr="0061142D">
        <w:rPr>
          <w:rFonts w:hAnsi="宋体"/>
          <w:color w:val="000000"/>
          <w:kern w:val="0"/>
          <w:sz w:val="28"/>
        </w:rPr>
        <w:lastRenderedPageBreak/>
        <w:t>金会计核算不完整或不真实，由此给基金造成的损失由基金管理人承担。</w:t>
      </w:r>
      <w:r w:rsidRPr="0061142D">
        <w:rPr>
          <w:color w:val="000000"/>
          <w:kern w:val="0"/>
          <w:sz w:val="28"/>
        </w:rPr>
        <w:t xml:space="preserve">  </w:t>
      </w:r>
    </w:p>
    <w:p w14:paraId="5115A14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）资金账目的核对</w:t>
      </w:r>
    </w:p>
    <w:p w14:paraId="45D92C8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资金账目按日核实，账实相符。</w:t>
      </w:r>
    </w:p>
    <w:p w14:paraId="378E546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）证券账目的核对</w:t>
      </w:r>
    </w:p>
    <w:p w14:paraId="6A486B4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基金托管人应按时核对证券账户中的种类和数量，确保每日交易结束后证券账户中证券的种类和数量与基金会计账簿中的记载一致。</w:t>
      </w:r>
    </w:p>
    <w:p w14:paraId="774757C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4</w:t>
      </w:r>
      <w:r w:rsidRPr="0061142D">
        <w:rPr>
          <w:rFonts w:hAnsi="宋体"/>
          <w:color w:val="000000"/>
          <w:sz w:val="28"/>
        </w:rPr>
        <w:t>）实物券账目</w:t>
      </w:r>
    </w:p>
    <w:p w14:paraId="070066B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实物券账目，每月月末相关各方进行账实核对。</w:t>
      </w:r>
    </w:p>
    <w:p w14:paraId="357104BF"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（三）基金申购、赎回及转换业务处理的基本规定</w:t>
      </w:r>
    </w:p>
    <w:p w14:paraId="4BCFE8C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、基金份额申购、赎回及转换的确认、清算由基金管理人指定的登记机构负责。</w:t>
      </w:r>
    </w:p>
    <w:p w14:paraId="02230360"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、基金管理人应将每个开放日的申购、赎回、转换开放式基金的数据传送给基金托管人。基金管理人应对传递的申购、赎回、转换开放式基金的数据真实性负责。</w:t>
      </w:r>
    </w:p>
    <w:p w14:paraId="144539D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、基金管理人应保证其委托的登记机构必须于每个工作日向基金托管人发送前一开放日上述有关数据，并保证相关数据的准确、完整。</w:t>
      </w:r>
    </w:p>
    <w:p w14:paraId="3EC9B1C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、登记机构应通过与基金托管人建立的加密系统发送有关数据</w:t>
      </w:r>
      <w:r w:rsidRPr="0061142D">
        <w:rPr>
          <w:color w:val="000000"/>
          <w:sz w:val="28"/>
        </w:rPr>
        <w:t>(</w:t>
      </w:r>
      <w:r w:rsidRPr="0061142D">
        <w:rPr>
          <w:rFonts w:hAnsi="宋体"/>
          <w:color w:val="000000"/>
          <w:sz w:val="28"/>
        </w:rPr>
        <w:t>包括电子数据和盖章生效的纸制清算汇总表</w:t>
      </w:r>
      <w:r w:rsidRPr="0061142D">
        <w:rPr>
          <w:color w:val="000000"/>
          <w:sz w:val="28"/>
        </w:rPr>
        <w:t>)</w:t>
      </w:r>
      <w:r w:rsidRPr="0061142D">
        <w:rPr>
          <w:rFonts w:hAnsi="宋体"/>
          <w:color w:val="000000"/>
          <w:sz w:val="28"/>
        </w:rPr>
        <w:t>，如因各种原因，该系统无法正常发送，双方可协商解决处理方式。基金管理人向基金托管人发送的数据，双方各自按有关规定保存。</w:t>
      </w:r>
    </w:p>
    <w:p w14:paraId="5AB5C54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、如基金管理人委托其他机构办理本基金的注册登记业务，上述事宜由基金管理人负责。</w:t>
      </w:r>
    </w:p>
    <w:p w14:paraId="0A5E3885"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、关于清算专用账户的设立和管理</w:t>
      </w:r>
    </w:p>
    <w:p w14:paraId="5BAB063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为满足申购、赎回及分红资金汇划的需要，由基金管理人开立资金清算的专用账户，该账户由登记机构管理。</w:t>
      </w:r>
    </w:p>
    <w:p w14:paraId="4B1ADCF3"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（四）</w:t>
      </w:r>
      <w:r w:rsidRPr="0061142D">
        <w:rPr>
          <w:rFonts w:hAnsi="宋体"/>
          <w:sz w:val="28"/>
        </w:rPr>
        <w:t>开放式基金申购、赎回和基金转换的资金清算</w:t>
      </w:r>
    </w:p>
    <w:p w14:paraId="609B361C" w14:textId="6442B2C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基金申购、赎回、转换等款项采用轧差交收的结算方式。发生巨额赎回的情形，款项的交收参照本基金基金合同有关条款处理。</w:t>
      </w:r>
    </w:p>
    <w:p w14:paraId="3D77B63A"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如果当日基金为净应收款，基金托管人应及时查收资金是否到账，对于未准时到账的资金，应及时通知基金管理人划付，由此产生的责任应由基金管理人承担。</w:t>
      </w:r>
    </w:p>
    <w:p w14:paraId="349691A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如果当日基金为净应付款，基金托管人应根据基金管理人的指令及时进行划付。对于未准时划付的资金，基金管理人应及时通知基金托管人划付，由此产生的责任应由基金托管人承担。</w:t>
      </w:r>
      <w:r w:rsidRPr="0061142D">
        <w:rPr>
          <w:rFonts w:hAnsi="宋体"/>
          <w:color w:val="000000"/>
          <w:sz w:val="28"/>
        </w:rPr>
        <w:t>因基金托管资金账户没有足够的资金，导致基金托管人不能按时拨付，如系基金管理人的原因造成，责任由基金管理人承担，基金托管人不承担垫款义务。</w:t>
      </w:r>
    </w:p>
    <w:p w14:paraId="0F5FAC6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（五）基金现金分红</w:t>
      </w:r>
    </w:p>
    <w:p w14:paraId="6465F6B5" w14:textId="07B3236A"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、基金管理人确定分红方案通知基金托管人，双方核定后依照《信息披露办法》的有关规定在中国证监会</w:t>
      </w:r>
      <w:r w:rsidR="007C0C85">
        <w:rPr>
          <w:rFonts w:hAnsi="宋体"/>
          <w:color w:val="000000"/>
          <w:sz w:val="28"/>
        </w:rPr>
        <w:t>规定媒介</w:t>
      </w:r>
      <w:r w:rsidRPr="0061142D">
        <w:rPr>
          <w:rFonts w:hAnsi="宋体"/>
          <w:color w:val="000000"/>
          <w:sz w:val="28"/>
        </w:rPr>
        <w:t>上公告。</w:t>
      </w:r>
    </w:p>
    <w:p w14:paraId="36B6714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和基金管理人对基金分红进行账务处理并核对后，基金管理人向基金托管人发送现金红利的划款指令，基金托管人应及时将资金划入专用账户。基金管理人在下达指令时，应给基金托管人留出必需的划款时间。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14:paraId="19B3271F" w14:textId="5EBFECF6" w:rsidR="009C2EF9" w:rsidRPr="0061142D" w:rsidRDefault="009C2EF9" w:rsidP="00EE5132">
      <w:pPr>
        <w:adjustRightInd w:val="0"/>
        <w:snapToGrid w:val="0"/>
        <w:spacing w:line="360" w:lineRule="auto"/>
        <w:ind w:firstLineChars="200" w:firstLine="560"/>
        <w:rPr>
          <w:color w:val="000000"/>
          <w:sz w:val="28"/>
        </w:rPr>
      </w:pPr>
    </w:p>
    <w:p w14:paraId="08F08970" w14:textId="77777777" w:rsidR="009C2EF9" w:rsidRPr="0061142D" w:rsidRDefault="009C2EF9">
      <w:pPr>
        <w:pStyle w:val="2"/>
        <w:spacing w:line="360" w:lineRule="auto"/>
        <w:jc w:val="center"/>
        <w:rPr>
          <w:rFonts w:ascii="Times New Roman" w:eastAsia="宋体" w:hAnsi="Times New Roman"/>
          <w:color w:val="000000"/>
          <w:sz w:val="28"/>
        </w:rPr>
      </w:pPr>
      <w:bookmarkStart w:id="88" w:name="_Toc145818942"/>
      <w:r w:rsidRPr="0061142D">
        <w:rPr>
          <w:rFonts w:ascii="Times New Roman" w:eastAsia="宋体" w:hAnsi="宋体"/>
          <w:color w:val="000000"/>
          <w:sz w:val="28"/>
        </w:rPr>
        <w:lastRenderedPageBreak/>
        <w:t>八、基金资产净值计算和会计核算</w:t>
      </w:r>
      <w:bookmarkEnd w:id="88"/>
    </w:p>
    <w:p w14:paraId="0ED53182"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（一）基金资产净值的计算及复核程序</w:t>
      </w:r>
    </w:p>
    <w:p w14:paraId="23D8F4F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、基金资产净值</w:t>
      </w:r>
    </w:p>
    <w:p w14:paraId="553A45B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基金资产净值是指基金资产总值减去基金负债后的价值。</w:t>
      </w:r>
    </w:p>
    <w:p w14:paraId="3790D70B" w14:textId="758D69C6" w:rsidR="009C2EF9" w:rsidRPr="0061142D" w:rsidRDefault="00F50240" w:rsidP="00EE5132">
      <w:pPr>
        <w:adjustRightInd w:val="0"/>
        <w:snapToGrid w:val="0"/>
        <w:spacing w:line="360" w:lineRule="auto"/>
        <w:ind w:firstLineChars="200" w:firstLine="560"/>
        <w:rPr>
          <w:color w:val="000000"/>
          <w:sz w:val="28"/>
        </w:rPr>
      </w:pPr>
      <w:r w:rsidRPr="00A727C0">
        <w:rPr>
          <w:rFonts w:ascii="宋体" w:hAnsi="宋体" w:hint="eastAsia"/>
          <w:sz w:val="28"/>
        </w:rPr>
        <w:t>各类基金份额的</w:t>
      </w:r>
      <w:r w:rsidR="009C2EF9" w:rsidRPr="0061142D">
        <w:rPr>
          <w:rFonts w:hAnsi="宋体"/>
          <w:color w:val="000000"/>
          <w:sz w:val="28"/>
        </w:rPr>
        <w:t>基金份额净值是指计算日</w:t>
      </w:r>
      <w:r w:rsidRPr="00A727C0">
        <w:rPr>
          <w:rFonts w:ascii="宋体" w:hAnsi="宋体" w:hint="eastAsia"/>
          <w:sz w:val="28"/>
        </w:rPr>
        <w:t>该类基金份额的</w:t>
      </w:r>
      <w:r w:rsidR="009C2EF9" w:rsidRPr="0061142D">
        <w:rPr>
          <w:rFonts w:hAnsi="宋体"/>
          <w:color w:val="000000"/>
          <w:sz w:val="28"/>
        </w:rPr>
        <w:t>基金资产净值除以计算日</w:t>
      </w:r>
      <w:r w:rsidRPr="00A727C0">
        <w:rPr>
          <w:rFonts w:ascii="宋体" w:hAnsi="宋体" w:hint="eastAsia"/>
          <w:sz w:val="28"/>
        </w:rPr>
        <w:t>该类</w:t>
      </w:r>
      <w:r w:rsidR="009C2EF9" w:rsidRPr="0061142D">
        <w:rPr>
          <w:rFonts w:hAnsi="宋体"/>
          <w:color w:val="000000"/>
          <w:sz w:val="28"/>
        </w:rPr>
        <w:t>基金份额总数后得到的数值。</w:t>
      </w:r>
      <w:r w:rsidRPr="00A727C0">
        <w:rPr>
          <w:rFonts w:ascii="宋体" w:hAnsi="宋体" w:hint="eastAsia"/>
          <w:sz w:val="28"/>
        </w:rPr>
        <w:t>各类基金份额的</w:t>
      </w:r>
      <w:r w:rsidR="009C2EF9" w:rsidRPr="0061142D">
        <w:rPr>
          <w:rFonts w:hAnsi="宋体"/>
          <w:color w:val="000000"/>
          <w:sz w:val="28"/>
        </w:rPr>
        <w:t>基金份额净值的计算，</w:t>
      </w:r>
      <w:r>
        <w:rPr>
          <w:rFonts w:ascii="宋体" w:hAnsi="宋体" w:hint="eastAsia"/>
          <w:sz w:val="28"/>
        </w:rPr>
        <w:t>均</w:t>
      </w:r>
      <w:r w:rsidR="009C2EF9" w:rsidRPr="0061142D">
        <w:rPr>
          <w:rFonts w:hAnsi="宋体"/>
          <w:color w:val="000000"/>
          <w:sz w:val="28"/>
        </w:rPr>
        <w:t>精确到</w:t>
      </w:r>
      <w:r w:rsidR="009C2EF9" w:rsidRPr="0061142D">
        <w:rPr>
          <w:color w:val="000000"/>
          <w:sz w:val="28"/>
        </w:rPr>
        <w:t>0.00</w:t>
      </w:r>
      <w:r w:rsidR="00012422">
        <w:rPr>
          <w:color w:val="000000"/>
          <w:sz w:val="28"/>
        </w:rPr>
        <w:t>0</w:t>
      </w:r>
      <w:r w:rsidR="009C2EF9" w:rsidRPr="0061142D">
        <w:rPr>
          <w:color w:val="000000"/>
          <w:sz w:val="28"/>
        </w:rPr>
        <w:t>1</w:t>
      </w:r>
      <w:r w:rsidR="009C2EF9" w:rsidRPr="0061142D">
        <w:rPr>
          <w:rFonts w:hAnsi="宋体"/>
          <w:color w:val="000000"/>
          <w:sz w:val="28"/>
        </w:rPr>
        <w:t>元，小数点后第</w:t>
      </w:r>
      <w:r w:rsidR="00012422">
        <w:rPr>
          <w:rFonts w:hAnsi="宋体" w:hint="eastAsia"/>
          <w:color w:val="000000"/>
          <w:sz w:val="28"/>
        </w:rPr>
        <w:t>五</w:t>
      </w:r>
      <w:r w:rsidR="009C2EF9" w:rsidRPr="0061142D">
        <w:rPr>
          <w:rFonts w:hAnsi="宋体"/>
          <w:color w:val="000000"/>
          <w:sz w:val="28"/>
        </w:rPr>
        <w:t>位四舍五入，由此产生的误差计入基金财产。</w:t>
      </w:r>
      <w:r w:rsidR="00F11226" w:rsidRPr="00F11226">
        <w:rPr>
          <w:rFonts w:hAnsi="宋体" w:hint="eastAsia"/>
          <w:bCs/>
          <w:color w:val="000000"/>
          <w:sz w:val="28"/>
        </w:rPr>
        <w:t>基金管理人可以设立大额赎回情形下的净值精度应急调整机制，具体可参见相关公告。</w:t>
      </w:r>
      <w:r w:rsidR="009C2EF9" w:rsidRPr="0061142D">
        <w:rPr>
          <w:rFonts w:hAnsi="宋体"/>
          <w:color w:val="000000"/>
          <w:sz w:val="28"/>
        </w:rPr>
        <w:t>国家另有规定的，从其规定。</w:t>
      </w:r>
    </w:p>
    <w:p w14:paraId="4A9693DE" w14:textId="757F991C" w:rsidR="009C2EF9" w:rsidRPr="0061142D" w:rsidRDefault="00F11226" w:rsidP="00EE5132">
      <w:pPr>
        <w:adjustRightInd w:val="0"/>
        <w:snapToGrid w:val="0"/>
        <w:spacing w:line="360" w:lineRule="auto"/>
        <w:ind w:firstLineChars="200" w:firstLine="560"/>
        <w:rPr>
          <w:color w:val="000000"/>
          <w:sz w:val="28"/>
        </w:rPr>
      </w:pPr>
      <w:r w:rsidRPr="00F11226">
        <w:rPr>
          <w:rFonts w:hAnsi="宋体" w:hint="eastAsia"/>
          <w:bCs/>
          <w:color w:val="000000"/>
          <w:sz w:val="28"/>
        </w:rPr>
        <w:t>基金管理人于</w:t>
      </w:r>
      <w:r w:rsidR="009C2EF9" w:rsidRPr="0061142D">
        <w:rPr>
          <w:rFonts w:hAnsi="宋体"/>
          <w:color w:val="000000"/>
          <w:sz w:val="28"/>
        </w:rPr>
        <w:t>每工作日计算</w:t>
      </w:r>
      <w:r w:rsidR="00F50240" w:rsidRPr="00724583">
        <w:rPr>
          <w:rFonts w:ascii="宋体" w:hAnsi="宋体" w:hint="eastAsia"/>
          <w:sz w:val="28"/>
        </w:rPr>
        <w:t>各类基金份额的</w:t>
      </w:r>
      <w:r w:rsidR="009C2EF9" w:rsidRPr="0061142D">
        <w:rPr>
          <w:rFonts w:hAnsi="宋体"/>
          <w:color w:val="000000"/>
          <w:sz w:val="28"/>
        </w:rPr>
        <w:t>基金资产净值及基金份额净值，并按规定公告。</w:t>
      </w:r>
      <w:r w:rsidRPr="00F11226">
        <w:rPr>
          <w:rFonts w:hAnsi="宋体" w:hint="eastAsia"/>
          <w:bCs/>
          <w:color w:val="000000"/>
          <w:sz w:val="28"/>
        </w:rPr>
        <w:t>如遇特殊情况，经履行适当程序，可以适当延迟计算或公告。</w:t>
      </w:r>
    </w:p>
    <w:p w14:paraId="0DB38172"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、复核程序</w:t>
      </w:r>
    </w:p>
    <w:p w14:paraId="3A79A511" w14:textId="6C0E759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基金管理人每工作日对基金资产进行估值后，将</w:t>
      </w:r>
      <w:r w:rsidR="00DA5641" w:rsidRPr="00E10200">
        <w:rPr>
          <w:rFonts w:ascii="宋体" w:hAnsi="宋体" w:hint="eastAsia"/>
          <w:sz w:val="28"/>
        </w:rPr>
        <w:t>各类</w:t>
      </w:r>
      <w:r w:rsidRPr="0061142D">
        <w:rPr>
          <w:rFonts w:hAnsi="宋体"/>
          <w:color w:val="000000"/>
          <w:sz w:val="28"/>
        </w:rPr>
        <w:t>基金份额净值结果发送基金托管人，经基金托管人复核无误后，由基金管理人依据基金合同和相关法律法规的规定对外公布。月末、年中和年末估值复核与基金会计账目的核对同时进行。</w:t>
      </w:r>
    </w:p>
    <w:p w14:paraId="67BE4EE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（二）基金资产估值方法和特殊情形的处理</w:t>
      </w:r>
    </w:p>
    <w:p w14:paraId="0AE6941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、估值对象</w:t>
      </w:r>
    </w:p>
    <w:p w14:paraId="4ACC26D3" w14:textId="0B901802"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基金所拥有的股票、债券</w:t>
      </w:r>
      <w:r w:rsidR="001103F1" w:rsidRPr="001103F1">
        <w:rPr>
          <w:rFonts w:hAnsi="宋体" w:hint="eastAsia"/>
          <w:sz w:val="28"/>
        </w:rPr>
        <w:t>、资产支持证券、衍生工具和其他投资等持续以公允价值计量的金融资产及负债。</w:t>
      </w:r>
    </w:p>
    <w:p w14:paraId="14FA38C8"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、估值方法</w:t>
      </w:r>
    </w:p>
    <w:p w14:paraId="5E61191C" w14:textId="77777777" w:rsidR="009C2EF9" w:rsidRPr="0061142D" w:rsidRDefault="009C2EF9" w:rsidP="00EE5132">
      <w:pPr>
        <w:pStyle w:val="1"/>
        <w:tabs>
          <w:tab w:val="left" w:pos="1620"/>
        </w:tabs>
        <w:spacing w:line="360" w:lineRule="auto"/>
        <w:ind w:firstLine="560"/>
        <w:rPr>
          <w:rFonts w:ascii="Times New Roman" w:eastAsia="宋体" w:hAnsi="Times New Roman"/>
          <w:color w:val="auto"/>
          <w:sz w:val="28"/>
        </w:rPr>
      </w:pPr>
      <w:r w:rsidRPr="0061142D">
        <w:rPr>
          <w:rFonts w:ascii="Times New Roman" w:eastAsia="宋体"/>
          <w:color w:val="auto"/>
          <w:sz w:val="28"/>
        </w:rPr>
        <w:t>（</w:t>
      </w:r>
      <w:r w:rsidRPr="0061142D">
        <w:rPr>
          <w:rFonts w:ascii="Times New Roman" w:eastAsia="宋体" w:hAnsi="Times New Roman"/>
          <w:color w:val="auto"/>
          <w:sz w:val="28"/>
        </w:rPr>
        <w:t>1</w:t>
      </w:r>
      <w:r w:rsidRPr="0061142D">
        <w:rPr>
          <w:rFonts w:ascii="Times New Roman" w:eastAsia="宋体"/>
          <w:color w:val="auto"/>
          <w:sz w:val="28"/>
        </w:rPr>
        <w:t>）证券交易所上市的有价证券的估值</w:t>
      </w:r>
    </w:p>
    <w:p w14:paraId="4E0D39D0" w14:textId="31F5CC49"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sz w:val="28"/>
        </w:rPr>
        <w:t>1</w:t>
      </w:r>
      <w:r w:rsidRPr="0061142D">
        <w:rPr>
          <w:rFonts w:ascii="Times New Roman" w:eastAsia="宋体"/>
          <w:sz w:val="28"/>
        </w:rPr>
        <w:t>）交易所上市的有价证券，以其估值日在证券交易所挂牌的市</w:t>
      </w:r>
      <w:r w:rsidRPr="0061142D">
        <w:rPr>
          <w:rFonts w:ascii="Times New Roman" w:eastAsia="宋体"/>
          <w:sz w:val="28"/>
        </w:rPr>
        <w:lastRenderedPageBreak/>
        <w:t>价（收盘价）估值；估值日无交易的，且最近交易日后经济环境未发生重大变化</w:t>
      </w:r>
      <w:r w:rsidR="00033E31" w:rsidRPr="0061142D">
        <w:rPr>
          <w:rFonts w:ascii="Times New Roman" w:eastAsia="宋体"/>
          <w:sz w:val="28"/>
        </w:rPr>
        <w:t>或证券发行机构未发生影响证券价格的重大事件的</w:t>
      </w:r>
      <w:r w:rsidRPr="0061142D">
        <w:rPr>
          <w:rFonts w:ascii="Times New Roman" w:eastAsia="宋体"/>
          <w:sz w:val="28"/>
        </w:rPr>
        <w:t>，以最近交易日的市价（收盘价）估值；如最近交易日后经济环境发生了重大变化</w:t>
      </w:r>
      <w:r w:rsidR="00033E31" w:rsidRPr="0061142D">
        <w:rPr>
          <w:rFonts w:ascii="Times New Roman" w:eastAsia="宋体"/>
          <w:sz w:val="28"/>
        </w:rPr>
        <w:t>或证券发行机构发生影响证券价格的重大事件</w:t>
      </w:r>
      <w:r w:rsidRPr="0061142D">
        <w:rPr>
          <w:rFonts w:ascii="Times New Roman" w:eastAsia="宋体"/>
          <w:sz w:val="28"/>
        </w:rPr>
        <w:t>的，可参考类似投资品种的现行市价及重大变化因素，调整最近交易市价，确定公允价格；</w:t>
      </w:r>
    </w:p>
    <w:p w14:paraId="6C6FB6F4" w14:textId="5D436C66"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color w:val="auto"/>
          <w:sz w:val="28"/>
        </w:rPr>
        <w:t>2</w:t>
      </w:r>
      <w:r w:rsidRPr="0061142D">
        <w:rPr>
          <w:rFonts w:ascii="Times New Roman" w:eastAsia="宋体"/>
          <w:color w:val="auto"/>
          <w:sz w:val="28"/>
        </w:rPr>
        <w:t>）</w:t>
      </w:r>
      <w:r w:rsidR="009A4FCC" w:rsidRPr="009A4FCC">
        <w:rPr>
          <w:rFonts w:ascii="Times New Roman" w:eastAsia="宋体" w:hint="eastAsia"/>
          <w:color w:val="auto"/>
          <w:sz w:val="28"/>
        </w:rPr>
        <w:t>交易所上市交易或挂牌转让的固定收益品种（另有规定的除外），选取估值日第三方估值机构提供的相应品种当日的估值净价进行估值；</w:t>
      </w:r>
    </w:p>
    <w:p w14:paraId="6AF6BEAB" w14:textId="77777777" w:rsidR="009A4FCC" w:rsidRDefault="009C2EF9" w:rsidP="009A4FCC">
      <w:pPr>
        <w:adjustRightInd w:val="0"/>
        <w:snapToGrid w:val="0"/>
        <w:spacing w:line="360" w:lineRule="auto"/>
        <w:ind w:firstLineChars="200" w:firstLine="560"/>
        <w:rPr>
          <w:rFonts w:hAnsi="宋体"/>
          <w:sz w:val="28"/>
        </w:rPr>
      </w:pPr>
      <w:r w:rsidRPr="0061142D">
        <w:rPr>
          <w:sz w:val="28"/>
        </w:rPr>
        <w:t>3</w:t>
      </w:r>
      <w:r w:rsidRPr="0061142D">
        <w:rPr>
          <w:rFonts w:hAnsi="宋体"/>
          <w:sz w:val="28"/>
        </w:rPr>
        <w:t>）</w:t>
      </w:r>
      <w:r w:rsidR="009A4FCC" w:rsidRPr="009A4FCC">
        <w:rPr>
          <w:rFonts w:hAnsi="宋体" w:hint="eastAsia"/>
          <w:sz w:val="28"/>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7B753F11" w14:textId="77777777" w:rsidR="009A4FCC" w:rsidRDefault="009C2EF9" w:rsidP="009A4FCC">
      <w:pPr>
        <w:adjustRightInd w:val="0"/>
        <w:snapToGrid w:val="0"/>
        <w:spacing w:line="360" w:lineRule="auto"/>
        <w:ind w:firstLineChars="200" w:firstLine="560"/>
        <w:rPr>
          <w:rFonts w:hAnsi="宋体"/>
          <w:sz w:val="28"/>
        </w:rPr>
      </w:pPr>
      <w:r w:rsidRPr="0061142D">
        <w:rPr>
          <w:sz w:val="28"/>
        </w:rPr>
        <w:t>4</w:t>
      </w:r>
      <w:r w:rsidRPr="0061142D">
        <w:rPr>
          <w:sz w:val="28"/>
        </w:rPr>
        <w:t>）</w:t>
      </w:r>
      <w:r w:rsidR="009A4FCC" w:rsidRPr="009A4FCC">
        <w:rPr>
          <w:rFonts w:hAnsi="宋体" w:hint="eastAsia"/>
          <w:sz w:val="28"/>
        </w:rPr>
        <w:t>交易所上市实行全价交易的债券（可转债除外），选取第三方估值机构提供的估值全价减去估值全价中所含的债券（税后）应收利息得到的净价进行估值；</w:t>
      </w:r>
    </w:p>
    <w:p w14:paraId="2107DBDB" w14:textId="77777777" w:rsidR="009A4FCC" w:rsidRPr="009A4FCC" w:rsidRDefault="009A4FCC" w:rsidP="009A4FCC">
      <w:pPr>
        <w:adjustRightInd w:val="0"/>
        <w:snapToGrid w:val="0"/>
        <w:spacing w:line="360" w:lineRule="auto"/>
        <w:ind w:firstLineChars="200" w:firstLine="560"/>
        <w:rPr>
          <w:rFonts w:hAnsi="宋体"/>
          <w:sz w:val="28"/>
        </w:rPr>
      </w:pPr>
      <w:r w:rsidRPr="009A4FCC">
        <w:rPr>
          <w:rFonts w:hAnsi="宋体" w:hint="eastAsia"/>
          <w:sz w:val="28"/>
        </w:rPr>
        <w:t>5</w:t>
      </w:r>
      <w:r w:rsidRPr="009A4FCC">
        <w:rPr>
          <w:rFonts w:hAnsi="宋体" w:hint="eastAsia"/>
          <w:sz w:val="28"/>
        </w:rPr>
        <w:t>）交易所上市不存在活跃市场的有价证券，采用估值技术确定公允价值。交易所市场挂牌转让的资产支持证券，采用估值技术确定公允价值；</w:t>
      </w:r>
    </w:p>
    <w:p w14:paraId="3B5DEBC6" w14:textId="2F3C4E97" w:rsidR="009C2EF9" w:rsidRPr="0061142D" w:rsidRDefault="009A4FCC" w:rsidP="009A4FCC">
      <w:pPr>
        <w:adjustRightInd w:val="0"/>
        <w:snapToGrid w:val="0"/>
        <w:spacing w:line="360" w:lineRule="auto"/>
        <w:ind w:firstLineChars="200" w:firstLine="560"/>
        <w:rPr>
          <w:sz w:val="28"/>
        </w:rPr>
      </w:pPr>
      <w:r w:rsidRPr="009A4FCC">
        <w:rPr>
          <w:rFonts w:hAnsi="宋体" w:hint="eastAsia"/>
          <w:sz w:val="28"/>
        </w:rPr>
        <w:t>6</w:t>
      </w:r>
      <w:r w:rsidRPr="009A4FCC">
        <w:rPr>
          <w:rFonts w:hAnsi="宋体" w:hint="eastAsia"/>
          <w:sz w:val="28"/>
        </w:rPr>
        <w:t>）对在交易所市场发行未上市或未挂牌转让的债券，对存在活跃市场的情况下，应以活跃市场上未经调整的报价作为估值日的公允价值；对于活跃市场报价未能代表估值日公允价值的情况下，应对市</w:t>
      </w:r>
      <w:r w:rsidRPr="009A4FCC">
        <w:rPr>
          <w:rFonts w:hAnsi="宋体" w:hint="eastAsia"/>
          <w:sz w:val="28"/>
        </w:rPr>
        <w:lastRenderedPageBreak/>
        <w:t>场报价进行调整以确认估值日的公允价值；对于不存在市场活动或市场活动很少的情况下，应采用估值技术确定其公允价值。</w:t>
      </w:r>
    </w:p>
    <w:p w14:paraId="1D2AEE49" w14:textId="77777777" w:rsidR="009C2EF9" w:rsidRPr="0061142D" w:rsidRDefault="009C2EF9" w:rsidP="00EE5132">
      <w:pPr>
        <w:pStyle w:val="1"/>
        <w:spacing w:line="360" w:lineRule="auto"/>
        <w:ind w:firstLine="560"/>
        <w:rPr>
          <w:rFonts w:ascii="Times New Roman" w:eastAsia="宋体" w:hAnsi="Times New Roman"/>
          <w:color w:val="auto"/>
          <w:sz w:val="28"/>
        </w:rPr>
      </w:pPr>
      <w:r w:rsidRPr="0061142D">
        <w:rPr>
          <w:rStyle w:val="read"/>
          <w:rFonts w:ascii="Times New Roman" w:eastAsia="宋体"/>
          <w:color w:val="auto"/>
          <w:sz w:val="28"/>
        </w:rPr>
        <w:t>（</w:t>
      </w:r>
      <w:r w:rsidRPr="0061142D">
        <w:rPr>
          <w:rStyle w:val="read"/>
          <w:rFonts w:ascii="Times New Roman" w:eastAsia="宋体" w:hAnsi="Times New Roman"/>
          <w:color w:val="auto"/>
          <w:sz w:val="28"/>
        </w:rPr>
        <w:t>2</w:t>
      </w:r>
      <w:r w:rsidRPr="0061142D">
        <w:rPr>
          <w:rStyle w:val="read"/>
          <w:rFonts w:ascii="Times New Roman" w:eastAsia="宋体"/>
          <w:color w:val="auto"/>
          <w:sz w:val="28"/>
        </w:rPr>
        <w:t>）处于未上市期间的有价证券应区分如下情况处理：</w:t>
      </w:r>
    </w:p>
    <w:p w14:paraId="13043AD1" w14:textId="3C124B0E" w:rsidR="009C2EF9" w:rsidRPr="00D20E5A" w:rsidRDefault="009C2EF9" w:rsidP="00EE5132">
      <w:pPr>
        <w:tabs>
          <w:tab w:val="left" w:pos="2340"/>
        </w:tabs>
        <w:adjustRightInd w:val="0"/>
        <w:snapToGrid w:val="0"/>
        <w:spacing w:line="360" w:lineRule="auto"/>
        <w:ind w:firstLineChars="200" w:firstLine="560"/>
        <w:rPr>
          <w:sz w:val="28"/>
        </w:rPr>
      </w:pPr>
      <w:r w:rsidRPr="0061142D">
        <w:rPr>
          <w:rStyle w:val="read"/>
          <w:sz w:val="28"/>
        </w:rPr>
        <w:t>1</w:t>
      </w:r>
      <w:r w:rsidRPr="0061142D">
        <w:rPr>
          <w:rStyle w:val="read"/>
          <w:rFonts w:hAnsi="宋体"/>
          <w:sz w:val="28"/>
        </w:rPr>
        <w:t>）</w:t>
      </w:r>
      <w:r w:rsidRPr="0061142D">
        <w:rPr>
          <w:rFonts w:hAnsi="宋体"/>
          <w:sz w:val="28"/>
        </w:rPr>
        <w:t>送股、转增股、配股和公开增发的新股，按估值日在证券交易所挂牌的同一股票的估值方法估值；</w:t>
      </w:r>
      <w:r w:rsidR="00D20E5A" w:rsidRPr="00D20E5A">
        <w:rPr>
          <w:rFonts w:hAnsi="宋体" w:hint="eastAsia"/>
          <w:sz w:val="28"/>
        </w:rPr>
        <w:t>该日无交易的，以最近一日的市价（收盘价）估值；</w:t>
      </w:r>
    </w:p>
    <w:p w14:paraId="245124AA" w14:textId="07A05F27" w:rsidR="009C2EF9" w:rsidRPr="0061142D" w:rsidRDefault="009C2EF9" w:rsidP="00EE5132">
      <w:pPr>
        <w:adjustRightInd w:val="0"/>
        <w:snapToGrid w:val="0"/>
        <w:spacing w:line="360" w:lineRule="auto"/>
        <w:ind w:firstLineChars="200" w:firstLine="560"/>
        <w:rPr>
          <w:sz w:val="28"/>
        </w:rPr>
      </w:pPr>
      <w:r w:rsidRPr="0061142D">
        <w:rPr>
          <w:rStyle w:val="read"/>
          <w:sz w:val="28"/>
        </w:rPr>
        <w:t>2</w:t>
      </w:r>
      <w:r w:rsidRPr="0061142D">
        <w:rPr>
          <w:rStyle w:val="read"/>
          <w:rFonts w:hAnsi="宋体"/>
          <w:sz w:val="28"/>
        </w:rPr>
        <w:t>）</w:t>
      </w:r>
      <w:r w:rsidRPr="0061142D">
        <w:rPr>
          <w:rFonts w:hAnsi="宋体"/>
          <w:sz w:val="28"/>
        </w:rPr>
        <w:t>首次公开发行未上市的股票</w:t>
      </w:r>
      <w:r w:rsidR="004E6FEE">
        <w:rPr>
          <w:rFonts w:hAnsi="宋体" w:hint="eastAsia"/>
          <w:sz w:val="28"/>
        </w:rPr>
        <w:t>和</w:t>
      </w:r>
      <w:r w:rsidRPr="0061142D">
        <w:rPr>
          <w:rFonts w:hAnsi="宋体"/>
          <w:sz w:val="28"/>
        </w:rPr>
        <w:t>债券，采用估值技术确定公允价值，在估值技术难以可靠计量公允价值的情况下，按成本估值；</w:t>
      </w:r>
    </w:p>
    <w:p w14:paraId="57F86533" w14:textId="754CA4B7" w:rsidR="009C2EF9" w:rsidRPr="0061142D" w:rsidRDefault="009C2EF9" w:rsidP="00EE5132">
      <w:pPr>
        <w:adjustRightInd w:val="0"/>
        <w:snapToGrid w:val="0"/>
        <w:spacing w:line="360" w:lineRule="auto"/>
        <w:ind w:firstLineChars="200" w:firstLine="560"/>
        <w:rPr>
          <w:sz w:val="28"/>
        </w:rPr>
      </w:pPr>
      <w:r w:rsidRPr="0061142D">
        <w:rPr>
          <w:rStyle w:val="read"/>
          <w:sz w:val="28"/>
        </w:rPr>
        <w:t>3</w:t>
      </w:r>
      <w:r w:rsidRPr="0061142D">
        <w:rPr>
          <w:rStyle w:val="read"/>
          <w:rFonts w:hAnsi="宋体"/>
          <w:sz w:val="28"/>
        </w:rPr>
        <w:t>）</w:t>
      </w:r>
      <w:r w:rsidR="002161C4" w:rsidRPr="002161C4">
        <w:rPr>
          <w:rFonts w:hAnsi="宋体" w:hint="eastAsia"/>
          <w:sz w:val="28"/>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F2D4EA4" w14:textId="3B25431B" w:rsidR="002161C4" w:rsidRPr="002161C4" w:rsidRDefault="009C2EF9" w:rsidP="002161C4">
      <w:pPr>
        <w:widowControl/>
        <w:adjustRightInd w:val="0"/>
        <w:snapToGrid w:val="0"/>
        <w:spacing w:line="360" w:lineRule="auto"/>
        <w:ind w:firstLineChars="200" w:firstLine="560"/>
        <w:rPr>
          <w:rStyle w:val="read"/>
          <w:rFonts w:hAnsi="宋体"/>
          <w:sz w:val="28"/>
        </w:rPr>
      </w:pPr>
      <w:r w:rsidRPr="0061142D">
        <w:rPr>
          <w:rStyle w:val="read"/>
          <w:rFonts w:hAnsi="宋体"/>
          <w:sz w:val="28"/>
        </w:rPr>
        <w:t>（</w:t>
      </w:r>
      <w:r w:rsidRPr="0061142D">
        <w:rPr>
          <w:rStyle w:val="read"/>
          <w:sz w:val="28"/>
        </w:rPr>
        <w:t>3</w:t>
      </w:r>
      <w:r w:rsidRPr="0061142D">
        <w:rPr>
          <w:rStyle w:val="read"/>
          <w:rFonts w:hAnsi="宋体"/>
          <w:sz w:val="28"/>
        </w:rPr>
        <w:t>）</w:t>
      </w:r>
      <w:r w:rsidR="002161C4" w:rsidRPr="002161C4">
        <w:rPr>
          <w:rStyle w:val="read"/>
          <w:rFonts w:hAnsi="宋体" w:hint="eastAsia"/>
          <w:sz w:val="28"/>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F17E735" w14:textId="77777777" w:rsidR="00FB300C" w:rsidRPr="00FB300C" w:rsidRDefault="002161C4" w:rsidP="00FB300C">
      <w:pPr>
        <w:widowControl/>
        <w:adjustRightInd w:val="0"/>
        <w:snapToGrid w:val="0"/>
        <w:spacing w:line="360" w:lineRule="auto"/>
        <w:ind w:firstLineChars="200" w:firstLine="560"/>
        <w:rPr>
          <w:rStyle w:val="read"/>
          <w:rFonts w:hAnsi="宋体"/>
          <w:sz w:val="28"/>
        </w:rPr>
      </w:pPr>
      <w:r>
        <w:rPr>
          <w:rStyle w:val="read"/>
          <w:rFonts w:hAnsi="宋体" w:hint="eastAsia"/>
          <w:sz w:val="28"/>
        </w:rPr>
        <w:t>（</w:t>
      </w:r>
      <w:r>
        <w:rPr>
          <w:rStyle w:val="read"/>
          <w:rFonts w:hAnsi="宋体" w:hint="eastAsia"/>
          <w:sz w:val="28"/>
        </w:rPr>
        <w:t>4</w:t>
      </w:r>
      <w:r>
        <w:rPr>
          <w:rStyle w:val="read"/>
          <w:rFonts w:hAnsi="宋体" w:hint="eastAsia"/>
          <w:sz w:val="28"/>
        </w:rPr>
        <w:t>）</w:t>
      </w:r>
      <w:r w:rsidR="00FB300C" w:rsidRPr="00FB300C">
        <w:rPr>
          <w:rStyle w:val="read"/>
          <w:rFonts w:hAnsi="宋体" w:hint="eastAsia"/>
          <w:sz w:val="28"/>
        </w:rPr>
        <w:t>同一证券同时在两个或两个以上市场交易的，按证券所处的市场分别估值。</w:t>
      </w:r>
    </w:p>
    <w:p w14:paraId="682EE236" w14:textId="145835CF" w:rsidR="002161C4" w:rsidRPr="002161C4" w:rsidRDefault="00FB300C" w:rsidP="00FB300C">
      <w:pPr>
        <w:widowControl/>
        <w:adjustRightInd w:val="0"/>
        <w:snapToGrid w:val="0"/>
        <w:spacing w:line="360" w:lineRule="auto"/>
        <w:ind w:firstLineChars="200" w:firstLine="560"/>
        <w:rPr>
          <w:rStyle w:val="read"/>
          <w:rFonts w:hAnsi="宋体"/>
          <w:sz w:val="28"/>
        </w:rPr>
      </w:pPr>
      <w:r>
        <w:rPr>
          <w:rStyle w:val="read"/>
          <w:rFonts w:hAnsi="宋体" w:hint="eastAsia"/>
          <w:sz w:val="28"/>
        </w:rPr>
        <w:lastRenderedPageBreak/>
        <w:t>（</w:t>
      </w:r>
      <w:r>
        <w:rPr>
          <w:rStyle w:val="read"/>
          <w:rFonts w:hAnsi="宋体" w:hint="eastAsia"/>
          <w:sz w:val="28"/>
        </w:rPr>
        <w:t>5</w:t>
      </w:r>
      <w:r>
        <w:rPr>
          <w:rStyle w:val="read"/>
          <w:rFonts w:hAnsi="宋体" w:hint="eastAsia"/>
          <w:sz w:val="28"/>
        </w:rPr>
        <w:t>）</w:t>
      </w:r>
      <w:r w:rsidR="002161C4" w:rsidRPr="002161C4">
        <w:rPr>
          <w:rStyle w:val="read"/>
          <w:rFonts w:hAnsi="宋体" w:hint="eastAsia"/>
          <w:sz w:val="28"/>
        </w:rPr>
        <w:t>估值计算中涉及港币对人民币汇率的，将依据下列信息提供机构所提供的汇率为基准：当日中国人民银行或其授权机构当日公布的人民币与港币的中间价。</w:t>
      </w:r>
    </w:p>
    <w:p w14:paraId="69A91C63" w14:textId="1857F00D" w:rsidR="002161C4" w:rsidRPr="002161C4" w:rsidRDefault="002161C4" w:rsidP="002161C4">
      <w:pPr>
        <w:widowControl/>
        <w:adjustRightInd w:val="0"/>
        <w:snapToGrid w:val="0"/>
        <w:spacing w:line="360" w:lineRule="auto"/>
        <w:ind w:firstLineChars="200" w:firstLine="560"/>
        <w:rPr>
          <w:rStyle w:val="read"/>
          <w:rFonts w:hAnsi="宋体"/>
          <w:sz w:val="28"/>
        </w:rPr>
      </w:pPr>
      <w:r>
        <w:rPr>
          <w:rStyle w:val="read"/>
          <w:rFonts w:hAnsi="宋体" w:hint="eastAsia"/>
          <w:sz w:val="28"/>
        </w:rPr>
        <w:t>（</w:t>
      </w:r>
      <w:r w:rsidR="00FB300C">
        <w:rPr>
          <w:rStyle w:val="read"/>
          <w:rFonts w:hAnsi="宋体"/>
          <w:sz w:val="28"/>
        </w:rPr>
        <w:t>6</w:t>
      </w:r>
      <w:r>
        <w:rPr>
          <w:rStyle w:val="read"/>
          <w:rFonts w:hAnsi="宋体" w:hint="eastAsia"/>
          <w:sz w:val="28"/>
        </w:rPr>
        <w:t>）</w:t>
      </w:r>
      <w:r w:rsidRPr="002161C4">
        <w:rPr>
          <w:rStyle w:val="read"/>
          <w:rFonts w:hAnsi="宋体" w:hint="eastAsia"/>
          <w:sz w:val="28"/>
        </w:rPr>
        <w:t>对于因税收规定调整或其他原因导致产品实际交纳税金与估算的应交税金有差异的，产品将在相关税金调整日或实际支付日进行相应的会计处理。</w:t>
      </w:r>
    </w:p>
    <w:p w14:paraId="17B2FBF3" w14:textId="00A0E809" w:rsidR="002161C4" w:rsidRPr="002161C4" w:rsidRDefault="009C6FC8" w:rsidP="002161C4">
      <w:pPr>
        <w:widowControl/>
        <w:adjustRightInd w:val="0"/>
        <w:snapToGrid w:val="0"/>
        <w:spacing w:line="360" w:lineRule="auto"/>
        <w:ind w:firstLineChars="200" w:firstLine="560"/>
        <w:rPr>
          <w:rStyle w:val="read"/>
          <w:rFonts w:hAnsi="宋体"/>
          <w:sz w:val="28"/>
        </w:rPr>
      </w:pPr>
      <w:r>
        <w:rPr>
          <w:rStyle w:val="read"/>
          <w:rFonts w:hAnsi="宋体" w:hint="eastAsia"/>
          <w:sz w:val="28"/>
        </w:rPr>
        <w:t>（</w:t>
      </w:r>
      <w:r w:rsidR="00FB300C">
        <w:rPr>
          <w:rStyle w:val="read"/>
          <w:rFonts w:hAnsi="宋体"/>
          <w:sz w:val="28"/>
        </w:rPr>
        <w:t>7</w:t>
      </w:r>
      <w:r>
        <w:rPr>
          <w:rStyle w:val="read"/>
          <w:rFonts w:hAnsi="宋体" w:hint="eastAsia"/>
          <w:sz w:val="28"/>
        </w:rPr>
        <w:t>）</w:t>
      </w:r>
      <w:r w:rsidR="002161C4" w:rsidRPr="002161C4">
        <w:rPr>
          <w:rStyle w:val="read"/>
          <w:rFonts w:hAnsi="宋体" w:hint="eastAsia"/>
          <w:sz w:val="28"/>
        </w:rPr>
        <w:t>本基金投资存托凭证的估值核算依照境内上市交易的股票执行。</w:t>
      </w:r>
    </w:p>
    <w:p w14:paraId="275765AC" w14:textId="731BA27D" w:rsidR="009C2EF9" w:rsidRPr="0061142D" w:rsidRDefault="009C6FC8" w:rsidP="002161C4">
      <w:pPr>
        <w:widowControl/>
        <w:adjustRightInd w:val="0"/>
        <w:snapToGrid w:val="0"/>
        <w:spacing w:line="360" w:lineRule="auto"/>
        <w:ind w:firstLineChars="200" w:firstLine="560"/>
        <w:rPr>
          <w:sz w:val="28"/>
        </w:rPr>
      </w:pPr>
      <w:r>
        <w:rPr>
          <w:rStyle w:val="read"/>
          <w:rFonts w:hAnsi="宋体" w:hint="eastAsia"/>
          <w:sz w:val="28"/>
        </w:rPr>
        <w:t>（</w:t>
      </w:r>
      <w:r w:rsidR="00FB300C">
        <w:rPr>
          <w:rStyle w:val="read"/>
          <w:rFonts w:hAnsi="宋体"/>
          <w:sz w:val="28"/>
        </w:rPr>
        <w:t>8</w:t>
      </w:r>
      <w:r>
        <w:rPr>
          <w:rStyle w:val="read"/>
          <w:rFonts w:hAnsi="宋体" w:hint="eastAsia"/>
          <w:sz w:val="28"/>
        </w:rPr>
        <w:t>）</w:t>
      </w:r>
      <w:r w:rsidR="009C2EF9" w:rsidRPr="0061142D">
        <w:rPr>
          <w:rFonts w:hAnsi="宋体"/>
          <w:sz w:val="28"/>
        </w:rPr>
        <w:t>如有确凿证据表明按上述方法进行估值不能客观反映其公允价值的，基金管理人可根据具体情况与基金托管人商定后，按最能反映公允价值的价格估值。</w:t>
      </w:r>
    </w:p>
    <w:p w14:paraId="660BAA89" w14:textId="4E32B6F4" w:rsidR="00783664" w:rsidRPr="00783664" w:rsidRDefault="009C2EF9" w:rsidP="00783664">
      <w:pPr>
        <w:adjustRightInd w:val="0"/>
        <w:snapToGrid w:val="0"/>
        <w:spacing w:line="360" w:lineRule="auto"/>
        <w:ind w:firstLineChars="200" w:firstLine="560"/>
        <w:rPr>
          <w:rFonts w:hAnsi="宋体"/>
          <w:sz w:val="28"/>
        </w:rPr>
      </w:pPr>
      <w:r w:rsidRPr="0061142D">
        <w:rPr>
          <w:rFonts w:hAnsi="宋体"/>
          <w:sz w:val="28"/>
        </w:rPr>
        <w:t>（</w:t>
      </w:r>
      <w:r w:rsidR="00FB300C">
        <w:rPr>
          <w:sz w:val="28"/>
        </w:rPr>
        <w:t>9</w:t>
      </w:r>
      <w:r w:rsidRPr="0061142D">
        <w:rPr>
          <w:rFonts w:hAnsi="宋体"/>
          <w:sz w:val="28"/>
        </w:rPr>
        <w:t>）</w:t>
      </w:r>
      <w:r w:rsidR="00783664" w:rsidRPr="00783664">
        <w:rPr>
          <w:rFonts w:hAnsi="宋体" w:hint="eastAsia"/>
          <w:sz w:val="28"/>
        </w:rPr>
        <w:t>当发生大额申购或赎回情形时，基金管理人可以采用摆动定价机制，以确保基金估值的公平性。</w:t>
      </w:r>
    </w:p>
    <w:p w14:paraId="5EE44688" w14:textId="0AA19C7D" w:rsidR="009C2EF9" w:rsidRPr="0061142D" w:rsidRDefault="00783664" w:rsidP="00783664">
      <w:pPr>
        <w:adjustRightInd w:val="0"/>
        <w:snapToGrid w:val="0"/>
        <w:spacing w:line="360" w:lineRule="auto"/>
        <w:ind w:firstLineChars="200" w:firstLine="560"/>
        <w:rPr>
          <w:sz w:val="28"/>
        </w:rPr>
      </w:pPr>
      <w:r>
        <w:rPr>
          <w:rFonts w:hAnsi="宋体" w:hint="eastAsia"/>
          <w:sz w:val="28"/>
        </w:rPr>
        <w:t>（</w:t>
      </w:r>
      <w:r w:rsidR="00FB300C">
        <w:rPr>
          <w:rFonts w:hAnsi="宋体"/>
          <w:sz w:val="28"/>
        </w:rPr>
        <w:t>10</w:t>
      </w:r>
      <w:r>
        <w:rPr>
          <w:rFonts w:hAnsi="宋体" w:hint="eastAsia"/>
          <w:sz w:val="28"/>
        </w:rPr>
        <w:t>）</w:t>
      </w:r>
      <w:r w:rsidR="009C2EF9" w:rsidRPr="0061142D">
        <w:rPr>
          <w:rFonts w:hAnsi="宋体"/>
          <w:sz w:val="28"/>
        </w:rPr>
        <w:t>相关法律法规以及监管部门有强制规定的，从其规定。如有新增事项，按国家最新规定估值。</w:t>
      </w:r>
    </w:p>
    <w:p w14:paraId="7672C172" w14:textId="74FD25D3" w:rsidR="009C2EF9" w:rsidRPr="0061142D" w:rsidRDefault="009C2EF9" w:rsidP="00EE5132">
      <w:pPr>
        <w:widowControl/>
        <w:adjustRightInd w:val="0"/>
        <w:snapToGrid w:val="0"/>
        <w:spacing w:line="360" w:lineRule="auto"/>
        <w:ind w:firstLineChars="200" w:firstLine="560"/>
        <w:rPr>
          <w:rStyle w:val="read"/>
          <w:sz w:val="28"/>
        </w:rPr>
      </w:pPr>
      <w:r w:rsidRPr="0061142D">
        <w:rPr>
          <w:rStyle w:val="read"/>
          <w:rFonts w:hAnsi="宋体"/>
          <w:sz w:val="28"/>
        </w:rPr>
        <w:t>如基金管理人或基金托管人发现基金估值违反基金合同订明的估值方法、程序及相关法律法规的规定或者未能充分维护基金份额持有人利益时，应立即通知对方，共同查明原因，双方协商解决。</w:t>
      </w:r>
    </w:p>
    <w:p w14:paraId="2B741DCA" w14:textId="2EA0F542" w:rsidR="009C2EF9" w:rsidRPr="0061142D" w:rsidRDefault="009C2EF9" w:rsidP="00EE5132">
      <w:pPr>
        <w:widowControl/>
        <w:adjustRightInd w:val="0"/>
        <w:snapToGrid w:val="0"/>
        <w:spacing w:line="360" w:lineRule="auto"/>
        <w:ind w:firstLineChars="200" w:firstLine="560"/>
        <w:rPr>
          <w:sz w:val="28"/>
        </w:rPr>
      </w:pPr>
      <w:r w:rsidRPr="0061142D">
        <w:rPr>
          <w:rFonts w:hAnsi="宋体"/>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CB5A7E">
        <w:rPr>
          <w:rFonts w:hAnsi="宋体" w:hint="eastAsia"/>
          <w:sz w:val="28"/>
        </w:rPr>
        <w:t>信息</w:t>
      </w:r>
      <w:r w:rsidRPr="0061142D">
        <w:rPr>
          <w:rFonts w:hAnsi="宋体"/>
          <w:sz w:val="28"/>
        </w:rPr>
        <w:t>的计算结果对外予以公布。</w:t>
      </w:r>
    </w:p>
    <w:p w14:paraId="20A78D1A"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color w:val="000000"/>
          <w:sz w:val="28"/>
        </w:rPr>
        <w:t>3</w:t>
      </w:r>
      <w:r w:rsidRPr="0061142D">
        <w:rPr>
          <w:rStyle w:val="read"/>
          <w:rFonts w:hAnsi="宋体"/>
          <w:color w:val="000000"/>
          <w:sz w:val="28"/>
        </w:rPr>
        <w:t>、特殊情形的处理</w:t>
      </w:r>
    </w:p>
    <w:p w14:paraId="56DCD332" w14:textId="0ABED7A4"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）基金管理人、基金托管人按估值方法的第（</w:t>
      </w:r>
      <w:r w:rsidR="00FB300C">
        <w:rPr>
          <w:rStyle w:val="read"/>
          <w:color w:val="000000"/>
          <w:sz w:val="28"/>
        </w:rPr>
        <w:t>8</w:t>
      </w:r>
      <w:r w:rsidRPr="0061142D">
        <w:rPr>
          <w:rStyle w:val="read"/>
          <w:rFonts w:hAnsi="宋体"/>
          <w:color w:val="000000"/>
          <w:sz w:val="28"/>
        </w:rPr>
        <w:t>）项进行估值</w:t>
      </w:r>
      <w:r w:rsidRPr="0061142D">
        <w:rPr>
          <w:rStyle w:val="read"/>
          <w:rFonts w:hAnsi="宋体"/>
          <w:color w:val="000000"/>
          <w:sz w:val="28"/>
        </w:rPr>
        <w:lastRenderedPageBreak/>
        <w:t>时，所造成的误差不作为基金份额净值错误处理。</w:t>
      </w:r>
    </w:p>
    <w:p w14:paraId="709EFA34" w14:textId="3D68C40D"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2</w:t>
      </w:r>
      <w:r w:rsidRPr="0061142D">
        <w:rPr>
          <w:rStyle w:val="read"/>
          <w:rFonts w:hAnsi="宋体"/>
          <w:color w:val="000000"/>
          <w:sz w:val="28"/>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DF1A350"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（三）基金估值错误的处理方式</w:t>
      </w:r>
    </w:p>
    <w:p w14:paraId="5A1308CE" w14:textId="7591BE3D"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1</w:t>
      </w:r>
      <w:r w:rsidRPr="0061142D">
        <w:rPr>
          <w:rFonts w:hAnsi="宋体"/>
          <w:sz w:val="28"/>
        </w:rPr>
        <w:t>、</w:t>
      </w:r>
      <w:r w:rsidRPr="0061142D">
        <w:rPr>
          <w:rStyle w:val="read"/>
          <w:rFonts w:hAnsi="宋体"/>
          <w:color w:val="000000"/>
          <w:sz w:val="28"/>
        </w:rPr>
        <w:t>当基金份额净值小数点后</w:t>
      </w:r>
      <w:r w:rsidR="00012422">
        <w:rPr>
          <w:rStyle w:val="read"/>
          <w:color w:val="000000"/>
          <w:sz w:val="28"/>
        </w:rPr>
        <w:t>4</w:t>
      </w:r>
      <w:r w:rsidRPr="0061142D">
        <w:rPr>
          <w:rStyle w:val="read"/>
          <w:rFonts w:hAnsi="宋体"/>
          <w:color w:val="000000"/>
          <w:sz w:val="28"/>
        </w:rPr>
        <w:t>位以内</w:t>
      </w:r>
      <w:r w:rsidRPr="0061142D">
        <w:rPr>
          <w:rStyle w:val="read"/>
          <w:color w:val="000000"/>
          <w:sz w:val="28"/>
        </w:rPr>
        <w:t>(</w:t>
      </w:r>
      <w:r w:rsidRPr="0061142D">
        <w:rPr>
          <w:rStyle w:val="read"/>
          <w:rFonts w:hAnsi="宋体"/>
          <w:color w:val="000000"/>
          <w:sz w:val="28"/>
        </w:rPr>
        <w:t>含第</w:t>
      </w:r>
      <w:r w:rsidR="00012422">
        <w:rPr>
          <w:rStyle w:val="read"/>
          <w:color w:val="000000"/>
          <w:sz w:val="28"/>
        </w:rPr>
        <w:t>4</w:t>
      </w:r>
      <w:r w:rsidRPr="0061142D">
        <w:rPr>
          <w:rStyle w:val="read"/>
          <w:rFonts w:hAnsi="宋体"/>
          <w:color w:val="000000"/>
          <w:sz w:val="28"/>
        </w:rPr>
        <w:t>位</w:t>
      </w:r>
      <w:r w:rsidRPr="0061142D">
        <w:rPr>
          <w:rStyle w:val="read"/>
          <w:color w:val="000000"/>
          <w:sz w:val="28"/>
        </w:rPr>
        <w:t>)</w:t>
      </w:r>
      <w:r w:rsidRPr="0061142D">
        <w:rPr>
          <w:rStyle w:val="read"/>
          <w:rFonts w:hAnsi="宋体"/>
          <w:color w:val="000000"/>
          <w:sz w:val="28"/>
        </w:rPr>
        <w:t>发生估值错误时，视为基金份额净值错误；基金份额净值出现错误时，基金管理人应当立即予以纠正，通报基金托管人，并采取合理的措施防止损失进一步扩大；</w:t>
      </w:r>
      <w:r w:rsidRPr="0061142D">
        <w:rPr>
          <w:rFonts w:hAnsi="宋体"/>
          <w:kern w:val="0"/>
          <w:sz w:val="28"/>
        </w:rPr>
        <w:t>错误</w:t>
      </w:r>
      <w:r w:rsidRPr="0061142D">
        <w:rPr>
          <w:rStyle w:val="read"/>
          <w:rFonts w:hAnsi="宋体"/>
          <w:color w:val="000000"/>
          <w:sz w:val="28"/>
        </w:rPr>
        <w:t>偏差</w:t>
      </w:r>
      <w:r w:rsidRPr="0061142D">
        <w:rPr>
          <w:rFonts w:hAnsi="宋体"/>
          <w:kern w:val="0"/>
          <w:sz w:val="28"/>
        </w:rPr>
        <w:t>达到或超过基金份额净值的</w:t>
      </w:r>
      <w:r w:rsidRPr="0061142D">
        <w:rPr>
          <w:kern w:val="0"/>
          <w:sz w:val="28"/>
        </w:rPr>
        <w:t>0.25%</w:t>
      </w:r>
      <w:r w:rsidRPr="0061142D">
        <w:rPr>
          <w:rFonts w:hAnsi="宋体"/>
          <w:kern w:val="0"/>
          <w:sz w:val="28"/>
        </w:rPr>
        <w:t>时，基金管理人应当及时通知基金托管人并报中国证监会；错误偏差达到基金份额净值的</w:t>
      </w:r>
      <w:r w:rsidRPr="0061142D">
        <w:rPr>
          <w:kern w:val="0"/>
          <w:sz w:val="28"/>
        </w:rPr>
        <w:t>0.50%</w:t>
      </w:r>
      <w:r w:rsidRPr="0061142D">
        <w:rPr>
          <w:rFonts w:hAnsi="宋体"/>
          <w:kern w:val="0"/>
          <w:sz w:val="28"/>
        </w:rPr>
        <w:t>时，基</w:t>
      </w:r>
      <w:r w:rsidRPr="0061142D">
        <w:rPr>
          <w:rStyle w:val="read"/>
          <w:rFonts w:hAnsi="宋体"/>
          <w:color w:val="000000"/>
          <w:sz w:val="28"/>
        </w:rPr>
        <w:t>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2745B163"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2</w:t>
      </w:r>
      <w:r w:rsidRPr="0061142D">
        <w:rPr>
          <w:rFonts w:hAnsi="宋体"/>
          <w:sz w:val="28"/>
        </w:rPr>
        <w:t>、</w:t>
      </w:r>
      <w:r w:rsidRPr="0061142D">
        <w:rPr>
          <w:rStyle w:val="read"/>
          <w:rFonts w:hAnsi="宋体"/>
          <w:color w:val="000000"/>
          <w:sz w:val="28"/>
        </w:rPr>
        <w:t>当基金份额净值错误给基金和基金份额持有人造成损失需要进行赔偿时，基金管理人和基金托管人应根据实际情况界定双方承担的责任，经确认后按以下条款进行赔偿：</w:t>
      </w:r>
    </w:p>
    <w:p w14:paraId="37B2E1AE" w14:textId="77777777" w:rsidR="009C2EF9" w:rsidRPr="0061142D" w:rsidRDefault="009C2EF9" w:rsidP="00EE5132">
      <w:pPr>
        <w:adjustRightInd w:val="0"/>
        <w:snapToGrid w:val="0"/>
        <w:spacing w:line="360" w:lineRule="auto"/>
        <w:ind w:firstLineChars="200" w:firstLine="560"/>
        <w:rPr>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61142D">
        <w:rPr>
          <w:rFonts w:hAnsi="宋体"/>
          <w:color w:val="000000"/>
          <w:sz w:val="28"/>
        </w:rPr>
        <w:t>损失，由基金管理人负责赔付。</w:t>
      </w:r>
    </w:p>
    <w:p w14:paraId="6488AB52"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Fonts w:hAnsi="宋体"/>
          <w:color w:val="000000"/>
          <w:sz w:val="28"/>
        </w:rPr>
        <w:t>（</w:t>
      </w:r>
      <w:r w:rsidRPr="0061142D">
        <w:rPr>
          <w:color w:val="000000"/>
          <w:sz w:val="28"/>
        </w:rPr>
        <w:t>2</w:t>
      </w:r>
      <w:r w:rsidRPr="0061142D">
        <w:rPr>
          <w:rFonts w:hAnsi="宋体"/>
          <w:color w:val="000000"/>
          <w:sz w:val="28"/>
        </w:rPr>
        <w:t>）</w:t>
      </w:r>
      <w:r w:rsidRPr="0061142D">
        <w:rPr>
          <w:rFonts w:hAnsi="宋体"/>
          <w:color w:val="000000"/>
          <w:kern w:val="0"/>
          <w:sz w:val="28"/>
        </w:rPr>
        <w:t>若基金管理人计算的基金份额净值已由基金托管人复核确</w:t>
      </w:r>
      <w:r w:rsidRPr="0061142D">
        <w:rPr>
          <w:rFonts w:hAnsi="宋体"/>
          <w:color w:val="000000"/>
          <w:kern w:val="0"/>
          <w:sz w:val="28"/>
        </w:rPr>
        <w:lastRenderedPageBreak/>
        <w:t>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w:t>
      </w:r>
      <w:r w:rsidRPr="0061142D">
        <w:rPr>
          <w:rStyle w:val="read"/>
          <w:rFonts w:hAnsi="宋体"/>
          <w:color w:val="000000"/>
          <w:sz w:val="28"/>
        </w:rPr>
        <w:t>其中基金管理人承担</w:t>
      </w:r>
      <w:r w:rsidRPr="0061142D">
        <w:rPr>
          <w:rStyle w:val="read"/>
          <w:color w:val="000000"/>
          <w:sz w:val="28"/>
        </w:rPr>
        <w:t>50%</w:t>
      </w:r>
      <w:r w:rsidRPr="0061142D">
        <w:rPr>
          <w:rStyle w:val="read"/>
          <w:rFonts w:hAnsi="宋体"/>
          <w:color w:val="000000"/>
          <w:sz w:val="28"/>
        </w:rPr>
        <w:t>，基金托管人承担</w:t>
      </w:r>
      <w:r w:rsidRPr="0061142D">
        <w:rPr>
          <w:rStyle w:val="read"/>
          <w:color w:val="000000"/>
          <w:sz w:val="28"/>
        </w:rPr>
        <w:t>50%</w:t>
      </w:r>
      <w:r w:rsidRPr="0061142D">
        <w:rPr>
          <w:rStyle w:val="read"/>
          <w:rFonts w:hAnsi="宋体"/>
          <w:color w:val="000000"/>
          <w:sz w:val="28"/>
        </w:rPr>
        <w:t>。</w:t>
      </w:r>
    </w:p>
    <w:p w14:paraId="6A216432" w14:textId="77777777"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E0DB239" w14:textId="77777777" w:rsidR="00CA3024" w:rsidRPr="0061142D" w:rsidRDefault="009C2EF9" w:rsidP="00EE5132">
      <w:pPr>
        <w:adjustRightInd w:val="0"/>
        <w:snapToGrid w:val="0"/>
        <w:spacing w:line="360" w:lineRule="auto"/>
        <w:ind w:firstLineChars="200" w:firstLine="560"/>
        <w:rPr>
          <w:color w:val="000000"/>
          <w:kern w:val="0"/>
          <w:sz w:val="28"/>
        </w:rPr>
      </w:pPr>
      <w:r w:rsidRPr="0061142D">
        <w:rPr>
          <w:rFonts w:hAnsi="宋体"/>
          <w:color w:val="000000"/>
          <w:sz w:val="28"/>
        </w:rPr>
        <w:t>（</w:t>
      </w:r>
      <w:r w:rsidRPr="0061142D">
        <w:rPr>
          <w:color w:val="000000"/>
          <w:sz w:val="28"/>
        </w:rPr>
        <w:t>4</w:t>
      </w:r>
      <w:r w:rsidRPr="0061142D">
        <w:rPr>
          <w:rFonts w:hAnsi="宋体"/>
          <w:color w:val="000000"/>
          <w:sz w:val="28"/>
        </w:rPr>
        <w:t>）</w:t>
      </w:r>
      <w:r w:rsidRPr="0061142D">
        <w:rPr>
          <w:rFonts w:hAnsi="宋体"/>
          <w:color w:val="000000"/>
          <w:kern w:val="0"/>
          <w:sz w:val="28"/>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14:paraId="0E7B094E" w14:textId="77777777" w:rsidR="00CA3024"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基金管理人和基金托管人由于各自技术系统设置而产生的净值计算尾差，以基金管理人计算结果为准。</w:t>
      </w:r>
    </w:p>
    <w:p w14:paraId="2120AB96" w14:textId="77777777" w:rsidR="00CA3024"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、前述内容如法律法规或监管机关另有规定的，从其规定处理。如果行业有通行做法，双方当事人应本着平等和保护基金份额持有人利益的原则进行协商。</w:t>
      </w:r>
    </w:p>
    <w:p w14:paraId="7D636072"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（四）暂停估值与公告基金份额净值的情形</w:t>
      </w:r>
    </w:p>
    <w:p w14:paraId="6877F624"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、基金投资所涉及的证券交易市场遇法定节假日或因其他原因暂停交易时；</w:t>
      </w:r>
    </w:p>
    <w:p w14:paraId="5D2A9F50"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、因不可抗力或其他情形致使基金管理人、基金托管人无法准确评估基金资产价值时；</w:t>
      </w:r>
    </w:p>
    <w:p w14:paraId="472EB0E8" w14:textId="7702B527" w:rsidR="00280227" w:rsidRDefault="009C2EF9" w:rsidP="00EE5132">
      <w:pPr>
        <w:adjustRightInd w:val="0"/>
        <w:snapToGrid w:val="0"/>
        <w:spacing w:line="360" w:lineRule="auto"/>
        <w:ind w:firstLineChars="200" w:firstLine="560"/>
        <w:outlineLvl w:val="0"/>
        <w:rPr>
          <w:rFonts w:hAnsi="宋体"/>
          <w:bCs/>
          <w:color w:val="000000"/>
          <w:sz w:val="28"/>
        </w:rPr>
      </w:pPr>
      <w:r w:rsidRPr="0061142D">
        <w:rPr>
          <w:color w:val="000000"/>
          <w:sz w:val="28"/>
        </w:rPr>
        <w:t>3</w:t>
      </w:r>
      <w:r w:rsidRPr="0061142D">
        <w:rPr>
          <w:rFonts w:hAnsi="宋体"/>
          <w:color w:val="000000"/>
          <w:sz w:val="28"/>
        </w:rPr>
        <w:t>、</w:t>
      </w:r>
      <w:r w:rsidR="00D74313" w:rsidRPr="00D74313">
        <w:rPr>
          <w:rFonts w:hAnsi="宋体" w:hint="eastAsia"/>
          <w:bCs/>
          <w:color w:val="000000"/>
          <w:sz w:val="28"/>
        </w:rPr>
        <w:t>当特定资产占前一估值日基金资产净值</w:t>
      </w:r>
      <w:r w:rsidR="00D74313" w:rsidRPr="00D74313">
        <w:rPr>
          <w:rFonts w:hAnsi="宋体" w:hint="eastAsia"/>
          <w:bCs/>
          <w:color w:val="000000"/>
          <w:sz w:val="28"/>
        </w:rPr>
        <w:t>50%</w:t>
      </w:r>
      <w:r w:rsidR="00D74313" w:rsidRPr="00D74313">
        <w:rPr>
          <w:rFonts w:hAnsi="宋体" w:hint="eastAsia"/>
          <w:bCs/>
          <w:color w:val="000000"/>
          <w:sz w:val="28"/>
        </w:rPr>
        <w:t>以上的，经与基金托管人协商确认后，基金管理人应当暂停估值；</w:t>
      </w:r>
    </w:p>
    <w:p w14:paraId="65457CE3" w14:textId="31AFC2DD" w:rsidR="00351841" w:rsidRPr="0061142D" w:rsidRDefault="00280227" w:rsidP="00EE5132">
      <w:pPr>
        <w:adjustRightInd w:val="0"/>
        <w:snapToGrid w:val="0"/>
        <w:spacing w:line="360" w:lineRule="auto"/>
        <w:ind w:firstLineChars="200" w:firstLine="560"/>
        <w:outlineLvl w:val="0"/>
        <w:rPr>
          <w:color w:val="000000"/>
          <w:sz w:val="28"/>
        </w:rPr>
      </w:pPr>
      <w:r>
        <w:rPr>
          <w:rFonts w:hAnsi="宋体"/>
          <w:color w:val="000000"/>
          <w:sz w:val="28"/>
        </w:rPr>
        <w:lastRenderedPageBreak/>
        <w:t>4</w:t>
      </w:r>
      <w:r>
        <w:rPr>
          <w:rFonts w:hAnsi="宋体" w:hint="eastAsia"/>
          <w:color w:val="000000"/>
          <w:sz w:val="28"/>
        </w:rPr>
        <w:t>、</w:t>
      </w:r>
      <w:r w:rsidR="00963EB0" w:rsidRPr="00963EB0">
        <w:rPr>
          <w:rFonts w:hAnsi="宋体" w:hint="eastAsia"/>
          <w:color w:val="000000"/>
          <w:sz w:val="28"/>
        </w:rPr>
        <w:t>法律法规、</w:t>
      </w:r>
      <w:r w:rsidR="009C2EF9" w:rsidRPr="0061142D">
        <w:rPr>
          <w:rFonts w:hAnsi="宋体"/>
          <w:color w:val="000000"/>
          <w:sz w:val="28"/>
        </w:rPr>
        <w:t>中国证监会和基金合同认定的其他情形。</w:t>
      </w:r>
    </w:p>
    <w:p w14:paraId="35D4EAAE"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（五）基金会计制度</w:t>
      </w:r>
    </w:p>
    <w:p w14:paraId="443BE35C" w14:textId="77777777"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按国家有关部门规定的会计制度执行。</w:t>
      </w:r>
    </w:p>
    <w:p w14:paraId="488E2B92"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（六）基金账册的建立</w:t>
      </w:r>
    </w:p>
    <w:p w14:paraId="112A5024"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F512F3A"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（七）基金财务报表与报告的编制和复核</w:t>
      </w:r>
    </w:p>
    <w:p w14:paraId="088D75C0"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、财务报表的编制</w:t>
      </w:r>
    </w:p>
    <w:p w14:paraId="35EB0AA3" w14:textId="793ED53A" w:rsidR="003A0474" w:rsidRDefault="009C2EF9" w:rsidP="00EE5132">
      <w:pPr>
        <w:adjustRightInd w:val="0"/>
        <w:snapToGrid w:val="0"/>
        <w:spacing w:line="360" w:lineRule="auto"/>
        <w:ind w:firstLineChars="200" w:firstLine="560"/>
        <w:outlineLvl w:val="0"/>
        <w:rPr>
          <w:rFonts w:hAnsi="宋体"/>
          <w:color w:val="000000"/>
          <w:sz w:val="28"/>
        </w:rPr>
      </w:pPr>
      <w:r w:rsidRPr="0061142D">
        <w:rPr>
          <w:rFonts w:hAnsi="宋体"/>
          <w:color w:val="000000"/>
          <w:sz w:val="28"/>
        </w:rPr>
        <w:t>基金管理人应当及时编制并对外提供真实、完整的基金财务会计报告。月度报表的编制，基金管理人应于每月终了后</w:t>
      </w:r>
      <w:r w:rsidRPr="0061142D">
        <w:rPr>
          <w:color w:val="000000"/>
          <w:sz w:val="28"/>
        </w:rPr>
        <w:t>5</w:t>
      </w:r>
      <w:r w:rsidRPr="0061142D">
        <w:rPr>
          <w:rFonts w:hAnsi="宋体"/>
          <w:color w:val="000000"/>
          <w:sz w:val="28"/>
        </w:rPr>
        <w:t>个工作日内完成；季度报告应在季度结束之日起</w:t>
      </w:r>
      <w:r w:rsidRPr="0061142D">
        <w:rPr>
          <w:color w:val="000000"/>
          <w:sz w:val="28"/>
        </w:rPr>
        <w:t>15</w:t>
      </w:r>
      <w:r w:rsidRPr="0061142D">
        <w:rPr>
          <w:rFonts w:hAnsi="宋体"/>
          <w:color w:val="000000"/>
          <w:sz w:val="28"/>
        </w:rPr>
        <w:t>个工作日内编制完毕并予以公告；</w:t>
      </w:r>
      <w:r w:rsidR="0081446D">
        <w:rPr>
          <w:rFonts w:hAnsi="宋体" w:hint="eastAsia"/>
          <w:color w:val="000000"/>
          <w:sz w:val="28"/>
        </w:rPr>
        <w:t>中期</w:t>
      </w:r>
      <w:r w:rsidRPr="0061142D">
        <w:rPr>
          <w:rFonts w:hAnsi="宋体"/>
          <w:color w:val="000000"/>
          <w:sz w:val="28"/>
        </w:rPr>
        <w:t>报告在会计年度半年终了后</w:t>
      </w:r>
      <w:r w:rsidR="0081446D">
        <w:rPr>
          <w:rFonts w:hint="eastAsia"/>
          <w:color w:val="000000"/>
          <w:sz w:val="28"/>
        </w:rPr>
        <w:t>两个月</w:t>
      </w:r>
      <w:r w:rsidRPr="0061142D">
        <w:rPr>
          <w:rFonts w:hAnsi="宋体"/>
          <w:color w:val="000000"/>
          <w:sz w:val="28"/>
        </w:rPr>
        <w:t>内编制完毕并予以公告；年度报告在会计年度结束后</w:t>
      </w:r>
      <w:r w:rsidR="0081446D">
        <w:rPr>
          <w:rFonts w:hint="eastAsia"/>
          <w:color w:val="000000"/>
          <w:sz w:val="28"/>
        </w:rPr>
        <w:t>三个月</w:t>
      </w:r>
      <w:r w:rsidRPr="0061142D">
        <w:rPr>
          <w:rFonts w:hAnsi="宋体"/>
          <w:color w:val="000000"/>
          <w:sz w:val="28"/>
        </w:rPr>
        <w:t>内编制完毕并予以公告。</w:t>
      </w:r>
    </w:p>
    <w:p w14:paraId="4F926C78"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、报表复核</w:t>
      </w:r>
    </w:p>
    <w:p w14:paraId="3F580B24" w14:textId="7A871544"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基金管理人在月度报表完成当日，将报表盖章后提供给基金托管人复核；基金托管人在收到后应在</w:t>
      </w:r>
      <w:r w:rsidRPr="0061142D">
        <w:rPr>
          <w:color w:val="000000"/>
          <w:sz w:val="28"/>
        </w:rPr>
        <w:t>3</w:t>
      </w:r>
      <w:r w:rsidRPr="0061142D">
        <w:rPr>
          <w:rFonts w:hAnsi="宋体"/>
          <w:color w:val="000000"/>
          <w:sz w:val="28"/>
        </w:rPr>
        <w:t>日内进行复核，并将复核结果书面通知基金管理人。基金管理人在季度报告完成当日，将有关报告提供给基金托管人复核，基金托管人应在收到后</w:t>
      </w:r>
      <w:r w:rsidRPr="0061142D">
        <w:rPr>
          <w:color w:val="000000"/>
          <w:sz w:val="28"/>
        </w:rPr>
        <w:t>7</w:t>
      </w:r>
      <w:r w:rsidRPr="0061142D">
        <w:rPr>
          <w:rFonts w:hAnsi="宋体"/>
          <w:color w:val="000000"/>
          <w:sz w:val="28"/>
        </w:rPr>
        <w:t>个工作日内完成复核，并将复核结果书面通知基金管理人。基金管理人在</w:t>
      </w:r>
      <w:r w:rsidR="00A76AE1">
        <w:rPr>
          <w:rFonts w:hAnsi="宋体" w:hint="eastAsia"/>
          <w:color w:val="000000"/>
          <w:sz w:val="28"/>
        </w:rPr>
        <w:t>中期</w:t>
      </w:r>
      <w:r w:rsidRPr="0061142D">
        <w:rPr>
          <w:rFonts w:hAnsi="宋体"/>
          <w:color w:val="000000"/>
          <w:sz w:val="28"/>
        </w:rPr>
        <w:t>报告完成当日，将有关报告提供给基金托管人复核，基金托管人应在收到后</w:t>
      </w:r>
      <w:r w:rsidRPr="0061142D">
        <w:rPr>
          <w:color w:val="000000"/>
          <w:sz w:val="28"/>
        </w:rPr>
        <w:t>30</w:t>
      </w:r>
      <w:r w:rsidRPr="0061142D">
        <w:rPr>
          <w:rFonts w:hAnsi="宋体"/>
          <w:color w:val="000000"/>
          <w:sz w:val="28"/>
        </w:rPr>
        <w:t>日内完成复核，并将复核结果书面通知基金管理人。基金管理人在年度报</w:t>
      </w:r>
      <w:r w:rsidRPr="0061142D">
        <w:rPr>
          <w:rFonts w:hAnsi="宋体"/>
          <w:color w:val="000000"/>
          <w:sz w:val="28"/>
        </w:rPr>
        <w:lastRenderedPageBreak/>
        <w:t>告完成当日，将有关报告提供基金托管人复核，基金托管人应在收到后</w:t>
      </w:r>
      <w:r w:rsidRPr="0061142D">
        <w:rPr>
          <w:color w:val="000000"/>
          <w:sz w:val="28"/>
        </w:rPr>
        <w:t>45</w:t>
      </w:r>
      <w:r w:rsidRPr="0061142D">
        <w:rPr>
          <w:rFonts w:hAnsi="宋体"/>
          <w:color w:val="000000"/>
          <w:sz w:val="28"/>
        </w:rPr>
        <w:t>日内完成复核，并将复核结果书面通知基金管理人。基金管理人和基金托管人之间的上述文件往来均以加密传真的方式或双方商定的其他方式进行。</w:t>
      </w:r>
    </w:p>
    <w:p w14:paraId="2FB02BDC"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148F7137" w14:textId="77777777" w:rsidR="00EE5132" w:rsidRPr="0061142D" w:rsidRDefault="00EE5132" w:rsidP="00EE5132">
      <w:pPr>
        <w:adjustRightInd w:val="0"/>
        <w:snapToGrid w:val="0"/>
        <w:spacing w:line="360" w:lineRule="auto"/>
        <w:ind w:firstLineChars="200" w:firstLine="560"/>
        <w:outlineLvl w:val="0"/>
        <w:rPr>
          <w:color w:val="000000"/>
          <w:sz w:val="28"/>
        </w:rPr>
      </w:pPr>
    </w:p>
    <w:p w14:paraId="5DF6F9BC" w14:textId="77777777" w:rsidR="009C2EF9" w:rsidRPr="0061142D" w:rsidRDefault="009C2EF9">
      <w:pPr>
        <w:pStyle w:val="2"/>
        <w:spacing w:line="360" w:lineRule="auto"/>
        <w:jc w:val="center"/>
        <w:rPr>
          <w:rFonts w:ascii="Times New Roman" w:eastAsia="宋体" w:hAnsi="Times New Roman"/>
          <w:color w:val="000000"/>
          <w:sz w:val="28"/>
        </w:rPr>
      </w:pPr>
      <w:bookmarkStart w:id="89" w:name="_Toc145818943"/>
      <w:r w:rsidRPr="0061142D">
        <w:rPr>
          <w:rFonts w:ascii="Times New Roman" w:eastAsia="宋体" w:hAnsi="宋体"/>
          <w:color w:val="000000"/>
          <w:sz w:val="28"/>
        </w:rPr>
        <w:t>九、基金收益分配</w:t>
      </w:r>
      <w:bookmarkEnd w:id="89"/>
    </w:p>
    <w:p w14:paraId="66D7885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基金收益分配是指按规定将基金的可供分配利润按基金份额进行比例分配。</w:t>
      </w:r>
    </w:p>
    <w:p w14:paraId="7595A89F"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（一）基金收益分配的原则</w:t>
      </w:r>
    </w:p>
    <w:p w14:paraId="0972DF1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基金收益分配应遵循下列原则：</w:t>
      </w:r>
    </w:p>
    <w:p w14:paraId="7FE3FCC2" w14:textId="3008AE35" w:rsidR="009C2EF9" w:rsidRPr="00607D0A" w:rsidRDefault="009C2EF9" w:rsidP="00607D0A">
      <w:pPr>
        <w:adjustRightInd w:val="0"/>
        <w:snapToGrid w:val="0"/>
        <w:spacing w:line="360" w:lineRule="auto"/>
        <w:ind w:firstLineChars="200" w:firstLine="560"/>
        <w:rPr>
          <w:sz w:val="28"/>
        </w:rPr>
      </w:pPr>
      <w:r w:rsidRPr="00607D0A">
        <w:rPr>
          <w:sz w:val="28"/>
        </w:rPr>
        <w:t>1</w:t>
      </w:r>
      <w:r w:rsidR="00607D0A" w:rsidRPr="00607D0A">
        <w:rPr>
          <w:rFonts w:hint="eastAsia"/>
          <w:sz w:val="28"/>
        </w:rPr>
        <w:t>、</w:t>
      </w:r>
      <w:r w:rsidRPr="00607D0A">
        <w:rPr>
          <w:sz w:val="28"/>
        </w:rPr>
        <w:t>在符合有关基金分红条件的前提下，</w:t>
      </w:r>
      <w:r w:rsidR="00397F63" w:rsidRPr="00397F63">
        <w:rPr>
          <w:rFonts w:hint="eastAsia"/>
          <w:sz w:val="28"/>
        </w:rPr>
        <w:t>本</w:t>
      </w:r>
      <w:r w:rsidR="00397F63">
        <w:rPr>
          <w:rFonts w:hint="eastAsia"/>
          <w:sz w:val="28"/>
        </w:rPr>
        <w:t>基金管理人可以根据实际情况进行收益分配，具体分配方案以公告为准</w:t>
      </w:r>
      <w:r w:rsidRPr="00607D0A">
        <w:rPr>
          <w:sz w:val="28"/>
        </w:rPr>
        <w:t>；</w:t>
      </w:r>
    </w:p>
    <w:p w14:paraId="68649097" w14:textId="45546C95" w:rsidR="009C2EF9" w:rsidRPr="00607D0A" w:rsidRDefault="009C2EF9" w:rsidP="00607D0A">
      <w:pPr>
        <w:adjustRightInd w:val="0"/>
        <w:snapToGrid w:val="0"/>
        <w:spacing w:line="360" w:lineRule="auto"/>
        <w:ind w:firstLineChars="200" w:firstLine="560"/>
        <w:rPr>
          <w:sz w:val="28"/>
        </w:rPr>
      </w:pPr>
      <w:r w:rsidRPr="00607D0A">
        <w:rPr>
          <w:sz w:val="28"/>
        </w:rPr>
        <w:t>2</w:t>
      </w:r>
      <w:r w:rsidR="00607D0A" w:rsidRPr="00607D0A">
        <w:rPr>
          <w:rFonts w:hint="eastAsia"/>
          <w:sz w:val="28"/>
        </w:rPr>
        <w:t>、</w:t>
      </w:r>
      <w:r w:rsidRPr="00607D0A">
        <w:rPr>
          <w:sz w:val="28"/>
        </w:rPr>
        <w:t>基金收益分配方式分为现金分红与红利再投资，投资人可选择现金红利或将现金红利按除权日的单位净值自动转为</w:t>
      </w:r>
      <w:r w:rsidR="00DA5641" w:rsidRPr="00B63FB4">
        <w:rPr>
          <w:rFonts w:ascii="宋体" w:hAnsi="宋体" w:hint="eastAsia"/>
          <w:sz w:val="28"/>
        </w:rPr>
        <w:t>相应类别的</w:t>
      </w:r>
      <w:r w:rsidRPr="00607D0A">
        <w:rPr>
          <w:sz w:val="28"/>
        </w:rPr>
        <w:t>基金份额进行再投资；若投资人不选择，本基金默认的收益分配方式是现金分红；</w:t>
      </w:r>
      <w:r w:rsidR="00DA5641" w:rsidRPr="00DA5641">
        <w:rPr>
          <w:rFonts w:hint="eastAsia"/>
          <w:sz w:val="28"/>
        </w:rPr>
        <w:t>基金份额持有人可对其持有的</w:t>
      </w:r>
      <w:r w:rsidR="00DA5641" w:rsidRPr="00DA5641">
        <w:rPr>
          <w:rFonts w:hint="eastAsia"/>
          <w:sz w:val="28"/>
        </w:rPr>
        <w:t>A</w:t>
      </w:r>
      <w:r w:rsidR="00DA5641" w:rsidRPr="00DA5641">
        <w:rPr>
          <w:rFonts w:hint="eastAsia"/>
          <w:sz w:val="28"/>
        </w:rPr>
        <w:t>类基金份额和</w:t>
      </w:r>
      <w:r w:rsidR="00DA5641" w:rsidRPr="00DA5641">
        <w:rPr>
          <w:rFonts w:hint="eastAsia"/>
          <w:sz w:val="28"/>
        </w:rPr>
        <w:t>C</w:t>
      </w:r>
      <w:r w:rsidR="00DA5641" w:rsidRPr="00DA5641">
        <w:rPr>
          <w:rFonts w:hint="eastAsia"/>
          <w:sz w:val="28"/>
        </w:rPr>
        <w:t>类基</w:t>
      </w:r>
      <w:r w:rsidR="00DA5641" w:rsidRPr="00DA5641">
        <w:rPr>
          <w:rFonts w:hint="eastAsia"/>
          <w:sz w:val="28"/>
        </w:rPr>
        <w:lastRenderedPageBreak/>
        <w:t>金份额分别选择不同的收益分配方式；</w:t>
      </w:r>
    </w:p>
    <w:p w14:paraId="750BE345" w14:textId="00C2703E" w:rsidR="009C2EF9" w:rsidRPr="00607D0A" w:rsidRDefault="009C2EF9" w:rsidP="00607D0A">
      <w:pPr>
        <w:adjustRightInd w:val="0"/>
        <w:snapToGrid w:val="0"/>
        <w:spacing w:line="360" w:lineRule="auto"/>
        <w:ind w:firstLineChars="200" w:firstLine="560"/>
        <w:rPr>
          <w:sz w:val="28"/>
        </w:rPr>
      </w:pPr>
      <w:r w:rsidRPr="00607D0A">
        <w:rPr>
          <w:sz w:val="28"/>
        </w:rPr>
        <w:t>3</w:t>
      </w:r>
      <w:r w:rsidRPr="00607D0A">
        <w:rPr>
          <w:sz w:val="28"/>
        </w:rPr>
        <w:t>、基金收益分配后</w:t>
      </w:r>
      <w:r w:rsidR="00DA5641" w:rsidRPr="00DA5641">
        <w:rPr>
          <w:rFonts w:hint="eastAsia"/>
          <w:sz w:val="28"/>
        </w:rPr>
        <w:t>任一类</w:t>
      </w:r>
      <w:r w:rsidRPr="00607D0A">
        <w:rPr>
          <w:sz w:val="28"/>
        </w:rPr>
        <w:t>基金份额净值不能低于面值；即基金收益分配基准日的</w:t>
      </w:r>
      <w:r w:rsidR="00DA5641" w:rsidRPr="00DA5641">
        <w:rPr>
          <w:rFonts w:hint="eastAsia"/>
          <w:sz w:val="28"/>
        </w:rPr>
        <w:t>任一类</w:t>
      </w:r>
      <w:r w:rsidRPr="00607D0A">
        <w:rPr>
          <w:sz w:val="28"/>
        </w:rPr>
        <w:t>基金份额净值减去每单位</w:t>
      </w:r>
      <w:r w:rsidR="00DA5641">
        <w:rPr>
          <w:rFonts w:hint="eastAsia"/>
          <w:sz w:val="28"/>
        </w:rPr>
        <w:t>该类</w:t>
      </w:r>
      <w:r w:rsidRPr="00607D0A">
        <w:rPr>
          <w:sz w:val="28"/>
        </w:rPr>
        <w:t>基金份额收益分配金额后不能低于面值；</w:t>
      </w:r>
    </w:p>
    <w:p w14:paraId="641AB5EA" w14:textId="65681477" w:rsidR="009C2EF9" w:rsidRPr="00607D0A" w:rsidRDefault="009C2EF9" w:rsidP="00607D0A">
      <w:pPr>
        <w:adjustRightInd w:val="0"/>
        <w:snapToGrid w:val="0"/>
        <w:spacing w:line="360" w:lineRule="auto"/>
        <w:ind w:firstLineChars="200" w:firstLine="560"/>
        <w:rPr>
          <w:sz w:val="28"/>
        </w:rPr>
      </w:pPr>
      <w:r w:rsidRPr="00607D0A">
        <w:rPr>
          <w:sz w:val="28"/>
        </w:rPr>
        <w:t>4</w:t>
      </w:r>
      <w:r w:rsidRPr="00607D0A">
        <w:rPr>
          <w:sz w:val="28"/>
        </w:rPr>
        <w:t>、</w:t>
      </w:r>
      <w:r w:rsidR="00DA5641" w:rsidRPr="00DA5641">
        <w:rPr>
          <w:rFonts w:hint="eastAsia"/>
          <w:sz w:val="28"/>
        </w:rPr>
        <w:t>由于本基金</w:t>
      </w:r>
      <w:r w:rsidR="00DA5641" w:rsidRPr="00DA5641">
        <w:rPr>
          <w:rFonts w:hint="eastAsia"/>
          <w:sz w:val="28"/>
        </w:rPr>
        <w:t>A</w:t>
      </w:r>
      <w:r w:rsidR="00DA5641" w:rsidRPr="00DA5641">
        <w:rPr>
          <w:rFonts w:hint="eastAsia"/>
          <w:sz w:val="28"/>
        </w:rPr>
        <w:t>类基金份额不收取销售服务费，</w:t>
      </w:r>
      <w:r w:rsidR="00DA5641" w:rsidRPr="00DA5641">
        <w:rPr>
          <w:rFonts w:hint="eastAsia"/>
          <w:sz w:val="28"/>
        </w:rPr>
        <w:t>C</w:t>
      </w:r>
      <w:r w:rsidR="00DA5641" w:rsidRPr="00DA5641">
        <w:rPr>
          <w:rFonts w:hint="eastAsia"/>
          <w:sz w:val="28"/>
        </w:rPr>
        <w:t>类基金份额收取销售服务费，各基金份额类别对应的可供分配利润将有所不同；本基金同一基金份额类别的</w:t>
      </w:r>
      <w:r w:rsidRPr="00607D0A">
        <w:rPr>
          <w:sz w:val="28"/>
        </w:rPr>
        <w:t>每一基金份额享有同等的收益分配权；</w:t>
      </w:r>
    </w:p>
    <w:p w14:paraId="6FC1C8EB" w14:textId="77777777" w:rsidR="009C2EF9" w:rsidRPr="00607D0A" w:rsidRDefault="009C2EF9" w:rsidP="00607D0A">
      <w:pPr>
        <w:adjustRightInd w:val="0"/>
        <w:snapToGrid w:val="0"/>
        <w:spacing w:line="360" w:lineRule="auto"/>
        <w:ind w:firstLineChars="200" w:firstLine="560"/>
        <w:rPr>
          <w:sz w:val="28"/>
        </w:rPr>
      </w:pPr>
      <w:r w:rsidRPr="0061142D">
        <w:rPr>
          <w:sz w:val="28"/>
        </w:rPr>
        <w:t>5</w:t>
      </w:r>
      <w:r w:rsidRPr="00607D0A">
        <w:rPr>
          <w:sz w:val="28"/>
        </w:rPr>
        <w:t>、法律法规或监管机构另有规定的从其规定。</w:t>
      </w:r>
    </w:p>
    <w:p w14:paraId="7845C353" w14:textId="77777777" w:rsidR="009C2EF9" w:rsidRPr="00607D0A" w:rsidRDefault="009C2EF9" w:rsidP="00607D0A">
      <w:pPr>
        <w:adjustRightInd w:val="0"/>
        <w:snapToGrid w:val="0"/>
        <w:spacing w:line="360" w:lineRule="auto"/>
        <w:ind w:firstLineChars="200" w:firstLine="560"/>
        <w:rPr>
          <w:sz w:val="28"/>
        </w:rPr>
      </w:pPr>
      <w:r w:rsidRPr="00607D0A">
        <w:rPr>
          <w:sz w:val="28"/>
        </w:rPr>
        <w:t>（二）基金收益分配方案的确定、公告与实施</w:t>
      </w:r>
    </w:p>
    <w:p w14:paraId="27632CFB" w14:textId="3F27D585"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、本基金收益分配方案由基金管理人拟定、由基金托管人复核，</w:t>
      </w:r>
      <w:r w:rsidR="007E42AC" w:rsidRPr="007E42AC">
        <w:rPr>
          <w:rFonts w:hAnsi="宋体" w:hint="eastAsia"/>
          <w:sz w:val="28"/>
        </w:rPr>
        <w:t>依照《信息披露办法》的有关规定</w:t>
      </w:r>
      <w:r w:rsidRPr="0061142D">
        <w:rPr>
          <w:rFonts w:hAnsi="宋体"/>
          <w:sz w:val="28"/>
        </w:rPr>
        <w:t>在</w:t>
      </w:r>
      <w:r w:rsidR="007C0C85">
        <w:rPr>
          <w:rFonts w:hAnsi="宋体"/>
          <w:sz w:val="28"/>
        </w:rPr>
        <w:t>规定媒介</w:t>
      </w:r>
      <w:r w:rsidRPr="0061142D">
        <w:rPr>
          <w:rFonts w:hAnsi="宋体"/>
          <w:sz w:val="28"/>
        </w:rPr>
        <w:t>公告。</w:t>
      </w:r>
    </w:p>
    <w:p w14:paraId="1B9492E7" w14:textId="47F6244D" w:rsidR="00CA5FA1" w:rsidRDefault="009C2EF9" w:rsidP="00CA5FA1">
      <w:pPr>
        <w:spacing w:line="360" w:lineRule="auto"/>
        <w:ind w:firstLineChars="225" w:firstLine="630"/>
        <w:rPr>
          <w:bCs/>
          <w:sz w:val="24"/>
        </w:rPr>
      </w:pPr>
      <w:r w:rsidRPr="0061142D">
        <w:rPr>
          <w:sz w:val="28"/>
        </w:rPr>
        <w:t>2</w:t>
      </w:r>
      <w:r w:rsidRPr="0061142D">
        <w:rPr>
          <w:rFonts w:hAnsi="宋体"/>
          <w:sz w:val="28"/>
        </w:rPr>
        <w:t>、</w:t>
      </w:r>
      <w:r w:rsidR="00CA5FA1" w:rsidRPr="00BE7E78">
        <w:rPr>
          <w:rFonts w:hAnsi="宋体" w:hint="eastAsia"/>
          <w:sz w:val="28"/>
        </w:rPr>
        <w:t>法律法规或监管机关另有规定的，从其规定。</w:t>
      </w:r>
    </w:p>
    <w:p w14:paraId="718C08AD" w14:textId="77777777" w:rsidR="009C2EF9" w:rsidRPr="0061142D" w:rsidRDefault="009C2EF9" w:rsidP="00EE5132">
      <w:pPr>
        <w:adjustRightInd w:val="0"/>
        <w:snapToGrid w:val="0"/>
        <w:spacing w:line="360" w:lineRule="auto"/>
        <w:ind w:firstLineChars="200" w:firstLine="560"/>
        <w:rPr>
          <w:color w:val="000000"/>
          <w:sz w:val="28"/>
        </w:rPr>
      </w:pPr>
    </w:p>
    <w:p w14:paraId="2435DAE5" w14:textId="77777777" w:rsidR="009C2EF9" w:rsidRPr="0061142D" w:rsidRDefault="009C2EF9">
      <w:pPr>
        <w:pStyle w:val="2"/>
        <w:spacing w:line="360" w:lineRule="auto"/>
        <w:ind w:firstLineChars="946" w:firstLine="2659"/>
        <w:rPr>
          <w:rFonts w:ascii="Times New Roman" w:eastAsia="宋体" w:hAnsi="Times New Roman"/>
          <w:color w:val="000000"/>
          <w:sz w:val="28"/>
        </w:rPr>
      </w:pPr>
      <w:bookmarkStart w:id="90" w:name="_Toc145818944"/>
      <w:r w:rsidRPr="0061142D">
        <w:rPr>
          <w:rFonts w:ascii="Times New Roman" w:eastAsia="宋体" w:hAnsi="宋体"/>
          <w:color w:val="000000"/>
          <w:sz w:val="28"/>
        </w:rPr>
        <w:t>十、基金信息披露</w:t>
      </w:r>
      <w:bookmarkEnd w:id="90"/>
    </w:p>
    <w:p w14:paraId="411B5B62"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（一）保密义务</w:t>
      </w:r>
    </w:p>
    <w:p w14:paraId="518D906C" w14:textId="7093F069"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应按法律法规、基金合同的有关规定进行信息披露，拟公开披露的信息在公开披露之前应予保密。除按《基金法》、《信息披露办法》、基金合同、及其他有关规定进行信息披露外，基金管理人和基金托管人对基金运作中产生的信息以及从对方获得的业务信息应予保密。</w:t>
      </w:r>
    </w:p>
    <w:p w14:paraId="3EEA669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w:t>
      </w:r>
      <w:r w:rsidRPr="0061142D">
        <w:rPr>
          <w:rFonts w:hAnsi="宋体"/>
          <w:color w:val="000000"/>
          <w:sz w:val="28"/>
        </w:rPr>
        <w:lastRenderedPageBreak/>
        <w:t>理人或基金托管人违反保密义务：</w:t>
      </w:r>
    </w:p>
    <w:p w14:paraId="416D684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）非因基金管理人和基金托管人的原因导致保密信息被披露、泄露或公开；</w:t>
      </w:r>
    </w:p>
    <w:p w14:paraId="1D46F81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）基金管理人和基金托管人为遵守和服从法院判决或裁定、仲裁裁决或中国证监会等监管机构的命令、决定所做出的信息披露或公开。</w:t>
      </w:r>
    </w:p>
    <w:p w14:paraId="46A93578"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（二）信息披露的内容</w:t>
      </w:r>
    </w:p>
    <w:p w14:paraId="64751AA0" w14:textId="48DB6D8C" w:rsidR="009C2EF9" w:rsidRPr="00944201" w:rsidRDefault="009C2EF9" w:rsidP="004057B7">
      <w:pPr>
        <w:adjustRightInd w:val="0"/>
        <w:snapToGrid w:val="0"/>
        <w:spacing w:line="360" w:lineRule="auto"/>
        <w:ind w:firstLineChars="200" w:firstLine="560"/>
        <w:rPr>
          <w:rFonts w:hAnsi="宋体"/>
          <w:bCs/>
          <w:color w:val="000000"/>
          <w:sz w:val="28"/>
        </w:rPr>
      </w:pPr>
      <w:r w:rsidRPr="0061142D">
        <w:rPr>
          <w:rFonts w:hAnsi="宋体"/>
          <w:color w:val="000000"/>
          <w:sz w:val="28"/>
        </w:rPr>
        <w:t>基金的信息披露主要包括基金招募说明书、基金合同、托管协议、</w:t>
      </w:r>
      <w:r w:rsidR="004F2F71">
        <w:rPr>
          <w:rFonts w:hAnsi="宋体" w:hint="eastAsia"/>
          <w:color w:val="000000"/>
          <w:sz w:val="28"/>
        </w:rPr>
        <w:t>基金产品资料</w:t>
      </w:r>
      <w:r w:rsidR="004F2F71">
        <w:rPr>
          <w:rFonts w:hAnsi="宋体"/>
          <w:color w:val="000000"/>
          <w:sz w:val="28"/>
        </w:rPr>
        <w:t>概要、</w:t>
      </w:r>
      <w:r w:rsidRPr="0061142D">
        <w:rPr>
          <w:rFonts w:hAnsi="宋体"/>
          <w:color w:val="000000"/>
          <w:sz w:val="28"/>
        </w:rPr>
        <w:t>基金净值</w:t>
      </w:r>
      <w:r w:rsidR="004F2F71">
        <w:rPr>
          <w:rFonts w:hAnsi="宋体" w:hint="eastAsia"/>
          <w:color w:val="000000"/>
          <w:sz w:val="28"/>
        </w:rPr>
        <w:t>信息</w:t>
      </w:r>
      <w:r w:rsidRPr="0061142D">
        <w:rPr>
          <w:rFonts w:hAnsi="宋体"/>
          <w:color w:val="000000"/>
          <w:sz w:val="28"/>
        </w:rPr>
        <w:t>、基金份额申购赎回价格、基金定期报告（包括基金年度报告、基金</w:t>
      </w:r>
      <w:r w:rsidR="004F2F71">
        <w:rPr>
          <w:rFonts w:hAnsi="宋体" w:hint="eastAsia"/>
          <w:color w:val="000000"/>
          <w:sz w:val="28"/>
        </w:rPr>
        <w:t>中期</w:t>
      </w:r>
      <w:r w:rsidRPr="0061142D">
        <w:rPr>
          <w:rFonts w:hAnsi="宋体"/>
          <w:color w:val="000000"/>
          <w:sz w:val="28"/>
        </w:rPr>
        <w:t>报告和基金季度报告），以及临时报告、澄清公告、基金份额持有人大会决议、</w:t>
      </w:r>
      <w:r w:rsidR="004057B7">
        <w:rPr>
          <w:rFonts w:hAnsi="宋体"/>
          <w:color w:val="000000"/>
          <w:sz w:val="28"/>
        </w:rPr>
        <w:t>清算报告</w:t>
      </w:r>
      <w:r w:rsidR="004057B7">
        <w:rPr>
          <w:rFonts w:hAnsi="宋体" w:hint="eastAsia"/>
          <w:color w:val="000000"/>
          <w:sz w:val="28"/>
        </w:rPr>
        <w:t>、</w:t>
      </w:r>
      <w:r w:rsidR="00F12751">
        <w:rPr>
          <w:rFonts w:hAnsi="宋体" w:hint="eastAsia"/>
          <w:color w:val="000000"/>
          <w:sz w:val="28"/>
        </w:rPr>
        <w:t>基金投资资产支持</w:t>
      </w:r>
      <w:r w:rsidR="00F12751">
        <w:rPr>
          <w:rFonts w:hAnsi="宋体"/>
          <w:color w:val="000000"/>
          <w:sz w:val="28"/>
        </w:rPr>
        <w:t>证券情况</w:t>
      </w:r>
      <w:r w:rsidR="00D74313" w:rsidRPr="00D74313">
        <w:rPr>
          <w:rFonts w:hAnsi="宋体" w:hint="eastAsia"/>
          <w:color w:val="000000"/>
          <w:sz w:val="28"/>
        </w:rPr>
        <w:t>、</w:t>
      </w:r>
      <w:r w:rsidR="004057B7" w:rsidRPr="004057B7">
        <w:rPr>
          <w:rFonts w:hAnsi="宋体" w:hint="eastAsia"/>
          <w:bCs/>
          <w:color w:val="000000"/>
          <w:sz w:val="28"/>
        </w:rPr>
        <w:t>基金投资港股通标的股票情况</w:t>
      </w:r>
      <w:r w:rsidR="004057B7">
        <w:rPr>
          <w:rFonts w:hAnsi="宋体" w:hint="eastAsia"/>
          <w:bCs/>
          <w:color w:val="000000"/>
          <w:sz w:val="28"/>
        </w:rPr>
        <w:t>、</w:t>
      </w:r>
      <w:r w:rsidR="004057B7" w:rsidRPr="004057B7">
        <w:rPr>
          <w:rFonts w:hAnsi="宋体" w:hint="eastAsia"/>
          <w:bCs/>
          <w:color w:val="000000"/>
          <w:sz w:val="28"/>
        </w:rPr>
        <w:t>基金投资非公开发行股票情况</w:t>
      </w:r>
      <w:r w:rsidR="004057B7">
        <w:rPr>
          <w:rFonts w:hAnsi="宋体" w:hint="eastAsia"/>
          <w:bCs/>
          <w:color w:val="000000"/>
          <w:sz w:val="28"/>
        </w:rPr>
        <w:t>、</w:t>
      </w:r>
      <w:r w:rsidR="00D74313" w:rsidRPr="00D74313">
        <w:rPr>
          <w:rFonts w:hAnsi="宋体" w:hint="eastAsia"/>
          <w:bCs/>
          <w:color w:val="000000"/>
          <w:sz w:val="28"/>
        </w:rPr>
        <w:t>实施侧袋机制期间的信息披露</w:t>
      </w:r>
      <w:r w:rsidR="00F12751">
        <w:rPr>
          <w:rFonts w:hAnsi="宋体"/>
          <w:color w:val="000000"/>
          <w:sz w:val="28"/>
        </w:rPr>
        <w:t>及</w:t>
      </w:r>
      <w:r w:rsidRPr="0061142D">
        <w:rPr>
          <w:rFonts w:hAnsi="宋体"/>
          <w:color w:val="000000"/>
          <w:sz w:val="28"/>
        </w:rPr>
        <w:t>中国证监会规定的其他信息。基金年度报告需经</w:t>
      </w:r>
      <w:r w:rsidR="00012409" w:rsidRPr="00012409">
        <w:rPr>
          <w:rFonts w:hAnsi="宋体" w:hint="eastAsia"/>
          <w:color w:val="000000"/>
          <w:sz w:val="28"/>
        </w:rPr>
        <w:t>符合《中华人民共和国证券法》规定</w:t>
      </w:r>
      <w:r w:rsidRPr="0061142D">
        <w:rPr>
          <w:rFonts w:hAnsi="宋体"/>
          <w:color w:val="000000"/>
          <w:sz w:val="28"/>
        </w:rPr>
        <w:t>的会计师事务所审计后，方可披露。</w:t>
      </w:r>
    </w:p>
    <w:p w14:paraId="7B8B6AC0"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（三）基金托管人和基金管理人在信息披露中的职责和信息披露程序</w:t>
      </w:r>
    </w:p>
    <w:p w14:paraId="2E8B46E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、职责</w:t>
      </w:r>
    </w:p>
    <w:p w14:paraId="302BEF3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208444DB" w14:textId="3EA28DF6"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基金管理人应当在中国证监会规定的时间内，将应予披露的基金信息通过</w:t>
      </w:r>
      <w:r w:rsidR="007E668E">
        <w:rPr>
          <w:rFonts w:hAnsi="宋体" w:hint="eastAsia"/>
          <w:color w:val="000000"/>
          <w:sz w:val="28"/>
        </w:rPr>
        <w:t>符合</w:t>
      </w:r>
      <w:r w:rsidRPr="0061142D">
        <w:rPr>
          <w:rFonts w:hAnsi="宋体"/>
          <w:color w:val="000000"/>
          <w:sz w:val="28"/>
        </w:rPr>
        <w:t>中国证监会</w:t>
      </w:r>
      <w:r w:rsidR="007E668E">
        <w:rPr>
          <w:rFonts w:hAnsi="宋体" w:hint="eastAsia"/>
          <w:color w:val="000000"/>
          <w:sz w:val="28"/>
        </w:rPr>
        <w:t>规定条件</w:t>
      </w:r>
      <w:r w:rsidRPr="0061142D">
        <w:rPr>
          <w:rFonts w:hAnsi="宋体"/>
          <w:color w:val="000000"/>
          <w:sz w:val="28"/>
        </w:rPr>
        <w:t>的全国性报刊（以下简称</w:t>
      </w:r>
      <w:r w:rsidRPr="0061142D">
        <w:rPr>
          <w:color w:val="000000"/>
          <w:sz w:val="28"/>
        </w:rPr>
        <w:t>“</w:t>
      </w:r>
      <w:r w:rsidR="007C0C85">
        <w:rPr>
          <w:rFonts w:hAnsi="宋体"/>
          <w:color w:val="000000"/>
          <w:sz w:val="28"/>
        </w:rPr>
        <w:t>规定报刊</w:t>
      </w:r>
      <w:r w:rsidRPr="0061142D">
        <w:rPr>
          <w:color w:val="000000"/>
          <w:sz w:val="28"/>
        </w:rPr>
        <w:t>”</w:t>
      </w:r>
      <w:r w:rsidRPr="0061142D">
        <w:rPr>
          <w:rFonts w:hAnsi="宋体"/>
          <w:color w:val="000000"/>
          <w:sz w:val="28"/>
        </w:rPr>
        <w:t>）和基金管理人的互联网网站等媒介披露。根据法律法规应由基</w:t>
      </w:r>
      <w:r w:rsidRPr="0061142D">
        <w:rPr>
          <w:rFonts w:hAnsi="宋体"/>
          <w:color w:val="000000"/>
          <w:sz w:val="28"/>
        </w:rPr>
        <w:lastRenderedPageBreak/>
        <w:t>金托管人公开披露的信息，基金托管人将通过</w:t>
      </w:r>
      <w:r w:rsidR="007C0C85">
        <w:rPr>
          <w:rFonts w:hAnsi="宋体"/>
          <w:color w:val="000000"/>
          <w:sz w:val="28"/>
        </w:rPr>
        <w:t>规定报刊</w:t>
      </w:r>
      <w:r w:rsidRPr="0061142D">
        <w:rPr>
          <w:rFonts w:hAnsi="宋体" w:hint="eastAsia"/>
          <w:color w:val="000000"/>
          <w:sz w:val="28"/>
        </w:rPr>
        <w:t>和基金托管人的互联网网站</w:t>
      </w:r>
      <w:r w:rsidRPr="0061142D">
        <w:rPr>
          <w:rFonts w:hAnsi="宋体"/>
          <w:color w:val="000000"/>
          <w:sz w:val="28"/>
        </w:rPr>
        <w:t>公开披露。</w:t>
      </w:r>
    </w:p>
    <w:p w14:paraId="0D524A6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当出现下述情况时，基金管理人和基金托管人可暂停或延迟披露基金信息：</w:t>
      </w:r>
    </w:p>
    <w:p w14:paraId="28FDC1F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14:paraId="2A05F093"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法律法规、中国证监会规定或基金合同约定的情况。</w:t>
      </w:r>
    </w:p>
    <w:p w14:paraId="40EB0FD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、程序</w:t>
      </w:r>
    </w:p>
    <w:p w14:paraId="14CAABA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按有关规定须经基金托管人复核的信息披露文件，由基金管理人起草、并经基金托管人复核后由基金管理人公告。发生基金合同中规定需要披露的事项时，按基金合同规定公布。</w:t>
      </w:r>
    </w:p>
    <w:p w14:paraId="3E2800A2"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、信息文本的存放</w:t>
      </w:r>
    </w:p>
    <w:p w14:paraId="1FAD0DF6"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基金合同、托管协议、招募说明书和基金定期报告公布后，应当分别置备于基金管理人和基金托管人处，以供公众查阅、复制。</w:t>
      </w:r>
    </w:p>
    <w:p w14:paraId="4CFD584E" w14:textId="77777777" w:rsidR="009C2EF9" w:rsidRPr="0061142D" w:rsidRDefault="009C2EF9" w:rsidP="00EE5132">
      <w:pPr>
        <w:pStyle w:val="a0"/>
        <w:adjustRightInd w:val="0"/>
        <w:snapToGrid w:val="0"/>
        <w:spacing w:line="360" w:lineRule="auto"/>
        <w:ind w:firstLine="560"/>
        <w:rPr>
          <w:color w:val="000000"/>
          <w:sz w:val="28"/>
        </w:rPr>
      </w:pPr>
      <w:r w:rsidRPr="0061142D">
        <w:rPr>
          <w:rFonts w:hAnsi="宋体"/>
          <w:color w:val="000000"/>
          <w:sz w:val="28"/>
        </w:rPr>
        <w:t>投资者可以免费查阅上述文件。在支付工本费后可在合理时间获得上述文件的复制件或复印件。基金管理人和基金托管人应保证文本的内容与所公告的内容完全一致。</w:t>
      </w:r>
    </w:p>
    <w:p w14:paraId="2E317C2F" w14:textId="72EB8927" w:rsidR="00EE5132" w:rsidRDefault="004F2F71" w:rsidP="00EE5132">
      <w:pPr>
        <w:pStyle w:val="a0"/>
        <w:adjustRightInd w:val="0"/>
        <w:snapToGrid w:val="0"/>
        <w:spacing w:line="360" w:lineRule="auto"/>
        <w:ind w:firstLine="560"/>
        <w:rPr>
          <w:color w:val="000000"/>
          <w:sz w:val="28"/>
        </w:rPr>
      </w:pPr>
      <w:r w:rsidRPr="004F2F71">
        <w:rPr>
          <w:rFonts w:hint="eastAsia"/>
          <w:color w:val="000000"/>
          <w:sz w:val="28"/>
        </w:rPr>
        <w:t>（四）本基金信息披露事项以法律法规及基金合同“第十八部分</w:t>
      </w:r>
      <w:r w:rsidRPr="004F2F71">
        <w:rPr>
          <w:rFonts w:hint="eastAsia"/>
          <w:color w:val="000000"/>
          <w:sz w:val="28"/>
        </w:rPr>
        <w:t xml:space="preserve"> </w:t>
      </w:r>
      <w:r w:rsidRPr="004F2F71">
        <w:rPr>
          <w:rFonts w:hint="eastAsia"/>
          <w:color w:val="000000"/>
          <w:sz w:val="28"/>
        </w:rPr>
        <w:t>基金的信息披露”约定的内容为准。</w:t>
      </w:r>
    </w:p>
    <w:p w14:paraId="50F98DDC" w14:textId="77777777" w:rsidR="004F2F71" w:rsidRPr="004F2F71" w:rsidRDefault="004F2F71" w:rsidP="00EE5132">
      <w:pPr>
        <w:pStyle w:val="a0"/>
        <w:adjustRightInd w:val="0"/>
        <w:snapToGrid w:val="0"/>
        <w:spacing w:line="360" w:lineRule="auto"/>
        <w:ind w:firstLine="560"/>
        <w:rPr>
          <w:color w:val="000000"/>
          <w:sz w:val="28"/>
        </w:rPr>
      </w:pPr>
    </w:p>
    <w:p w14:paraId="3B75D45E" w14:textId="77777777" w:rsidR="009C2EF9" w:rsidRPr="0061142D" w:rsidRDefault="009C2EF9">
      <w:pPr>
        <w:pStyle w:val="2"/>
        <w:spacing w:line="360" w:lineRule="auto"/>
        <w:jc w:val="center"/>
        <w:rPr>
          <w:rFonts w:ascii="Times New Roman" w:eastAsia="宋体" w:hAnsi="Times New Roman"/>
          <w:color w:val="000000"/>
          <w:sz w:val="28"/>
        </w:rPr>
      </w:pPr>
      <w:bookmarkStart w:id="91" w:name="_Toc145818945"/>
      <w:r w:rsidRPr="0061142D">
        <w:rPr>
          <w:rFonts w:ascii="Times New Roman" w:eastAsia="宋体" w:hAnsi="宋体"/>
          <w:color w:val="000000"/>
          <w:sz w:val="28"/>
        </w:rPr>
        <w:t>十一、基金费用</w:t>
      </w:r>
      <w:bookmarkEnd w:id="91"/>
    </w:p>
    <w:p w14:paraId="3260E3F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（一）基金管理费的计提比例和计提方法</w:t>
      </w:r>
    </w:p>
    <w:p w14:paraId="4A15DE42" w14:textId="40710B5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在通常情况下，基金管理费按前一日基金资产净值</w:t>
      </w:r>
      <w:r w:rsidR="00391B6A">
        <w:rPr>
          <w:color w:val="000000"/>
          <w:sz w:val="28"/>
        </w:rPr>
        <w:t>0.7</w:t>
      </w:r>
      <w:r w:rsidRPr="0061142D">
        <w:rPr>
          <w:color w:val="000000"/>
          <w:sz w:val="28"/>
        </w:rPr>
        <w:t>%</w:t>
      </w:r>
      <w:r w:rsidRPr="0061142D">
        <w:rPr>
          <w:rFonts w:hAnsi="宋体"/>
          <w:color w:val="000000"/>
          <w:sz w:val="28"/>
        </w:rPr>
        <w:t>年费率计提。计算方法如下：</w:t>
      </w:r>
    </w:p>
    <w:p w14:paraId="43FC62E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年管理费率</w:t>
      </w:r>
      <w:r w:rsidRPr="0061142D">
        <w:rPr>
          <w:color w:val="000000"/>
          <w:sz w:val="28"/>
        </w:rPr>
        <w:t>÷</w:t>
      </w:r>
      <w:r w:rsidRPr="0061142D">
        <w:rPr>
          <w:rFonts w:hAnsi="宋体"/>
          <w:color w:val="000000"/>
          <w:sz w:val="28"/>
        </w:rPr>
        <w:t>当年天数</w:t>
      </w:r>
    </w:p>
    <w:p w14:paraId="446B9C2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lastRenderedPageBreak/>
        <w:t>H</w:t>
      </w:r>
      <w:r w:rsidRPr="0061142D">
        <w:rPr>
          <w:rFonts w:hAnsi="宋体"/>
          <w:color w:val="000000"/>
          <w:sz w:val="28"/>
        </w:rPr>
        <w:t>为每日应计提的基金管理费</w:t>
      </w:r>
    </w:p>
    <w:p w14:paraId="6F52424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14:paraId="58A0CAE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（二）基金托管费的计提比例和计提方法</w:t>
      </w:r>
    </w:p>
    <w:p w14:paraId="2B94B69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在通常情况下，基金托管费按前一日基金资产净值的</w:t>
      </w:r>
      <w:r w:rsidRPr="0061142D">
        <w:rPr>
          <w:color w:val="000000"/>
          <w:sz w:val="28"/>
        </w:rPr>
        <w:t>0.2%</w:t>
      </w:r>
      <w:r w:rsidRPr="0061142D">
        <w:rPr>
          <w:rFonts w:hAnsi="宋体"/>
          <w:color w:val="000000"/>
          <w:sz w:val="28"/>
        </w:rPr>
        <w:t>年费率计提。计算方法如下：</w:t>
      </w:r>
    </w:p>
    <w:p w14:paraId="032E95C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年托管费率</w:t>
      </w:r>
      <w:r w:rsidRPr="0061142D">
        <w:rPr>
          <w:color w:val="000000"/>
          <w:sz w:val="28"/>
        </w:rPr>
        <w:t>÷</w:t>
      </w:r>
      <w:r w:rsidRPr="0061142D">
        <w:rPr>
          <w:rFonts w:hAnsi="宋体"/>
          <w:color w:val="000000"/>
          <w:sz w:val="28"/>
        </w:rPr>
        <w:t>当年天数</w:t>
      </w:r>
    </w:p>
    <w:p w14:paraId="2D35C17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为每日应计提的基金托管费</w:t>
      </w:r>
    </w:p>
    <w:p w14:paraId="024C1D4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14:paraId="32D11FBE" w14:textId="3D1935D7" w:rsidR="00DA5641" w:rsidRPr="00DA5641" w:rsidRDefault="009C2EF9" w:rsidP="00DA5641">
      <w:pPr>
        <w:adjustRightInd w:val="0"/>
        <w:snapToGrid w:val="0"/>
        <w:spacing w:line="360" w:lineRule="auto"/>
        <w:ind w:firstLineChars="200" w:firstLine="560"/>
        <w:outlineLvl w:val="0"/>
        <w:rPr>
          <w:rFonts w:hAnsi="宋体"/>
          <w:color w:val="000000"/>
          <w:sz w:val="28"/>
        </w:rPr>
      </w:pPr>
      <w:r w:rsidRPr="0061142D">
        <w:rPr>
          <w:rFonts w:hAnsi="宋体"/>
          <w:color w:val="000000"/>
          <w:sz w:val="28"/>
        </w:rPr>
        <w:t>（</w:t>
      </w:r>
      <w:r w:rsidR="00391B6A">
        <w:rPr>
          <w:rFonts w:hAnsi="宋体" w:hint="eastAsia"/>
          <w:color w:val="000000"/>
          <w:sz w:val="28"/>
        </w:rPr>
        <w:t>三</w:t>
      </w:r>
      <w:r w:rsidRPr="0061142D">
        <w:rPr>
          <w:rFonts w:hAnsi="宋体"/>
          <w:color w:val="000000"/>
          <w:sz w:val="28"/>
        </w:rPr>
        <w:t>）</w:t>
      </w:r>
      <w:r w:rsidR="00DA5641" w:rsidRPr="00DA5641">
        <w:rPr>
          <w:rFonts w:hAnsi="宋体" w:hint="eastAsia"/>
          <w:color w:val="000000"/>
          <w:sz w:val="28"/>
        </w:rPr>
        <w:t>C</w:t>
      </w:r>
      <w:r w:rsidR="00DA5641" w:rsidRPr="00DA5641">
        <w:rPr>
          <w:rFonts w:hAnsi="宋体" w:hint="eastAsia"/>
          <w:color w:val="000000"/>
          <w:sz w:val="28"/>
        </w:rPr>
        <w:t>类基金份额的销售服务费的计提比例和计提方法</w:t>
      </w:r>
    </w:p>
    <w:p w14:paraId="1BBB96C4" w14:textId="77777777" w:rsidR="00DA5641" w:rsidRPr="00DA5641" w:rsidRDefault="00DA5641" w:rsidP="00DA5641">
      <w:pPr>
        <w:adjustRightInd w:val="0"/>
        <w:snapToGrid w:val="0"/>
        <w:spacing w:line="360" w:lineRule="auto"/>
        <w:ind w:firstLineChars="200" w:firstLine="560"/>
        <w:outlineLvl w:val="0"/>
        <w:rPr>
          <w:rFonts w:hAnsi="宋体"/>
          <w:color w:val="000000"/>
          <w:sz w:val="28"/>
        </w:rPr>
      </w:pPr>
      <w:r w:rsidRPr="00DA5641">
        <w:rPr>
          <w:rFonts w:hAnsi="宋体" w:hint="eastAsia"/>
          <w:color w:val="000000"/>
          <w:sz w:val="28"/>
        </w:rPr>
        <w:t>本基金</w:t>
      </w:r>
      <w:r w:rsidRPr="00DA5641">
        <w:rPr>
          <w:rFonts w:hAnsi="宋体" w:hint="eastAsia"/>
          <w:color w:val="000000"/>
          <w:sz w:val="28"/>
        </w:rPr>
        <w:t>A</w:t>
      </w:r>
      <w:r w:rsidRPr="00DA5641">
        <w:rPr>
          <w:rFonts w:hAnsi="宋体" w:hint="eastAsia"/>
          <w:color w:val="000000"/>
          <w:sz w:val="28"/>
        </w:rPr>
        <w:t>类基金份额不收取销售服务费，</w:t>
      </w:r>
      <w:r w:rsidRPr="00DA5641">
        <w:rPr>
          <w:rFonts w:hAnsi="宋体" w:hint="eastAsia"/>
          <w:color w:val="000000"/>
          <w:sz w:val="28"/>
        </w:rPr>
        <w:t>C</w:t>
      </w:r>
      <w:r w:rsidRPr="00DA5641">
        <w:rPr>
          <w:rFonts w:hAnsi="宋体" w:hint="eastAsia"/>
          <w:color w:val="000000"/>
          <w:sz w:val="28"/>
        </w:rPr>
        <w:t>类基金份额的销售服务费按前一日</w:t>
      </w:r>
      <w:r w:rsidRPr="00DA5641">
        <w:rPr>
          <w:rFonts w:hAnsi="宋体" w:hint="eastAsia"/>
          <w:color w:val="000000"/>
          <w:sz w:val="28"/>
        </w:rPr>
        <w:t>C</w:t>
      </w:r>
      <w:r w:rsidRPr="00DA5641">
        <w:rPr>
          <w:rFonts w:hAnsi="宋体" w:hint="eastAsia"/>
          <w:color w:val="000000"/>
          <w:sz w:val="28"/>
        </w:rPr>
        <w:t>类基金资产净值的</w:t>
      </w:r>
      <w:r w:rsidRPr="00DA5641">
        <w:rPr>
          <w:rFonts w:hAnsi="宋体" w:hint="eastAsia"/>
          <w:color w:val="000000"/>
          <w:sz w:val="28"/>
        </w:rPr>
        <w:t>0.4%</w:t>
      </w:r>
      <w:r w:rsidRPr="00DA5641">
        <w:rPr>
          <w:rFonts w:hAnsi="宋体" w:hint="eastAsia"/>
          <w:color w:val="000000"/>
          <w:sz w:val="28"/>
        </w:rPr>
        <w:t>年费率计提。计算方法如下：</w:t>
      </w:r>
    </w:p>
    <w:p w14:paraId="06938F69" w14:textId="77777777" w:rsidR="00DA5641" w:rsidRPr="00DA5641" w:rsidRDefault="00DA5641" w:rsidP="00DA5641">
      <w:pPr>
        <w:adjustRightInd w:val="0"/>
        <w:snapToGrid w:val="0"/>
        <w:spacing w:line="360" w:lineRule="auto"/>
        <w:ind w:firstLineChars="200" w:firstLine="560"/>
        <w:outlineLvl w:val="0"/>
        <w:rPr>
          <w:rFonts w:hAnsi="宋体"/>
          <w:color w:val="000000"/>
          <w:sz w:val="28"/>
        </w:rPr>
      </w:pPr>
      <w:r w:rsidRPr="00DA5641">
        <w:rPr>
          <w:rFonts w:hAnsi="宋体" w:hint="eastAsia"/>
          <w:color w:val="000000"/>
          <w:sz w:val="28"/>
        </w:rPr>
        <w:t>H</w:t>
      </w:r>
      <w:r w:rsidRPr="00DA5641">
        <w:rPr>
          <w:rFonts w:hAnsi="宋体" w:hint="eastAsia"/>
          <w:color w:val="000000"/>
          <w:sz w:val="28"/>
        </w:rPr>
        <w:t>＝</w:t>
      </w:r>
      <w:r w:rsidRPr="00DA5641">
        <w:rPr>
          <w:rFonts w:hAnsi="宋体" w:hint="eastAsia"/>
          <w:color w:val="000000"/>
          <w:sz w:val="28"/>
        </w:rPr>
        <w:t>E</w:t>
      </w:r>
      <w:r w:rsidRPr="00DA5641">
        <w:rPr>
          <w:rFonts w:hAnsi="宋体" w:hint="eastAsia"/>
          <w:color w:val="000000"/>
          <w:sz w:val="28"/>
        </w:rPr>
        <w:t>×</w:t>
      </w:r>
      <w:r w:rsidRPr="00DA5641">
        <w:rPr>
          <w:rFonts w:hAnsi="宋体" w:hint="eastAsia"/>
          <w:color w:val="000000"/>
          <w:sz w:val="28"/>
        </w:rPr>
        <w:t>0.4%</w:t>
      </w:r>
      <w:r w:rsidRPr="00DA5641">
        <w:rPr>
          <w:rFonts w:hAnsi="宋体" w:hint="eastAsia"/>
          <w:color w:val="000000"/>
          <w:sz w:val="28"/>
        </w:rPr>
        <w:t>÷当年天数</w:t>
      </w:r>
    </w:p>
    <w:p w14:paraId="65F15714" w14:textId="77777777" w:rsidR="00DA5641" w:rsidRPr="00DA5641" w:rsidRDefault="00DA5641" w:rsidP="00DA5641">
      <w:pPr>
        <w:adjustRightInd w:val="0"/>
        <w:snapToGrid w:val="0"/>
        <w:spacing w:line="360" w:lineRule="auto"/>
        <w:ind w:firstLineChars="200" w:firstLine="560"/>
        <w:outlineLvl w:val="0"/>
        <w:rPr>
          <w:rFonts w:hAnsi="宋体"/>
          <w:color w:val="000000"/>
          <w:sz w:val="28"/>
        </w:rPr>
      </w:pPr>
      <w:r w:rsidRPr="00DA5641">
        <w:rPr>
          <w:rFonts w:hAnsi="宋体" w:hint="eastAsia"/>
          <w:color w:val="000000"/>
          <w:sz w:val="28"/>
        </w:rPr>
        <w:t>H</w:t>
      </w:r>
      <w:r w:rsidRPr="00DA5641">
        <w:rPr>
          <w:rFonts w:hAnsi="宋体" w:hint="eastAsia"/>
          <w:color w:val="000000"/>
          <w:sz w:val="28"/>
        </w:rPr>
        <w:t>为</w:t>
      </w:r>
      <w:r w:rsidRPr="00DA5641">
        <w:rPr>
          <w:rFonts w:hAnsi="宋体" w:hint="eastAsia"/>
          <w:color w:val="000000"/>
          <w:sz w:val="28"/>
        </w:rPr>
        <w:t>C</w:t>
      </w:r>
      <w:r w:rsidRPr="00DA5641">
        <w:rPr>
          <w:rFonts w:hAnsi="宋体" w:hint="eastAsia"/>
          <w:color w:val="000000"/>
          <w:sz w:val="28"/>
        </w:rPr>
        <w:t>类基金份额每日应计提的销售服务费</w:t>
      </w:r>
    </w:p>
    <w:p w14:paraId="76A69359" w14:textId="77777777" w:rsidR="00DA5641" w:rsidRPr="00DA5641" w:rsidRDefault="00DA5641" w:rsidP="00DA5641">
      <w:pPr>
        <w:adjustRightInd w:val="0"/>
        <w:snapToGrid w:val="0"/>
        <w:spacing w:line="360" w:lineRule="auto"/>
        <w:ind w:firstLineChars="200" w:firstLine="560"/>
        <w:outlineLvl w:val="0"/>
        <w:rPr>
          <w:rFonts w:hAnsi="宋体"/>
          <w:color w:val="000000"/>
          <w:sz w:val="28"/>
        </w:rPr>
      </w:pPr>
      <w:r w:rsidRPr="00DA5641">
        <w:rPr>
          <w:rFonts w:hAnsi="宋体" w:hint="eastAsia"/>
          <w:color w:val="000000"/>
          <w:sz w:val="28"/>
        </w:rPr>
        <w:t>E</w:t>
      </w:r>
      <w:r w:rsidRPr="00DA5641">
        <w:rPr>
          <w:rFonts w:hAnsi="宋体" w:hint="eastAsia"/>
          <w:color w:val="000000"/>
          <w:sz w:val="28"/>
        </w:rPr>
        <w:t>为</w:t>
      </w:r>
      <w:r w:rsidRPr="00DA5641">
        <w:rPr>
          <w:rFonts w:hAnsi="宋体" w:hint="eastAsia"/>
          <w:color w:val="000000"/>
          <w:sz w:val="28"/>
        </w:rPr>
        <w:t>C</w:t>
      </w:r>
      <w:r w:rsidRPr="00DA5641">
        <w:rPr>
          <w:rFonts w:hAnsi="宋体" w:hint="eastAsia"/>
          <w:color w:val="000000"/>
          <w:sz w:val="28"/>
        </w:rPr>
        <w:t>类基金份额前一日基金资产净值</w:t>
      </w:r>
    </w:p>
    <w:p w14:paraId="5980F730" w14:textId="54159DF6" w:rsidR="009C2EF9" w:rsidRPr="0061142D" w:rsidRDefault="00DA5641" w:rsidP="00DA5641">
      <w:pPr>
        <w:adjustRightInd w:val="0"/>
        <w:snapToGrid w:val="0"/>
        <w:spacing w:line="360" w:lineRule="auto"/>
        <w:ind w:firstLineChars="200" w:firstLine="560"/>
        <w:outlineLvl w:val="0"/>
        <w:rPr>
          <w:color w:val="000000"/>
          <w:sz w:val="28"/>
        </w:rPr>
      </w:pPr>
      <w:r w:rsidRPr="0061142D">
        <w:rPr>
          <w:rFonts w:hAnsi="宋体"/>
          <w:color w:val="000000"/>
          <w:sz w:val="28"/>
        </w:rPr>
        <w:t>（</w:t>
      </w:r>
      <w:r>
        <w:rPr>
          <w:rFonts w:hAnsi="宋体" w:hint="eastAsia"/>
          <w:color w:val="000000"/>
          <w:sz w:val="28"/>
        </w:rPr>
        <w:t>四</w:t>
      </w:r>
      <w:r w:rsidRPr="0061142D">
        <w:rPr>
          <w:rFonts w:hAnsi="宋体"/>
          <w:color w:val="000000"/>
          <w:sz w:val="28"/>
        </w:rPr>
        <w:t>）</w:t>
      </w:r>
      <w:r w:rsidR="009C2EF9" w:rsidRPr="0061142D">
        <w:rPr>
          <w:rFonts w:hAnsi="宋体"/>
          <w:color w:val="000000"/>
          <w:sz w:val="28"/>
        </w:rPr>
        <w:t>银行汇划费用、基金的证券交易费用、基金的开户费用和账户维护费用、基金合同生效后与基金相关的信息披露费用、基金份额持有人大会费用、基金合同生效后与基金相关的会计师费、律师费</w:t>
      </w:r>
      <w:r w:rsidR="00793961" w:rsidRPr="00793961">
        <w:rPr>
          <w:rFonts w:hAnsi="宋体" w:hint="eastAsia"/>
          <w:color w:val="000000"/>
          <w:sz w:val="28"/>
        </w:rPr>
        <w:t>、仲裁费</w:t>
      </w:r>
      <w:r w:rsidR="009C2EF9" w:rsidRPr="0061142D">
        <w:rPr>
          <w:rFonts w:hAnsi="宋体"/>
          <w:color w:val="000000"/>
          <w:sz w:val="28"/>
        </w:rPr>
        <w:t>和诉讼费</w:t>
      </w:r>
      <w:r w:rsidR="00680AB7" w:rsidRPr="00680AB7">
        <w:rPr>
          <w:rFonts w:hAnsi="宋体" w:hint="eastAsia"/>
          <w:color w:val="000000"/>
          <w:sz w:val="28"/>
        </w:rPr>
        <w:t>、因投资港股通标的股票而产生的各项合理费用</w:t>
      </w:r>
      <w:r w:rsidR="009C2EF9" w:rsidRPr="0061142D">
        <w:rPr>
          <w:rFonts w:hAnsi="宋体"/>
          <w:color w:val="000000"/>
          <w:sz w:val="28"/>
        </w:rPr>
        <w:t>及按照国家有关规定和基金合同约定可以在基金财产中列支的其他费用等根据有关法律法规、基金合同及相应协议的规定，按费用实际支出金额支付，列入或摊入当期基金费用。</w:t>
      </w:r>
    </w:p>
    <w:p w14:paraId="4397C1EE" w14:textId="69EE3E81"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000B24A0">
        <w:rPr>
          <w:rFonts w:hAnsi="宋体" w:hint="eastAsia"/>
          <w:color w:val="000000"/>
          <w:sz w:val="28"/>
        </w:rPr>
        <w:t>五</w:t>
      </w:r>
      <w:r w:rsidRPr="0061142D">
        <w:rPr>
          <w:rFonts w:hAnsi="宋体"/>
          <w:color w:val="000000"/>
          <w:sz w:val="28"/>
        </w:rPr>
        <w:t>）不列入基金费用的项目</w:t>
      </w:r>
    </w:p>
    <w:p w14:paraId="2FF7AAF8" w14:textId="2F0A96DF"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基金管理人与基金托管人因未履行或未完全履行义务导致的费用支出或基金资产的损失，以及处理与基金运作无关的事项发生的费</w:t>
      </w:r>
      <w:r w:rsidRPr="0061142D">
        <w:rPr>
          <w:rFonts w:hAnsi="宋体"/>
          <w:color w:val="000000"/>
          <w:sz w:val="28"/>
        </w:rPr>
        <w:lastRenderedPageBreak/>
        <w:t>用等不列入基金费用。</w:t>
      </w:r>
      <w:r w:rsidR="00391B6A" w:rsidRPr="00391B6A">
        <w:rPr>
          <w:rFonts w:hAnsi="宋体" w:hint="eastAsia"/>
          <w:color w:val="000000"/>
          <w:sz w:val="28"/>
        </w:rPr>
        <w:t>《交银施罗德</w:t>
      </w:r>
      <w:r w:rsidR="00391B6A">
        <w:rPr>
          <w:rFonts w:hAnsi="宋体" w:hint="eastAsia"/>
          <w:color w:val="000000"/>
          <w:sz w:val="28"/>
        </w:rPr>
        <w:t>荣祥</w:t>
      </w:r>
      <w:r w:rsidR="00391B6A" w:rsidRPr="00391B6A">
        <w:rPr>
          <w:rFonts w:hAnsi="宋体" w:hint="eastAsia"/>
          <w:color w:val="000000"/>
          <w:sz w:val="28"/>
        </w:rPr>
        <w:t>保本混合型证券投资基金基金合同》</w:t>
      </w:r>
      <w:r w:rsidRPr="0061142D">
        <w:rPr>
          <w:rFonts w:hAnsi="宋体"/>
          <w:color w:val="000000"/>
          <w:sz w:val="28"/>
        </w:rPr>
        <w:t>生效前的相关费用，包括但不限于验资费、会计师和律师费、信息披露费等费用不列入基金费用。</w:t>
      </w:r>
    </w:p>
    <w:p w14:paraId="1DE96754" w14:textId="73E0C40F" w:rsidR="006A619D" w:rsidRDefault="009C2EF9" w:rsidP="006A619D">
      <w:pPr>
        <w:adjustRightInd w:val="0"/>
        <w:snapToGrid w:val="0"/>
        <w:spacing w:line="360" w:lineRule="auto"/>
        <w:ind w:firstLineChars="200" w:firstLine="560"/>
        <w:rPr>
          <w:rFonts w:ascii="宋体" w:hAnsi="宋体" w:cs="Arial"/>
          <w:sz w:val="24"/>
        </w:rPr>
      </w:pPr>
      <w:r w:rsidRPr="0061142D">
        <w:rPr>
          <w:rFonts w:hAnsi="宋体"/>
          <w:color w:val="000000"/>
          <w:sz w:val="28"/>
        </w:rPr>
        <w:t>（</w:t>
      </w:r>
      <w:r w:rsidR="000B24A0">
        <w:rPr>
          <w:rFonts w:hAnsi="宋体" w:hint="eastAsia"/>
          <w:color w:val="000000"/>
          <w:sz w:val="28"/>
        </w:rPr>
        <w:t>六</w:t>
      </w:r>
      <w:r w:rsidRPr="0061142D">
        <w:rPr>
          <w:rFonts w:hAnsi="宋体"/>
          <w:color w:val="000000"/>
          <w:sz w:val="28"/>
        </w:rPr>
        <w:t>）</w:t>
      </w:r>
      <w:r w:rsidR="006A619D" w:rsidRPr="00BE7E78">
        <w:rPr>
          <w:rFonts w:hAnsi="宋体" w:hint="eastAsia"/>
          <w:color w:val="000000"/>
          <w:sz w:val="28"/>
        </w:rPr>
        <w:t>《交银施罗德稳固收益债券型证券投资基金基金合同》生效前的相关费用按当时有效的《交银施罗德</w:t>
      </w:r>
      <w:r w:rsidR="006A619D">
        <w:rPr>
          <w:rFonts w:hAnsi="宋体" w:hint="eastAsia"/>
          <w:color w:val="000000"/>
          <w:sz w:val="28"/>
        </w:rPr>
        <w:t>荣祥</w:t>
      </w:r>
      <w:r w:rsidR="006A619D" w:rsidRPr="00BE7E78">
        <w:rPr>
          <w:rFonts w:hAnsi="宋体" w:hint="eastAsia"/>
          <w:color w:val="000000"/>
          <w:sz w:val="28"/>
        </w:rPr>
        <w:t>保本混合型证券投资基金基金合同》的约定支付</w:t>
      </w:r>
      <w:r w:rsidR="00C26905">
        <w:rPr>
          <w:rFonts w:hAnsi="宋体" w:hint="eastAsia"/>
          <w:color w:val="000000"/>
          <w:sz w:val="28"/>
        </w:rPr>
        <w:t>。</w:t>
      </w:r>
    </w:p>
    <w:p w14:paraId="3C46673A" w14:textId="5B5A1DDD" w:rsidR="009C2EF9" w:rsidRPr="0061142D" w:rsidRDefault="002649E7" w:rsidP="00C02C5C">
      <w:pPr>
        <w:adjustRightInd w:val="0"/>
        <w:snapToGrid w:val="0"/>
        <w:spacing w:line="360" w:lineRule="auto"/>
        <w:ind w:firstLineChars="200" w:firstLine="560"/>
        <w:outlineLvl w:val="0"/>
        <w:rPr>
          <w:color w:val="000000"/>
          <w:sz w:val="28"/>
        </w:rPr>
      </w:pPr>
      <w:r>
        <w:rPr>
          <w:rFonts w:hAnsi="宋体" w:hint="eastAsia"/>
          <w:color w:val="000000"/>
          <w:sz w:val="28"/>
        </w:rPr>
        <w:t>（</w:t>
      </w:r>
      <w:r w:rsidR="000B24A0">
        <w:rPr>
          <w:rFonts w:hAnsi="宋体" w:hint="eastAsia"/>
          <w:color w:val="000000"/>
          <w:sz w:val="28"/>
        </w:rPr>
        <w:t>七</w:t>
      </w:r>
      <w:r>
        <w:rPr>
          <w:rFonts w:hAnsi="宋体"/>
          <w:color w:val="000000"/>
          <w:sz w:val="28"/>
        </w:rPr>
        <w:t>）</w:t>
      </w:r>
      <w:r w:rsidR="009C2EF9" w:rsidRPr="0061142D">
        <w:rPr>
          <w:rFonts w:hAnsi="宋体"/>
          <w:color w:val="000000"/>
          <w:sz w:val="28"/>
        </w:rPr>
        <w:t>基金管理费</w:t>
      </w:r>
      <w:r w:rsidR="000B24A0">
        <w:rPr>
          <w:rFonts w:hAnsi="宋体" w:hint="eastAsia"/>
          <w:color w:val="000000"/>
          <w:sz w:val="28"/>
        </w:rPr>
        <w:t>、</w:t>
      </w:r>
      <w:r w:rsidR="009C2EF9" w:rsidRPr="0061142D">
        <w:rPr>
          <w:rFonts w:hAnsi="宋体"/>
          <w:color w:val="000000"/>
          <w:sz w:val="28"/>
        </w:rPr>
        <w:t>基金托管费</w:t>
      </w:r>
      <w:r w:rsidR="000B24A0" w:rsidRPr="00BB54B3">
        <w:rPr>
          <w:rFonts w:ascii="宋体" w:hAnsi="宋体" w:hint="eastAsia"/>
          <w:sz w:val="28"/>
        </w:rPr>
        <w:t>和销售服务费</w:t>
      </w:r>
      <w:r w:rsidR="009C2EF9" w:rsidRPr="0061142D">
        <w:rPr>
          <w:rFonts w:hAnsi="宋体"/>
          <w:color w:val="000000"/>
          <w:sz w:val="28"/>
        </w:rPr>
        <w:t>的调整</w:t>
      </w:r>
    </w:p>
    <w:p w14:paraId="73F2F442" w14:textId="3F053E91" w:rsidR="009C2EF9" w:rsidRPr="0061142D" w:rsidRDefault="009C2EF9" w:rsidP="00BE7E78">
      <w:pPr>
        <w:adjustRightInd w:val="0"/>
        <w:snapToGrid w:val="0"/>
        <w:spacing w:line="360" w:lineRule="auto"/>
        <w:ind w:firstLineChars="200" w:firstLine="560"/>
        <w:outlineLvl w:val="0"/>
        <w:rPr>
          <w:color w:val="000000"/>
          <w:sz w:val="28"/>
        </w:rPr>
      </w:pPr>
      <w:r w:rsidRPr="0061142D">
        <w:rPr>
          <w:rFonts w:hAnsi="宋体"/>
          <w:color w:val="000000"/>
          <w:sz w:val="28"/>
        </w:rPr>
        <w:t>基金管理人和基金托管人可协商酌情降低基金管理费</w:t>
      </w:r>
      <w:r w:rsidR="000B24A0">
        <w:rPr>
          <w:rFonts w:hAnsi="宋体" w:hint="eastAsia"/>
          <w:color w:val="000000"/>
          <w:sz w:val="28"/>
        </w:rPr>
        <w:t>、</w:t>
      </w:r>
      <w:r w:rsidRPr="0061142D">
        <w:rPr>
          <w:rFonts w:hAnsi="宋体"/>
          <w:color w:val="000000"/>
          <w:sz w:val="28"/>
        </w:rPr>
        <w:t>基金托管费</w:t>
      </w:r>
      <w:r w:rsidR="000B24A0" w:rsidRPr="000B24A0">
        <w:rPr>
          <w:rFonts w:hAnsi="宋体" w:hint="eastAsia"/>
          <w:color w:val="000000"/>
          <w:sz w:val="28"/>
        </w:rPr>
        <w:t>和销售服务费</w:t>
      </w:r>
      <w:r w:rsidRPr="0061142D">
        <w:rPr>
          <w:rFonts w:hAnsi="宋体"/>
          <w:color w:val="000000"/>
          <w:sz w:val="28"/>
        </w:rPr>
        <w:t>，此项调整不需要基金份额持有人大会决议通过。基金管理人必须</w:t>
      </w:r>
      <w:r w:rsidRPr="0061142D">
        <w:rPr>
          <w:rFonts w:hAnsi="宋体"/>
          <w:sz w:val="28"/>
        </w:rPr>
        <w:t>依照有关规定</w:t>
      </w:r>
      <w:r w:rsidRPr="0061142D">
        <w:rPr>
          <w:rFonts w:hAnsi="宋体"/>
          <w:color w:val="000000"/>
          <w:sz w:val="28"/>
        </w:rPr>
        <w:t>最迟于新的费率实施日前按照《信息披露办法》的规定在</w:t>
      </w:r>
      <w:r w:rsidR="007C0C85">
        <w:rPr>
          <w:rFonts w:hAnsi="宋体"/>
          <w:sz w:val="28"/>
        </w:rPr>
        <w:t>规定媒介</w:t>
      </w:r>
      <w:r w:rsidRPr="0061142D">
        <w:rPr>
          <w:rFonts w:hAnsi="宋体"/>
          <w:sz w:val="28"/>
        </w:rPr>
        <w:t>和基金管理人网站</w:t>
      </w:r>
      <w:r w:rsidRPr="0061142D">
        <w:rPr>
          <w:rFonts w:hAnsi="宋体"/>
          <w:color w:val="000000"/>
          <w:sz w:val="28"/>
        </w:rPr>
        <w:t>上刊登公告。</w:t>
      </w:r>
    </w:p>
    <w:p w14:paraId="4A918029" w14:textId="2C9F53AB"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000B24A0">
        <w:rPr>
          <w:rFonts w:hAnsi="宋体" w:hint="eastAsia"/>
          <w:color w:val="000000"/>
          <w:sz w:val="28"/>
        </w:rPr>
        <w:t>八</w:t>
      </w:r>
      <w:r w:rsidR="00C26905">
        <w:rPr>
          <w:rFonts w:hAnsi="宋体" w:hint="eastAsia"/>
          <w:color w:val="000000"/>
          <w:sz w:val="28"/>
        </w:rPr>
        <w:t>）</w:t>
      </w:r>
      <w:r w:rsidRPr="0061142D">
        <w:rPr>
          <w:rFonts w:hAnsi="宋体"/>
          <w:color w:val="000000"/>
          <w:sz w:val="28"/>
        </w:rPr>
        <w:t>基金管理费</w:t>
      </w:r>
      <w:r w:rsidR="000B24A0">
        <w:rPr>
          <w:rFonts w:hAnsi="宋体" w:hint="eastAsia"/>
          <w:color w:val="000000"/>
          <w:sz w:val="28"/>
        </w:rPr>
        <w:t>、</w:t>
      </w:r>
      <w:r w:rsidRPr="0061142D">
        <w:rPr>
          <w:rFonts w:hAnsi="宋体"/>
          <w:color w:val="000000"/>
          <w:sz w:val="28"/>
        </w:rPr>
        <w:t>基金托管费</w:t>
      </w:r>
      <w:r w:rsidR="000B24A0" w:rsidRPr="00BB54B3">
        <w:rPr>
          <w:rFonts w:ascii="宋体" w:hAnsi="宋体" w:hint="eastAsia"/>
          <w:sz w:val="28"/>
        </w:rPr>
        <w:t>和销售服务费</w:t>
      </w:r>
      <w:r w:rsidRPr="0061142D">
        <w:rPr>
          <w:rFonts w:hAnsi="宋体"/>
          <w:color w:val="000000"/>
          <w:sz w:val="28"/>
        </w:rPr>
        <w:t>的复核程序、支付方式和时间</w:t>
      </w:r>
    </w:p>
    <w:p w14:paraId="4AEE8C3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、复核程序</w:t>
      </w:r>
    </w:p>
    <w:p w14:paraId="3C862CB1" w14:textId="7759A4DA"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基金托管人对基金管理人计提的基金管理费</w:t>
      </w:r>
      <w:r w:rsidR="000B24A0">
        <w:rPr>
          <w:rFonts w:hAnsi="宋体" w:hint="eastAsia"/>
          <w:color w:val="000000"/>
          <w:sz w:val="28"/>
        </w:rPr>
        <w:t>、</w:t>
      </w:r>
      <w:r w:rsidRPr="0061142D">
        <w:rPr>
          <w:rFonts w:hAnsi="宋体"/>
          <w:color w:val="000000"/>
          <w:sz w:val="28"/>
        </w:rPr>
        <w:t>基金托管费</w:t>
      </w:r>
      <w:r w:rsidR="000B24A0" w:rsidRPr="000B24A0">
        <w:rPr>
          <w:rFonts w:hAnsi="宋体" w:hint="eastAsia"/>
          <w:color w:val="000000"/>
          <w:sz w:val="28"/>
        </w:rPr>
        <w:t>和销售服务费</w:t>
      </w:r>
      <w:r w:rsidRPr="0061142D">
        <w:rPr>
          <w:rFonts w:hAnsi="宋体"/>
          <w:color w:val="000000"/>
          <w:sz w:val="28"/>
        </w:rPr>
        <w:t>等，根据本托管协议和基金合同的有关规定进行复核。</w:t>
      </w:r>
    </w:p>
    <w:p w14:paraId="026D4EC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、支付方式和时间</w:t>
      </w:r>
    </w:p>
    <w:p w14:paraId="3674F9C5" w14:textId="4374FFD3" w:rsidR="009C2EF9" w:rsidRDefault="009C2EF9" w:rsidP="00EE5132">
      <w:pPr>
        <w:adjustRightInd w:val="0"/>
        <w:snapToGrid w:val="0"/>
        <w:spacing w:line="360" w:lineRule="auto"/>
        <w:ind w:firstLineChars="200" w:firstLine="560"/>
        <w:rPr>
          <w:rFonts w:hAnsi="宋体"/>
          <w:color w:val="000000"/>
          <w:sz w:val="28"/>
        </w:rPr>
      </w:pPr>
      <w:r w:rsidRPr="0061142D">
        <w:rPr>
          <w:rFonts w:hAnsi="宋体"/>
          <w:color w:val="000000"/>
          <w:sz w:val="28"/>
        </w:rPr>
        <w:t>基金管理费、基金托管费每日计提，按月支付。由基金管理人向基金托管人发送基金管理费、基金托管费划付指令</w:t>
      </w:r>
      <w:r w:rsidR="0087516D">
        <w:rPr>
          <w:color w:val="000000"/>
          <w:sz w:val="28"/>
        </w:rPr>
        <w:t>，</w:t>
      </w:r>
      <w:r w:rsidRPr="0061142D">
        <w:rPr>
          <w:rFonts w:hAnsi="宋体"/>
          <w:color w:val="000000"/>
          <w:sz w:val="28"/>
        </w:rPr>
        <w:t>经基金托管人复核后于次月首日起</w:t>
      </w:r>
      <w:r w:rsidRPr="0061142D">
        <w:rPr>
          <w:color w:val="000000"/>
          <w:sz w:val="28"/>
        </w:rPr>
        <w:t>3</w:t>
      </w:r>
      <w:r w:rsidRPr="0061142D">
        <w:rPr>
          <w:rFonts w:hAnsi="宋体"/>
          <w:color w:val="000000"/>
          <w:sz w:val="28"/>
        </w:rPr>
        <w:t>个工作日内从基金财产中一次性支付给基金管理人和基金托管人。</w:t>
      </w:r>
    </w:p>
    <w:p w14:paraId="7A87187E" w14:textId="4E517451" w:rsidR="000B24A0" w:rsidRPr="000B24A0" w:rsidRDefault="000B24A0" w:rsidP="00EE5132">
      <w:pPr>
        <w:adjustRightInd w:val="0"/>
        <w:snapToGrid w:val="0"/>
        <w:spacing w:line="360" w:lineRule="auto"/>
        <w:ind w:firstLineChars="200" w:firstLine="560"/>
        <w:rPr>
          <w:color w:val="000000"/>
          <w:sz w:val="28"/>
        </w:rPr>
      </w:pPr>
      <w:r w:rsidRPr="000B24A0">
        <w:rPr>
          <w:rFonts w:hint="eastAsia"/>
          <w:color w:val="000000"/>
          <w:sz w:val="28"/>
        </w:rPr>
        <w:t>C</w:t>
      </w:r>
      <w:r w:rsidRPr="000B24A0">
        <w:rPr>
          <w:rFonts w:hint="eastAsia"/>
          <w:color w:val="000000"/>
          <w:sz w:val="28"/>
        </w:rPr>
        <w:t>类基金份额销售服务费每日计提，逐日累计至每月月末，按月支付。由基金管理人向基金托管人发送销售服务费划付指令，基金托管人复核后于次月前</w:t>
      </w:r>
      <w:r w:rsidRPr="000B24A0">
        <w:rPr>
          <w:rFonts w:hint="eastAsia"/>
          <w:color w:val="000000"/>
          <w:sz w:val="28"/>
        </w:rPr>
        <w:t>5</w:t>
      </w:r>
      <w:r w:rsidRPr="000B24A0">
        <w:rPr>
          <w:rFonts w:hint="eastAsia"/>
          <w:color w:val="000000"/>
          <w:sz w:val="28"/>
        </w:rPr>
        <w:t>个工作日内从基金资产中一次性支付给基金管理人，由基金管理人代付给销售机构。</w:t>
      </w:r>
    </w:p>
    <w:p w14:paraId="409ED89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若遇不可抗力致使无法按时支付的，顺延至最近可支付日支付。</w:t>
      </w:r>
    </w:p>
    <w:p w14:paraId="28E87B37" w14:textId="45164850"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002765AD">
        <w:rPr>
          <w:rFonts w:hAnsi="宋体" w:hint="eastAsia"/>
          <w:color w:val="000000"/>
          <w:sz w:val="28"/>
        </w:rPr>
        <w:t>九</w:t>
      </w:r>
      <w:r w:rsidRPr="0061142D">
        <w:rPr>
          <w:rFonts w:hAnsi="宋体"/>
          <w:color w:val="000000"/>
          <w:sz w:val="28"/>
        </w:rPr>
        <w:t>）违规处理方式</w:t>
      </w:r>
    </w:p>
    <w:p w14:paraId="79CBBCB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14:paraId="1813296C" w14:textId="77777777" w:rsidR="009C2EF9" w:rsidRPr="0061142D" w:rsidRDefault="009C2EF9" w:rsidP="00EE5132">
      <w:pPr>
        <w:adjustRightInd w:val="0"/>
        <w:snapToGrid w:val="0"/>
        <w:spacing w:line="360" w:lineRule="auto"/>
        <w:ind w:firstLineChars="200" w:firstLine="560"/>
        <w:rPr>
          <w:color w:val="000000"/>
          <w:sz w:val="28"/>
        </w:rPr>
      </w:pPr>
    </w:p>
    <w:p w14:paraId="3228DA98" w14:textId="77777777" w:rsidR="009C2EF9" w:rsidRPr="0061142D" w:rsidRDefault="009C2EF9">
      <w:pPr>
        <w:pStyle w:val="2"/>
        <w:spacing w:line="360" w:lineRule="auto"/>
        <w:jc w:val="center"/>
        <w:rPr>
          <w:rFonts w:ascii="Times New Roman" w:eastAsia="宋体" w:hAnsi="Times New Roman"/>
          <w:color w:val="000000"/>
          <w:sz w:val="28"/>
        </w:rPr>
      </w:pPr>
      <w:bookmarkStart w:id="92" w:name="_Toc145818946"/>
      <w:r w:rsidRPr="0061142D">
        <w:rPr>
          <w:rFonts w:ascii="Times New Roman" w:eastAsia="宋体" w:hAnsi="宋体"/>
          <w:color w:val="000000"/>
          <w:sz w:val="28"/>
        </w:rPr>
        <w:t>十二、基金份额持有人名册的的登记与保管</w:t>
      </w:r>
      <w:bookmarkEnd w:id="92"/>
    </w:p>
    <w:p w14:paraId="6456C23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本基金的基金管理人和基金托管人须分别妥善保管的基金份额持有人名册，包括基金合同生效日、基金合同终止日、基金权益登记日、基金份额持有人大会权益登记日、每年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日的基金份额持有人名册。基金份额持有人名册的内容至少应包括持有人的名称和持有的基金份额。</w:t>
      </w:r>
    </w:p>
    <w:p w14:paraId="6F64F53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0F20454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基金管理人应及时向基金托管人提交基金份额持有人名册。每年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日和</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日的基金份额持有人名册应于下月前十个工作日内提交；基金合同生效日、基金合同终止日等涉及到基金重要事项日期的基金份额持有人名册应于发生日后十个工作日内提交。</w:t>
      </w:r>
    </w:p>
    <w:p w14:paraId="640D9545" w14:textId="2B3E05C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基金管理人和基金托管人应妥善保管基金份额持有人名册，保存期限</w:t>
      </w:r>
      <w:r w:rsidR="00800BE7" w:rsidRPr="00800BE7">
        <w:rPr>
          <w:rFonts w:hAnsi="宋体" w:hint="eastAsia"/>
          <w:color w:val="000000"/>
          <w:sz w:val="28"/>
        </w:rPr>
        <w:t>不低于法律法规规定的最低期限</w:t>
      </w:r>
      <w:r w:rsidRPr="0061142D">
        <w:rPr>
          <w:rFonts w:hAnsi="宋体"/>
          <w:color w:val="000000"/>
          <w:sz w:val="28"/>
        </w:rPr>
        <w:t>。基金托管人不得将所保管的基金份额持有人名册用于基金托管业务以外的其他用途，并应遵守保密</w:t>
      </w:r>
      <w:r w:rsidRPr="0061142D">
        <w:rPr>
          <w:rFonts w:hAnsi="宋体"/>
          <w:color w:val="000000"/>
          <w:sz w:val="28"/>
        </w:rPr>
        <w:lastRenderedPageBreak/>
        <w:t>义务。若基金管理人或基金托管人由于自身原因无法妥善保管基金份额持有人名册，应按有关法规规定各自承担相应的责任。</w:t>
      </w:r>
    </w:p>
    <w:p w14:paraId="78245CEB" w14:textId="77777777" w:rsidR="009C2EF9" w:rsidRPr="0061142D" w:rsidRDefault="009C2EF9" w:rsidP="0061142D">
      <w:pPr>
        <w:adjustRightInd w:val="0"/>
        <w:snapToGrid w:val="0"/>
        <w:spacing w:line="360" w:lineRule="auto"/>
        <w:ind w:firstLineChars="200" w:firstLine="560"/>
        <w:rPr>
          <w:color w:val="000000"/>
          <w:sz w:val="28"/>
        </w:rPr>
      </w:pPr>
    </w:p>
    <w:p w14:paraId="260D8FF2" w14:textId="77777777" w:rsidR="009C2EF9" w:rsidRPr="0061142D" w:rsidRDefault="009C2EF9">
      <w:pPr>
        <w:pStyle w:val="2"/>
        <w:spacing w:line="360" w:lineRule="auto"/>
        <w:jc w:val="center"/>
        <w:rPr>
          <w:rFonts w:ascii="Times New Roman" w:eastAsia="宋体" w:hAnsi="Times New Roman"/>
          <w:color w:val="000000"/>
          <w:sz w:val="28"/>
        </w:rPr>
      </w:pPr>
      <w:bookmarkStart w:id="93" w:name="_Toc145818947"/>
      <w:r w:rsidRPr="0061142D">
        <w:rPr>
          <w:rFonts w:ascii="Times New Roman" w:eastAsia="宋体" w:hAnsi="宋体"/>
          <w:color w:val="000000"/>
          <w:sz w:val="28"/>
        </w:rPr>
        <w:t>十三、基金有关文件档案的保存</w:t>
      </w:r>
      <w:bookmarkEnd w:id="93"/>
    </w:p>
    <w:p w14:paraId="7157F208"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（一）档案保存</w:t>
      </w:r>
    </w:p>
    <w:p w14:paraId="55ED02CF" w14:textId="30BD71AD"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6E6E5D" w:rsidRPr="006E6E5D">
        <w:rPr>
          <w:rFonts w:hAnsi="宋体" w:hint="eastAsia"/>
          <w:color w:val="000000"/>
          <w:sz w:val="28"/>
        </w:rPr>
        <w:t>不低于法律法规规定的最低期限</w:t>
      </w:r>
      <w:r w:rsidRPr="0061142D">
        <w:rPr>
          <w:rFonts w:hAnsi="宋体"/>
          <w:color w:val="000000"/>
          <w:sz w:val="28"/>
        </w:rPr>
        <w:t>。</w:t>
      </w:r>
    </w:p>
    <w:p w14:paraId="00919A3E"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（二）合同档案的建立</w:t>
      </w:r>
    </w:p>
    <w:p w14:paraId="6CD6E43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基金管理人代表基金签署与基金相关的重大合同文本后，应及时以加密方式将重大合同传真给基金托管人，并在十个工作日内将合同文本正本送达基金托管人处。</w:t>
      </w:r>
    </w:p>
    <w:p w14:paraId="0AFEB5FB"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（三）变更与协助</w:t>
      </w:r>
    </w:p>
    <w:p w14:paraId="689817A7" w14:textId="77777777" w:rsidR="009C2EF9" w:rsidRPr="0061142D" w:rsidRDefault="009C2EF9" w:rsidP="0061142D">
      <w:pPr>
        <w:adjustRightInd w:val="0"/>
        <w:snapToGrid w:val="0"/>
        <w:spacing w:line="360" w:lineRule="auto"/>
        <w:ind w:firstLineChars="200" w:firstLine="560"/>
        <w:rPr>
          <w:b/>
          <w:color w:val="000000"/>
          <w:sz w:val="28"/>
        </w:rPr>
      </w:pPr>
      <w:r w:rsidRPr="0061142D">
        <w:rPr>
          <w:rFonts w:hAnsi="宋体"/>
          <w:color w:val="000000"/>
          <w:sz w:val="28"/>
        </w:rPr>
        <w:t>若基金管理人</w:t>
      </w:r>
      <w:r w:rsidRPr="0061142D">
        <w:rPr>
          <w:color w:val="000000"/>
          <w:sz w:val="28"/>
        </w:rPr>
        <w:t>/</w:t>
      </w:r>
      <w:r w:rsidRPr="0061142D">
        <w:rPr>
          <w:rFonts w:hAnsi="宋体"/>
          <w:color w:val="000000"/>
          <w:sz w:val="28"/>
        </w:rPr>
        <w:t>基金托管人发生变更，未变更的一方有义务协助变更后的接任人接收相应文件。</w:t>
      </w:r>
    </w:p>
    <w:p w14:paraId="2DD047B9" w14:textId="167ED506"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（四）基金管理人和基金托管人应按各自职责完整保存原始凭证、记账凭证、基金账册、交易记录和重要合同等，承担保密义务并保存</w:t>
      </w:r>
      <w:r w:rsidR="004E71E6" w:rsidRPr="004E71E6">
        <w:rPr>
          <w:rFonts w:hAnsi="宋体" w:hint="eastAsia"/>
          <w:color w:val="000000"/>
          <w:sz w:val="28"/>
        </w:rPr>
        <w:t>不低于法律法规规定的最低期限</w:t>
      </w:r>
      <w:r w:rsidRPr="0061142D">
        <w:rPr>
          <w:rFonts w:hAnsi="宋体"/>
          <w:color w:val="000000"/>
          <w:sz w:val="28"/>
        </w:rPr>
        <w:t>。</w:t>
      </w:r>
    </w:p>
    <w:p w14:paraId="2A5C46D2" w14:textId="77777777" w:rsidR="009C2EF9" w:rsidRPr="0061142D" w:rsidRDefault="009C2EF9" w:rsidP="0061142D">
      <w:pPr>
        <w:adjustRightInd w:val="0"/>
        <w:snapToGrid w:val="0"/>
        <w:spacing w:line="360" w:lineRule="auto"/>
        <w:ind w:firstLineChars="200" w:firstLine="560"/>
        <w:rPr>
          <w:color w:val="000000"/>
          <w:sz w:val="28"/>
        </w:rPr>
      </w:pPr>
    </w:p>
    <w:p w14:paraId="3115AC20" w14:textId="77777777" w:rsidR="009C2EF9" w:rsidRPr="0061142D" w:rsidRDefault="009C2EF9">
      <w:pPr>
        <w:pStyle w:val="2"/>
        <w:spacing w:line="360" w:lineRule="auto"/>
        <w:jc w:val="center"/>
        <w:rPr>
          <w:rFonts w:ascii="Times New Roman" w:eastAsia="宋体" w:hAnsi="Times New Roman"/>
          <w:color w:val="000000"/>
          <w:sz w:val="28"/>
        </w:rPr>
      </w:pPr>
      <w:bookmarkStart w:id="94" w:name="_Toc145818948"/>
      <w:r w:rsidRPr="0061142D">
        <w:rPr>
          <w:rFonts w:ascii="Times New Roman" w:eastAsia="宋体" w:hAnsi="宋体"/>
          <w:color w:val="000000"/>
          <w:sz w:val="28"/>
        </w:rPr>
        <w:t>十四、基金管理人和基金托管人的更换</w:t>
      </w:r>
      <w:bookmarkEnd w:id="94"/>
    </w:p>
    <w:p w14:paraId="27790631"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（一）基金管理人的更换</w:t>
      </w:r>
    </w:p>
    <w:p w14:paraId="68EF52F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、基金管理人的更换条件</w:t>
      </w:r>
    </w:p>
    <w:p w14:paraId="404F1E1B"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lastRenderedPageBreak/>
        <w:t>有下列情形之一的，基金管理人职责终止：</w:t>
      </w:r>
    </w:p>
    <w:p w14:paraId="3642D11E"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基金管理人被依法取消其基金管理资格的；</w:t>
      </w:r>
    </w:p>
    <w:p w14:paraId="3C5D478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基金管理人解散、依法撤销或依法宣告破产；</w:t>
      </w:r>
    </w:p>
    <w:p w14:paraId="618E323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基金管理人被基金份额持有人大会解任；</w:t>
      </w:r>
    </w:p>
    <w:p w14:paraId="2729C4A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14:paraId="0869C52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、基金管理人的更换程序</w:t>
      </w:r>
    </w:p>
    <w:p w14:paraId="5CBD79DA"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更换基金管理人必须依照如下程序进行：</w:t>
      </w:r>
    </w:p>
    <w:p w14:paraId="6BF896B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提名：新任基金管理人由基金托管人或由单独或合计持有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）基金份额的基金份额持有人提名；</w:t>
      </w:r>
    </w:p>
    <w:p w14:paraId="3ABB6B6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决议：基金份额持有人大会在基金管理人职责终止后</w:t>
      </w:r>
      <w:r w:rsidRPr="0061142D">
        <w:rPr>
          <w:color w:val="000000"/>
          <w:sz w:val="28"/>
        </w:rPr>
        <w:t>6</w:t>
      </w:r>
      <w:r w:rsidRPr="0061142D">
        <w:rPr>
          <w:rFonts w:hAnsi="宋体"/>
          <w:color w:val="000000"/>
          <w:sz w:val="28"/>
        </w:rPr>
        <w:t>个月内对被提名的基金管理人形成决议，该决议需经参加大会的基金份额持有人所持表决权的</w:t>
      </w:r>
      <w:r w:rsidRPr="0061142D">
        <w:rPr>
          <w:color w:val="000000"/>
          <w:sz w:val="28"/>
        </w:rPr>
        <w:t>2/3</w:t>
      </w:r>
      <w:r w:rsidRPr="0061142D">
        <w:rPr>
          <w:rFonts w:hAnsi="宋体"/>
          <w:color w:val="000000"/>
          <w:sz w:val="28"/>
        </w:rPr>
        <w:t>以上（含</w:t>
      </w:r>
      <w:r w:rsidRPr="0061142D">
        <w:rPr>
          <w:color w:val="000000"/>
          <w:sz w:val="28"/>
        </w:rPr>
        <w:t>2/3</w:t>
      </w:r>
      <w:r w:rsidRPr="0061142D">
        <w:rPr>
          <w:rFonts w:hAnsi="宋体"/>
          <w:color w:val="000000"/>
          <w:sz w:val="28"/>
        </w:rPr>
        <w:t>）表决通过，新任基金管理人应当符合法律法规及中国证监会规定的资格条件；</w:t>
      </w:r>
    </w:p>
    <w:p w14:paraId="43146F2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临时基金管理人：新任基金管理人产生之前，由中国证监会指定临时基金管理人；</w:t>
      </w:r>
    </w:p>
    <w:p w14:paraId="01F8834F" w14:textId="0274269E"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004E66A7" w:rsidRPr="004E66A7">
        <w:rPr>
          <w:rFonts w:hAnsi="宋体" w:hint="eastAsia"/>
          <w:color w:val="000000"/>
          <w:sz w:val="28"/>
        </w:rPr>
        <w:t>备案：基金份额持有人大会更换基金管理人的决议须报中国证监会备案</w:t>
      </w:r>
      <w:r w:rsidRPr="0061142D">
        <w:rPr>
          <w:rFonts w:hAnsi="宋体"/>
          <w:color w:val="000000"/>
          <w:sz w:val="28"/>
        </w:rPr>
        <w:t>；</w:t>
      </w:r>
    </w:p>
    <w:p w14:paraId="35D22F43" w14:textId="2F5A45E6"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公告：基金管理人更换后，由基金托管人在</w:t>
      </w:r>
      <w:r w:rsidR="004E66A7" w:rsidRPr="004E66A7">
        <w:rPr>
          <w:rFonts w:hAnsi="宋体" w:hint="eastAsia"/>
          <w:color w:val="000000"/>
          <w:sz w:val="28"/>
        </w:rPr>
        <w:t>更换基金管理人的基金份额持有人大会决议生效后</w:t>
      </w:r>
      <w:r w:rsidRPr="0061142D">
        <w:rPr>
          <w:color w:val="000000"/>
          <w:sz w:val="28"/>
        </w:rPr>
        <w:t>2</w:t>
      </w:r>
      <w:r w:rsidRPr="0061142D">
        <w:rPr>
          <w:rFonts w:hAnsi="宋体"/>
          <w:color w:val="000000"/>
          <w:sz w:val="28"/>
        </w:rPr>
        <w:t>日内在</w:t>
      </w:r>
      <w:r w:rsidR="007C0C85">
        <w:rPr>
          <w:rFonts w:hAnsi="宋体"/>
          <w:color w:val="000000"/>
          <w:sz w:val="28"/>
        </w:rPr>
        <w:t>规定媒介</w:t>
      </w:r>
      <w:r w:rsidRPr="0061142D">
        <w:rPr>
          <w:rFonts w:hAnsi="宋体"/>
          <w:color w:val="000000"/>
          <w:sz w:val="28"/>
        </w:rPr>
        <w:t>公告；</w:t>
      </w:r>
    </w:p>
    <w:p w14:paraId="5B6BF4B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交接：基金管理人职责终止的，基金管理人应妥善保管基金管理业务资料，及时办理基金管理业务的移交手续，临时基金管理人或新任基金管理人应及时接收</w:t>
      </w:r>
      <w:r w:rsidR="00305D75" w:rsidRPr="0061142D">
        <w:rPr>
          <w:rFonts w:hAnsi="宋体"/>
          <w:color w:val="000000"/>
          <w:sz w:val="28"/>
        </w:rPr>
        <w:t>，</w:t>
      </w:r>
      <w:r w:rsidR="00302D6E" w:rsidRPr="0061142D">
        <w:rPr>
          <w:rFonts w:hAnsi="宋体"/>
          <w:color w:val="000000"/>
          <w:sz w:val="28"/>
        </w:rPr>
        <w:t>并与基金托管人核对基金资产总值和净值</w:t>
      </w:r>
      <w:r w:rsidRPr="0061142D">
        <w:rPr>
          <w:rFonts w:hAnsi="宋体"/>
          <w:color w:val="000000"/>
          <w:sz w:val="28"/>
        </w:rPr>
        <w:t>；</w:t>
      </w:r>
    </w:p>
    <w:p w14:paraId="5797ACA7" w14:textId="685CEFA6"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审计：基金管理人职责终止的，应当按照法律法规规定聘请</w:t>
      </w:r>
      <w:r w:rsidR="00F01354" w:rsidRPr="00F01354">
        <w:rPr>
          <w:rFonts w:hAnsi="宋体" w:hint="eastAsia"/>
          <w:color w:val="000000"/>
          <w:sz w:val="28"/>
        </w:rPr>
        <w:t>符合《中华人民共和国证券法》规定的</w:t>
      </w:r>
      <w:r w:rsidRPr="0061142D">
        <w:rPr>
          <w:rFonts w:hAnsi="宋体"/>
          <w:color w:val="000000"/>
          <w:sz w:val="28"/>
        </w:rPr>
        <w:t>会计师事务所对基金财产进行审</w:t>
      </w:r>
      <w:r w:rsidRPr="0061142D">
        <w:rPr>
          <w:rFonts w:hAnsi="宋体"/>
          <w:color w:val="000000"/>
          <w:sz w:val="28"/>
        </w:rPr>
        <w:lastRenderedPageBreak/>
        <w:t>计，并将审计结果予以公告，同时报中国证监会备案，审计费用在基金财产中列支；</w:t>
      </w:r>
    </w:p>
    <w:p w14:paraId="70C767E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基金名称变更：基金管理人更换后，如果原任或新任基金管理人要求，应按其要求替换或删除基金名称中与原基金管理人有关的名称字样。</w:t>
      </w:r>
    </w:p>
    <w:p w14:paraId="2CE9A53E"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（二）基金托管人的更换</w:t>
      </w:r>
    </w:p>
    <w:p w14:paraId="1A75087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、基金托管人的更换条件</w:t>
      </w:r>
    </w:p>
    <w:p w14:paraId="16D2F8B4" w14:textId="6F2CAB55"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有下列情形之一的，基金托管人职责终止：</w:t>
      </w:r>
    </w:p>
    <w:p w14:paraId="369BD6B3"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基金托管人被依法取消其基金托管资格的；</w:t>
      </w:r>
    </w:p>
    <w:p w14:paraId="13886B8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基金托管人解散、依法撤销或依法宣布破产；</w:t>
      </w:r>
    </w:p>
    <w:p w14:paraId="7392772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基金托管人被基金份额持有人大会解任；</w:t>
      </w:r>
    </w:p>
    <w:p w14:paraId="54F21432"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14:paraId="65FD93E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、基金托管人的更换程序</w:t>
      </w:r>
    </w:p>
    <w:p w14:paraId="4C20320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提名：新任基金托管人由基金管理人或由单独或合计持有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）基金份额的基金持有人提名；</w:t>
      </w:r>
    </w:p>
    <w:p w14:paraId="0A2B1A7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决议：基金份额持有人大会在基金托管人职责终止后</w:t>
      </w:r>
      <w:r w:rsidRPr="0061142D">
        <w:rPr>
          <w:color w:val="000000"/>
          <w:sz w:val="28"/>
        </w:rPr>
        <w:t>6</w:t>
      </w:r>
      <w:r w:rsidRPr="0061142D">
        <w:rPr>
          <w:rFonts w:hAnsi="宋体"/>
          <w:color w:val="000000"/>
          <w:sz w:val="28"/>
        </w:rPr>
        <w:t>个月内对被提名的基金托管人形成决议，该决议需经参加大会的基金份额持有人所持表决权的</w:t>
      </w:r>
      <w:r w:rsidRPr="0061142D">
        <w:rPr>
          <w:color w:val="000000"/>
          <w:sz w:val="28"/>
        </w:rPr>
        <w:t xml:space="preserve"> 2/3</w:t>
      </w:r>
      <w:r w:rsidRPr="0061142D">
        <w:rPr>
          <w:rFonts w:hAnsi="宋体"/>
          <w:color w:val="000000"/>
          <w:sz w:val="28"/>
        </w:rPr>
        <w:t>以上（含</w:t>
      </w:r>
      <w:r w:rsidRPr="0061142D">
        <w:rPr>
          <w:color w:val="000000"/>
          <w:sz w:val="28"/>
        </w:rPr>
        <w:t xml:space="preserve"> 2/3</w:t>
      </w:r>
      <w:r w:rsidRPr="0061142D">
        <w:rPr>
          <w:rFonts w:hAnsi="宋体"/>
          <w:color w:val="000000"/>
          <w:sz w:val="28"/>
        </w:rPr>
        <w:t>）表决通过，新任基金托管人应当符合法律法规及中国证监会规定的资格条件；</w:t>
      </w:r>
    </w:p>
    <w:p w14:paraId="32A339B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临时基金托管人：新任基金托管人产生之前，由中国证监会指定临时基金托管人；</w:t>
      </w:r>
    </w:p>
    <w:p w14:paraId="3AEA36AA" w14:textId="1FB5BDE3"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004E66A7" w:rsidRPr="004E66A7">
        <w:rPr>
          <w:rFonts w:hAnsi="宋体" w:hint="eastAsia"/>
          <w:color w:val="000000"/>
          <w:sz w:val="28"/>
        </w:rPr>
        <w:t>备案：基金份额持有人大会更换基金托管人的决议须报中国证监会备案</w:t>
      </w:r>
      <w:r w:rsidRPr="0061142D">
        <w:rPr>
          <w:rFonts w:hAnsi="宋体"/>
          <w:color w:val="000000"/>
          <w:sz w:val="28"/>
        </w:rPr>
        <w:t>；</w:t>
      </w:r>
    </w:p>
    <w:p w14:paraId="463FE409" w14:textId="4BDF13FF"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公告：基金托管人更换后，由基金管理人在</w:t>
      </w:r>
      <w:r w:rsidR="004E66A7" w:rsidRPr="004E66A7">
        <w:rPr>
          <w:rFonts w:hAnsi="宋体" w:hint="eastAsia"/>
          <w:color w:val="000000"/>
          <w:sz w:val="28"/>
        </w:rPr>
        <w:t>更换基金托管人的基金份额持有人大会决议生效后</w:t>
      </w:r>
      <w:r w:rsidRPr="0061142D">
        <w:rPr>
          <w:color w:val="000000"/>
          <w:sz w:val="28"/>
        </w:rPr>
        <w:t>2</w:t>
      </w:r>
      <w:r w:rsidRPr="0061142D">
        <w:rPr>
          <w:rFonts w:hAnsi="宋体"/>
          <w:color w:val="000000"/>
          <w:sz w:val="28"/>
        </w:rPr>
        <w:t>日内在</w:t>
      </w:r>
      <w:r w:rsidR="007C0C85">
        <w:rPr>
          <w:rFonts w:hAnsi="宋体"/>
          <w:color w:val="000000"/>
          <w:sz w:val="28"/>
        </w:rPr>
        <w:t>规定媒介</w:t>
      </w:r>
      <w:r w:rsidRPr="0061142D">
        <w:rPr>
          <w:rFonts w:hAnsi="宋体"/>
          <w:color w:val="000000"/>
          <w:sz w:val="28"/>
        </w:rPr>
        <w:t>公告；</w:t>
      </w:r>
    </w:p>
    <w:p w14:paraId="1C1C03A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(6)</w:t>
      </w:r>
      <w:r w:rsidRPr="0061142D">
        <w:rPr>
          <w:rFonts w:hAnsi="宋体"/>
          <w:color w:val="000000"/>
          <w:sz w:val="28"/>
        </w:rPr>
        <w:t>交接：基金托管人职责终止的，应当妥善保管基金财产和基金托管业务资料，及时办理基金财产和基金托管业务的移交手续，新任基金托管人或者临时基金托管人应当及时接收</w:t>
      </w:r>
      <w:r w:rsidR="0087516D">
        <w:rPr>
          <w:color w:val="000000"/>
          <w:sz w:val="28"/>
        </w:rPr>
        <w:t>，</w:t>
      </w:r>
      <w:r w:rsidR="00302D6E" w:rsidRPr="0061142D">
        <w:rPr>
          <w:rFonts w:hAnsi="宋体"/>
          <w:color w:val="000000"/>
          <w:sz w:val="28"/>
        </w:rPr>
        <w:t>并与基金管理人核对基金资产总值和净值</w:t>
      </w:r>
      <w:r w:rsidRPr="0061142D">
        <w:rPr>
          <w:rFonts w:hAnsi="宋体"/>
          <w:color w:val="000000"/>
          <w:sz w:val="28"/>
        </w:rPr>
        <w:t>；</w:t>
      </w:r>
      <w:r w:rsidRPr="0061142D">
        <w:rPr>
          <w:color w:val="000000"/>
          <w:sz w:val="28"/>
        </w:rPr>
        <w:t xml:space="preserve"> </w:t>
      </w:r>
    </w:p>
    <w:p w14:paraId="79C554CA" w14:textId="4FFB9CB2"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审计：基金托管人职责终止的，应当按照法律法规规定聘请</w:t>
      </w:r>
      <w:r w:rsidR="00BA06FC" w:rsidRPr="00BA06FC">
        <w:rPr>
          <w:rFonts w:hAnsi="宋体" w:hint="eastAsia"/>
          <w:color w:val="000000"/>
          <w:sz w:val="28"/>
        </w:rPr>
        <w:t>符合《中华人民共和国证券法》规定的</w:t>
      </w:r>
      <w:r w:rsidRPr="0061142D">
        <w:rPr>
          <w:rFonts w:hAnsi="宋体"/>
          <w:color w:val="000000"/>
          <w:sz w:val="28"/>
        </w:rPr>
        <w:t>会计师事务所对基金财产进行审计，并将审计结果予以公告，同时报中国证监会备案，审计费用从基金财产中列支。</w:t>
      </w:r>
    </w:p>
    <w:p w14:paraId="2252C6E4"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（三）基金管理人与基金托管人同时更换</w:t>
      </w:r>
    </w:p>
    <w:p w14:paraId="5CA4D5E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、提名：如果基金管理人和基金托管人同时更换，由单独或合计持有基金总份额</w:t>
      </w:r>
      <w:r w:rsidRPr="0061142D">
        <w:rPr>
          <w:color w:val="000000"/>
          <w:sz w:val="28"/>
        </w:rPr>
        <w:t>10%</w:t>
      </w:r>
      <w:r w:rsidRPr="0061142D">
        <w:rPr>
          <w:rFonts w:hAnsi="宋体"/>
          <w:color w:val="000000"/>
          <w:sz w:val="28"/>
        </w:rPr>
        <w:t>以上的基金份额持有人提名新的基金管理人和基金托管人；</w:t>
      </w:r>
    </w:p>
    <w:p w14:paraId="3AAE8D7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、基金管理人和基金托管人的更换分别按上述程序进行；</w:t>
      </w:r>
    </w:p>
    <w:p w14:paraId="55757E1F" w14:textId="02A5E492"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、公告：新任基金管理人和新任基金托管人</w:t>
      </w:r>
      <w:r w:rsidRPr="0061142D">
        <w:rPr>
          <w:rFonts w:hAnsi="宋体"/>
          <w:sz w:val="28"/>
        </w:rPr>
        <w:t>应</w:t>
      </w:r>
      <w:r w:rsidRPr="0061142D">
        <w:rPr>
          <w:rFonts w:hAnsi="宋体"/>
          <w:color w:val="000000"/>
          <w:sz w:val="28"/>
        </w:rPr>
        <w:t>在</w:t>
      </w:r>
      <w:r w:rsidRPr="0061142D">
        <w:rPr>
          <w:rFonts w:hAnsi="宋体"/>
          <w:sz w:val="28"/>
        </w:rPr>
        <w:t>更换基金管理人和基金托管人的基金份额持有人大会决议</w:t>
      </w:r>
      <w:r w:rsidR="004E66A7">
        <w:rPr>
          <w:rFonts w:hAnsi="宋体"/>
          <w:sz w:val="28"/>
        </w:rPr>
        <w:t>生效</w:t>
      </w:r>
      <w:r w:rsidRPr="0061142D">
        <w:rPr>
          <w:rFonts w:hAnsi="宋体"/>
          <w:color w:val="000000"/>
          <w:sz w:val="28"/>
        </w:rPr>
        <w:t>后</w:t>
      </w:r>
      <w:r w:rsidRPr="0061142D">
        <w:rPr>
          <w:color w:val="000000"/>
          <w:sz w:val="28"/>
        </w:rPr>
        <w:t>2</w:t>
      </w:r>
      <w:r w:rsidRPr="0061142D">
        <w:rPr>
          <w:rFonts w:hAnsi="宋体"/>
          <w:color w:val="000000"/>
          <w:sz w:val="28"/>
        </w:rPr>
        <w:t>日内依照有关规定在</w:t>
      </w:r>
      <w:r w:rsidR="007C0C85">
        <w:rPr>
          <w:rFonts w:hAnsi="宋体"/>
          <w:color w:val="000000"/>
          <w:sz w:val="28"/>
        </w:rPr>
        <w:t>规定媒介</w:t>
      </w:r>
      <w:r w:rsidRPr="0061142D">
        <w:rPr>
          <w:rFonts w:hAnsi="宋体"/>
          <w:color w:val="000000"/>
          <w:sz w:val="28"/>
        </w:rPr>
        <w:t>上联合公告。</w:t>
      </w:r>
    </w:p>
    <w:p w14:paraId="1774431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（四）新基金管理人接受基金管理或新基金托管人或接受基金财产和基金托管业务前，原基金管理人或基金托管人应</w:t>
      </w:r>
      <w:r w:rsidRPr="0061142D">
        <w:rPr>
          <w:rFonts w:hAnsi="宋体"/>
          <w:sz w:val="28"/>
        </w:rPr>
        <w:t>依据法律法规和基金合同的规定</w:t>
      </w:r>
      <w:r w:rsidRPr="0061142D">
        <w:rPr>
          <w:rFonts w:hAnsi="宋体"/>
          <w:color w:val="000000"/>
          <w:sz w:val="28"/>
        </w:rPr>
        <w:t>继续履行相关职责，并保证不对基金份额持有人的利益造成损害。</w:t>
      </w:r>
    </w:p>
    <w:p w14:paraId="623E2B9B" w14:textId="77777777" w:rsidR="009C2EF9" w:rsidRPr="0061142D" w:rsidRDefault="009C2EF9" w:rsidP="0061142D">
      <w:pPr>
        <w:adjustRightInd w:val="0"/>
        <w:snapToGrid w:val="0"/>
        <w:spacing w:line="360" w:lineRule="auto"/>
        <w:ind w:firstLineChars="200" w:firstLine="560"/>
        <w:rPr>
          <w:color w:val="000000"/>
          <w:sz w:val="28"/>
        </w:rPr>
      </w:pPr>
    </w:p>
    <w:p w14:paraId="061BD53E" w14:textId="77777777" w:rsidR="009C2EF9" w:rsidRPr="0061142D" w:rsidRDefault="009C2EF9">
      <w:pPr>
        <w:pStyle w:val="2"/>
        <w:spacing w:line="360" w:lineRule="auto"/>
        <w:jc w:val="center"/>
        <w:rPr>
          <w:rFonts w:ascii="Times New Roman" w:eastAsia="宋体" w:hAnsi="Times New Roman"/>
          <w:color w:val="000000"/>
          <w:sz w:val="28"/>
        </w:rPr>
      </w:pPr>
      <w:bookmarkStart w:id="95" w:name="_Toc145818949"/>
      <w:r w:rsidRPr="0061142D">
        <w:rPr>
          <w:rFonts w:ascii="Times New Roman" w:eastAsia="宋体" w:hAnsi="宋体"/>
          <w:color w:val="000000"/>
          <w:sz w:val="28"/>
        </w:rPr>
        <w:t>十五、禁止行为</w:t>
      </w:r>
      <w:bookmarkEnd w:id="95"/>
    </w:p>
    <w:p w14:paraId="74D06FA1"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托管协议当事人禁止从事的行为，包括但不限于：</w:t>
      </w:r>
    </w:p>
    <w:p w14:paraId="7B5777F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（一）基金管理人、基金托管人将其固有财产或者他人财产混同</w:t>
      </w:r>
      <w:r w:rsidRPr="0061142D">
        <w:rPr>
          <w:rFonts w:hAnsi="宋体"/>
          <w:color w:val="000000"/>
          <w:sz w:val="28"/>
        </w:rPr>
        <w:lastRenderedPageBreak/>
        <w:t>于基金财产从事证券投资。</w:t>
      </w:r>
    </w:p>
    <w:p w14:paraId="65A1F799"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（二）基金管理人不公平地对待其管理的不同基金财产。基金托管人不公平地对待其托管的不同基金财产。</w:t>
      </w:r>
    </w:p>
    <w:p w14:paraId="11A4A3B1"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（三）基金管理人、基金托管人利用基金财产为基金份额持有人以外的第三人牟取利益。</w:t>
      </w:r>
    </w:p>
    <w:p w14:paraId="7428817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（四）基金管理人、基金托管人向基金份额持有人违规承诺收益或者承担损失。</w:t>
      </w:r>
    </w:p>
    <w:p w14:paraId="50FC5720"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（五）基金管理人、基金托管人对他人泄漏基金经营过程中任何尚未按法律法规规定的方式公开披露的信息。</w:t>
      </w:r>
    </w:p>
    <w:p w14:paraId="7BA741CF" w14:textId="77777777" w:rsidR="009C2EF9" w:rsidRPr="0061142D" w:rsidRDefault="009C2EF9" w:rsidP="0061142D">
      <w:pPr>
        <w:pStyle w:val="Style6"/>
        <w:spacing w:line="360" w:lineRule="auto"/>
        <w:ind w:firstLine="560"/>
        <w:outlineLvl w:val="0"/>
        <w:rPr>
          <w:rFonts w:ascii="Times New Roman" w:eastAsia="宋体" w:hAnsi="Times New Roman"/>
          <w:sz w:val="28"/>
        </w:rPr>
      </w:pPr>
      <w:r w:rsidRPr="0061142D">
        <w:rPr>
          <w:rFonts w:ascii="Times New Roman" w:eastAsia="宋体"/>
          <w:sz w:val="28"/>
        </w:rPr>
        <w:t>（六）基金管理人在没有充足资金的情况下向基金托管人发出投资指令和付款指令，或违规向基金托管人发出指令。</w:t>
      </w:r>
    </w:p>
    <w:p w14:paraId="5A94A493"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（七）基金管理人、基金托管人在行政上、财务上不独立</w:t>
      </w:r>
      <w:r w:rsidR="0087516D">
        <w:rPr>
          <w:color w:val="000000"/>
          <w:sz w:val="28"/>
        </w:rPr>
        <w:t>，</w:t>
      </w:r>
      <w:r w:rsidRPr="0061142D">
        <w:rPr>
          <w:rFonts w:hAnsi="宋体"/>
          <w:color w:val="000000"/>
          <w:sz w:val="28"/>
        </w:rPr>
        <w:t>其高级管理人员和</w:t>
      </w:r>
      <w:r w:rsidRPr="0061142D">
        <w:rPr>
          <w:rFonts w:hAnsi="宋体"/>
          <w:sz w:val="28"/>
        </w:rPr>
        <w:t>其他从业人员相互</w:t>
      </w:r>
      <w:r w:rsidRPr="0061142D">
        <w:rPr>
          <w:rFonts w:hAnsi="宋体"/>
          <w:color w:val="000000"/>
          <w:sz w:val="28"/>
        </w:rPr>
        <w:t>兼职。</w:t>
      </w:r>
    </w:p>
    <w:p w14:paraId="137A775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（八）基金托管人私自动用或处分基金资产，根据基金管理人的合法指令、基金合同或托管协议的规定进行处分的除外。</w:t>
      </w:r>
    </w:p>
    <w:p w14:paraId="5C411993"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（九）基金财产用于下列投资或者活动：</w:t>
      </w:r>
    </w:p>
    <w:p w14:paraId="487EF57E"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、承销证券；</w:t>
      </w:r>
    </w:p>
    <w:p w14:paraId="499CBB7D" w14:textId="0AC75D88"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w:t>
      </w:r>
      <w:r w:rsidR="004E66A7">
        <w:rPr>
          <w:rFonts w:hAnsi="宋体"/>
          <w:color w:val="000000"/>
          <w:sz w:val="28"/>
        </w:rPr>
        <w:t>违反规定</w:t>
      </w:r>
      <w:r w:rsidRPr="0061142D">
        <w:rPr>
          <w:rFonts w:hAnsi="宋体"/>
          <w:color w:val="000000"/>
          <w:sz w:val="28"/>
        </w:rPr>
        <w:t>向他人贷款或者提供担保；</w:t>
      </w:r>
    </w:p>
    <w:p w14:paraId="1CD186A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、从事承担无限责任的投资；</w:t>
      </w:r>
    </w:p>
    <w:p w14:paraId="2D2758C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、买卖其他基金份额，但是法律法规或国务院另有规定的除外；</w:t>
      </w:r>
    </w:p>
    <w:p w14:paraId="5985DFA0" w14:textId="38A2E42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、向其基金管理人、基金托管人出资；</w:t>
      </w:r>
    </w:p>
    <w:p w14:paraId="6FB1F2C1" w14:textId="79AF535A" w:rsidR="009C2EF9" w:rsidRPr="0061142D" w:rsidRDefault="004E66A7" w:rsidP="0061142D">
      <w:pPr>
        <w:adjustRightInd w:val="0"/>
        <w:snapToGrid w:val="0"/>
        <w:spacing w:line="360" w:lineRule="auto"/>
        <w:ind w:firstLineChars="200" w:firstLine="560"/>
        <w:rPr>
          <w:color w:val="000000"/>
          <w:sz w:val="28"/>
        </w:rPr>
      </w:pPr>
      <w:r>
        <w:rPr>
          <w:color w:val="000000"/>
          <w:sz w:val="28"/>
        </w:rPr>
        <w:t>6</w:t>
      </w:r>
      <w:r w:rsidR="009C2EF9" w:rsidRPr="0061142D">
        <w:rPr>
          <w:rFonts w:hAnsi="宋体"/>
          <w:color w:val="000000"/>
          <w:sz w:val="28"/>
        </w:rPr>
        <w:t>、从事内幕交易、操纵证券交易价格及其他不正当的证券交易活动；</w:t>
      </w:r>
    </w:p>
    <w:p w14:paraId="18BAC157" w14:textId="561DA59F" w:rsidR="009C2EF9" w:rsidRPr="0061142D" w:rsidRDefault="004E66A7" w:rsidP="0061142D">
      <w:pPr>
        <w:adjustRightInd w:val="0"/>
        <w:snapToGrid w:val="0"/>
        <w:spacing w:line="360" w:lineRule="auto"/>
        <w:ind w:firstLineChars="200" w:firstLine="560"/>
        <w:rPr>
          <w:color w:val="000000"/>
          <w:sz w:val="28"/>
        </w:rPr>
      </w:pPr>
      <w:r>
        <w:rPr>
          <w:color w:val="000000"/>
          <w:sz w:val="28"/>
        </w:rPr>
        <w:t>7</w:t>
      </w:r>
      <w:r w:rsidR="009C2EF9" w:rsidRPr="0061142D">
        <w:rPr>
          <w:rFonts w:hAnsi="宋体"/>
          <w:color w:val="000000"/>
          <w:sz w:val="28"/>
        </w:rPr>
        <w:t>、依照法律</w:t>
      </w:r>
      <w:r>
        <w:rPr>
          <w:rFonts w:hAnsi="宋体" w:hint="eastAsia"/>
          <w:color w:val="000000"/>
          <w:sz w:val="28"/>
        </w:rPr>
        <w:t>、</w:t>
      </w:r>
      <w:r>
        <w:rPr>
          <w:rFonts w:hAnsi="宋体"/>
          <w:color w:val="000000"/>
          <w:sz w:val="28"/>
        </w:rPr>
        <w:t>行政</w:t>
      </w:r>
      <w:r w:rsidR="009C2EF9" w:rsidRPr="0061142D">
        <w:rPr>
          <w:rFonts w:hAnsi="宋体"/>
          <w:color w:val="000000"/>
          <w:sz w:val="28"/>
        </w:rPr>
        <w:t>法规有关规定，由中国证监会规定禁止的其他活动。</w:t>
      </w:r>
    </w:p>
    <w:p w14:paraId="4F97D762"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lastRenderedPageBreak/>
        <w:t>法律法规或监管部门取消上述禁止性规定的，如适用于本基金，</w:t>
      </w:r>
      <w:r w:rsidR="00B86B58" w:rsidRPr="0061142D">
        <w:rPr>
          <w:rFonts w:hAnsi="宋体"/>
          <w:color w:val="000000"/>
          <w:sz w:val="28"/>
        </w:rPr>
        <w:t>在</w:t>
      </w:r>
      <w:r w:rsidRPr="0061142D">
        <w:rPr>
          <w:rFonts w:hAnsi="宋体"/>
          <w:color w:val="000000"/>
          <w:sz w:val="28"/>
        </w:rPr>
        <w:t>履行适当程序后，则本基金投资不受上述相关限制。</w:t>
      </w:r>
    </w:p>
    <w:p w14:paraId="0F2EADF6"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（十）法律法规和基金合同禁止的其他行为，以及依照法律、行政法规有关规定，由中国证监会规定禁止基金管理人、基金托管人从事的其他行为。</w:t>
      </w:r>
    </w:p>
    <w:p w14:paraId="0CD4644D" w14:textId="77777777" w:rsidR="009C2EF9" w:rsidRPr="0061142D" w:rsidRDefault="009C2EF9" w:rsidP="0061142D">
      <w:pPr>
        <w:adjustRightInd w:val="0"/>
        <w:snapToGrid w:val="0"/>
        <w:spacing w:line="360" w:lineRule="auto"/>
        <w:ind w:firstLineChars="200" w:firstLine="560"/>
        <w:rPr>
          <w:color w:val="000000"/>
          <w:sz w:val="28"/>
        </w:rPr>
      </w:pPr>
    </w:p>
    <w:p w14:paraId="4B189EB6" w14:textId="77777777" w:rsidR="009C2EF9" w:rsidRPr="0061142D" w:rsidRDefault="009C2EF9">
      <w:pPr>
        <w:pStyle w:val="2"/>
        <w:spacing w:line="360" w:lineRule="auto"/>
        <w:jc w:val="center"/>
        <w:rPr>
          <w:rFonts w:ascii="Times New Roman" w:eastAsia="宋体" w:hAnsi="Times New Roman"/>
          <w:color w:val="000000"/>
          <w:sz w:val="28"/>
        </w:rPr>
      </w:pPr>
      <w:bookmarkStart w:id="96" w:name="_Toc145818950"/>
      <w:r w:rsidRPr="0061142D">
        <w:rPr>
          <w:rFonts w:ascii="Times New Roman" w:eastAsia="宋体" w:hAnsi="宋体"/>
          <w:color w:val="000000"/>
          <w:sz w:val="28"/>
        </w:rPr>
        <w:t>十六、托管协议的变更、终止与基金财产的清算</w:t>
      </w:r>
      <w:bookmarkEnd w:id="96"/>
    </w:p>
    <w:p w14:paraId="0A8D8390"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（一）托管协议的变更程序</w:t>
      </w:r>
    </w:p>
    <w:p w14:paraId="71FCDDD0" w14:textId="040E4DB1"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本协议双方当事人经协商一致，可以对协议进行修改。修改后的新协议，其内容不得与基金合同的规定有任何冲突。基金托管协议的变更报中国证监会备案。</w:t>
      </w:r>
    </w:p>
    <w:p w14:paraId="0CD65EBD"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（二）基金托管协议终止的情形</w:t>
      </w:r>
    </w:p>
    <w:p w14:paraId="16FD3AF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w:t>
      </w:r>
    </w:p>
    <w:p w14:paraId="0BCC32C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、基金托管人解散、依法被撤销、破产或由其他基金托管人接管基金资产；</w:t>
      </w:r>
    </w:p>
    <w:p w14:paraId="33C4F1B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、基金管理人解散、依法被撤销、破产或由其他基金管理人接管基金管理权；</w:t>
      </w:r>
    </w:p>
    <w:p w14:paraId="2579786F"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、发生法律法规或基金合同规定的终止事项。</w:t>
      </w:r>
    </w:p>
    <w:p w14:paraId="400DFF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（三）基金财产的清算</w:t>
      </w:r>
    </w:p>
    <w:p w14:paraId="740944E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、基金财产清算小组</w:t>
      </w:r>
    </w:p>
    <w:p w14:paraId="22A4664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自出现基金合同终止事由之日起</w:t>
      </w:r>
      <w:r w:rsidRPr="0061142D">
        <w:rPr>
          <w:color w:val="000000"/>
          <w:sz w:val="28"/>
        </w:rPr>
        <w:t>30</w:t>
      </w:r>
      <w:r w:rsidRPr="0061142D">
        <w:rPr>
          <w:rFonts w:hAnsi="宋体"/>
          <w:color w:val="000000"/>
          <w:sz w:val="28"/>
        </w:rPr>
        <w:t>个工作日内成立基金财产清算小组，基金管理人组织基金财产清算小组在中国证监会的监督下进行基金清算。</w:t>
      </w:r>
    </w:p>
    <w:p w14:paraId="17F35821" w14:textId="313E75C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基金财产清算小组成员由基金管理人、基金托管人、</w:t>
      </w:r>
      <w:r w:rsidR="007968AB" w:rsidRPr="007968AB">
        <w:rPr>
          <w:rFonts w:hAnsi="宋体" w:hint="eastAsia"/>
          <w:color w:val="000000"/>
          <w:sz w:val="28"/>
        </w:rPr>
        <w:t>符合《中</w:t>
      </w:r>
      <w:r w:rsidR="007968AB" w:rsidRPr="007968AB">
        <w:rPr>
          <w:rFonts w:hAnsi="宋体" w:hint="eastAsia"/>
          <w:color w:val="000000"/>
          <w:sz w:val="28"/>
        </w:rPr>
        <w:lastRenderedPageBreak/>
        <w:t>华人民共和国证券法》规定</w:t>
      </w:r>
      <w:r w:rsidRPr="0061142D">
        <w:rPr>
          <w:rFonts w:hAnsi="宋体"/>
          <w:color w:val="000000"/>
          <w:sz w:val="28"/>
        </w:rPr>
        <w:t>的注册会计师、律师以及中国证监会指定的人员组成。基金财产清算小组可以聘用必要的工作人员。</w:t>
      </w:r>
    </w:p>
    <w:p w14:paraId="6D88AA4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在基金财产清算过程中，基金管理人和基金托管人应各自履行职责，继续忠实、勤勉、尽责地履行基金合同和本托管协议规定的义务，维护基金份额持有人的合法权益。</w:t>
      </w:r>
    </w:p>
    <w:p w14:paraId="2EF939C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基金财产清算小组负责基金财产的保管、清理、估价、变现和分配。基金财产清算小组可以依法进行必要的民事活动。</w:t>
      </w:r>
    </w:p>
    <w:p w14:paraId="2A2AC5B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、基金财产清算程序</w:t>
      </w:r>
    </w:p>
    <w:p w14:paraId="45EEB978"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基金合同终止情形出现时，由基金财产清算小组统一接管基金；</w:t>
      </w:r>
    </w:p>
    <w:p w14:paraId="724E03D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对基金财产和债权债务进行清理和确认；</w:t>
      </w:r>
    </w:p>
    <w:p w14:paraId="35F6216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对基金财产进行估值和变现；</w:t>
      </w:r>
    </w:p>
    <w:p w14:paraId="3E6B4AC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编制清算报告；</w:t>
      </w:r>
    </w:p>
    <w:p w14:paraId="352155A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聘请会计师事务所对清算报告进行外部审计；</w:t>
      </w:r>
    </w:p>
    <w:p w14:paraId="5AE047A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聘请律师事务所对清算报告出具法律意见书；</w:t>
      </w:r>
    </w:p>
    <w:p w14:paraId="6928C26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将基金清算结果报告中国证监会备案；</w:t>
      </w:r>
    </w:p>
    <w:p w14:paraId="5BB6DE3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公布基金清算报告；</w:t>
      </w:r>
    </w:p>
    <w:p w14:paraId="11785E18"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(9)</w:t>
      </w:r>
      <w:r w:rsidRPr="0061142D">
        <w:rPr>
          <w:rFonts w:hAnsi="宋体"/>
          <w:color w:val="000000"/>
          <w:sz w:val="28"/>
        </w:rPr>
        <w:t>对基金剩余财产进行分配。</w:t>
      </w:r>
    </w:p>
    <w:p w14:paraId="51BE7E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基金财产清算的期限为</w:t>
      </w:r>
      <w:r w:rsidRPr="0061142D">
        <w:rPr>
          <w:color w:val="000000"/>
          <w:sz w:val="28"/>
        </w:rPr>
        <w:t>6</w:t>
      </w:r>
      <w:r w:rsidRPr="0061142D">
        <w:rPr>
          <w:rFonts w:hAnsi="宋体"/>
          <w:color w:val="000000"/>
          <w:sz w:val="28"/>
        </w:rPr>
        <w:t>个月，若遇基金持有的股票或其他有价证券出现长期休市、停牌或其他流通受限的情形除外。</w:t>
      </w:r>
    </w:p>
    <w:p w14:paraId="140164E3"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、清算费用</w:t>
      </w:r>
    </w:p>
    <w:p w14:paraId="1488226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清算费用是指基金财产清算小组在进行基金清算过程中发生的所有合理费用，清算费用由基金财产清算小组优先从基金财产中支付。</w:t>
      </w:r>
    </w:p>
    <w:p w14:paraId="459D476D"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、基金财产按下列顺序清偿：</w:t>
      </w:r>
    </w:p>
    <w:p w14:paraId="3DC9F14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支付清算费用；</w:t>
      </w:r>
    </w:p>
    <w:p w14:paraId="073ABC2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交纳所欠税款；</w:t>
      </w:r>
    </w:p>
    <w:p w14:paraId="7350682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(3)</w:t>
      </w:r>
      <w:r w:rsidRPr="0061142D">
        <w:rPr>
          <w:rFonts w:hAnsi="宋体"/>
          <w:color w:val="000000"/>
          <w:sz w:val="28"/>
        </w:rPr>
        <w:t>清偿基金债务；</w:t>
      </w:r>
    </w:p>
    <w:p w14:paraId="6EB8670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按基金份额持有人持有的基金份额比例进行分配。</w:t>
      </w:r>
    </w:p>
    <w:p w14:paraId="3356314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基金财产未按前款</w:t>
      </w:r>
      <w:r w:rsidRPr="0061142D">
        <w:rPr>
          <w:color w:val="000000"/>
          <w:sz w:val="28"/>
        </w:rPr>
        <w:t>(1)</w:t>
      </w:r>
      <w:r w:rsidRPr="0061142D">
        <w:rPr>
          <w:rFonts w:hAnsi="宋体"/>
          <w:color w:val="000000"/>
          <w:sz w:val="28"/>
        </w:rPr>
        <w:t>－</w:t>
      </w:r>
      <w:r w:rsidRPr="0061142D">
        <w:rPr>
          <w:color w:val="000000"/>
          <w:sz w:val="28"/>
        </w:rPr>
        <w:t>(3)</w:t>
      </w:r>
      <w:r w:rsidRPr="0061142D">
        <w:rPr>
          <w:rFonts w:hAnsi="宋体"/>
          <w:color w:val="000000"/>
          <w:sz w:val="28"/>
        </w:rPr>
        <w:t>项规定清偿前，不分配给基金份额持有人。</w:t>
      </w:r>
    </w:p>
    <w:p w14:paraId="0CACEBED"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、基金财产清算的公告</w:t>
      </w:r>
    </w:p>
    <w:p w14:paraId="60E39DFD" w14:textId="6276A465"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清算过程中的有关重大事项须及时公告；基金财产清算报告经</w:t>
      </w:r>
      <w:r w:rsidR="00920EF0" w:rsidRPr="00920EF0">
        <w:rPr>
          <w:rFonts w:hAnsi="宋体" w:hint="eastAsia"/>
          <w:color w:val="000000"/>
          <w:sz w:val="28"/>
        </w:rPr>
        <w:t>符合《中华人民共和国证券法》规定</w:t>
      </w:r>
      <w:r w:rsidRPr="0061142D">
        <w:rPr>
          <w:rFonts w:hAnsi="宋体"/>
          <w:color w:val="000000"/>
          <w:sz w:val="28"/>
        </w:rPr>
        <w:t>会计师事务所审计，律师事务所出具法律意见书后，由基金财产清算小组报中国证监会备案并公告。基金财产清算公告于基金财产清算报告报中国证监会备案后</w:t>
      </w:r>
      <w:r w:rsidRPr="0061142D">
        <w:rPr>
          <w:color w:val="000000"/>
          <w:sz w:val="28"/>
        </w:rPr>
        <w:t>5</w:t>
      </w:r>
      <w:r w:rsidRPr="0061142D">
        <w:rPr>
          <w:rFonts w:hAnsi="宋体"/>
          <w:color w:val="000000"/>
          <w:sz w:val="28"/>
        </w:rPr>
        <w:t>个工作日内由基金财产清算小组进行公告</w:t>
      </w:r>
      <w:r w:rsidR="004057B7" w:rsidRPr="004057B7">
        <w:rPr>
          <w:rFonts w:hAnsi="宋体" w:hint="eastAsia"/>
          <w:bCs/>
          <w:color w:val="000000"/>
          <w:sz w:val="28"/>
        </w:rPr>
        <w:t>，基金财产清算小组应当将清算报告登载在规定网站上，并将清算报告提示性公告登载在规定报刊上</w:t>
      </w:r>
      <w:r w:rsidRPr="0061142D">
        <w:rPr>
          <w:rFonts w:hAnsi="宋体"/>
          <w:color w:val="000000"/>
          <w:sz w:val="28"/>
        </w:rPr>
        <w:t>。</w:t>
      </w:r>
    </w:p>
    <w:p w14:paraId="1730EA4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、基金财产清算账册及文件的保存</w:t>
      </w:r>
    </w:p>
    <w:p w14:paraId="4A984078" w14:textId="60295E2A"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基金财产清算账册及有关文件由基金托管人保存</w:t>
      </w:r>
      <w:r w:rsidR="00C4153A" w:rsidRPr="00C4153A">
        <w:rPr>
          <w:rFonts w:hint="eastAsia"/>
          <w:color w:val="000000"/>
          <w:sz w:val="28"/>
        </w:rPr>
        <w:t>不低于法律法规规定的最低期限</w:t>
      </w:r>
      <w:r w:rsidRPr="0061142D">
        <w:rPr>
          <w:rFonts w:hAnsi="宋体"/>
          <w:color w:val="000000"/>
          <w:sz w:val="28"/>
        </w:rPr>
        <w:t>。</w:t>
      </w:r>
    </w:p>
    <w:p w14:paraId="4DEE088B" w14:textId="77777777" w:rsidR="009C2EF9" w:rsidRPr="0061142D" w:rsidRDefault="009C2EF9" w:rsidP="0061142D">
      <w:pPr>
        <w:adjustRightInd w:val="0"/>
        <w:snapToGrid w:val="0"/>
        <w:spacing w:line="360" w:lineRule="auto"/>
        <w:ind w:firstLineChars="200" w:firstLine="560"/>
        <w:rPr>
          <w:color w:val="000000"/>
          <w:sz w:val="28"/>
        </w:rPr>
      </w:pPr>
    </w:p>
    <w:p w14:paraId="3FCAAB3E" w14:textId="77777777" w:rsidR="009C2EF9" w:rsidRPr="0061142D" w:rsidRDefault="009C2EF9">
      <w:pPr>
        <w:pStyle w:val="2"/>
        <w:spacing w:line="360" w:lineRule="auto"/>
        <w:jc w:val="center"/>
        <w:rPr>
          <w:rFonts w:ascii="Times New Roman" w:eastAsia="宋体" w:hAnsi="Times New Roman"/>
          <w:color w:val="000000"/>
          <w:sz w:val="28"/>
        </w:rPr>
      </w:pPr>
      <w:bookmarkStart w:id="97" w:name="_Toc145818951"/>
      <w:r w:rsidRPr="0061142D">
        <w:rPr>
          <w:rFonts w:ascii="Times New Roman" w:eastAsia="宋体" w:hAnsi="宋体"/>
          <w:color w:val="000000"/>
          <w:sz w:val="28"/>
        </w:rPr>
        <w:t>十七、违约责任</w:t>
      </w:r>
      <w:bookmarkEnd w:id="97"/>
    </w:p>
    <w:p w14:paraId="5D182ED5"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（一）基金管理人、基金托管人不履行本协议或履行本协议不符合约定的，应当承担违约责任。</w:t>
      </w:r>
    </w:p>
    <w:p w14:paraId="03C97BE5"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63A2C3DA" w14:textId="2E0E525E"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（三）当事人违约，给另一方当事人造成损失的，应就直接损失</w:t>
      </w:r>
      <w:r w:rsidRPr="0061142D">
        <w:rPr>
          <w:rFonts w:hAnsi="宋体"/>
          <w:color w:val="000000"/>
          <w:sz w:val="28"/>
        </w:rPr>
        <w:lastRenderedPageBreak/>
        <w:t>进行赔偿；给基金资产造成损失的，应就直接损失进行赔偿，另一方当事人有权利及义务代表基金向违约方追偿。如发生下列情况，当事人免责：</w:t>
      </w:r>
    </w:p>
    <w:p w14:paraId="76405CD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14:paraId="1E37358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w:t>
      </w:r>
      <w:r w:rsidRPr="0061142D">
        <w:rPr>
          <w:color w:val="000000"/>
          <w:sz w:val="28"/>
        </w:rPr>
        <w:t>/</w:t>
      </w:r>
      <w:r w:rsidRPr="0061142D">
        <w:rPr>
          <w:rFonts w:hAnsi="宋体"/>
          <w:color w:val="000000"/>
          <w:sz w:val="28"/>
        </w:rPr>
        <w:t>或基金托管人按照当时有效的法律法规或中国证监会的规定作为或不作为而造成的损失等；</w:t>
      </w:r>
    </w:p>
    <w:p w14:paraId="470D01D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、基金管理人由于按照基金合同规定的投资原则行使或不行使其投资权而造成的损失等。</w:t>
      </w:r>
    </w:p>
    <w:p w14:paraId="590B61E0"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当事人违约，另一方当事人在职责范围内有义务及时采取必要的措施，尽力防止损失的扩大。没有采取适当措施致使损失进一步扩大的，不得就扩大的损失要求赔偿。守约方因防止损失扩大而支出的合理费用由违约方承担。</w:t>
      </w:r>
    </w:p>
    <w:p w14:paraId="24B6BBFF"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156F583"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六）由于不可抗力，基金管理人和基金托管人虽然已经采取必要、适当、合理的措施进行检查，但是未能发现该错误的，由此造成基金财产或基金投资者损失，基金管理人和基金托管人可以免除赔偿责任。但基金管理人和基金托管人应当积极采取必要的措施消除由此造成的影响。</w:t>
      </w:r>
    </w:p>
    <w:p w14:paraId="50156E31" w14:textId="77777777" w:rsidR="009C2EF9" w:rsidRPr="0061142D" w:rsidRDefault="009C2EF9" w:rsidP="0061142D">
      <w:pPr>
        <w:adjustRightInd w:val="0"/>
        <w:snapToGrid w:val="0"/>
        <w:spacing w:line="360" w:lineRule="auto"/>
        <w:ind w:firstLineChars="200" w:firstLine="560"/>
        <w:outlineLvl w:val="0"/>
        <w:rPr>
          <w:color w:val="000000"/>
          <w:sz w:val="28"/>
        </w:rPr>
      </w:pPr>
    </w:p>
    <w:p w14:paraId="61313234" w14:textId="77777777" w:rsidR="009C2EF9" w:rsidRPr="0061142D" w:rsidRDefault="009C2EF9">
      <w:pPr>
        <w:pStyle w:val="2"/>
        <w:spacing w:line="360" w:lineRule="auto"/>
        <w:jc w:val="center"/>
        <w:rPr>
          <w:rFonts w:ascii="Times New Roman" w:eastAsia="宋体" w:hAnsi="Times New Roman"/>
          <w:color w:val="000000"/>
          <w:sz w:val="28"/>
        </w:rPr>
      </w:pPr>
      <w:bookmarkStart w:id="98" w:name="_Toc145818952"/>
      <w:r w:rsidRPr="0061142D">
        <w:rPr>
          <w:rFonts w:ascii="Times New Roman" w:eastAsia="宋体" w:hAnsi="宋体"/>
          <w:color w:val="000000"/>
          <w:sz w:val="28"/>
        </w:rPr>
        <w:t>十八、争议解决方式</w:t>
      </w:r>
      <w:bookmarkEnd w:id="98"/>
    </w:p>
    <w:p w14:paraId="375FDE04"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因本协议产生或与之相关的争议，双方当事人应通过协商、调解</w:t>
      </w:r>
      <w:r w:rsidRPr="0061142D">
        <w:rPr>
          <w:rFonts w:hAnsi="宋体"/>
          <w:color w:val="000000"/>
          <w:sz w:val="28"/>
        </w:rPr>
        <w:lastRenderedPageBreak/>
        <w:t>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73D5133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争议处理期间，双方当事人应恪守基金管理人和基金托管人职责，各自继续忠实、勤勉、尽责地履行基金合同和本托管协议规定的义务，维护基金份额持有人的合法权益。</w:t>
      </w:r>
    </w:p>
    <w:p w14:paraId="504F4E65" w14:textId="4B08378A" w:rsidR="009C2EF9" w:rsidRPr="0061142D" w:rsidRDefault="009C2EF9" w:rsidP="0061142D">
      <w:pPr>
        <w:adjustRightInd w:val="0"/>
        <w:snapToGrid w:val="0"/>
        <w:spacing w:line="360" w:lineRule="auto"/>
        <w:ind w:firstLineChars="225" w:firstLine="630"/>
        <w:rPr>
          <w:sz w:val="28"/>
        </w:rPr>
      </w:pPr>
      <w:r w:rsidRPr="0061142D">
        <w:rPr>
          <w:rFonts w:hAnsi="宋体"/>
          <w:sz w:val="28"/>
        </w:rPr>
        <w:t>本协议适用中华人民共和国法律</w:t>
      </w:r>
      <w:r w:rsidR="00C4153A" w:rsidRPr="00C4153A">
        <w:rPr>
          <w:rFonts w:hAnsi="宋体" w:hint="eastAsia"/>
          <w:sz w:val="28"/>
        </w:rPr>
        <w:t>（不含港澳台地区法律）</w:t>
      </w:r>
      <w:r w:rsidRPr="0061142D">
        <w:rPr>
          <w:rFonts w:hAnsi="宋体"/>
          <w:sz w:val="28"/>
        </w:rPr>
        <w:t>并从其解释。</w:t>
      </w:r>
    </w:p>
    <w:p w14:paraId="0D7F46B2" w14:textId="77777777" w:rsidR="0061142D" w:rsidRPr="0061142D" w:rsidRDefault="0061142D" w:rsidP="0061142D">
      <w:pPr>
        <w:adjustRightInd w:val="0"/>
        <w:snapToGrid w:val="0"/>
        <w:spacing w:line="360" w:lineRule="auto"/>
        <w:ind w:firstLineChars="225" w:firstLine="630"/>
        <w:rPr>
          <w:color w:val="000000"/>
          <w:sz w:val="28"/>
        </w:rPr>
      </w:pPr>
    </w:p>
    <w:p w14:paraId="66C7D182" w14:textId="77777777" w:rsidR="009C2EF9" w:rsidRPr="0061142D" w:rsidRDefault="009C2EF9">
      <w:pPr>
        <w:pStyle w:val="2"/>
        <w:spacing w:line="360" w:lineRule="auto"/>
        <w:jc w:val="center"/>
        <w:rPr>
          <w:rFonts w:ascii="Times New Roman" w:eastAsia="宋体" w:hAnsi="Times New Roman"/>
          <w:color w:val="000000"/>
          <w:sz w:val="28"/>
        </w:rPr>
      </w:pPr>
      <w:bookmarkStart w:id="99" w:name="_Toc145818953"/>
      <w:r w:rsidRPr="0061142D">
        <w:rPr>
          <w:rFonts w:ascii="Times New Roman" w:eastAsia="宋体" w:hAnsi="宋体"/>
          <w:color w:val="000000"/>
          <w:sz w:val="28"/>
        </w:rPr>
        <w:t>十九、托管协议的效力</w:t>
      </w:r>
      <w:bookmarkEnd w:id="99"/>
    </w:p>
    <w:p w14:paraId="1ABD66EF"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双方对托管协议的效力约定如下：</w:t>
      </w:r>
    </w:p>
    <w:p w14:paraId="6F229837" w14:textId="380AB326"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（一）托管协议经托管协议当事人双方盖章以及双方法定代表人或授权代表</w:t>
      </w:r>
      <w:r w:rsidR="00391B6A">
        <w:rPr>
          <w:rFonts w:hAnsi="宋体" w:hint="eastAsia"/>
          <w:color w:val="000000"/>
          <w:sz w:val="28"/>
        </w:rPr>
        <w:t>签章</w:t>
      </w:r>
      <w:r w:rsidRPr="0061142D">
        <w:rPr>
          <w:rFonts w:hAnsi="宋体"/>
          <w:color w:val="000000"/>
          <w:sz w:val="28"/>
        </w:rPr>
        <w:t>，协议当事人双方根据中国证监会的意见修改托管协议草案。托管协议以中国证监会</w:t>
      </w:r>
      <w:r w:rsidR="00391B6A">
        <w:rPr>
          <w:rFonts w:hAnsi="宋体" w:hint="eastAsia"/>
          <w:color w:val="000000"/>
          <w:sz w:val="28"/>
        </w:rPr>
        <w:t>备案</w:t>
      </w:r>
      <w:r w:rsidRPr="0061142D">
        <w:rPr>
          <w:rFonts w:hAnsi="宋体"/>
          <w:color w:val="000000"/>
          <w:sz w:val="28"/>
        </w:rPr>
        <w:t>的文本为正式文本。</w:t>
      </w:r>
    </w:p>
    <w:p w14:paraId="1D367B6E" w14:textId="0D8782B0"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（二）托管协议自基金合同成立之日起成立，自基金合同生效之日起生效。托管协议的有效期自其生效之日起至</w:t>
      </w:r>
      <w:r w:rsidR="009E4293">
        <w:rPr>
          <w:rFonts w:hAnsi="宋体" w:hint="eastAsia"/>
          <w:color w:val="000000"/>
          <w:sz w:val="28"/>
        </w:rPr>
        <w:t>本</w:t>
      </w:r>
      <w:r w:rsidRPr="0061142D">
        <w:rPr>
          <w:rFonts w:hAnsi="宋体"/>
          <w:color w:val="000000"/>
          <w:sz w:val="28"/>
        </w:rPr>
        <w:t>基金财产清算结果报中国证监会备案并公告之日止。</w:t>
      </w:r>
    </w:p>
    <w:p w14:paraId="4E29F1C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（三）托管协议自生效之日对托管协议当事人具有同等的法律约束力。</w:t>
      </w:r>
    </w:p>
    <w:p w14:paraId="3A2CDEFE"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（四）本协议一式六份，协议双方各持二份，上报有关监管部门两份，每份具有同等法律效力。</w:t>
      </w:r>
    </w:p>
    <w:p w14:paraId="66739A9A" w14:textId="77777777" w:rsidR="009C2EF9" w:rsidRPr="0061142D" w:rsidRDefault="009C2EF9" w:rsidP="0061142D">
      <w:pPr>
        <w:adjustRightInd w:val="0"/>
        <w:snapToGrid w:val="0"/>
        <w:spacing w:line="360" w:lineRule="auto"/>
        <w:ind w:firstLineChars="200" w:firstLine="560"/>
        <w:rPr>
          <w:color w:val="000000"/>
          <w:sz w:val="28"/>
        </w:rPr>
      </w:pPr>
    </w:p>
    <w:p w14:paraId="7BFEE819" w14:textId="77777777" w:rsidR="009C2EF9" w:rsidRPr="0061142D" w:rsidRDefault="009C2EF9">
      <w:pPr>
        <w:pStyle w:val="2"/>
        <w:spacing w:line="360" w:lineRule="auto"/>
        <w:jc w:val="center"/>
        <w:rPr>
          <w:rFonts w:ascii="Times New Roman" w:eastAsia="宋体" w:hAnsi="Times New Roman"/>
          <w:color w:val="000000"/>
          <w:sz w:val="28"/>
        </w:rPr>
      </w:pPr>
      <w:bookmarkStart w:id="100" w:name="_Toc145818954"/>
      <w:r w:rsidRPr="0061142D">
        <w:rPr>
          <w:rFonts w:ascii="Times New Roman" w:eastAsia="宋体" w:hAnsi="宋体"/>
          <w:color w:val="000000"/>
          <w:sz w:val="28"/>
        </w:rPr>
        <w:lastRenderedPageBreak/>
        <w:t>二十、其他事项</w:t>
      </w:r>
      <w:bookmarkEnd w:id="100"/>
    </w:p>
    <w:p w14:paraId="7D1B05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除本协议有明确定义外，本协议的用语定义适用基金合同的约定。本协议未尽事宜，当事人依据基金合同、有关法律法规等规定协商办理。</w:t>
      </w:r>
    </w:p>
    <w:p w14:paraId="10A890A2" w14:textId="77777777" w:rsidR="009C2EF9" w:rsidRPr="0061142D" w:rsidRDefault="009C2EF9" w:rsidP="0061142D">
      <w:pPr>
        <w:adjustRightInd w:val="0"/>
        <w:snapToGrid w:val="0"/>
        <w:spacing w:line="360" w:lineRule="auto"/>
        <w:ind w:firstLineChars="200" w:firstLine="562"/>
        <w:rPr>
          <w:b/>
          <w:color w:val="000000"/>
          <w:sz w:val="28"/>
        </w:rPr>
      </w:pPr>
    </w:p>
    <w:p w14:paraId="2DC148FB" w14:textId="77777777" w:rsidR="009C2EF9" w:rsidRPr="0061142D" w:rsidRDefault="009C2EF9">
      <w:pPr>
        <w:pStyle w:val="2"/>
        <w:spacing w:line="360" w:lineRule="auto"/>
        <w:jc w:val="center"/>
        <w:rPr>
          <w:rFonts w:ascii="Times New Roman" w:eastAsia="宋体" w:hAnsi="Times New Roman"/>
          <w:color w:val="000000"/>
          <w:sz w:val="28"/>
        </w:rPr>
      </w:pPr>
      <w:bookmarkStart w:id="101" w:name="_Toc145818955"/>
      <w:r w:rsidRPr="0061142D">
        <w:rPr>
          <w:rFonts w:ascii="Times New Roman" w:eastAsia="宋体" w:hAnsi="宋体"/>
          <w:color w:val="000000"/>
          <w:sz w:val="28"/>
        </w:rPr>
        <w:t>二十一、托管协议的签订</w:t>
      </w:r>
      <w:bookmarkEnd w:id="101"/>
    </w:p>
    <w:p w14:paraId="6B198C83"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本协议双方法定代表人或授权代表人签章、签订地、签订日</w:t>
      </w:r>
    </w:p>
    <w:p w14:paraId="4E307ACB" w14:textId="77777777" w:rsidR="009C2EF9" w:rsidRPr="0061142D" w:rsidRDefault="009C2EF9" w:rsidP="0061142D">
      <w:pPr>
        <w:adjustRightInd w:val="0"/>
        <w:snapToGrid w:val="0"/>
        <w:spacing w:line="360" w:lineRule="auto"/>
        <w:ind w:firstLineChars="200" w:firstLine="560"/>
        <w:rPr>
          <w:color w:val="000000"/>
          <w:sz w:val="28"/>
        </w:rPr>
      </w:pPr>
    </w:p>
    <w:p w14:paraId="34E3ABAB" w14:textId="77777777" w:rsidR="009C2EF9" w:rsidRPr="0061142D" w:rsidRDefault="009C2EF9">
      <w:pPr>
        <w:pStyle w:val="Style6"/>
        <w:spacing w:line="360" w:lineRule="auto"/>
        <w:ind w:firstLineChars="192" w:firstLine="538"/>
        <w:rPr>
          <w:rFonts w:ascii="Times New Roman" w:eastAsia="宋体" w:hAnsi="Times New Roman"/>
          <w:sz w:val="28"/>
        </w:rPr>
        <w:sectPr w:rsidR="009C2EF9" w:rsidRPr="0061142D">
          <w:headerReference w:type="default" r:id="rId10"/>
          <w:headerReference w:type="first" r:id="rId11"/>
          <w:pgSz w:w="11906" w:h="16838"/>
          <w:pgMar w:top="1440" w:right="1797" w:bottom="1440" w:left="1797" w:header="851" w:footer="992" w:gutter="0"/>
          <w:pgNumType w:start="2"/>
          <w:cols w:space="720"/>
          <w:titlePg/>
          <w:docGrid w:type="lines" w:linePitch="312"/>
        </w:sectPr>
      </w:pPr>
      <w:bookmarkStart w:id="102" w:name="_Hlt89590562"/>
      <w:bookmarkEnd w:id="102"/>
    </w:p>
    <w:p w14:paraId="1D3D8482" w14:textId="22AD5129"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lastRenderedPageBreak/>
        <w:t>（本页无正文，为</w:t>
      </w:r>
      <w:r w:rsidR="00391B6A" w:rsidRPr="0061142D">
        <w:rPr>
          <w:rFonts w:ascii="Times New Roman" w:eastAsia="宋体"/>
          <w:sz w:val="28"/>
        </w:rPr>
        <w:t>《交银施罗德</w:t>
      </w:r>
      <w:r w:rsidR="00391B6A">
        <w:rPr>
          <w:rFonts w:ascii="Times New Roman" w:eastAsia="宋体" w:hint="eastAsia"/>
          <w:sz w:val="28"/>
        </w:rPr>
        <w:t>稳固收益债券型</w:t>
      </w:r>
      <w:r w:rsidR="00391B6A" w:rsidRPr="0061142D">
        <w:rPr>
          <w:rFonts w:ascii="Times New Roman" w:eastAsia="宋体"/>
          <w:sz w:val="28"/>
        </w:rPr>
        <w:t>证券投资基金托管协议》</w:t>
      </w:r>
      <w:r w:rsidRPr="0061142D">
        <w:rPr>
          <w:rFonts w:ascii="Times New Roman" w:eastAsia="宋体"/>
          <w:sz w:val="28"/>
        </w:rPr>
        <w:t>的签字盖章页）</w:t>
      </w:r>
    </w:p>
    <w:p w14:paraId="5C112A58" w14:textId="77777777" w:rsidR="009C2EF9" w:rsidRPr="0061142D" w:rsidRDefault="009C2EF9" w:rsidP="0061142D">
      <w:pPr>
        <w:adjustRightInd w:val="0"/>
        <w:snapToGrid w:val="0"/>
        <w:spacing w:line="360" w:lineRule="auto"/>
        <w:ind w:firstLineChars="200" w:firstLine="560"/>
        <w:rPr>
          <w:sz w:val="28"/>
        </w:rPr>
      </w:pPr>
    </w:p>
    <w:p w14:paraId="199257E0" w14:textId="77777777" w:rsidR="009C2EF9" w:rsidRPr="0061142D" w:rsidRDefault="009C2EF9" w:rsidP="0061142D">
      <w:pPr>
        <w:adjustRightInd w:val="0"/>
        <w:snapToGrid w:val="0"/>
        <w:spacing w:line="360" w:lineRule="auto"/>
        <w:ind w:firstLineChars="200" w:firstLine="560"/>
        <w:rPr>
          <w:sz w:val="28"/>
        </w:rPr>
      </w:pPr>
    </w:p>
    <w:p w14:paraId="1E41E10D" w14:textId="77777777" w:rsidR="009C2EF9" w:rsidRPr="0061142D" w:rsidRDefault="009C2EF9" w:rsidP="0061142D">
      <w:pPr>
        <w:adjustRightInd w:val="0"/>
        <w:snapToGrid w:val="0"/>
        <w:spacing w:line="360" w:lineRule="auto"/>
        <w:ind w:firstLineChars="200" w:firstLine="560"/>
        <w:rPr>
          <w:sz w:val="28"/>
        </w:rPr>
      </w:pPr>
      <w:r w:rsidRPr="0061142D">
        <w:rPr>
          <w:rFonts w:hAnsi="宋体"/>
          <w:sz w:val="28"/>
        </w:rPr>
        <w:t>基金管理人：交银施罗德基金管理有限公司（法人盖章）</w:t>
      </w:r>
    </w:p>
    <w:p w14:paraId="60637DCC" w14:textId="77777777" w:rsidR="009C2EF9" w:rsidRPr="0061142D" w:rsidRDefault="009C2EF9" w:rsidP="0061142D">
      <w:pPr>
        <w:pStyle w:val="Style6"/>
        <w:spacing w:line="360" w:lineRule="auto"/>
        <w:ind w:firstLine="560"/>
        <w:rPr>
          <w:rFonts w:ascii="Times New Roman" w:eastAsia="宋体" w:hAnsi="Times New Roman"/>
          <w:sz w:val="28"/>
        </w:rPr>
      </w:pPr>
    </w:p>
    <w:p w14:paraId="63DDDF49" w14:textId="77777777" w:rsidR="009C2EF9" w:rsidRPr="0061142D" w:rsidRDefault="009C2EF9" w:rsidP="0061142D">
      <w:pPr>
        <w:pStyle w:val="Style6"/>
        <w:spacing w:line="360" w:lineRule="auto"/>
        <w:ind w:firstLine="560"/>
        <w:rPr>
          <w:rFonts w:ascii="Times New Roman" w:eastAsia="宋体" w:hAnsi="Times New Roman"/>
          <w:sz w:val="28"/>
        </w:rPr>
      </w:pPr>
    </w:p>
    <w:p w14:paraId="51CBEE1A" w14:textId="6E0F66B6"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w:t>
      </w:r>
      <w:r w:rsidRPr="0061142D">
        <w:rPr>
          <w:rFonts w:ascii="Times New Roman" w:eastAsia="宋体" w:hAnsi="Times New Roman"/>
          <w:sz w:val="28"/>
        </w:rPr>
        <w:t xml:space="preserve"> </w:t>
      </w:r>
    </w:p>
    <w:p w14:paraId="177A3B95" w14:textId="77777777" w:rsidR="0061142D" w:rsidRPr="0061142D" w:rsidRDefault="0061142D" w:rsidP="0061142D">
      <w:pPr>
        <w:pStyle w:val="Style6"/>
        <w:spacing w:line="360" w:lineRule="auto"/>
        <w:ind w:firstLine="560"/>
        <w:rPr>
          <w:rFonts w:ascii="Times New Roman" w:eastAsia="宋体" w:hAnsi="Times New Roman"/>
          <w:sz w:val="28"/>
        </w:rPr>
      </w:pPr>
    </w:p>
    <w:p w14:paraId="474C7854" w14:textId="77777777" w:rsidR="0061142D" w:rsidRDefault="0061142D" w:rsidP="0061142D">
      <w:pPr>
        <w:pStyle w:val="Style6"/>
        <w:spacing w:line="360" w:lineRule="auto"/>
        <w:ind w:firstLine="560"/>
        <w:rPr>
          <w:rFonts w:ascii="Times New Roman" w:eastAsia="宋体" w:hAnsi="Times New Roman"/>
          <w:sz w:val="28"/>
        </w:rPr>
      </w:pPr>
    </w:p>
    <w:p w14:paraId="5BB10701" w14:textId="77777777" w:rsidR="0061142D" w:rsidRPr="0061142D" w:rsidRDefault="0061142D" w:rsidP="0061142D">
      <w:pPr>
        <w:pStyle w:val="Style6"/>
        <w:spacing w:line="360" w:lineRule="auto"/>
        <w:ind w:firstLine="560"/>
        <w:rPr>
          <w:rFonts w:ascii="Times New Roman" w:eastAsia="宋体" w:hAnsi="Times New Roman"/>
          <w:sz w:val="28"/>
        </w:rPr>
      </w:pPr>
    </w:p>
    <w:p w14:paraId="31669F0F" w14:textId="77777777" w:rsidR="0061142D" w:rsidRPr="0061142D" w:rsidRDefault="0061142D" w:rsidP="0061142D">
      <w:pPr>
        <w:pStyle w:val="Style6"/>
        <w:spacing w:line="360" w:lineRule="auto"/>
        <w:ind w:firstLine="560"/>
        <w:rPr>
          <w:rFonts w:ascii="Times New Roman" w:eastAsia="宋体" w:hAnsi="Times New Roman"/>
          <w:sz w:val="28"/>
        </w:rPr>
      </w:pPr>
    </w:p>
    <w:p w14:paraId="48F0D94A" w14:textId="77777777" w:rsidR="0061142D" w:rsidRPr="0061142D" w:rsidRDefault="0061142D" w:rsidP="0061142D">
      <w:pPr>
        <w:pStyle w:val="Style6"/>
        <w:spacing w:line="360" w:lineRule="auto"/>
        <w:ind w:firstLine="560"/>
        <w:rPr>
          <w:rFonts w:ascii="Times New Roman" w:eastAsia="宋体" w:hAnsi="Times New Roman"/>
          <w:sz w:val="28"/>
        </w:rPr>
      </w:pPr>
    </w:p>
    <w:p w14:paraId="5ACCD9BA" w14:textId="77777777" w:rsidR="0061142D" w:rsidRPr="0061142D" w:rsidRDefault="0061142D" w:rsidP="0061142D">
      <w:pPr>
        <w:pStyle w:val="Style6"/>
        <w:spacing w:line="360" w:lineRule="auto"/>
        <w:ind w:firstLine="560"/>
        <w:rPr>
          <w:rFonts w:ascii="Times New Roman" w:eastAsia="宋体" w:hAnsi="Times New Roman"/>
          <w:sz w:val="28"/>
        </w:rPr>
      </w:pPr>
    </w:p>
    <w:p w14:paraId="7FC99958" w14:textId="77777777"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基金托管人</w:t>
      </w:r>
      <w:r w:rsidR="0087516D">
        <w:rPr>
          <w:rFonts w:ascii="Times New Roman" w:eastAsia="宋体" w:hAnsi="Times New Roman" w:hint="eastAsia"/>
          <w:sz w:val="28"/>
        </w:rPr>
        <w:t>：</w:t>
      </w:r>
      <w:r w:rsidRPr="0061142D">
        <w:rPr>
          <w:rFonts w:ascii="Times New Roman" w:eastAsia="宋体"/>
          <w:sz w:val="28"/>
        </w:rPr>
        <w:t>中国农业银行股份有限公司（法人盖章）</w:t>
      </w:r>
    </w:p>
    <w:p w14:paraId="740CD0EF" w14:textId="77777777" w:rsidR="009C2EF9" w:rsidRPr="0061142D" w:rsidRDefault="009C2EF9" w:rsidP="0061142D">
      <w:pPr>
        <w:pStyle w:val="Style6"/>
        <w:spacing w:line="360" w:lineRule="auto"/>
        <w:ind w:firstLine="560"/>
        <w:rPr>
          <w:rFonts w:ascii="Times New Roman" w:eastAsia="宋体" w:hAnsi="Times New Roman"/>
          <w:sz w:val="28"/>
        </w:rPr>
      </w:pPr>
    </w:p>
    <w:p w14:paraId="2AB8465B" w14:textId="77777777" w:rsidR="009C2EF9" w:rsidRPr="0061142D" w:rsidRDefault="009C2EF9" w:rsidP="0061142D">
      <w:pPr>
        <w:pStyle w:val="Style6"/>
        <w:spacing w:line="360" w:lineRule="auto"/>
        <w:ind w:firstLine="560"/>
        <w:rPr>
          <w:rFonts w:ascii="Times New Roman" w:eastAsia="宋体" w:hAnsi="Times New Roman"/>
          <w:sz w:val="28"/>
        </w:rPr>
      </w:pPr>
    </w:p>
    <w:p w14:paraId="7A6FC954" w14:textId="5FE445A2"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w:t>
      </w:r>
    </w:p>
    <w:p w14:paraId="2D8B852A" w14:textId="77777777" w:rsidR="0061142D" w:rsidRPr="0061142D" w:rsidRDefault="0061142D" w:rsidP="0061142D">
      <w:pPr>
        <w:adjustRightInd w:val="0"/>
        <w:snapToGrid w:val="0"/>
        <w:spacing w:line="360" w:lineRule="auto"/>
        <w:ind w:firstLineChars="200" w:firstLine="560"/>
        <w:rPr>
          <w:sz w:val="28"/>
        </w:rPr>
      </w:pPr>
    </w:p>
    <w:p w14:paraId="5C807A97" w14:textId="77777777" w:rsidR="0061142D" w:rsidRPr="0061142D" w:rsidRDefault="0061142D" w:rsidP="0061142D">
      <w:pPr>
        <w:adjustRightInd w:val="0"/>
        <w:snapToGrid w:val="0"/>
        <w:spacing w:line="360" w:lineRule="auto"/>
        <w:ind w:firstLineChars="200" w:firstLine="560"/>
        <w:rPr>
          <w:sz w:val="28"/>
        </w:rPr>
      </w:pPr>
    </w:p>
    <w:p w14:paraId="47EBE6FF" w14:textId="77777777" w:rsidR="0061142D" w:rsidRPr="0061142D" w:rsidRDefault="0061142D" w:rsidP="0061142D">
      <w:pPr>
        <w:adjustRightInd w:val="0"/>
        <w:snapToGrid w:val="0"/>
        <w:spacing w:line="360" w:lineRule="auto"/>
        <w:ind w:firstLineChars="200" w:firstLine="560"/>
        <w:rPr>
          <w:sz w:val="28"/>
        </w:rPr>
      </w:pPr>
    </w:p>
    <w:p w14:paraId="40098CF1" w14:textId="77777777" w:rsidR="0061142D" w:rsidRPr="0061142D" w:rsidRDefault="0061142D" w:rsidP="0061142D">
      <w:pPr>
        <w:adjustRightInd w:val="0"/>
        <w:snapToGrid w:val="0"/>
        <w:spacing w:line="360" w:lineRule="auto"/>
        <w:ind w:firstLineChars="200" w:firstLine="560"/>
        <w:rPr>
          <w:sz w:val="28"/>
        </w:rPr>
      </w:pPr>
    </w:p>
    <w:p w14:paraId="4970DE41" w14:textId="77777777" w:rsidR="0061142D" w:rsidRPr="0061142D" w:rsidRDefault="0061142D" w:rsidP="0061142D">
      <w:pPr>
        <w:adjustRightInd w:val="0"/>
        <w:snapToGrid w:val="0"/>
        <w:spacing w:line="360" w:lineRule="auto"/>
        <w:ind w:firstLineChars="200" w:firstLine="560"/>
        <w:rPr>
          <w:sz w:val="28"/>
        </w:rPr>
      </w:pPr>
    </w:p>
    <w:p w14:paraId="0A0B4240" w14:textId="77777777"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签订地：北京</w:t>
      </w:r>
    </w:p>
    <w:p w14:paraId="6CF95488" w14:textId="77777777" w:rsidR="009C2EF9" w:rsidRPr="0061142D" w:rsidRDefault="009C2EF9" w:rsidP="0061142D">
      <w:pPr>
        <w:pStyle w:val="Style6"/>
        <w:spacing w:line="360" w:lineRule="auto"/>
        <w:ind w:firstLine="560"/>
        <w:rPr>
          <w:rFonts w:ascii="Times New Roman" w:eastAsia="宋体" w:hAnsi="Times New Roman"/>
          <w:sz w:val="28"/>
        </w:rPr>
      </w:pPr>
    </w:p>
    <w:p w14:paraId="342CE9F5" w14:textId="77777777" w:rsidR="009C2EF9" w:rsidRPr="0061142D" w:rsidRDefault="009C2EF9" w:rsidP="0061142D">
      <w:pPr>
        <w:pStyle w:val="Style6"/>
        <w:spacing w:line="360" w:lineRule="auto"/>
        <w:ind w:firstLine="560"/>
      </w:pPr>
      <w:r w:rsidRPr="0061142D">
        <w:rPr>
          <w:rFonts w:ascii="Times New Roman" w:eastAsia="宋体"/>
          <w:sz w:val="28"/>
        </w:rPr>
        <w:t>签订日：　　　　年</w:t>
      </w:r>
      <w:r w:rsidRPr="0061142D">
        <w:rPr>
          <w:rFonts w:ascii="Times New Roman" w:eastAsia="宋体" w:hAnsi="Times New Roman"/>
          <w:sz w:val="28"/>
        </w:rPr>
        <w:t xml:space="preserve">   </w:t>
      </w:r>
      <w:r w:rsidRPr="0061142D">
        <w:rPr>
          <w:rFonts w:ascii="Times New Roman" w:eastAsia="宋体"/>
          <w:sz w:val="28"/>
        </w:rPr>
        <w:t>月</w:t>
      </w:r>
      <w:r w:rsidRPr="0061142D">
        <w:rPr>
          <w:rFonts w:ascii="Times New Roman" w:eastAsia="宋体" w:hAnsi="Times New Roman"/>
          <w:sz w:val="28"/>
        </w:rPr>
        <w:t xml:space="preserve">   </w:t>
      </w:r>
      <w:r w:rsidRPr="0061142D">
        <w:rPr>
          <w:rFonts w:ascii="Times New Roman" w:eastAsia="宋体"/>
          <w:sz w:val="28"/>
        </w:rPr>
        <w:t>日</w:t>
      </w:r>
    </w:p>
    <w:sectPr w:rsidR="009C2EF9" w:rsidRPr="0061142D" w:rsidSect="00E216FA">
      <w:headerReference w:type="default" r:id="rId12"/>
      <w:footerReference w:type="default" r:id="rId13"/>
      <w:headerReference w:type="first" r:id="rId14"/>
      <w:footerReference w:type="first" r:id="rId15"/>
      <w:pgSz w:w="11906" w:h="16838"/>
      <w:pgMar w:top="1440" w:right="1797" w:bottom="1440" w:left="1797" w:header="851" w:footer="992" w:gutter="0"/>
      <w:pgNumType w:start="2"/>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F8136" w16cid:durableId="265ED3D8"/>
  <w16cid:commentId w16cid:paraId="7B068F4B" w16cid:durableId="265ED3D9"/>
  <w16cid:commentId w16cid:paraId="0024F78B" w16cid:durableId="265ED6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B6A03" w14:textId="77777777" w:rsidR="00D52333" w:rsidRDefault="00D52333">
      <w:r>
        <w:separator/>
      </w:r>
    </w:p>
  </w:endnote>
  <w:endnote w:type="continuationSeparator" w:id="0">
    <w:p w14:paraId="01555CB0" w14:textId="77777777" w:rsidR="00D52333" w:rsidRDefault="00D5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DB47" w14:textId="77777777" w:rsidR="00B051D1" w:rsidRDefault="00B051D1">
    <w:pPr>
      <w:pStyle w:val="a9"/>
      <w:framePr w:h="0" w:wrap="around" w:vAnchor="text" w:hAnchor="margin" w:xAlign="center" w:y="1"/>
      <w:rPr>
        <w:rStyle w:val="a4"/>
      </w:rPr>
    </w:pPr>
    <w:r>
      <w:fldChar w:fldCharType="begin"/>
    </w:r>
    <w:r>
      <w:rPr>
        <w:rStyle w:val="a4"/>
      </w:rPr>
      <w:instrText xml:space="preserve">PAGE  </w:instrText>
    </w:r>
    <w:r>
      <w:fldChar w:fldCharType="end"/>
    </w:r>
  </w:p>
  <w:p w14:paraId="2E0A14BA" w14:textId="77777777" w:rsidR="00B051D1" w:rsidRDefault="00B051D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3690" w14:textId="1D24E2A5" w:rsidR="00B051D1" w:rsidRDefault="00B051D1">
    <w:pPr>
      <w:pStyle w:val="a9"/>
      <w:framePr w:h="0" w:wrap="around" w:vAnchor="text" w:hAnchor="margin" w:xAlign="center" w:y="1"/>
      <w:rPr>
        <w:rStyle w:val="a4"/>
      </w:rPr>
    </w:pPr>
    <w:r>
      <w:fldChar w:fldCharType="begin"/>
    </w:r>
    <w:r>
      <w:rPr>
        <w:rStyle w:val="a4"/>
      </w:rPr>
      <w:instrText xml:space="preserve">PAGE  </w:instrText>
    </w:r>
    <w:r>
      <w:fldChar w:fldCharType="separate"/>
    </w:r>
    <w:r w:rsidR="002F5A64">
      <w:rPr>
        <w:rStyle w:val="a4"/>
        <w:noProof/>
      </w:rPr>
      <w:t>3</w:t>
    </w:r>
    <w:r>
      <w:fldChar w:fldCharType="end"/>
    </w:r>
  </w:p>
  <w:p w14:paraId="3A66DD19" w14:textId="77777777" w:rsidR="00B051D1" w:rsidRDefault="00B051D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97EA" w14:textId="77777777" w:rsidR="00B051D1" w:rsidRDefault="00B051D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EF76" w14:textId="77777777" w:rsidR="00B051D1" w:rsidRDefault="00B051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2D222" w14:textId="77777777" w:rsidR="00D52333" w:rsidRDefault="00D52333">
      <w:r>
        <w:separator/>
      </w:r>
    </w:p>
  </w:footnote>
  <w:footnote w:type="continuationSeparator" w:id="0">
    <w:p w14:paraId="6780B842" w14:textId="77777777" w:rsidR="00D52333" w:rsidRDefault="00D5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5728" w14:textId="77777777" w:rsidR="00B051D1" w:rsidRDefault="00B051D1">
    <w:pPr>
      <w:pStyle w:val="ab"/>
      <w:jc w:val="right"/>
    </w:pPr>
    <w:r>
      <w:rPr>
        <w:rFonts w:hint="eastAsia"/>
      </w:rPr>
      <w:t>交银施罗德荣祥保本混合型证券投资基金托管协议（草案）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1F29" w14:textId="535038E2" w:rsidR="00B051D1" w:rsidRDefault="00B051D1">
    <w:pPr>
      <w:pStyle w:val="ab"/>
      <w:jc w:val="right"/>
    </w:pPr>
    <w:r>
      <w:rPr>
        <w:noProof/>
      </w:rPr>
      <w:drawing>
        <wp:anchor distT="0" distB="0" distL="114300" distR="114300" simplePos="0" relativeHeight="251657728" behindDoc="0" locked="0" layoutInCell="1" allowOverlap="1" wp14:anchorId="511A01C2" wp14:editId="6DC25E98">
          <wp:simplePos x="0" y="0"/>
          <wp:positionH relativeFrom="column">
            <wp:posOffset>20955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交银施罗德稳固收益</w:t>
    </w:r>
    <w:r>
      <w:t>债券型</w:t>
    </w:r>
    <w:r>
      <w:rPr>
        <w:rFonts w:hint="eastAsia"/>
      </w:rPr>
      <w:t>证券投资基金托管协议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97CF" w14:textId="47A3188F" w:rsidR="00B051D1" w:rsidRDefault="00B051D1">
    <w:pPr>
      <w:pStyle w:val="ab"/>
      <w:jc w:val="right"/>
    </w:pPr>
    <w:r>
      <w:rPr>
        <w:noProof/>
      </w:rPr>
      <w:drawing>
        <wp:anchor distT="0" distB="0" distL="114300" distR="114300" simplePos="0" relativeHeight="251659776" behindDoc="0" locked="0" layoutInCell="1" allowOverlap="1" wp14:anchorId="54B3D55E" wp14:editId="120D6393">
          <wp:simplePos x="0" y="0"/>
          <wp:positionH relativeFrom="column">
            <wp:posOffset>40005</wp:posOffset>
          </wp:positionH>
          <wp:positionV relativeFrom="paragraph">
            <wp:posOffset>-92710</wp:posOffset>
          </wp:positionV>
          <wp:extent cx="1714500" cy="238125"/>
          <wp:effectExtent l="19050" t="0" r="0"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交银施罗德稳固收益债券型证券投资基金托管协议</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870F" w14:textId="77777777" w:rsidR="00B051D1" w:rsidRDefault="00B051D1">
    <w:pPr>
      <w:pStyle w:val="ab"/>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F3FB" w14:textId="77777777" w:rsidR="00B051D1" w:rsidRDefault="00B051D1">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409"/>
    <w:rsid w:val="00012422"/>
    <w:rsid w:val="00015C25"/>
    <w:rsid w:val="00027332"/>
    <w:rsid w:val="00033E31"/>
    <w:rsid w:val="000532CD"/>
    <w:rsid w:val="00066F5A"/>
    <w:rsid w:val="00070D64"/>
    <w:rsid w:val="00074E4A"/>
    <w:rsid w:val="00094382"/>
    <w:rsid w:val="000A55DB"/>
    <w:rsid w:val="000B2147"/>
    <w:rsid w:val="000B24A0"/>
    <w:rsid w:val="000B31C3"/>
    <w:rsid w:val="000B3E5E"/>
    <w:rsid w:val="000B60CE"/>
    <w:rsid w:val="000C2028"/>
    <w:rsid w:val="000C24AF"/>
    <w:rsid w:val="000D4A60"/>
    <w:rsid w:val="000D660A"/>
    <w:rsid w:val="000E0B81"/>
    <w:rsid w:val="000E4B2D"/>
    <w:rsid w:val="000F1E22"/>
    <w:rsid w:val="000F2552"/>
    <w:rsid w:val="00103F74"/>
    <w:rsid w:val="001049B7"/>
    <w:rsid w:val="00106CF6"/>
    <w:rsid w:val="001103F1"/>
    <w:rsid w:val="00122975"/>
    <w:rsid w:val="0013435E"/>
    <w:rsid w:val="00134C50"/>
    <w:rsid w:val="00157615"/>
    <w:rsid w:val="00172A27"/>
    <w:rsid w:val="0018358B"/>
    <w:rsid w:val="00183856"/>
    <w:rsid w:val="00197970"/>
    <w:rsid w:val="001E652C"/>
    <w:rsid w:val="002007A0"/>
    <w:rsid w:val="002161C4"/>
    <w:rsid w:val="002219B5"/>
    <w:rsid w:val="00253010"/>
    <w:rsid w:val="002649E7"/>
    <w:rsid w:val="00275681"/>
    <w:rsid w:val="002765AD"/>
    <w:rsid w:val="00280227"/>
    <w:rsid w:val="002811AD"/>
    <w:rsid w:val="002A49E7"/>
    <w:rsid w:val="002A5AF6"/>
    <w:rsid w:val="002A6D1F"/>
    <w:rsid w:val="002B675F"/>
    <w:rsid w:val="002D0D47"/>
    <w:rsid w:val="002E2ED8"/>
    <w:rsid w:val="002E63DD"/>
    <w:rsid w:val="002F0573"/>
    <w:rsid w:val="002F4AF3"/>
    <w:rsid w:val="002F5925"/>
    <w:rsid w:val="002F5A64"/>
    <w:rsid w:val="00302D6E"/>
    <w:rsid w:val="00305D75"/>
    <w:rsid w:val="00306F3B"/>
    <w:rsid w:val="003113AB"/>
    <w:rsid w:val="003118E4"/>
    <w:rsid w:val="00320024"/>
    <w:rsid w:val="00326EF4"/>
    <w:rsid w:val="00341EB1"/>
    <w:rsid w:val="003479B9"/>
    <w:rsid w:val="0035108F"/>
    <w:rsid w:val="00351841"/>
    <w:rsid w:val="00354D68"/>
    <w:rsid w:val="0037688E"/>
    <w:rsid w:val="00391B6A"/>
    <w:rsid w:val="00397F63"/>
    <w:rsid w:val="003A0474"/>
    <w:rsid w:val="003A3104"/>
    <w:rsid w:val="003A4711"/>
    <w:rsid w:val="003B0C2C"/>
    <w:rsid w:val="003B65CD"/>
    <w:rsid w:val="003B7471"/>
    <w:rsid w:val="003D3A71"/>
    <w:rsid w:val="00400D74"/>
    <w:rsid w:val="004057B7"/>
    <w:rsid w:val="0042149A"/>
    <w:rsid w:val="004215AC"/>
    <w:rsid w:val="00425856"/>
    <w:rsid w:val="0044566F"/>
    <w:rsid w:val="00456706"/>
    <w:rsid w:val="00485149"/>
    <w:rsid w:val="004878FF"/>
    <w:rsid w:val="004879FF"/>
    <w:rsid w:val="00490591"/>
    <w:rsid w:val="004B1ED7"/>
    <w:rsid w:val="004B4D9D"/>
    <w:rsid w:val="004B557A"/>
    <w:rsid w:val="004B682F"/>
    <w:rsid w:val="004D7CF4"/>
    <w:rsid w:val="004E0756"/>
    <w:rsid w:val="004E66A7"/>
    <w:rsid w:val="004E6FEE"/>
    <w:rsid w:val="004E71E6"/>
    <w:rsid w:val="004F0F0C"/>
    <w:rsid w:val="004F1BCF"/>
    <w:rsid w:val="004F2F71"/>
    <w:rsid w:val="004F54F4"/>
    <w:rsid w:val="00500892"/>
    <w:rsid w:val="005150D0"/>
    <w:rsid w:val="00532627"/>
    <w:rsid w:val="00545880"/>
    <w:rsid w:val="005543CD"/>
    <w:rsid w:val="00570EFA"/>
    <w:rsid w:val="00573214"/>
    <w:rsid w:val="005842B5"/>
    <w:rsid w:val="0058649D"/>
    <w:rsid w:val="005A3C4E"/>
    <w:rsid w:val="005A523D"/>
    <w:rsid w:val="005A5560"/>
    <w:rsid w:val="005A68C4"/>
    <w:rsid w:val="005C5A6F"/>
    <w:rsid w:val="005E0E67"/>
    <w:rsid w:val="005F1F31"/>
    <w:rsid w:val="00600AB5"/>
    <w:rsid w:val="0060524F"/>
    <w:rsid w:val="00606DF8"/>
    <w:rsid w:val="00607D0A"/>
    <w:rsid w:val="0061142D"/>
    <w:rsid w:val="00613A5D"/>
    <w:rsid w:val="006250DF"/>
    <w:rsid w:val="00651346"/>
    <w:rsid w:val="00662E2C"/>
    <w:rsid w:val="006664A7"/>
    <w:rsid w:val="0066661E"/>
    <w:rsid w:val="0067753F"/>
    <w:rsid w:val="00680450"/>
    <w:rsid w:val="00680AB7"/>
    <w:rsid w:val="00691312"/>
    <w:rsid w:val="006979C6"/>
    <w:rsid w:val="006A2DE1"/>
    <w:rsid w:val="006A619D"/>
    <w:rsid w:val="006B4A0D"/>
    <w:rsid w:val="006C0518"/>
    <w:rsid w:val="006C620F"/>
    <w:rsid w:val="006D151B"/>
    <w:rsid w:val="006D4941"/>
    <w:rsid w:val="006E0462"/>
    <w:rsid w:val="006E67CA"/>
    <w:rsid w:val="006E6E5D"/>
    <w:rsid w:val="006F4B8D"/>
    <w:rsid w:val="007016D6"/>
    <w:rsid w:val="00710DA0"/>
    <w:rsid w:val="0071359A"/>
    <w:rsid w:val="007317BD"/>
    <w:rsid w:val="00732ACD"/>
    <w:rsid w:val="00742C39"/>
    <w:rsid w:val="0074559E"/>
    <w:rsid w:val="007779F6"/>
    <w:rsid w:val="00782F07"/>
    <w:rsid w:val="00783664"/>
    <w:rsid w:val="00786C91"/>
    <w:rsid w:val="00793961"/>
    <w:rsid w:val="007968AB"/>
    <w:rsid w:val="00797168"/>
    <w:rsid w:val="007A34BF"/>
    <w:rsid w:val="007B2081"/>
    <w:rsid w:val="007B4CF0"/>
    <w:rsid w:val="007B6046"/>
    <w:rsid w:val="007C0C85"/>
    <w:rsid w:val="007D1907"/>
    <w:rsid w:val="007D795C"/>
    <w:rsid w:val="007E0D9D"/>
    <w:rsid w:val="007E42AC"/>
    <w:rsid w:val="007E668E"/>
    <w:rsid w:val="007F7B93"/>
    <w:rsid w:val="00800BE7"/>
    <w:rsid w:val="0080251A"/>
    <w:rsid w:val="00813D86"/>
    <w:rsid w:val="0081446D"/>
    <w:rsid w:val="00814517"/>
    <w:rsid w:val="00827D76"/>
    <w:rsid w:val="008323D5"/>
    <w:rsid w:val="00852EFC"/>
    <w:rsid w:val="0087516D"/>
    <w:rsid w:val="008816DF"/>
    <w:rsid w:val="0088380F"/>
    <w:rsid w:val="0088565C"/>
    <w:rsid w:val="0088706B"/>
    <w:rsid w:val="008A6EE0"/>
    <w:rsid w:val="008A78A9"/>
    <w:rsid w:val="008B20E9"/>
    <w:rsid w:val="008B5D7B"/>
    <w:rsid w:val="008D76B0"/>
    <w:rsid w:val="008D7D73"/>
    <w:rsid w:val="00900526"/>
    <w:rsid w:val="00920EF0"/>
    <w:rsid w:val="00922581"/>
    <w:rsid w:val="009237F0"/>
    <w:rsid w:val="0093195F"/>
    <w:rsid w:val="00942CAD"/>
    <w:rsid w:val="00944201"/>
    <w:rsid w:val="00963EB0"/>
    <w:rsid w:val="00997860"/>
    <w:rsid w:val="009A4276"/>
    <w:rsid w:val="009A4FCC"/>
    <w:rsid w:val="009A53EB"/>
    <w:rsid w:val="009A60E0"/>
    <w:rsid w:val="009B4C35"/>
    <w:rsid w:val="009C2EF9"/>
    <w:rsid w:val="009C6FC8"/>
    <w:rsid w:val="009D137D"/>
    <w:rsid w:val="009D63F0"/>
    <w:rsid w:val="009E077C"/>
    <w:rsid w:val="009E3B6E"/>
    <w:rsid w:val="009E4293"/>
    <w:rsid w:val="009F47DC"/>
    <w:rsid w:val="009F65FF"/>
    <w:rsid w:val="00A02BF2"/>
    <w:rsid w:val="00A11926"/>
    <w:rsid w:val="00A1509E"/>
    <w:rsid w:val="00A17FB7"/>
    <w:rsid w:val="00A4314C"/>
    <w:rsid w:val="00A51EFD"/>
    <w:rsid w:val="00A528E5"/>
    <w:rsid w:val="00A76AE1"/>
    <w:rsid w:val="00A77A61"/>
    <w:rsid w:val="00A81D63"/>
    <w:rsid w:val="00A862C4"/>
    <w:rsid w:val="00A936AE"/>
    <w:rsid w:val="00AA323D"/>
    <w:rsid w:val="00AB79C6"/>
    <w:rsid w:val="00B051D1"/>
    <w:rsid w:val="00B12CC0"/>
    <w:rsid w:val="00B138D3"/>
    <w:rsid w:val="00B13C8A"/>
    <w:rsid w:val="00B17E49"/>
    <w:rsid w:val="00B33E31"/>
    <w:rsid w:val="00B3513C"/>
    <w:rsid w:val="00B371A2"/>
    <w:rsid w:val="00B445F8"/>
    <w:rsid w:val="00B639BD"/>
    <w:rsid w:val="00B70193"/>
    <w:rsid w:val="00B71149"/>
    <w:rsid w:val="00B738F6"/>
    <w:rsid w:val="00B76CCB"/>
    <w:rsid w:val="00B86B58"/>
    <w:rsid w:val="00BA06FC"/>
    <w:rsid w:val="00BA7639"/>
    <w:rsid w:val="00BA7EFA"/>
    <w:rsid w:val="00BE3B78"/>
    <w:rsid w:val="00BE7E78"/>
    <w:rsid w:val="00BF44A5"/>
    <w:rsid w:val="00BF678E"/>
    <w:rsid w:val="00C02C5C"/>
    <w:rsid w:val="00C06CBB"/>
    <w:rsid w:val="00C26905"/>
    <w:rsid w:val="00C362F4"/>
    <w:rsid w:val="00C4153A"/>
    <w:rsid w:val="00C43FDF"/>
    <w:rsid w:val="00C82F3A"/>
    <w:rsid w:val="00C87D29"/>
    <w:rsid w:val="00C91C80"/>
    <w:rsid w:val="00C9675D"/>
    <w:rsid w:val="00CA3024"/>
    <w:rsid w:val="00CA5520"/>
    <w:rsid w:val="00CA5FA1"/>
    <w:rsid w:val="00CA7F9D"/>
    <w:rsid w:val="00CB5A7E"/>
    <w:rsid w:val="00CC7923"/>
    <w:rsid w:val="00CE1EE3"/>
    <w:rsid w:val="00D01865"/>
    <w:rsid w:val="00D158EB"/>
    <w:rsid w:val="00D20E5A"/>
    <w:rsid w:val="00D34814"/>
    <w:rsid w:val="00D4329B"/>
    <w:rsid w:val="00D43E83"/>
    <w:rsid w:val="00D52333"/>
    <w:rsid w:val="00D6705E"/>
    <w:rsid w:val="00D74313"/>
    <w:rsid w:val="00D75CCB"/>
    <w:rsid w:val="00D76FD4"/>
    <w:rsid w:val="00DA03D3"/>
    <w:rsid w:val="00DA08D2"/>
    <w:rsid w:val="00DA5641"/>
    <w:rsid w:val="00DA6722"/>
    <w:rsid w:val="00DC401D"/>
    <w:rsid w:val="00DC5B6D"/>
    <w:rsid w:val="00DD0202"/>
    <w:rsid w:val="00DD4F6B"/>
    <w:rsid w:val="00DE0DDB"/>
    <w:rsid w:val="00DE6BD3"/>
    <w:rsid w:val="00DF2701"/>
    <w:rsid w:val="00DF4E27"/>
    <w:rsid w:val="00E21427"/>
    <w:rsid w:val="00E216FA"/>
    <w:rsid w:val="00E241FD"/>
    <w:rsid w:val="00E346F9"/>
    <w:rsid w:val="00E364D2"/>
    <w:rsid w:val="00E41A0F"/>
    <w:rsid w:val="00E5049F"/>
    <w:rsid w:val="00E6164D"/>
    <w:rsid w:val="00E66D34"/>
    <w:rsid w:val="00E71D69"/>
    <w:rsid w:val="00E73936"/>
    <w:rsid w:val="00E77CBB"/>
    <w:rsid w:val="00E939B9"/>
    <w:rsid w:val="00EA6C98"/>
    <w:rsid w:val="00EA7FDA"/>
    <w:rsid w:val="00EB6B22"/>
    <w:rsid w:val="00EB7340"/>
    <w:rsid w:val="00ED1DBB"/>
    <w:rsid w:val="00ED22AD"/>
    <w:rsid w:val="00ED44FB"/>
    <w:rsid w:val="00EE27DF"/>
    <w:rsid w:val="00EE4EE8"/>
    <w:rsid w:val="00EE5132"/>
    <w:rsid w:val="00F01354"/>
    <w:rsid w:val="00F06938"/>
    <w:rsid w:val="00F11226"/>
    <w:rsid w:val="00F12751"/>
    <w:rsid w:val="00F2167D"/>
    <w:rsid w:val="00F236A5"/>
    <w:rsid w:val="00F312EA"/>
    <w:rsid w:val="00F315A5"/>
    <w:rsid w:val="00F32674"/>
    <w:rsid w:val="00F404E2"/>
    <w:rsid w:val="00F467B9"/>
    <w:rsid w:val="00F50240"/>
    <w:rsid w:val="00F55FCB"/>
    <w:rsid w:val="00FB300C"/>
    <w:rsid w:val="00FD0FEE"/>
    <w:rsid w:val="00FF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D8168"/>
  <w15:docId w15:val="{BD80DC7E-55B4-47B8-AE6D-E23C025A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FA"/>
    <w:pPr>
      <w:widowControl w:val="0"/>
      <w:jc w:val="both"/>
    </w:pPr>
    <w:rPr>
      <w:kern w:val="2"/>
      <w:sz w:val="21"/>
    </w:rPr>
  </w:style>
  <w:style w:type="paragraph" w:styleId="2">
    <w:name w:val="heading 2"/>
    <w:basedOn w:val="a"/>
    <w:next w:val="a0"/>
    <w:qFormat/>
    <w:rsid w:val="00E216FA"/>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E216FA"/>
  </w:style>
  <w:style w:type="character" w:styleId="a5">
    <w:name w:val="FollowedHyperlink"/>
    <w:basedOn w:val="a1"/>
    <w:rsid w:val="00E216FA"/>
    <w:rPr>
      <w:color w:val="800080"/>
      <w:u w:val="single"/>
    </w:rPr>
  </w:style>
  <w:style w:type="character" w:styleId="a6">
    <w:name w:val="Strong"/>
    <w:basedOn w:val="a1"/>
    <w:qFormat/>
    <w:rsid w:val="00E216FA"/>
    <w:rPr>
      <w:b/>
    </w:rPr>
  </w:style>
  <w:style w:type="character" w:customStyle="1" w:styleId="read">
    <w:name w:val="read"/>
    <w:basedOn w:val="a1"/>
    <w:rsid w:val="00E216FA"/>
  </w:style>
  <w:style w:type="character" w:styleId="a7">
    <w:name w:val="annotation reference"/>
    <w:basedOn w:val="a1"/>
    <w:rsid w:val="00E216FA"/>
    <w:rPr>
      <w:sz w:val="21"/>
    </w:rPr>
  </w:style>
  <w:style w:type="character" w:styleId="a8">
    <w:name w:val="Hyperlink"/>
    <w:basedOn w:val="a1"/>
    <w:uiPriority w:val="99"/>
    <w:rsid w:val="00E216FA"/>
    <w:rPr>
      <w:color w:val="0000FF"/>
      <w:u w:val="single"/>
    </w:rPr>
  </w:style>
  <w:style w:type="paragraph" w:styleId="a9">
    <w:name w:val="footer"/>
    <w:basedOn w:val="a"/>
    <w:link w:val="aa"/>
    <w:rsid w:val="00E216FA"/>
    <w:pPr>
      <w:tabs>
        <w:tab w:val="center" w:pos="4153"/>
        <w:tab w:val="right" w:pos="8306"/>
      </w:tabs>
      <w:snapToGrid w:val="0"/>
    </w:pPr>
    <w:rPr>
      <w:sz w:val="18"/>
    </w:rPr>
  </w:style>
  <w:style w:type="paragraph" w:styleId="ab">
    <w:name w:val="header"/>
    <w:basedOn w:val="a"/>
    <w:link w:val="ac"/>
    <w:rsid w:val="00E216FA"/>
    <w:pPr>
      <w:pBdr>
        <w:bottom w:val="single" w:sz="6" w:space="1" w:color="auto"/>
      </w:pBdr>
      <w:tabs>
        <w:tab w:val="center" w:pos="4153"/>
        <w:tab w:val="right" w:pos="8306"/>
      </w:tabs>
      <w:snapToGrid w:val="0"/>
    </w:pPr>
    <w:rPr>
      <w:sz w:val="18"/>
    </w:rPr>
  </w:style>
  <w:style w:type="paragraph" w:styleId="20">
    <w:name w:val="toc 2"/>
    <w:basedOn w:val="a"/>
    <w:next w:val="a"/>
    <w:uiPriority w:val="39"/>
    <w:rsid w:val="00E216FA"/>
    <w:pPr>
      <w:ind w:leftChars="200" w:left="420"/>
    </w:pPr>
  </w:style>
  <w:style w:type="paragraph" w:styleId="ad">
    <w:name w:val="annotation subject"/>
    <w:basedOn w:val="ae"/>
    <w:next w:val="ae"/>
    <w:rsid w:val="00E216FA"/>
    <w:rPr>
      <w:b/>
    </w:rPr>
  </w:style>
  <w:style w:type="paragraph" w:customStyle="1" w:styleId="1">
    <w:name w:val="1"/>
    <w:basedOn w:val="a"/>
    <w:next w:val="3"/>
    <w:rsid w:val="00E216FA"/>
    <w:pPr>
      <w:adjustRightInd w:val="0"/>
      <w:snapToGrid w:val="0"/>
      <w:ind w:firstLineChars="200" w:firstLine="480"/>
    </w:pPr>
    <w:rPr>
      <w:rFonts w:ascii="仿宋_GB2312" w:eastAsia="仿宋_GB2312" w:hAnsi="宋体"/>
      <w:color w:val="000000"/>
      <w:sz w:val="24"/>
    </w:rPr>
  </w:style>
  <w:style w:type="paragraph" w:styleId="21">
    <w:name w:val="Body Text Indent 2"/>
    <w:basedOn w:val="a"/>
    <w:rsid w:val="00E216FA"/>
    <w:pPr>
      <w:spacing w:after="120" w:line="480" w:lineRule="auto"/>
      <w:ind w:leftChars="200" w:left="420"/>
    </w:pPr>
  </w:style>
  <w:style w:type="paragraph" w:customStyle="1" w:styleId="CharCharChar">
    <w:name w:val="Char Char Char"/>
    <w:basedOn w:val="a"/>
    <w:rsid w:val="00E216FA"/>
  </w:style>
  <w:style w:type="paragraph" w:customStyle="1" w:styleId="wz1">
    <w:name w:val="wz1"/>
    <w:basedOn w:val="a"/>
    <w:rsid w:val="00E216FA"/>
    <w:pPr>
      <w:widowControl/>
      <w:spacing w:before="100" w:beforeAutospacing="1" w:after="100" w:afterAutospacing="1" w:line="245" w:lineRule="atLeast"/>
    </w:pPr>
    <w:rPr>
      <w:rFonts w:ascii="Arial Unicode MS" w:eastAsia="Arial Unicode MS" w:hAnsi="Arial Unicode MS"/>
      <w:color w:val="CC0000"/>
      <w:kern w:val="0"/>
      <w:sz w:val="22"/>
    </w:rPr>
  </w:style>
  <w:style w:type="paragraph" w:customStyle="1" w:styleId="Style6">
    <w:name w:val="_Style 6"/>
    <w:basedOn w:val="a"/>
    <w:next w:val="a"/>
    <w:rsid w:val="00E216FA"/>
    <w:pPr>
      <w:adjustRightInd w:val="0"/>
      <w:snapToGrid w:val="0"/>
      <w:ind w:firstLineChars="200" w:firstLine="480"/>
    </w:pPr>
    <w:rPr>
      <w:rFonts w:ascii="仿宋_GB2312" w:eastAsia="仿宋_GB2312" w:hAnsi="宋体"/>
      <w:color w:val="000000"/>
      <w:sz w:val="24"/>
    </w:rPr>
  </w:style>
  <w:style w:type="paragraph" w:styleId="af">
    <w:name w:val="Balloon Text"/>
    <w:basedOn w:val="a"/>
    <w:rsid w:val="00E216FA"/>
    <w:rPr>
      <w:sz w:val="18"/>
    </w:rPr>
  </w:style>
  <w:style w:type="paragraph" w:customStyle="1" w:styleId="Char">
    <w:name w:val="Char"/>
    <w:basedOn w:val="a"/>
    <w:rsid w:val="00E216FA"/>
  </w:style>
  <w:style w:type="paragraph" w:styleId="3">
    <w:name w:val="Body Text Indent 3"/>
    <w:basedOn w:val="a"/>
    <w:rsid w:val="00E216FA"/>
    <w:pPr>
      <w:spacing w:after="120"/>
      <w:ind w:leftChars="200" w:left="420"/>
    </w:pPr>
    <w:rPr>
      <w:sz w:val="16"/>
    </w:rPr>
  </w:style>
  <w:style w:type="paragraph" w:styleId="af0">
    <w:name w:val="Normal (Web)"/>
    <w:basedOn w:val="a"/>
    <w:rsid w:val="00E216FA"/>
    <w:rPr>
      <w:sz w:val="24"/>
    </w:rPr>
  </w:style>
  <w:style w:type="paragraph" w:styleId="af1">
    <w:name w:val="Document Map"/>
    <w:basedOn w:val="a"/>
    <w:rsid w:val="00E216FA"/>
    <w:pPr>
      <w:shd w:val="clear" w:color="auto" w:fill="000080"/>
    </w:pPr>
  </w:style>
  <w:style w:type="paragraph" w:styleId="a0">
    <w:name w:val="Normal Indent"/>
    <w:basedOn w:val="a"/>
    <w:rsid w:val="00E216FA"/>
    <w:pPr>
      <w:ind w:firstLineChars="200" w:firstLine="420"/>
    </w:pPr>
  </w:style>
  <w:style w:type="paragraph" w:styleId="af2">
    <w:name w:val="Body Text"/>
    <w:basedOn w:val="a"/>
    <w:rsid w:val="00E216FA"/>
    <w:pPr>
      <w:spacing w:after="120"/>
    </w:pPr>
  </w:style>
  <w:style w:type="paragraph" w:customStyle="1" w:styleId="CharCharCharCharCharCharChar">
    <w:name w:val="Char Char Char Char Char Char Char"/>
    <w:basedOn w:val="a"/>
    <w:rsid w:val="00E216FA"/>
    <w:pPr>
      <w:tabs>
        <w:tab w:val="left" w:pos="360"/>
      </w:tabs>
    </w:pPr>
  </w:style>
  <w:style w:type="paragraph" w:styleId="ae">
    <w:name w:val="annotation text"/>
    <w:basedOn w:val="a"/>
    <w:link w:val="af3"/>
    <w:rsid w:val="00E216FA"/>
  </w:style>
  <w:style w:type="paragraph" w:customStyle="1" w:styleId="CharChar1">
    <w:name w:val="Char Char1"/>
    <w:basedOn w:val="a"/>
    <w:rsid w:val="00E216FA"/>
  </w:style>
  <w:style w:type="paragraph" w:customStyle="1" w:styleId="22">
    <w:name w:val="2"/>
    <w:basedOn w:val="a"/>
    <w:next w:val="3"/>
    <w:rsid w:val="00E216FA"/>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E216FA"/>
  </w:style>
  <w:style w:type="paragraph" w:styleId="af4">
    <w:name w:val="Body Text Indent"/>
    <w:basedOn w:val="a"/>
    <w:rsid w:val="00E216FA"/>
    <w:pPr>
      <w:spacing w:after="120"/>
      <w:ind w:leftChars="200" w:left="420"/>
    </w:pPr>
  </w:style>
  <w:style w:type="character" w:customStyle="1" w:styleId="ac">
    <w:name w:val="页眉 字符"/>
    <w:link w:val="ab"/>
    <w:rsid w:val="00B13C8A"/>
    <w:rPr>
      <w:kern w:val="2"/>
      <w:sz w:val="18"/>
    </w:rPr>
  </w:style>
  <w:style w:type="character" w:customStyle="1" w:styleId="aa">
    <w:name w:val="页脚 字符"/>
    <w:link w:val="a9"/>
    <w:rsid w:val="00B13C8A"/>
    <w:rPr>
      <w:kern w:val="2"/>
      <w:sz w:val="18"/>
    </w:rPr>
  </w:style>
  <w:style w:type="character" w:customStyle="1" w:styleId="10">
    <w:name w:val="页码1"/>
    <w:basedOn w:val="a1"/>
    <w:rsid w:val="00B13C8A"/>
  </w:style>
  <w:style w:type="paragraph" w:styleId="af5">
    <w:name w:val="Revision"/>
    <w:hidden/>
    <w:uiPriority w:val="99"/>
    <w:semiHidden/>
    <w:rsid w:val="009A53EB"/>
    <w:rPr>
      <w:kern w:val="2"/>
      <w:sz w:val="21"/>
    </w:rPr>
  </w:style>
  <w:style w:type="character" w:customStyle="1" w:styleId="af3">
    <w:name w:val="批注文字 字符"/>
    <w:link w:val="ae"/>
    <w:rsid w:val="00606DF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webSettings" Target="web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52</Pages>
  <Words>4500</Words>
  <Characters>25654</Characters>
  <Application>Microsoft Office Word</Application>
  <DocSecurity>0</DocSecurity>
  <PresentationFormat/>
  <Lines>213</Lines>
  <Paragraphs>60</Paragraphs>
  <Slides>0</Slides>
  <Notes>0</Notes>
  <HiddenSlides>0</HiddenSlides>
  <MMClips>0</MMClips>
  <ScaleCrop>false</ScaleCrop>
  <Company>JJTG</Company>
  <LinksUpToDate>false</LinksUpToDate>
  <CharactersWithSpaces>30094</CharactersWithSpaces>
  <SharedDoc>false</SharedDoc>
  <HLinks>
    <vt:vector size="126" baseType="variant">
      <vt:variant>
        <vt:i4>1441852</vt:i4>
      </vt:variant>
      <vt:variant>
        <vt:i4>122</vt:i4>
      </vt:variant>
      <vt:variant>
        <vt:i4>0</vt:i4>
      </vt:variant>
      <vt:variant>
        <vt:i4>5</vt:i4>
      </vt:variant>
      <vt:variant>
        <vt:lpwstr/>
      </vt:variant>
      <vt:variant>
        <vt:lpwstr>_Toc145818955</vt:lpwstr>
      </vt:variant>
      <vt:variant>
        <vt:i4>1441852</vt:i4>
      </vt:variant>
      <vt:variant>
        <vt:i4>116</vt:i4>
      </vt:variant>
      <vt:variant>
        <vt:i4>0</vt:i4>
      </vt:variant>
      <vt:variant>
        <vt:i4>5</vt:i4>
      </vt:variant>
      <vt:variant>
        <vt:lpwstr/>
      </vt:variant>
      <vt:variant>
        <vt:lpwstr>_Toc145818954</vt:lpwstr>
      </vt:variant>
      <vt:variant>
        <vt:i4>1441852</vt:i4>
      </vt:variant>
      <vt:variant>
        <vt:i4>110</vt:i4>
      </vt:variant>
      <vt:variant>
        <vt:i4>0</vt:i4>
      </vt:variant>
      <vt:variant>
        <vt:i4>5</vt:i4>
      </vt:variant>
      <vt:variant>
        <vt:lpwstr/>
      </vt:variant>
      <vt:variant>
        <vt:lpwstr>_Toc145818953</vt:lpwstr>
      </vt:variant>
      <vt:variant>
        <vt:i4>1441852</vt:i4>
      </vt:variant>
      <vt:variant>
        <vt:i4>104</vt:i4>
      </vt:variant>
      <vt:variant>
        <vt:i4>0</vt:i4>
      </vt:variant>
      <vt:variant>
        <vt:i4>5</vt:i4>
      </vt:variant>
      <vt:variant>
        <vt:lpwstr/>
      </vt:variant>
      <vt:variant>
        <vt:lpwstr>_Toc145818952</vt:lpwstr>
      </vt:variant>
      <vt:variant>
        <vt:i4>1441852</vt:i4>
      </vt:variant>
      <vt:variant>
        <vt:i4>98</vt:i4>
      </vt:variant>
      <vt:variant>
        <vt:i4>0</vt:i4>
      </vt:variant>
      <vt:variant>
        <vt:i4>5</vt:i4>
      </vt:variant>
      <vt:variant>
        <vt:lpwstr/>
      </vt:variant>
      <vt:variant>
        <vt:lpwstr>_Toc145818951</vt:lpwstr>
      </vt:variant>
      <vt:variant>
        <vt:i4>1441852</vt:i4>
      </vt:variant>
      <vt:variant>
        <vt:i4>92</vt:i4>
      </vt:variant>
      <vt:variant>
        <vt:i4>0</vt:i4>
      </vt:variant>
      <vt:variant>
        <vt:i4>5</vt:i4>
      </vt:variant>
      <vt:variant>
        <vt:lpwstr/>
      </vt:variant>
      <vt:variant>
        <vt:lpwstr>_Toc145818950</vt:lpwstr>
      </vt:variant>
      <vt:variant>
        <vt:i4>1507388</vt:i4>
      </vt:variant>
      <vt:variant>
        <vt:i4>86</vt:i4>
      </vt:variant>
      <vt:variant>
        <vt:i4>0</vt:i4>
      </vt:variant>
      <vt:variant>
        <vt:i4>5</vt:i4>
      </vt:variant>
      <vt:variant>
        <vt:lpwstr/>
      </vt:variant>
      <vt:variant>
        <vt:lpwstr>_Toc145818949</vt:lpwstr>
      </vt:variant>
      <vt:variant>
        <vt:i4>1507388</vt:i4>
      </vt:variant>
      <vt:variant>
        <vt:i4>80</vt:i4>
      </vt:variant>
      <vt:variant>
        <vt:i4>0</vt:i4>
      </vt:variant>
      <vt:variant>
        <vt:i4>5</vt:i4>
      </vt:variant>
      <vt:variant>
        <vt:lpwstr/>
      </vt:variant>
      <vt:variant>
        <vt:lpwstr>_Toc145818948</vt:lpwstr>
      </vt:variant>
      <vt:variant>
        <vt:i4>1507388</vt:i4>
      </vt:variant>
      <vt:variant>
        <vt:i4>74</vt:i4>
      </vt:variant>
      <vt:variant>
        <vt:i4>0</vt:i4>
      </vt:variant>
      <vt:variant>
        <vt:i4>5</vt:i4>
      </vt:variant>
      <vt:variant>
        <vt:lpwstr/>
      </vt:variant>
      <vt:variant>
        <vt:lpwstr>_Toc145818947</vt:lpwstr>
      </vt:variant>
      <vt:variant>
        <vt:i4>1507388</vt:i4>
      </vt:variant>
      <vt:variant>
        <vt:i4>68</vt:i4>
      </vt:variant>
      <vt:variant>
        <vt:i4>0</vt:i4>
      </vt:variant>
      <vt:variant>
        <vt:i4>5</vt:i4>
      </vt:variant>
      <vt:variant>
        <vt:lpwstr/>
      </vt:variant>
      <vt:variant>
        <vt:lpwstr>_Toc145818946</vt:lpwstr>
      </vt:variant>
      <vt:variant>
        <vt:i4>1507388</vt:i4>
      </vt:variant>
      <vt:variant>
        <vt:i4>62</vt:i4>
      </vt:variant>
      <vt:variant>
        <vt:i4>0</vt:i4>
      </vt:variant>
      <vt:variant>
        <vt:i4>5</vt:i4>
      </vt:variant>
      <vt:variant>
        <vt:lpwstr/>
      </vt:variant>
      <vt:variant>
        <vt:lpwstr>_Toc145818945</vt:lpwstr>
      </vt:variant>
      <vt:variant>
        <vt:i4>1507388</vt:i4>
      </vt:variant>
      <vt:variant>
        <vt:i4>56</vt:i4>
      </vt:variant>
      <vt:variant>
        <vt:i4>0</vt:i4>
      </vt:variant>
      <vt:variant>
        <vt:i4>5</vt:i4>
      </vt:variant>
      <vt:variant>
        <vt:lpwstr/>
      </vt:variant>
      <vt:variant>
        <vt:lpwstr>_Toc145818944</vt:lpwstr>
      </vt:variant>
      <vt:variant>
        <vt:i4>1507388</vt:i4>
      </vt:variant>
      <vt:variant>
        <vt:i4>50</vt:i4>
      </vt:variant>
      <vt:variant>
        <vt:i4>0</vt:i4>
      </vt:variant>
      <vt:variant>
        <vt:i4>5</vt:i4>
      </vt:variant>
      <vt:variant>
        <vt:lpwstr/>
      </vt:variant>
      <vt:variant>
        <vt:lpwstr>_Toc145818943</vt:lpwstr>
      </vt:variant>
      <vt:variant>
        <vt:i4>1507388</vt:i4>
      </vt:variant>
      <vt:variant>
        <vt:i4>44</vt:i4>
      </vt:variant>
      <vt:variant>
        <vt:i4>0</vt:i4>
      </vt:variant>
      <vt:variant>
        <vt:i4>5</vt:i4>
      </vt:variant>
      <vt:variant>
        <vt:lpwstr/>
      </vt:variant>
      <vt:variant>
        <vt:lpwstr>_Toc145818942</vt:lpwstr>
      </vt:variant>
      <vt:variant>
        <vt:i4>1507388</vt:i4>
      </vt:variant>
      <vt:variant>
        <vt:i4>38</vt:i4>
      </vt:variant>
      <vt:variant>
        <vt:i4>0</vt:i4>
      </vt:variant>
      <vt:variant>
        <vt:i4>5</vt:i4>
      </vt:variant>
      <vt:variant>
        <vt:lpwstr/>
      </vt:variant>
      <vt:variant>
        <vt:lpwstr>_Toc145818941</vt:lpwstr>
      </vt:variant>
      <vt:variant>
        <vt:i4>1507388</vt:i4>
      </vt:variant>
      <vt:variant>
        <vt:i4>32</vt:i4>
      </vt:variant>
      <vt:variant>
        <vt:i4>0</vt:i4>
      </vt:variant>
      <vt:variant>
        <vt:i4>5</vt:i4>
      </vt:variant>
      <vt:variant>
        <vt:lpwstr/>
      </vt:variant>
      <vt:variant>
        <vt:lpwstr>_Toc145818940</vt:lpwstr>
      </vt:variant>
      <vt:variant>
        <vt:i4>1048636</vt:i4>
      </vt:variant>
      <vt:variant>
        <vt:i4>26</vt:i4>
      </vt:variant>
      <vt:variant>
        <vt:i4>0</vt:i4>
      </vt:variant>
      <vt:variant>
        <vt:i4>5</vt:i4>
      </vt:variant>
      <vt:variant>
        <vt:lpwstr/>
      </vt:variant>
      <vt:variant>
        <vt:lpwstr>_Toc145818939</vt:lpwstr>
      </vt:variant>
      <vt:variant>
        <vt:i4>1048636</vt:i4>
      </vt:variant>
      <vt:variant>
        <vt:i4>20</vt:i4>
      </vt:variant>
      <vt:variant>
        <vt:i4>0</vt:i4>
      </vt:variant>
      <vt:variant>
        <vt:i4>5</vt:i4>
      </vt:variant>
      <vt:variant>
        <vt:lpwstr/>
      </vt:variant>
      <vt:variant>
        <vt:lpwstr>_Toc145818938</vt:lpwstr>
      </vt:variant>
      <vt:variant>
        <vt:i4>1048636</vt:i4>
      </vt:variant>
      <vt:variant>
        <vt:i4>14</vt:i4>
      </vt:variant>
      <vt:variant>
        <vt:i4>0</vt:i4>
      </vt:variant>
      <vt:variant>
        <vt:i4>5</vt:i4>
      </vt:variant>
      <vt:variant>
        <vt:lpwstr/>
      </vt:variant>
      <vt:variant>
        <vt:lpwstr>_Toc145818937</vt:lpwstr>
      </vt:variant>
      <vt:variant>
        <vt:i4>1048636</vt:i4>
      </vt:variant>
      <vt:variant>
        <vt:i4>8</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张婕茹</cp:lastModifiedBy>
  <cp:revision>222</cp:revision>
  <cp:lastPrinted>2013-01-31T09:51:00Z</cp:lastPrinted>
  <dcterms:created xsi:type="dcterms:W3CDTF">2019-09-11T05:47:00Z</dcterms:created>
  <dcterms:modified xsi:type="dcterms:W3CDTF">2023-04-24T06:18:00Z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