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844C4" w14:textId="77FD4BCC" w:rsidR="00295DE5" w:rsidRPr="000D26B6" w:rsidRDefault="00B9700F" w:rsidP="00045586">
      <w:pPr>
        <w:jc w:val="center"/>
        <w:rPr>
          <w:rFonts w:ascii="Times New Roman" w:hAnsi="Times New Roman"/>
          <w:b/>
        </w:rPr>
      </w:pPr>
      <w:bookmarkStart w:id="0" w:name="_GoBack"/>
      <w:bookmarkEnd w:id="0"/>
      <w:r w:rsidRPr="000D26B6">
        <w:rPr>
          <w:rFonts w:ascii="Times New Roman" w:hAnsi="Times New Roman" w:hint="eastAsia"/>
          <w:b/>
        </w:rPr>
        <w:t>交银基金投顾策略</w:t>
      </w:r>
      <w:r w:rsidR="002E1C64" w:rsidRPr="000D26B6">
        <w:rPr>
          <w:rFonts w:ascii="Times New Roman" w:hAnsi="Times New Roman" w:hint="eastAsia"/>
          <w:b/>
        </w:rPr>
        <w:t>初始风险评级规则及投顾服务协议、风险揭示书</w:t>
      </w:r>
      <w:r w:rsidRPr="000D26B6">
        <w:rPr>
          <w:rFonts w:ascii="Times New Roman" w:hAnsi="Times New Roman" w:hint="eastAsia"/>
          <w:b/>
        </w:rPr>
        <w:t>变更通知</w:t>
      </w:r>
    </w:p>
    <w:p w14:paraId="72A836FA" w14:textId="78B1799D" w:rsidR="00392657" w:rsidRPr="000D26B6" w:rsidRDefault="00045586" w:rsidP="00E16514">
      <w:pPr>
        <w:jc w:val="left"/>
        <w:rPr>
          <w:rFonts w:ascii="Times New Roman" w:hAnsi="Times New Roman"/>
        </w:rPr>
      </w:pPr>
      <w:r w:rsidRPr="000D26B6">
        <w:rPr>
          <w:rFonts w:ascii="Times New Roman" w:hAnsi="Times New Roman" w:hint="eastAsia"/>
        </w:rPr>
        <w:t>各位投资者朋友：</w:t>
      </w:r>
    </w:p>
    <w:p w14:paraId="08FFB921" w14:textId="0ED8DA10" w:rsidR="0037443E" w:rsidRPr="000D26B6" w:rsidRDefault="003E0360" w:rsidP="00E16514">
      <w:pPr>
        <w:jc w:val="left"/>
        <w:rPr>
          <w:rFonts w:ascii="Times New Roman" w:hAnsi="Times New Roman"/>
        </w:rPr>
      </w:pPr>
      <w:r w:rsidRPr="000D26B6">
        <w:rPr>
          <w:rFonts w:ascii="Times New Roman" w:hAnsi="Times New Roman" w:hint="eastAsia"/>
        </w:rPr>
        <w:t xml:space="preserve"> </w:t>
      </w:r>
      <w:r w:rsidRPr="000D26B6">
        <w:rPr>
          <w:rFonts w:ascii="Times New Roman" w:hAnsi="Times New Roman"/>
        </w:rPr>
        <w:t xml:space="preserve">   </w:t>
      </w:r>
      <w:r w:rsidR="005E4885" w:rsidRPr="000D26B6">
        <w:rPr>
          <w:rFonts w:ascii="Times New Roman" w:hAnsi="Times New Roman"/>
        </w:rPr>
        <w:t>2023</w:t>
      </w:r>
      <w:r w:rsidR="005E4885" w:rsidRPr="000D26B6">
        <w:rPr>
          <w:rFonts w:ascii="Times New Roman" w:hAnsi="Times New Roman" w:hint="eastAsia"/>
        </w:rPr>
        <w:t>年</w:t>
      </w:r>
      <w:r w:rsidR="005E4885" w:rsidRPr="000D26B6">
        <w:rPr>
          <w:rFonts w:ascii="Times New Roman" w:hAnsi="Times New Roman" w:hint="eastAsia"/>
        </w:rPr>
        <w:t>3</w:t>
      </w:r>
      <w:r w:rsidR="005E4885" w:rsidRPr="000D26B6">
        <w:rPr>
          <w:rFonts w:ascii="Times New Roman" w:hAnsi="Times New Roman" w:hint="eastAsia"/>
        </w:rPr>
        <w:t>月</w:t>
      </w:r>
      <w:r w:rsidR="005E4885" w:rsidRPr="000D26B6">
        <w:rPr>
          <w:rFonts w:ascii="Times New Roman" w:hAnsi="Times New Roman" w:hint="eastAsia"/>
        </w:rPr>
        <w:t>3</w:t>
      </w:r>
      <w:r w:rsidR="005E4885" w:rsidRPr="000D26B6">
        <w:rPr>
          <w:rFonts w:ascii="Times New Roman" w:hAnsi="Times New Roman"/>
        </w:rPr>
        <w:t>1</w:t>
      </w:r>
      <w:r w:rsidR="005E4885" w:rsidRPr="000D26B6">
        <w:rPr>
          <w:rFonts w:ascii="Times New Roman" w:hAnsi="Times New Roman" w:hint="eastAsia"/>
        </w:rPr>
        <w:t>日</w:t>
      </w:r>
      <w:r w:rsidR="007555AF" w:rsidRPr="000D26B6">
        <w:rPr>
          <w:rFonts w:ascii="Times New Roman" w:hAnsi="Times New Roman" w:hint="eastAsia"/>
        </w:rPr>
        <w:t>起，交银基金投顾策略初始</w:t>
      </w:r>
      <w:r w:rsidR="002E1C64" w:rsidRPr="000D26B6">
        <w:rPr>
          <w:rFonts w:ascii="Times New Roman" w:hAnsi="Times New Roman" w:hint="eastAsia"/>
        </w:rPr>
        <w:t>风险</w:t>
      </w:r>
      <w:r w:rsidR="007555AF" w:rsidRPr="000D26B6">
        <w:rPr>
          <w:rFonts w:ascii="Times New Roman" w:hAnsi="Times New Roman" w:hint="eastAsia"/>
        </w:rPr>
        <w:t>评级规则</w:t>
      </w:r>
      <w:r w:rsidRPr="000D26B6">
        <w:rPr>
          <w:rFonts w:ascii="Times New Roman" w:hAnsi="Times New Roman" w:hint="eastAsia"/>
        </w:rPr>
        <w:t>变更</w:t>
      </w:r>
      <w:r w:rsidR="002E1C64" w:rsidRPr="000D26B6">
        <w:rPr>
          <w:rFonts w:ascii="Times New Roman" w:hAnsi="Times New Roman" w:hint="eastAsia"/>
        </w:rPr>
        <w:t>如下，</w:t>
      </w:r>
      <w:r w:rsidR="00EF3338" w:rsidRPr="000D26B6">
        <w:rPr>
          <w:rFonts w:ascii="Times New Roman" w:hAnsi="Times New Roman" w:hint="eastAsia"/>
        </w:rPr>
        <w:t>根据新规则，本次变更前已发布的基金投顾</w:t>
      </w:r>
      <w:r w:rsidR="002E1C64" w:rsidRPr="000D26B6">
        <w:rPr>
          <w:rFonts w:ascii="Times New Roman" w:hAnsi="Times New Roman" w:hint="eastAsia"/>
        </w:rPr>
        <w:t>策略的风险等级没有变化。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2"/>
        <w:gridCol w:w="4186"/>
        <w:gridCol w:w="2258"/>
      </w:tblGrid>
      <w:tr w:rsidR="007555AF" w:rsidRPr="000D26B6" w14:paraId="62327F9E" w14:textId="77777777" w:rsidTr="007001CA">
        <w:trPr>
          <w:trHeight w:val="737"/>
        </w:trPr>
        <w:tc>
          <w:tcPr>
            <w:tcW w:w="1116" w:type="pct"/>
            <w:shd w:val="clear" w:color="000000" w:fill="D0CECE"/>
            <w:noWrap/>
            <w:vAlign w:val="center"/>
            <w:hideMark/>
          </w:tcPr>
          <w:p w14:paraId="25D9B05B" w14:textId="77777777" w:rsidR="007555AF" w:rsidRPr="000D26B6" w:rsidRDefault="007555AF" w:rsidP="007001CA">
            <w:pPr>
              <w:widowControl/>
              <w:jc w:val="center"/>
              <w:rPr>
                <w:rFonts w:ascii="Times New Roman" w:hAnsi="Times New Roman" w:cs="宋体"/>
                <w:b/>
                <w:bCs/>
                <w:color w:val="000000"/>
                <w:kern w:val="0"/>
                <w:sz w:val="20"/>
                <w:szCs w:val="20"/>
              </w:rPr>
            </w:pPr>
            <w:r w:rsidRPr="000D26B6">
              <w:rPr>
                <w:rFonts w:ascii="Times New Roman" w:hAnsi="Times New Roman" w:cs="宋体" w:hint="eastAsia"/>
                <w:b/>
                <w:bCs/>
                <w:color w:val="000000"/>
                <w:kern w:val="0"/>
                <w:sz w:val="20"/>
                <w:szCs w:val="20"/>
              </w:rPr>
              <w:t>基金投资组合策略</w:t>
            </w:r>
            <w:r w:rsidRPr="000D26B6">
              <w:rPr>
                <w:rFonts w:ascii="Times New Roman" w:hAnsi="Times New Roman" w:cs="宋体"/>
                <w:b/>
                <w:bCs/>
                <w:color w:val="000000"/>
                <w:kern w:val="0"/>
                <w:sz w:val="20"/>
                <w:szCs w:val="20"/>
              </w:rPr>
              <w:t>类型参考</w:t>
            </w:r>
          </w:p>
        </w:tc>
        <w:tc>
          <w:tcPr>
            <w:tcW w:w="2523" w:type="pct"/>
            <w:shd w:val="clear" w:color="000000" w:fill="D0CECE"/>
            <w:noWrap/>
            <w:vAlign w:val="center"/>
            <w:hideMark/>
          </w:tcPr>
          <w:p w14:paraId="2B4F52C0" w14:textId="77777777" w:rsidR="007555AF" w:rsidRPr="000D26B6" w:rsidRDefault="007555AF" w:rsidP="007001CA">
            <w:pPr>
              <w:widowControl/>
              <w:jc w:val="center"/>
              <w:rPr>
                <w:rFonts w:ascii="Times New Roman" w:hAnsi="Times New Roman" w:cs="宋体"/>
                <w:b/>
                <w:bCs/>
                <w:color w:val="000000"/>
                <w:kern w:val="0"/>
                <w:sz w:val="20"/>
                <w:szCs w:val="20"/>
              </w:rPr>
            </w:pPr>
            <w:r w:rsidRPr="000D26B6">
              <w:rPr>
                <w:rFonts w:ascii="Times New Roman" w:hAnsi="Times New Roman" w:cs="宋体" w:hint="eastAsia"/>
                <w:b/>
                <w:bCs/>
                <w:color w:val="000000"/>
                <w:kern w:val="0"/>
                <w:sz w:val="20"/>
                <w:szCs w:val="20"/>
              </w:rPr>
              <w:t>说明</w:t>
            </w:r>
          </w:p>
        </w:tc>
        <w:tc>
          <w:tcPr>
            <w:tcW w:w="1361" w:type="pct"/>
            <w:shd w:val="clear" w:color="000000" w:fill="D0CECE"/>
            <w:vAlign w:val="center"/>
          </w:tcPr>
          <w:p w14:paraId="1D26525D" w14:textId="77777777" w:rsidR="007555AF" w:rsidRPr="000D26B6" w:rsidRDefault="007555AF" w:rsidP="007001CA">
            <w:pPr>
              <w:widowControl/>
              <w:jc w:val="center"/>
              <w:rPr>
                <w:rFonts w:ascii="Times New Roman" w:hAnsi="Times New Roman" w:cs="宋体"/>
                <w:b/>
                <w:bCs/>
                <w:color w:val="000000"/>
                <w:kern w:val="0"/>
                <w:sz w:val="20"/>
                <w:szCs w:val="20"/>
              </w:rPr>
            </w:pPr>
            <w:r w:rsidRPr="000D26B6">
              <w:rPr>
                <w:rFonts w:ascii="Times New Roman" w:hAnsi="Times New Roman" w:cs="宋体" w:hint="eastAsia"/>
                <w:b/>
                <w:bCs/>
                <w:color w:val="000000"/>
                <w:kern w:val="0"/>
                <w:sz w:val="20"/>
                <w:szCs w:val="20"/>
              </w:rPr>
              <w:t>风险等级</w:t>
            </w:r>
          </w:p>
        </w:tc>
      </w:tr>
      <w:tr w:rsidR="007555AF" w:rsidRPr="000D26B6" w14:paraId="7F4394CC" w14:textId="77777777" w:rsidTr="007001CA">
        <w:trPr>
          <w:trHeight w:val="505"/>
        </w:trPr>
        <w:tc>
          <w:tcPr>
            <w:tcW w:w="1116" w:type="pct"/>
            <w:shd w:val="clear" w:color="auto" w:fill="auto"/>
            <w:vAlign w:val="center"/>
          </w:tcPr>
          <w:p w14:paraId="4656B554" w14:textId="77777777" w:rsidR="007555AF" w:rsidRPr="000D26B6" w:rsidRDefault="007555AF" w:rsidP="007001CA">
            <w:pPr>
              <w:widowControl/>
              <w:rPr>
                <w:rFonts w:ascii="Times New Roman" w:hAnsi="Times New Roman" w:cs="宋体"/>
                <w:color w:val="000000"/>
                <w:kern w:val="0"/>
                <w:sz w:val="20"/>
                <w:szCs w:val="20"/>
              </w:rPr>
            </w:pPr>
            <w:r w:rsidRPr="000D26B6">
              <w:rPr>
                <w:rFonts w:ascii="Times New Roman" w:hAnsi="Times New Roman" w:cs="宋体" w:hint="eastAsia"/>
                <w:color w:val="000000"/>
                <w:kern w:val="0"/>
                <w:sz w:val="20"/>
                <w:szCs w:val="20"/>
              </w:rPr>
              <w:t>低风险类策略</w:t>
            </w:r>
          </w:p>
        </w:tc>
        <w:tc>
          <w:tcPr>
            <w:tcW w:w="2523" w:type="pct"/>
            <w:shd w:val="clear" w:color="auto" w:fill="auto"/>
            <w:noWrap/>
            <w:vAlign w:val="center"/>
          </w:tcPr>
          <w:p w14:paraId="077724B2" w14:textId="77777777" w:rsidR="007555AF" w:rsidRPr="000D26B6" w:rsidRDefault="007555AF" w:rsidP="007001CA">
            <w:pPr>
              <w:widowControl/>
              <w:rPr>
                <w:rFonts w:ascii="Times New Roman" w:hAnsi="Times New Roman" w:cs="宋体"/>
                <w:color w:val="000000"/>
                <w:kern w:val="0"/>
                <w:sz w:val="20"/>
                <w:szCs w:val="20"/>
              </w:rPr>
            </w:pPr>
            <w:r w:rsidRPr="000D26B6">
              <w:rPr>
                <w:rFonts w:ascii="Times New Roman" w:hAnsi="Times New Roman" w:cs="宋体" w:hint="eastAsia"/>
                <w:color w:val="000000"/>
                <w:kern w:val="0"/>
                <w:sz w:val="20"/>
                <w:szCs w:val="20"/>
              </w:rPr>
              <w:t>仅可投资于货币市场基金、同业存单</w:t>
            </w:r>
            <w:r w:rsidRPr="000D26B6">
              <w:rPr>
                <w:rFonts w:ascii="Times New Roman" w:hAnsi="Times New Roman" w:cs="宋体" w:hint="eastAsia"/>
                <w:color w:val="000000"/>
                <w:kern w:val="0"/>
                <w:sz w:val="20"/>
                <w:szCs w:val="20"/>
              </w:rPr>
              <w:t>AAA</w:t>
            </w:r>
            <w:r w:rsidRPr="000D26B6">
              <w:rPr>
                <w:rFonts w:ascii="Times New Roman" w:hAnsi="Times New Roman" w:cs="宋体" w:hint="eastAsia"/>
                <w:color w:val="000000"/>
                <w:kern w:val="0"/>
                <w:sz w:val="20"/>
                <w:szCs w:val="20"/>
              </w:rPr>
              <w:t>基金或同业存单</w:t>
            </w:r>
            <w:r w:rsidRPr="000D26B6">
              <w:rPr>
                <w:rFonts w:ascii="Times New Roman" w:hAnsi="Times New Roman" w:cs="宋体" w:hint="eastAsia"/>
                <w:color w:val="000000"/>
                <w:kern w:val="0"/>
                <w:sz w:val="20"/>
                <w:szCs w:val="20"/>
              </w:rPr>
              <w:t>AAA</w:t>
            </w:r>
            <w:r w:rsidRPr="000D26B6">
              <w:rPr>
                <w:rFonts w:ascii="Times New Roman" w:hAnsi="Times New Roman" w:cs="宋体" w:hint="eastAsia"/>
                <w:color w:val="000000"/>
                <w:kern w:val="0"/>
                <w:sz w:val="20"/>
                <w:szCs w:val="20"/>
              </w:rPr>
              <w:t>指数基金</w:t>
            </w:r>
          </w:p>
        </w:tc>
        <w:tc>
          <w:tcPr>
            <w:tcW w:w="1361" w:type="pct"/>
            <w:vAlign w:val="center"/>
          </w:tcPr>
          <w:p w14:paraId="00C77797" w14:textId="77777777" w:rsidR="007555AF" w:rsidRPr="000D26B6" w:rsidRDefault="007555AF" w:rsidP="007001CA">
            <w:pPr>
              <w:widowControl/>
              <w:jc w:val="center"/>
              <w:rPr>
                <w:rFonts w:ascii="Times New Roman" w:hAnsi="Times New Roman" w:cs="宋体"/>
                <w:color w:val="000000"/>
                <w:kern w:val="0"/>
                <w:sz w:val="20"/>
                <w:szCs w:val="20"/>
              </w:rPr>
            </w:pPr>
            <w:r w:rsidRPr="000D26B6">
              <w:rPr>
                <w:rFonts w:ascii="Times New Roman" w:hAnsi="Times New Roman" w:cs="宋体" w:hint="eastAsia"/>
                <w:color w:val="000000"/>
                <w:kern w:val="0"/>
                <w:sz w:val="20"/>
                <w:szCs w:val="20"/>
              </w:rPr>
              <w:t>R1</w:t>
            </w:r>
            <w:r w:rsidRPr="000D26B6">
              <w:rPr>
                <w:rFonts w:ascii="Times New Roman" w:hAnsi="Times New Roman" w:cs="宋体" w:hint="eastAsia"/>
                <w:color w:val="000000"/>
                <w:kern w:val="0"/>
                <w:sz w:val="20"/>
                <w:szCs w:val="20"/>
              </w:rPr>
              <w:t>（低风险</w:t>
            </w:r>
            <w:r w:rsidRPr="000D26B6">
              <w:rPr>
                <w:rFonts w:ascii="Times New Roman" w:hAnsi="Times New Roman" w:cs="宋体"/>
                <w:color w:val="000000"/>
                <w:kern w:val="0"/>
                <w:sz w:val="20"/>
                <w:szCs w:val="20"/>
              </w:rPr>
              <w:t>）</w:t>
            </w:r>
          </w:p>
        </w:tc>
      </w:tr>
      <w:tr w:rsidR="007555AF" w:rsidRPr="000D26B6" w14:paraId="714DB64B" w14:textId="77777777" w:rsidTr="007001CA">
        <w:trPr>
          <w:trHeight w:val="505"/>
        </w:trPr>
        <w:tc>
          <w:tcPr>
            <w:tcW w:w="1116" w:type="pct"/>
            <w:shd w:val="clear" w:color="auto" w:fill="auto"/>
            <w:vAlign w:val="center"/>
          </w:tcPr>
          <w:p w14:paraId="5EB0581C" w14:textId="77777777" w:rsidR="007555AF" w:rsidRPr="000D26B6" w:rsidRDefault="007555AF" w:rsidP="007001CA">
            <w:pPr>
              <w:widowControl/>
              <w:rPr>
                <w:rFonts w:ascii="Times New Roman" w:hAnsi="Times New Roman" w:cs="宋体"/>
                <w:color w:val="000000"/>
                <w:kern w:val="0"/>
                <w:sz w:val="20"/>
                <w:szCs w:val="20"/>
              </w:rPr>
            </w:pPr>
            <w:r w:rsidRPr="000D26B6">
              <w:rPr>
                <w:rFonts w:ascii="Times New Roman" w:hAnsi="Times New Roman" w:cs="宋体" w:hint="eastAsia"/>
                <w:color w:val="000000"/>
                <w:kern w:val="0"/>
                <w:sz w:val="20"/>
                <w:szCs w:val="20"/>
              </w:rPr>
              <w:t>中低风险类策略</w:t>
            </w:r>
          </w:p>
        </w:tc>
        <w:tc>
          <w:tcPr>
            <w:tcW w:w="2523" w:type="pct"/>
            <w:shd w:val="clear" w:color="auto" w:fill="auto"/>
            <w:noWrap/>
            <w:vAlign w:val="center"/>
          </w:tcPr>
          <w:p w14:paraId="2E31153F" w14:textId="77777777" w:rsidR="007555AF" w:rsidRPr="000D26B6" w:rsidRDefault="007555AF" w:rsidP="007001CA">
            <w:pPr>
              <w:widowControl/>
              <w:rPr>
                <w:rFonts w:ascii="Times New Roman" w:hAnsi="Times New Roman" w:cs="宋体"/>
                <w:color w:val="000000"/>
                <w:kern w:val="0"/>
                <w:sz w:val="20"/>
                <w:szCs w:val="20"/>
              </w:rPr>
            </w:pPr>
            <w:r w:rsidRPr="000D26B6">
              <w:rPr>
                <w:rFonts w:ascii="Times New Roman" w:hAnsi="Times New Roman" w:cs="宋体" w:hint="eastAsia"/>
                <w:color w:val="000000"/>
                <w:kern w:val="0"/>
                <w:sz w:val="20"/>
                <w:szCs w:val="20"/>
              </w:rPr>
              <w:t>权益类基金仓位占比上限不高于</w:t>
            </w:r>
            <w:r w:rsidRPr="000D26B6">
              <w:rPr>
                <w:rFonts w:ascii="Times New Roman" w:hAnsi="Times New Roman" w:cs="宋体" w:hint="eastAsia"/>
                <w:color w:val="000000"/>
                <w:kern w:val="0"/>
                <w:sz w:val="20"/>
                <w:szCs w:val="20"/>
              </w:rPr>
              <w:t>2</w:t>
            </w:r>
            <w:r w:rsidRPr="000D26B6">
              <w:rPr>
                <w:rFonts w:ascii="Times New Roman" w:hAnsi="Times New Roman" w:cs="宋体"/>
                <w:color w:val="000000"/>
                <w:kern w:val="0"/>
                <w:sz w:val="20"/>
                <w:szCs w:val="20"/>
              </w:rPr>
              <w:t>0</w:t>
            </w:r>
            <w:r w:rsidRPr="000D26B6">
              <w:rPr>
                <w:rFonts w:ascii="Times New Roman" w:hAnsi="Times New Roman" w:cs="宋体" w:hint="eastAsia"/>
                <w:color w:val="000000"/>
                <w:kern w:val="0"/>
                <w:sz w:val="20"/>
                <w:szCs w:val="20"/>
              </w:rPr>
              <w:t>%</w:t>
            </w:r>
            <w:r w:rsidRPr="000D26B6">
              <w:rPr>
                <w:rFonts w:ascii="Times New Roman" w:hAnsi="Times New Roman" w:cs="宋体" w:hint="eastAsia"/>
                <w:color w:val="000000"/>
                <w:kern w:val="0"/>
                <w:sz w:val="20"/>
                <w:szCs w:val="20"/>
              </w:rPr>
              <w:t>；</w:t>
            </w:r>
          </w:p>
          <w:p w14:paraId="2C08DB05" w14:textId="77777777" w:rsidR="007555AF" w:rsidRPr="000D26B6" w:rsidRDefault="007555AF" w:rsidP="007001CA">
            <w:pPr>
              <w:widowControl/>
              <w:rPr>
                <w:rFonts w:ascii="Times New Roman" w:hAnsi="Times New Roman" w:cs="宋体"/>
                <w:color w:val="000000"/>
                <w:kern w:val="0"/>
                <w:sz w:val="20"/>
                <w:szCs w:val="20"/>
              </w:rPr>
            </w:pPr>
            <w:r w:rsidRPr="000D26B6">
              <w:rPr>
                <w:rFonts w:ascii="Times New Roman" w:hAnsi="Times New Roman" w:cs="宋体" w:hint="eastAsia"/>
                <w:color w:val="000000"/>
                <w:kern w:val="0"/>
                <w:sz w:val="20"/>
                <w:szCs w:val="20"/>
              </w:rPr>
              <w:t>不可投资商品型基金</w:t>
            </w:r>
          </w:p>
        </w:tc>
        <w:tc>
          <w:tcPr>
            <w:tcW w:w="1361" w:type="pct"/>
            <w:vAlign w:val="center"/>
          </w:tcPr>
          <w:p w14:paraId="6AC70D14" w14:textId="77777777" w:rsidR="007555AF" w:rsidRPr="000D26B6" w:rsidRDefault="007555AF" w:rsidP="007001CA">
            <w:pPr>
              <w:widowControl/>
              <w:jc w:val="center"/>
              <w:rPr>
                <w:rFonts w:ascii="Times New Roman" w:hAnsi="Times New Roman" w:cs="宋体"/>
                <w:color w:val="000000"/>
                <w:kern w:val="0"/>
                <w:sz w:val="20"/>
                <w:szCs w:val="20"/>
              </w:rPr>
            </w:pPr>
            <w:r w:rsidRPr="000D26B6">
              <w:rPr>
                <w:rFonts w:ascii="Times New Roman" w:hAnsi="Times New Roman" w:cs="宋体" w:hint="eastAsia"/>
                <w:color w:val="000000"/>
                <w:kern w:val="0"/>
                <w:sz w:val="20"/>
                <w:szCs w:val="20"/>
              </w:rPr>
              <w:t>R2</w:t>
            </w:r>
            <w:r w:rsidRPr="000D26B6">
              <w:rPr>
                <w:rFonts w:ascii="Times New Roman" w:hAnsi="Times New Roman" w:cs="宋体" w:hint="eastAsia"/>
                <w:color w:val="000000"/>
                <w:kern w:val="0"/>
                <w:sz w:val="20"/>
                <w:szCs w:val="20"/>
              </w:rPr>
              <w:t>（中低</w:t>
            </w:r>
            <w:r w:rsidRPr="000D26B6">
              <w:rPr>
                <w:rFonts w:ascii="Times New Roman" w:hAnsi="Times New Roman" w:cs="宋体"/>
                <w:color w:val="000000"/>
                <w:kern w:val="0"/>
                <w:sz w:val="20"/>
                <w:szCs w:val="20"/>
              </w:rPr>
              <w:t>风险）</w:t>
            </w:r>
          </w:p>
        </w:tc>
      </w:tr>
      <w:tr w:rsidR="007555AF" w:rsidRPr="000D26B6" w14:paraId="0C5046D5" w14:textId="77777777" w:rsidTr="007001CA">
        <w:trPr>
          <w:trHeight w:val="931"/>
        </w:trPr>
        <w:tc>
          <w:tcPr>
            <w:tcW w:w="1116" w:type="pct"/>
            <w:shd w:val="clear" w:color="auto" w:fill="auto"/>
            <w:vAlign w:val="center"/>
          </w:tcPr>
          <w:p w14:paraId="4D57492A" w14:textId="77777777" w:rsidR="007555AF" w:rsidRPr="000D26B6" w:rsidRDefault="007555AF" w:rsidP="007001CA">
            <w:pPr>
              <w:widowControl/>
              <w:rPr>
                <w:rFonts w:ascii="Times New Roman" w:hAnsi="Times New Roman" w:cs="宋体"/>
                <w:color w:val="000000"/>
                <w:kern w:val="0"/>
                <w:sz w:val="20"/>
                <w:szCs w:val="20"/>
              </w:rPr>
            </w:pPr>
            <w:r w:rsidRPr="000D26B6">
              <w:rPr>
                <w:rFonts w:ascii="Times New Roman" w:hAnsi="Times New Roman" w:cs="宋体" w:hint="eastAsia"/>
                <w:color w:val="000000"/>
                <w:kern w:val="0"/>
                <w:sz w:val="20"/>
                <w:szCs w:val="20"/>
              </w:rPr>
              <w:t>中风险类策略</w:t>
            </w:r>
          </w:p>
        </w:tc>
        <w:tc>
          <w:tcPr>
            <w:tcW w:w="2523" w:type="pct"/>
            <w:shd w:val="clear" w:color="auto" w:fill="auto"/>
            <w:noWrap/>
            <w:vAlign w:val="center"/>
          </w:tcPr>
          <w:p w14:paraId="289EBC15" w14:textId="77777777" w:rsidR="007555AF" w:rsidRPr="000D26B6" w:rsidRDefault="007555AF" w:rsidP="007001CA">
            <w:pPr>
              <w:widowControl/>
              <w:rPr>
                <w:rFonts w:ascii="Times New Roman" w:hAnsi="Times New Roman" w:cs="宋体"/>
                <w:color w:val="000000"/>
                <w:kern w:val="0"/>
                <w:sz w:val="20"/>
                <w:szCs w:val="20"/>
              </w:rPr>
            </w:pPr>
            <w:r w:rsidRPr="000D26B6">
              <w:rPr>
                <w:rFonts w:ascii="Times New Roman" w:hAnsi="Times New Roman" w:cs="宋体" w:hint="eastAsia"/>
                <w:color w:val="000000"/>
                <w:kern w:val="0"/>
                <w:sz w:val="20"/>
                <w:szCs w:val="20"/>
              </w:rPr>
              <w:t>权益类基金仓位占比上限为</w:t>
            </w:r>
            <w:r w:rsidRPr="000D26B6">
              <w:rPr>
                <w:rFonts w:ascii="Times New Roman" w:hAnsi="Times New Roman" w:cs="宋体"/>
                <w:color w:val="000000"/>
                <w:kern w:val="0"/>
                <w:sz w:val="20"/>
                <w:szCs w:val="20"/>
              </w:rPr>
              <w:t>20</w:t>
            </w:r>
            <w:r w:rsidRPr="000D26B6">
              <w:rPr>
                <w:rFonts w:ascii="Times New Roman" w:hAnsi="Times New Roman" w:cs="宋体" w:hint="eastAsia"/>
                <w:color w:val="000000"/>
                <w:kern w:val="0"/>
                <w:sz w:val="20"/>
                <w:szCs w:val="20"/>
              </w:rPr>
              <w:t>%-</w:t>
            </w:r>
            <w:r w:rsidRPr="000D26B6">
              <w:rPr>
                <w:rFonts w:ascii="Times New Roman" w:hAnsi="Times New Roman" w:cs="宋体"/>
                <w:color w:val="000000"/>
                <w:kern w:val="0"/>
                <w:sz w:val="20"/>
                <w:szCs w:val="20"/>
              </w:rPr>
              <w:t>60%</w:t>
            </w:r>
            <w:r w:rsidRPr="000D26B6">
              <w:rPr>
                <w:rFonts w:ascii="Times New Roman" w:hAnsi="Times New Roman" w:cs="宋体" w:hint="eastAsia"/>
                <w:color w:val="000000"/>
                <w:kern w:val="0"/>
                <w:sz w:val="20"/>
                <w:szCs w:val="20"/>
              </w:rPr>
              <w:t>（含）；</w:t>
            </w:r>
          </w:p>
          <w:p w14:paraId="6CA233B7" w14:textId="77777777" w:rsidR="007555AF" w:rsidRPr="000D26B6" w:rsidRDefault="007555AF" w:rsidP="007001CA">
            <w:pPr>
              <w:widowControl/>
              <w:rPr>
                <w:rFonts w:ascii="Times New Roman" w:hAnsi="Times New Roman" w:cs="宋体"/>
                <w:color w:val="000000"/>
                <w:kern w:val="0"/>
                <w:sz w:val="20"/>
                <w:szCs w:val="20"/>
              </w:rPr>
            </w:pPr>
            <w:r w:rsidRPr="000D26B6">
              <w:rPr>
                <w:rFonts w:ascii="Times New Roman" w:hAnsi="Times New Roman" w:cs="宋体" w:hint="eastAsia"/>
                <w:color w:val="000000"/>
                <w:kern w:val="0"/>
                <w:sz w:val="20"/>
                <w:szCs w:val="20"/>
              </w:rPr>
              <w:t>不可投资商品型基金</w:t>
            </w:r>
          </w:p>
        </w:tc>
        <w:tc>
          <w:tcPr>
            <w:tcW w:w="1361" w:type="pct"/>
            <w:vAlign w:val="center"/>
          </w:tcPr>
          <w:p w14:paraId="25A6D544" w14:textId="77777777" w:rsidR="007555AF" w:rsidRPr="000D26B6" w:rsidRDefault="007555AF" w:rsidP="007001CA">
            <w:pPr>
              <w:widowControl/>
              <w:jc w:val="center"/>
              <w:rPr>
                <w:rFonts w:ascii="Times New Roman" w:hAnsi="Times New Roman" w:cs="宋体"/>
                <w:color w:val="000000"/>
                <w:kern w:val="0"/>
                <w:sz w:val="20"/>
                <w:szCs w:val="20"/>
              </w:rPr>
            </w:pPr>
            <w:r w:rsidRPr="000D26B6">
              <w:rPr>
                <w:rFonts w:ascii="Times New Roman" w:hAnsi="Times New Roman" w:cs="宋体" w:hint="eastAsia"/>
                <w:color w:val="000000"/>
                <w:kern w:val="0"/>
                <w:sz w:val="20"/>
                <w:szCs w:val="20"/>
              </w:rPr>
              <w:t>R</w:t>
            </w:r>
            <w:r w:rsidRPr="000D26B6">
              <w:rPr>
                <w:rFonts w:ascii="Times New Roman" w:hAnsi="Times New Roman" w:cs="宋体"/>
                <w:color w:val="000000"/>
                <w:kern w:val="0"/>
                <w:sz w:val="20"/>
                <w:szCs w:val="20"/>
              </w:rPr>
              <w:t>3</w:t>
            </w:r>
            <w:r w:rsidRPr="000D26B6">
              <w:rPr>
                <w:rFonts w:ascii="Times New Roman" w:hAnsi="Times New Roman" w:cs="宋体" w:hint="eastAsia"/>
                <w:color w:val="000000"/>
                <w:kern w:val="0"/>
                <w:sz w:val="20"/>
                <w:szCs w:val="20"/>
              </w:rPr>
              <w:t>（中</w:t>
            </w:r>
            <w:r w:rsidRPr="000D26B6">
              <w:rPr>
                <w:rFonts w:ascii="Times New Roman" w:hAnsi="Times New Roman" w:cs="宋体"/>
                <w:color w:val="000000"/>
                <w:kern w:val="0"/>
                <w:sz w:val="20"/>
                <w:szCs w:val="20"/>
              </w:rPr>
              <w:t>风险）</w:t>
            </w:r>
          </w:p>
        </w:tc>
      </w:tr>
      <w:tr w:rsidR="007555AF" w:rsidRPr="000D26B6" w14:paraId="10CDF26D" w14:textId="77777777" w:rsidTr="007001CA">
        <w:trPr>
          <w:trHeight w:val="653"/>
        </w:trPr>
        <w:tc>
          <w:tcPr>
            <w:tcW w:w="1116" w:type="pct"/>
            <w:shd w:val="clear" w:color="auto" w:fill="auto"/>
            <w:vAlign w:val="center"/>
          </w:tcPr>
          <w:p w14:paraId="7EBA0489" w14:textId="77777777" w:rsidR="007555AF" w:rsidRPr="000D26B6" w:rsidRDefault="007555AF" w:rsidP="007001CA">
            <w:pPr>
              <w:widowControl/>
              <w:rPr>
                <w:rFonts w:ascii="Times New Roman" w:hAnsi="Times New Roman" w:cs="宋体"/>
                <w:color w:val="000000"/>
                <w:kern w:val="0"/>
                <w:sz w:val="20"/>
                <w:szCs w:val="20"/>
              </w:rPr>
            </w:pPr>
            <w:r w:rsidRPr="000D26B6">
              <w:rPr>
                <w:rFonts w:ascii="Times New Roman" w:hAnsi="Times New Roman" w:cs="宋体" w:hint="eastAsia"/>
                <w:color w:val="000000"/>
                <w:kern w:val="0"/>
                <w:sz w:val="20"/>
                <w:szCs w:val="20"/>
              </w:rPr>
              <w:t>中高风险类策略</w:t>
            </w:r>
          </w:p>
        </w:tc>
        <w:tc>
          <w:tcPr>
            <w:tcW w:w="2523" w:type="pct"/>
            <w:shd w:val="clear" w:color="auto" w:fill="auto"/>
            <w:noWrap/>
            <w:vAlign w:val="center"/>
          </w:tcPr>
          <w:p w14:paraId="414CED96" w14:textId="77777777" w:rsidR="007555AF" w:rsidRPr="000D26B6" w:rsidRDefault="007555AF" w:rsidP="007001CA">
            <w:pPr>
              <w:widowControl/>
              <w:rPr>
                <w:rFonts w:ascii="Times New Roman" w:hAnsi="Times New Roman" w:cs="宋体"/>
                <w:color w:val="000000"/>
                <w:kern w:val="0"/>
                <w:sz w:val="20"/>
                <w:szCs w:val="20"/>
              </w:rPr>
            </w:pPr>
            <w:r w:rsidRPr="000D26B6">
              <w:rPr>
                <w:rFonts w:ascii="Times New Roman" w:hAnsi="Times New Roman" w:cs="宋体" w:hint="eastAsia"/>
                <w:color w:val="000000"/>
                <w:kern w:val="0"/>
                <w:sz w:val="20"/>
                <w:szCs w:val="20"/>
              </w:rPr>
              <w:t>权益类基金仓位占比上限为</w:t>
            </w:r>
            <w:r w:rsidRPr="000D26B6">
              <w:rPr>
                <w:rFonts w:ascii="Times New Roman" w:hAnsi="Times New Roman" w:cs="宋体"/>
                <w:color w:val="000000"/>
                <w:kern w:val="0"/>
                <w:sz w:val="20"/>
                <w:szCs w:val="20"/>
              </w:rPr>
              <w:t>60</w:t>
            </w:r>
            <w:r w:rsidRPr="000D26B6">
              <w:rPr>
                <w:rFonts w:ascii="Times New Roman" w:hAnsi="Times New Roman" w:cs="宋体" w:hint="eastAsia"/>
                <w:color w:val="000000"/>
                <w:kern w:val="0"/>
                <w:sz w:val="20"/>
                <w:szCs w:val="20"/>
              </w:rPr>
              <w:t>%-</w:t>
            </w:r>
            <w:r w:rsidRPr="000D26B6">
              <w:rPr>
                <w:rFonts w:ascii="Times New Roman" w:hAnsi="Times New Roman" w:cs="宋体"/>
                <w:color w:val="000000"/>
                <w:kern w:val="0"/>
                <w:sz w:val="20"/>
                <w:szCs w:val="20"/>
              </w:rPr>
              <w:t>100%</w:t>
            </w:r>
            <w:r w:rsidRPr="000D26B6">
              <w:rPr>
                <w:rFonts w:ascii="Times New Roman" w:hAnsi="Times New Roman" w:cs="宋体" w:hint="eastAsia"/>
                <w:color w:val="000000"/>
                <w:kern w:val="0"/>
                <w:sz w:val="20"/>
                <w:szCs w:val="20"/>
              </w:rPr>
              <w:t>（</w:t>
            </w:r>
            <w:r w:rsidRPr="000D26B6">
              <w:rPr>
                <w:rFonts w:ascii="Times New Roman" w:hAnsi="Times New Roman" w:cs="宋体"/>
                <w:color w:val="000000"/>
                <w:kern w:val="0"/>
                <w:sz w:val="20"/>
                <w:szCs w:val="20"/>
              </w:rPr>
              <w:t>含</w:t>
            </w:r>
            <w:r w:rsidRPr="000D26B6">
              <w:rPr>
                <w:rFonts w:ascii="Times New Roman" w:hAnsi="Times New Roman" w:cs="宋体" w:hint="eastAsia"/>
                <w:color w:val="000000"/>
                <w:kern w:val="0"/>
                <w:sz w:val="20"/>
                <w:szCs w:val="20"/>
              </w:rPr>
              <w:t>）；</w:t>
            </w:r>
          </w:p>
          <w:p w14:paraId="3F436A09" w14:textId="77777777" w:rsidR="007555AF" w:rsidRPr="000D26B6" w:rsidRDefault="007555AF" w:rsidP="007001CA">
            <w:pPr>
              <w:widowControl/>
              <w:rPr>
                <w:rFonts w:ascii="Times New Roman" w:hAnsi="Times New Roman" w:cs="宋体"/>
                <w:color w:val="000000"/>
                <w:kern w:val="0"/>
                <w:sz w:val="20"/>
                <w:szCs w:val="20"/>
              </w:rPr>
            </w:pPr>
            <w:r w:rsidRPr="000D26B6">
              <w:rPr>
                <w:rFonts w:ascii="Times New Roman" w:hAnsi="Times New Roman" w:cs="宋体" w:hint="eastAsia"/>
                <w:color w:val="000000"/>
                <w:kern w:val="0"/>
                <w:sz w:val="20"/>
                <w:szCs w:val="20"/>
              </w:rPr>
              <w:t>不可投资商品型基金</w:t>
            </w:r>
          </w:p>
        </w:tc>
        <w:tc>
          <w:tcPr>
            <w:tcW w:w="1361" w:type="pct"/>
            <w:vAlign w:val="center"/>
          </w:tcPr>
          <w:p w14:paraId="1847AD3E" w14:textId="77777777" w:rsidR="007555AF" w:rsidRPr="000D26B6" w:rsidRDefault="007555AF" w:rsidP="007001CA">
            <w:pPr>
              <w:widowControl/>
              <w:jc w:val="center"/>
              <w:rPr>
                <w:rFonts w:ascii="Times New Roman" w:hAnsi="Times New Roman" w:cs="宋体"/>
                <w:color w:val="000000"/>
                <w:kern w:val="0"/>
                <w:sz w:val="20"/>
                <w:szCs w:val="20"/>
              </w:rPr>
            </w:pPr>
            <w:r w:rsidRPr="000D26B6">
              <w:rPr>
                <w:rFonts w:ascii="Times New Roman" w:hAnsi="Times New Roman" w:cs="宋体" w:hint="eastAsia"/>
                <w:color w:val="000000"/>
                <w:kern w:val="0"/>
                <w:sz w:val="20"/>
                <w:szCs w:val="20"/>
              </w:rPr>
              <w:t>R4</w:t>
            </w:r>
            <w:r w:rsidRPr="000D26B6">
              <w:rPr>
                <w:rFonts w:ascii="Times New Roman" w:hAnsi="Times New Roman" w:cs="宋体" w:hint="eastAsia"/>
                <w:color w:val="000000"/>
                <w:kern w:val="0"/>
                <w:sz w:val="20"/>
                <w:szCs w:val="20"/>
              </w:rPr>
              <w:t>（中高风险</w:t>
            </w:r>
            <w:r w:rsidRPr="000D26B6">
              <w:rPr>
                <w:rFonts w:ascii="Times New Roman" w:hAnsi="Times New Roman" w:cs="宋体"/>
                <w:color w:val="000000"/>
                <w:kern w:val="0"/>
                <w:sz w:val="20"/>
                <w:szCs w:val="20"/>
              </w:rPr>
              <w:t>）</w:t>
            </w:r>
          </w:p>
        </w:tc>
      </w:tr>
      <w:tr w:rsidR="007555AF" w:rsidRPr="000D26B6" w14:paraId="03D5BEC1" w14:textId="77777777" w:rsidTr="007001CA">
        <w:trPr>
          <w:trHeight w:val="505"/>
        </w:trPr>
        <w:tc>
          <w:tcPr>
            <w:tcW w:w="1116" w:type="pct"/>
            <w:shd w:val="clear" w:color="auto" w:fill="auto"/>
            <w:vAlign w:val="center"/>
          </w:tcPr>
          <w:p w14:paraId="47D9FD57" w14:textId="77777777" w:rsidR="007555AF" w:rsidRPr="000D26B6" w:rsidRDefault="007555AF" w:rsidP="007001CA">
            <w:pPr>
              <w:widowControl/>
              <w:rPr>
                <w:rFonts w:ascii="Times New Roman" w:hAnsi="Times New Roman" w:cs="宋体"/>
                <w:color w:val="000000"/>
                <w:kern w:val="0"/>
                <w:sz w:val="20"/>
                <w:szCs w:val="20"/>
              </w:rPr>
            </w:pPr>
            <w:r w:rsidRPr="000D26B6">
              <w:rPr>
                <w:rFonts w:ascii="Times New Roman" w:hAnsi="Times New Roman" w:cs="宋体" w:hint="eastAsia"/>
                <w:color w:val="000000"/>
                <w:kern w:val="0"/>
                <w:sz w:val="20"/>
                <w:szCs w:val="20"/>
              </w:rPr>
              <w:t>高风险类策略</w:t>
            </w:r>
          </w:p>
        </w:tc>
        <w:tc>
          <w:tcPr>
            <w:tcW w:w="2523" w:type="pct"/>
            <w:shd w:val="clear" w:color="auto" w:fill="auto"/>
            <w:noWrap/>
            <w:vAlign w:val="center"/>
          </w:tcPr>
          <w:p w14:paraId="10D8BFDC" w14:textId="77777777" w:rsidR="007555AF" w:rsidRPr="000D26B6" w:rsidRDefault="007555AF" w:rsidP="007001CA">
            <w:pPr>
              <w:widowControl/>
              <w:rPr>
                <w:rFonts w:ascii="Times New Roman" w:hAnsi="Times New Roman" w:cs="宋体"/>
                <w:color w:val="000000"/>
                <w:kern w:val="0"/>
                <w:sz w:val="20"/>
                <w:szCs w:val="20"/>
              </w:rPr>
            </w:pPr>
            <w:r w:rsidRPr="000D26B6">
              <w:rPr>
                <w:rFonts w:ascii="Times New Roman" w:hAnsi="Times New Roman" w:cs="宋体" w:hint="eastAsia"/>
                <w:color w:val="000000"/>
                <w:kern w:val="0"/>
                <w:sz w:val="20"/>
                <w:szCs w:val="20"/>
              </w:rPr>
              <w:t>可投资商品型基金</w:t>
            </w:r>
          </w:p>
        </w:tc>
        <w:tc>
          <w:tcPr>
            <w:tcW w:w="1361" w:type="pct"/>
            <w:vAlign w:val="center"/>
          </w:tcPr>
          <w:p w14:paraId="664518D0" w14:textId="77777777" w:rsidR="007555AF" w:rsidRPr="000D26B6" w:rsidRDefault="007555AF" w:rsidP="007001CA">
            <w:pPr>
              <w:widowControl/>
              <w:jc w:val="center"/>
              <w:rPr>
                <w:rFonts w:ascii="Times New Roman" w:hAnsi="Times New Roman" w:cs="宋体"/>
                <w:color w:val="000000"/>
                <w:kern w:val="0"/>
                <w:sz w:val="20"/>
                <w:szCs w:val="20"/>
              </w:rPr>
            </w:pPr>
            <w:r w:rsidRPr="000D26B6">
              <w:rPr>
                <w:rFonts w:ascii="Times New Roman" w:hAnsi="Times New Roman" w:cs="宋体" w:hint="eastAsia"/>
                <w:color w:val="000000"/>
                <w:kern w:val="0"/>
                <w:sz w:val="20"/>
                <w:szCs w:val="20"/>
              </w:rPr>
              <w:t>R5</w:t>
            </w:r>
            <w:r w:rsidRPr="000D26B6">
              <w:rPr>
                <w:rFonts w:ascii="Times New Roman" w:hAnsi="Times New Roman" w:cs="宋体" w:hint="eastAsia"/>
                <w:color w:val="000000"/>
                <w:kern w:val="0"/>
                <w:sz w:val="20"/>
                <w:szCs w:val="20"/>
              </w:rPr>
              <w:t>（高风险</w:t>
            </w:r>
            <w:r w:rsidRPr="000D26B6">
              <w:rPr>
                <w:rFonts w:ascii="Times New Roman" w:hAnsi="Times New Roman" w:cs="宋体"/>
                <w:color w:val="000000"/>
                <w:kern w:val="0"/>
                <w:sz w:val="20"/>
                <w:szCs w:val="20"/>
              </w:rPr>
              <w:t>）</w:t>
            </w:r>
          </w:p>
        </w:tc>
      </w:tr>
    </w:tbl>
    <w:p w14:paraId="5B31E083" w14:textId="77777777" w:rsidR="007555AF" w:rsidRPr="000D26B6" w:rsidRDefault="007555AF" w:rsidP="007555AF">
      <w:pPr>
        <w:spacing w:line="360" w:lineRule="auto"/>
        <w:rPr>
          <w:rFonts w:ascii="Times New Roman" w:hAnsi="Times New Roman"/>
          <w:szCs w:val="21"/>
        </w:rPr>
      </w:pPr>
      <w:r w:rsidRPr="000D26B6">
        <w:rPr>
          <w:rFonts w:ascii="Times New Roman" w:hAnsi="Times New Roman" w:hint="eastAsia"/>
          <w:szCs w:val="21"/>
        </w:rPr>
        <w:t>注</w:t>
      </w:r>
      <w:r w:rsidRPr="000D26B6">
        <w:rPr>
          <w:rFonts w:ascii="Times New Roman" w:hAnsi="Times New Roman" w:hint="eastAsia"/>
          <w:szCs w:val="21"/>
        </w:rPr>
        <w:t>1</w:t>
      </w:r>
      <w:r w:rsidRPr="000D26B6">
        <w:rPr>
          <w:rFonts w:ascii="Times New Roman" w:hAnsi="Times New Roman"/>
          <w:szCs w:val="21"/>
        </w:rPr>
        <w:t xml:space="preserve">. </w:t>
      </w:r>
      <w:r w:rsidRPr="000D26B6">
        <w:rPr>
          <w:rFonts w:ascii="Times New Roman" w:hAnsi="Times New Roman"/>
          <w:szCs w:val="21"/>
        </w:rPr>
        <w:t>权益类基金包括股票型基金</w:t>
      </w:r>
      <w:r w:rsidRPr="000D26B6">
        <w:rPr>
          <w:rFonts w:ascii="Times New Roman" w:hAnsi="Times New Roman" w:hint="eastAsia"/>
          <w:szCs w:val="21"/>
        </w:rPr>
        <w:t>、基金合同中明确约定股票投资占基金资产的比例为</w:t>
      </w:r>
      <w:r w:rsidRPr="000D26B6">
        <w:rPr>
          <w:rFonts w:ascii="Times New Roman" w:hAnsi="Times New Roman" w:hint="eastAsia"/>
          <w:szCs w:val="21"/>
        </w:rPr>
        <w:t>5</w:t>
      </w:r>
      <w:r w:rsidRPr="000D26B6">
        <w:rPr>
          <w:rFonts w:ascii="Times New Roman" w:hAnsi="Times New Roman"/>
          <w:szCs w:val="21"/>
        </w:rPr>
        <w:t>0%</w:t>
      </w:r>
      <w:r w:rsidRPr="000D26B6">
        <w:rPr>
          <w:rFonts w:ascii="Times New Roman" w:hAnsi="Times New Roman" w:hint="eastAsia"/>
          <w:szCs w:val="21"/>
        </w:rPr>
        <w:t>以上或最近四个季度披露的定期报告中股票投资占基金资产的比例均为</w:t>
      </w:r>
      <w:r w:rsidRPr="000D26B6">
        <w:rPr>
          <w:rFonts w:ascii="Times New Roman" w:hAnsi="Times New Roman" w:hint="eastAsia"/>
          <w:szCs w:val="21"/>
        </w:rPr>
        <w:t>5</w:t>
      </w:r>
      <w:r w:rsidRPr="000D26B6">
        <w:rPr>
          <w:rFonts w:ascii="Times New Roman" w:hAnsi="Times New Roman"/>
          <w:szCs w:val="21"/>
        </w:rPr>
        <w:t>0%</w:t>
      </w:r>
      <w:r w:rsidRPr="000D26B6">
        <w:rPr>
          <w:rFonts w:ascii="Times New Roman" w:hAnsi="Times New Roman" w:hint="eastAsia"/>
          <w:szCs w:val="21"/>
        </w:rPr>
        <w:t>以上的混合型基金。</w:t>
      </w:r>
    </w:p>
    <w:p w14:paraId="237ED630" w14:textId="77777777" w:rsidR="007555AF" w:rsidRPr="000D26B6" w:rsidRDefault="007555AF" w:rsidP="007555AF">
      <w:pPr>
        <w:spacing w:line="360" w:lineRule="auto"/>
        <w:rPr>
          <w:rFonts w:ascii="Times New Roman" w:hAnsi="Times New Roman"/>
          <w:szCs w:val="21"/>
        </w:rPr>
      </w:pPr>
      <w:r w:rsidRPr="000D26B6">
        <w:rPr>
          <w:rFonts w:ascii="Times New Roman" w:hAnsi="Times New Roman" w:hint="eastAsia"/>
          <w:szCs w:val="21"/>
        </w:rPr>
        <w:t>注</w:t>
      </w:r>
      <w:r w:rsidRPr="000D26B6">
        <w:rPr>
          <w:rFonts w:ascii="Times New Roman" w:hAnsi="Times New Roman"/>
          <w:szCs w:val="21"/>
        </w:rPr>
        <w:t xml:space="preserve">2. </w:t>
      </w:r>
      <w:r w:rsidRPr="000D26B6">
        <w:rPr>
          <w:rFonts w:ascii="Times New Roman" w:hAnsi="Times New Roman" w:hint="eastAsia"/>
          <w:szCs w:val="21"/>
        </w:rPr>
        <w:t>如策略说明书涉及个性条款且投资风险较大的，基金投资组合策略的初始风险级别可以酌情上调。</w:t>
      </w:r>
    </w:p>
    <w:p w14:paraId="67ABDF0A" w14:textId="3B6547F6" w:rsidR="004E21A3" w:rsidRPr="000D26B6" w:rsidRDefault="004E21A3" w:rsidP="00E16514">
      <w:pPr>
        <w:jc w:val="left"/>
        <w:rPr>
          <w:rFonts w:ascii="Times New Roman" w:hAnsi="Times New Roman"/>
        </w:rPr>
      </w:pPr>
    </w:p>
    <w:p w14:paraId="2EADAF9B" w14:textId="0BA71512" w:rsidR="005836A1" w:rsidRPr="000D26B6" w:rsidRDefault="00304CB2" w:rsidP="005E4885">
      <w:pPr>
        <w:ind w:firstLineChars="200" w:firstLine="560"/>
        <w:rPr>
          <w:rFonts w:ascii="Times New Roman" w:hAnsi="Times New Roman"/>
        </w:rPr>
      </w:pPr>
      <w:r w:rsidRPr="000D26B6">
        <w:rPr>
          <w:rFonts w:ascii="Times New Roman" w:hAnsi="Times New Roman" w:hint="eastAsia"/>
        </w:rPr>
        <w:t>根据中国证券投资基金业协会</w:t>
      </w:r>
      <w:r w:rsidR="00B85A36" w:rsidRPr="000D26B6">
        <w:rPr>
          <w:rFonts w:ascii="Times New Roman" w:hAnsi="Times New Roman"/>
        </w:rPr>
        <w:t xml:space="preserve">2023 </w:t>
      </w:r>
      <w:r w:rsidR="00B85A36" w:rsidRPr="000D26B6">
        <w:rPr>
          <w:rFonts w:ascii="Times New Roman" w:hAnsi="Times New Roman"/>
        </w:rPr>
        <w:t>年</w:t>
      </w:r>
      <w:r w:rsidR="00B85A36" w:rsidRPr="000D26B6">
        <w:rPr>
          <w:rFonts w:ascii="Times New Roman" w:hAnsi="Times New Roman"/>
        </w:rPr>
        <w:t xml:space="preserve"> 3 </w:t>
      </w:r>
      <w:r w:rsidR="00B85A36" w:rsidRPr="000D26B6">
        <w:rPr>
          <w:rFonts w:ascii="Times New Roman" w:hAnsi="Times New Roman"/>
        </w:rPr>
        <w:t>月</w:t>
      </w:r>
      <w:r w:rsidR="00B85A36" w:rsidRPr="000D26B6">
        <w:rPr>
          <w:rFonts w:ascii="Times New Roman" w:hAnsi="Times New Roman"/>
        </w:rPr>
        <w:t xml:space="preserve"> 2 </w:t>
      </w:r>
      <w:r w:rsidR="00B85A36" w:rsidRPr="000D26B6">
        <w:rPr>
          <w:rFonts w:ascii="Times New Roman" w:hAnsi="Times New Roman"/>
        </w:rPr>
        <w:t>日</w:t>
      </w:r>
      <w:r w:rsidRPr="000D26B6">
        <w:rPr>
          <w:rFonts w:ascii="Times New Roman" w:hAnsi="Times New Roman" w:hint="eastAsia"/>
        </w:rPr>
        <w:t>发布的《公开募集证券投资基金投资顾问服务协议内容与格式指引》及《公开募集证券投资基金投资顾问服务风险揭示书内容与格式指引》，</w:t>
      </w:r>
      <w:r w:rsidR="002C4AC8" w:rsidRPr="000D26B6">
        <w:rPr>
          <w:rFonts w:ascii="Times New Roman" w:hAnsi="Times New Roman" w:hint="eastAsia"/>
        </w:rPr>
        <w:t>交银施罗</w:t>
      </w:r>
      <w:r w:rsidR="002C4AC8" w:rsidRPr="000D26B6">
        <w:rPr>
          <w:rFonts w:ascii="Times New Roman" w:hAnsi="Times New Roman" w:hint="eastAsia"/>
        </w:rPr>
        <w:lastRenderedPageBreak/>
        <w:t>德基金管理有限公司对</w:t>
      </w:r>
      <w:r w:rsidRPr="000D26B6">
        <w:rPr>
          <w:rFonts w:ascii="Times New Roman" w:hAnsi="Times New Roman" w:hint="eastAsia"/>
        </w:rPr>
        <w:t>《交银施罗德基金管理有限公司管理型基金投资顾问服务协议》及</w:t>
      </w:r>
      <w:r w:rsidRPr="000D26B6">
        <w:rPr>
          <w:rFonts w:ascii="Times New Roman" w:hAnsi="Times New Roman" w:cs="宋体" w:hint="eastAsia"/>
          <w:kern w:val="0"/>
          <w:szCs w:val="21"/>
        </w:rPr>
        <w:t>《交银施罗德</w:t>
      </w:r>
      <w:r w:rsidRPr="000D26B6">
        <w:rPr>
          <w:rFonts w:ascii="Times New Roman" w:hAnsi="Times New Roman" w:cs="宋体"/>
          <w:kern w:val="0"/>
          <w:szCs w:val="21"/>
        </w:rPr>
        <w:t>基金</w:t>
      </w:r>
      <w:r w:rsidRPr="000D26B6">
        <w:rPr>
          <w:rFonts w:ascii="Times New Roman" w:hAnsi="Times New Roman" w:cs="宋体" w:hint="eastAsia"/>
          <w:kern w:val="0"/>
          <w:szCs w:val="21"/>
        </w:rPr>
        <w:t>管理有限公司</w:t>
      </w:r>
      <w:r w:rsidRPr="000D26B6">
        <w:rPr>
          <w:rFonts w:ascii="Times New Roman" w:hAnsi="Times New Roman" w:cs="宋体"/>
          <w:kern w:val="0"/>
          <w:szCs w:val="21"/>
        </w:rPr>
        <w:t>基金</w:t>
      </w:r>
      <w:r w:rsidRPr="000D26B6">
        <w:rPr>
          <w:rFonts w:ascii="Times New Roman" w:hAnsi="Times New Roman" w:cs="宋体" w:hint="eastAsia"/>
          <w:kern w:val="0"/>
          <w:szCs w:val="21"/>
        </w:rPr>
        <w:t>投资顾问服务风险揭示书》进行了</w:t>
      </w:r>
      <w:r w:rsidR="002C4AC8" w:rsidRPr="000D26B6">
        <w:rPr>
          <w:rFonts w:ascii="Times New Roman" w:hAnsi="Times New Roman" w:cs="宋体" w:hint="eastAsia"/>
          <w:kern w:val="0"/>
          <w:szCs w:val="21"/>
        </w:rPr>
        <w:t>修订</w:t>
      </w:r>
      <w:r w:rsidR="00B85A36" w:rsidRPr="000D26B6">
        <w:rPr>
          <w:rFonts w:ascii="Times New Roman" w:hAnsi="Times New Roman" w:cs="宋体" w:hint="eastAsia"/>
          <w:kern w:val="0"/>
          <w:szCs w:val="21"/>
        </w:rPr>
        <w:t>，</w:t>
      </w:r>
      <w:r w:rsidR="002C4AC8" w:rsidRPr="000D26B6">
        <w:rPr>
          <w:rFonts w:ascii="Times New Roman" w:hAnsi="Times New Roman" w:cs="宋体" w:hint="eastAsia"/>
          <w:kern w:val="0"/>
          <w:szCs w:val="21"/>
        </w:rPr>
        <w:t>相关修订自【</w:t>
      </w:r>
      <w:r w:rsidR="0034545D" w:rsidRPr="000D26B6">
        <w:rPr>
          <w:rFonts w:ascii="Times New Roman" w:hAnsi="Times New Roman" w:cs="宋体"/>
          <w:kern w:val="0"/>
          <w:szCs w:val="21"/>
        </w:rPr>
        <w:t>2023</w:t>
      </w:r>
      <w:r w:rsidR="0034545D" w:rsidRPr="000D26B6">
        <w:rPr>
          <w:rFonts w:ascii="Times New Roman" w:hAnsi="Times New Roman" w:cs="宋体" w:hint="eastAsia"/>
          <w:kern w:val="0"/>
          <w:szCs w:val="21"/>
        </w:rPr>
        <w:t>年</w:t>
      </w:r>
      <w:r w:rsidR="0034545D" w:rsidRPr="000D26B6">
        <w:rPr>
          <w:rFonts w:ascii="Times New Roman" w:hAnsi="Times New Roman" w:cs="宋体" w:hint="eastAsia"/>
          <w:kern w:val="0"/>
          <w:szCs w:val="21"/>
        </w:rPr>
        <w:t>3</w:t>
      </w:r>
      <w:r w:rsidR="0034545D" w:rsidRPr="000D26B6">
        <w:rPr>
          <w:rFonts w:ascii="Times New Roman" w:hAnsi="Times New Roman" w:cs="宋体" w:hint="eastAsia"/>
          <w:kern w:val="0"/>
          <w:szCs w:val="21"/>
        </w:rPr>
        <w:t>月</w:t>
      </w:r>
      <w:r w:rsidR="0034545D" w:rsidRPr="000D26B6">
        <w:rPr>
          <w:rFonts w:ascii="Times New Roman" w:hAnsi="Times New Roman" w:cs="宋体" w:hint="eastAsia"/>
          <w:kern w:val="0"/>
          <w:szCs w:val="21"/>
        </w:rPr>
        <w:t>3</w:t>
      </w:r>
      <w:r w:rsidR="0034545D" w:rsidRPr="000D26B6">
        <w:rPr>
          <w:rFonts w:ascii="Times New Roman" w:hAnsi="Times New Roman" w:cs="宋体"/>
          <w:kern w:val="0"/>
          <w:szCs w:val="21"/>
        </w:rPr>
        <w:t>1</w:t>
      </w:r>
      <w:r w:rsidR="0034545D" w:rsidRPr="000D26B6">
        <w:rPr>
          <w:rFonts w:ascii="Times New Roman" w:hAnsi="Times New Roman" w:cs="宋体" w:hint="eastAsia"/>
          <w:kern w:val="0"/>
          <w:szCs w:val="21"/>
        </w:rPr>
        <w:t>日</w:t>
      </w:r>
      <w:r w:rsidR="002C4AC8" w:rsidRPr="000D26B6">
        <w:rPr>
          <w:rFonts w:ascii="Times New Roman" w:hAnsi="Times New Roman" w:cs="宋体" w:hint="eastAsia"/>
          <w:kern w:val="0"/>
          <w:szCs w:val="21"/>
        </w:rPr>
        <w:t>】生效，</w:t>
      </w:r>
      <w:r w:rsidR="00B85A36" w:rsidRPr="000D26B6">
        <w:rPr>
          <w:rFonts w:ascii="Times New Roman" w:hAnsi="Times New Roman" w:cs="宋体" w:hint="eastAsia"/>
          <w:kern w:val="0"/>
          <w:szCs w:val="21"/>
        </w:rPr>
        <w:t>您可以</w:t>
      </w:r>
      <w:r w:rsidR="000C7A74">
        <w:rPr>
          <w:rFonts w:ascii="Times New Roman" w:hAnsi="Times New Roman" w:cs="宋体" w:hint="eastAsia"/>
          <w:kern w:val="0"/>
          <w:szCs w:val="21"/>
        </w:rPr>
        <w:t>在各销售平台</w:t>
      </w:r>
      <w:r w:rsidR="00B85A36" w:rsidRPr="000D26B6">
        <w:rPr>
          <w:rFonts w:ascii="Times New Roman" w:hAnsi="Times New Roman" w:cs="宋体" w:hint="eastAsia"/>
          <w:kern w:val="0"/>
          <w:szCs w:val="21"/>
        </w:rPr>
        <w:t>查阅</w:t>
      </w:r>
      <w:r w:rsidR="002C4AC8" w:rsidRPr="000D26B6">
        <w:rPr>
          <w:rFonts w:ascii="Times New Roman" w:hAnsi="Times New Roman" w:cs="宋体" w:hint="eastAsia"/>
          <w:kern w:val="0"/>
          <w:szCs w:val="21"/>
        </w:rPr>
        <w:t>具体文件</w:t>
      </w:r>
      <w:r w:rsidR="00B85A36" w:rsidRPr="000D26B6">
        <w:rPr>
          <w:rFonts w:ascii="Times New Roman" w:hAnsi="Times New Roman" w:cs="宋体" w:hint="eastAsia"/>
          <w:kern w:val="0"/>
          <w:szCs w:val="21"/>
        </w:rPr>
        <w:t>了解详情。</w:t>
      </w:r>
    </w:p>
    <w:p w14:paraId="4A72DABD" w14:textId="62EF9B9C" w:rsidR="00B9700F" w:rsidRPr="000D26B6" w:rsidRDefault="00B9700F" w:rsidP="00EF02D3">
      <w:pPr>
        <w:rPr>
          <w:rFonts w:ascii="Times New Roman" w:hAnsi="Times New Roman"/>
        </w:rPr>
      </w:pPr>
    </w:p>
    <w:p w14:paraId="1D318FF5" w14:textId="7C33F989" w:rsidR="00D36A88" w:rsidRPr="000D26B6" w:rsidRDefault="00D36A88" w:rsidP="005E4885">
      <w:pPr>
        <w:jc w:val="right"/>
        <w:rPr>
          <w:rFonts w:ascii="Times New Roman" w:hAnsi="Times New Roman"/>
        </w:rPr>
      </w:pPr>
      <w:r w:rsidRPr="000D26B6">
        <w:rPr>
          <w:rFonts w:ascii="Times New Roman" w:hAnsi="Times New Roman" w:hint="eastAsia"/>
        </w:rPr>
        <w:t>交银施罗德基金管理有限公司</w:t>
      </w:r>
    </w:p>
    <w:p w14:paraId="70F8FA92" w14:textId="16449BE8" w:rsidR="00D36A88" w:rsidRPr="000D26B6" w:rsidRDefault="0034545D" w:rsidP="005E4885">
      <w:pPr>
        <w:jc w:val="right"/>
        <w:rPr>
          <w:rFonts w:ascii="Times New Roman" w:hAnsi="Times New Roman"/>
        </w:rPr>
      </w:pPr>
      <w:r w:rsidRPr="000D26B6">
        <w:rPr>
          <w:rFonts w:ascii="Times New Roman" w:hAnsi="Times New Roman" w:hint="eastAsia"/>
        </w:rPr>
        <w:t>2</w:t>
      </w:r>
      <w:r w:rsidRPr="000D26B6">
        <w:rPr>
          <w:rFonts w:ascii="Times New Roman" w:hAnsi="Times New Roman"/>
        </w:rPr>
        <w:t>023</w:t>
      </w:r>
      <w:r w:rsidR="00D36A88" w:rsidRPr="000D26B6">
        <w:rPr>
          <w:rFonts w:ascii="Times New Roman" w:hAnsi="Times New Roman" w:hint="eastAsia"/>
        </w:rPr>
        <w:t>年</w:t>
      </w:r>
      <w:r w:rsidRPr="000D26B6">
        <w:rPr>
          <w:rFonts w:ascii="Times New Roman" w:hAnsi="Times New Roman" w:hint="eastAsia"/>
        </w:rPr>
        <w:t>3</w:t>
      </w:r>
      <w:r w:rsidR="00D36A88" w:rsidRPr="000D26B6">
        <w:rPr>
          <w:rFonts w:ascii="Times New Roman" w:hAnsi="Times New Roman" w:hint="eastAsia"/>
        </w:rPr>
        <w:t>月</w:t>
      </w:r>
      <w:r w:rsidRPr="000D26B6">
        <w:rPr>
          <w:rFonts w:ascii="Times New Roman" w:hAnsi="Times New Roman" w:hint="eastAsia"/>
        </w:rPr>
        <w:t>3</w:t>
      </w:r>
      <w:r w:rsidR="006469E7">
        <w:rPr>
          <w:rFonts w:ascii="Times New Roman" w:hAnsi="Times New Roman"/>
        </w:rPr>
        <w:t>1</w:t>
      </w:r>
      <w:r w:rsidR="00D36A88" w:rsidRPr="000D26B6">
        <w:rPr>
          <w:rFonts w:ascii="Times New Roman" w:hAnsi="Times New Roman" w:hint="eastAsia"/>
        </w:rPr>
        <w:t>日</w:t>
      </w:r>
    </w:p>
    <w:p w14:paraId="7507CE16" w14:textId="77777777" w:rsidR="00D36A88" w:rsidRDefault="00D36A88" w:rsidP="00A706A2">
      <w:pPr>
        <w:spacing w:line="360" w:lineRule="auto"/>
        <w:rPr>
          <w:rFonts w:ascii="仿宋" w:eastAsia="仿宋" w:hAnsi="仿宋" w:cs="方正仿宋_GBK"/>
          <w:sz w:val="24"/>
          <w:szCs w:val="24"/>
        </w:rPr>
      </w:pPr>
    </w:p>
    <w:p w14:paraId="59B07022" w14:textId="1A7AD345" w:rsidR="00A706A2" w:rsidRPr="00707D2A" w:rsidRDefault="00A706A2" w:rsidP="00A706A2">
      <w:pPr>
        <w:spacing w:line="360" w:lineRule="auto"/>
        <w:rPr>
          <w:rFonts w:ascii="仿宋" w:eastAsia="仿宋" w:hAnsi="仿宋" w:cs="方正仿宋_GBK"/>
          <w:sz w:val="24"/>
          <w:szCs w:val="24"/>
        </w:rPr>
      </w:pPr>
      <w:r w:rsidRPr="00707D2A">
        <w:rPr>
          <w:rFonts w:ascii="仿宋" w:eastAsia="仿宋" w:hAnsi="仿宋" w:cs="方正仿宋_GBK" w:hint="eastAsia"/>
          <w:sz w:val="24"/>
          <w:szCs w:val="24"/>
        </w:rPr>
        <w:t>风险提示：</w:t>
      </w:r>
    </w:p>
    <w:p w14:paraId="60CABBAA" w14:textId="77777777" w:rsidR="00A706A2" w:rsidRPr="00707D2A" w:rsidRDefault="00A706A2" w:rsidP="00A706A2">
      <w:pPr>
        <w:spacing w:line="360" w:lineRule="auto"/>
        <w:rPr>
          <w:rFonts w:ascii="仿宋" w:eastAsia="仿宋" w:hAnsi="仿宋" w:cs="方正仿宋_GBK"/>
          <w:sz w:val="24"/>
          <w:szCs w:val="24"/>
        </w:rPr>
      </w:pPr>
      <w:r w:rsidRPr="00707D2A">
        <w:rPr>
          <w:rFonts w:ascii="仿宋" w:eastAsia="仿宋" w:hAnsi="仿宋" w:cs="方正仿宋_GBK" w:hint="eastAsia"/>
          <w:sz w:val="24"/>
          <w:szCs w:val="24"/>
        </w:rPr>
        <w:t>基金有风险，投资需谨慎。</w:t>
      </w:r>
    </w:p>
    <w:p w14:paraId="5C8E5780" w14:textId="77777777" w:rsidR="00A706A2" w:rsidRPr="00707D2A" w:rsidRDefault="00A706A2" w:rsidP="00A706A2">
      <w:pPr>
        <w:spacing w:line="360" w:lineRule="auto"/>
        <w:rPr>
          <w:rFonts w:ascii="仿宋" w:eastAsia="仿宋" w:hAnsi="仿宋" w:cs="方正仿宋_GBK"/>
          <w:sz w:val="24"/>
          <w:szCs w:val="24"/>
        </w:rPr>
      </w:pPr>
      <w:r w:rsidRPr="00707D2A">
        <w:rPr>
          <w:rFonts w:ascii="仿宋" w:eastAsia="仿宋" w:hAnsi="仿宋" w:cs="方正仿宋_GBK" w:hint="eastAsia"/>
          <w:sz w:val="24"/>
          <w:szCs w:val="24"/>
        </w:rPr>
        <w:t>基金投顾试点机构不保证基金投顾组合策略一定盈利及最低收益，也不作保本承诺，投资者参与基金投顾组合策略存在无法获得收益甚至本金亏损的风险。基金投顾组合策略的过往业绩不代表其未来表现，为其他投资者创造的收益并不构成业绩表现的保证。</w:t>
      </w:r>
    </w:p>
    <w:p w14:paraId="5BBFB52C" w14:textId="77777777" w:rsidR="00A706A2" w:rsidRPr="00707D2A" w:rsidRDefault="00A706A2" w:rsidP="00A706A2">
      <w:pPr>
        <w:spacing w:line="360" w:lineRule="auto"/>
        <w:rPr>
          <w:rFonts w:ascii="仿宋" w:eastAsia="仿宋" w:hAnsi="仿宋" w:cs="方正仿宋_GBK"/>
          <w:sz w:val="24"/>
          <w:szCs w:val="24"/>
        </w:rPr>
      </w:pPr>
      <w:r w:rsidRPr="00707D2A">
        <w:rPr>
          <w:rFonts w:ascii="仿宋" w:eastAsia="仿宋" w:hAnsi="仿宋" w:cs="方正仿宋_GBK" w:hint="eastAsia"/>
          <w:sz w:val="24"/>
          <w:szCs w:val="24"/>
        </w:rPr>
        <w:t>基金投顾组合策略的风险特征与单只基金产品的风险特征存在差异，投资者参与投资前，应认真阅读基金投资顾问服务协议、基金投资顾问服务业务规则、风险揭示书、基金投顾组合策略说明书等文件，在全面了解基金投顾组合策略的风险收益特征、运作特点及适当性匹配意见的基础上，结合自身情况选择合适的基金投顾组合策略，谨慎作出投资决策，独立承担投资风险。</w:t>
      </w:r>
    </w:p>
    <w:p w14:paraId="6496337F" w14:textId="77777777" w:rsidR="00A706A2" w:rsidRPr="00707D2A" w:rsidRDefault="00A706A2" w:rsidP="00A706A2">
      <w:pPr>
        <w:spacing w:line="360" w:lineRule="auto"/>
        <w:rPr>
          <w:rFonts w:ascii="仿宋" w:eastAsia="仿宋" w:hAnsi="仿宋" w:cs="方正仿宋_GBK"/>
          <w:sz w:val="24"/>
          <w:szCs w:val="24"/>
        </w:rPr>
      </w:pPr>
      <w:r w:rsidRPr="00707D2A">
        <w:rPr>
          <w:rFonts w:ascii="仿宋" w:eastAsia="仿宋" w:hAnsi="仿宋" w:cs="方正仿宋_GBK" w:hint="eastAsia"/>
          <w:sz w:val="24"/>
          <w:szCs w:val="24"/>
        </w:rPr>
        <w:t>投资者应当充分了解并知悉：（</w:t>
      </w:r>
      <w:r w:rsidRPr="00707D2A">
        <w:rPr>
          <w:rFonts w:ascii="仿宋" w:eastAsia="仿宋" w:hAnsi="仿宋" w:cs="方正仿宋_GBK"/>
          <w:sz w:val="24"/>
          <w:szCs w:val="24"/>
        </w:rPr>
        <w:t>1）因转入转出时间不同、相关基金交易限制、基金交易费用、组合调仓等原因，投资者持有的基金投顾组合与基金投顾组合策略所对应的标准组合之间可能存在差异，并由此可能导致业绩表现等方面存在差异；（2）基金投顾组合策略所投资的基金产品中可能包含交银基金或其关联方管理、托管或销售的产品。</w:t>
      </w:r>
    </w:p>
    <w:p w14:paraId="008ECA00" w14:textId="477A21E5" w:rsidR="00BA4D7D" w:rsidRPr="00A706A2" w:rsidRDefault="00A706A2" w:rsidP="005E4885">
      <w:pPr>
        <w:spacing w:line="360" w:lineRule="auto"/>
        <w:rPr>
          <w:rFonts w:ascii="宋体" w:hAnsi="宋体" w:cs="Times New Roman"/>
          <w:sz w:val="20"/>
        </w:rPr>
      </w:pPr>
      <w:r w:rsidRPr="00707D2A">
        <w:rPr>
          <w:rFonts w:ascii="仿宋" w:eastAsia="仿宋" w:hAnsi="仿宋" w:cs="方正仿宋_GBK" w:hint="eastAsia"/>
          <w:sz w:val="24"/>
          <w:szCs w:val="24"/>
        </w:rPr>
        <w:t>基金投资顾问业务尚处于试点阶段，基金投资顾问机构存在因试点资格被取消不能继续提供服务的风险。</w:t>
      </w:r>
    </w:p>
    <w:sectPr w:rsidR="00BA4D7D" w:rsidRPr="00A706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393E1" w14:textId="77777777" w:rsidR="00F528EA" w:rsidRDefault="00F528EA" w:rsidP="00EF02D3">
      <w:r>
        <w:separator/>
      </w:r>
    </w:p>
  </w:endnote>
  <w:endnote w:type="continuationSeparator" w:id="0">
    <w:p w14:paraId="4600BE4B" w14:textId="77777777" w:rsidR="00F528EA" w:rsidRDefault="00F528EA" w:rsidP="00EF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2003" w:usb1="090E0000" w:usb2="00000010" w:usb3="00000000" w:csb0="003C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CA6BC" w14:textId="77777777" w:rsidR="00F528EA" w:rsidRDefault="00F528EA" w:rsidP="00EF02D3">
      <w:r>
        <w:separator/>
      </w:r>
    </w:p>
  </w:footnote>
  <w:footnote w:type="continuationSeparator" w:id="0">
    <w:p w14:paraId="7F239894" w14:textId="77777777" w:rsidR="00F528EA" w:rsidRDefault="00F528EA" w:rsidP="00EF0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19F3"/>
    <w:multiLevelType w:val="hybridMultilevel"/>
    <w:tmpl w:val="9A4CFDD8"/>
    <w:lvl w:ilvl="0" w:tplc="CE2E6F9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BCE64DE"/>
    <w:multiLevelType w:val="hybridMultilevel"/>
    <w:tmpl w:val="B7AE030E"/>
    <w:lvl w:ilvl="0" w:tplc="97506CE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2C94EC6"/>
    <w:multiLevelType w:val="hybridMultilevel"/>
    <w:tmpl w:val="05D2CD2E"/>
    <w:lvl w:ilvl="0" w:tplc="04090009">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76"/>
    <w:rsid w:val="00045586"/>
    <w:rsid w:val="000738C7"/>
    <w:rsid w:val="00074B73"/>
    <w:rsid w:val="00092B3A"/>
    <w:rsid w:val="00092DF4"/>
    <w:rsid w:val="000C4D67"/>
    <w:rsid w:val="000C7A74"/>
    <w:rsid w:val="000D26B6"/>
    <w:rsid w:val="000E366B"/>
    <w:rsid w:val="00125454"/>
    <w:rsid w:val="00196551"/>
    <w:rsid w:val="001D5012"/>
    <w:rsid w:val="001F5AF3"/>
    <w:rsid w:val="0020433A"/>
    <w:rsid w:val="00295DE5"/>
    <w:rsid w:val="0029631E"/>
    <w:rsid w:val="002C4AC8"/>
    <w:rsid w:val="002D2E53"/>
    <w:rsid w:val="002D4BF4"/>
    <w:rsid w:val="002E1C64"/>
    <w:rsid w:val="00304CB2"/>
    <w:rsid w:val="0034545D"/>
    <w:rsid w:val="00371E0D"/>
    <w:rsid w:val="0037443E"/>
    <w:rsid w:val="00381C71"/>
    <w:rsid w:val="00392657"/>
    <w:rsid w:val="003D75AD"/>
    <w:rsid w:val="003E0360"/>
    <w:rsid w:val="003F60D2"/>
    <w:rsid w:val="003F6BF7"/>
    <w:rsid w:val="00421F4B"/>
    <w:rsid w:val="004249B5"/>
    <w:rsid w:val="00455452"/>
    <w:rsid w:val="00462D50"/>
    <w:rsid w:val="0047260F"/>
    <w:rsid w:val="004E21A3"/>
    <w:rsid w:val="00555A86"/>
    <w:rsid w:val="00556A2A"/>
    <w:rsid w:val="005836A1"/>
    <w:rsid w:val="0058599A"/>
    <w:rsid w:val="005E4885"/>
    <w:rsid w:val="006469E7"/>
    <w:rsid w:val="00651C9C"/>
    <w:rsid w:val="00683766"/>
    <w:rsid w:val="006949E9"/>
    <w:rsid w:val="006C1746"/>
    <w:rsid w:val="006E3D9F"/>
    <w:rsid w:val="007001CA"/>
    <w:rsid w:val="00723A3B"/>
    <w:rsid w:val="00744A2B"/>
    <w:rsid w:val="0074744A"/>
    <w:rsid w:val="007555AF"/>
    <w:rsid w:val="00810E4E"/>
    <w:rsid w:val="00825E96"/>
    <w:rsid w:val="00842922"/>
    <w:rsid w:val="008E5A95"/>
    <w:rsid w:val="00901E9E"/>
    <w:rsid w:val="0092512A"/>
    <w:rsid w:val="00964847"/>
    <w:rsid w:val="0098375D"/>
    <w:rsid w:val="009F70EE"/>
    <w:rsid w:val="00A31A27"/>
    <w:rsid w:val="00A32B76"/>
    <w:rsid w:val="00A47B60"/>
    <w:rsid w:val="00A706A2"/>
    <w:rsid w:val="00A975A3"/>
    <w:rsid w:val="00AD62FB"/>
    <w:rsid w:val="00B07FE2"/>
    <w:rsid w:val="00B1063F"/>
    <w:rsid w:val="00B24250"/>
    <w:rsid w:val="00B340C2"/>
    <w:rsid w:val="00B85A36"/>
    <w:rsid w:val="00B9700F"/>
    <w:rsid w:val="00BA4D7D"/>
    <w:rsid w:val="00BA5942"/>
    <w:rsid w:val="00BD5205"/>
    <w:rsid w:val="00C259A5"/>
    <w:rsid w:val="00C35E21"/>
    <w:rsid w:val="00C74FA8"/>
    <w:rsid w:val="00D0549E"/>
    <w:rsid w:val="00D1080E"/>
    <w:rsid w:val="00D313B6"/>
    <w:rsid w:val="00D36A88"/>
    <w:rsid w:val="00D44CA7"/>
    <w:rsid w:val="00D45ABB"/>
    <w:rsid w:val="00E032DD"/>
    <w:rsid w:val="00E10FA7"/>
    <w:rsid w:val="00E16514"/>
    <w:rsid w:val="00E35D29"/>
    <w:rsid w:val="00E47052"/>
    <w:rsid w:val="00E70154"/>
    <w:rsid w:val="00E82C28"/>
    <w:rsid w:val="00E870E0"/>
    <w:rsid w:val="00EC5202"/>
    <w:rsid w:val="00EF02D3"/>
    <w:rsid w:val="00EF3338"/>
    <w:rsid w:val="00F07EF1"/>
    <w:rsid w:val="00F528EA"/>
    <w:rsid w:val="00FF76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247AF"/>
  <w15:chartTrackingRefBased/>
  <w15:docId w15:val="{D5F91E9E-C9CC-4ED3-B44F-7C2B90350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205"/>
    <w:pPr>
      <w:widowControl w:val="0"/>
      <w:jc w:val="both"/>
    </w:pPr>
    <w:rPr>
      <w:rFonts w:eastAsia="宋体"/>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7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10E4E"/>
    <w:pPr>
      <w:ind w:firstLineChars="200" w:firstLine="420"/>
    </w:pPr>
  </w:style>
  <w:style w:type="paragraph" w:styleId="a5">
    <w:name w:val="Title"/>
    <w:basedOn w:val="a"/>
    <w:next w:val="a"/>
    <w:link w:val="a6"/>
    <w:uiPriority w:val="10"/>
    <w:qFormat/>
    <w:rsid w:val="00392657"/>
    <w:pPr>
      <w:spacing w:before="240" w:after="60"/>
      <w:jc w:val="center"/>
      <w:outlineLvl w:val="0"/>
    </w:pPr>
    <w:rPr>
      <w:rFonts w:asciiTheme="majorHAnsi" w:hAnsiTheme="majorHAnsi" w:cstheme="majorBidi"/>
      <w:b/>
      <w:bCs/>
      <w:szCs w:val="32"/>
    </w:rPr>
  </w:style>
  <w:style w:type="character" w:customStyle="1" w:styleId="a6">
    <w:name w:val="标题 字符"/>
    <w:basedOn w:val="a0"/>
    <w:link w:val="a5"/>
    <w:uiPriority w:val="10"/>
    <w:rsid w:val="00392657"/>
    <w:rPr>
      <w:rFonts w:asciiTheme="majorHAnsi" w:eastAsia="宋体" w:hAnsiTheme="majorHAnsi" w:cstheme="majorBidi"/>
      <w:b/>
      <w:bCs/>
      <w:sz w:val="28"/>
      <w:szCs w:val="32"/>
    </w:rPr>
  </w:style>
  <w:style w:type="character" w:styleId="a7">
    <w:name w:val="annotation reference"/>
    <w:basedOn w:val="a0"/>
    <w:uiPriority w:val="99"/>
    <w:semiHidden/>
    <w:unhideWhenUsed/>
    <w:rsid w:val="005836A1"/>
    <w:rPr>
      <w:sz w:val="21"/>
      <w:szCs w:val="21"/>
    </w:rPr>
  </w:style>
  <w:style w:type="paragraph" w:styleId="a8">
    <w:name w:val="annotation text"/>
    <w:basedOn w:val="a"/>
    <w:link w:val="a9"/>
    <w:uiPriority w:val="99"/>
    <w:semiHidden/>
    <w:unhideWhenUsed/>
    <w:rsid w:val="005836A1"/>
    <w:pPr>
      <w:jc w:val="left"/>
    </w:pPr>
  </w:style>
  <w:style w:type="character" w:customStyle="1" w:styleId="a9">
    <w:name w:val="批注文字 字符"/>
    <w:basedOn w:val="a0"/>
    <w:link w:val="a8"/>
    <w:uiPriority w:val="99"/>
    <w:semiHidden/>
    <w:rsid w:val="005836A1"/>
    <w:rPr>
      <w:rFonts w:eastAsia="宋体"/>
      <w:sz w:val="28"/>
    </w:rPr>
  </w:style>
  <w:style w:type="paragraph" w:styleId="aa">
    <w:name w:val="annotation subject"/>
    <w:basedOn w:val="a8"/>
    <w:next w:val="a8"/>
    <w:link w:val="ab"/>
    <w:uiPriority w:val="99"/>
    <w:semiHidden/>
    <w:unhideWhenUsed/>
    <w:rsid w:val="005836A1"/>
    <w:rPr>
      <w:b/>
      <w:bCs/>
    </w:rPr>
  </w:style>
  <w:style w:type="character" w:customStyle="1" w:styleId="ab">
    <w:name w:val="批注主题 字符"/>
    <w:basedOn w:val="a9"/>
    <w:link w:val="aa"/>
    <w:uiPriority w:val="99"/>
    <w:semiHidden/>
    <w:rsid w:val="005836A1"/>
    <w:rPr>
      <w:rFonts w:eastAsia="宋体"/>
      <w:b/>
      <w:bCs/>
      <w:sz w:val="28"/>
    </w:rPr>
  </w:style>
  <w:style w:type="paragraph" w:styleId="ac">
    <w:name w:val="Balloon Text"/>
    <w:basedOn w:val="a"/>
    <w:link w:val="ad"/>
    <w:uiPriority w:val="99"/>
    <w:semiHidden/>
    <w:unhideWhenUsed/>
    <w:rsid w:val="005836A1"/>
    <w:rPr>
      <w:sz w:val="18"/>
      <w:szCs w:val="18"/>
    </w:rPr>
  </w:style>
  <w:style w:type="character" w:customStyle="1" w:styleId="ad">
    <w:name w:val="批注框文本 字符"/>
    <w:basedOn w:val="a0"/>
    <w:link w:val="ac"/>
    <w:uiPriority w:val="99"/>
    <w:semiHidden/>
    <w:rsid w:val="005836A1"/>
    <w:rPr>
      <w:rFonts w:eastAsia="宋体"/>
      <w:sz w:val="18"/>
      <w:szCs w:val="18"/>
    </w:rPr>
  </w:style>
  <w:style w:type="paragraph" w:styleId="ae">
    <w:name w:val="header"/>
    <w:basedOn w:val="a"/>
    <w:link w:val="af"/>
    <w:uiPriority w:val="99"/>
    <w:unhideWhenUsed/>
    <w:rsid w:val="00EF02D3"/>
    <w:pPr>
      <w:pBdr>
        <w:bottom w:val="single" w:sz="6" w:space="1" w:color="auto"/>
      </w:pBdr>
      <w:tabs>
        <w:tab w:val="center" w:pos="4153"/>
        <w:tab w:val="right" w:pos="8306"/>
      </w:tabs>
      <w:snapToGrid w:val="0"/>
      <w:jc w:val="center"/>
    </w:pPr>
    <w:rPr>
      <w:sz w:val="18"/>
      <w:szCs w:val="18"/>
    </w:rPr>
  </w:style>
  <w:style w:type="character" w:customStyle="1" w:styleId="af">
    <w:name w:val="页眉 字符"/>
    <w:basedOn w:val="a0"/>
    <w:link w:val="ae"/>
    <w:uiPriority w:val="99"/>
    <w:rsid w:val="00EF02D3"/>
    <w:rPr>
      <w:rFonts w:eastAsia="宋体"/>
      <w:sz w:val="18"/>
      <w:szCs w:val="18"/>
    </w:rPr>
  </w:style>
  <w:style w:type="paragraph" w:styleId="af0">
    <w:name w:val="footer"/>
    <w:basedOn w:val="a"/>
    <w:link w:val="af1"/>
    <w:uiPriority w:val="99"/>
    <w:unhideWhenUsed/>
    <w:rsid w:val="00EF02D3"/>
    <w:pPr>
      <w:tabs>
        <w:tab w:val="center" w:pos="4153"/>
        <w:tab w:val="right" w:pos="8306"/>
      </w:tabs>
      <w:snapToGrid w:val="0"/>
      <w:jc w:val="left"/>
    </w:pPr>
    <w:rPr>
      <w:sz w:val="18"/>
      <w:szCs w:val="18"/>
    </w:rPr>
  </w:style>
  <w:style w:type="character" w:customStyle="1" w:styleId="af1">
    <w:name w:val="页脚 字符"/>
    <w:basedOn w:val="a0"/>
    <w:link w:val="af0"/>
    <w:uiPriority w:val="99"/>
    <w:rsid w:val="00EF02D3"/>
    <w:rPr>
      <w:rFonts w:eastAsia="宋体"/>
      <w:sz w:val="18"/>
      <w:szCs w:val="18"/>
    </w:rPr>
  </w:style>
  <w:style w:type="table" w:styleId="2">
    <w:name w:val="Plain Table 2"/>
    <w:basedOn w:val="a1"/>
    <w:uiPriority w:val="42"/>
    <w:rsid w:val="00295DE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2">
    <w:name w:val="Revision"/>
    <w:hidden/>
    <w:uiPriority w:val="99"/>
    <w:semiHidden/>
    <w:rsid w:val="005E4885"/>
    <w:rPr>
      <w:rFonts w:eastAsia="宋体"/>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223">
      <w:bodyDiv w:val="1"/>
      <w:marLeft w:val="0"/>
      <w:marRight w:val="0"/>
      <w:marTop w:val="0"/>
      <w:marBottom w:val="0"/>
      <w:divBdr>
        <w:top w:val="none" w:sz="0" w:space="0" w:color="auto"/>
        <w:left w:val="none" w:sz="0" w:space="0" w:color="auto"/>
        <w:bottom w:val="none" w:sz="0" w:space="0" w:color="auto"/>
        <w:right w:val="none" w:sz="0" w:space="0" w:color="auto"/>
      </w:divBdr>
    </w:div>
    <w:div w:id="411319417">
      <w:bodyDiv w:val="1"/>
      <w:marLeft w:val="0"/>
      <w:marRight w:val="0"/>
      <w:marTop w:val="0"/>
      <w:marBottom w:val="0"/>
      <w:divBdr>
        <w:top w:val="none" w:sz="0" w:space="0" w:color="auto"/>
        <w:left w:val="none" w:sz="0" w:space="0" w:color="auto"/>
        <w:bottom w:val="none" w:sz="0" w:space="0" w:color="auto"/>
        <w:right w:val="none" w:sz="0" w:space="0" w:color="auto"/>
      </w:divBdr>
    </w:div>
    <w:div w:id="838346709">
      <w:bodyDiv w:val="1"/>
      <w:marLeft w:val="0"/>
      <w:marRight w:val="0"/>
      <w:marTop w:val="0"/>
      <w:marBottom w:val="0"/>
      <w:divBdr>
        <w:top w:val="none" w:sz="0" w:space="0" w:color="auto"/>
        <w:left w:val="none" w:sz="0" w:space="0" w:color="auto"/>
        <w:bottom w:val="none" w:sz="0" w:space="0" w:color="auto"/>
        <w:right w:val="none" w:sz="0" w:space="0" w:color="auto"/>
      </w:divBdr>
    </w:div>
    <w:div w:id="1050108508">
      <w:bodyDiv w:val="1"/>
      <w:marLeft w:val="0"/>
      <w:marRight w:val="0"/>
      <w:marTop w:val="0"/>
      <w:marBottom w:val="0"/>
      <w:divBdr>
        <w:top w:val="none" w:sz="0" w:space="0" w:color="auto"/>
        <w:left w:val="none" w:sz="0" w:space="0" w:color="auto"/>
        <w:bottom w:val="none" w:sz="0" w:space="0" w:color="auto"/>
        <w:right w:val="none" w:sz="0" w:space="0" w:color="auto"/>
      </w:divBdr>
    </w:div>
    <w:div w:id="1100490921">
      <w:bodyDiv w:val="1"/>
      <w:marLeft w:val="0"/>
      <w:marRight w:val="0"/>
      <w:marTop w:val="0"/>
      <w:marBottom w:val="0"/>
      <w:divBdr>
        <w:top w:val="none" w:sz="0" w:space="0" w:color="auto"/>
        <w:left w:val="none" w:sz="0" w:space="0" w:color="auto"/>
        <w:bottom w:val="none" w:sz="0" w:space="0" w:color="auto"/>
        <w:right w:val="none" w:sz="0" w:space="0" w:color="auto"/>
      </w:divBdr>
    </w:div>
    <w:div w:id="165232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常慧源</dc:creator>
  <cp:keywords/>
  <dc:description/>
  <cp:lastModifiedBy>张乐鑫</cp:lastModifiedBy>
  <cp:revision>7</cp:revision>
  <dcterms:created xsi:type="dcterms:W3CDTF">2023-03-30T06:49:00Z</dcterms:created>
  <dcterms:modified xsi:type="dcterms:W3CDTF">2023-03-30T07:03:00Z</dcterms:modified>
</cp:coreProperties>
</file>